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A1FBDC" w14:textId="3B9D569F" w:rsidR="00CA557D" w:rsidRDefault="008E632E" w:rsidP="00CA557D">
      <w:pPr>
        <w:spacing w:before="100" w:beforeAutospacing="1" w:after="100" w:afterAutospacing="1"/>
      </w:pPr>
      <w:bookmarkStart w:id="0" w:name="_GoBack"/>
      <w:bookmarkEnd w:id="0"/>
      <w:r w:rsidRPr="000A3188">
        <w:rPr>
          <w:b/>
        </w:rPr>
        <w:t xml:space="preserve">Part </w:t>
      </w:r>
      <w:r w:rsidR="00CA557D" w:rsidRPr="000A3188">
        <w:rPr>
          <w:b/>
        </w:rPr>
        <w:t>B</w:t>
      </w:r>
      <w:r w:rsidR="00CA557D" w:rsidRPr="000E36BA">
        <w:t>.</w:t>
      </w:r>
      <w:r w:rsidR="000A3188">
        <w:t xml:space="preserve">  </w:t>
      </w:r>
      <w:r w:rsidR="00CA557D" w:rsidRPr="000E36BA">
        <w:t xml:space="preserve">Statistical Methods </w:t>
      </w:r>
      <w:r w:rsidR="00355F0D">
        <w:t xml:space="preserve"> </w:t>
      </w:r>
    </w:p>
    <w:p w14:paraId="73DD8841" w14:textId="512AA7E1" w:rsidR="00006713" w:rsidRDefault="00CA557D" w:rsidP="00006713">
      <w:pPr>
        <w:widowControl w:val="0"/>
        <w:numPr>
          <w:ilvl w:val="0"/>
          <w:numId w:val="1"/>
        </w:numPr>
        <w:autoSpaceDE w:val="0"/>
        <w:autoSpaceDN w:val="0"/>
        <w:adjustRightInd w:val="0"/>
        <w:spacing w:before="100" w:beforeAutospacing="1" w:after="100" w:afterAutospacing="1"/>
      </w:pPr>
      <w:r w:rsidRPr="00307250">
        <w:rPr>
          <w:u w:val="single"/>
        </w:rPr>
        <w:t>Respondent Universe and Sampling Methods</w:t>
      </w:r>
    </w:p>
    <w:p w14:paraId="2578A9A6" w14:textId="14647083" w:rsidR="00006713" w:rsidRPr="00006713" w:rsidRDefault="00006713" w:rsidP="00DB3D01">
      <w:pPr>
        <w:pStyle w:val="L1-FlLSp12"/>
        <w:spacing w:line="240" w:lineRule="auto"/>
        <w:ind w:left="630"/>
        <w:rPr>
          <w:rFonts w:ascii="Times New Roman" w:hAnsi="Times New Roman"/>
        </w:rPr>
      </w:pPr>
      <w:r w:rsidRPr="00006713">
        <w:rPr>
          <w:rFonts w:ascii="Times New Roman" w:hAnsi="Times New Roman"/>
        </w:rPr>
        <w:t>We will use WebMD’s Medscape subscriber network as a frame for sample selection. Healthcare professionals join the Medscape network to have access to medical news and drug updates and can opt-in to participate in market research studies.  The Medscape network includes approximately 600,000 American Medical Association (AMA) validated physicians, including both primary care physicians (PCPs) and specialists (SPs) (e.g., cardiologists, rheumatologists, u</w:t>
      </w:r>
      <w:r w:rsidRPr="00006713">
        <w:rPr>
          <w:rFonts w:ascii="Times New Roman" w:hAnsi="Times New Roman"/>
          <w:color w:val="000000"/>
        </w:rPr>
        <w:t>rologists,</w:t>
      </w:r>
      <w:r w:rsidRPr="00006713">
        <w:rPr>
          <w:rFonts w:ascii="Times New Roman" w:hAnsi="Times New Roman"/>
        </w:rPr>
        <w:t xml:space="preserve"> etc.) and has more than 165,000 nurse practitioners (NPs) and physicians assistants (PAs).  The HCP Survey II will include each of these healthcare professional groups (PCPs, SPs, NPs, and PAs) and all will be recruited from Medscape’s network.  Specialists will be drawn from ten specialty areas (</w:t>
      </w:r>
      <w:r w:rsidRPr="00006713">
        <w:rPr>
          <w:rFonts w:ascii="Times New Roman" w:hAnsi="Times New Roman"/>
          <w:i/>
        </w:rPr>
        <w:t>cardiology, dermatology, endocrinology, neurology, obstetrics/gynecology, oncology, ophthalmology, psychiatry, rheumatology and urology</w:t>
      </w:r>
      <w:r w:rsidRPr="00006713">
        <w:rPr>
          <w:rFonts w:ascii="Times New Roman" w:hAnsi="Times New Roman"/>
        </w:rPr>
        <w:t xml:space="preserve">). Overall, the Medscape subscriber network offers a higher coverage of healthcare professionals compared to more traditional internet panels. </w:t>
      </w:r>
    </w:p>
    <w:p w14:paraId="4F734616" w14:textId="77777777" w:rsidR="00006713" w:rsidRPr="00006713" w:rsidRDefault="00006713" w:rsidP="00006713">
      <w:pPr>
        <w:pStyle w:val="L1-FlLSp12"/>
        <w:spacing w:line="240" w:lineRule="auto"/>
        <w:rPr>
          <w:rFonts w:ascii="Times New Roman" w:hAnsi="Times New Roman"/>
        </w:rPr>
      </w:pPr>
    </w:p>
    <w:p w14:paraId="0EE1F6DF" w14:textId="77777777" w:rsidR="00006713" w:rsidRPr="00006713" w:rsidRDefault="00006713" w:rsidP="00DB3D01">
      <w:pPr>
        <w:pStyle w:val="L1-FlLSp12"/>
        <w:spacing w:line="240" w:lineRule="auto"/>
        <w:ind w:left="630"/>
        <w:rPr>
          <w:rFonts w:ascii="Times New Roman" w:hAnsi="Times New Roman"/>
        </w:rPr>
      </w:pPr>
      <w:r w:rsidRPr="00006713">
        <w:rPr>
          <w:rFonts w:ascii="Times New Roman" w:hAnsi="Times New Roman"/>
          <w:szCs w:val="24"/>
        </w:rPr>
        <w:t>The data collection will include a nationally representative sample of HCPs.</w:t>
      </w:r>
      <w:r w:rsidRPr="00006713">
        <w:rPr>
          <w:rFonts w:ascii="Times New Roman" w:hAnsi="Times New Roman"/>
        </w:rPr>
        <w:t xml:space="preserve"> FDA has selected the following HCP groups for inclusion in the study: physicians (primary care and specialists), nurse practitioners, and physician assistants (Table 1). Eligible physician respondents include individuals with </w:t>
      </w:r>
      <w:r w:rsidRPr="00006713">
        <w:rPr>
          <w:rFonts w:ascii="Times New Roman" w:hAnsi="Times New Roman"/>
          <w:lang w:val="en"/>
        </w:rPr>
        <w:t xml:space="preserve">Doctor of Medicine (MD) or Doctor of Osteopathic Medicine (DO) degrees. </w:t>
      </w:r>
      <w:r w:rsidRPr="00006713">
        <w:rPr>
          <w:rFonts w:ascii="Times New Roman" w:hAnsi="Times New Roman"/>
        </w:rPr>
        <w:t>To qualify for this study, HCPs must practice in an office-based setting, spend at least 50 percent of their time providing patient care, and have prescribing authority. “Office-based setting” is broadly defined and includes federally and non-federally sponsored clinics, health maintenance organizations (HMOs), and large health care systems. Healthcare professionals primarily seeing patients in a hospital setting or research facility are ineligible for the study.</w:t>
      </w:r>
    </w:p>
    <w:p w14:paraId="0DC88A6D" w14:textId="77777777" w:rsidR="00006713" w:rsidRDefault="00006713" w:rsidP="00006713">
      <w:pPr>
        <w:pStyle w:val="L1-FlLSp12"/>
      </w:pPr>
    </w:p>
    <w:p w14:paraId="61734107" w14:textId="77777777" w:rsidR="00006713" w:rsidRDefault="00006713" w:rsidP="00006713">
      <w:pPr>
        <w:pStyle w:val="TT-TableTitle"/>
      </w:pPr>
      <w:r w:rsidRPr="00CB3105">
        <w:t>Table 1.</w:t>
      </w:r>
      <w:r>
        <w:tab/>
      </w:r>
      <w:r w:rsidRPr="00CB3105">
        <w:t>Description of healthcare professional groups</w:t>
      </w:r>
    </w:p>
    <w:p w14:paraId="1D9283AF" w14:textId="77777777" w:rsidR="00006713" w:rsidRPr="00CB3105" w:rsidRDefault="00006713" w:rsidP="00006713">
      <w:pPr>
        <w:pStyle w:val="TT-TableTitle"/>
      </w:pPr>
    </w:p>
    <w:tbl>
      <w:tblPr>
        <w:tblW w:w="5000" w:type="pct"/>
        <w:tblCellMar>
          <w:top w:w="72" w:type="dxa"/>
          <w:left w:w="115" w:type="dxa"/>
          <w:bottom w:w="72" w:type="dxa"/>
          <w:right w:w="115" w:type="dxa"/>
        </w:tblCellMar>
        <w:tblLook w:val="04A0" w:firstRow="1" w:lastRow="0" w:firstColumn="1" w:lastColumn="0" w:noHBand="0" w:noVBand="1"/>
      </w:tblPr>
      <w:tblGrid>
        <w:gridCol w:w="4335"/>
        <w:gridCol w:w="5255"/>
      </w:tblGrid>
      <w:tr w:rsidR="00006713" w14:paraId="4FA59D53" w14:textId="77777777" w:rsidTr="008A36F3">
        <w:tc>
          <w:tcPr>
            <w:tcW w:w="2260" w:type="pct"/>
            <w:tcBorders>
              <w:top w:val="single" w:sz="4" w:space="0" w:color="auto"/>
              <w:bottom w:val="single" w:sz="4" w:space="0" w:color="auto"/>
            </w:tcBorders>
            <w:shd w:val="clear" w:color="auto" w:fill="AFBED7"/>
          </w:tcPr>
          <w:p w14:paraId="18D297C2" w14:textId="77777777" w:rsidR="00006713" w:rsidRPr="00727CE0" w:rsidRDefault="00006713" w:rsidP="008A36F3">
            <w:pPr>
              <w:pStyle w:val="TH-TableHeading"/>
            </w:pPr>
            <w:r>
              <w:t>Healthcare professional</w:t>
            </w:r>
            <w:r w:rsidRPr="00727CE0">
              <w:t xml:space="preserve"> </w:t>
            </w:r>
            <w:r>
              <w:t>g</w:t>
            </w:r>
            <w:r w:rsidRPr="00727CE0">
              <w:t>roup</w:t>
            </w:r>
          </w:p>
        </w:tc>
        <w:tc>
          <w:tcPr>
            <w:tcW w:w="2740" w:type="pct"/>
            <w:tcBorders>
              <w:top w:val="single" w:sz="4" w:space="0" w:color="auto"/>
              <w:bottom w:val="single" w:sz="4" w:space="0" w:color="auto"/>
            </w:tcBorders>
            <w:shd w:val="clear" w:color="auto" w:fill="AFBED7"/>
          </w:tcPr>
          <w:p w14:paraId="6214B661" w14:textId="77777777" w:rsidR="00006713" w:rsidRPr="00727CE0" w:rsidRDefault="00006713" w:rsidP="008A36F3">
            <w:pPr>
              <w:pStyle w:val="TH-TableHeading"/>
            </w:pPr>
            <w:r w:rsidRPr="00727CE0">
              <w:t xml:space="preserve">Included </w:t>
            </w:r>
            <w:r>
              <w:t>s</w:t>
            </w:r>
            <w:r w:rsidRPr="00727CE0">
              <w:t>pecialties</w:t>
            </w:r>
          </w:p>
        </w:tc>
      </w:tr>
      <w:tr w:rsidR="00006713" w14:paraId="601E7D6F" w14:textId="77777777" w:rsidTr="008A36F3">
        <w:trPr>
          <w:trHeight w:val="242"/>
        </w:trPr>
        <w:tc>
          <w:tcPr>
            <w:tcW w:w="2260" w:type="pct"/>
            <w:tcBorders>
              <w:top w:val="single" w:sz="4" w:space="0" w:color="auto"/>
            </w:tcBorders>
          </w:tcPr>
          <w:p w14:paraId="1F915D2F" w14:textId="77777777" w:rsidR="00006713" w:rsidRPr="00727CE0" w:rsidRDefault="00006713" w:rsidP="008A36F3">
            <w:pPr>
              <w:pStyle w:val="TX-TableText"/>
            </w:pPr>
            <w:r w:rsidRPr="00727CE0">
              <w:t xml:space="preserve">Primary Care </w:t>
            </w:r>
            <w:r>
              <w:t xml:space="preserve">Physicians </w:t>
            </w:r>
            <w:r w:rsidRPr="00727CE0">
              <w:t>(PCPs)</w:t>
            </w:r>
          </w:p>
        </w:tc>
        <w:tc>
          <w:tcPr>
            <w:tcW w:w="2740" w:type="pct"/>
            <w:tcBorders>
              <w:top w:val="single" w:sz="4" w:space="0" w:color="auto"/>
            </w:tcBorders>
          </w:tcPr>
          <w:p w14:paraId="26B09A5C" w14:textId="77777777" w:rsidR="00006713" w:rsidRPr="00727CE0" w:rsidRDefault="00006713" w:rsidP="008A36F3">
            <w:pPr>
              <w:pStyle w:val="TX-TableText"/>
            </w:pPr>
            <w:r w:rsidRPr="00727CE0">
              <w:t>General practitioner, family medicine, internal medicine</w:t>
            </w:r>
          </w:p>
        </w:tc>
      </w:tr>
      <w:tr w:rsidR="00006713" w14:paraId="2CCFDD6E" w14:textId="77777777" w:rsidTr="008A36F3">
        <w:tc>
          <w:tcPr>
            <w:tcW w:w="2260" w:type="pct"/>
          </w:tcPr>
          <w:p w14:paraId="0CBEE624" w14:textId="77777777" w:rsidR="00006713" w:rsidRPr="00727CE0" w:rsidRDefault="00006713" w:rsidP="008A36F3">
            <w:pPr>
              <w:pStyle w:val="TX-TableText"/>
            </w:pPr>
            <w:r>
              <w:t>Specialists (SPs)</w:t>
            </w:r>
          </w:p>
        </w:tc>
        <w:tc>
          <w:tcPr>
            <w:tcW w:w="2740" w:type="pct"/>
          </w:tcPr>
          <w:p w14:paraId="128FAC40" w14:textId="77777777" w:rsidR="00006713" w:rsidRPr="00727CE0" w:rsidRDefault="00006713" w:rsidP="008A36F3">
            <w:pPr>
              <w:pStyle w:val="TX-TableText"/>
            </w:pPr>
            <w:r w:rsidRPr="00727CE0">
              <w:t>Cardiologists, dermatologists, endocrinologists, neurologists, OB/GYN, oncologists, ophthalmolog</w:t>
            </w:r>
            <w:r>
              <w:t>ists</w:t>
            </w:r>
            <w:r w:rsidRPr="00727CE0">
              <w:t>, psychiatrists, rheumatologists, urologists</w:t>
            </w:r>
          </w:p>
        </w:tc>
      </w:tr>
      <w:tr w:rsidR="00006713" w14:paraId="741E5AAB" w14:textId="77777777" w:rsidTr="008A36F3">
        <w:tc>
          <w:tcPr>
            <w:tcW w:w="2260" w:type="pct"/>
          </w:tcPr>
          <w:p w14:paraId="3D6E980F" w14:textId="77777777" w:rsidR="00006713" w:rsidRPr="00727CE0" w:rsidRDefault="00006713" w:rsidP="008A36F3">
            <w:pPr>
              <w:pStyle w:val="TX-TableText"/>
            </w:pPr>
            <w:r>
              <w:t>Physician</w:t>
            </w:r>
            <w:r w:rsidRPr="00727CE0">
              <w:t xml:space="preserve"> Assistants (PAs)</w:t>
            </w:r>
          </w:p>
        </w:tc>
        <w:tc>
          <w:tcPr>
            <w:tcW w:w="2740" w:type="pct"/>
          </w:tcPr>
          <w:p w14:paraId="56CC3BC8" w14:textId="77777777" w:rsidR="00006713" w:rsidRPr="00727CE0" w:rsidRDefault="00006713" w:rsidP="008A36F3">
            <w:pPr>
              <w:pStyle w:val="TX-TableText"/>
            </w:pPr>
          </w:p>
        </w:tc>
      </w:tr>
      <w:tr w:rsidR="00006713" w14:paraId="01CBBEF5" w14:textId="77777777" w:rsidTr="008A36F3">
        <w:tc>
          <w:tcPr>
            <w:tcW w:w="2260" w:type="pct"/>
            <w:tcBorders>
              <w:bottom w:val="single" w:sz="4" w:space="0" w:color="auto"/>
            </w:tcBorders>
          </w:tcPr>
          <w:p w14:paraId="4B894B5B" w14:textId="77777777" w:rsidR="00006713" w:rsidRPr="00727CE0" w:rsidRDefault="00006713" w:rsidP="008A36F3">
            <w:pPr>
              <w:pStyle w:val="TX-TableText"/>
            </w:pPr>
            <w:r w:rsidRPr="00727CE0">
              <w:t>Nurse Practitioners (NPs)</w:t>
            </w:r>
          </w:p>
        </w:tc>
        <w:tc>
          <w:tcPr>
            <w:tcW w:w="2740" w:type="pct"/>
            <w:tcBorders>
              <w:bottom w:val="single" w:sz="4" w:space="0" w:color="auto"/>
            </w:tcBorders>
          </w:tcPr>
          <w:p w14:paraId="6D1CB800" w14:textId="77777777" w:rsidR="00006713" w:rsidRPr="00727CE0" w:rsidRDefault="00006713" w:rsidP="008A36F3">
            <w:pPr>
              <w:pStyle w:val="TX-TableText"/>
            </w:pPr>
          </w:p>
        </w:tc>
      </w:tr>
    </w:tbl>
    <w:p w14:paraId="65A00C4A" w14:textId="77777777" w:rsidR="00006713" w:rsidRPr="000852DA" w:rsidRDefault="00006713" w:rsidP="00006713">
      <w:pPr>
        <w:pStyle w:val="L1-FlLSp12"/>
      </w:pPr>
    </w:p>
    <w:p w14:paraId="6C8C1BE0" w14:textId="022548A1" w:rsidR="00006713" w:rsidRPr="00006713" w:rsidRDefault="00006713" w:rsidP="00DB3D01">
      <w:pPr>
        <w:pStyle w:val="L1-FlLSp12"/>
        <w:spacing w:line="240" w:lineRule="auto"/>
        <w:ind w:left="720"/>
        <w:rPr>
          <w:rFonts w:ascii="Times New Roman" w:hAnsi="Times New Roman"/>
          <w:b/>
        </w:rPr>
      </w:pPr>
      <w:r w:rsidRPr="00006713">
        <w:rPr>
          <w:rFonts w:ascii="Times New Roman" w:hAnsi="Times New Roman"/>
          <w:b/>
        </w:rPr>
        <w:t>Sampling.</w:t>
      </w:r>
      <w:r w:rsidRPr="00006713">
        <w:rPr>
          <w:rFonts w:ascii="Times New Roman" w:hAnsi="Times New Roman"/>
        </w:rPr>
        <w:t xml:space="preserve"> The sample of healthcare professionals for the pretest and the main survey will be drawn from WebMD’s Medscape subscriber network, a group of HCPs who have opted in to receive medical news and drug updates. Using a prequalification screener, sampled HCPs in WebMD’s network will be screened to determine their eligibility for the study. (See </w:t>
      </w:r>
      <w:r w:rsidR="00383C24">
        <w:rPr>
          <w:rFonts w:ascii="Times New Roman" w:hAnsi="Times New Roman"/>
        </w:rPr>
        <w:t>Appendix</w:t>
      </w:r>
      <w:r w:rsidRPr="00006713">
        <w:rPr>
          <w:rFonts w:ascii="Times New Roman" w:hAnsi="Times New Roman"/>
        </w:rPr>
        <w:t xml:space="preserve"> B for </w:t>
      </w:r>
      <w:r w:rsidR="00383C24">
        <w:rPr>
          <w:rFonts w:ascii="Times New Roman" w:hAnsi="Times New Roman"/>
        </w:rPr>
        <w:t>screener.</w:t>
      </w:r>
      <w:r w:rsidRPr="00006713">
        <w:rPr>
          <w:rFonts w:ascii="Times New Roman" w:hAnsi="Times New Roman"/>
        </w:rPr>
        <w:t xml:space="preserve">) The pretest will be conducted prior to the main </w:t>
      </w:r>
      <w:r w:rsidRPr="00006713">
        <w:rPr>
          <w:rFonts w:ascii="Times New Roman" w:hAnsi="Times New Roman"/>
        </w:rPr>
        <w:lastRenderedPageBreak/>
        <w:t xml:space="preserve">study to test data collection process. The pretest sample (n=25) will not overlap with </w:t>
      </w:r>
      <w:r w:rsidR="000A4E9E">
        <w:rPr>
          <w:rFonts w:ascii="Times New Roman" w:hAnsi="Times New Roman"/>
        </w:rPr>
        <w:t xml:space="preserve">the </w:t>
      </w:r>
      <w:r w:rsidRPr="00006713">
        <w:rPr>
          <w:rFonts w:ascii="Times New Roman" w:hAnsi="Times New Roman"/>
        </w:rPr>
        <w:t>main study sample (n=2000).</w:t>
      </w:r>
    </w:p>
    <w:p w14:paraId="11BC67FD" w14:textId="77777777" w:rsidR="00006713" w:rsidRDefault="00006713" w:rsidP="00006713">
      <w:pPr>
        <w:pStyle w:val="L1-FlLSp12"/>
        <w:spacing w:line="240" w:lineRule="auto"/>
        <w:rPr>
          <w:rFonts w:ascii="Times New Roman" w:hAnsi="Times New Roman"/>
        </w:rPr>
      </w:pPr>
    </w:p>
    <w:p w14:paraId="33E59B1E" w14:textId="02F092E2" w:rsidR="00006713" w:rsidRPr="00006713" w:rsidRDefault="00006713" w:rsidP="00DB3D01">
      <w:pPr>
        <w:pStyle w:val="L1-FlLSp12"/>
        <w:spacing w:line="240" w:lineRule="auto"/>
        <w:ind w:left="720"/>
        <w:rPr>
          <w:rFonts w:ascii="Times New Roman" w:hAnsi="Times New Roman"/>
        </w:rPr>
      </w:pPr>
      <w:r w:rsidRPr="00006713">
        <w:rPr>
          <w:rFonts w:ascii="Times New Roman" w:hAnsi="Times New Roman"/>
        </w:rPr>
        <w:t xml:space="preserve">In considering options for the sample, we considered WebMD’s network, GfK’s pre-recruited healthcare research panel, and two lists of providers—AMA’s Masterfile and the National Provider Identifier (NPI) individual-level file. The AMA Masterfile has high coverage of physicians but contains inaccurate and out-of-date contact information. With the NPI file, there is no concerted effort to keep the contact information updated and over-coverage (e.g., of those no longer practicing) is a concern. Additionally, while these files contain physicians, they do not include PAs or NPs, and therefore other sampling frames would be required. The limitations of these files, the challenges of recruiting the target population, and the costs involved with recruiting large samples led us to consider WebMD’s Medscape subscriber network and GfK’s healthcare research panel. Both WebMD’s network and GfK’s healthcare research panel offer the advantage of having current contact information (namely email) that can </w:t>
      </w:r>
      <w:r w:rsidR="000A4E9E">
        <w:rPr>
          <w:rFonts w:ascii="Times New Roman" w:hAnsi="Times New Roman"/>
        </w:rPr>
        <w:t xml:space="preserve">be </w:t>
      </w:r>
      <w:r w:rsidRPr="00006713">
        <w:rPr>
          <w:rFonts w:ascii="Times New Roman" w:hAnsi="Times New Roman"/>
        </w:rPr>
        <w:t>used to invite potential respondents to complete the prequalification screener. However, WebMD offers considerably higher coverage of the study population (see Table 2). In addition, WebMD’s network may be less susceptible to selection bias, as recruited research panel members (such as those participating in GfK’s panel) enroll specifically to participate in surveys and other research activities.</w:t>
      </w:r>
    </w:p>
    <w:p w14:paraId="0A7C953C" w14:textId="77777777" w:rsidR="00006713" w:rsidRDefault="00006713" w:rsidP="00006713"/>
    <w:p w14:paraId="6875CF46" w14:textId="77777777" w:rsidR="00006713" w:rsidRDefault="00006713" w:rsidP="00006713">
      <w:pPr>
        <w:pStyle w:val="TT-TableTitle"/>
      </w:pPr>
      <w:r w:rsidRPr="007A76BF">
        <w:t>T</w:t>
      </w:r>
      <w:r>
        <w:t>able 2.</w:t>
      </w:r>
      <w:r>
        <w:tab/>
      </w:r>
      <w:r w:rsidRPr="007A76BF">
        <w:t>U.S.</w:t>
      </w:r>
      <w:r>
        <w:t xml:space="preserve"> h</w:t>
      </w:r>
      <w:r w:rsidRPr="007A76BF">
        <w:t xml:space="preserve">ealthcare </w:t>
      </w:r>
      <w:r>
        <w:t>p</w:t>
      </w:r>
      <w:r w:rsidRPr="007A76BF">
        <w:t xml:space="preserve">rofessionals: Vendor </w:t>
      </w:r>
      <w:r>
        <w:t>c</w:t>
      </w:r>
      <w:r w:rsidRPr="007A76BF">
        <w:t>ounts</w:t>
      </w:r>
      <w:r>
        <w:t xml:space="preserve"> and</w:t>
      </w:r>
      <w:r w:rsidRPr="007A76BF">
        <w:t xml:space="preserve"> </w:t>
      </w:r>
      <w:r>
        <w:t>e</w:t>
      </w:r>
      <w:r w:rsidRPr="007A76BF">
        <w:t xml:space="preserve">stimated </w:t>
      </w:r>
      <w:r>
        <w:t>po</w:t>
      </w:r>
      <w:r w:rsidRPr="007A76BF">
        <w:t xml:space="preserve">pulation </w:t>
      </w:r>
      <w:r>
        <w:t>totals</w:t>
      </w:r>
    </w:p>
    <w:p w14:paraId="0A9D9E47" w14:textId="77777777" w:rsidR="00006713" w:rsidRPr="007A76BF" w:rsidRDefault="00006713" w:rsidP="00006713">
      <w:pPr>
        <w:pStyle w:val="TT-TableTitle"/>
      </w:pPr>
    </w:p>
    <w:tbl>
      <w:tblPr>
        <w:tblW w:w="5000" w:type="pct"/>
        <w:tblBorders>
          <w:top w:val="single" w:sz="4" w:space="0" w:color="auto"/>
          <w:bottom w:val="single" w:sz="4" w:space="0" w:color="auto"/>
        </w:tblBorders>
        <w:tblLook w:val="04A0" w:firstRow="1" w:lastRow="0" w:firstColumn="1" w:lastColumn="0" w:noHBand="0" w:noVBand="1"/>
      </w:tblPr>
      <w:tblGrid>
        <w:gridCol w:w="2394"/>
        <w:gridCol w:w="1731"/>
        <w:gridCol w:w="2178"/>
        <w:gridCol w:w="3273"/>
      </w:tblGrid>
      <w:tr w:rsidR="00006713" w:rsidRPr="00EA5297" w14:paraId="7A74938D" w14:textId="77777777" w:rsidTr="008A36F3">
        <w:tc>
          <w:tcPr>
            <w:tcW w:w="1250" w:type="pct"/>
            <w:vMerge w:val="restart"/>
            <w:tcBorders>
              <w:top w:val="single" w:sz="4" w:space="0" w:color="auto"/>
              <w:bottom w:val="single" w:sz="4" w:space="0" w:color="auto"/>
            </w:tcBorders>
            <w:shd w:val="clear" w:color="auto" w:fill="AFBED7"/>
            <w:vAlign w:val="bottom"/>
          </w:tcPr>
          <w:p w14:paraId="5BCDC835" w14:textId="77777777" w:rsidR="00006713" w:rsidRPr="00EA5297" w:rsidRDefault="00006713" w:rsidP="008A36F3">
            <w:pPr>
              <w:pStyle w:val="TH-TableHeading"/>
            </w:pPr>
          </w:p>
        </w:tc>
        <w:tc>
          <w:tcPr>
            <w:tcW w:w="2041" w:type="pct"/>
            <w:gridSpan w:val="2"/>
            <w:tcBorders>
              <w:top w:val="single" w:sz="4" w:space="0" w:color="auto"/>
              <w:bottom w:val="single" w:sz="4" w:space="0" w:color="auto"/>
            </w:tcBorders>
            <w:shd w:val="clear" w:color="auto" w:fill="AFBED7"/>
          </w:tcPr>
          <w:p w14:paraId="00867EDC" w14:textId="77777777" w:rsidR="00006713" w:rsidRPr="00EA5297" w:rsidRDefault="00006713" w:rsidP="008A36F3">
            <w:pPr>
              <w:pStyle w:val="TH-TableHeading"/>
            </w:pPr>
            <w:r>
              <w:t>Vendor c</w:t>
            </w:r>
            <w:r w:rsidRPr="00EA5297">
              <w:t>ounts</w:t>
            </w:r>
          </w:p>
        </w:tc>
        <w:tc>
          <w:tcPr>
            <w:tcW w:w="1709" w:type="pct"/>
            <w:vMerge w:val="restart"/>
            <w:tcBorders>
              <w:top w:val="single" w:sz="4" w:space="0" w:color="auto"/>
              <w:bottom w:val="single" w:sz="4" w:space="0" w:color="auto"/>
            </w:tcBorders>
            <w:shd w:val="clear" w:color="auto" w:fill="AFBED7"/>
            <w:vAlign w:val="bottom"/>
          </w:tcPr>
          <w:p w14:paraId="42BD7D16" w14:textId="77777777" w:rsidR="00006713" w:rsidRPr="00EA5297" w:rsidRDefault="00006713" w:rsidP="008A36F3">
            <w:pPr>
              <w:pStyle w:val="TH-TableHeading"/>
            </w:pPr>
            <w:r w:rsidRPr="00EA5297">
              <w:t xml:space="preserve">Estimated </w:t>
            </w:r>
            <w:r>
              <w:t>p</w:t>
            </w:r>
            <w:r w:rsidRPr="00EA5297">
              <w:t xml:space="preserve">opulation </w:t>
            </w:r>
            <w:r>
              <w:t>t</w:t>
            </w:r>
            <w:r w:rsidRPr="00EA5297">
              <w:t>otals</w:t>
            </w:r>
          </w:p>
        </w:tc>
      </w:tr>
      <w:tr w:rsidR="00006713" w:rsidRPr="00EA5297" w14:paraId="4BD26B2A" w14:textId="77777777" w:rsidTr="008A36F3">
        <w:tc>
          <w:tcPr>
            <w:tcW w:w="1250" w:type="pct"/>
            <w:vMerge/>
            <w:tcBorders>
              <w:top w:val="single" w:sz="4" w:space="0" w:color="auto"/>
              <w:bottom w:val="single" w:sz="4" w:space="0" w:color="auto"/>
            </w:tcBorders>
            <w:shd w:val="clear" w:color="auto" w:fill="AFBED7"/>
            <w:hideMark/>
          </w:tcPr>
          <w:p w14:paraId="654D765E" w14:textId="77777777" w:rsidR="00006713" w:rsidRPr="00EA5297" w:rsidRDefault="00006713" w:rsidP="008A36F3">
            <w:pPr>
              <w:pStyle w:val="TH-TableHeading"/>
            </w:pPr>
          </w:p>
        </w:tc>
        <w:tc>
          <w:tcPr>
            <w:tcW w:w="904" w:type="pct"/>
            <w:tcBorders>
              <w:top w:val="single" w:sz="4" w:space="0" w:color="auto"/>
              <w:bottom w:val="single" w:sz="4" w:space="0" w:color="auto"/>
            </w:tcBorders>
            <w:shd w:val="clear" w:color="auto" w:fill="AFBED7"/>
            <w:hideMark/>
          </w:tcPr>
          <w:p w14:paraId="67C2CE96" w14:textId="77777777" w:rsidR="00006713" w:rsidRPr="00EA5297" w:rsidRDefault="00006713" w:rsidP="008A36F3">
            <w:pPr>
              <w:pStyle w:val="TH-TableHeading"/>
            </w:pPr>
            <w:r w:rsidRPr="00EA5297">
              <w:t>WebMD</w:t>
            </w:r>
            <w:r w:rsidRPr="00500296">
              <w:rPr>
                <w:vertAlign w:val="superscript"/>
              </w:rPr>
              <w:t>1</w:t>
            </w:r>
          </w:p>
        </w:tc>
        <w:tc>
          <w:tcPr>
            <w:tcW w:w="1137" w:type="pct"/>
            <w:tcBorders>
              <w:top w:val="single" w:sz="4" w:space="0" w:color="auto"/>
              <w:bottom w:val="single" w:sz="4" w:space="0" w:color="auto"/>
            </w:tcBorders>
            <w:shd w:val="clear" w:color="auto" w:fill="AFBED7"/>
            <w:hideMark/>
          </w:tcPr>
          <w:p w14:paraId="377C338C" w14:textId="77777777" w:rsidR="00006713" w:rsidRPr="00EA5297" w:rsidRDefault="00006713" w:rsidP="008A36F3">
            <w:pPr>
              <w:pStyle w:val="TH-TableHeading"/>
            </w:pPr>
            <w:r w:rsidRPr="00EA5297">
              <w:t>GfK</w:t>
            </w:r>
            <w:r w:rsidRPr="00500296">
              <w:rPr>
                <w:vertAlign w:val="superscript"/>
              </w:rPr>
              <w:t>1</w:t>
            </w:r>
          </w:p>
        </w:tc>
        <w:tc>
          <w:tcPr>
            <w:tcW w:w="1709" w:type="pct"/>
            <w:vMerge/>
            <w:tcBorders>
              <w:top w:val="single" w:sz="4" w:space="0" w:color="auto"/>
              <w:bottom w:val="single" w:sz="4" w:space="0" w:color="auto"/>
            </w:tcBorders>
            <w:shd w:val="clear" w:color="auto" w:fill="AFBED7"/>
            <w:hideMark/>
          </w:tcPr>
          <w:p w14:paraId="32D260A5" w14:textId="77777777" w:rsidR="00006713" w:rsidRPr="00EA5297" w:rsidRDefault="00006713" w:rsidP="008A36F3">
            <w:pPr>
              <w:pStyle w:val="TH-TableHeading"/>
            </w:pPr>
          </w:p>
        </w:tc>
      </w:tr>
      <w:tr w:rsidR="00006713" w:rsidRPr="00EA5297" w14:paraId="103AD6CB" w14:textId="77777777" w:rsidTr="008A36F3">
        <w:trPr>
          <w:trHeight w:val="20"/>
        </w:trPr>
        <w:tc>
          <w:tcPr>
            <w:tcW w:w="1250" w:type="pct"/>
            <w:tcBorders>
              <w:top w:val="single" w:sz="4" w:space="0" w:color="auto"/>
            </w:tcBorders>
            <w:hideMark/>
          </w:tcPr>
          <w:p w14:paraId="62660033" w14:textId="77777777" w:rsidR="00006713" w:rsidRPr="001620C4" w:rsidRDefault="00006713" w:rsidP="008A36F3">
            <w:pPr>
              <w:pStyle w:val="TX-TableText"/>
            </w:pPr>
            <w:r w:rsidRPr="001620C4">
              <w:t>Primary care providers</w:t>
            </w:r>
          </w:p>
        </w:tc>
        <w:tc>
          <w:tcPr>
            <w:tcW w:w="904" w:type="pct"/>
            <w:tcBorders>
              <w:top w:val="single" w:sz="4" w:space="0" w:color="auto"/>
            </w:tcBorders>
            <w:hideMark/>
          </w:tcPr>
          <w:p w14:paraId="7E228B7A" w14:textId="77777777" w:rsidR="00006713" w:rsidRPr="001620C4" w:rsidRDefault="00006713" w:rsidP="008A36F3">
            <w:pPr>
              <w:pStyle w:val="TX-TableText"/>
              <w:tabs>
                <w:tab w:val="decimal" w:pos="1066"/>
              </w:tabs>
            </w:pPr>
            <w:r w:rsidRPr="001620C4">
              <w:t>197,980</w:t>
            </w:r>
          </w:p>
        </w:tc>
        <w:tc>
          <w:tcPr>
            <w:tcW w:w="1137" w:type="pct"/>
            <w:tcBorders>
              <w:top w:val="single" w:sz="4" w:space="0" w:color="auto"/>
            </w:tcBorders>
            <w:hideMark/>
          </w:tcPr>
          <w:p w14:paraId="0E4DB731" w14:textId="77777777" w:rsidR="00006713" w:rsidRPr="001620C4" w:rsidRDefault="00006713" w:rsidP="008A36F3">
            <w:pPr>
              <w:pStyle w:val="TX-TableText"/>
              <w:tabs>
                <w:tab w:val="decimal" w:pos="1171"/>
              </w:tabs>
            </w:pPr>
            <w:r w:rsidRPr="001620C4">
              <w:t>25,000</w:t>
            </w:r>
          </w:p>
        </w:tc>
        <w:tc>
          <w:tcPr>
            <w:tcW w:w="1709" w:type="pct"/>
            <w:tcBorders>
              <w:top w:val="single" w:sz="4" w:space="0" w:color="auto"/>
            </w:tcBorders>
            <w:hideMark/>
          </w:tcPr>
          <w:p w14:paraId="56798D9E" w14:textId="77777777" w:rsidR="00006713" w:rsidRPr="001620C4" w:rsidRDefault="00006713" w:rsidP="008A36F3">
            <w:pPr>
              <w:pStyle w:val="TX-TableText"/>
              <w:tabs>
                <w:tab w:val="decimal" w:pos="2102"/>
              </w:tabs>
            </w:pPr>
            <w:r w:rsidRPr="001620C4">
              <w:t>242,800</w:t>
            </w:r>
            <w:r w:rsidRPr="001620C4">
              <w:rPr>
                <w:vertAlign w:val="superscript"/>
              </w:rPr>
              <w:t>2</w:t>
            </w:r>
          </w:p>
        </w:tc>
      </w:tr>
      <w:tr w:rsidR="00006713" w:rsidRPr="00EA5297" w14:paraId="4F9F6451" w14:textId="77777777" w:rsidTr="008A36F3">
        <w:trPr>
          <w:trHeight w:val="20"/>
        </w:trPr>
        <w:tc>
          <w:tcPr>
            <w:tcW w:w="1250" w:type="pct"/>
            <w:hideMark/>
          </w:tcPr>
          <w:p w14:paraId="3C4EEEE8" w14:textId="77777777" w:rsidR="00006713" w:rsidRPr="001620C4" w:rsidRDefault="00006713" w:rsidP="008A36F3">
            <w:pPr>
              <w:pStyle w:val="TX-TableText"/>
            </w:pPr>
            <w:r w:rsidRPr="001620C4">
              <w:t xml:space="preserve">Specialists </w:t>
            </w:r>
          </w:p>
        </w:tc>
        <w:tc>
          <w:tcPr>
            <w:tcW w:w="904" w:type="pct"/>
            <w:hideMark/>
          </w:tcPr>
          <w:p w14:paraId="3B3006DC" w14:textId="77777777" w:rsidR="00006713" w:rsidRPr="001620C4" w:rsidRDefault="00006713" w:rsidP="008A36F3">
            <w:pPr>
              <w:pStyle w:val="TX-TableText"/>
              <w:tabs>
                <w:tab w:val="decimal" w:pos="1066"/>
              </w:tabs>
            </w:pPr>
            <w:r w:rsidRPr="001620C4">
              <w:t>465,020</w:t>
            </w:r>
          </w:p>
        </w:tc>
        <w:tc>
          <w:tcPr>
            <w:tcW w:w="1137" w:type="pct"/>
            <w:hideMark/>
          </w:tcPr>
          <w:p w14:paraId="3C83F1D3" w14:textId="77777777" w:rsidR="00006713" w:rsidRPr="001620C4" w:rsidRDefault="00006713" w:rsidP="008A36F3">
            <w:pPr>
              <w:pStyle w:val="TX-TableText"/>
              <w:tabs>
                <w:tab w:val="decimal" w:pos="1171"/>
              </w:tabs>
            </w:pPr>
            <w:r w:rsidRPr="001620C4">
              <w:t>63,000</w:t>
            </w:r>
          </w:p>
        </w:tc>
        <w:tc>
          <w:tcPr>
            <w:tcW w:w="1709" w:type="pct"/>
            <w:hideMark/>
          </w:tcPr>
          <w:p w14:paraId="2CE10591" w14:textId="77777777" w:rsidR="00006713" w:rsidRPr="001620C4" w:rsidRDefault="00006713" w:rsidP="008A36F3">
            <w:pPr>
              <w:pStyle w:val="TX-TableText"/>
              <w:tabs>
                <w:tab w:val="decimal" w:pos="2102"/>
              </w:tabs>
            </w:pPr>
            <w:r w:rsidRPr="001620C4">
              <w:t>724,249</w:t>
            </w:r>
            <w:r w:rsidRPr="001620C4">
              <w:rPr>
                <w:vertAlign w:val="superscript"/>
              </w:rPr>
              <w:t>2</w:t>
            </w:r>
          </w:p>
        </w:tc>
      </w:tr>
      <w:tr w:rsidR="00006713" w:rsidRPr="00EA5297" w14:paraId="1FCDB1B5" w14:textId="77777777" w:rsidTr="008A36F3">
        <w:trPr>
          <w:trHeight w:val="20"/>
        </w:trPr>
        <w:tc>
          <w:tcPr>
            <w:tcW w:w="1250" w:type="pct"/>
            <w:hideMark/>
          </w:tcPr>
          <w:p w14:paraId="30D84CB2" w14:textId="77777777" w:rsidR="00006713" w:rsidRPr="001620C4" w:rsidRDefault="00006713" w:rsidP="008A36F3">
            <w:pPr>
              <w:pStyle w:val="TX-TableText"/>
            </w:pPr>
            <w:r>
              <w:t>Physician</w:t>
            </w:r>
            <w:r w:rsidRPr="001620C4">
              <w:t xml:space="preserve"> assistants</w:t>
            </w:r>
          </w:p>
        </w:tc>
        <w:tc>
          <w:tcPr>
            <w:tcW w:w="904" w:type="pct"/>
            <w:hideMark/>
          </w:tcPr>
          <w:p w14:paraId="75031743" w14:textId="77777777" w:rsidR="00006713" w:rsidRPr="001620C4" w:rsidRDefault="00006713" w:rsidP="008A36F3">
            <w:pPr>
              <w:pStyle w:val="TX-TableText"/>
              <w:tabs>
                <w:tab w:val="decimal" w:pos="1066"/>
              </w:tabs>
            </w:pPr>
            <w:r w:rsidRPr="001620C4">
              <w:t>62,874</w:t>
            </w:r>
          </w:p>
        </w:tc>
        <w:tc>
          <w:tcPr>
            <w:tcW w:w="1137" w:type="pct"/>
            <w:hideMark/>
          </w:tcPr>
          <w:p w14:paraId="12A053F0" w14:textId="77777777" w:rsidR="00006713" w:rsidRPr="001620C4" w:rsidRDefault="00006713" w:rsidP="008A36F3">
            <w:pPr>
              <w:pStyle w:val="TX-TableText"/>
              <w:tabs>
                <w:tab w:val="decimal" w:pos="1171"/>
              </w:tabs>
            </w:pPr>
            <w:r w:rsidRPr="001620C4">
              <w:t>1,406</w:t>
            </w:r>
          </w:p>
        </w:tc>
        <w:tc>
          <w:tcPr>
            <w:tcW w:w="1709" w:type="pct"/>
            <w:hideMark/>
          </w:tcPr>
          <w:p w14:paraId="2BC0D590" w14:textId="77777777" w:rsidR="00006713" w:rsidRPr="001620C4" w:rsidRDefault="00006713" w:rsidP="008A36F3">
            <w:pPr>
              <w:pStyle w:val="TX-TableText"/>
              <w:tabs>
                <w:tab w:val="decimal" w:pos="2102"/>
              </w:tabs>
            </w:pPr>
            <w:r w:rsidRPr="001620C4">
              <w:t>92,000</w:t>
            </w:r>
            <w:r w:rsidRPr="001620C4">
              <w:rPr>
                <w:vertAlign w:val="superscript"/>
              </w:rPr>
              <w:t>3</w:t>
            </w:r>
          </w:p>
        </w:tc>
      </w:tr>
      <w:tr w:rsidR="00006713" w:rsidRPr="00EA5297" w14:paraId="018AA9E2" w14:textId="77777777" w:rsidTr="008A36F3">
        <w:trPr>
          <w:trHeight w:val="20"/>
        </w:trPr>
        <w:tc>
          <w:tcPr>
            <w:tcW w:w="1250" w:type="pct"/>
            <w:hideMark/>
          </w:tcPr>
          <w:p w14:paraId="31272FAB" w14:textId="77777777" w:rsidR="00006713" w:rsidRPr="001620C4" w:rsidRDefault="00006713" w:rsidP="008A36F3">
            <w:pPr>
              <w:pStyle w:val="TX-TableText"/>
            </w:pPr>
            <w:r w:rsidRPr="001620C4">
              <w:t>Nurse practitioners</w:t>
            </w:r>
          </w:p>
        </w:tc>
        <w:tc>
          <w:tcPr>
            <w:tcW w:w="904" w:type="pct"/>
            <w:hideMark/>
          </w:tcPr>
          <w:p w14:paraId="475C6E77" w14:textId="77777777" w:rsidR="00006713" w:rsidRPr="001620C4" w:rsidRDefault="00006713" w:rsidP="008A36F3">
            <w:pPr>
              <w:pStyle w:val="TX-TableText"/>
              <w:tabs>
                <w:tab w:val="decimal" w:pos="1066"/>
              </w:tabs>
            </w:pPr>
            <w:r w:rsidRPr="001620C4">
              <w:t>102,552</w:t>
            </w:r>
          </w:p>
        </w:tc>
        <w:tc>
          <w:tcPr>
            <w:tcW w:w="1137" w:type="pct"/>
            <w:hideMark/>
          </w:tcPr>
          <w:p w14:paraId="40069FAD" w14:textId="77777777" w:rsidR="00006713" w:rsidRPr="001620C4" w:rsidRDefault="00006713" w:rsidP="008A36F3">
            <w:pPr>
              <w:pStyle w:val="TX-TableText"/>
              <w:tabs>
                <w:tab w:val="decimal" w:pos="1171"/>
              </w:tabs>
            </w:pPr>
            <w:r w:rsidRPr="001620C4">
              <w:t>3,509</w:t>
            </w:r>
          </w:p>
        </w:tc>
        <w:tc>
          <w:tcPr>
            <w:tcW w:w="1709" w:type="pct"/>
            <w:hideMark/>
          </w:tcPr>
          <w:p w14:paraId="59287E85" w14:textId="77777777" w:rsidR="00006713" w:rsidRPr="001620C4" w:rsidRDefault="00006713" w:rsidP="008A36F3">
            <w:pPr>
              <w:pStyle w:val="TX-TableText"/>
              <w:tabs>
                <w:tab w:val="decimal" w:pos="2102"/>
              </w:tabs>
            </w:pPr>
            <w:r w:rsidRPr="001620C4">
              <w:t>220,000</w:t>
            </w:r>
            <w:r w:rsidRPr="001620C4">
              <w:rPr>
                <w:vertAlign w:val="superscript"/>
              </w:rPr>
              <w:t>4</w:t>
            </w:r>
          </w:p>
        </w:tc>
      </w:tr>
    </w:tbl>
    <w:p w14:paraId="3FA3F65A" w14:textId="77777777" w:rsidR="00006713" w:rsidRPr="00E06235" w:rsidRDefault="00006713" w:rsidP="00006713">
      <w:pPr>
        <w:pStyle w:val="TF-TblFN"/>
        <w:rPr>
          <w:rFonts w:eastAsiaTheme="minorHAnsi"/>
        </w:rPr>
      </w:pPr>
      <w:r w:rsidRPr="00E06235">
        <w:t xml:space="preserve">Sources: </w:t>
      </w:r>
    </w:p>
    <w:p w14:paraId="102EBDD4" w14:textId="77777777" w:rsidR="00006713" w:rsidRPr="00E06235" w:rsidRDefault="00006713" w:rsidP="00006713">
      <w:pPr>
        <w:pStyle w:val="TF-TblFN"/>
      </w:pPr>
      <w:r w:rsidRPr="00E06235">
        <w:rPr>
          <w:vertAlign w:val="superscript"/>
        </w:rPr>
        <w:t>1</w:t>
      </w:r>
      <w:r w:rsidRPr="00E06235">
        <w:t>WebMD and GfK counts were provided by these respective vendors.</w:t>
      </w:r>
    </w:p>
    <w:p w14:paraId="6C3538DE" w14:textId="77777777" w:rsidR="00006713" w:rsidRPr="00886412" w:rsidRDefault="00006713" w:rsidP="00006713">
      <w:pPr>
        <w:pStyle w:val="TF-TblFN"/>
        <w:rPr>
          <w:szCs w:val="16"/>
        </w:rPr>
      </w:pPr>
      <w:r w:rsidRPr="00E06235">
        <w:rPr>
          <w:vertAlign w:val="superscript"/>
        </w:rPr>
        <w:t>2</w:t>
      </w:r>
      <w:r w:rsidRPr="00E06235">
        <w:t>American Medical Association (</w:t>
      </w:r>
      <w:hyperlink r:id="rId9" w:history="1">
        <w:r w:rsidRPr="00303D35">
          <w:rPr>
            <w:rStyle w:val="Hyperlink"/>
            <w:szCs w:val="16"/>
          </w:rPr>
          <w:t>http://www.mmslists.com/data/countspdf/AMA-SpecialtyByTOPS.pdf</w:t>
        </w:r>
      </w:hyperlink>
      <w:r w:rsidRPr="00886412">
        <w:rPr>
          <w:szCs w:val="16"/>
        </w:rPr>
        <w:t>)</w:t>
      </w:r>
    </w:p>
    <w:p w14:paraId="50D38818" w14:textId="77777777" w:rsidR="00006713" w:rsidRPr="00E06235" w:rsidRDefault="00006713" w:rsidP="00006713">
      <w:pPr>
        <w:pStyle w:val="TF-TblFN"/>
      </w:pPr>
      <w:r w:rsidRPr="00303D35">
        <w:rPr>
          <w:szCs w:val="16"/>
          <w:vertAlign w:val="superscript"/>
        </w:rPr>
        <w:t>3</w:t>
      </w:r>
      <w:r w:rsidRPr="00303D35">
        <w:rPr>
          <w:szCs w:val="16"/>
        </w:rPr>
        <w:t>Kaiser Family Foundation (</w:t>
      </w:r>
      <w:hyperlink r:id="rId10" w:history="1">
        <w:r w:rsidRPr="00303D35">
          <w:rPr>
            <w:rStyle w:val="Hyperlink"/>
            <w:szCs w:val="16"/>
          </w:rPr>
          <w:t>http://kff.org/other/state-indicator/total-physician-assistants/?currentTimeframe=0&amp;sortModel=%7B%22colId%22:%22Location%22,%22sort%22:%22asc%22%7D</w:t>
        </w:r>
      </w:hyperlink>
      <w:r w:rsidRPr="00E06235">
        <w:t xml:space="preserve">) </w:t>
      </w:r>
    </w:p>
    <w:p w14:paraId="5E18ECD7" w14:textId="77777777" w:rsidR="00006713" w:rsidRPr="00E06235" w:rsidRDefault="00006713" w:rsidP="00006713">
      <w:pPr>
        <w:pStyle w:val="TF-TblFN"/>
      </w:pPr>
      <w:r w:rsidRPr="00E06235">
        <w:rPr>
          <w:vertAlign w:val="superscript"/>
        </w:rPr>
        <w:t>4</w:t>
      </w:r>
      <w:r w:rsidRPr="00E06235">
        <w:t>American Association of Nurse Practitioners</w:t>
      </w:r>
      <w:r w:rsidRPr="00886412">
        <w:rPr>
          <w:szCs w:val="16"/>
        </w:rPr>
        <w:t xml:space="preserve"> (</w:t>
      </w:r>
      <w:hyperlink r:id="rId11" w:history="1">
        <w:r w:rsidRPr="00303D35">
          <w:rPr>
            <w:rStyle w:val="Hyperlink"/>
            <w:szCs w:val="16"/>
          </w:rPr>
          <w:t>https://www.aanp.org/all-about-nps/np-fact-sheet</w:t>
        </w:r>
      </w:hyperlink>
      <w:r w:rsidRPr="00886412">
        <w:rPr>
          <w:szCs w:val="16"/>
        </w:rPr>
        <w:t>)</w:t>
      </w:r>
    </w:p>
    <w:p w14:paraId="7D42D210" w14:textId="77777777" w:rsidR="00006713" w:rsidRDefault="00006713" w:rsidP="00006713">
      <w:pPr>
        <w:pStyle w:val="L1-FlLSp12"/>
        <w:spacing w:line="240" w:lineRule="auto"/>
        <w:rPr>
          <w:i/>
        </w:rPr>
      </w:pPr>
    </w:p>
    <w:p w14:paraId="0781A77A" w14:textId="77777777" w:rsidR="00006713" w:rsidRPr="00383C24" w:rsidRDefault="00006713" w:rsidP="00DB3D01">
      <w:pPr>
        <w:pStyle w:val="L1-FlLSp12"/>
        <w:spacing w:line="240" w:lineRule="auto"/>
        <w:ind w:left="720"/>
        <w:rPr>
          <w:rFonts w:ascii="Times New Roman" w:hAnsi="Times New Roman"/>
        </w:rPr>
      </w:pPr>
      <w:r w:rsidRPr="00383C24">
        <w:rPr>
          <w:rFonts w:ascii="Times New Roman" w:hAnsi="Times New Roman"/>
          <w:b/>
        </w:rPr>
        <w:t>Weighting.</w:t>
      </w:r>
      <w:r w:rsidRPr="00383C24">
        <w:rPr>
          <w:rFonts w:ascii="Times New Roman" w:hAnsi="Times New Roman"/>
        </w:rPr>
        <w:t xml:space="preserve"> For the main study, weights will be computed for each completed interview. These weights will be used to generalize the completed interviews to a national population of PCPs, SPs, NPs, and PAs. The weights will account for unequal selection probabilities, and will adjust for differential response rates and differential coverage.</w:t>
      </w:r>
    </w:p>
    <w:p w14:paraId="1402A9F2" w14:textId="77777777" w:rsidR="00006713" w:rsidRPr="00383C24" w:rsidRDefault="00006713" w:rsidP="00383C24">
      <w:pPr>
        <w:pStyle w:val="L1-FlLSp12"/>
        <w:spacing w:line="240" w:lineRule="auto"/>
        <w:rPr>
          <w:rFonts w:ascii="Times New Roman" w:hAnsi="Times New Roman"/>
        </w:rPr>
      </w:pPr>
    </w:p>
    <w:p w14:paraId="453E6C59" w14:textId="77777777" w:rsidR="00006713" w:rsidRPr="00383C24" w:rsidRDefault="00006713" w:rsidP="00DB3D01">
      <w:pPr>
        <w:pStyle w:val="L1-FlLSp12"/>
        <w:spacing w:line="240" w:lineRule="auto"/>
        <w:ind w:left="720"/>
        <w:rPr>
          <w:rFonts w:ascii="Times New Roman" w:hAnsi="Times New Roman"/>
        </w:rPr>
      </w:pPr>
      <w:r w:rsidRPr="00383C24">
        <w:rPr>
          <w:rFonts w:ascii="Times New Roman" w:hAnsi="Times New Roman"/>
        </w:rPr>
        <w:t xml:space="preserve">The starting point will be the computation of a base weight for each completed interview, which will be the reciprocal of the final probability selection from the frame for the sample unit (accounting fully for utilization of reserve samples). These weights will be trimmed if necessary, and then calibrated to external control totals to adjust for differential nonresponse and differential coverage. The external control totals will be </w:t>
      </w:r>
      <w:r w:rsidRPr="00383C24">
        <w:rPr>
          <w:rFonts w:ascii="Times New Roman" w:hAnsi="Times New Roman"/>
        </w:rPr>
        <w:lastRenderedPageBreak/>
        <w:t>based on the dimensions of gender, age of the professional (divided into five categories</w:t>
      </w:r>
      <w:r w:rsidRPr="00383C24">
        <w:rPr>
          <w:rStyle w:val="FootnoteReference"/>
          <w:rFonts w:ascii="Times New Roman" w:hAnsi="Times New Roman"/>
        </w:rPr>
        <w:footnoteReference w:id="1"/>
      </w:r>
      <w:r w:rsidRPr="00383C24">
        <w:rPr>
          <w:rFonts w:ascii="Times New Roman" w:hAnsi="Times New Roman"/>
        </w:rPr>
        <w:t>), year of graduation, and the four U.S. Census Regions. The characteristics age of professional and year of graduation may be combined into a single dimension as they may be highly correlated. These will be developed separately for the four primary strata of PCPs, SPs, NPs, and PAs. We can also consider in consultation with FDA a division for PCPs into Family Practice, General Practice, and Internal Medicine, and/or a division for SPs into specialties.</w:t>
      </w:r>
      <w:r w:rsidRPr="00383C24">
        <w:rPr>
          <w:rStyle w:val="FootnoteReference"/>
          <w:rFonts w:ascii="Times New Roman" w:hAnsi="Times New Roman"/>
        </w:rPr>
        <w:footnoteReference w:id="2"/>
      </w:r>
      <w:r w:rsidRPr="00383C24">
        <w:rPr>
          <w:rFonts w:ascii="Times New Roman" w:hAnsi="Times New Roman"/>
        </w:rPr>
        <w:t xml:space="preserve"> </w:t>
      </w:r>
    </w:p>
    <w:p w14:paraId="06CF7E75" w14:textId="77777777" w:rsidR="00006713" w:rsidRPr="00383C24" w:rsidRDefault="00006713" w:rsidP="00383C24">
      <w:pPr>
        <w:pStyle w:val="L1-FlLSp12"/>
        <w:spacing w:line="240" w:lineRule="auto"/>
        <w:rPr>
          <w:rFonts w:ascii="Times New Roman" w:hAnsi="Times New Roman"/>
        </w:rPr>
      </w:pPr>
    </w:p>
    <w:p w14:paraId="61330619" w14:textId="77777777" w:rsidR="00006713" w:rsidRPr="00383C24" w:rsidRDefault="00006713" w:rsidP="00DB3D01">
      <w:pPr>
        <w:pStyle w:val="L1-FlLSp12"/>
        <w:spacing w:line="240" w:lineRule="auto"/>
        <w:ind w:left="720"/>
        <w:rPr>
          <w:rFonts w:ascii="Times New Roman" w:hAnsi="Times New Roman"/>
        </w:rPr>
      </w:pPr>
      <w:r w:rsidRPr="00383C24">
        <w:rPr>
          <w:rFonts w:ascii="Times New Roman" w:hAnsi="Times New Roman"/>
        </w:rPr>
        <w:t>For PCPs and SPs, the National Ambulatory Medical Care Survey (NAMCS) will be the source of benchmarks, with supplementation from the AMA Masterfile for specialties not covered by the NAMCS.</w:t>
      </w:r>
    </w:p>
    <w:p w14:paraId="7D7DE4BD" w14:textId="77777777" w:rsidR="00006713" w:rsidRPr="00383C24" w:rsidRDefault="00006713" w:rsidP="00DB3D01">
      <w:pPr>
        <w:pStyle w:val="L1-FlLSp12"/>
        <w:spacing w:line="240" w:lineRule="auto"/>
        <w:ind w:left="720"/>
        <w:rPr>
          <w:rFonts w:ascii="Times New Roman" w:hAnsi="Times New Roman"/>
        </w:rPr>
      </w:pPr>
    </w:p>
    <w:p w14:paraId="61BD29EF" w14:textId="77777777" w:rsidR="00006713" w:rsidRPr="00383C24" w:rsidRDefault="00006713" w:rsidP="00DB3D01">
      <w:pPr>
        <w:pStyle w:val="L1-FlLSp12"/>
        <w:spacing w:line="240" w:lineRule="auto"/>
        <w:ind w:left="720"/>
        <w:rPr>
          <w:rFonts w:ascii="Times New Roman" w:hAnsi="Times New Roman"/>
        </w:rPr>
      </w:pPr>
      <w:r w:rsidRPr="00383C24">
        <w:rPr>
          <w:rFonts w:ascii="Times New Roman" w:hAnsi="Times New Roman"/>
        </w:rPr>
        <w:t>We will discuss with FDA a strategy for PCP and SP control totals based on utilizing the AMA Masterfile, the NAMCS Public Use File, and the restricted use NAMCS. For PAs and NPs, we will study and evaluate a number of alternatives for benchmarks. For PAs, for example, the benchmarks could be from the American Academy of Physician Assistants Masterfile. For NPs, the benchmarks could be from the American Academy of Nurse Practitioners Membership Survey.</w:t>
      </w:r>
    </w:p>
    <w:p w14:paraId="30FE98A8" w14:textId="77777777" w:rsidR="00006713" w:rsidRPr="00383C24" w:rsidRDefault="00006713" w:rsidP="00DB3D01">
      <w:pPr>
        <w:pStyle w:val="L1-FlLSp12"/>
        <w:spacing w:line="240" w:lineRule="auto"/>
        <w:ind w:left="720"/>
        <w:rPr>
          <w:rFonts w:ascii="Times New Roman" w:hAnsi="Times New Roman"/>
        </w:rPr>
      </w:pPr>
    </w:p>
    <w:p w14:paraId="32332EE9" w14:textId="3DB95912" w:rsidR="00006713" w:rsidRPr="00383C24" w:rsidRDefault="00006713" w:rsidP="00DB3D01">
      <w:pPr>
        <w:pStyle w:val="L1-FlLSp12"/>
        <w:spacing w:line="240" w:lineRule="auto"/>
        <w:ind w:left="720"/>
        <w:rPr>
          <w:rFonts w:ascii="Times New Roman" w:hAnsi="Times New Roman"/>
        </w:rPr>
      </w:pPr>
      <w:r w:rsidRPr="00383C24">
        <w:rPr>
          <w:rFonts w:ascii="Times New Roman" w:hAnsi="Times New Roman"/>
        </w:rPr>
        <w:t>Extreme weights will be checked and trimming carried out to trim back any extreme weights. A raking-and-trimming software package will be used to rake the weights to the control totals while simultaneously controlling for extreme weights (iterating back and forth between raking steps and trimming steps). Our tentative criterion for trimming are weights more than 4.5 times the median weight for the four provider-type strata. This is done, for example, by the National Assessment of Education Progress (see National Assessment of Educational Progress (2017), and Valliant et al. (2013</w:t>
      </w:r>
      <w:r w:rsidR="00841AED">
        <w:rPr>
          <w:rFonts w:ascii="Times New Roman" w:hAnsi="Times New Roman"/>
        </w:rPr>
        <w:t>)</w:t>
      </w:r>
      <w:r w:rsidRPr="00383C24">
        <w:rPr>
          <w:rFonts w:ascii="Times New Roman" w:hAnsi="Times New Roman"/>
        </w:rPr>
        <w:t>, Section 14.4). This criterion will be re-evaluated after the base weights are generated.</w:t>
      </w:r>
    </w:p>
    <w:p w14:paraId="709B7E3A" w14:textId="77777777" w:rsidR="00006713" w:rsidRPr="00383C24" w:rsidRDefault="00006713" w:rsidP="00383C24">
      <w:pPr>
        <w:pStyle w:val="L1-FlLSp12"/>
        <w:spacing w:line="240" w:lineRule="auto"/>
        <w:rPr>
          <w:rFonts w:ascii="Times New Roman" w:hAnsi="Times New Roman"/>
        </w:rPr>
      </w:pPr>
    </w:p>
    <w:p w14:paraId="18467241" w14:textId="77777777" w:rsidR="00006713" w:rsidRPr="00383C24" w:rsidRDefault="00006713" w:rsidP="00DB3D01">
      <w:pPr>
        <w:pStyle w:val="L1-FlLSp12"/>
        <w:spacing w:line="240" w:lineRule="auto"/>
        <w:ind w:left="720"/>
        <w:rPr>
          <w:rFonts w:ascii="Times New Roman" w:hAnsi="Times New Roman"/>
        </w:rPr>
      </w:pPr>
      <w:r w:rsidRPr="00383C24">
        <w:rPr>
          <w:rFonts w:ascii="Times New Roman" w:hAnsi="Times New Roman"/>
        </w:rPr>
        <w:t>A set of jackknife (JKn) replicate weights will be generated that will reflect the stratification; these replicate weights will be based on the assumption that the control totals have zero variance. These will be JKn type weights: each weight is generated by systematically deleting a subset within each of the four provider-type stratum and reweighting the remaining sample units with the stratum. These replicate weights will be used in computing standard errors and doing tests. In Table 3, we propose counts of replicate weights by stratum (200 replicate weights all together).</w:t>
      </w:r>
    </w:p>
    <w:p w14:paraId="6199F2C4" w14:textId="77777777" w:rsidR="00006713" w:rsidRPr="00383C24" w:rsidRDefault="00006713" w:rsidP="00383C24">
      <w:pPr>
        <w:pStyle w:val="L1-FlLSp12"/>
        <w:spacing w:line="240" w:lineRule="auto"/>
        <w:rPr>
          <w:rFonts w:ascii="Times New Roman" w:hAnsi="Times New Roman"/>
        </w:rPr>
      </w:pPr>
    </w:p>
    <w:p w14:paraId="6A032A28" w14:textId="77777777" w:rsidR="00006713" w:rsidRDefault="00006713" w:rsidP="00006713">
      <w:pPr>
        <w:pStyle w:val="TT-TableTitle"/>
      </w:pPr>
      <w:r>
        <w:t>Table 3</w:t>
      </w:r>
      <w:r w:rsidRPr="00CB3105">
        <w:t>.</w:t>
      </w:r>
      <w:r>
        <w:tab/>
      </w:r>
      <w:r w:rsidRPr="00CB3105">
        <w:t>Jackknife repl</w:t>
      </w:r>
      <w:r>
        <w:t>icates by provider-type stratum</w:t>
      </w:r>
    </w:p>
    <w:p w14:paraId="16754263" w14:textId="77777777" w:rsidR="00006713" w:rsidRPr="00CB3105" w:rsidRDefault="00006713" w:rsidP="00006713">
      <w:pPr>
        <w:pStyle w:val="TT-TableTitle"/>
      </w:pPr>
    </w:p>
    <w:tbl>
      <w:tblPr>
        <w:tblW w:w="5000" w:type="pct"/>
        <w:tblBorders>
          <w:top w:val="single" w:sz="4" w:space="0" w:color="auto"/>
          <w:bottom w:val="single" w:sz="4" w:space="0" w:color="auto"/>
        </w:tblBorders>
        <w:tblLook w:val="04A0" w:firstRow="1" w:lastRow="0" w:firstColumn="1" w:lastColumn="0" w:noHBand="0" w:noVBand="1"/>
      </w:tblPr>
      <w:tblGrid>
        <w:gridCol w:w="2394"/>
        <w:gridCol w:w="2394"/>
        <w:gridCol w:w="2394"/>
        <w:gridCol w:w="2394"/>
      </w:tblGrid>
      <w:tr w:rsidR="00006713" w:rsidRPr="00AC696C" w14:paraId="03E071CA" w14:textId="77777777" w:rsidTr="008A36F3">
        <w:tc>
          <w:tcPr>
            <w:tcW w:w="1250" w:type="pct"/>
            <w:tcBorders>
              <w:top w:val="single" w:sz="4" w:space="0" w:color="auto"/>
              <w:bottom w:val="single" w:sz="4" w:space="0" w:color="auto"/>
            </w:tcBorders>
            <w:shd w:val="clear" w:color="auto" w:fill="AFBED7"/>
            <w:vAlign w:val="bottom"/>
            <w:hideMark/>
          </w:tcPr>
          <w:p w14:paraId="2B807B20" w14:textId="77777777" w:rsidR="00006713" w:rsidRPr="00CB3105" w:rsidRDefault="00006713" w:rsidP="008A36F3">
            <w:pPr>
              <w:pStyle w:val="TH-TableHeading"/>
            </w:pPr>
            <w:r w:rsidRPr="00CB3105">
              <w:t xml:space="preserve">Primary </w:t>
            </w:r>
            <w:r>
              <w:t>s</w:t>
            </w:r>
            <w:r w:rsidRPr="00CB3105">
              <w:t>tratum</w:t>
            </w:r>
          </w:p>
        </w:tc>
        <w:tc>
          <w:tcPr>
            <w:tcW w:w="1250" w:type="pct"/>
            <w:tcBorders>
              <w:top w:val="single" w:sz="4" w:space="0" w:color="auto"/>
              <w:bottom w:val="single" w:sz="4" w:space="0" w:color="auto"/>
            </w:tcBorders>
            <w:shd w:val="clear" w:color="auto" w:fill="AFBED7"/>
            <w:vAlign w:val="bottom"/>
            <w:hideMark/>
          </w:tcPr>
          <w:p w14:paraId="7B004613" w14:textId="77777777" w:rsidR="00006713" w:rsidRPr="00CB3105" w:rsidRDefault="00006713" w:rsidP="008A36F3">
            <w:pPr>
              <w:pStyle w:val="TH-TableHeading"/>
            </w:pPr>
            <w:r w:rsidRPr="00CB3105">
              <w:t xml:space="preserve">Main </w:t>
            </w:r>
            <w:r>
              <w:t>s</w:t>
            </w:r>
            <w:r w:rsidRPr="00CB3105">
              <w:t xml:space="preserve">tudy </w:t>
            </w:r>
            <w:r>
              <w:t>s</w:t>
            </w:r>
            <w:r w:rsidRPr="00CB3105">
              <w:t xml:space="preserve">ample </w:t>
            </w:r>
            <w:r>
              <w:t>s</w:t>
            </w:r>
            <w:r w:rsidRPr="00CB3105">
              <w:t>ize</w:t>
            </w:r>
          </w:p>
        </w:tc>
        <w:tc>
          <w:tcPr>
            <w:tcW w:w="1250" w:type="pct"/>
            <w:tcBorders>
              <w:top w:val="single" w:sz="4" w:space="0" w:color="auto"/>
              <w:bottom w:val="single" w:sz="4" w:space="0" w:color="auto"/>
            </w:tcBorders>
            <w:shd w:val="clear" w:color="auto" w:fill="AFBED7"/>
            <w:vAlign w:val="bottom"/>
            <w:hideMark/>
          </w:tcPr>
          <w:p w14:paraId="548D43BB" w14:textId="77777777" w:rsidR="00006713" w:rsidRPr="00CB3105" w:rsidRDefault="00006713" w:rsidP="008A36F3">
            <w:pPr>
              <w:pStyle w:val="TH-TableHeading"/>
            </w:pPr>
            <w:r w:rsidRPr="00CB3105">
              <w:t xml:space="preserve">Number of </w:t>
            </w:r>
            <w:r>
              <w:t>r</w:t>
            </w:r>
            <w:r w:rsidRPr="00CB3105">
              <w:t>eplicates</w:t>
            </w:r>
          </w:p>
        </w:tc>
        <w:tc>
          <w:tcPr>
            <w:tcW w:w="1250" w:type="pct"/>
            <w:tcBorders>
              <w:top w:val="single" w:sz="4" w:space="0" w:color="auto"/>
              <w:bottom w:val="single" w:sz="4" w:space="0" w:color="auto"/>
            </w:tcBorders>
            <w:shd w:val="clear" w:color="auto" w:fill="AFBED7"/>
            <w:hideMark/>
          </w:tcPr>
          <w:p w14:paraId="4A6C4E73" w14:textId="77777777" w:rsidR="00006713" w:rsidRDefault="00006713" w:rsidP="008A36F3">
            <w:pPr>
              <w:pStyle w:val="TH-TableHeading"/>
            </w:pPr>
            <w:r>
              <w:t>Deleted sample</w:t>
            </w:r>
          </w:p>
          <w:p w14:paraId="380A72BC" w14:textId="77777777" w:rsidR="00006713" w:rsidRPr="00CB3105" w:rsidRDefault="00006713" w:rsidP="008A36F3">
            <w:pPr>
              <w:pStyle w:val="TH-TableHeading"/>
            </w:pPr>
            <w:r w:rsidRPr="00CB3105">
              <w:t>units per replicate</w:t>
            </w:r>
          </w:p>
        </w:tc>
      </w:tr>
      <w:tr w:rsidR="00006713" w:rsidRPr="00AC696C" w14:paraId="1A11395A" w14:textId="77777777" w:rsidTr="008A36F3">
        <w:tc>
          <w:tcPr>
            <w:tcW w:w="1250" w:type="pct"/>
            <w:tcBorders>
              <w:top w:val="single" w:sz="4" w:space="0" w:color="auto"/>
            </w:tcBorders>
            <w:noWrap/>
            <w:hideMark/>
          </w:tcPr>
          <w:p w14:paraId="5479FD8A" w14:textId="77777777" w:rsidR="00006713" w:rsidRPr="00CB3105" w:rsidRDefault="00006713" w:rsidP="008A36F3">
            <w:pPr>
              <w:pStyle w:val="TX-TableText"/>
            </w:pPr>
            <w:r>
              <w:t>PCPS</w:t>
            </w:r>
          </w:p>
        </w:tc>
        <w:tc>
          <w:tcPr>
            <w:tcW w:w="1250" w:type="pct"/>
            <w:tcBorders>
              <w:top w:val="single" w:sz="4" w:space="0" w:color="auto"/>
            </w:tcBorders>
            <w:noWrap/>
            <w:hideMark/>
          </w:tcPr>
          <w:p w14:paraId="670088F2" w14:textId="77777777" w:rsidR="00006713" w:rsidRPr="00CB3105" w:rsidRDefault="00006713" w:rsidP="008A36F3">
            <w:pPr>
              <w:pStyle w:val="TX-TableText"/>
              <w:tabs>
                <w:tab w:val="decimal" w:pos="1215"/>
              </w:tabs>
            </w:pPr>
            <w:r w:rsidRPr="00CB3105">
              <w:t>700</w:t>
            </w:r>
          </w:p>
        </w:tc>
        <w:tc>
          <w:tcPr>
            <w:tcW w:w="1250" w:type="pct"/>
            <w:tcBorders>
              <w:top w:val="single" w:sz="4" w:space="0" w:color="auto"/>
            </w:tcBorders>
            <w:noWrap/>
            <w:hideMark/>
          </w:tcPr>
          <w:p w14:paraId="1A92A8BF" w14:textId="77777777" w:rsidR="00006713" w:rsidRPr="00CB3105" w:rsidRDefault="00006713" w:rsidP="008A36F3">
            <w:pPr>
              <w:pStyle w:val="TX-TableText"/>
              <w:tabs>
                <w:tab w:val="decimal" w:pos="1215"/>
              </w:tabs>
            </w:pPr>
            <w:r w:rsidRPr="00CB3105">
              <w:t>70</w:t>
            </w:r>
          </w:p>
        </w:tc>
        <w:tc>
          <w:tcPr>
            <w:tcW w:w="1250" w:type="pct"/>
            <w:tcBorders>
              <w:top w:val="single" w:sz="4" w:space="0" w:color="auto"/>
            </w:tcBorders>
            <w:noWrap/>
            <w:hideMark/>
          </w:tcPr>
          <w:p w14:paraId="07607265" w14:textId="77777777" w:rsidR="00006713" w:rsidRPr="00CB3105" w:rsidRDefault="00006713" w:rsidP="008A36F3">
            <w:pPr>
              <w:pStyle w:val="TX-TableText"/>
              <w:tabs>
                <w:tab w:val="decimal" w:pos="1215"/>
              </w:tabs>
            </w:pPr>
            <w:r w:rsidRPr="00CB3105">
              <w:t>10</w:t>
            </w:r>
          </w:p>
        </w:tc>
      </w:tr>
      <w:tr w:rsidR="00006713" w:rsidRPr="00AC696C" w14:paraId="76542853" w14:textId="77777777" w:rsidTr="008A36F3">
        <w:tc>
          <w:tcPr>
            <w:tcW w:w="1250" w:type="pct"/>
            <w:noWrap/>
            <w:hideMark/>
          </w:tcPr>
          <w:p w14:paraId="21D1EF10" w14:textId="77777777" w:rsidR="00006713" w:rsidRPr="00CB3105" w:rsidRDefault="00006713" w:rsidP="008A36F3">
            <w:pPr>
              <w:pStyle w:val="TX-TableText"/>
            </w:pPr>
            <w:r>
              <w:t>SPs</w:t>
            </w:r>
          </w:p>
        </w:tc>
        <w:tc>
          <w:tcPr>
            <w:tcW w:w="1250" w:type="pct"/>
            <w:noWrap/>
            <w:hideMark/>
          </w:tcPr>
          <w:p w14:paraId="0DCD0997" w14:textId="77777777" w:rsidR="00006713" w:rsidRPr="00CB3105" w:rsidRDefault="00006713" w:rsidP="008A36F3">
            <w:pPr>
              <w:pStyle w:val="TX-TableText"/>
              <w:tabs>
                <w:tab w:val="decimal" w:pos="1215"/>
              </w:tabs>
            </w:pPr>
            <w:r w:rsidRPr="00CB3105">
              <w:t>600</w:t>
            </w:r>
          </w:p>
        </w:tc>
        <w:tc>
          <w:tcPr>
            <w:tcW w:w="1250" w:type="pct"/>
            <w:noWrap/>
            <w:hideMark/>
          </w:tcPr>
          <w:p w14:paraId="0DF591FE" w14:textId="77777777" w:rsidR="00006713" w:rsidRPr="00CB3105" w:rsidRDefault="00006713" w:rsidP="008A36F3">
            <w:pPr>
              <w:pStyle w:val="TX-TableText"/>
              <w:tabs>
                <w:tab w:val="decimal" w:pos="1215"/>
              </w:tabs>
            </w:pPr>
            <w:r w:rsidRPr="00CB3105">
              <w:t>60</w:t>
            </w:r>
          </w:p>
        </w:tc>
        <w:tc>
          <w:tcPr>
            <w:tcW w:w="1250" w:type="pct"/>
            <w:noWrap/>
            <w:hideMark/>
          </w:tcPr>
          <w:p w14:paraId="20EE703A" w14:textId="77777777" w:rsidR="00006713" w:rsidRPr="00CB3105" w:rsidRDefault="00006713" w:rsidP="008A36F3">
            <w:pPr>
              <w:pStyle w:val="TX-TableText"/>
              <w:tabs>
                <w:tab w:val="decimal" w:pos="1215"/>
              </w:tabs>
            </w:pPr>
            <w:r w:rsidRPr="00CB3105">
              <w:t>10</w:t>
            </w:r>
          </w:p>
        </w:tc>
      </w:tr>
      <w:tr w:rsidR="00006713" w:rsidRPr="00AC696C" w14:paraId="5B7F6A52" w14:textId="77777777" w:rsidTr="008A36F3">
        <w:tc>
          <w:tcPr>
            <w:tcW w:w="1250" w:type="pct"/>
            <w:noWrap/>
            <w:hideMark/>
          </w:tcPr>
          <w:p w14:paraId="159BEE64" w14:textId="77777777" w:rsidR="00006713" w:rsidRPr="00CB3105" w:rsidRDefault="00006713" w:rsidP="008A36F3">
            <w:pPr>
              <w:pStyle w:val="TX-TableText"/>
            </w:pPr>
            <w:r>
              <w:t>NPs</w:t>
            </w:r>
            <w:r w:rsidRPr="00CB3105">
              <w:t xml:space="preserve"> </w:t>
            </w:r>
          </w:p>
        </w:tc>
        <w:tc>
          <w:tcPr>
            <w:tcW w:w="1250" w:type="pct"/>
            <w:noWrap/>
            <w:hideMark/>
          </w:tcPr>
          <w:p w14:paraId="1A153E15" w14:textId="77777777" w:rsidR="00006713" w:rsidRPr="00CB3105" w:rsidRDefault="00006713" w:rsidP="008A36F3">
            <w:pPr>
              <w:pStyle w:val="TX-TableText"/>
              <w:tabs>
                <w:tab w:val="decimal" w:pos="1215"/>
              </w:tabs>
            </w:pPr>
            <w:r w:rsidRPr="00CB3105">
              <w:t>350</w:t>
            </w:r>
          </w:p>
        </w:tc>
        <w:tc>
          <w:tcPr>
            <w:tcW w:w="1250" w:type="pct"/>
            <w:noWrap/>
            <w:hideMark/>
          </w:tcPr>
          <w:p w14:paraId="3BFB779B" w14:textId="77777777" w:rsidR="00006713" w:rsidRPr="00CB3105" w:rsidRDefault="00006713" w:rsidP="008A36F3">
            <w:pPr>
              <w:pStyle w:val="TX-TableText"/>
              <w:tabs>
                <w:tab w:val="decimal" w:pos="1215"/>
              </w:tabs>
            </w:pPr>
            <w:r w:rsidRPr="00CB3105">
              <w:t>35</w:t>
            </w:r>
          </w:p>
        </w:tc>
        <w:tc>
          <w:tcPr>
            <w:tcW w:w="1250" w:type="pct"/>
            <w:noWrap/>
            <w:hideMark/>
          </w:tcPr>
          <w:p w14:paraId="39285631" w14:textId="77777777" w:rsidR="00006713" w:rsidRPr="00CB3105" w:rsidRDefault="00006713" w:rsidP="008A36F3">
            <w:pPr>
              <w:pStyle w:val="TX-TableText"/>
              <w:tabs>
                <w:tab w:val="decimal" w:pos="1215"/>
              </w:tabs>
            </w:pPr>
            <w:r w:rsidRPr="00CB3105">
              <w:t>10</w:t>
            </w:r>
          </w:p>
        </w:tc>
      </w:tr>
      <w:tr w:rsidR="00006713" w:rsidRPr="00AC696C" w14:paraId="196E317A" w14:textId="77777777" w:rsidTr="008A36F3">
        <w:tc>
          <w:tcPr>
            <w:tcW w:w="1250" w:type="pct"/>
            <w:noWrap/>
            <w:hideMark/>
          </w:tcPr>
          <w:p w14:paraId="421EA16F" w14:textId="77777777" w:rsidR="00006713" w:rsidRPr="00CB3105" w:rsidRDefault="00006713" w:rsidP="008A36F3">
            <w:pPr>
              <w:pStyle w:val="TX-TableText"/>
            </w:pPr>
            <w:r>
              <w:t>PAs</w:t>
            </w:r>
            <w:r w:rsidRPr="00CB3105">
              <w:t xml:space="preserve"> </w:t>
            </w:r>
          </w:p>
        </w:tc>
        <w:tc>
          <w:tcPr>
            <w:tcW w:w="1250" w:type="pct"/>
            <w:noWrap/>
            <w:hideMark/>
          </w:tcPr>
          <w:p w14:paraId="2C23EA67" w14:textId="77777777" w:rsidR="00006713" w:rsidRPr="00CB3105" w:rsidRDefault="00006713" w:rsidP="008A36F3">
            <w:pPr>
              <w:pStyle w:val="TX-TableText"/>
              <w:tabs>
                <w:tab w:val="decimal" w:pos="1215"/>
              </w:tabs>
            </w:pPr>
            <w:r w:rsidRPr="00CB3105">
              <w:t>350</w:t>
            </w:r>
          </w:p>
        </w:tc>
        <w:tc>
          <w:tcPr>
            <w:tcW w:w="1250" w:type="pct"/>
            <w:noWrap/>
            <w:hideMark/>
          </w:tcPr>
          <w:p w14:paraId="78E44B67" w14:textId="77777777" w:rsidR="00006713" w:rsidRPr="00CB3105" w:rsidRDefault="00006713" w:rsidP="008A36F3">
            <w:pPr>
              <w:pStyle w:val="TX-TableText"/>
              <w:tabs>
                <w:tab w:val="decimal" w:pos="1215"/>
              </w:tabs>
            </w:pPr>
            <w:r w:rsidRPr="00CB3105">
              <w:t>35</w:t>
            </w:r>
          </w:p>
        </w:tc>
        <w:tc>
          <w:tcPr>
            <w:tcW w:w="1250" w:type="pct"/>
            <w:noWrap/>
            <w:hideMark/>
          </w:tcPr>
          <w:p w14:paraId="692DB463" w14:textId="77777777" w:rsidR="00006713" w:rsidRPr="00CB3105" w:rsidRDefault="00006713" w:rsidP="008A36F3">
            <w:pPr>
              <w:pStyle w:val="TX-TableText"/>
              <w:tabs>
                <w:tab w:val="decimal" w:pos="1215"/>
              </w:tabs>
            </w:pPr>
            <w:r w:rsidRPr="00CB3105">
              <w:t>10</w:t>
            </w:r>
          </w:p>
        </w:tc>
      </w:tr>
      <w:tr w:rsidR="00006713" w:rsidRPr="00AC696C" w14:paraId="010311AC" w14:textId="77777777" w:rsidTr="008A36F3">
        <w:tc>
          <w:tcPr>
            <w:tcW w:w="1250" w:type="pct"/>
            <w:noWrap/>
            <w:hideMark/>
          </w:tcPr>
          <w:p w14:paraId="336CE44C" w14:textId="77777777" w:rsidR="00006713" w:rsidRPr="00CB3105" w:rsidRDefault="00006713" w:rsidP="008A36F3">
            <w:pPr>
              <w:pStyle w:val="TX-TableText"/>
            </w:pPr>
            <w:r w:rsidRPr="00CB3105">
              <w:t xml:space="preserve">Total </w:t>
            </w:r>
          </w:p>
        </w:tc>
        <w:tc>
          <w:tcPr>
            <w:tcW w:w="1250" w:type="pct"/>
            <w:noWrap/>
            <w:hideMark/>
          </w:tcPr>
          <w:p w14:paraId="737EFC51" w14:textId="77777777" w:rsidR="00006713" w:rsidRPr="00CB3105" w:rsidRDefault="00006713" w:rsidP="008A36F3">
            <w:pPr>
              <w:pStyle w:val="TX-TableText"/>
              <w:tabs>
                <w:tab w:val="decimal" w:pos="1215"/>
              </w:tabs>
            </w:pPr>
            <w:r w:rsidRPr="00CB3105">
              <w:t>2,000</w:t>
            </w:r>
          </w:p>
        </w:tc>
        <w:tc>
          <w:tcPr>
            <w:tcW w:w="1250" w:type="pct"/>
            <w:noWrap/>
            <w:hideMark/>
          </w:tcPr>
          <w:p w14:paraId="69A29EEB" w14:textId="77777777" w:rsidR="00006713" w:rsidRPr="00CB3105" w:rsidRDefault="00006713" w:rsidP="008A36F3">
            <w:pPr>
              <w:pStyle w:val="TX-TableText"/>
              <w:tabs>
                <w:tab w:val="decimal" w:pos="1215"/>
              </w:tabs>
            </w:pPr>
            <w:r w:rsidRPr="00CB3105">
              <w:t>200</w:t>
            </w:r>
          </w:p>
        </w:tc>
        <w:tc>
          <w:tcPr>
            <w:tcW w:w="1250" w:type="pct"/>
            <w:noWrap/>
            <w:hideMark/>
          </w:tcPr>
          <w:p w14:paraId="1EB78201" w14:textId="77777777" w:rsidR="00006713" w:rsidRPr="00CB3105" w:rsidRDefault="00006713" w:rsidP="008A36F3">
            <w:pPr>
              <w:pStyle w:val="TX-TableText"/>
              <w:tabs>
                <w:tab w:val="decimal" w:pos="1215"/>
              </w:tabs>
            </w:pPr>
            <w:r w:rsidRPr="00CB3105">
              <w:t>10</w:t>
            </w:r>
          </w:p>
        </w:tc>
      </w:tr>
    </w:tbl>
    <w:p w14:paraId="6DC99486" w14:textId="77777777" w:rsidR="00006713" w:rsidRDefault="00006713" w:rsidP="00006713">
      <w:pPr>
        <w:pStyle w:val="L1-FlLSp12"/>
      </w:pPr>
    </w:p>
    <w:p w14:paraId="6953DCDA" w14:textId="77777777" w:rsidR="00006713" w:rsidRPr="00383C24" w:rsidRDefault="00006713" w:rsidP="00DB3D01">
      <w:pPr>
        <w:pStyle w:val="L1-FlLSp12"/>
        <w:spacing w:line="240" w:lineRule="auto"/>
        <w:ind w:left="630"/>
        <w:rPr>
          <w:rFonts w:ascii="Times New Roman" w:hAnsi="Times New Roman"/>
        </w:rPr>
      </w:pPr>
      <w:r w:rsidRPr="00383C24">
        <w:rPr>
          <w:rFonts w:ascii="Times New Roman" w:hAnsi="Times New Roman"/>
        </w:rPr>
        <w:t>Unless otherwise mentioned, all estimates will be weighted estimates utilizing the final calibrated weights. All standard errors will be computed using the weights and the replicate weights. All tests (Chi-square, t-tests) will reflect degrees of freedom from the replicate weights. Most of the analyses will utilize weights and replicate weights in order to appropriately account for the effects of the complex sample design and estimation procedures.</w:t>
      </w:r>
    </w:p>
    <w:p w14:paraId="6C774D36" w14:textId="77777777" w:rsidR="00006713" w:rsidRPr="00383C24" w:rsidRDefault="00006713" w:rsidP="00EC4035">
      <w:pPr>
        <w:widowControl w:val="0"/>
        <w:autoSpaceDE w:val="0"/>
        <w:autoSpaceDN w:val="0"/>
        <w:adjustRightInd w:val="0"/>
      </w:pPr>
    </w:p>
    <w:p w14:paraId="5AE1ADF5" w14:textId="1D789D96" w:rsidR="00CA557D" w:rsidRPr="00E00EA0" w:rsidRDefault="00F300EE" w:rsidP="00DB3D01">
      <w:pPr>
        <w:spacing w:before="100" w:beforeAutospacing="1" w:after="100" w:afterAutospacing="1"/>
        <w:ind w:left="634" w:hanging="360"/>
        <w:rPr>
          <w:u w:val="single"/>
        </w:rPr>
      </w:pPr>
      <w:r w:rsidRPr="00DB3D01">
        <w:t xml:space="preserve">2. </w:t>
      </w:r>
      <w:r w:rsidR="00CA557D" w:rsidRPr="00E00EA0">
        <w:rPr>
          <w:u w:val="single"/>
        </w:rPr>
        <w:t>Procedures for the Collection of Information</w:t>
      </w:r>
    </w:p>
    <w:p w14:paraId="0821A696" w14:textId="7E816EF2" w:rsidR="00EC4035" w:rsidRDefault="006D7E73" w:rsidP="00DB3D01">
      <w:pPr>
        <w:ind w:left="630"/>
      </w:pPr>
      <w:r>
        <w:t xml:space="preserve">Part A of the supporting statement described the rationale for conducting the study. </w:t>
      </w:r>
      <w:r w:rsidR="00EC4035">
        <w:t>The g</w:t>
      </w:r>
      <w:r w:rsidR="00EC4035" w:rsidRPr="00A2484F">
        <w:t xml:space="preserve">eneral </w:t>
      </w:r>
      <w:r w:rsidR="00EC4035">
        <w:t>r</w:t>
      </w:r>
      <w:r w:rsidR="00EC4035" w:rsidRPr="00A2484F">
        <w:t>esearch</w:t>
      </w:r>
      <w:r w:rsidR="008A7BE7">
        <w:t xml:space="preserve"> </w:t>
      </w:r>
      <w:r w:rsidR="00EC4035">
        <w:t>q</w:t>
      </w:r>
      <w:r w:rsidR="00EC4035" w:rsidRPr="00A2484F">
        <w:t>uestions</w:t>
      </w:r>
      <w:r w:rsidR="00EC4035">
        <w:t xml:space="preserve"> in the survey are as follows:</w:t>
      </w:r>
    </w:p>
    <w:p w14:paraId="0E007E5E" w14:textId="77777777" w:rsidR="00EC4035" w:rsidRPr="00A2484F" w:rsidRDefault="00EC4035" w:rsidP="00EC4035"/>
    <w:p w14:paraId="315C3A27" w14:textId="77777777" w:rsidR="001416C8" w:rsidRDefault="00EC4035" w:rsidP="006975AB">
      <w:pPr>
        <w:numPr>
          <w:ilvl w:val="0"/>
          <w:numId w:val="18"/>
        </w:numPr>
        <w:spacing w:after="200"/>
        <w:ind w:left="0" w:firstLine="720"/>
        <w:contextualSpacing/>
        <w:rPr>
          <w:rFonts w:eastAsiaTheme="minorEastAsia"/>
        </w:rPr>
      </w:pPr>
      <w:r w:rsidRPr="00882550">
        <w:rPr>
          <w:rFonts w:eastAsiaTheme="minorEastAsia"/>
        </w:rPr>
        <w:t xml:space="preserve">What methods and/or channels are used to disseminate prescription drug </w:t>
      </w:r>
    </w:p>
    <w:p w14:paraId="43FCA6A1" w14:textId="5558C717" w:rsidR="00EC4035" w:rsidRDefault="00EC4035" w:rsidP="00187902">
      <w:pPr>
        <w:spacing w:after="200"/>
        <w:ind w:left="864" w:firstLine="576"/>
        <w:contextualSpacing/>
        <w:rPr>
          <w:rFonts w:eastAsiaTheme="minorEastAsia"/>
        </w:rPr>
      </w:pPr>
      <w:r w:rsidRPr="00882550">
        <w:rPr>
          <w:rFonts w:eastAsiaTheme="minorEastAsia"/>
        </w:rPr>
        <w:t>promotional information to health</w:t>
      </w:r>
      <w:r>
        <w:rPr>
          <w:rFonts w:eastAsiaTheme="minorEastAsia"/>
        </w:rPr>
        <w:t xml:space="preserve"> </w:t>
      </w:r>
      <w:r w:rsidRPr="00882550">
        <w:rPr>
          <w:rFonts w:eastAsiaTheme="minorEastAsia"/>
        </w:rPr>
        <w:t>care professionals/prescribers?</w:t>
      </w:r>
      <w:r w:rsidR="00934593">
        <w:rPr>
          <w:rFonts w:eastAsiaTheme="minorEastAsia"/>
        </w:rPr>
        <w:t xml:space="preserve"> </w:t>
      </w:r>
    </w:p>
    <w:p w14:paraId="4E913718" w14:textId="77777777" w:rsidR="00EC4035" w:rsidRPr="00882550" w:rsidRDefault="00EC4035" w:rsidP="00EC4035">
      <w:pPr>
        <w:spacing w:after="200"/>
        <w:ind w:left="720"/>
        <w:contextualSpacing/>
        <w:rPr>
          <w:rFonts w:eastAsiaTheme="minorEastAsia"/>
        </w:rPr>
      </w:pPr>
    </w:p>
    <w:p w14:paraId="08D0F109" w14:textId="77777777" w:rsidR="00D914B9" w:rsidRDefault="00EC4035" w:rsidP="00EC4035">
      <w:pPr>
        <w:numPr>
          <w:ilvl w:val="0"/>
          <w:numId w:val="18"/>
        </w:numPr>
        <w:spacing w:after="200"/>
        <w:ind w:left="0" w:firstLine="720"/>
        <w:contextualSpacing/>
        <w:rPr>
          <w:rFonts w:eastAsiaTheme="minorEastAsia"/>
        </w:rPr>
      </w:pPr>
      <w:r w:rsidRPr="00882550">
        <w:rPr>
          <w:rFonts w:eastAsiaTheme="minorEastAsia"/>
        </w:rPr>
        <w:t xml:space="preserve">How knowledgeable and interested are HCPs in clinical trial data and its presence </w:t>
      </w:r>
    </w:p>
    <w:p w14:paraId="33FB6DEF" w14:textId="1456FBA1" w:rsidR="00EC4035" w:rsidRDefault="00D914B9" w:rsidP="00D914B9">
      <w:pPr>
        <w:spacing w:after="200"/>
        <w:ind w:left="720"/>
        <w:contextualSpacing/>
        <w:rPr>
          <w:rFonts w:eastAsiaTheme="minorEastAsia"/>
        </w:rPr>
      </w:pPr>
      <w:r>
        <w:rPr>
          <w:rFonts w:eastAsiaTheme="minorEastAsia"/>
        </w:rPr>
        <w:t xml:space="preserve">            </w:t>
      </w:r>
      <w:r w:rsidR="00EC4035" w:rsidRPr="00882550">
        <w:rPr>
          <w:rFonts w:eastAsiaTheme="minorEastAsia"/>
        </w:rPr>
        <w:t>in prescription drug promotion?</w:t>
      </w:r>
    </w:p>
    <w:p w14:paraId="4FB537F9" w14:textId="77777777" w:rsidR="00EC4035" w:rsidRPr="00882550" w:rsidRDefault="00EC4035" w:rsidP="00EC4035">
      <w:pPr>
        <w:spacing w:after="200"/>
        <w:ind w:left="720"/>
        <w:contextualSpacing/>
        <w:rPr>
          <w:rFonts w:eastAsiaTheme="minorEastAsia"/>
        </w:rPr>
      </w:pPr>
    </w:p>
    <w:p w14:paraId="02B32E8A" w14:textId="77777777" w:rsidR="00233AE4" w:rsidRDefault="00EC4035" w:rsidP="00EC4035">
      <w:pPr>
        <w:numPr>
          <w:ilvl w:val="0"/>
          <w:numId w:val="18"/>
        </w:numPr>
        <w:spacing w:after="200"/>
        <w:ind w:left="0" w:firstLine="720"/>
        <w:contextualSpacing/>
        <w:rPr>
          <w:rFonts w:eastAsiaTheme="minorEastAsia"/>
        </w:rPr>
      </w:pPr>
      <w:r w:rsidRPr="00882550">
        <w:rPr>
          <w:rFonts w:eastAsiaTheme="minorEastAsia"/>
        </w:rPr>
        <w:t xml:space="preserve">How familiar are HCPs with the FDA approval of prescription drugs and how </w:t>
      </w:r>
      <w:r w:rsidR="00233AE4">
        <w:rPr>
          <w:rFonts w:eastAsiaTheme="minorEastAsia"/>
        </w:rPr>
        <w:t xml:space="preserve">     </w:t>
      </w:r>
    </w:p>
    <w:p w14:paraId="7631369A" w14:textId="55721C90" w:rsidR="00EC4035" w:rsidRPr="00882550" w:rsidRDefault="00233AE4" w:rsidP="00233AE4">
      <w:pPr>
        <w:spacing w:after="200"/>
        <w:ind w:left="720"/>
        <w:contextualSpacing/>
        <w:rPr>
          <w:rFonts w:eastAsiaTheme="minorEastAsia"/>
        </w:rPr>
      </w:pPr>
      <w:r>
        <w:rPr>
          <w:rFonts w:eastAsiaTheme="minorEastAsia"/>
        </w:rPr>
        <w:t xml:space="preserve">            </w:t>
      </w:r>
      <w:r w:rsidR="00EC4035" w:rsidRPr="00882550">
        <w:rPr>
          <w:rFonts w:eastAsiaTheme="minorEastAsia"/>
        </w:rPr>
        <w:t>does this translate into practice?</w:t>
      </w:r>
    </w:p>
    <w:p w14:paraId="5908A868" w14:textId="77777777" w:rsidR="00EC4035" w:rsidRDefault="00EC4035" w:rsidP="00EC4035"/>
    <w:p w14:paraId="3C317E5D" w14:textId="77777777" w:rsidR="00EC4035" w:rsidRPr="00882550" w:rsidRDefault="00EC4035" w:rsidP="00DB3D01">
      <w:pPr>
        <w:ind w:left="720"/>
      </w:pPr>
      <w:r w:rsidRPr="00882550">
        <w:t>In addition, given the critical nature of the opioid situation in the U</w:t>
      </w:r>
      <w:r>
        <w:t xml:space="preserve">nited </w:t>
      </w:r>
      <w:r w:rsidRPr="00882550">
        <w:t>S</w:t>
      </w:r>
      <w:r>
        <w:t>tates</w:t>
      </w:r>
      <w:r w:rsidRPr="00882550">
        <w:t xml:space="preserve"> at this time, we plan to ask several questions about prescription drug promotion of opioid products</w:t>
      </w:r>
      <w:r>
        <w:t xml:space="preserve"> and understanding of the term “abuse-deterrent formulation</w:t>
      </w:r>
      <w:r w:rsidRPr="00882550">
        <w:t>.</w:t>
      </w:r>
      <w:r>
        <w:t>”</w:t>
      </w:r>
    </w:p>
    <w:p w14:paraId="052B53F2" w14:textId="7E6BC997" w:rsidR="00A750F4" w:rsidRPr="00A750F4" w:rsidRDefault="00A750F4" w:rsidP="00EC4035">
      <w:pPr>
        <w:contextualSpacing/>
        <w:rPr>
          <w:color w:val="000000"/>
        </w:rPr>
      </w:pPr>
    </w:p>
    <w:p w14:paraId="03FAA60E" w14:textId="77777777" w:rsidR="00EC4035" w:rsidRPr="00EC4035" w:rsidRDefault="00EC4035" w:rsidP="00DB3D01">
      <w:pPr>
        <w:pStyle w:val="L1-FlLSp12"/>
        <w:spacing w:line="240" w:lineRule="auto"/>
        <w:ind w:left="720"/>
        <w:rPr>
          <w:rFonts w:ascii="Times New Roman" w:hAnsi="Times New Roman"/>
          <w:b/>
          <w:highlight w:val="yellow"/>
        </w:rPr>
      </w:pPr>
      <w:r w:rsidRPr="00EC4035">
        <w:rPr>
          <w:rFonts w:ascii="Times New Roman" w:hAnsi="Times New Roman"/>
        </w:rPr>
        <w:t>For both the pretest and main study, WebMD will initially send a recruitment email (Appendix A) that links to a prequalifying screener (Appendix B) to identify eligible HCPs. Respondents may also learn about the survey through the Medscape website and pop-up ads (Appendix A) that will appear when logged in to their Medscape.com account. The screener will include questions about the amount of time spent seeing patients, demographic questions (age, race/ethnicity, and gender) and a question to confirm the respondent’s specialty. All respondents that meet eligibility requirements will be invited to participate in the survey within 24 hours of completing the screener. Respondents will be paid incentives for completing the screener and survey.</w:t>
      </w:r>
    </w:p>
    <w:p w14:paraId="61649849" w14:textId="77777777" w:rsidR="0011729B" w:rsidRPr="0011729B" w:rsidRDefault="0011729B" w:rsidP="0011729B"/>
    <w:p w14:paraId="3F030260" w14:textId="77777777" w:rsidR="00CA557D" w:rsidRDefault="00CA557D" w:rsidP="00DB3D01">
      <w:pPr>
        <w:spacing w:line="276" w:lineRule="auto"/>
        <w:ind w:left="720"/>
        <w:rPr>
          <w:b/>
        </w:rPr>
      </w:pPr>
      <w:r w:rsidRPr="008B019A">
        <w:rPr>
          <w:b/>
        </w:rPr>
        <w:t>Analysis Plan</w:t>
      </w:r>
    </w:p>
    <w:p w14:paraId="717EE1E2" w14:textId="77777777" w:rsidR="00282179" w:rsidRPr="002A6AB0" w:rsidRDefault="00282179" w:rsidP="00DB3D01">
      <w:pPr>
        <w:spacing w:line="276" w:lineRule="auto"/>
        <w:ind w:left="720"/>
        <w:rPr>
          <w:b/>
        </w:rPr>
      </w:pPr>
    </w:p>
    <w:p w14:paraId="3B3CA4B4" w14:textId="3902224D" w:rsidR="00082B57" w:rsidRPr="000B012A" w:rsidRDefault="00082B57" w:rsidP="00DB3D01">
      <w:pPr>
        <w:pStyle w:val="L1-FlLSp12"/>
        <w:spacing w:line="240" w:lineRule="auto"/>
        <w:ind w:left="720"/>
        <w:rPr>
          <w:rFonts w:ascii="Times New Roman" w:hAnsi="Times New Roman"/>
        </w:rPr>
      </w:pPr>
      <w:r w:rsidRPr="000B012A">
        <w:rPr>
          <w:rFonts w:ascii="Times New Roman" w:hAnsi="Times New Roman"/>
        </w:rPr>
        <w:t xml:space="preserve">We will run frequencies for all survey questions (see Appendix </w:t>
      </w:r>
      <w:r w:rsidR="00303C58">
        <w:rPr>
          <w:rFonts w:ascii="Times New Roman" w:hAnsi="Times New Roman"/>
        </w:rPr>
        <w:t>C</w:t>
      </w:r>
      <w:r w:rsidR="000B012A">
        <w:rPr>
          <w:rFonts w:ascii="Times New Roman" w:hAnsi="Times New Roman"/>
        </w:rPr>
        <w:t xml:space="preserve"> </w:t>
      </w:r>
      <w:r w:rsidRPr="000B012A">
        <w:rPr>
          <w:rFonts w:ascii="Times New Roman" w:hAnsi="Times New Roman"/>
        </w:rPr>
        <w:t>for a listing of the questionnaire items)</w:t>
      </w:r>
      <w:r w:rsidR="000B012A">
        <w:rPr>
          <w:rFonts w:ascii="Times New Roman" w:hAnsi="Times New Roman"/>
        </w:rPr>
        <w:t>.</w:t>
      </w:r>
      <w:r w:rsidRPr="000B012A">
        <w:rPr>
          <w:rFonts w:ascii="Times New Roman" w:hAnsi="Times New Roman"/>
        </w:rPr>
        <w:t xml:space="preserve"> Means and standard deviations will be provided for scale items</w:t>
      </w:r>
      <w:r w:rsidR="000B012A">
        <w:rPr>
          <w:rFonts w:ascii="Times New Roman" w:hAnsi="Times New Roman"/>
        </w:rPr>
        <w:t>.</w:t>
      </w:r>
    </w:p>
    <w:p w14:paraId="20876D27" w14:textId="0DBE525D" w:rsidR="00082B57" w:rsidRPr="000B012A" w:rsidRDefault="00082B57" w:rsidP="00DB3D01">
      <w:pPr>
        <w:pStyle w:val="L1-FlLSp12"/>
        <w:spacing w:line="240" w:lineRule="auto"/>
        <w:ind w:left="720"/>
        <w:rPr>
          <w:rFonts w:ascii="Times New Roman" w:hAnsi="Times New Roman"/>
        </w:rPr>
      </w:pPr>
      <w:r w:rsidRPr="000B012A">
        <w:rPr>
          <w:rFonts w:ascii="Times New Roman" w:hAnsi="Times New Roman"/>
        </w:rPr>
        <w:t>For binary questionnaire items, we will produce bar graphs for the four provider-type strata based on weighted percentages for the two binary outcomes. We will carry through a Chi-square test of the null hypothesis that all four provider-type strata have equal binary percentages (a test on three degrees of freedom). This Chi-square test will utilize the replicate weights and be appropriate for the sample design and weighting adjustments. If the Chi-square test rejects the null hypothesis, a multiple comparisons type test will be done to distinguish which strata differ significantly. The multiple-comparisons p-values will be evaluated using the Benjamini-Hochberg criteria, which controls the false discovery rate among independent test</w:t>
      </w:r>
      <w:r w:rsidR="00841AED">
        <w:rPr>
          <w:rFonts w:ascii="Times New Roman" w:hAnsi="Times New Roman"/>
        </w:rPr>
        <w:t>s</w:t>
      </w:r>
      <w:r w:rsidRPr="000B012A">
        <w:rPr>
          <w:rFonts w:ascii="Times New Roman" w:hAnsi="Times New Roman"/>
        </w:rPr>
        <w:t xml:space="preserve"> to be no more than 5 percent</w:t>
      </w:r>
      <w:r w:rsidRPr="000B012A">
        <w:rPr>
          <w:rStyle w:val="FootnoteReference"/>
          <w:rFonts w:ascii="Times New Roman" w:hAnsi="Times New Roman"/>
          <w:szCs w:val="24"/>
        </w:rPr>
        <w:footnoteReference w:id="3"/>
      </w:r>
      <w:r w:rsidRPr="000B012A">
        <w:rPr>
          <w:rFonts w:ascii="Times New Roman" w:hAnsi="Times New Roman"/>
        </w:rPr>
        <w:t xml:space="preserve"> (Benjamini and Hochberg, 1995 and Efron, 2010). </w:t>
      </w:r>
    </w:p>
    <w:p w14:paraId="067329E4" w14:textId="77777777" w:rsidR="00082B57" w:rsidRPr="000B012A" w:rsidRDefault="00082B57" w:rsidP="00DB3D01">
      <w:pPr>
        <w:pStyle w:val="L1-FlLSp12"/>
        <w:spacing w:line="240" w:lineRule="auto"/>
        <w:ind w:left="720"/>
        <w:rPr>
          <w:rFonts w:ascii="Times New Roman" w:hAnsi="Times New Roman"/>
        </w:rPr>
      </w:pPr>
    </w:p>
    <w:p w14:paraId="32C20C37" w14:textId="04B36E77" w:rsidR="00A052F4" w:rsidRDefault="00082B57" w:rsidP="00DB3D01">
      <w:pPr>
        <w:ind w:left="720"/>
        <w:contextualSpacing/>
      </w:pPr>
      <w:r w:rsidRPr="000B012A">
        <w:t>For ordinal questionnaire items with three levels, we will produce bar graphs for the four provider-type strata based on weighted percentages for the three outcomes lined up in a bar. We will carry through a test of the null hypothesis that all four provider-type strata have equal percentages for the three outcomes (treated ordinally).</w:t>
      </w:r>
    </w:p>
    <w:p w14:paraId="72A183A6" w14:textId="77777777" w:rsidR="000B012A" w:rsidRPr="000B012A" w:rsidRDefault="000B012A" w:rsidP="00DB3D01">
      <w:pPr>
        <w:ind w:left="720"/>
        <w:contextualSpacing/>
      </w:pPr>
    </w:p>
    <w:p w14:paraId="343A060E" w14:textId="032AA254" w:rsidR="00082B57" w:rsidRPr="000B012A" w:rsidRDefault="00082B57" w:rsidP="00DB3D01">
      <w:pPr>
        <w:pStyle w:val="L1-FlLSp12"/>
        <w:spacing w:line="240" w:lineRule="auto"/>
        <w:ind w:left="720"/>
        <w:rPr>
          <w:rFonts w:ascii="Times New Roman" w:hAnsi="Times New Roman"/>
        </w:rPr>
      </w:pPr>
      <w:r w:rsidRPr="000B012A">
        <w:rPr>
          <w:rFonts w:ascii="Times New Roman" w:hAnsi="Times New Roman"/>
        </w:rPr>
        <w:t xml:space="preserve">After the pretests, verbatim responses for open-ended questions will be reviewed and coded. In consultation with FDA, we will develop a coding scheme for each question. After receiving training on the coding scheme, two coders will independently code all responses to the open-ended questions. We will calculate inter-coder reliability, aiming for a Cohen’s Kappa threshold of .75 or higher. Any differences between coders will be discussed and adjudicated by a third reviewer. All coded responses will be transformed into numeric proxy measures for analysis. </w:t>
      </w:r>
    </w:p>
    <w:p w14:paraId="46805FC3" w14:textId="3CF1C179" w:rsidR="00082B57" w:rsidRPr="000B012A" w:rsidRDefault="00082B57" w:rsidP="000B012A">
      <w:pPr>
        <w:ind w:firstLine="720"/>
        <w:contextualSpacing/>
      </w:pPr>
    </w:p>
    <w:p w14:paraId="21982370" w14:textId="381349D9" w:rsidR="00082B57" w:rsidRPr="000B012A" w:rsidRDefault="00082B57" w:rsidP="00DB3D01">
      <w:pPr>
        <w:ind w:left="720"/>
        <w:contextualSpacing/>
      </w:pPr>
      <w:r w:rsidRPr="000B012A">
        <w:t>Correlation analysis and exploratory factor analysis will be conducted to guide the development of latent variables. Logistic regression models will be conducted to examine relationships between exposure, attitude and knowledge measures and provider decision-making and practices.</w:t>
      </w:r>
    </w:p>
    <w:p w14:paraId="7F376230" w14:textId="77777777" w:rsidR="0097740B" w:rsidRDefault="0097740B" w:rsidP="00DB3D01">
      <w:pPr>
        <w:spacing w:after="240"/>
        <w:ind w:left="720" w:firstLine="720"/>
        <w:contextualSpacing/>
        <w:rPr>
          <w:highlight w:val="green"/>
        </w:rPr>
      </w:pPr>
    </w:p>
    <w:p w14:paraId="7EF71ACB" w14:textId="77777777" w:rsidR="00CA557D" w:rsidRPr="006E688A" w:rsidRDefault="00CA557D" w:rsidP="00DB3D01">
      <w:pPr>
        <w:ind w:left="720"/>
        <w:rPr>
          <w:b/>
        </w:rPr>
      </w:pPr>
      <w:r w:rsidRPr="00821AA1">
        <w:rPr>
          <w:b/>
        </w:rPr>
        <w:t>Power</w:t>
      </w:r>
    </w:p>
    <w:p w14:paraId="2A4858ED" w14:textId="71EC5C30" w:rsidR="00F46038" w:rsidRPr="006E688A" w:rsidRDefault="00F46038" w:rsidP="00DB3D01">
      <w:pPr>
        <w:ind w:left="1440"/>
      </w:pPr>
    </w:p>
    <w:p w14:paraId="1EAC3334" w14:textId="3E2319C7" w:rsidR="00E95555" w:rsidRDefault="00082B57" w:rsidP="00DB3D01">
      <w:pPr>
        <w:ind w:left="720"/>
      </w:pPr>
      <w:r>
        <w:t>Power analysis is not applicable for this data collection as there are no experimental manipulations.</w:t>
      </w:r>
    </w:p>
    <w:p w14:paraId="66212B15" w14:textId="77777777" w:rsidR="00D553C5" w:rsidRDefault="00D553C5" w:rsidP="00DB3D01">
      <w:pPr>
        <w:spacing w:before="100" w:beforeAutospacing="1" w:after="100" w:afterAutospacing="1"/>
        <w:ind w:left="634" w:hanging="360"/>
        <w:contextualSpacing/>
        <w:rPr>
          <w:u w:val="single"/>
        </w:rPr>
      </w:pPr>
    </w:p>
    <w:p w14:paraId="29CE690F" w14:textId="6FA69EA6" w:rsidR="00CA557D" w:rsidRDefault="00834950" w:rsidP="00DB3D01">
      <w:pPr>
        <w:spacing w:before="100" w:beforeAutospacing="1" w:after="100" w:afterAutospacing="1"/>
        <w:ind w:left="634" w:hanging="360"/>
        <w:contextualSpacing/>
        <w:rPr>
          <w:u w:val="single"/>
        </w:rPr>
      </w:pPr>
      <w:r w:rsidRPr="00D553C5">
        <w:t xml:space="preserve">3. </w:t>
      </w:r>
      <w:r w:rsidR="00CA557D" w:rsidRPr="00E00EA0">
        <w:rPr>
          <w:u w:val="single"/>
        </w:rPr>
        <w:t>Methods to Maximize Response Rates and Deal with Non</w:t>
      </w:r>
      <w:r w:rsidR="00CA557D">
        <w:rPr>
          <w:u w:val="single"/>
        </w:rPr>
        <w:t>-</w:t>
      </w:r>
      <w:r w:rsidR="00C61410">
        <w:rPr>
          <w:u w:val="single"/>
        </w:rPr>
        <w:t>R</w:t>
      </w:r>
      <w:r w:rsidR="00CA557D" w:rsidRPr="00E00EA0">
        <w:rPr>
          <w:u w:val="single"/>
        </w:rPr>
        <w:t>esponse</w:t>
      </w:r>
    </w:p>
    <w:p w14:paraId="507BE5E4" w14:textId="77777777" w:rsidR="0097740B" w:rsidRPr="00E00EA0" w:rsidRDefault="0097740B" w:rsidP="00C749AB">
      <w:pPr>
        <w:spacing w:before="100" w:beforeAutospacing="1" w:after="100" w:afterAutospacing="1"/>
        <w:ind w:left="630"/>
        <w:contextualSpacing/>
        <w:rPr>
          <w:u w:val="single"/>
        </w:rPr>
      </w:pPr>
    </w:p>
    <w:p w14:paraId="33442FF1" w14:textId="44BED2FA" w:rsidR="00742CBC" w:rsidRDefault="006F1D35" w:rsidP="00DB3D01">
      <w:pPr>
        <w:ind w:left="630"/>
        <w:contextualSpacing/>
      </w:pPr>
      <w:r>
        <w:rPr>
          <w:color w:val="000000"/>
        </w:rPr>
        <w:t>Both the pretest</w:t>
      </w:r>
      <w:r w:rsidR="00742CBC">
        <w:rPr>
          <w:color w:val="000000"/>
        </w:rPr>
        <w:t xml:space="preserve"> and main </w:t>
      </w:r>
      <w:r w:rsidR="009C5007">
        <w:rPr>
          <w:color w:val="000000"/>
        </w:rPr>
        <w:t>s</w:t>
      </w:r>
      <w:r>
        <w:rPr>
          <w:color w:val="000000"/>
        </w:rPr>
        <w:t>tudies</w:t>
      </w:r>
      <w:r w:rsidR="00A14827">
        <w:rPr>
          <w:color w:val="000000"/>
        </w:rPr>
        <w:t xml:space="preserve"> will be administered </w:t>
      </w:r>
      <w:r>
        <w:rPr>
          <w:color w:val="000000"/>
        </w:rPr>
        <w:t>via Internet</w:t>
      </w:r>
      <w:r w:rsidR="00742CBC">
        <w:rPr>
          <w:color w:val="000000"/>
        </w:rPr>
        <w:t>. To help ensure that the participation rate is as high as possible</w:t>
      </w:r>
      <w:r w:rsidR="00742CBC">
        <w:t>, FDA and the contractor will</w:t>
      </w:r>
      <w:r w:rsidR="00742CBC" w:rsidRPr="005C7016">
        <w:t>:</w:t>
      </w:r>
    </w:p>
    <w:p w14:paraId="1C0BE85B" w14:textId="77777777" w:rsidR="00074EED" w:rsidRDefault="00074EED" w:rsidP="00C749AB">
      <w:pPr>
        <w:ind w:firstLine="630"/>
        <w:contextualSpacing/>
      </w:pPr>
    </w:p>
    <w:p w14:paraId="59F0042B" w14:textId="32228DD8" w:rsidR="00742CBC" w:rsidRDefault="00742CBC" w:rsidP="00C749AB">
      <w:pPr>
        <w:pStyle w:val="ListParagraph"/>
        <w:numPr>
          <w:ilvl w:val="0"/>
          <w:numId w:val="3"/>
        </w:numPr>
        <w:tabs>
          <w:tab w:val="left" w:pos="1080"/>
        </w:tabs>
        <w:ind w:left="1080" w:hanging="360"/>
      </w:pPr>
      <w:r w:rsidRPr="005C7016">
        <w:t>Design a</w:t>
      </w:r>
      <w:r>
        <w:t xml:space="preserve"> </w:t>
      </w:r>
      <w:r w:rsidRPr="005C7016">
        <w:t>protocol that minimizes burden (</w:t>
      </w:r>
      <w:r w:rsidR="00E728AA">
        <w:t>reasonable</w:t>
      </w:r>
      <w:r w:rsidRPr="005C7016">
        <w:t xml:space="preserve"> in length, clearly written, and with appealing graphics)</w:t>
      </w:r>
      <w:r w:rsidR="00E85022">
        <w:t>.</w:t>
      </w:r>
      <w:r w:rsidRPr="005C7016">
        <w:t xml:space="preserve"> </w:t>
      </w:r>
    </w:p>
    <w:p w14:paraId="015B87C7" w14:textId="77777777" w:rsidR="00074EED" w:rsidRDefault="00074EED" w:rsidP="006F1D35">
      <w:pPr>
        <w:tabs>
          <w:tab w:val="left" w:pos="1080"/>
        </w:tabs>
      </w:pPr>
    </w:p>
    <w:p w14:paraId="24DF8709" w14:textId="193E2C6B" w:rsidR="00863625" w:rsidRDefault="00863625" w:rsidP="00C749AB">
      <w:pPr>
        <w:pStyle w:val="ListParagraph"/>
        <w:numPr>
          <w:ilvl w:val="0"/>
          <w:numId w:val="3"/>
        </w:numPr>
        <w:tabs>
          <w:tab w:val="left" w:pos="1080"/>
        </w:tabs>
        <w:ind w:left="1080" w:hanging="360"/>
      </w:pPr>
      <w:r>
        <w:t>Use incentive rates that meet industry standards.</w:t>
      </w:r>
      <w:r w:rsidRPr="00863625">
        <w:t xml:space="preserve"> </w:t>
      </w:r>
      <w:r>
        <w:t>In addition to offsetting respondent burden, u</w:t>
      </w:r>
      <w:r w:rsidRPr="007D4D0E">
        <w:t xml:space="preserve">sing market-rate incentives </w:t>
      </w:r>
      <w:r>
        <w:t xml:space="preserve">tends to increase response rates, reduce sampling bias, and reduce nonresponse bias. </w:t>
      </w:r>
    </w:p>
    <w:p w14:paraId="6BEAC035" w14:textId="77777777" w:rsidR="000933B1" w:rsidRDefault="000933B1" w:rsidP="00D2339E">
      <w:pPr>
        <w:pStyle w:val="ListParagraph"/>
      </w:pPr>
    </w:p>
    <w:p w14:paraId="013AB9D9" w14:textId="68EA8230" w:rsidR="000933B1" w:rsidRDefault="000933B1" w:rsidP="00C749AB">
      <w:pPr>
        <w:pStyle w:val="ListParagraph"/>
        <w:numPr>
          <w:ilvl w:val="0"/>
          <w:numId w:val="3"/>
        </w:numPr>
        <w:tabs>
          <w:tab w:val="left" w:pos="1080"/>
        </w:tabs>
        <w:ind w:left="1080" w:hanging="360"/>
      </w:pPr>
      <w:r>
        <w:t xml:space="preserve">Use government sponsorship on the survey invite to increase response rate. </w:t>
      </w:r>
      <w:r w:rsidR="00852366" w:rsidRPr="00852366">
        <w:t>An experiment conducted by FDA and RTI</w:t>
      </w:r>
      <w:r w:rsidR="004C6BFB">
        <w:rPr>
          <w:rStyle w:val="FootnoteReference"/>
        </w:rPr>
        <w:footnoteReference w:id="4"/>
      </w:r>
      <w:r w:rsidR="00852366" w:rsidRPr="00852366">
        <w:t xml:space="preserve"> found that among endocrinologists, response rates were 6 percentage points higher when FDA was disclosed as the sponsor in the survey invitation than when no sponsor was listed.</w:t>
      </w:r>
      <w:r w:rsidR="004C6BFB">
        <w:t xml:space="preserve"> </w:t>
      </w:r>
      <w:r w:rsidR="00B92C62">
        <w:t xml:space="preserve">However, due to concerns raised in the public comments that mentioning FDA could </w:t>
      </w:r>
      <w:r w:rsidR="00B92C62" w:rsidRPr="00B651B5">
        <w:t>potentially influence subjects’ responses to study questions</w:t>
      </w:r>
      <w:r w:rsidR="00B92C62">
        <w:t xml:space="preserve">, we will </w:t>
      </w:r>
      <w:r w:rsidR="00B92C62" w:rsidRPr="00B651B5">
        <w:t>ensure that all materials reference the U.S. Department of Health and Human Services rather than FDA</w:t>
      </w:r>
      <w:r w:rsidR="00B92C62">
        <w:t>.</w:t>
      </w:r>
    </w:p>
    <w:p w14:paraId="32302C56" w14:textId="77777777" w:rsidR="00082B57" w:rsidRDefault="00082B57" w:rsidP="00082B57">
      <w:pPr>
        <w:pStyle w:val="ListParagraph"/>
      </w:pPr>
    </w:p>
    <w:p w14:paraId="07916965" w14:textId="17AFF8B1" w:rsidR="00082B57" w:rsidRDefault="00082B57" w:rsidP="00DB3D01">
      <w:pPr>
        <w:tabs>
          <w:tab w:val="left" w:pos="1080"/>
        </w:tabs>
        <w:ind w:left="630"/>
      </w:pPr>
      <w:r>
        <w:t>An analysis of item nonresponse will be made in the main survey (and the screener as well if it is an issue there). Item nonresponse rates will be tabulated for the questionnaire items (allowing for skip patterns). An analysis will be made of any questionnaire items that register unusually high item nonresponse rates. Multivariate item nonresponse relationships will be evaluated, including monotonicity patterns such as breakoffs (all items dropped after a particular item), and other types of ‘blocks’ of multivariate item nonresponse. High levels of item nonresponse in particular items will have their correlations with other questionnaire item results in both the screener and main survey analyzed (tabulating how much the item nonresponse is concentrating in a particular subgroup of health providers).</w:t>
      </w:r>
    </w:p>
    <w:p w14:paraId="11F504D2" w14:textId="6E3A14FD" w:rsidR="00CA557D" w:rsidRPr="00DB3D01" w:rsidRDefault="00CA557D" w:rsidP="00DB3D01">
      <w:pPr>
        <w:pStyle w:val="ListParagraph"/>
        <w:numPr>
          <w:ilvl w:val="0"/>
          <w:numId w:val="18"/>
        </w:numPr>
        <w:spacing w:before="100" w:beforeAutospacing="1" w:after="100" w:afterAutospacing="1"/>
        <w:rPr>
          <w:u w:val="single"/>
        </w:rPr>
      </w:pPr>
      <w:r w:rsidRPr="00DB3D01">
        <w:rPr>
          <w:u w:val="single"/>
        </w:rPr>
        <w:t>Test of Procedures or Methods to be Undertaken</w:t>
      </w:r>
    </w:p>
    <w:p w14:paraId="7FC6A2E9" w14:textId="466B0EAF" w:rsidR="00CA557D" w:rsidRDefault="00E728AA" w:rsidP="001873E6">
      <w:pPr>
        <w:ind w:left="990"/>
        <w:contextualSpacing/>
      </w:pPr>
      <w:r>
        <w:t>Nine c</w:t>
      </w:r>
      <w:r w:rsidR="00444633">
        <w:t xml:space="preserve">ognitive interviews </w:t>
      </w:r>
      <w:r w:rsidR="003B212C">
        <w:t>were</w:t>
      </w:r>
      <w:r w:rsidR="00444633">
        <w:t xml:space="preserve"> conducted </w:t>
      </w:r>
      <w:r>
        <w:t xml:space="preserve">per questionnaire </w:t>
      </w:r>
      <w:r w:rsidR="00FF72A6">
        <w:t>to assess questionnaire flow</w:t>
      </w:r>
      <w:r w:rsidR="0063543A">
        <w:t xml:space="preserve"> and wording</w:t>
      </w:r>
      <w:r w:rsidR="00444633">
        <w:t xml:space="preserve">.  </w:t>
      </w:r>
      <w:r w:rsidR="003B212C">
        <w:t>We</w:t>
      </w:r>
      <w:r w:rsidR="00444633">
        <w:t xml:space="preserve"> plan to co</w:t>
      </w:r>
      <w:r w:rsidR="00985276">
        <w:t>nduct two</w:t>
      </w:r>
      <w:r w:rsidR="00787D62">
        <w:t xml:space="preserve"> pretest</w:t>
      </w:r>
      <w:r w:rsidR="00985276">
        <w:t>s</w:t>
      </w:r>
      <w:r w:rsidR="00444633">
        <w:t xml:space="preserve"> on a large</w:t>
      </w:r>
      <w:r w:rsidR="00787D62">
        <w:t>r scale to ensure the main studies</w:t>
      </w:r>
      <w:r w:rsidR="00444633">
        <w:t xml:space="preserve"> will run s</w:t>
      </w:r>
      <w:r w:rsidR="00181F3B">
        <w:t xml:space="preserve">moothly.  We propose to test </w:t>
      </w:r>
      <w:r w:rsidR="00985276">
        <w:t>500</w:t>
      </w:r>
      <w:r w:rsidR="00444633">
        <w:t xml:space="preserve"> individuals in </w:t>
      </w:r>
      <w:r w:rsidR="00985276">
        <w:t xml:space="preserve">each </w:t>
      </w:r>
      <w:r w:rsidR="00444633">
        <w:t xml:space="preserve">pretest.  </w:t>
      </w:r>
    </w:p>
    <w:p w14:paraId="752FF19F" w14:textId="77777777" w:rsidR="0097740B" w:rsidRPr="00FC728D" w:rsidRDefault="0097740B" w:rsidP="00C749AB">
      <w:pPr>
        <w:ind w:firstLine="630"/>
        <w:contextualSpacing/>
      </w:pPr>
    </w:p>
    <w:p w14:paraId="0264AE73" w14:textId="77777777" w:rsidR="00CA557D" w:rsidRPr="00C749AB" w:rsidRDefault="00CA557D" w:rsidP="00DB3D01">
      <w:pPr>
        <w:numPr>
          <w:ilvl w:val="0"/>
          <w:numId w:val="18"/>
        </w:numPr>
        <w:spacing w:before="100" w:beforeAutospacing="1" w:after="100" w:afterAutospacing="1"/>
        <w:contextualSpacing/>
      </w:pPr>
      <w:r w:rsidRPr="00E00EA0">
        <w:rPr>
          <w:u w:val="single"/>
        </w:rPr>
        <w:t>Individuals Consulted on Statistical Aspects and Individuals Collecting and/or Analyzing Data</w:t>
      </w:r>
    </w:p>
    <w:p w14:paraId="263EC0EC" w14:textId="77777777" w:rsidR="0097740B" w:rsidRPr="00901043" w:rsidRDefault="0097740B" w:rsidP="00C749AB">
      <w:pPr>
        <w:spacing w:before="100" w:beforeAutospacing="1" w:after="100" w:afterAutospacing="1"/>
        <w:ind w:left="630"/>
        <w:contextualSpacing/>
      </w:pPr>
    </w:p>
    <w:p w14:paraId="6B85112C" w14:textId="029B64E6" w:rsidR="00CA557D" w:rsidRPr="004C6979" w:rsidRDefault="00CA557D" w:rsidP="00F1111B">
      <w:pPr>
        <w:spacing w:before="100" w:beforeAutospacing="1" w:after="100" w:afterAutospacing="1"/>
        <w:ind w:left="990"/>
        <w:contextualSpacing/>
        <w:rPr>
          <w:b/>
        </w:rPr>
      </w:pPr>
      <w:r w:rsidRPr="000F1691">
        <w:t xml:space="preserve">The contractor, </w:t>
      </w:r>
      <w:r w:rsidR="000B012A">
        <w:t>Westat</w:t>
      </w:r>
      <w:r w:rsidRPr="000F1691">
        <w:t>,</w:t>
      </w:r>
      <w:r>
        <w:t xml:space="preserve"> will collect and analyze</w:t>
      </w:r>
      <w:r w:rsidRPr="000F1691">
        <w:t xml:space="preserve"> </w:t>
      </w:r>
      <w:r>
        <w:t xml:space="preserve">the data </w:t>
      </w:r>
      <w:r w:rsidRPr="000F1691">
        <w:t>on behalf of FDA as a task order under Contract HHSF223</w:t>
      </w:r>
      <w:r w:rsidR="000F73D3">
        <w:t>201</w:t>
      </w:r>
      <w:r w:rsidR="00407D9C">
        <w:t>510001</w:t>
      </w:r>
      <w:r w:rsidR="0063543A">
        <w:t>B</w:t>
      </w:r>
      <w:r w:rsidRPr="000F1691">
        <w:t xml:space="preserve">. </w:t>
      </w:r>
      <w:r w:rsidR="000B012A">
        <w:t>Simani Price</w:t>
      </w:r>
      <w:r>
        <w:t>, Ph.D</w:t>
      </w:r>
      <w:r w:rsidRPr="00423C0D">
        <w:t>.</w:t>
      </w:r>
      <w:r w:rsidR="00C816ED">
        <w:t>,</w:t>
      </w:r>
      <w:r w:rsidRPr="00423C0D">
        <w:t xml:space="preserve"> </w:t>
      </w:r>
      <w:r w:rsidR="000B012A">
        <w:t>301-610-5536</w:t>
      </w:r>
      <w:r w:rsidRPr="00423C0D">
        <w:rPr>
          <w:noProof/>
        </w:rPr>
        <w:t xml:space="preserve">, </w:t>
      </w:r>
      <w:r w:rsidRPr="00423C0D">
        <w:t>is the Project Director for this project</w:t>
      </w:r>
      <w:r w:rsidRPr="00423C0D">
        <w:rPr>
          <w:noProof/>
        </w:rPr>
        <w:t xml:space="preserve">. </w:t>
      </w:r>
      <w:r w:rsidRPr="000F1691">
        <w:rPr>
          <w:noProof/>
        </w:rPr>
        <w:t>Data</w:t>
      </w:r>
      <w:r w:rsidRPr="000F1691">
        <w:rPr>
          <w:noProof/>
          <w:color w:val="000080"/>
        </w:rPr>
        <w:t xml:space="preserve"> </w:t>
      </w:r>
      <w:r w:rsidRPr="000F1691">
        <w:t>analysis will be overseen by</w:t>
      </w:r>
      <w:r>
        <w:t xml:space="preserve"> the Research Team, Office of Prescription Drug Promotion (OPDP), Office of Medical Policy, CDER, FDA, and coordinated by </w:t>
      </w:r>
      <w:r w:rsidR="00D05FD9">
        <w:t>Amie C. O’Donoghue</w:t>
      </w:r>
      <w:r w:rsidR="00C816ED">
        <w:t>, Ph.D., 301-79</w:t>
      </w:r>
      <w:r w:rsidR="00D05FD9">
        <w:t>6-0574</w:t>
      </w:r>
      <w:r w:rsidR="00FC728D">
        <w:t>,</w:t>
      </w:r>
      <w:r w:rsidR="00C816ED">
        <w:t xml:space="preserve"> and </w:t>
      </w:r>
      <w:r w:rsidR="000B012A">
        <w:t>Kathryn J. Aikin</w:t>
      </w:r>
      <w:r>
        <w:t>, Ph.D</w:t>
      </w:r>
      <w:r w:rsidRPr="00976C58">
        <w:t xml:space="preserve">., </w:t>
      </w:r>
      <w:r w:rsidR="000B012A">
        <w:t>301-796-0569</w:t>
      </w:r>
      <w:r>
        <w:t>.</w:t>
      </w:r>
    </w:p>
    <w:p w14:paraId="6AF0A2F2" w14:textId="77777777" w:rsidR="003E7CB2" w:rsidRDefault="003E7CB2" w:rsidP="00D05FD9">
      <w:pPr>
        <w:spacing w:line="276" w:lineRule="auto"/>
      </w:pPr>
    </w:p>
    <w:sectPr w:rsidR="003E7CB2" w:rsidSect="00852CDF">
      <w:footerReference w:type="even" r:id="rId12"/>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A76D03" w14:textId="77777777" w:rsidR="00423F6C" w:rsidRDefault="00423F6C" w:rsidP="00CA557D">
      <w:r>
        <w:separator/>
      </w:r>
    </w:p>
  </w:endnote>
  <w:endnote w:type="continuationSeparator" w:id="0">
    <w:p w14:paraId="3F91EE50" w14:textId="77777777" w:rsidR="00423F6C" w:rsidRDefault="00423F6C" w:rsidP="00CA5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HelveticaNeueLT-Light">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3DBFB" w14:textId="77777777" w:rsidR="008A538B" w:rsidRDefault="008A538B" w:rsidP="00852C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CB10BD" w14:textId="77777777" w:rsidR="008A538B" w:rsidRDefault="008A53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39BB1" w14:textId="63884221" w:rsidR="008A538B" w:rsidRDefault="008A538B" w:rsidP="00852C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A183D">
      <w:rPr>
        <w:rStyle w:val="PageNumber"/>
        <w:noProof/>
      </w:rPr>
      <w:t>1</w:t>
    </w:r>
    <w:r>
      <w:rPr>
        <w:rStyle w:val="PageNumber"/>
      </w:rPr>
      <w:fldChar w:fldCharType="end"/>
    </w:r>
  </w:p>
  <w:p w14:paraId="70F8AA7E" w14:textId="77777777" w:rsidR="008A538B" w:rsidRDefault="008A53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4E8C39" w14:textId="77777777" w:rsidR="00423F6C" w:rsidRDefault="00423F6C" w:rsidP="00CA557D">
      <w:r>
        <w:separator/>
      </w:r>
    </w:p>
  </w:footnote>
  <w:footnote w:type="continuationSeparator" w:id="0">
    <w:p w14:paraId="58225A5A" w14:textId="77777777" w:rsidR="00423F6C" w:rsidRDefault="00423F6C" w:rsidP="00CA557D">
      <w:r>
        <w:continuationSeparator/>
      </w:r>
    </w:p>
  </w:footnote>
  <w:footnote w:id="1">
    <w:p w14:paraId="514C8C75" w14:textId="77777777" w:rsidR="00006713" w:rsidRDefault="00006713" w:rsidP="00006713">
      <w:pPr>
        <w:pStyle w:val="FootnoteText"/>
      </w:pPr>
      <w:r>
        <w:rPr>
          <w:rStyle w:val="FootnoteReference"/>
        </w:rPr>
        <w:footnoteRef/>
      </w:r>
      <w:r>
        <w:tab/>
        <w:t>Five categories: 25- to 34-year-olds, 35- to 44-year-olds, 45- to 54-year-olds, 55- to 64-year-olds, and over-65-year-olds.</w:t>
      </w:r>
    </w:p>
  </w:footnote>
  <w:footnote w:id="2">
    <w:p w14:paraId="00B5489D" w14:textId="77777777" w:rsidR="00006713" w:rsidRDefault="00006713" w:rsidP="00006713">
      <w:pPr>
        <w:pStyle w:val="FootnoteText"/>
      </w:pPr>
      <w:r>
        <w:rPr>
          <w:rStyle w:val="FootnoteReference"/>
        </w:rPr>
        <w:footnoteRef/>
      </w:r>
      <w:r>
        <w:tab/>
        <w:t>Cardiologists, dermatologists, endocrinologists, neurologists, OB/GYNs, oncologists, ophthalmologists, psychiatrists, rheumatologists, urologists.</w:t>
      </w:r>
    </w:p>
    <w:p w14:paraId="45AF55EC" w14:textId="77777777" w:rsidR="00006713" w:rsidRDefault="00006713" w:rsidP="00006713">
      <w:pPr>
        <w:pStyle w:val="FootnoteText"/>
      </w:pPr>
    </w:p>
  </w:footnote>
  <w:footnote w:id="3">
    <w:p w14:paraId="41EAC904" w14:textId="77777777" w:rsidR="00082B57" w:rsidRPr="008A275A" w:rsidRDefault="00082B57" w:rsidP="00082B57">
      <w:pPr>
        <w:pStyle w:val="FootnoteText"/>
      </w:pPr>
      <w:r w:rsidRPr="008A275A">
        <w:rPr>
          <w:rStyle w:val="FootnoteReference"/>
          <w:sz w:val="18"/>
          <w:szCs w:val="18"/>
        </w:rPr>
        <w:footnoteRef/>
      </w:r>
      <w:r>
        <w:tab/>
      </w:r>
      <w:r w:rsidRPr="008A275A">
        <w:t xml:space="preserve">The false discovery rate is the proportion of rejected null hypotheses for which the null hypothesis is in fact true (a </w:t>
      </w:r>
      <w:r>
        <w:t>“</w:t>
      </w:r>
      <w:r w:rsidRPr="008A275A">
        <w:t>false discovery</w:t>
      </w:r>
      <w:r>
        <w:t>”</w:t>
      </w:r>
      <w:r w:rsidRPr="008A275A">
        <w:t xml:space="preserve">). Benjamini-Hochberg is less conservative than the Bonferroni approach to </w:t>
      </w:r>
      <w:r>
        <w:t xml:space="preserve">deciding on significance levels for </w:t>
      </w:r>
      <w:r w:rsidRPr="008A275A">
        <w:t>multiple compari</w:t>
      </w:r>
      <w:r>
        <w:t xml:space="preserve">sons (i.e., it allows for more significant results). </w:t>
      </w:r>
    </w:p>
  </w:footnote>
  <w:footnote w:id="4">
    <w:p w14:paraId="1DDEA3D5" w14:textId="6008C3B6" w:rsidR="004C6BFB" w:rsidRDefault="004C6BFB">
      <w:pPr>
        <w:pStyle w:val="FootnoteText"/>
      </w:pPr>
      <w:r>
        <w:rPr>
          <w:rStyle w:val="FootnoteReference"/>
        </w:rPr>
        <w:footnoteRef/>
      </w:r>
      <w:r>
        <w:t xml:space="preserve"> Aikin, KJ; Betts, K; Boudewyns, V; Stine, A; &amp; Southwell, B. (2016). Physician responsiveness to survey incentives and sponsorship in prescription drug advertising research. </w:t>
      </w:r>
      <w:r>
        <w:rPr>
          <w:i/>
        </w:rPr>
        <w:t>Annals of Behavioral Medicine, 50</w:t>
      </w:r>
      <w:r>
        <w:t xml:space="preserve">(Suppl.), s251.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0304"/>
    <w:multiLevelType w:val="hybridMultilevel"/>
    <w:tmpl w:val="B3706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A34062"/>
    <w:multiLevelType w:val="hybridMultilevel"/>
    <w:tmpl w:val="4FE0C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002856"/>
    <w:multiLevelType w:val="hybridMultilevel"/>
    <w:tmpl w:val="2B1EA6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12E06039"/>
    <w:multiLevelType w:val="multilevel"/>
    <w:tmpl w:val="154ED458"/>
    <w:numStyleLink w:val="Format4"/>
  </w:abstractNum>
  <w:abstractNum w:abstractNumId="4">
    <w:nsid w:val="199B0AED"/>
    <w:multiLevelType w:val="multilevel"/>
    <w:tmpl w:val="154ED458"/>
    <w:styleLink w:val="Format4"/>
    <w:lvl w:ilvl="0">
      <w:start w:val="1"/>
      <w:numFmt w:val="decimal"/>
      <w:pStyle w:val="Heading1"/>
      <w:lvlText w:val="%1."/>
      <w:lvlJc w:val="left"/>
      <w:pPr>
        <w:ind w:left="3240" w:hanging="360"/>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FB80EB6"/>
    <w:multiLevelType w:val="hybridMultilevel"/>
    <w:tmpl w:val="3F227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CC2751"/>
    <w:multiLevelType w:val="hybridMultilevel"/>
    <w:tmpl w:val="EBEEA8B6"/>
    <w:lvl w:ilvl="0" w:tplc="6A383CCC">
      <w:start w:val="1"/>
      <w:numFmt w:val="upperRoman"/>
      <w:lvlText w:val="%1."/>
      <w:lvlJc w:val="left"/>
      <w:pPr>
        <w:ind w:left="720" w:hanging="720"/>
      </w:pPr>
      <w:rPr>
        <w:rFonts w:hint="default"/>
      </w:r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19">
      <w:start w:val="1"/>
      <w:numFmt w:val="lowerLetter"/>
      <w:lvlText w:val="%4."/>
      <w:lvlJc w:val="left"/>
      <w:pPr>
        <w:ind w:left="2520" w:hanging="360"/>
      </w:pPr>
    </w:lvl>
    <w:lvl w:ilvl="4" w:tplc="0409000F">
      <w:start w:val="1"/>
      <w:numFmt w:val="decimal"/>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8FD062F"/>
    <w:multiLevelType w:val="hybridMultilevel"/>
    <w:tmpl w:val="EEB071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AE0FAA"/>
    <w:multiLevelType w:val="hybridMultilevel"/>
    <w:tmpl w:val="531480F4"/>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nsid w:val="45A624E3"/>
    <w:multiLevelType w:val="hybridMultilevel"/>
    <w:tmpl w:val="B54A8118"/>
    <w:lvl w:ilvl="0" w:tplc="B4EE98C2">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A97385B"/>
    <w:multiLevelType w:val="multilevel"/>
    <w:tmpl w:val="6870F082"/>
    <w:lvl w:ilvl="0">
      <w:start w:val="1"/>
      <w:numFmt w:val="decimal"/>
      <w:lvlText w:val="%1."/>
      <w:lvlJc w:val="left"/>
      <w:pPr>
        <w:tabs>
          <w:tab w:val="num" w:pos="630"/>
        </w:tabs>
        <w:ind w:left="6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F0948A1"/>
    <w:multiLevelType w:val="hybridMultilevel"/>
    <w:tmpl w:val="F66A055E"/>
    <w:lvl w:ilvl="0" w:tplc="51C44CB6">
      <w:numFmt w:val="bullet"/>
      <w:lvlText w:val="•"/>
      <w:lvlJc w:val="left"/>
      <w:pPr>
        <w:ind w:left="1440" w:hanging="720"/>
      </w:pPr>
      <w:rPr>
        <w:rFonts w:ascii="HelveticaNeueLT-Light" w:eastAsia="Times New Roman" w:hAnsi="HelveticaNeueLT-Light"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73F4A3C"/>
    <w:multiLevelType w:val="hybridMultilevel"/>
    <w:tmpl w:val="B02AB586"/>
    <w:lvl w:ilvl="0" w:tplc="5F20D590">
      <w:start w:val="1"/>
      <w:numFmt w:val="bullet"/>
      <w:pStyle w:val="SurveyCheckboxList"/>
      <w:lvlText w:val=""/>
      <w:lvlJc w:val="left"/>
      <w:pPr>
        <w:tabs>
          <w:tab w:val="num" w:pos="1460"/>
        </w:tabs>
        <w:ind w:left="1460" w:hanging="360"/>
      </w:pPr>
      <w:rPr>
        <w:rFonts w:ascii="Symbol" w:hAnsi="Symbol" w:hint="default"/>
        <w:sz w:val="36"/>
        <w:szCs w:val="36"/>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5C45EFC"/>
    <w:multiLevelType w:val="hybridMultilevel"/>
    <w:tmpl w:val="FD2C1BE6"/>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C2616C"/>
    <w:multiLevelType w:val="hybridMultilevel"/>
    <w:tmpl w:val="522A80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F183FF5"/>
    <w:multiLevelType w:val="hybridMultilevel"/>
    <w:tmpl w:val="D3E23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E665988"/>
    <w:multiLevelType w:val="hybridMultilevel"/>
    <w:tmpl w:val="F7D07226"/>
    <w:lvl w:ilvl="0" w:tplc="91723930">
      <w:start w:val="1"/>
      <w:numFmt w:val="bullet"/>
      <w:lvlText w:val=""/>
      <w:lvlJc w:val="left"/>
      <w:pPr>
        <w:tabs>
          <w:tab w:val="num" w:pos="720"/>
        </w:tabs>
        <w:ind w:left="720" w:hanging="360"/>
      </w:pPr>
      <w:rPr>
        <w:rFonts w:ascii="Symbol" w:hAnsi="Symbol" w:hint="default"/>
        <w:color w:val="auto"/>
        <w:sz w:val="18"/>
        <w:szCs w:val="18"/>
      </w:rPr>
    </w:lvl>
    <w:lvl w:ilvl="1" w:tplc="04090003">
      <w:start w:val="1"/>
      <w:numFmt w:val="bullet"/>
      <w:lvlText w:val=""/>
      <w:lvlJc w:val="left"/>
      <w:pPr>
        <w:tabs>
          <w:tab w:val="num" w:pos="1440"/>
        </w:tabs>
        <w:ind w:left="1440" w:hanging="360"/>
      </w:pPr>
      <w:rPr>
        <w:rFonts w:ascii="Symbol" w:hAnsi="Symbol"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F6E67CF"/>
    <w:multiLevelType w:val="hybridMultilevel"/>
    <w:tmpl w:val="7CAE7B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1"/>
  </w:num>
  <w:num w:numId="4">
    <w:abstractNumId w:val="2"/>
  </w:num>
  <w:num w:numId="5">
    <w:abstractNumId w:val="14"/>
  </w:num>
  <w:num w:numId="6">
    <w:abstractNumId w:val="4"/>
  </w:num>
  <w:num w:numId="7">
    <w:abstractNumId w:val="3"/>
  </w:num>
  <w:num w:numId="8">
    <w:abstractNumId w:val="15"/>
  </w:num>
  <w:num w:numId="9">
    <w:abstractNumId w:val="17"/>
  </w:num>
  <w:num w:numId="10">
    <w:abstractNumId w:val="9"/>
  </w:num>
  <w:num w:numId="11">
    <w:abstractNumId w:val="13"/>
  </w:num>
  <w:num w:numId="12">
    <w:abstractNumId w:val="7"/>
  </w:num>
  <w:num w:numId="13">
    <w:abstractNumId w:val="16"/>
  </w:num>
  <w:num w:numId="14">
    <w:abstractNumId w:val="5"/>
  </w:num>
  <w:num w:numId="15">
    <w:abstractNumId w:val="0"/>
  </w:num>
  <w:num w:numId="16">
    <w:abstractNumId w:val="6"/>
  </w:num>
  <w:num w:numId="17">
    <w:abstractNumId w:val="1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57D"/>
    <w:rsid w:val="0000253E"/>
    <w:rsid w:val="00006713"/>
    <w:rsid w:val="00026EA7"/>
    <w:rsid w:val="00035D92"/>
    <w:rsid w:val="00067D63"/>
    <w:rsid w:val="00074EED"/>
    <w:rsid w:val="000753E5"/>
    <w:rsid w:val="0007565D"/>
    <w:rsid w:val="00082B57"/>
    <w:rsid w:val="00085C29"/>
    <w:rsid w:val="00085F3B"/>
    <w:rsid w:val="00087C35"/>
    <w:rsid w:val="000900F4"/>
    <w:rsid w:val="000933B1"/>
    <w:rsid w:val="00097FAF"/>
    <w:rsid w:val="000A3188"/>
    <w:rsid w:val="000A4E9E"/>
    <w:rsid w:val="000B012A"/>
    <w:rsid w:val="000C6DC7"/>
    <w:rsid w:val="000D18C4"/>
    <w:rsid w:val="000E33F2"/>
    <w:rsid w:val="000F73D3"/>
    <w:rsid w:val="000F7AA6"/>
    <w:rsid w:val="0010513F"/>
    <w:rsid w:val="0011729B"/>
    <w:rsid w:val="00130E05"/>
    <w:rsid w:val="00134422"/>
    <w:rsid w:val="00135951"/>
    <w:rsid w:val="001416C8"/>
    <w:rsid w:val="00173EA6"/>
    <w:rsid w:val="00181F3B"/>
    <w:rsid w:val="00187029"/>
    <w:rsid w:val="001873E6"/>
    <w:rsid w:val="00187902"/>
    <w:rsid w:val="001B01BF"/>
    <w:rsid w:val="001B1BBD"/>
    <w:rsid w:val="001B43A6"/>
    <w:rsid w:val="001C6B82"/>
    <w:rsid w:val="001D028C"/>
    <w:rsid w:val="00211DFB"/>
    <w:rsid w:val="00233AE4"/>
    <w:rsid w:val="00265EB4"/>
    <w:rsid w:val="00282179"/>
    <w:rsid w:val="002A1D6D"/>
    <w:rsid w:val="002B576B"/>
    <w:rsid w:val="002C5730"/>
    <w:rsid w:val="002D046B"/>
    <w:rsid w:val="002E0B97"/>
    <w:rsid w:val="002F6CE9"/>
    <w:rsid w:val="0030047C"/>
    <w:rsid w:val="00302C84"/>
    <w:rsid w:val="00303C58"/>
    <w:rsid w:val="00307250"/>
    <w:rsid w:val="00307531"/>
    <w:rsid w:val="00310D5F"/>
    <w:rsid w:val="00311F22"/>
    <w:rsid w:val="0031211F"/>
    <w:rsid w:val="0034036A"/>
    <w:rsid w:val="003439D6"/>
    <w:rsid w:val="00355F0D"/>
    <w:rsid w:val="00357349"/>
    <w:rsid w:val="00363CF7"/>
    <w:rsid w:val="0036408D"/>
    <w:rsid w:val="00382B87"/>
    <w:rsid w:val="00383C24"/>
    <w:rsid w:val="003A2F75"/>
    <w:rsid w:val="003B212C"/>
    <w:rsid w:val="003B6518"/>
    <w:rsid w:val="003C2B5D"/>
    <w:rsid w:val="003D351D"/>
    <w:rsid w:val="003E58D6"/>
    <w:rsid w:val="003E7CB2"/>
    <w:rsid w:val="003F1AB6"/>
    <w:rsid w:val="003F6667"/>
    <w:rsid w:val="00402FA5"/>
    <w:rsid w:val="00403E48"/>
    <w:rsid w:val="00407D9C"/>
    <w:rsid w:val="00411439"/>
    <w:rsid w:val="00416282"/>
    <w:rsid w:val="00423F6C"/>
    <w:rsid w:val="0043643E"/>
    <w:rsid w:val="00444633"/>
    <w:rsid w:val="004466A5"/>
    <w:rsid w:val="00446A2C"/>
    <w:rsid w:val="00451DF1"/>
    <w:rsid w:val="004526D6"/>
    <w:rsid w:val="004550B9"/>
    <w:rsid w:val="00457ED6"/>
    <w:rsid w:val="00473190"/>
    <w:rsid w:val="00484958"/>
    <w:rsid w:val="00486D95"/>
    <w:rsid w:val="004C1045"/>
    <w:rsid w:val="004C6BFB"/>
    <w:rsid w:val="004D06F2"/>
    <w:rsid w:val="004D1804"/>
    <w:rsid w:val="004D23BB"/>
    <w:rsid w:val="004D5F7E"/>
    <w:rsid w:val="004E3F66"/>
    <w:rsid w:val="004E7D66"/>
    <w:rsid w:val="005026ED"/>
    <w:rsid w:val="00515BD8"/>
    <w:rsid w:val="005160EC"/>
    <w:rsid w:val="00523A0D"/>
    <w:rsid w:val="0052413A"/>
    <w:rsid w:val="0052445F"/>
    <w:rsid w:val="005300DD"/>
    <w:rsid w:val="00532C9F"/>
    <w:rsid w:val="00533AA8"/>
    <w:rsid w:val="00552406"/>
    <w:rsid w:val="00552D02"/>
    <w:rsid w:val="005872B9"/>
    <w:rsid w:val="005B5FC4"/>
    <w:rsid w:val="005D4E16"/>
    <w:rsid w:val="005E6C6A"/>
    <w:rsid w:val="005E7E7C"/>
    <w:rsid w:val="005F1773"/>
    <w:rsid w:val="005F75B5"/>
    <w:rsid w:val="00604567"/>
    <w:rsid w:val="00620AEC"/>
    <w:rsid w:val="0063475B"/>
    <w:rsid w:val="0063543A"/>
    <w:rsid w:val="00640380"/>
    <w:rsid w:val="00655947"/>
    <w:rsid w:val="00662759"/>
    <w:rsid w:val="00672A09"/>
    <w:rsid w:val="006814CC"/>
    <w:rsid w:val="00696B2E"/>
    <w:rsid w:val="006975AB"/>
    <w:rsid w:val="006A3A1C"/>
    <w:rsid w:val="006B4F7F"/>
    <w:rsid w:val="006B7681"/>
    <w:rsid w:val="006B7FB9"/>
    <w:rsid w:val="006D3FDB"/>
    <w:rsid w:val="006D5D5A"/>
    <w:rsid w:val="006D7E73"/>
    <w:rsid w:val="006E688A"/>
    <w:rsid w:val="006F1D35"/>
    <w:rsid w:val="00702383"/>
    <w:rsid w:val="00723D1C"/>
    <w:rsid w:val="00732BFC"/>
    <w:rsid w:val="00742CBC"/>
    <w:rsid w:val="00746C39"/>
    <w:rsid w:val="007539B3"/>
    <w:rsid w:val="0075408F"/>
    <w:rsid w:val="00760C09"/>
    <w:rsid w:val="00787D62"/>
    <w:rsid w:val="00790AD0"/>
    <w:rsid w:val="00792124"/>
    <w:rsid w:val="00795FCC"/>
    <w:rsid w:val="007B5B5C"/>
    <w:rsid w:val="007C0AF4"/>
    <w:rsid w:val="007F3092"/>
    <w:rsid w:val="008164F2"/>
    <w:rsid w:val="00827736"/>
    <w:rsid w:val="008331F1"/>
    <w:rsid w:val="008335C0"/>
    <w:rsid w:val="00834950"/>
    <w:rsid w:val="00835A14"/>
    <w:rsid w:val="00841AED"/>
    <w:rsid w:val="00841C8C"/>
    <w:rsid w:val="008433D4"/>
    <w:rsid w:val="00852366"/>
    <w:rsid w:val="00852CDF"/>
    <w:rsid w:val="00856C02"/>
    <w:rsid w:val="008605DD"/>
    <w:rsid w:val="00863625"/>
    <w:rsid w:val="00867E7D"/>
    <w:rsid w:val="00870AD5"/>
    <w:rsid w:val="008A2674"/>
    <w:rsid w:val="008A538B"/>
    <w:rsid w:val="008A7BE7"/>
    <w:rsid w:val="008C7DBD"/>
    <w:rsid w:val="008D428B"/>
    <w:rsid w:val="008D614C"/>
    <w:rsid w:val="008E2E04"/>
    <w:rsid w:val="008E632E"/>
    <w:rsid w:val="008E7392"/>
    <w:rsid w:val="008F30B8"/>
    <w:rsid w:val="009028C9"/>
    <w:rsid w:val="009032BE"/>
    <w:rsid w:val="00914563"/>
    <w:rsid w:val="00934593"/>
    <w:rsid w:val="009443DB"/>
    <w:rsid w:val="00945D99"/>
    <w:rsid w:val="00976C58"/>
    <w:rsid w:val="0097740B"/>
    <w:rsid w:val="009779AE"/>
    <w:rsid w:val="00985276"/>
    <w:rsid w:val="009C5007"/>
    <w:rsid w:val="009C74F7"/>
    <w:rsid w:val="009D34E6"/>
    <w:rsid w:val="009D7512"/>
    <w:rsid w:val="009E28FF"/>
    <w:rsid w:val="009E6E41"/>
    <w:rsid w:val="009F6B4E"/>
    <w:rsid w:val="009F7857"/>
    <w:rsid w:val="00A03DB5"/>
    <w:rsid w:val="00A052F4"/>
    <w:rsid w:val="00A14827"/>
    <w:rsid w:val="00A175A1"/>
    <w:rsid w:val="00A37368"/>
    <w:rsid w:val="00A46214"/>
    <w:rsid w:val="00A528A4"/>
    <w:rsid w:val="00A56ECB"/>
    <w:rsid w:val="00A61F79"/>
    <w:rsid w:val="00A750F4"/>
    <w:rsid w:val="00A817B8"/>
    <w:rsid w:val="00A81BF5"/>
    <w:rsid w:val="00A8790A"/>
    <w:rsid w:val="00A945CC"/>
    <w:rsid w:val="00A95D36"/>
    <w:rsid w:val="00AA03A0"/>
    <w:rsid w:val="00AA0B66"/>
    <w:rsid w:val="00AA183D"/>
    <w:rsid w:val="00AB64CE"/>
    <w:rsid w:val="00AD6959"/>
    <w:rsid w:val="00AD735D"/>
    <w:rsid w:val="00AE6821"/>
    <w:rsid w:val="00B0212F"/>
    <w:rsid w:val="00B078EC"/>
    <w:rsid w:val="00B15B7A"/>
    <w:rsid w:val="00B16F03"/>
    <w:rsid w:val="00B239CB"/>
    <w:rsid w:val="00B27E63"/>
    <w:rsid w:val="00B364B7"/>
    <w:rsid w:val="00B41BC9"/>
    <w:rsid w:val="00B42CD6"/>
    <w:rsid w:val="00B4529A"/>
    <w:rsid w:val="00B548DF"/>
    <w:rsid w:val="00B843F4"/>
    <w:rsid w:val="00B92C62"/>
    <w:rsid w:val="00BA5940"/>
    <w:rsid w:val="00BB034A"/>
    <w:rsid w:val="00BB56FF"/>
    <w:rsid w:val="00BD3067"/>
    <w:rsid w:val="00BD66AF"/>
    <w:rsid w:val="00BE0592"/>
    <w:rsid w:val="00BF2262"/>
    <w:rsid w:val="00BF4B94"/>
    <w:rsid w:val="00C06B96"/>
    <w:rsid w:val="00C31016"/>
    <w:rsid w:val="00C61410"/>
    <w:rsid w:val="00C749AB"/>
    <w:rsid w:val="00C816ED"/>
    <w:rsid w:val="00C82FAA"/>
    <w:rsid w:val="00C95513"/>
    <w:rsid w:val="00CA465E"/>
    <w:rsid w:val="00CA557D"/>
    <w:rsid w:val="00CB0A88"/>
    <w:rsid w:val="00CB4414"/>
    <w:rsid w:val="00CB5084"/>
    <w:rsid w:val="00CB6A7E"/>
    <w:rsid w:val="00CC623A"/>
    <w:rsid w:val="00CD0271"/>
    <w:rsid w:val="00CD42EA"/>
    <w:rsid w:val="00CF3B12"/>
    <w:rsid w:val="00CF7713"/>
    <w:rsid w:val="00D05FD9"/>
    <w:rsid w:val="00D150EB"/>
    <w:rsid w:val="00D15EFA"/>
    <w:rsid w:val="00D22E7B"/>
    <w:rsid w:val="00D2339E"/>
    <w:rsid w:val="00D27AB9"/>
    <w:rsid w:val="00D402C8"/>
    <w:rsid w:val="00D454A6"/>
    <w:rsid w:val="00D463DD"/>
    <w:rsid w:val="00D550F2"/>
    <w:rsid w:val="00D553C5"/>
    <w:rsid w:val="00D56E09"/>
    <w:rsid w:val="00D631DF"/>
    <w:rsid w:val="00D73460"/>
    <w:rsid w:val="00D86E4E"/>
    <w:rsid w:val="00D914B9"/>
    <w:rsid w:val="00D9153B"/>
    <w:rsid w:val="00DA51EF"/>
    <w:rsid w:val="00DA5B4D"/>
    <w:rsid w:val="00DB3D01"/>
    <w:rsid w:val="00DC050F"/>
    <w:rsid w:val="00DC3BE2"/>
    <w:rsid w:val="00DC422C"/>
    <w:rsid w:val="00E04A08"/>
    <w:rsid w:val="00E13C7B"/>
    <w:rsid w:val="00E150E1"/>
    <w:rsid w:val="00E16C73"/>
    <w:rsid w:val="00E35748"/>
    <w:rsid w:val="00E728AA"/>
    <w:rsid w:val="00E85022"/>
    <w:rsid w:val="00E85613"/>
    <w:rsid w:val="00E94724"/>
    <w:rsid w:val="00E95555"/>
    <w:rsid w:val="00E9716A"/>
    <w:rsid w:val="00E97D7B"/>
    <w:rsid w:val="00EA2299"/>
    <w:rsid w:val="00EB59F5"/>
    <w:rsid w:val="00EB6226"/>
    <w:rsid w:val="00EC4035"/>
    <w:rsid w:val="00EC4F24"/>
    <w:rsid w:val="00ED7D9B"/>
    <w:rsid w:val="00EF24E2"/>
    <w:rsid w:val="00EF4E38"/>
    <w:rsid w:val="00F1111B"/>
    <w:rsid w:val="00F228B4"/>
    <w:rsid w:val="00F300EE"/>
    <w:rsid w:val="00F35222"/>
    <w:rsid w:val="00F44E4B"/>
    <w:rsid w:val="00F46038"/>
    <w:rsid w:val="00F47AB2"/>
    <w:rsid w:val="00F73507"/>
    <w:rsid w:val="00F87C75"/>
    <w:rsid w:val="00F934C9"/>
    <w:rsid w:val="00F94131"/>
    <w:rsid w:val="00FA130E"/>
    <w:rsid w:val="00FA2BB2"/>
    <w:rsid w:val="00FA481C"/>
    <w:rsid w:val="00FA6774"/>
    <w:rsid w:val="00FB3BE0"/>
    <w:rsid w:val="00FB3E4E"/>
    <w:rsid w:val="00FB7DAE"/>
    <w:rsid w:val="00FC3DA7"/>
    <w:rsid w:val="00FC728D"/>
    <w:rsid w:val="00FF7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BA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57D"/>
    <w:rPr>
      <w:sz w:val="24"/>
      <w:szCs w:val="24"/>
    </w:rPr>
  </w:style>
  <w:style w:type="paragraph" w:styleId="Heading1">
    <w:name w:val="heading 1"/>
    <w:basedOn w:val="Normal"/>
    <w:next w:val="Normal"/>
    <w:link w:val="Heading1Char"/>
    <w:qFormat/>
    <w:rsid w:val="002A1D6D"/>
    <w:pPr>
      <w:keepNext/>
      <w:numPr>
        <w:numId w:val="7"/>
      </w:numPr>
      <w:spacing w:before="240" w:after="240"/>
      <w:jc w:val="center"/>
      <w:outlineLvl w:val="0"/>
    </w:pPr>
    <w:rPr>
      <w:rFonts w:ascii="Verdana" w:eastAsia="MS Mincho" w:hAnsi="Verdana"/>
      <w:b/>
      <w:caps/>
      <w:kern w:val="28"/>
      <w:sz w:val="26"/>
      <w:szCs w:val="28"/>
      <w:lang w:val="x-none" w:eastAsia="x-none"/>
    </w:rPr>
  </w:style>
  <w:style w:type="paragraph" w:styleId="Heading2">
    <w:name w:val="heading 2"/>
    <w:next w:val="Normal"/>
    <w:link w:val="Heading2Char"/>
    <w:qFormat/>
    <w:rsid w:val="002A1D6D"/>
    <w:pPr>
      <w:keepNext/>
      <w:keepLines/>
      <w:numPr>
        <w:ilvl w:val="1"/>
        <w:numId w:val="7"/>
      </w:numPr>
      <w:spacing w:before="240" w:after="120"/>
      <w:outlineLvl w:val="1"/>
    </w:pPr>
    <w:rPr>
      <w:rFonts w:ascii="Verdana" w:eastAsia="MS Mincho" w:hAnsi="Verdana"/>
      <w:b/>
      <w:sz w:val="24"/>
      <w:szCs w:val="24"/>
    </w:rPr>
  </w:style>
  <w:style w:type="paragraph" w:styleId="Heading3">
    <w:name w:val="heading 3"/>
    <w:next w:val="Normal"/>
    <w:link w:val="Heading3Char"/>
    <w:qFormat/>
    <w:rsid w:val="002A1D6D"/>
    <w:pPr>
      <w:keepNext/>
      <w:keepLines/>
      <w:numPr>
        <w:ilvl w:val="2"/>
        <w:numId w:val="7"/>
      </w:numPr>
      <w:spacing w:before="240" w:after="120"/>
      <w:outlineLvl w:val="2"/>
    </w:pPr>
    <w:rPr>
      <w:rFonts w:ascii="Verdana" w:eastAsia="MS Mincho" w:hAnsi="Verdan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A557D"/>
    <w:pPr>
      <w:spacing w:before="100" w:beforeAutospacing="1" w:after="100" w:afterAutospacing="1"/>
    </w:pPr>
  </w:style>
  <w:style w:type="paragraph" w:styleId="Footer">
    <w:name w:val="footer"/>
    <w:basedOn w:val="Normal"/>
    <w:link w:val="FooterChar"/>
    <w:rsid w:val="00CA557D"/>
    <w:pPr>
      <w:tabs>
        <w:tab w:val="center" w:pos="4320"/>
        <w:tab w:val="right" w:pos="8640"/>
      </w:tabs>
    </w:pPr>
  </w:style>
  <w:style w:type="character" w:customStyle="1" w:styleId="FooterChar">
    <w:name w:val="Footer Char"/>
    <w:link w:val="Footer"/>
    <w:rsid w:val="00CA557D"/>
    <w:rPr>
      <w:sz w:val="24"/>
      <w:szCs w:val="24"/>
    </w:rPr>
  </w:style>
  <w:style w:type="character" w:styleId="PageNumber">
    <w:name w:val="page number"/>
    <w:rsid w:val="00CA557D"/>
  </w:style>
  <w:style w:type="character" w:styleId="CommentReference">
    <w:name w:val="annotation reference"/>
    <w:uiPriority w:val="99"/>
    <w:rsid w:val="00CA557D"/>
    <w:rPr>
      <w:sz w:val="16"/>
      <w:szCs w:val="16"/>
    </w:rPr>
  </w:style>
  <w:style w:type="paragraph" w:styleId="CommentText">
    <w:name w:val="annotation text"/>
    <w:basedOn w:val="Normal"/>
    <w:link w:val="CommentTextChar"/>
    <w:uiPriority w:val="99"/>
    <w:rsid w:val="00CA557D"/>
    <w:rPr>
      <w:sz w:val="20"/>
      <w:szCs w:val="20"/>
    </w:rPr>
  </w:style>
  <w:style w:type="character" w:customStyle="1" w:styleId="CommentTextChar">
    <w:name w:val="Comment Text Char"/>
    <w:basedOn w:val="DefaultParagraphFont"/>
    <w:link w:val="CommentText"/>
    <w:uiPriority w:val="99"/>
    <w:rsid w:val="00CA557D"/>
  </w:style>
  <w:style w:type="paragraph" w:styleId="FootnoteText">
    <w:name w:val="footnote text"/>
    <w:aliases w:val="F1"/>
    <w:basedOn w:val="Normal"/>
    <w:link w:val="FootnoteTextChar"/>
    <w:rsid w:val="00CA557D"/>
    <w:pPr>
      <w:widowControl w:val="0"/>
    </w:pPr>
    <w:rPr>
      <w:snapToGrid w:val="0"/>
      <w:sz w:val="20"/>
      <w:szCs w:val="20"/>
    </w:rPr>
  </w:style>
  <w:style w:type="character" w:customStyle="1" w:styleId="FootnoteTextChar">
    <w:name w:val="Footnote Text Char"/>
    <w:aliases w:val="F1 Char"/>
    <w:link w:val="FootnoteText"/>
    <w:rsid w:val="00CA557D"/>
    <w:rPr>
      <w:snapToGrid w:val="0"/>
    </w:rPr>
  </w:style>
  <w:style w:type="character" w:styleId="FootnoteReference">
    <w:name w:val="footnote reference"/>
    <w:uiPriority w:val="99"/>
    <w:rsid w:val="00CA557D"/>
    <w:rPr>
      <w:vertAlign w:val="superscript"/>
    </w:rPr>
  </w:style>
  <w:style w:type="paragraph" w:styleId="BalloonText">
    <w:name w:val="Balloon Text"/>
    <w:basedOn w:val="Normal"/>
    <w:link w:val="BalloonTextChar"/>
    <w:uiPriority w:val="99"/>
    <w:semiHidden/>
    <w:unhideWhenUsed/>
    <w:rsid w:val="00CA557D"/>
    <w:rPr>
      <w:rFonts w:ascii="Tahoma" w:hAnsi="Tahoma" w:cs="Tahoma"/>
      <w:sz w:val="16"/>
      <w:szCs w:val="16"/>
    </w:rPr>
  </w:style>
  <w:style w:type="character" w:customStyle="1" w:styleId="BalloonTextChar">
    <w:name w:val="Balloon Text Char"/>
    <w:link w:val="BalloonText"/>
    <w:uiPriority w:val="99"/>
    <w:semiHidden/>
    <w:rsid w:val="00CA557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816ED"/>
    <w:rPr>
      <w:b/>
      <w:bCs/>
    </w:rPr>
  </w:style>
  <w:style w:type="character" w:customStyle="1" w:styleId="CommentSubjectChar">
    <w:name w:val="Comment Subject Char"/>
    <w:link w:val="CommentSubject"/>
    <w:uiPriority w:val="99"/>
    <w:semiHidden/>
    <w:rsid w:val="00C816ED"/>
    <w:rPr>
      <w:b/>
      <w:bCs/>
    </w:rPr>
  </w:style>
  <w:style w:type="paragraph" w:styleId="ListParagraph">
    <w:name w:val="List Paragraph"/>
    <w:basedOn w:val="Normal"/>
    <w:uiPriority w:val="34"/>
    <w:qFormat/>
    <w:rsid w:val="0052413A"/>
    <w:pPr>
      <w:ind w:left="720"/>
      <w:contextualSpacing/>
    </w:pPr>
  </w:style>
  <w:style w:type="character" w:styleId="Hyperlink">
    <w:name w:val="Hyperlink"/>
    <w:uiPriority w:val="99"/>
    <w:rsid w:val="0052413A"/>
    <w:rPr>
      <w:rFonts w:cs="Times New Roman"/>
      <w:color w:val="0000FF"/>
      <w:u w:val="single"/>
    </w:rPr>
  </w:style>
  <w:style w:type="paragraph" w:customStyle="1" w:styleId="Default">
    <w:name w:val="Default"/>
    <w:rsid w:val="008D428B"/>
    <w:pPr>
      <w:autoSpaceDE w:val="0"/>
      <w:autoSpaceDN w:val="0"/>
      <w:adjustRightInd w:val="0"/>
    </w:pPr>
    <w:rPr>
      <w:color w:val="000000"/>
      <w:sz w:val="24"/>
      <w:szCs w:val="24"/>
    </w:rPr>
  </w:style>
  <w:style w:type="table" w:customStyle="1" w:styleId="Graytablecomplex">
    <w:name w:val="Gray_table_complex"/>
    <w:basedOn w:val="TableNormal"/>
    <w:rsid w:val="006D7E73"/>
    <w:rPr>
      <w:rFonts w:ascii="Arial" w:hAnsi="Arial"/>
    </w:rPr>
    <w:tblPr>
      <w:tblBorders>
        <w:insideH w:val="single" w:sz="6" w:space="0" w:color="auto"/>
        <w:insideV w:val="single" w:sz="6" w:space="0" w:color="auto"/>
      </w:tblBorders>
    </w:tblPr>
    <w:tblStylePr w:type="firstRow">
      <w:pPr>
        <w:wordWrap/>
        <w:spacing w:beforeLines="0" w:before="0" w:beforeAutospacing="0" w:afterLines="0" w:after="0" w:afterAutospacing="0" w:line="240" w:lineRule="auto"/>
        <w:contextualSpacing w:val="0"/>
      </w:pPr>
      <w:tblPr/>
      <w:tcPr>
        <w:tcBorders>
          <w:top w:val="single" w:sz="4" w:space="0" w:color="FFFFFF" w:themeColor="background1"/>
          <w:insideV w:val="single" w:sz="4" w:space="0" w:color="FFFFFF" w:themeColor="background1"/>
        </w:tcBorders>
        <w:shd w:val="clear" w:color="auto" w:fill="0A357E"/>
      </w:tcPr>
    </w:tblStylePr>
    <w:tblStylePr w:type="lastRow">
      <w:tblPr/>
      <w:tcPr>
        <w:tcBorders>
          <w:bottom w:val="single" w:sz="12" w:space="0" w:color="auto"/>
        </w:tcBorders>
      </w:tcPr>
    </w:tblStylePr>
    <w:tblStylePr w:type="firstCol">
      <w:tblPr/>
      <w:tcPr>
        <w:shd w:val="clear" w:color="auto" w:fill="D9D9D9"/>
      </w:tcPr>
    </w:tblStylePr>
  </w:style>
  <w:style w:type="paragraph" w:customStyle="1" w:styleId="BodyText1">
    <w:name w:val="Body Text1"/>
    <w:basedOn w:val="Normal"/>
    <w:rsid w:val="009D7512"/>
    <w:pPr>
      <w:spacing w:after="240" w:line="320" w:lineRule="exact"/>
      <w:ind w:firstLine="720"/>
    </w:pPr>
    <w:rPr>
      <w:sz w:val="22"/>
      <w:szCs w:val="20"/>
    </w:rPr>
  </w:style>
  <w:style w:type="character" w:customStyle="1" w:styleId="apple-converted-space">
    <w:name w:val="apple-converted-space"/>
    <w:basedOn w:val="DefaultParagraphFont"/>
    <w:rsid w:val="00F46038"/>
  </w:style>
  <w:style w:type="character" w:customStyle="1" w:styleId="highlight">
    <w:name w:val="highlight"/>
    <w:basedOn w:val="DefaultParagraphFont"/>
    <w:rsid w:val="00F46038"/>
  </w:style>
  <w:style w:type="paragraph" w:customStyle="1" w:styleId="TableTitle">
    <w:name w:val="Table Title"/>
    <w:basedOn w:val="Caption"/>
    <w:rsid w:val="00085F3B"/>
    <w:pPr>
      <w:keepNext/>
      <w:keepLines/>
      <w:spacing w:before="320" w:after="120"/>
      <w:ind w:left="1440" w:hanging="1440"/>
    </w:pPr>
    <w:rPr>
      <w:rFonts w:ascii="Verdana" w:eastAsia="MS Mincho" w:hAnsi="Verdana"/>
      <w:color w:val="auto"/>
      <w:sz w:val="20"/>
      <w:szCs w:val="20"/>
    </w:rPr>
  </w:style>
  <w:style w:type="paragraph" w:styleId="BodyText">
    <w:name w:val="Body Text"/>
    <w:basedOn w:val="Normal"/>
    <w:link w:val="BodyTextChar1"/>
    <w:rsid w:val="00085F3B"/>
    <w:pPr>
      <w:spacing w:after="160" w:line="320" w:lineRule="exact"/>
    </w:pPr>
    <w:rPr>
      <w:rFonts w:ascii="Verdana" w:eastAsia="MS Mincho" w:hAnsi="Verdana"/>
      <w:snapToGrid w:val="0"/>
      <w:sz w:val="20"/>
      <w:szCs w:val="20"/>
    </w:rPr>
  </w:style>
  <w:style w:type="character" w:customStyle="1" w:styleId="BodyTextChar">
    <w:name w:val="Body Text Char"/>
    <w:basedOn w:val="DefaultParagraphFont"/>
    <w:uiPriority w:val="99"/>
    <w:semiHidden/>
    <w:rsid w:val="00085F3B"/>
    <w:rPr>
      <w:sz w:val="24"/>
      <w:szCs w:val="24"/>
    </w:rPr>
  </w:style>
  <w:style w:type="character" w:customStyle="1" w:styleId="BodyTextChar1">
    <w:name w:val="Body Text Char1"/>
    <w:link w:val="BodyText"/>
    <w:rsid w:val="00085F3B"/>
    <w:rPr>
      <w:rFonts w:ascii="Verdana" w:eastAsia="MS Mincho" w:hAnsi="Verdana"/>
      <w:snapToGrid w:val="0"/>
    </w:rPr>
  </w:style>
  <w:style w:type="paragraph" w:customStyle="1" w:styleId="TableText">
    <w:name w:val="Table Text"/>
    <w:basedOn w:val="Normal"/>
    <w:qFormat/>
    <w:rsid w:val="00085F3B"/>
    <w:pPr>
      <w:spacing w:before="60" w:after="60"/>
    </w:pPr>
    <w:rPr>
      <w:rFonts w:ascii="Verdana" w:eastAsia="MS Mincho" w:hAnsi="Verdana"/>
      <w:sz w:val="18"/>
      <w:szCs w:val="20"/>
    </w:rPr>
  </w:style>
  <w:style w:type="paragraph" w:customStyle="1" w:styleId="TableHeaders">
    <w:name w:val="Table Headers"/>
    <w:qFormat/>
    <w:rsid w:val="00085F3B"/>
    <w:pPr>
      <w:spacing w:before="80" w:after="80"/>
      <w:jc w:val="center"/>
    </w:pPr>
    <w:rPr>
      <w:rFonts w:ascii="Verdana" w:hAnsi="Verdana"/>
      <w:b/>
      <w:sz w:val="18"/>
    </w:rPr>
  </w:style>
  <w:style w:type="paragraph" w:styleId="Caption">
    <w:name w:val="caption"/>
    <w:basedOn w:val="Normal"/>
    <w:next w:val="Normal"/>
    <w:uiPriority w:val="35"/>
    <w:semiHidden/>
    <w:unhideWhenUsed/>
    <w:qFormat/>
    <w:rsid w:val="00085F3B"/>
    <w:pPr>
      <w:spacing w:after="200"/>
    </w:pPr>
    <w:rPr>
      <w:b/>
      <w:bCs/>
      <w:color w:val="4F81BD" w:themeColor="accent1"/>
      <w:sz w:val="18"/>
      <w:szCs w:val="18"/>
    </w:rPr>
  </w:style>
  <w:style w:type="character" w:customStyle="1" w:styleId="Heading1Char">
    <w:name w:val="Heading 1 Char"/>
    <w:basedOn w:val="DefaultParagraphFont"/>
    <w:link w:val="Heading1"/>
    <w:rsid w:val="002A1D6D"/>
    <w:rPr>
      <w:rFonts w:ascii="Verdana" w:eastAsia="MS Mincho" w:hAnsi="Verdana"/>
      <w:b/>
      <w:caps/>
      <w:kern w:val="28"/>
      <w:sz w:val="26"/>
      <w:szCs w:val="28"/>
      <w:lang w:val="x-none" w:eastAsia="x-none"/>
    </w:rPr>
  </w:style>
  <w:style w:type="character" w:customStyle="1" w:styleId="Heading2Char">
    <w:name w:val="Heading 2 Char"/>
    <w:basedOn w:val="DefaultParagraphFont"/>
    <w:link w:val="Heading2"/>
    <w:uiPriority w:val="9"/>
    <w:rsid w:val="002A1D6D"/>
    <w:rPr>
      <w:rFonts w:ascii="Verdana" w:eastAsia="MS Mincho" w:hAnsi="Verdana"/>
      <w:b/>
      <w:sz w:val="24"/>
      <w:szCs w:val="24"/>
    </w:rPr>
  </w:style>
  <w:style w:type="character" w:customStyle="1" w:styleId="Heading3Char">
    <w:name w:val="Heading 3 Char"/>
    <w:basedOn w:val="DefaultParagraphFont"/>
    <w:link w:val="Heading3"/>
    <w:rsid w:val="002A1D6D"/>
    <w:rPr>
      <w:rFonts w:ascii="Verdana" w:eastAsia="MS Mincho" w:hAnsi="Verdana"/>
      <w:b/>
      <w:i/>
      <w:sz w:val="22"/>
    </w:rPr>
  </w:style>
  <w:style w:type="numbering" w:customStyle="1" w:styleId="Format4">
    <w:name w:val="Format4"/>
    <w:rsid w:val="002A1D6D"/>
    <w:pPr>
      <w:numPr>
        <w:numId w:val="6"/>
      </w:numPr>
    </w:pPr>
  </w:style>
  <w:style w:type="paragraph" w:customStyle="1" w:styleId="biblio">
    <w:name w:val="biblio"/>
    <w:basedOn w:val="Normal"/>
    <w:rsid w:val="00742CBC"/>
    <w:pPr>
      <w:keepLines/>
      <w:spacing w:after="240"/>
      <w:ind w:left="720" w:hanging="720"/>
    </w:pPr>
    <w:rPr>
      <w:rFonts w:ascii="Calibri" w:hAnsi="Calibri"/>
      <w:sz w:val="22"/>
      <w:szCs w:val="20"/>
    </w:rPr>
  </w:style>
  <w:style w:type="paragraph" w:customStyle="1" w:styleId="ExhibitSource">
    <w:name w:val="ExhibitSource"/>
    <w:basedOn w:val="Normal"/>
    <w:qFormat/>
    <w:rsid w:val="00C82FAA"/>
    <w:pPr>
      <w:spacing w:after="120" w:line="276" w:lineRule="auto"/>
    </w:pPr>
    <w:rPr>
      <w:rFonts w:ascii="Calibri" w:eastAsia="Calibri" w:hAnsi="Calibri" w:cs="Arial"/>
      <w:sz w:val="22"/>
      <w:szCs w:val="22"/>
    </w:rPr>
  </w:style>
  <w:style w:type="paragraph" w:customStyle="1" w:styleId="Tabletext0">
    <w:name w:val="Table text"/>
    <w:qFormat/>
    <w:rsid w:val="00A175A1"/>
    <w:pPr>
      <w:spacing w:before="40" w:after="40"/>
    </w:pPr>
    <w:rPr>
      <w:rFonts w:ascii="Arial" w:hAnsi="Arial"/>
      <w:sz w:val="18"/>
    </w:rPr>
  </w:style>
  <w:style w:type="paragraph" w:customStyle="1" w:styleId="exhibitsource1">
    <w:name w:val="exhibit source1"/>
    <w:basedOn w:val="Normal"/>
    <w:rsid w:val="00A175A1"/>
    <w:pPr>
      <w:keepLines/>
      <w:spacing w:before="120"/>
      <w:ind w:left="187" w:hanging="187"/>
    </w:pPr>
    <w:rPr>
      <w:rFonts w:ascii="Arial" w:hAnsi="Arial"/>
      <w:sz w:val="18"/>
      <w:szCs w:val="20"/>
    </w:rPr>
  </w:style>
  <w:style w:type="paragraph" w:customStyle="1" w:styleId="bodytextpsg">
    <w:name w:val="body text_psg"/>
    <w:basedOn w:val="Normal"/>
    <w:link w:val="bodytextpsgChar"/>
    <w:rsid w:val="00363CF7"/>
    <w:pPr>
      <w:spacing w:before="120" w:after="120"/>
      <w:ind w:firstLine="432"/>
    </w:pPr>
    <w:rPr>
      <w:sz w:val="22"/>
      <w:szCs w:val="20"/>
    </w:rPr>
  </w:style>
  <w:style w:type="character" w:customStyle="1" w:styleId="bodytextpsgChar">
    <w:name w:val="body text_psg Char"/>
    <w:link w:val="bodytextpsg"/>
    <w:rsid w:val="00363CF7"/>
    <w:rPr>
      <w:sz w:val="22"/>
    </w:rPr>
  </w:style>
  <w:style w:type="paragraph" w:customStyle="1" w:styleId="ExhibitTitle">
    <w:name w:val="Exhibit Title"/>
    <w:basedOn w:val="Normal"/>
    <w:link w:val="ExhibitTitleChar"/>
    <w:qFormat/>
    <w:rsid w:val="00B42CD6"/>
    <w:pPr>
      <w:keepNext/>
      <w:keepLines/>
      <w:spacing w:before="240" w:after="120" w:line="260" w:lineRule="exact"/>
      <w:ind w:left="1080" w:hanging="1080"/>
    </w:pPr>
    <w:rPr>
      <w:rFonts w:ascii="Arial" w:hAnsi="Arial"/>
      <w:b/>
      <w:snapToGrid w:val="0"/>
      <w:sz w:val="22"/>
      <w:szCs w:val="20"/>
    </w:rPr>
  </w:style>
  <w:style w:type="character" w:customStyle="1" w:styleId="ExhibitTitleChar">
    <w:name w:val="Exhibit Title Char"/>
    <w:link w:val="ExhibitTitle"/>
    <w:rsid w:val="00B42CD6"/>
    <w:rPr>
      <w:rFonts w:ascii="Arial" w:hAnsi="Arial"/>
      <w:b/>
      <w:snapToGrid w:val="0"/>
      <w:sz w:val="22"/>
    </w:rPr>
  </w:style>
  <w:style w:type="paragraph" w:styleId="TOC1">
    <w:name w:val="toc 1"/>
    <w:basedOn w:val="Normal"/>
    <w:next w:val="Normal"/>
    <w:autoRedefine/>
    <w:uiPriority w:val="39"/>
    <w:unhideWhenUsed/>
    <w:rsid w:val="003D351D"/>
    <w:pPr>
      <w:spacing w:after="100" w:line="276" w:lineRule="auto"/>
    </w:pPr>
    <w:rPr>
      <w:rFonts w:asciiTheme="minorHAnsi" w:eastAsiaTheme="minorHAnsi" w:hAnsiTheme="minorHAnsi" w:cstheme="minorBidi"/>
      <w:sz w:val="22"/>
      <w:szCs w:val="22"/>
    </w:rPr>
  </w:style>
  <w:style w:type="table" w:styleId="TableGrid">
    <w:name w:val="Table Grid"/>
    <w:basedOn w:val="TableNormal"/>
    <w:uiPriority w:val="59"/>
    <w:rsid w:val="006E688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after12">
    <w:name w:val="Body Text_after12"/>
    <w:basedOn w:val="BodyText"/>
    <w:qFormat/>
    <w:rsid w:val="006E688A"/>
    <w:pPr>
      <w:spacing w:before="240" w:after="200" w:line="276" w:lineRule="auto"/>
      <w:ind w:firstLine="360"/>
    </w:pPr>
    <w:rPr>
      <w:rFonts w:asciiTheme="minorHAnsi" w:eastAsiaTheme="minorHAnsi" w:hAnsiTheme="minorHAnsi"/>
      <w:snapToGrid/>
      <w:sz w:val="22"/>
      <w:szCs w:val="22"/>
    </w:rPr>
  </w:style>
  <w:style w:type="paragraph" w:customStyle="1" w:styleId="L1-FlLSp12">
    <w:name w:val="L1-FlL Sp&amp;1/2"/>
    <w:basedOn w:val="Normal"/>
    <w:link w:val="L1-FlLSp12Char"/>
    <w:rsid w:val="00006713"/>
    <w:pPr>
      <w:tabs>
        <w:tab w:val="left" w:pos="1152"/>
      </w:tabs>
      <w:spacing w:line="360" w:lineRule="atLeast"/>
    </w:pPr>
    <w:rPr>
      <w:rFonts w:ascii="Garamond" w:hAnsi="Garamond"/>
      <w:szCs w:val="20"/>
    </w:rPr>
  </w:style>
  <w:style w:type="character" w:customStyle="1" w:styleId="L1-FlLSp12Char">
    <w:name w:val="L1-FlL Sp&amp;1/2 Char"/>
    <w:basedOn w:val="DefaultParagraphFont"/>
    <w:link w:val="L1-FlLSp12"/>
    <w:rsid w:val="00006713"/>
    <w:rPr>
      <w:rFonts w:ascii="Garamond" w:hAnsi="Garamond"/>
      <w:sz w:val="24"/>
    </w:rPr>
  </w:style>
  <w:style w:type="paragraph" w:customStyle="1" w:styleId="TT-TableTitle">
    <w:name w:val="TT-Table Title"/>
    <w:link w:val="TT-TableTitleChar"/>
    <w:rsid w:val="00006713"/>
    <w:pPr>
      <w:keepNext/>
      <w:tabs>
        <w:tab w:val="left" w:pos="1440"/>
      </w:tabs>
      <w:spacing w:line="240" w:lineRule="atLeast"/>
      <w:ind w:left="1440" w:hanging="1440"/>
    </w:pPr>
    <w:rPr>
      <w:rFonts w:ascii="Franklin Gothic Medium" w:hAnsi="Franklin Gothic Medium"/>
      <w:sz w:val="22"/>
    </w:rPr>
  </w:style>
  <w:style w:type="paragraph" w:customStyle="1" w:styleId="TF-TblFN">
    <w:name w:val="TF-Tbl FN"/>
    <w:basedOn w:val="FootnoteText"/>
    <w:rsid w:val="00006713"/>
    <w:pPr>
      <w:widowControl/>
      <w:tabs>
        <w:tab w:val="left" w:pos="120"/>
      </w:tabs>
      <w:spacing w:before="120" w:line="200" w:lineRule="atLeast"/>
      <w:ind w:left="115" w:hanging="115"/>
    </w:pPr>
    <w:rPr>
      <w:rFonts w:ascii="Franklin Gothic Medium" w:hAnsi="Franklin Gothic Medium"/>
      <w:snapToGrid/>
      <w:sz w:val="16"/>
    </w:rPr>
  </w:style>
  <w:style w:type="paragraph" w:customStyle="1" w:styleId="TH-TableHeading">
    <w:name w:val="TH-Table Heading"/>
    <w:rsid w:val="00006713"/>
    <w:pPr>
      <w:keepNext/>
      <w:spacing w:line="240" w:lineRule="atLeast"/>
      <w:jc w:val="center"/>
    </w:pPr>
    <w:rPr>
      <w:rFonts w:ascii="Franklin Gothic Medium" w:hAnsi="Franklin Gothic Medium"/>
      <w:b/>
    </w:rPr>
  </w:style>
  <w:style w:type="paragraph" w:customStyle="1" w:styleId="TX-TableText">
    <w:name w:val="TX-Table Text"/>
    <w:basedOn w:val="Normal"/>
    <w:rsid w:val="00006713"/>
    <w:pPr>
      <w:spacing w:line="240" w:lineRule="atLeast"/>
    </w:pPr>
    <w:rPr>
      <w:rFonts w:ascii="Franklin Gothic Medium" w:hAnsi="Franklin Gothic Medium"/>
      <w:sz w:val="20"/>
      <w:szCs w:val="20"/>
    </w:rPr>
  </w:style>
  <w:style w:type="character" w:customStyle="1" w:styleId="TT-TableTitleChar">
    <w:name w:val="TT-Table Title Char"/>
    <w:basedOn w:val="DefaultParagraphFont"/>
    <w:link w:val="TT-TableTitle"/>
    <w:locked/>
    <w:rsid w:val="00006713"/>
    <w:rPr>
      <w:rFonts w:ascii="Franklin Gothic Medium" w:hAnsi="Franklin Gothic Medium"/>
      <w:sz w:val="22"/>
    </w:rPr>
  </w:style>
  <w:style w:type="paragraph" w:customStyle="1" w:styleId="SurveyCheckboxList">
    <w:name w:val="Survey Checkbox List"/>
    <w:basedOn w:val="Normal"/>
    <w:autoRedefine/>
    <w:rsid w:val="00006713"/>
    <w:pPr>
      <w:keepLines/>
      <w:numPr>
        <w:numId w:val="17"/>
      </w:numPr>
      <w:tabs>
        <w:tab w:val="clear" w:pos="1460"/>
        <w:tab w:val="left" w:pos="1440"/>
        <w:tab w:val="left" w:pos="1800"/>
        <w:tab w:val="left" w:pos="2880"/>
      </w:tabs>
      <w:spacing w:before="120" w:after="60" w:line="360" w:lineRule="auto"/>
      <w:ind w:left="2059" w:hanging="965"/>
    </w:pPr>
    <w:rPr>
      <w:rFonts w:ascii="Arial" w:hAnsi="Arial" w:cs="Arial"/>
      <w:bCs/>
      <w:color w:val="231F20"/>
      <w:sz w:val="22"/>
      <w:szCs w:val="22"/>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57D"/>
    <w:rPr>
      <w:sz w:val="24"/>
      <w:szCs w:val="24"/>
    </w:rPr>
  </w:style>
  <w:style w:type="paragraph" w:styleId="Heading1">
    <w:name w:val="heading 1"/>
    <w:basedOn w:val="Normal"/>
    <w:next w:val="Normal"/>
    <w:link w:val="Heading1Char"/>
    <w:qFormat/>
    <w:rsid w:val="002A1D6D"/>
    <w:pPr>
      <w:keepNext/>
      <w:numPr>
        <w:numId w:val="7"/>
      </w:numPr>
      <w:spacing w:before="240" w:after="240"/>
      <w:jc w:val="center"/>
      <w:outlineLvl w:val="0"/>
    </w:pPr>
    <w:rPr>
      <w:rFonts w:ascii="Verdana" w:eastAsia="MS Mincho" w:hAnsi="Verdana"/>
      <w:b/>
      <w:caps/>
      <w:kern w:val="28"/>
      <w:sz w:val="26"/>
      <w:szCs w:val="28"/>
      <w:lang w:val="x-none" w:eastAsia="x-none"/>
    </w:rPr>
  </w:style>
  <w:style w:type="paragraph" w:styleId="Heading2">
    <w:name w:val="heading 2"/>
    <w:next w:val="Normal"/>
    <w:link w:val="Heading2Char"/>
    <w:qFormat/>
    <w:rsid w:val="002A1D6D"/>
    <w:pPr>
      <w:keepNext/>
      <w:keepLines/>
      <w:numPr>
        <w:ilvl w:val="1"/>
        <w:numId w:val="7"/>
      </w:numPr>
      <w:spacing w:before="240" w:after="120"/>
      <w:outlineLvl w:val="1"/>
    </w:pPr>
    <w:rPr>
      <w:rFonts w:ascii="Verdana" w:eastAsia="MS Mincho" w:hAnsi="Verdana"/>
      <w:b/>
      <w:sz w:val="24"/>
      <w:szCs w:val="24"/>
    </w:rPr>
  </w:style>
  <w:style w:type="paragraph" w:styleId="Heading3">
    <w:name w:val="heading 3"/>
    <w:next w:val="Normal"/>
    <w:link w:val="Heading3Char"/>
    <w:qFormat/>
    <w:rsid w:val="002A1D6D"/>
    <w:pPr>
      <w:keepNext/>
      <w:keepLines/>
      <w:numPr>
        <w:ilvl w:val="2"/>
        <w:numId w:val="7"/>
      </w:numPr>
      <w:spacing w:before="240" w:after="120"/>
      <w:outlineLvl w:val="2"/>
    </w:pPr>
    <w:rPr>
      <w:rFonts w:ascii="Verdana" w:eastAsia="MS Mincho" w:hAnsi="Verdan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A557D"/>
    <w:pPr>
      <w:spacing w:before="100" w:beforeAutospacing="1" w:after="100" w:afterAutospacing="1"/>
    </w:pPr>
  </w:style>
  <w:style w:type="paragraph" w:styleId="Footer">
    <w:name w:val="footer"/>
    <w:basedOn w:val="Normal"/>
    <w:link w:val="FooterChar"/>
    <w:rsid w:val="00CA557D"/>
    <w:pPr>
      <w:tabs>
        <w:tab w:val="center" w:pos="4320"/>
        <w:tab w:val="right" w:pos="8640"/>
      </w:tabs>
    </w:pPr>
  </w:style>
  <w:style w:type="character" w:customStyle="1" w:styleId="FooterChar">
    <w:name w:val="Footer Char"/>
    <w:link w:val="Footer"/>
    <w:rsid w:val="00CA557D"/>
    <w:rPr>
      <w:sz w:val="24"/>
      <w:szCs w:val="24"/>
    </w:rPr>
  </w:style>
  <w:style w:type="character" w:styleId="PageNumber">
    <w:name w:val="page number"/>
    <w:rsid w:val="00CA557D"/>
  </w:style>
  <w:style w:type="character" w:styleId="CommentReference">
    <w:name w:val="annotation reference"/>
    <w:uiPriority w:val="99"/>
    <w:rsid w:val="00CA557D"/>
    <w:rPr>
      <w:sz w:val="16"/>
      <w:szCs w:val="16"/>
    </w:rPr>
  </w:style>
  <w:style w:type="paragraph" w:styleId="CommentText">
    <w:name w:val="annotation text"/>
    <w:basedOn w:val="Normal"/>
    <w:link w:val="CommentTextChar"/>
    <w:uiPriority w:val="99"/>
    <w:rsid w:val="00CA557D"/>
    <w:rPr>
      <w:sz w:val="20"/>
      <w:szCs w:val="20"/>
    </w:rPr>
  </w:style>
  <w:style w:type="character" w:customStyle="1" w:styleId="CommentTextChar">
    <w:name w:val="Comment Text Char"/>
    <w:basedOn w:val="DefaultParagraphFont"/>
    <w:link w:val="CommentText"/>
    <w:uiPriority w:val="99"/>
    <w:rsid w:val="00CA557D"/>
  </w:style>
  <w:style w:type="paragraph" w:styleId="FootnoteText">
    <w:name w:val="footnote text"/>
    <w:aliases w:val="F1"/>
    <w:basedOn w:val="Normal"/>
    <w:link w:val="FootnoteTextChar"/>
    <w:rsid w:val="00CA557D"/>
    <w:pPr>
      <w:widowControl w:val="0"/>
    </w:pPr>
    <w:rPr>
      <w:snapToGrid w:val="0"/>
      <w:sz w:val="20"/>
      <w:szCs w:val="20"/>
    </w:rPr>
  </w:style>
  <w:style w:type="character" w:customStyle="1" w:styleId="FootnoteTextChar">
    <w:name w:val="Footnote Text Char"/>
    <w:aliases w:val="F1 Char"/>
    <w:link w:val="FootnoteText"/>
    <w:rsid w:val="00CA557D"/>
    <w:rPr>
      <w:snapToGrid w:val="0"/>
    </w:rPr>
  </w:style>
  <w:style w:type="character" w:styleId="FootnoteReference">
    <w:name w:val="footnote reference"/>
    <w:uiPriority w:val="99"/>
    <w:rsid w:val="00CA557D"/>
    <w:rPr>
      <w:vertAlign w:val="superscript"/>
    </w:rPr>
  </w:style>
  <w:style w:type="paragraph" w:styleId="BalloonText">
    <w:name w:val="Balloon Text"/>
    <w:basedOn w:val="Normal"/>
    <w:link w:val="BalloonTextChar"/>
    <w:uiPriority w:val="99"/>
    <w:semiHidden/>
    <w:unhideWhenUsed/>
    <w:rsid w:val="00CA557D"/>
    <w:rPr>
      <w:rFonts w:ascii="Tahoma" w:hAnsi="Tahoma" w:cs="Tahoma"/>
      <w:sz w:val="16"/>
      <w:szCs w:val="16"/>
    </w:rPr>
  </w:style>
  <w:style w:type="character" w:customStyle="1" w:styleId="BalloonTextChar">
    <w:name w:val="Balloon Text Char"/>
    <w:link w:val="BalloonText"/>
    <w:uiPriority w:val="99"/>
    <w:semiHidden/>
    <w:rsid w:val="00CA557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816ED"/>
    <w:rPr>
      <w:b/>
      <w:bCs/>
    </w:rPr>
  </w:style>
  <w:style w:type="character" w:customStyle="1" w:styleId="CommentSubjectChar">
    <w:name w:val="Comment Subject Char"/>
    <w:link w:val="CommentSubject"/>
    <w:uiPriority w:val="99"/>
    <w:semiHidden/>
    <w:rsid w:val="00C816ED"/>
    <w:rPr>
      <w:b/>
      <w:bCs/>
    </w:rPr>
  </w:style>
  <w:style w:type="paragraph" w:styleId="ListParagraph">
    <w:name w:val="List Paragraph"/>
    <w:basedOn w:val="Normal"/>
    <w:uiPriority w:val="34"/>
    <w:qFormat/>
    <w:rsid w:val="0052413A"/>
    <w:pPr>
      <w:ind w:left="720"/>
      <w:contextualSpacing/>
    </w:pPr>
  </w:style>
  <w:style w:type="character" w:styleId="Hyperlink">
    <w:name w:val="Hyperlink"/>
    <w:uiPriority w:val="99"/>
    <w:rsid w:val="0052413A"/>
    <w:rPr>
      <w:rFonts w:cs="Times New Roman"/>
      <w:color w:val="0000FF"/>
      <w:u w:val="single"/>
    </w:rPr>
  </w:style>
  <w:style w:type="paragraph" w:customStyle="1" w:styleId="Default">
    <w:name w:val="Default"/>
    <w:rsid w:val="008D428B"/>
    <w:pPr>
      <w:autoSpaceDE w:val="0"/>
      <w:autoSpaceDN w:val="0"/>
      <w:adjustRightInd w:val="0"/>
    </w:pPr>
    <w:rPr>
      <w:color w:val="000000"/>
      <w:sz w:val="24"/>
      <w:szCs w:val="24"/>
    </w:rPr>
  </w:style>
  <w:style w:type="table" w:customStyle="1" w:styleId="Graytablecomplex">
    <w:name w:val="Gray_table_complex"/>
    <w:basedOn w:val="TableNormal"/>
    <w:rsid w:val="006D7E73"/>
    <w:rPr>
      <w:rFonts w:ascii="Arial" w:hAnsi="Arial"/>
    </w:rPr>
    <w:tblPr>
      <w:tblBorders>
        <w:insideH w:val="single" w:sz="6" w:space="0" w:color="auto"/>
        <w:insideV w:val="single" w:sz="6" w:space="0" w:color="auto"/>
      </w:tblBorders>
    </w:tblPr>
    <w:tblStylePr w:type="firstRow">
      <w:pPr>
        <w:wordWrap/>
        <w:spacing w:beforeLines="0" w:before="0" w:beforeAutospacing="0" w:afterLines="0" w:after="0" w:afterAutospacing="0" w:line="240" w:lineRule="auto"/>
        <w:contextualSpacing w:val="0"/>
      </w:pPr>
      <w:tblPr/>
      <w:tcPr>
        <w:tcBorders>
          <w:top w:val="single" w:sz="4" w:space="0" w:color="FFFFFF" w:themeColor="background1"/>
          <w:insideV w:val="single" w:sz="4" w:space="0" w:color="FFFFFF" w:themeColor="background1"/>
        </w:tcBorders>
        <w:shd w:val="clear" w:color="auto" w:fill="0A357E"/>
      </w:tcPr>
    </w:tblStylePr>
    <w:tblStylePr w:type="lastRow">
      <w:tblPr/>
      <w:tcPr>
        <w:tcBorders>
          <w:bottom w:val="single" w:sz="12" w:space="0" w:color="auto"/>
        </w:tcBorders>
      </w:tcPr>
    </w:tblStylePr>
    <w:tblStylePr w:type="firstCol">
      <w:tblPr/>
      <w:tcPr>
        <w:shd w:val="clear" w:color="auto" w:fill="D9D9D9"/>
      </w:tcPr>
    </w:tblStylePr>
  </w:style>
  <w:style w:type="paragraph" w:customStyle="1" w:styleId="BodyText1">
    <w:name w:val="Body Text1"/>
    <w:basedOn w:val="Normal"/>
    <w:rsid w:val="009D7512"/>
    <w:pPr>
      <w:spacing w:after="240" w:line="320" w:lineRule="exact"/>
      <w:ind w:firstLine="720"/>
    </w:pPr>
    <w:rPr>
      <w:sz w:val="22"/>
      <w:szCs w:val="20"/>
    </w:rPr>
  </w:style>
  <w:style w:type="character" w:customStyle="1" w:styleId="apple-converted-space">
    <w:name w:val="apple-converted-space"/>
    <w:basedOn w:val="DefaultParagraphFont"/>
    <w:rsid w:val="00F46038"/>
  </w:style>
  <w:style w:type="character" w:customStyle="1" w:styleId="highlight">
    <w:name w:val="highlight"/>
    <w:basedOn w:val="DefaultParagraphFont"/>
    <w:rsid w:val="00F46038"/>
  </w:style>
  <w:style w:type="paragraph" w:customStyle="1" w:styleId="TableTitle">
    <w:name w:val="Table Title"/>
    <w:basedOn w:val="Caption"/>
    <w:rsid w:val="00085F3B"/>
    <w:pPr>
      <w:keepNext/>
      <w:keepLines/>
      <w:spacing w:before="320" w:after="120"/>
      <w:ind w:left="1440" w:hanging="1440"/>
    </w:pPr>
    <w:rPr>
      <w:rFonts w:ascii="Verdana" w:eastAsia="MS Mincho" w:hAnsi="Verdana"/>
      <w:color w:val="auto"/>
      <w:sz w:val="20"/>
      <w:szCs w:val="20"/>
    </w:rPr>
  </w:style>
  <w:style w:type="paragraph" w:styleId="BodyText">
    <w:name w:val="Body Text"/>
    <w:basedOn w:val="Normal"/>
    <w:link w:val="BodyTextChar1"/>
    <w:rsid w:val="00085F3B"/>
    <w:pPr>
      <w:spacing w:after="160" w:line="320" w:lineRule="exact"/>
    </w:pPr>
    <w:rPr>
      <w:rFonts w:ascii="Verdana" w:eastAsia="MS Mincho" w:hAnsi="Verdana"/>
      <w:snapToGrid w:val="0"/>
      <w:sz w:val="20"/>
      <w:szCs w:val="20"/>
    </w:rPr>
  </w:style>
  <w:style w:type="character" w:customStyle="1" w:styleId="BodyTextChar">
    <w:name w:val="Body Text Char"/>
    <w:basedOn w:val="DefaultParagraphFont"/>
    <w:uiPriority w:val="99"/>
    <w:semiHidden/>
    <w:rsid w:val="00085F3B"/>
    <w:rPr>
      <w:sz w:val="24"/>
      <w:szCs w:val="24"/>
    </w:rPr>
  </w:style>
  <w:style w:type="character" w:customStyle="1" w:styleId="BodyTextChar1">
    <w:name w:val="Body Text Char1"/>
    <w:link w:val="BodyText"/>
    <w:rsid w:val="00085F3B"/>
    <w:rPr>
      <w:rFonts w:ascii="Verdana" w:eastAsia="MS Mincho" w:hAnsi="Verdana"/>
      <w:snapToGrid w:val="0"/>
    </w:rPr>
  </w:style>
  <w:style w:type="paragraph" w:customStyle="1" w:styleId="TableText">
    <w:name w:val="Table Text"/>
    <w:basedOn w:val="Normal"/>
    <w:qFormat/>
    <w:rsid w:val="00085F3B"/>
    <w:pPr>
      <w:spacing w:before="60" w:after="60"/>
    </w:pPr>
    <w:rPr>
      <w:rFonts w:ascii="Verdana" w:eastAsia="MS Mincho" w:hAnsi="Verdana"/>
      <w:sz w:val="18"/>
      <w:szCs w:val="20"/>
    </w:rPr>
  </w:style>
  <w:style w:type="paragraph" w:customStyle="1" w:styleId="TableHeaders">
    <w:name w:val="Table Headers"/>
    <w:qFormat/>
    <w:rsid w:val="00085F3B"/>
    <w:pPr>
      <w:spacing w:before="80" w:after="80"/>
      <w:jc w:val="center"/>
    </w:pPr>
    <w:rPr>
      <w:rFonts w:ascii="Verdana" w:hAnsi="Verdana"/>
      <w:b/>
      <w:sz w:val="18"/>
    </w:rPr>
  </w:style>
  <w:style w:type="paragraph" w:styleId="Caption">
    <w:name w:val="caption"/>
    <w:basedOn w:val="Normal"/>
    <w:next w:val="Normal"/>
    <w:uiPriority w:val="35"/>
    <w:semiHidden/>
    <w:unhideWhenUsed/>
    <w:qFormat/>
    <w:rsid w:val="00085F3B"/>
    <w:pPr>
      <w:spacing w:after="200"/>
    </w:pPr>
    <w:rPr>
      <w:b/>
      <w:bCs/>
      <w:color w:val="4F81BD" w:themeColor="accent1"/>
      <w:sz w:val="18"/>
      <w:szCs w:val="18"/>
    </w:rPr>
  </w:style>
  <w:style w:type="character" w:customStyle="1" w:styleId="Heading1Char">
    <w:name w:val="Heading 1 Char"/>
    <w:basedOn w:val="DefaultParagraphFont"/>
    <w:link w:val="Heading1"/>
    <w:rsid w:val="002A1D6D"/>
    <w:rPr>
      <w:rFonts w:ascii="Verdana" w:eastAsia="MS Mincho" w:hAnsi="Verdana"/>
      <w:b/>
      <w:caps/>
      <w:kern w:val="28"/>
      <w:sz w:val="26"/>
      <w:szCs w:val="28"/>
      <w:lang w:val="x-none" w:eastAsia="x-none"/>
    </w:rPr>
  </w:style>
  <w:style w:type="character" w:customStyle="1" w:styleId="Heading2Char">
    <w:name w:val="Heading 2 Char"/>
    <w:basedOn w:val="DefaultParagraphFont"/>
    <w:link w:val="Heading2"/>
    <w:uiPriority w:val="9"/>
    <w:rsid w:val="002A1D6D"/>
    <w:rPr>
      <w:rFonts w:ascii="Verdana" w:eastAsia="MS Mincho" w:hAnsi="Verdana"/>
      <w:b/>
      <w:sz w:val="24"/>
      <w:szCs w:val="24"/>
    </w:rPr>
  </w:style>
  <w:style w:type="character" w:customStyle="1" w:styleId="Heading3Char">
    <w:name w:val="Heading 3 Char"/>
    <w:basedOn w:val="DefaultParagraphFont"/>
    <w:link w:val="Heading3"/>
    <w:rsid w:val="002A1D6D"/>
    <w:rPr>
      <w:rFonts w:ascii="Verdana" w:eastAsia="MS Mincho" w:hAnsi="Verdana"/>
      <w:b/>
      <w:i/>
      <w:sz w:val="22"/>
    </w:rPr>
  </w:style>
  <w:style w:type="numbering" w:customStyle="1" w:styleId="Format4">
    <w:name w:val="Format4"/>
    <w:rsid w:val="002A1D6D"/>
    <w:pPr>
      <w:numPr>
        <w:numId w:val="6"/>
      </w:numPr>
    </w:pPr>
  </w:style>
  <w:style w:type="paragraph" w:customStyle="1" w:styleId="biblio">
    <w:name w:val="biblio"/>
    <w:basedOn w:val="Normal"/>
    <w:rsid w:val="00742CBC"/>
    <w:pPr>
      <w:keepLines/>
      <w:spacing w:after="240"/>
      <w:ind w:left="720" w:hanging="720"/>
    </w:pPr>
    <w:rPr>
      <w:rFonts w:ascii="Calibri" w:hAnsi="Calibri"/>
      <w:sz w:val="22"/>
      <w:szCs w:val="20"/>
    </w:rPr>
  </w:style>
  <w:style w:type="paragraph" w:customStyle="1" w:styleId="ExhibitSource">
    <w:name w:val="ExhibitSource"/>
    <w:basedOn w:val="Normal"/>
    <w:qFormat/>
    <w:rsid w:val="00C82FAA"/>
    <w:pPr>
      <w:spacing w:after="120" w:line="276" w:lineRule="auto"/>
    </w:pPr>
    <w:rPr>
      <w:rFonts w:ascii="Calibri" w:eastAsia="Calibri" w:hAnsi="Calibri" w:cs="Arial"/>
      <w:sz w:val="22"/>
      <w:szCs w:val="22"/>
    </w:rPr>
  </w:style>
  <w:style w:type="paragraph" w:customStyle="1" w:styleId="Tabletext0">
    <w:name w:val="Table text"/>
    <w:qFormat/>
    <w:rsid w:val="00A175A1"/>
    <w:pPr>
      <w:spacing w:before="40" w:after="40"/>
    </w:pPr>
    <w:rPr>
      <w:rFonts w:ascii="Arial" w:hAnsi="Arial"/>
      <w:sz w:val="18"/>
    </w:rPr>
  </w:style>
  <w:style w:type="paragraph" w:customStyle="1" w:styleId="exhibitsource1">
    <w:name w:val="exhibit source1"/>
    <w:basedOn w:val="Normal"/>
    <w:rsid w:val="00A175A1"/>
    <w:pPr>
      <w:keepLines/>
      <w:spacing w:before="120"/>
      <w:ind w:left="187" w:hanging="187"/>
    </w:pPr>
    <w:rPr>
      <w:rFonts w:ascii="Arial" w:hAnsi="Arial"/>
      <w:sz w:val="18"/>
      <w:szCs w:val="20"/>
    </w:rPr>
  </w:style>
  <w:style w:type="paragraph" w:customStyle="1" w:styleId="bodytextpsg">
    <w:name w:val="body text_psg"/>
    <w:basedOn w:val="Normal"/>
    <w:link w:val="bodytextpsgChar"/>
    <w:rsid w:val="00363CF7"/>
    <w:pPr>
      <w:spacing w:before="120" w:after="120"/>
      <w:ind w:firstLine="432"/>
    </w:pPr>
    <w:rPr>
      <w:sz w:val="22"/>
      <w:szCs w:val="20"/>
    </w:rPr>
  </w:style>
  <w:style w:type="character" w:customStyle="1" w:styleId="bodytextpsgChar">
    <w:name w:val="body text_psg Char"/>
    <w:link w:val="bodytextpsg"/>
    <w:rsid w:val="00363CF7"/>
    <w:rPr>
      <w:sz w:val="22"/>
    </w:rPr>
  </w:style>
  <w:style w:type="paragraph" w:customStyle="1" w:styleId="ExhibitTitle">
    <w:name w:val="Exhibit Title"/>
    <w:basedOn w:val="Normal"/>
    <w:link w:val="ExhibitTitleChar"/>
    <w:qFormat/>
    <w:rsid w:val="00B42CD6"/>
    <w:pPr>
      <w:keepNext/>
      <w:keepLines/>
      <w:spacing w:before="240" w:after="120" w:line="260" w:lineRule="exact"/>
      <w:ind w:left="1080" w:hanging="1080"/>
    </w:pPr>
    <w:rPr>
      <w:rFonts w:ascii="Arial" w:hAnsi="Arial"/>
      <w:b/>
      <w:snapToGrid w:val="0"/>
      <w:sz w:val="22"/>
      <w:szCs w:val="20"/>
    </w:rPr>
  </w:style>
  <w:style w:type="character" w:customStyle="1" w:styleId="ExhibitTitleChar">
    <w:name w:val="Exhibit Title Char"/>
    <w:link w:val="ExhibitTitle"/>
    <w:rsid w:val="00B42CD6"/>
    <w:rPr>
      <w:rFonts w:ascii="Arial" w:hAnsi="Arial"/>
      <w:b/>
      <w:snapToGrid w:val="0"/>
      <w:sz w:val="22"/>
    </w:rPr>
  </w:style>
  <w:style w:type="paragraph" w:styleId="TOC1">
    <w:name w:val="toc 1"/>
    <w:basedOn w:val="Normal"/>
    <w:next w:val="Normal"/>
    <w:autoRedefine/>
    <w:uiPriority w:val="39"/>
    <w:unhideWhenUsed/>
    <w:rsid w:val="003D351D"/>
    <w:pPr>
      <w:spacing w:after="100" w:line="276" w:lineRule="auto"/>
    </w:pPr>
    <w:rPr>
      <w:rFonts w:asciiTheme="minorHAnsi" w:eastAsiaTheme="minorHAnsi" w:hAnsiTheme="minorHAnsi" w:cstheme="minorBidi"/>
      <w:sz w:val="22"/>
      <w:szCs w:val="22"/>
    </w:rPr>
  </w:style>
  <w:style w:type="table" w:styleId="TableGrid">
    <w:name w:val="Table Grid"/>
    <w:basedOn w:val="TableNormal"/>
    <w:uiPriority w:val="59"/>
    <w:rsid w:val="006E688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after12">
    <w:name w:val="Body Text_after12"/>
    <w:basedOn w:val="BodyText"/>
    <w:qFormat/>
    <w:rsid w:val="006E688A"/>
    <w:pPr>
      <w:spacing w:before="240" w:after="200" w:line="276" w:lineRule="auto"/>
      <w:ind w:firstLine="360"/>
    </w:pPr>
    <w:rPr>
      <w:rFonts w:asciiTheme="minorHAnsi" w:eastAsiaTheme="minorHAnsi" w:hAnsiTheme="minorHAnsi"/>
      <w:snapToGrid/>
      <w:sz w:val="22"/>
      <w:szCs w:val="22"/>
    </w:rPr>
  </w:style>
  <w:style w:type="paragraph" w:customStyle="1" w:styleId="L1-FlLSp12">
    <w:name w:val="L1-FlL Sp&amp;1/2"/>
    <w:basedOn w:val="Normal"/>
    <w:link w:val="L1-FlLSp12Char"/>
    <w:rsid w:val="00006713"/>
    <w:pPr>
      <w:tabs>
        <w:tab w:val="left" w:pos="1152"/>
      </w:tabs>
      <w:spacing w:line="360" w:lineRule="atLeast"/>
    </w:pPr>
    <w:rPr>
      <w:rFonts w:ascii="Garamond" w:hAnsi="Garamond"/>
      <w:szCs w:val="20"/>
    </w:rPr>
  </w:style>
  <w:style w:type="character" w:customStyle="1" w:styleId="L1-FlLSp12Char">
    <w:name w:val="L1-FlL Sp&amp;1/2 Char"/>
    <w:basedOn w:val="DefaultParagraphFont"/>
    <w:link w:val="L1-FlLSp12"/>
    <w:rsid w:val="00006713"/>
    <w:rPr>
      <w:rFonts w:ascii="Garamond" w:hAnsi="Garamond"/>
      <w:sz w:val="24"/>
    </w:rPr>
  </w:style>
  <w:style w:type="paragraph" w:customStyle="1" w:styleId="TT-TableTitle">
    <w:name w:val="TT-Table Title"/>
    <w:link w:val="TT-TableTitleChar"/>
    <w:rsid w:val="00006713"/>
    <w:pPr>
      <w:keepNext/>
      <w:tabs>
        <w:tab w:val="left" w:pos="1440"/>
      </w:tabs>
      <w:spacing w:line="240" w:lineRule="atLeast"/>
      <w:ind w:left="1440" w:hanging="1440"/>
    </w:pPr>
    <w:rPr>
      <w:rFonts w:ascii="Franklin Gothic Medium" w:hAnsi="Franklin Gothic Medium"/>
      <w:sz w:val="22"/>
    </w:rPr>
  </w:style>
  <w:style w:type="paragraph" w:customStyle="1" w:styleId="TF-TblFN">
    <w:name w:val="TF-Tbl FN"/>
    <w:basedOn w:val="FootnoteText"/>
    <w:rsid w:val="00006713"/>
    <w:pPr>
      <w:widowControl/>
      <w:tabs>
        <w:tab w:val="left" w:pos="120"/>
      </w:tabs>
      <w:spacing w:before="120" w:line="200" w:lineRule="atLeast"/>
      <w:ind w:left="115" w:hanging="115"/>
    </w:pPr>
    <w:rPr>
      <w:rFonts w:ascii="Franklin Gothic Medium" w:hAnsi="Franklin Gothic Medium"/>
      <w:snapToGrid/>
      <w:sz w:val="16"/>
    </w:rPr>
  </w:style>
  <w:style w:type="paragraph" w:customStyle="1" w:styleId="TH-TableHeading">
    <w:name w:val="TH-Table Heading"/>
    <w:rsid w:val="00006713"/>
    <w:pPr>
      <w:keepNext/>
      <w:spacing w:line="240" w:lineRule="atLeast"/>
      <w:jc w:val="center"/>
    </w:pPr>
    <w:rPr>
      <w:rFonts w:ascii="Franklin Gothic Medium" w:hAnsi="Franklin Gothic Medium"/>
      <w:b/>
    </w:rPr>
  </w:style>
  <w:style w:type="paragraph" w:customStyle="1" w:styleId="TX-TableText">
    <w:name w:val="TX-Table Text"/>
    <w:basedOn w:val="Normal"/>
    <w:rsid w:val="00006713"/>
    <w:pPr>
      <w:spacing w:line="240" w:lineRule="atLeast"/>
    </w:pPr>
    <w:rPr>
      <w:rFonts w:ascii="Franklin Gothic Medium" w:hAnsi="Franklin Gothic Medium"/>
      <w:sz w:val="20"/>
      <w:szCs w:val="20"/>
    </w:rPr>
  </w:style>
  <w:style w:type="character" w:customStyle="1" w:styleId="TT-TableTitleChar">
    <w:name w:val="TT-Table Title Char"/>
    <w:basedOn w:val="DefaultParagraphFont"/>
    <w:link w:val="TT-TableTitle"/>
    <w:locked/>
    <w:rsid w:val="00006713"/>
    <w:rPr>
      <w:rFonts w:ascii="Franklin Gothic Medium" w:hAnsi="Franklin Gothic Medium"/>
      <w:sz w:val="22"/>
    </w:rPr>
  </w:style>
  <w:style w:type="paragraph" w:customStyle="1" w:styleId="SurveyCheckboxList">
    <w:name w:val="Survey Checkbox List"/>
    <w:basedOn w:val="Normal"/>
    <w:autoRedefine/>
    <w:rsid w:val="00006713"/>
    <w:pPr>
      <w:keepLines/>
      <w:numPr>
        <w:numId w:val="17"/>
      </w:numPr>
      <w:tabs>
        <w:tab w:val="clear" w:pos="1460"/>
        <w:tab w:val="left" w:pos="1440"/>
        <w:tab w:val="left" w:pos="1800"/>
        <w:tab w:val="left" w:pos="2880"/>
      </w:tabs>
      <w:spacing w:before="120" w:after="60" w:line="360" w:lineRule="auto"/>
      <w:ind w:left="2059" w:hanging="965"/>
    </w:pPr>
    <w:rPr>
      <w:rFonts w:ascii="Arial" w:hAnsi="Arial" w:cs="Arial"/>
      <w:bCs/>
      <w:color w:val="231F20"/>
      <w:sz w:val="22"/>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57325">
      <w:bodyDiv w:val="1"/>
      <w:marLeft w:val="0"/>
      <w:marRight w:val="0"/>
      <w:marTop w:val="0"/>
      <w:marBottom w:val="0"/>
      <w:divBdr>
        <w:top w:val="none" w:sz="0" w:space="0" w:color="auto"/>
        <w:left w:val="none" w:sz="0" w:space="0" w:color="auto"/>
        <w:bottom w:val="none" w:sz="0" w:space="0" w:color="auto"/>
        <w:right w:val="none" w:sz="0" w:space="0" w:color="auto"/>
      </w:divBdr>
    </w:div>
    <w:div w:id="375592585">
      <w:bodyDiv w:val="1"/>
      <w:marLeft w:val="0"/>
      <w:marRight w:val="0"/>
      <w:marTop w:val="0"/>
      <w:marBottom w:val="0"/>
      <w:divBdr>
        <w:top w:val="none" w:sz="0" w:space="0" w:color="auto"/>
        <w:left w:val="none" w:sz="0" w:space="0" w:color="auto"/>
        <w:bottom w:val="none" w:sz="0" w:space="0" w:color="auto"/>
        <w:right w:val="none" w:sz="0" w:space="0" w:color="auto"/>
      </w:divBdr>
    </w:div>
    <w:div w:id="1090662442">
      <w:bodyDiv w:val="1"/>
      <w:marLeft w:val="0"/>
      <w:marRight w:val="0"/>
      <w:marTop w:val="0"/>
      <w:marBottom w:val="0"/>
      <w:divBdr>
        <w:top w:val="none" w:sz="0" w:space="0" w:color="auto"/>
        <w:left w:val="none" w:sz="0" w:space="0" w:color="auto"/>
        <w:bottom w:val="none" w:sz="0" w:space="0" w:color="auto"/>
        <w:right w:val="none" w:sz="0" w:space="0" w:color="auto"/>
      </w:divBdr>
    </w:div>
    <w:div w:id="1226719673">
      <w:bodyDiv w:val="1"/>
      <w:marLeft w:val="0"/>
      <w:marRight w:val="0"/>
      <w:marTop w:val="0"/>
      <w:marBottom w:val="0"/>
      <w:divBdr>
        <w:top w:val="none" w:sz="0" w:space="0" w:color="auto"/>
        <w:left w:val="none" w:sz="0" w:space="0" w:color="auto"/>
        <w:bottom w:val="none" w:sz="0" w:space="0" w:color="auto"/>
        <w:right w:val="none" w:sz="0" w:space="0" w:color="auto"/>
      </w:divBdr>
    </w:div>
    <w:div w:id="1282305498">
      <w:bodyDiv w:val="1"/>
      <w:marLeft w:val="0"/>
      <w:marRight w:val="0"/>
      <w:marTop w:val="0"/>
      <w:marBottom w:val="0"/>
      <w:divBdr>
        <w:top w:val="none" w:sz="0" w:space="0" w:color="auto"/>
        <w:left w:val="none" w:sz="0" w:space="0" w:color="auto"/>
        <w:bottom w:val="none" w:sz="0" w:space="0" w:color="auto"/>
        <w:right w:val="none" w:sz="0" w:space="0" w:color="auto"/>
      </w:divBdr>
    </w:div>
    <w:div w:id="1523350929">
      <w:bodyDiv w:val="1"/>
      <w:marLeft w:val="0"/>
      <w:marRight w:val="0"/>
      <w:marTop w:val="0"/>
      <w:marBottom w:val="0"/>
      <w:divBdr>
        <w:top w:val="none" w:sz="0" w:space="0" w:color="auto"/>
        <w:left w:val="none" w:sz="0" w:space="0" w:color="auto"/>
        <w:bottom w:val="none" w:sz="0" w:space="0" w:color="auto"/>
        <w:right w:val="none" w:sz="0" w:space="0" w:color="auto"/>
      </w:divBdr>
    </w:div>
    <w:div w:id="1899435913">
      <w:bodyDiv w:val="1"/>
      <w:marLeft w:val="0"/>
      <w:marRight w:val="0"/>
      <w:marTop w:val="0"/>
      <w:marBottom w:val="0"/>
      <w:divBdr>
        <w:top w:val="none" w:sz="0" w:space="0" w:color="auto"/>
        <w:left w:val="none" w:sz="0" w:space="0" w:color="auto"/>
        <w:bottom w:val="none" w:sz="0" w:space="0" w:color="auto"/>
        <w:right w:val="none" w:sz="0" w:space="0" w:color="auto"/>
      </w:divBdr>
    </w:div>
    <w:div w:id="206493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anp.org/all-about-nps/np-fact-shee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kff.org/other/state-indicator/total-physician-assistants/?currentTimeframe=0&amp;sortModel=%7B%22colId%22:%22Location%22,%22sort%22:%22asc%22%7D" TargetMode="External"/><Relationship Id="rId4" Type="http://schemas.microsoft.com/office/2007/relationships/stylesWithEffects" Target="stylesWithEffects.xml"/><Relationship Id="rId9" Type="http://schemas.openxmlformats.org/officeDocument/2006/relationships/hyperlink" Target="http://www.mmslists.com/data/countspdf/AMA-SpecialtyByTOP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C5F36-F575-4782-A34A-CE38F9F27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2385</Words>
  <Characters>13595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15949</CharactersWithSpaces>
  <SharedDoc>false</SharedDoc>
  <HLinks>
    <vt:vector size="12" baseType="variant">
      <vt:variant>
        <vt:i4>983134</vt:i4>
      </vt:variant>
      <vt:variant>
        <vt:i4>3</vt:i4>
      </vt:variant>
      <vt:variant>
        <vt:i4>0</vt:i4>
      </vt:variant>
      <vt:variant>
        <vt:i4>5</vt:i4>
      </vt:variant>
      <vt:variant>
        <vt:lpwstr>http://www.whitehouse.gov/sites/default/files/omb/inforeg/statpc</vt:lpwstr>
      </vt:variant>
      <vt:variant>
        <vt:lpwstr/>
      </vt:variant>
      <vt:variant>
        <vt:i4>5767246</vt:i4>
      </vt:variant>
      <vt:variant>
        <vt:i4>0</vt:i4>
      </vt:variant>
      <vt:variant>
        <vt:i4>0</vt:i4>
      </vt:variant>
      <vt:variant>
        <vt:i4>5</vt:i4>
      </vt:variant>
      <vt:variant>
        <vt:lpwstr>http://www.ncss.com/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Aikin, Kathryn J</dc:creator>
  <cp:lastModifiedBy>SYSTEM</cp:lastModifiedBy>
  <cp:revision>2</cp:revision>
  <dcterms:created xsi:type="dcterms:W3CDTF">2019-03-07T21:28:00Z</dcterms:created>
  <dcterms:modified xsi:type="dcterms:W3CDTF">2019-03-07T21:28:00Z</dcterms:modified>
</cp:coreProperties>
</file>