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C32A8" w14:textId="2EE82B31" w:rsidR="00B23F2B" w:rsidRDefault="00B23F2B" w:rsidP="00CF307A">
      <w:pPr>
        <w:jc w:val="center"/>
      </w:pPr>
      <w:bookmarkStart w:id="0" w:name="_GoBack"/>
      <w:bookmarkEnd w:id="0"/>
      <w:r>
        <w:t>U.S. Food and Drug Administration</w:t>
      </w:r>
    </w:p>
    <w:p w14:paraId="56204447" w14:textId="77777777" w:rsidR="00B23F2B" w:rsidRDefault="00B23F2B" w:rsidP="00CF307A">
      <w:pPr>
        <w:jc w:val="center"/>
      </w:pPr>
    </w:p>
    <w:p w14:paraId="61B2441A" w14:textId="73B5FF88" w:rsidR="00B23769" w:rsidRDefault="004D6983" w:rsidP="00CF307A">
      <w:pPr>
        <w:jc w:val="center"/>
      </w:pPr>
      <w:r>
        <w:t>Healthcare Professional Survey of Professional Prescription Drug Promotion</w:t>
      </w:r>
    </w:p>
    <w:p w14:paraId="1BCDB0A6" w14:textId="77777777" w:rsidR="00B23F2B" w:rsidRPr="009A1674" w:rsidRDefault="00B23F2B" w:rsidP="00CF307A">
      <w:pPr>
        <w:jc w:val="center"/>
      </w:pPr>
    </w:p>
    <w:p w14:paraId="0EEB7D2E" w14:textId="050C4214" w:rsidR="009C4B3B" w:rsidRDefault="00B23F2B" w:rsidP="00411B7E">
      <w:pPr>
        <w:jc w:val="center"/>
      </w:pPr>
      <w:r>
        <w:t>OMB Control N</w:t>
      </w:r>
      <w:r w:rsidR="00805170">
        <w:t>o</w:t>
      </w:r>
      <w:r>
        <w:t xml:space="preserve">. </w:t>
      </w:r>
      <w:r w:rsidR="00411B7E">
        <w:t>0910-NEW</w:t>
      </w:r>
    </w:p>
    <w:p w14:paraId="7B2DF81E" w14:textId="77777777" w:rsidR="009C4B3B" w:rsidRDefault="009C4B3B" w:rsidP="00411B7E">
      <w:pPr>
        <w:jc w:val="center"/>
      </w:pPr>
    </w:p>
    <w:p w14:paraId="5A81B8DF" w14:textId="766F448D" w:rsidR="00EB7538" w:rsidRDefault="009C4B3B" w:rsidP="00EB7538">
      <w:pPr>
        <w:pStyle w:val="NormalWeb"/>
      </w:pPr>
      <w:r>
        <w:t>SUPPORTING STATEMENT</w:t>
      </w:r>
      <w:r w:rsidR="00B23F2B">
        <w:t xml:space="preserve"> </w:t>
      </w:r>
      <w:r w:rsidR="00B23F2B">
        <w:rPr>
          <w:b/>
        </w:rPr>
        <w:t xml:space="preserve">Part A. </w:t>
      </w:r>
      <w:r w:rsidR="00EB7538">
        <w:rPr>
          <w:b/>
          <w:bCs/>
        </w:rPr>
        <w:t>Justification</w:t>
      </w:r>
      <w:r w:rsidR="003719C0">
        <w:rPr>
          <w:b/>
          <w:bCs/>
        </w:rPr>
        <w:t xml:space="preserve"> </w:t>
      </w:r>
    </w:p>
    <w:p w14:paraId="3D9E3521" w14:textId="77777777" w:rsidR="008B30AB" w:rsidRPr="0027039C" w:rsidRDefault="00EB7538" w:rsidP="008B30AB">
      <w:pPr>
        <w:numPr>
          <w:ilvl w:val="0"/>
          <w:numId w:val="1"/>
        </w:numPr>
        <w:spacing w:before="100" w:beforeAutospacing="1" w:after="100" w:afterAutospacing="1"/>
        <w:rPr>
          <w:u w:val="single"/>
        </w:rPr>
      </w:pPr>
      <w:r w:rsidRPr="0027039C">
        <w:rPr>
          <w:u w:val="single"/>
        </w:rPr>
        <w:t>Circumstances Making the Collection of Information Necessary</w:t>
      </w:r>
    </w:p>
    <w:p w14:paraId="68FEBA43" w14:textId="7EE64877" w:rsidR="00947D7C" w:rsidRDefault="00947D7C" w:rsidP="00A20F66">
      <w:pPr>
        <w:overflowPunct w:val="0"/>
        <w:autoSpaceDE w:val="0"/>
        <w:autoSpaceDN w:val="0"/>
        <w:adjustRightInd w:val="0"/>
        <w:ind w:left="720"/>
        <w:contextualSpacing/>
        <w:textAlignment w:val="baseline"/>
      </w:pPr>
      <w:r w:rsidRPr="00477371">
        <w:t xml:space="preserve">Section 1701(a)(4) </w:t>
      </w:r>
      <w:r w:rsidRPr="00882550">
        <w:t>of the Public Health Service Act (42 U.S.C. 300u(a)(4)) authorizes FDA to conduct research relating to health information</w:t>
      </w:r>
      <w:r>
        <w:t xml:space="preserve">. </w:t>
      </w:r>
      <w:r w:rsidRPr="00882550">
        <w:t>Se</w:t>
      </w:r>
      <w:r w:rsidRPr="001D7F6C">
        <w:t>ction 1003(d)(2)(C) of the Federal Food, Drug, and Cosmetic Act (FD&amp;C Act) (21 U.S.C. 393(d)(2)(C)) authorizes FDA to conduct research relating to drugs and other FDA regulated products in carryin</w:t>
      </w:r>
      <w:r w:rsidRPr="00882550">
        <w:t>g out the provisions of the FD&amp;C Act.</w:t>
      </w:r>
    </w:p>
    <w:p w14:paraId="63770200" w14:textId="77777777" w:rsidR="00947D7C" w:rsidRPr="00882550" w:rsidRDefault="00947D7C" w:rsidP="00947D7C">
      <w:pPr>
        <w:overflowPunct w:val="0"/>
        <w:autoSpaceDE w:val="0"/>
        <w:autoSpaceDN w:val="0"/>
        <w:adjustRightInd w:val="0"/>
        <w:ind w:firstLine="720"/>
        <w:contextualSpacing/>
        <w:textAlignment w:val="baseline"/>
      </w:pPr>
    </w:p>
    <w:p w14:paraId="0F3C8F82" w14:textId="6794B51B" w:rsidR="00947D7C" w:rsidRDefault="00947D7C" w:rsidP="00A20F66">
      <w:pPr>
        <w:autoSpaceDE w:val="0"/>
        <w:autoSpaceDN w:val="0"/>
        <w:adjustRightInd w:val="0"/>
        <w:ind w:left="720"/>
        <w:rPr>
          <w:rFonts w:cs="Arial"/>
        </w:rPr>
      </w:pPr>
      <w:r>
        <w:rPr>
          <w:rFonts w:ascii="TimesNewRomanPSMT" w:hAnsi="TimesNewRomanPSMT" w:cs="TimesNewRomanPSMT"/>
        </w:rPr>
        <w:t xml:space="preserve">The FD&amp;C Act </w:t>
      </w:r>
      <w:r w:rsidRPr="00882550">
        <w:rPr>
          <w:rFonts w:ascii="TimesNewRomanPSMT" w:hAnsi="TimesNewRomanPSMT" w:cs="TimesNewRomanPSMT"/>
        </w:rPr>
        <w:t xml:space="preserve">prohibits the dissemination of </w:t>
      </w:r>
      <w:r>
        <w:rPr>
          <w:rFonts w:ascii="TimesNewRomanPSMT" w:hAnsi="TimesNewRomanPSMT" w:cs="TimesNewRomanPSMT"/>
        </w:rPr>
        <w:t xml:space="preserve">false or </w:t>
      </w:r>
      <w:r w:rsidRPr="00882550">
        <w:rPr>
          <w:rFonts w:ascii="TimesNewRomanPSMT" w:hAnsi="TimesNewRomanPSMT" w:cs="TimesNewRomanPSMT"/>
        </w:rPr>
        <w:t xml:space="preserve">misleading information about medications </w:t>
      </w:r>
      <w:r>
        <w:rPr>
          <w:rFonts w:ascii="TimesNewRomanPSMT" w:hAnsi="TimesNewRomanPSMT" w:cs="TimesNewRomanPSMT"/>
        </w:rPr>
        <w:t xml:space="preserve">in consumer-directed and </w:t>
      </w:r>
      <w:r w:rsidRPr="00882550">
        <w:rPr>
          <w:rFonts w:ascii="TimesNewRomanPSMT" w:hAnsi="TimesNewRomanPSMT" w:cs="TimesNewRomanPSMT"/>
        </w:rPr>
        <w:t>professional prescription</w:t>
      </w:r>
      <w:r>
        <w:rPr>
          <w:rFonts w:ascii="TimesNewRomanPSMT" w:hAnsi="TimesNewRomanPSMT" w:cs="TimesNewRomanPSMT"/>
        </w:rPr>
        <w:t xml:space="preserve"> drug promotion. </w:t>
      </w:r>
      <w:r w:rsidRPr="00882550">
        <w:rPr>
          <w:rFonts w:ascii="TimesNewRomanPSMT" w:hAnsi="TimesNewRomanPSMT" w:cs="TimesNewRomanPSMT"/>
        </w:rPr>
        <w:t xml:space="preserve">As part of its federal mandate, FDA </w:t>
      </w:r>
      <w:r>
        <w:rPr>
          <w:rFonts w:ascii="TimesNewRomanPSMT" w:hAnsi="TimesNewRomanPSMT" w:cs="TimesNewRomanPSMT"/>
        </w:rPr>
        <w:t>regulates whether</w:t>
      </w:r>
      <w:r w:rsidRPr="00882550">
        <w:rPr>
          <w:rFonts w:ascii="TimesNewRomanPSMT" w:hAnsi="TimesNewRomanPSMT" w:cs="TimesNewRomanPSMT"/>
        </w:rPr>
        <w:t xml:space="preserve"> advertising of prescription drug products is truthful, balanced, and accurately communicated (see </w:t>
      </w:r>
      <w:r w:rsidRPr="00882550">
        <w:t>21 U.S.C. 352(n)</w:t>
      </w:r>
      <w:r w:rsidRPr="00882550">
        <w:rPr>
          <w:rFonts w:ascii="TimesNewRomanPSMT" w:hAnsi="TimesNewRomanPSMT" w:cs="TimesNewRomanPSMT"/>
        </w:rPr>
        <w:t xml:space="preserve">). </w:t>
      </w:r>
      <w:r>
        <w:rPr>
          <w:rFonts w:ascii="TimesNewRomanPSMT" w:hAnsi="TimesNewRomanPSMT" w:cs="TimesNewRomanPSMT"/>
        </w:rPr>
        <w:t>FDA’s regulatory policies are aligned with the principles of free speech and due process in the United States Constitution.</w:t>
      </w:r>
      <w:r w:rsidRPr="00882550">
        <w:rPr>
          <w:rFonts w:ascii="TimesNewRomanPSMT" w:hAnsi="TimesNewRomanPSMT" w:cs="TimesNewRomanPSMT"/>
        </w:rPr>
        <w:t xml:space="preserve"> To </w:t>
      </w:r>
      <w:r w:rsidRPr="00F524CE">
        <w:rPr>
          <w:rFonts w:ascii="TimesNewRomanPSMT" w:hAnsi="TimesNewRomanPSMT" w:cs="TimesNewRomanPSMT"/>
        </w:rPr>
        <w:t>inform current and future policies</w:t>
      </w:r>
      <w:r w:rsidRPr="00882550">
        <w:rPr>
          <w:rFonts w:ascii="TimesNewRomanPSMT" w:hAnsi="TimesNewRomanPSMT" w:cs="TimesNewRomanPSMT"/>
        </w:rPr>
        <w:t xml:space="preserve">, </w:t>
      </w:r>
      <w:r>
        <w:rPr>
          <w:rFonts w:ascii="TimesNewRomanPSMT" w:hAnsi="TimesNewRomanPSMT" w:cs="TimesNewRomanPSMT"/>
        </w:rPr>
        <w:t xml:space="preserve">and to </w:t>
      </w:r>
      <w:r w:rsidRPr="00F524CE">
        <w:rPr>
          <w:rFonts w:ascii="TimesNewRomanPSMT" w:hAnsi="TimesNewRomanPSMT" w:cs="TimesNewRomanPSMT"/>
        </w:rPr>
        <w:t>seek to enhance audience comprehension</w:t>
      </w:r>
      <w:r>
        <w:rPr>
          <w:rFonts w:ascii="TimesNewRomanPSMT" w:hAnsi="TimesNewRomanPSMT" w:cs="TimesNewRomanPSMT"/>
        </w:rPr>
        <w:t xml:space="preserve">, </w:t>
      </w:r>
      <w:r w:rsidRPr="00882550">
        <w:rPr>
          <w:rFonts w:ascii="TimesNewRomanPSMT" w:hAnsi="TimesNewRomanPSMT" w:cs="TimesNewRomanPSMT"/>
        </w:rPr>
        <w:t xml:space="preserve">the Office of Prescription Drug Promotion conducts research focusing on (1) </w:t>
      </w:r>
      <w:r>
        <w:rPr>
          <w:rFonts w:ascii="TimesNewRomanPSMT" w:hAnsi="TimesNewRomanPSMT" w:cs="TimesNewRomanPSMT"/>
        </w:rPr>
        <w:t>a</w:t>
      </w:r>
      <w:r w:rsidRPr="00882550">
        <w:rPr>
          <w:rFonts w:ascii="TimesNewRomanPSMT" w:hAnsi="TimesNewRomanPSMT" w:cs="TimesNewRomanPSMT"/>
        </w:rPr>
        <w:t>dvertising features including content and format, (2) target populations, and (3) research quality</w:t>
      </w:r>
      <w:r>
        <w:rPr>
          <w:rFonts w:ascii="TimesNewRomanPSMT" w:hAnsi="TimesNewRomanPSMT" w:cs="TimesNewRomanPSMT"/>
        </w:rPr>
        <w:t xml:space="preserve">. </w:t>
      </w:r>
      <w:r w:rsidRPr="00882550">
        <w:rPr>
          <w:rFonts w:ascii="TimesNewRomanPSMT" w:hAnsi="TimesNewRomanPSMT" w:cs="TimesNewRomanPSMT"/>
        </w:rPr>
        <w:t>This proposed research focuses on</w:t>
      </w:r>
      <w:r>
        <w:rPr>
          <w:rFonts w:ascii="TimesNewRomanPSMT" w:hAnsi="TimesNewRomanPSMT" w:cs="TimesNewRomanPSMT"/>
        </w:rPr>
        <w:t xml:space="preserve"> healthcare professionals (HCPs). In 2002 (Ref. 1) and again in 2013 (Refs. 2, 3), </w:t>
      </w:r>
      <w:r w:rsidRPr="00882550">
        <w:rPr>
          <w:rFonts w:cs="Arial"/>
        </w:rPr>
        <w:t xml:space="preserve">FDA surveyed </w:t>
      </w:r>
      <w:r>
        <w:rPr>
          <w:rFonts w:cs="Arial"/>
        </w:rPr>
        <w:t xml:space="preserve">HCPs </w:t>
      </w:r>
      <w:r w:rsidRPr="00882550">
        <w:rPr>
          <w:rFonts w:cs="Arial"/>
        </w:rPr>
        <w:t>about their attitudes toward DTC advertising and its role in their relationships with their patients</w:t>
      </w:r>
      <w:r>
        <w:rPr>
          <w:rFonts w:cs="Arial"/>
        </w:rPr>
        <w:t xml:space="preserve">. </w:t>
      </w:r>
      <w:r w:rsidRPr="00882550">
        <w:rPr>
          <w:rFonts w:cs="Arial"/>
        </w:rPr>
        <w:t xml:space="preserve">The 2013 survey included multiple types </w:t>
      </w:r>
      <w:r>
        <w:rPr>
          <w:rFonts w:cs="Arial"/>
        </w:rPr>
        <w:t>of HCPs</w:t>
      </w:r>
      <w:r w:rsidRPr="00882550">
        <w:rPr>
          <w:rFonts w:cs="Arial"/>
        </w:rPr>
        <w:t xml:space="preserve">: primary care physicians </w:t>
      </w:r>
      <w:r>
        <w:rPr>
          <w:rFonts w:cs="Arial"/>
        </w:rPr>
        <w:t xml:space="preserve">and </w:t>
      </w:r>
      <w:r w:rsidRPr="00882550">
        <w:rPr>
          <w:rFonts w:cs="Arial"/>
        </w:rPr>
        <w:t xml:space="preserve">specialists, </w:t>
      </w:r>
      <w:r>
        <w:rPr>
          <w:rFonts w:cs="Arial"/>
        </w:rPr>
        <w:t xml:space="preserve">as well as </w:t>
      </w:r>
      <w:r w:rsidRPr="00882550">
        <w:rPr>
          <w:rFonts w:cs="Arial"/>
        </w:rPr>
        <w:t>nurse practitioners and physician assistants. Whereas the focus of both previous FDA surveys was on DTC advertising and promotion, the current study is designed to address issues related to professional prescription drug promotion</w:t>
      </w:r>
      <w:r>
        <w:rPr>
          <w:rFonts w:cs="Arial"/>
        </w:rPr>
        <w:t xml:space="preserve">. </w:t>
      </w:r>
      <w:r w:rsidRPr="00882550">
        <w:rPr>
          <w:rFonts w:cs="Arial"/>
        </w:rPr>
        <w:t>The goal is to query a representative sample of HCPs about their opinions of promotional materials and procedures targeted at HCPs, clinical trial design and knowledge, and FDA approval status</w:t>
      </w:r>
      <w:r>
        <w:rPr>
          <w:rFonts w:cs="Arial"/>
        </w:rPr>
        <w:t xml:space="preserve">. </w:t>
      </w:r>
      <w:r w:rsidRPr="00882550">
        <w:rPr>
          <w:rFonts w:cs="Arial"/>
        </w:rPr>
        <w:t>We will also take this opportunity to ask HCPs briefly about their knowledge of abuse-deterrent formulations for opioid products.</w:t>
      </w:r>
    </w:p>
    <w:p w14:paraId="4EF4B75B" w14:textId="77777777" w:rsidR="00947D7C" w:rsidRPr="00882550" w:rsidRDefault="00947D7C" w:rsidP="00947D7C">
      <w:pPr>
        <w:autoSpaceDE w:val="0"/>
        <w:autoSpaceDN w:val="0"/>
        <w:adjustRightInd w:val="0"/>
        <w:ind w:firstLine="720"/>
        <w:rPr>
          <w:rFonts w:cs="Arial"/>
        </w:rPr>
      </w:pPr>
    </w:p>
    <w:p w14:paraId="215A28AC" w14:textId="77777777" w:rsidR="00947D7C" w:rsidRPr="00882550" w:rsidRDefault="00947D7C" w:rsidP="00A20F66">
      <w:pPr>
        <w:autoSpaceDE w:val="0"/>
        <w:autoSpaceDN w:val="0"/>
        <w:adjustRightInd w:val="0"/>
        <w:ind w:left="720"/>
        <w:rPr>
          <w:rFonts w:ascii="TimesNewRomanPSMT" w:hAnsi="TimesNewRomanPSMT" w:cs="TimesNewRomanPSMT"/>
        </w:rPr>
      </w:pPr>
      <w:r w:rsidRPr="00882550">
        <w:rPr>
          <w:rFonts w:ascii="TimesNewRomanPSMT" w:hAnsi="TimesNewRomanPSMT" w:cs="TimesNewRomanPSMT"/>
        </w:rPr>
        <w:t>To educate themselves about prescription drugs, HCPs sometimes rely on</w:t>
      </w:r>
      <w:r>
        <w:rPr>
          <w:rFonts w:ascii="TimesNewRomanPSMT" w:hAnsi="TimesNewRomanPSMT" w:cs="TimesNewRomanPSMT"/>
        </w:rPr>
        <w:t xml:space="preserve"> </w:t>
      </w:r>
      <w:r w:rsidRPr="00882550">
        <w:rPr>
          <w:rFonts w:ascii="TimesNewRomanPSMT" w:hAnsi="TimesNewRomanPSMT" w:cs="TimesNewRomanPSMT"/>
        </w:rPr>
        <w:t xml:space="preserve">professionally directed promotional information (Refs. </w:t>
      </w:r>
      <w:r>
        <w:rPr>
          <w:rFonts w:ascii="TimesNewRomanPSMT" w:hAnsi="TimesNewRomanPSMT" w:cs="TimesNewRomanPSMT"/>
        </w:rPr>
        <w:t>4</w:t>
      </w:r>
      <w:r w:rsidRPr="00882550">
        <w:rPr>
          <w:rFonts w:ascii="TimesNewRomanPSMT" w:hAnsi="TimesNewRomanPSMT" w:cs="TimesNewRomanPSMT"/>
        </w:rPr>
        <w:t>-</w:t>
      </w:r>
      <w:r>
        <w:rPr>
          <w:rFonts w:ascii="TimesNewRomanPSMT" w:hAnsi="TimesNewRomanPSMT" w:cs="TimesNewRomanPSMT"/>
        </w:rPr>
        <w:t>8</w:t>
      </w:r>
      <w:r w:rsidRPr="00882550">
        <w:rPr>
          <w:rFonts w:ascii="TimesNewRomanPSMT" w:hAnsi="TimesNewRomanPSMT" w:cs="TimesNewRomanPSMT"/>
        </w:rPr>
        <w:t>)</w:t>
      </w:r>
      <w:r>
        <w:rPr>
          <w:rFonts w:ascii="TimesNewRomanPSMT" w:hAnsi="TimesNewRomanPSMT" w:cs="TimesNewRomanPSMT"/>
        </w:rPr>
        <w:t xml:space="preserve">. </w:t>
      </w:r>
      <w:r w:rsidRPr="00882550">
        <w:rPr>
          <w:rFonts w:ascii="TimesNewRomanPSMT" w:hAnsi="TimesNewRomanPSMT" w:cs="TimesNewRomanPSMT"/>
        </w:rPr>
        <w:t xml:space="preserve">In 2012, pharmaceutical companies spent more than $24 billion on marketing to physicians (Ref. </w:t>
      </w:r>
      <w:r>
        <w:rPr>
          <w:rFonts w:ascii="TimesNewRomanPSMT" w:hAnsi="TimesNewRomanPSMT" w:cs="TimesNewRomanPSMT"/>
        </w:rPr>
        <w:t>9</w:t>
      </w:r>
      <w:r w:rsidRPr="00882550">
        <w:rPr>
          <w:rFonts w:ascii="TimesNewRomanPSMT" w:hAnsi="TimesNewRomanPSMT" w:cs="TimesNewRomanPSMT"/>
        </w:rPr>
        <w:t>)</w:t>
      </w:r>
      <w:r>
        <w:rPr>
          <w:rFonts w:ascii="TimesNewRomanPSMT" w:hAnsi="TimesNewRomanPSMT" w:cs="TimesNewRomanPSMT"/>
        </w:rPr>
        <w:t xml:space="preserve">. </w:t>
      </w:r>
      <w:r w:rsidRPr="00882550">
        <w:rPr>
          <w:rFonts w:ascii="TimesNewRomanPSMT" w:hAnsi="TimesNewRomanPSMT" w:cs="TimesNewRomanPSMT"/>
        </w:rPr>
        <w:t>The industry exposes health</w:t>
      </w:r>
      <w:r>
        <w:rPr>
          <w:rFonts w:ascii="TimesNewRomanPSMT" w:hAnsi="TimesNewRomanPSMT" w:cs="TimesNewRomanPSMT"/>
        </w:rPr>
        <w:t xml:space="preserve"> </w:t>
      </w:r>
      <w:r w:rsidRPr="00882550">
        <w:rPr>
          <w:rFonts w:ascii="TimesNewRomanPSMT" w:hAnsi="TimesNewRomanPSMT" w:cs="TimesNewRomanPSMT"/>
        </w:rPr>
        <w:t>care professionals to promotional materials through a variety of mechanisms, including communication with pharmaceutical representatives, journal ads, prescribing software, presentations at sponsored meetings, and direct mail ads</w:t>
      </w:r>
      <w:r w:rsidRPr="00882550" w:rsidDel="00E1345B">
        <w:rPr>
          <w:rFonts w:ascii="TimesNewRomanPSMT" w:hAnsi="TimesNewRomanPSMT" w:cs="TimesNewRomanPSMT"/>
        </w:rPr>
        <w:t xml:space="preserve"> </w:t>
      </w:r>
      <w:r w:rsidRPr="00882550">
        <w:rPr>
          <w:rFonts w:ascii="TimesNewRomanPSMT" w:hAnsi="TimesNewRomanPSMT" w:cs="TimesNewRomanPSMT"/>
        </w:rPr>
        <w:t>(Ref. 1</w:t>
      </w:r>
      <w:r>
        <w:rPr>
          <w:rFonts w:ascii="TimesNewRomanPSMT" w:hAnsi="TimesNewRomanPSMT" w:cs="TimesNewRomanPSMT"/>
        </w:rPr>
        <w:t>0</w:t>
      </w:r>
      <w:r w:rsidRPr="00882550">
        <w:rPr>
          <w:rFonts w:ascii="TimesNewRomanPSMT" w:hAnsi="TimesNewRomanPSMT" w:cs="TimesNewRomanPSMT"/>
        </w:rPr>
        <w:t>)</w:t>
      </w:r>
      <w:r>
        <w:rPr>
          <w:rFonts w:ascii="TimesNewRomanPSMT" w:hAnsi="TimesNewRomanPSMT" w:cs="TimesNewRomanPSMT"/>
        </w:rPr>
        <w:t xml:space="preserve">. </w:t>
      </w:r>
      <w:r w:rsidRPr="00882550">
        <w:rPr>
          <w:rFonts w:ascii="TimesNewRomanPSMT" w:hAnsi="TimesNewRomanPSMT" w:cs="TimesNewRomanPSMT"/>
        </w:rPr>
        <w:t xml:space="preserve">Several studies indicate </w:t>
      </w:r>
      <w:r>
        <w:rPr>
          <w:rFonts w:ascii="TimesNewRomanPSMT" w:hAnsi="TimesNewRomanPSMT" w:cs="TimesNewRomanPSMT"/>
        </w:rPr>
        <w:t xml:space="preserve">that </w:t>
      </w:r>
      <w:r w:rsidRPr="00882550">
        <w:rPr>
          <w:rFonts w:ascii="TimesNewRomanPSMT" w:hAnsi="TimesNewRomanPSMT" w:cs="TimesNewRomanPSMT"/>
        </w:rPr>
        <w:t xml:space="preserve">data presented in promotional materials </w:t>
      </w:r>
      <w:r>
        <w:rPr>
          <w:rFonts w:ascii="TimesNewRomanPSMT" w:hAnsi="TimesNewRomanPSMT" w:cs="TimesNewRomanPSMT"/>
        </w:rPr>
        <w:t xml:space="preserve">may not be fully comprehended and may even potentially </w:t>
      </w:r>
      <w:r w:rsidRPr="00882550">
        <w:rPr>
          <w:rFonts w:ascii="TimesNewRomanPSMT" w:hAnsi="TimesNewRomanPSMT" w:cs="TimesNewRomanPSMT"/>
        </w:rPr>
        <w:t xml:space="preserve">be misleading due to a variety of causes, such as insufficient </w:t>
      </w:r>
      <w:r w:rsidRPr="00882550">
        <w:rPr>
          <w:rFonts w:ascii="TimesNewRomanPSMT" w:hAnsi="TimesNewRomanPSMT" w:cs="TimesNewRomanPSMT"/>
        </w:rPr>
        <w:lastRenderedPageBreak/>
        <w:t>information, unsupported claims, or a failure to disclose limitations of the information presented (Refs. 1</w:t>
      </w:r>
      <w:r>
        <w:rPr>
          <w:rFonts w:ascii="TimesNewRomanPSMT" w:hAnsi="TimesNewRomanPSMT" w:cs="TimesNewRomanPSMT"/>
        </w:rPr>
        <w:t>1</w:t>
      </w:r>
      <w:r w:rsidRPr="00882550">
        <w:rPr>
          <w:rFonts w:ascii="TimesNewRomanPSMT" w:hAnsi="TimesNewRomanPSMT" w:cs="TimesNewRomanPSMT"/>
        </w:rPr>
        <w:t>-1</w:t>
      </w:r>
      <w:r>
        <w:rPr>
          <w:rFonts w:ascii="TimesNewRomanPSMT" w:hAnsi="TimesNewRomanPSMT" w:cs="TimesNewRomanPSMT"/>
        </w:rPr>
        <w:t>5</w:t>
      </w:r>
      <w:r w:rsidRPr="00882550">
        <w:rPr>
          <w:rFonts w:ascii="TimesNewRomanPSMT" w:hAnsi="TimesNewRomanPSMT" w:cs="TimesNewRomanPSMT"/>
        </w:rPr>
        <w:t>).</w:t>
      </w:r>
    </w:p>
    <w:p w14:paraId="02F8C183" w14:textId="77777777" w:rsidR="00947D7C" w:rsidRDefault="00947D7C" w:rsidP="00947D7C">
      <w:pPr>
        <w:autoSpaceDE w:val="0"/>
        <w:autoSpaceDN w:val="0"/>
        <w:adjustRightInd w:val="0"/>
        <w:rPr>
          <w:rFonts w:ascii="TimesNewRomanPSMT" w:hAnsi="TimesNewRomanPSMT" w:cs="TimesNewRomanPSMT"/>
        </w:rPr>
      </w:pPr>
    </w:p>
    <w:p w14:paraId="1AD71C0A" w14:textId="05720A10" w:rsidR="00947D7C" w:rsidRDefault="00947D7C" w:rsidP="00A20F66">
      <w:pPr>
        <w:autoSpaceDE w:val="0"/>
        <w:autoSpaceDN w:val="0"/>
        <w:adjustRightInd w:val="0"/>
        <w:ind w:left="720"/>
        <w:rPr>
          <w:rFonts w:ascii="TimesNewRomanPSMT" w:hAnsi="TimesNewRomanPSMT" w:cs="TimesNewRomanPSMT"/>
        </w:rPr>
      </w:pPr>
      <w:r>
        <w:rPr>
          <w:rFonts w:ascii="TimesNewRomanPSMT" w:hAnsi="TimesNewRomanPSMT" w:cs="TimesNewRomanPSMT"/>
        </w:rPr>
        <w:t xml:space="preserve">Although </w:t>
      </w:r>
      <w:r w:rsidRPr="00882550">
        <w:rPr>
          <w:rFonts w:ascii="TimesNewRomanPSMT" w:hAnsi="TimesNewRomanPSMT" w:cs="TimesNewRomanPSMT"/>
        </w:rPr>
        <w:t>HCPs</w:t>
      </w:r>
      <w:r>
        <w:rPr>
          <w:rFonts w:ascii="TimesNewRomanPSMT" w:hAnsi="TimesNewRomanPSMT" w:cs="TimesNewRomanPSMT"/>
        </w:rPr>
        <w:t xml:space="preserve"> are learned intermediaries</w:t>
      </w:r>
      <w:r w:rsidRPr="00882550">
        <w:rPr>
          <w:rFonts w:ascii="TimesNewRomanPSMT" w:hAnsi="TimesNewRomanPSMT" w:cs="TimesNewRomanPSMT"/>
        </w:rPr>
        <w:t xml:space="preserve">, like most people, </w:t>
      </w:r>
      <w:r>
        <w:rPr>
          <w:rFonts w:ascii="TimesNewRomanPSMT" w:hAnsi="TimesNewRomanPSMT" w:cs="TimesNewRomanPSMT"/>
        </w:rPr>
        <w:t xml:space="preserve">they may </w:t>
      </w:r>
      <w:r w:rsidRPr="00882550">
        <w:rPr>
          <w:rFonts w:ascii="TimesNewRomanPSMT" w:hAnsi="TimesNewRomanPSMT" w:cs="TimesNewRomanPSMT"/>
        </w:rPr>
        <w:t>rely on heuristics</w:t>
      </w:r>
      <w:r>
        <w:rPr>
          <w:rFonts w:ascii="TimesNewRomanPSMT" w:hAnsi="TimesNewRomanPSMT" w:cs="TimesNewRomanPSMT"/>
        </w:rPr>
        <w:t>, or rules of thumb,</w:t>
      </w:r>
      <w:r w:rsidRPr="00882550">
        <w:rPr>
          <w:rFonts w:ascii="TimesNewRomanPSMT" w:hAnsi="TimesNewRomanPSMT" w:cs="TimesNewRomanPSMT"/>
        </w:rPr>
        <w:t xml:space="preserve"> in making decisions and may have cognitive biases in the type of information they attend to at any given time</w:t>
      </w:r>
      <w:r>
        <w:rPr>
          <w:rFonts w:ascii="TimesNewRomanPSMT" w:hAnsi="TimesNewRomanPSMT" w:cs="TimesNewRomanPSMT"/>
        </w:rPr>
        <w:t xml:space="preserve">. </w:t>
      </w:r>
      <w:r w:rsidRPr="00882550">
        <w:rPr>
          <w:rFonts w:ascii="TimesNewRomanPSMT" w:hAnsi="TimesNewRomanPSMT" w:cs="TimesNewRomanPSMT"/>
        </w:rPr>
        <w:t>They may be persuaded by strong statements and may not have the time to ascertain accuracy of such information (Ref. 1</w:t>
      </w:r>
      <w:r>
        <w:rPr>
          <w:rFonts w:ascii="TimesNewRomanPSMT" w:hAnsi="TimesNewRomanPSMT" w:cs="TimesNewRomanPSMT"/>
        </w:rPr>
        <w:t>6</w:t>
      </w:r>
      <w:r w:rsidRPr="00882550">
        <w:rPr>
          <w:rFonts w:ascii="TimesNewRomanPSMT" w:hAnsi="TimesNewRomanPSMT" w:cs="TimesNewRomanPSMT"/>
        </w:rPr>
        <w:t>)</w:t>
      </w:r>
      <w:r>
        <w:rPr>
          <w:rFonts w:ascii="TimesNewRomanPSMT" w:hAnsi="TimesNewRomanPSMT" w:cs="TimesNewRomanPSMT"/>
        </w:rPr>
        <w:t xml:space="preserve">. </w:t>
      </w:r>
    </w:p>
    <w:p w14:paraId="3C6F90E7" w14:textId="77777777" w:rsidR="00947D7C" w:rsidRDefault="00947D7C" w:rsidP="00A20F66">
      <w:pPr>
        <w:autoSpaceDE w:val="0"/>
        <w:autoSpaceDN w:val="0"/>
        <w:adjustRightInd w:val="0"/>
        <w:ind w:left="720"/>
        <w:rPr>
          <w:rFonts w:ascii="TimesNewRomanPSMT" w:hAnsi="TimesNewRomanPSMT" w:cs="TimesNewRomanPSMT"/>
        </w:rPr>
      </w:pPr>
    </w:p>
    <w:p w14:paraId="495B5F09" w14:textId="1C246CD3" w:rsidR="00947D7C" w:rsidRPr="00882550" w:rsidRDefault="00947D7C" w:rsidP="00A20F66">
      <w:pPr>
        <w:autoSpaceDE w:val="0"/>
        <w:autoSpaceDN w:val="0"/>
        <w:adjustRightInd w:val="0"/>
        <w:ind w:left="720"/>
      </w:pPr>
      <w:r w:rsidRPr="00882550">
        <w:rPr>
          <w:rFonts w:ascii="TimesNewRomanPSMT" w:hAnsi="TimesNewRomanPSMT" w:cs="TimesNewRomanPSMT"/>
        </w:rPr>
        <w:t xml:space="preserve">The proposed survey </w:t>
      </w:r>
      <w:r>
        <w:rPr>
          <w:rFonts w:ascii="TimesNewRomanPSMT" w:hAnsi="TimesNewRomanPSMT" w:cs="TimesNewRomanPSMT"/>
        </w:rPr>
        <w:t xml:space="preserve">is </w:t>
      </w:r>
      <w:r w:rsidRPr="001F5016">
        <w:rPr>
          <w:rFonts w:ascii="TimesNewRomanPSMT" w:hAnsi="TimesNewRomanPSMT" w:cs="TimesNewRomanPSMT"/>
        </w:rPr>
        <w:t>designed to provide further insights about how professionally targeted prescription drug promotion might influence health care professionals’ decision-making processes and practices</w:t>
      </w:r>
      <w:r>
        <w:rPr>
          <w:rFonts w:ascii="TimesNewRomanPSMT" w:hAnsi="TimesNewRomanPSMT" w:cs="TimesNewRomanPSMT"/>
        </w:rPr>
        <w:t xml:space="preserve"> and </w:t>
      </w:r>
      <w:r w:rsidRPr="001F5016">
        <w:rPr>
          <w:rFonts w:ascii="TimesNewRomanPSMT" w:hAnsi="TimesNewRomanPSMT" w:cs="TimesNewRomanPSMT"/>
        </w:rPr>
        <w:t>how information may be communicated more accurately</w:t>
      </w:r>
      <w:r>
        <w:rPr>
          <w:rFonts w:ascii="TimesNewRomanPSMT" w:hAnsi="TimesNewRomanPSMT" w:cs="TimesNewRomanPSMT"/>
        </w:rPr>
        <w:t xml:space="preserve">. </w:t>
      </w:r>
      <w:r w:rsidRPr="00882550">
        <w:rPr>
          <w:rFonts w:ascii="TimesNewRomanPSMT" w:hAnsi="TimesNewRomanPSMT" w:cs="TimesNewRomanPSMT"/>
        </w:rPr>
        <w:t>It is important to note that FDA does not regulate the practice of medicine</w:t>
      </w:r>
      <w:r>
        <w:rPr>
          <w:rFonts w:ascii="TimesNewRomanPSMT" w:hAnsi="TimesNewRomanPSMT" w:cs="TimesNewRomanPSMT"/>
        </w:rPr>
        <w:t xml:space="preserve">. </w:t>
      </w:r>
      <w:r w:rsidRPr="00882550">
        <w:rPr>
          <w:rFonts w:ascii="TimesNewRomanPSMT" w:hAnsi="TimesNewRomanPSMT" w:cs="TimesNewRomanPSMT"/>
        </w:rPr>
        <w:t xml:space="preserve">However, as previously mentioned, FDA does regulate prescription drug promotion. This survey is </w:t>
      </w:r>
      <w:r w:rsidRPr="001F5016">
        <w:rPr>
          <w:rFonts w:ascii="TimesNewRomanPSMT" w:hAnsi="TimesNewRomanPSMT" w:cs="TimesNewRomanPSMT"/>
        </w:rPr>
        <w:t>designed to inform FDA of various responses to and impacts of prescription drug promotion</w:t>
      </w:r>
      <w:r w:rsidRPr="00882550">
        <w:rPr>
          <w:rFonts w:ascii="TimesNewRomanPSMT" w:hAnsi="TimesNewRomanPSMT" w:cs="TimesNewRomanPSMT"/>
        </w:rPr>
        <w:t>.</w:t>
      </w:r>
    </w:p>
    <w:p w14:paraId="48984809" w14:textId="77777777" w:rsidR="00947D7C" w:rsidRDefault="00947D7C" w:rsidP="00947D7C"/>
    <w:p w14:paraId="5159A6F9" w14:textId="15105E2F" w:rsidR="00947D7C" w:rsidRDefault="00947D7C" w:rsidP="00A20F66">
      <w:pPr>
        <w:ind w:firstLine="720"/>
      </w:pPr>
      <w:r>
        <w:t>The g</w:t>
      </w:r>
      <w:r w:rsidRPr="00A2484F">
        <w:t xml:space="preserve">eneral </w:t>
      </w:r>
      <w:r>
        <w:t>r</w:t>
      </w:r>
      <w:r w:rsidRPr="00A2484F">
        <w:t xml:space="preserve">esearch </w:t>
      </w:r>
      <w:r>
        <w:t>q</w:t>
      </w:r>
      <w:r w:rsidRPr="00A2484F">
        <w:t>uestions</w:t>
      </w:r>
      <w:r>
        <w:t xml:space="preserve"> in the survey are as follows:</w:t>
      </w:r>
    </w:p>
    <w:p w14:paraId="2FF9ED8B" w14:textId="77777777" w:rsidR="00947D7C" w:rsidRPr="00A2484F" w:rsidRDefault="00947D7C" w:rsidP="00947D7C"/>
    <w:p w14:paraId="6A0DA922" w14:textId="77777777" w:rsidR="00947D7C" w:rsidRDefault="00947D7C" w:rsidP="00947D7C">
      <w:pPr>
        <w:numPr>
          <w:ilvl w:val="0"/>
          <w:numId w:val="5"/>
        </w:numPr>
        <w:spacing w:after="200"/>
        <w:ind w:left="0" w:firstLine="720"/>
        <w:contextualSpacing/>
        <w:rPr>
          <w:rFonts w:eastAsiaTheme="minorEastAsia"/>
        </w:rPr>
      </w:pPr>
      <w:r w:rsidRPr="00882550">
        <w:rPr>
          <w:rFonts w:eastAsiaTheme="minorEastAsia"/>
        </w:rPr>
        <w:t>What methods and/or channels are used to disseminate prescription drug</w:t>
      </w:r>
    </w:p>
    <w:p w14:paraId="77677BF7" w14:textId="71D095BF" w:rsidR="00947D7C" w:rsidRDefault="00947D7C" w:rsidP="00947D7C">
      <w:pPr>
        <w:spacing w:after="200"/>
        <w:ind w:left="720" w:firstLine="720"/>
        <w:contextualSpacing/>
        <w:rPr>
          <w:rFonts w:eastAsiaTheme="minorEastAsia"/>
        </w:rPr>
      </w:pPr>
      <w:r w:rsidRPr="00882550">
        <w:rPr>
          <w:rFonts w:eastAsiaTheme="minorEastAsia"/>
        </w:rPr>
        <w:t xml:space="preserve"> promotional information to health</w:t>
      </w:r>
      <w:r>
        <w:rPr>
          <w:rFonts w:eastAsiaTheme="minorEastAsia"/>
        </w:rPr>
        <w:t xml:space="preserve"> </w:t>
      </w:r>
      <w:r w:rsidRPr="00882550">
        <w:rPr>
          <w:rFonts w:eastAsiaTheme="minorEastAsia"/>
        </w:rPr>
        <w:t>care professionals/prescribers?</w:t>
      </w:r>
    </w:p>
    <w:p w14:paraId="75F9BB75" w14:textId="77777777" w:rsidR="00947D7C" w:rsidRPr="00882550" w:rsidRDefault="00947D7C" w:rsidP="00947D7C">
      <w:pPr>
        <w:spacing w:after="200"/>
        <w:ind w:left="720"/>
        <w:contextualSpacing/>
        <w:rPr>
          <w:rFonts w:eastAsiaTheme="minorEastAsia"/>
        </w:rPr>
      </w:pPr>
    </w:p>
    <w:p w14:paraId="11678666" w14:textId="77777777" w:rsidR="00947D7C" w:rsidRDefault="00947D7C" w:rsidP="00947D7C">
      <w:pPr>
        <w:numPr>
          <w:ilvl w:val="0"/>
          <w:numId w:val="5"/>
        </w:numPr>
        <w:spacing w:after="200"/>
        <w:ind w:left="0" w:firstLine="720"/>
        <w:contextualSpacing/>
        <w:rPr>
          <w:rFonts w:eastAsiaTheme="minorEastAsia"/>
        </w:rPr>
      </w:pPr>
      <w:r w:rsidRPr="00882550">
        <w:rPr>
          <w:rFonts w:eastAsiaTheme="minorEastAsia"/>
        </w:rPr>
        <w:t xml:space="preserve">How knowledgeable and interested are HCPs in clinical trial data </w:t>
      </w:r>
      <w:r>
        <w:rPr>
          <w:rFonts w:eastAsiaTheme="minorEastAsia"/>
        </w:rPr>
        <w:t xml:space="preserve">and design, </w:t>
      </w:r>
      <w:r w:rsidRPr="00882550">
        <w:rPr>
          <w:rFonts w:eastAsiaTheme="minorEastAsia"/>
        </w:rPr>
        <w:t>and</w:t>
      </w:r>
    </w:p>
    <w:p w14:paraId="580BA6F1" w14:textId="4B9BBADD" w:rsidR="00947D7C" w:rsidRDefault="00947D7C" w:rsidP="00947D7C">
      <w:pPr>
        <w:spacing w:after="200"/>
        <w:ind w:left="720" w:firstLine="720"/>
        <w:contextualSpacing/>
        <w:rPr>
          <w:rFonts w:eastAsiaTheme="minorEastAsia"/>
        </w:rPr>
      </w:pPr>
      <w:r w:rsidRPr="00882550">
        <w:rPr>
          <w:rFonts w:eastAsiaTheme="minorEastAsia"/>
        </w:rPr>
        <w:t>its presence in prescription drug promotion?</w:t>
      </w:r>
    </w:p>
    <w:p w14:paraId="01D19518" w14:textId="77777777" w:rsidR="00947D7C" w:rsidRPr="00882550" w:rsidRDefault="00947D7C" w:rsidP="00947D7C">
      <w:pPr>
        <w:spacing w:after="200"/>
        <w:ind w:left="720"/>
        <w:contextualSpacing/>
        <w:rPr>
          <w:rFonts w:eastAsiaTheme="minorEastAsia"/>
        </w:rPr>
      </w:pPr>
    </w:p>
    <w:p w14:paraId="6B6205D1" w14:textId="77777777" w:rsidR="00947D7C" w:rsidRDefault="00947D7C" w:rsidP="00947D7C">
      <w:pPr>
        <w:numPr>
          <w:ilvl w:val="0"/>
          <w:numId w:val="5"/>
        </w:numPr>
        <w:spacing w:after="200"/>
        <w:ind w:left="0" w:firstLine="720"/>
        <w:contextualSpacing/>
        <w:rPr>
          <w:rFonts w:eastAsiaTheme="minorEastAsia"/>
        </w:rPr>
      </w:pPr>
      <w:r w:rsidRPr="00882550">
        <w:rPr>
          <w:rFonts w:eastAsiaTheme="minorEastAsia"/>
        </w:rPr>
        <w:t>How familiar are HCPs with the FDA approval of prescription drugs and how</w:t>
      </w:r>
    </w:p>
    <w:p w14:paraId="52106143" w14:textId="2A861C76" w:rsidR="00947D7C" w:rsidRPr="00882550" w:rsidRDefault="00947D7C" w:rsidP="00947D7C">
      <w:pPr>
        <w:spacing w:after="200"/>
        <w:ind w:left="720" w:firstLine="720"/>
        <w:contextualSpacing/>
        <w:rPr>
          <w:rFonts w:eastAsiaTheme="minorEastAsia"/>
        </w:rPr>
      </w:pPr>
      <w:r w:rsidRPr="00882550">
        <w:rPr>
          <w:rFonts w:eastAsiaTheme="minorEastAsia"/>
        </w:rPr>
        <w:t xml:space="preserve">does this </w:t>
      </w:r>
      <w:r>
        <w:rPr>
          <w:rFonts w:eastAsiaTheme="minorEastAsia"/>
        </w:rPr>
        <w:t>affect prescribing behavior</w:t>
      </w:r>
      <w:r w:rsidRPr="00882550">
        <w:rPr>
          <w:rFonts w:eastAsiaTheme="minorEastAsia"/>
        </w:rPr>
        <w:t>?</w:t>
      </w:r>
    </w:p>
    <w:p w14:paraId="2FE7FC8E" w14:textId="77777777" w:rsidR="00947D7C" w:rsidRDefault="00947D7C" w:rsidP="00947D7C"/>
    <w:p w14:paraId="59702EE4" w14:textId="60517450" w:rsidR="00947D7C" w:rsidRPr="00882550" w:rsidRDefault="00947D7C" w:rsidP="00A20F66">
      <w:pPr>
        <w:ind w:left="720"/>
      </w:pPr>
      <w:r w:rsidRPr="00882550">
        <w:t xml:space="preserve">In addition, given the critical </w:t>
      </w:r>
      <w:r>
        <w:t>problem with</w:t>
      </w:r>
      <w:r w:rsidRPr="00882550">
        <w:t xml:space="preserve"> opioid </w:t>
      </w:r>
      <w:r>
        <w:t>abuse and addiction</w:t>
      </w:r>
      <w:r w:rsidRPr="00882550">
        <w:t xml:space="preserve"> in the U</w:t>
      </w:r>
      <w:r>
        <w:t xml:space="preserve">nited </w:t>
      </w:r>
      <w:r w:rsidRPr="00882550">
        <w:t>S</w:t>
      </w:r>
      <w:r>
        <w:t>tates</w:t>
      </w:r>
      <w:r w:rsidRPr="00882550">
        <w:t xml:space="preserve"> at this time, we plan to ask several questions about prescription drug promotion of opioid products.</w:t>
      </w:r>
    </w:p>
    <w:p w14:paraId="76ED1B02" w14:textId="6D36C3B4" w:rsidR="004D6983" w:rsidRPr="00882550" w:rsidRDefault="004D6983" w:rsidP="004D6983"/>
    <w:p w14:paraId="0000B248" w14:textId="77777777" w:rsidR="008B30AB" w:rsidRPr="0027039C" w:rsidRDefault="00EB7538" w:rsidP="008B30AB">
      <w:pPr>
        <w:numPr>
          <w:ilvl w:val="0"/>
          <w:numId w:val="1"/>
        </w:numPr>
        <w:spacing w:before="100" w:beforeAutospacing="1" w:after="100" w:afterAutospacing="1"/>
        <w:rPr>
          <w:u w:val="single"/>
        </w:rPr>
      </w:pPr>
      <w:r w:rsidRPr="0027039C">
        <w:rPr>
          <w:u w:val="single"/>
        </w:rPr>
        <w:t xml:space="preserve">Purpose and Use of the Information Collection </w:t>
      </w:r>
    </w:p>
    <w:p w14:paraId="284CD582" w14:textId="348C0F7D" w:rsidR="000F60E6" w:rsidRPr="000F60E6" w:rsidRDefault="000F60E6" w:rsidP="00A20F66">
      <w:pPr>
        <w:autoSpaceDE w:val="0"/>
        <w:autoSpaceDN w:val="0"/>
        <w:adjustRightInd w:val="0"/>
        <w:ind w:left="720"/>
        <w:rPr>
          <w:rFonts w:cs="Arial"/>
        </w:rPr>
      </w:pPr>
      <w:r w:rsidRPr="000F60E6">
        <w:rPr>
          <w:rFonts w:cs="Arial"/>
        </w:rPr>
        <w:t xml:space="preserve">The </w:t>
      </w:r>
      <w:r>
        <w:rPr>
          <w:rFonts w:cs="Arial"/>
        </w:rPr>
        <w:t>purpose of this study</w:t>
      </w:r>
      <w:r w:rsidRPr="000F60E6">
        <w:rPr>
          <w:rFonts w:cs="Arial"/>
        </w:rPr>
        <w:t xml:space="preserve"> is to query a representative sample of health care professionals (HCPs) about their opinions of promotional materials and procedures targeted at HCPs, clinical trial design and knowledge, and FDA approval status.  We will also take this opportunity to ask HCPs briefly about their knowledge of abuse-deterrent formulations for opioid products.</w:t>
      </w:r>
    </w:p>
    <w:p w14:paraId="35C4265C" w14:textId="035CC18C" w:rsidR="00EF1CE0" w:rsidRDefault="00F644B0" w:rsidP="00051A7C">
      <w:pPr>
        <w:spacing w:after="240"/>
        <w:ind w:left="720"/>
      </w:pPr>
      <w:r>
        <w:t>T</w:t>
      </w:r>
      <w:r w:rsidR="00EF4318">
        <w:t xml:space="preserve">his study will inform FDA of </w:t>
      </w:r>
      <w:r w:rsidR="005F6176">
        <w:t>the</w:t>
      </w:r>
      <w:r w:rsidR="000F60E6">
        <w:t xml:space="preserve"> current state of professional prescription drug promotion from the perspective of those who prescribe medicines.</w:t>
      </w:r>
      <w:r>
        <w:t xml:space="preserve"> </w:t>
      </w:r>
      <w:r w:rsidR="00EF1CE0">
        <w:t xml:space="preserve">  </w:t>
      </w:r>
    </w:p>
    <w:p w14:paraId="1879D527" w14:textId="14F302FA" w:rsidR="00051A7C" w:rsidRDefault="00051A7C" w:rsidP="00051A7C">
      <w:pPr>
        <w:spacing w:after="240"/>
        <w:ind w:left="720"/>
      </w:pPr>
    </w:p>
    <w:p w14:paraId="49C5E113" w14:textId="47586ED8" w:rsidR="00051A7C" w:rsidRDefault="00051A7C" w:rsidP="00051A7C">
      <w:pPr>
        <w:spacing w:after="240"/>
        <w:ind w:left="720"/>
      </w:pPr>
    </w:p>
    <w:p w14:paraId="26A11F40" w14:textId="77777777" w:rsidR="00051A7C" w:rsidRDefault="00051A7C" w:rsidP="00051A7C">
      <w:pPr>
        <w:spacing w:after="240"/>
        <w:ind w:left="720"/>
      </w:pPr>
    </w:p>
    <w:p w14:paraId="410065B9"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lastRenderedPageBreak/>
        <w:t xml:space="preserve">Use of Improved Information Technology and Burden Reduction </w:t>
      </w:r>
    </w:p>
    <w:p w14:paraId="474B4AB7" w14:textId="0359A7D9" w:rsidR="00411B7E" w:rsidRDefault="00411B7E" w:rsidP="00A20F66">
      <w:pPr>
        <w:ind w:left="720"/>
      </w:pPr>
      <w:r>
        <w:t xml:space="preserve">Automated information technology will be used in the collection of information for this study.  </w:t>
      </w:r>
      <w:r w:rsidR="00F644B0">
        <w:t>O</w:t>
      </w:r>
      <w:r>
        <w:t xml:space="preserve">ne hundred percent (100%) of participants will self-administer the survey via a computer, which will record responses and provide appropriate probes when needed.  In addition to its use in data collection, automated technology will be used in data reduction and analysis.  Burden will be reduced by recording data on a one-time basis for each </w:t>
      </w:r>
      <w:r w:rsidR="007B7A56">
        <w:t>participant</w:t>
      </w:r>
      <w:r>
        <w:t xml:space="preserve">, and by keeping </w:t>
      </w:r>
      <w:r w:rsidR="00BB4D11">
        <w:t xml:space="preserve">the written parts of </w:t>
      </w:r>
      <w:r>
        <w:t xml:space="preserve">surveys to less than </w:t>
      </w:r>
      <w:r w:rsidR="005724F6">
        <w:t>25</w:t>
      </w:r>
      <w:r>
        <w:t xml:space="preserve"> minutes in </w:t>
      </w:r>
      <w:r w:rsidR="00B41075">
        <w:t xml:space="preserve">both </w:t>
      </w:r>
      <w:r>
        <w:t xml:space="preserve">the </w:t>
      </w:r>
      <w:r w:rsidR="00B41075">
        <w:t xml:space="preserve">pretests and </w:t>
      </w:r>
      <w:r>
        <w:t>main study.</w:t>
      </w:r>
    </w:p>
    <w:p w14:paraId="2E7E2686" w14:textId="02FA54D0" w:rsid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58945181" w14:textId="10998CE7" w:rsidR="00A56361" w:rsidRPr="00A56361" w:rsidRDefault="00A56361" w:rsidP="00A20F66">
      <w:pPr>
        <w:spacing w:before="100" w:beforeAutospacing="1" w:after="100" w:afterAutospacing="1"/>
        <w:ind w:left="720"/>
      </w:pPr>
      <w:r w:rsidRPr="00A56361">
        <w:t>FDA has conducted previous surveys of HCPs</w:t>
      </w:r>
      <w:r>
        <w:t xml:space="preserve"> (OMB Control No.s 0910-479, 0910-0730)</w:t>
      </w:r>
      <w:r w:rsidR="009D1D9B">
        <w:t xml:space="preserve"> in 2002 and 2013</w:t>
      </w:r>
      <w:r w:rsidRPr="00A56361">
        <w:t>, but those surveys focused on direct-to-consumer (DTC) advertising,</w:t>
      </w:r>
      <w:r>
        <w:t xml:space="preserve"> whereas the proposed survey focuses on promotion directed at medical professionals. </w:t>
      </w:r>
      <w:r w:rsidR="009D1D9B">
        <w:t>Although other researchers have conducte</w:t>
      </w:r>
      <w:r w:rsidR="00EB3C90">
        <w:t>d studies on tangential topics</w:t>
      </w:r>
      <w:r w:rsidR="009D1D9B">
        <w:t>,</w:t>
      </w:r>
      <w:r w:rsidR="00EB3C90">
        <w:rPr>
          <w:rStyle w:val="FootnoteReference"/>
        </w:rPr>
        <w:footnoteReference w:id="2"/>
      </w:r>
      <w:r w:rsidR="009D1D9B">
        <w:t xml:space="preserve"> we know of no current studies that </w:t>
      </w:r>
      <w:r w:rsidR="00EB3C90">
        <w:t xml:space="preserve">comprehensively </w:t>
      </w:r>
      <w:r w:rsidR="009D1D9B">
        <w:t>explore HCP attitudes toward professional prescription drug promotion.</w:t>
      </w:r>
    </w:p>
    <w:p w14:paraId="533AD1E1"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12929057" w14:textId="77777777" w:rsidR="00411B7E" w:rsidRDefault="00411B7E" w:rsidP="00A20F66">
      <w:pPr>
        <w:ind w:firstLine="720"/>
      </w:pPr>
      <w:r>
        <w:t xml:space="preserve">No small businesses </w:t>
      </w:r>
      <w:r w:rsidR="009C666B">
        <w:t>will</w:t>
      </w:r>
      <w:r>
        <w:t xml:space="preserve"> be involved in this data collection.</w:t>
      </w:r>
    </w:p>
    <w:p w14:paraId="1BB806CA"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7DE93B29" w14:textId="77777777" w:rsidR="00411B7E" w:rsidRDefault="00411B7E" w:rsidP="00A20F66">
      <w:pPr>
        <w:spacing w:line="276" w:lineRule="auto"/>
        <w:ind w:left="720"/>
      </w:pPr>
      <w:r>
        <w:t>The proposed data collection is one-time only.  There are no plans for successive data collections.</w:t>
      </w:r>
    </w:p>
    <w:p w14:paraId="778F948B"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5A42940D" w14:textId="77777777" w:rsidR="008108FA" w:rsidRDefault="008108FA" w:rsidP="00A20F66">
      <w:pPr>
        <w:ind w:firstLine="720"/>
      </w:pPr>
      <w:r>
        <w:t xml:space="preserve">There are no special circumstances for </w:t>
      </w:r>
      <w:r w:rsidR="00411B7E">
        <w:t>this collection of information.</w:t>
      </w:r>
    </w:p>
    <w:p w14:paraId="4736A4CB"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1570AD98" w14:textId="14A1F07C" w:rsidR="00403E23" w:rsidRDefault="00403E23" w:rsidP="00A20F66">
      <w:pPr>
        <w:ind w:left="720"/>
        <w:contextualSpacing/>
      </w:pPr>
      <w:r>
        <w:t xml:space="preserve">In the </w:t>
      </w:r>
      <w:r>
        <w:rPr>
          <w:i/>
        </w:rPr>
        <w:t>Federal Register</w:t>
      </w:r>
      <w:r>
        <w:t xml:space="preserve"> of March 15, 2018 (83 FR 11539), FDA published a 60-day notice requesting public comment on the proposed collection of information.  Four </w:t>
      </w:r>
      <w:r w:rsidR="00A20F66">
        <w:t>comment</w:t>
      </w:r>
      <w:r>
        <w:t xml:space="preserve">s were received. One </w:t>
      </w:r>
      <w:r w:rsidR="00A20F66">
        <w:t xml:space="preserve">comment </w:t>
      </w:r>
      <w:r>
        <w:t xml:space="preserve">was outside the scope of the research and is not addressed further.  The remaining three </w:t>
      </w:r>
      <w:r w:rsidR="00A20F66">
        <w:t xml:space="preserve">comments </w:t>
      </w:r>
      <w:r>
        <w:t xml:space="preserve">are addressed below. </w:t>
      </w:r>
      <w:r w:rsidRPr="007F184C">
        <w:t>For brevity, some public comments are paraphrased and therefore may not reflect the exact language used by the commenter. We assure commenters that the entirety of their comments was considered even if not fully captured by our paraphrasing in this document. The following acronyms are used here: DTC = direct-to-consumer; HCP = healthcare professional; FDA and “The Agency” = Food and Drug Administration; OPDP = FDA’s Office of Prescription Drug Promotion.</w:t>
      </w:r>
    </w:p>
    <w:p w14:paraId="79725FBF" w14:textId="77777777" w:rsidR="00D557B0" w:rsidRDefault="00D557B0" w:rsidP="00D557B0"/>
    <w:p w14:paraId="1EC052F3" w14:textId="23937920" w:rsidR="00403E23" w:rsidRDefault="00403E23" w:rsidP="00A20F66">
      <w:pPr>
        <w:ind w:left="720"/>
      </w:pPr>
      <w:r>
        <w:t xml:space="preserve">The first public comment </w:t>
      </w:r>
      <w:r w:rsidRPr="00CA32ED">
        <w:t>had</w:t>
      </w:r>
      <w:r>
        <w:t xml:space="preserve"> 19 individual comments, to which we have responded.</w:t>
      </w:r>
    </w:p>
    <w:p w14:paraId="4FB2704C" w14:textId="77777777" w:rsidR="00D557B0" w:rsidRDefault="00D557B0" w:rsidP="00403E23">
      <w:pPr>
        <w:rPr>
          <w:b/>
        </w:rPr>
      </w:pPr>
    </w:p>
    <w:p w14:paraId="533AE6A1" w14:textId="33D00DE9" w:rsidR="00403E23" w:rsidRPr="00ED4EEE" w:rsidRDefault="00403E23" w:rsidP="00A20F66">
      <w:pPr>
        <w:ind w:left="720"/>
      </w:pPr>
      <w:r w:rsidRPr="00CA32ED">
        <w:rPr>
          <w:b/>
        </w:rPr>
        <w:t>Comment 1a</w:t>
      </w:r>
      <w:r w:rsidRPr="00ED4EEE">
        <w:t>:  The exact reach of the WebMD Medscape subscriber network among medical professionals is unclear. With this in mind, the study design could introduce bias by self-selecting physicians who do not accurately reflect the broader physician population. For example, they may</w:t>
      </w:r>
      <w:r>
        <w:t xml:space="preserve"> </w:t>
      </w:r>
      <w:r w:rsidRPr="00ED4EEE">
        <w:t xml:space="preserve">be more reliant on internet-based information, have seen more web-based pharmaceutical advertisements, and </w:t>
      </w:r>
      <w:r>
        <w:t xml:space="preserve">be </w:t>
      </w:r>
      <w:r w:rsidRPr="00ED4EEE">
        <w:t>demographically different than physicians outside the Medscape network. </w:t>
      </w:r>
    </w:p>
    <w:p w14:paraId="6AB8D279" w14:textId="77777777" w:rsidR="00D557B0" w:rsidRDefault="00D557B0" w:rsidP="00A20F66">
      <w:pPr>
        <w:ind w:left="720"/>
        <w:rPr>
          <w:b/>
        </w:rPr>
      </w:pPr>
    </w:p>
    <w:p w14:paraId="15AE8ABA" w14:textId="0B8AE67C" w:rsidR="00403E23" w:rsidRPr="00ED4EEE" w:rsidRDefault="00403E23" w:rsidP="00A20F66">
      <w:pPr>
        <w:ind w:left="720"/>
      </w:pPr>
      <w:r w:rsidRPr="00CA32ED">
        <w:rPr>
          <w:b/>
        </w:rPr>
        <w:t>Response 1</w:t>
      </w:r>
      <w:r>
        <w:rPr>
          <w:b/>
        </w:rPr>
        <w:t>a</w:t>
      </w:r>
      <w:r w:rsidRPr="00ED4EEE">
        <w:t>:   It is true that Medscape is not an exhaustive listing of the entire universe of</w:t>
      </w:r>
      <w:r>
        <w:t xml:space="preserve"> </w:t>
      </w:r>
      <w:r w:rsidRPr="00ED4EEE">
        <w:t xml:space="preserve">HCPs, but the evidence suggests that coverage is high. Table 1 below documents the number of providers </w:t>
      </w:r>
      <w:r>
        <w:t>subscribed to</w:t>
      </w:r>
      <w:r w:rsidRPr="00ED4EEE">
        <w:t xml:space="preserve"> WebMD for the four major strata of HCPs included in the study and the estimated population totals. The coverage is particularly good for primary care physicians (over 80%), is reasonable for specialists and physicians assistants (between 60% and 70%), and not as good for nurse practitioners (about 45%). </w:t>
      </w:r>
    </w:p>
    <w:p w14:paraId="007593FE" w14:textId="77777777" w:rsidR="00D557B0" w:rsidRDefault="00D557B0" w:rsidP="00403E23"/>
    <w:p w14:paraId="640CCC0C" w14:textId="4F6F6B56" w:rsidR="00403E23" w:rsidRPr="00ED4EEE" w:rsidRDefault="00403E23" w:rsidP="00403E23">
      <w:r>
        <w:t>Figure</w:t>
      </w:r>
      <w:r w:rsidRPr="00ED4EEE">
        <w:t xml:space="preserve"> 1. Estimated counts and coverage by healthcare professional group  </w:t>
      </w:r>
    </w:p>
    <w:tbl>
      <w:tblPr>
        <w:tblW w:w="8380" w:type="dxa"/>
        <w:tblCellMar>
          <w:left w:w="0" w:type="dxa"/>
          <w:right w:w="0" w:type="dxa"/>
        </w:tblCellMar>
        <w:tblLook w:val="04A0" w:firstRow="1" w:lastRow="0" w:firstColumn="1" w:lastColumn="0" w:noHBand="0" w:noVBand="1"/>
      </w:tblPr>
      <w:tblGrid>
        <w:gridCol w:w="3920"/>
        <w:gridCol w:w="1380"/>
        <w:gridCol w:w="1540"/>
        <w:gridCol w:w="1540"/>
      </w:tblGrid>
      <w:tr w:rsidR="00403E23" w:rsidRPr="00ED4EEE" w14:paraId="3EDE9D8B" w14:textId="77777777" w:rsidTr="00F71C9D">
        <w:trPr>
          <w:trHeight w:val="790"/>
        </w:trPr>
        <w:tc>
          <w:tcPr>
            <w:tcW w:w="3920" w:type="dxa"/>
            <w:tcBorders>
              <w:top w:val="single" w:sz="8" w:space="0" w:color="595959"/>
              <w:left w:val="nil"/>
              <w:bottom w:val="single" w:sz="8" w:space="0" w:color="595959"/>
              <w:right w:val="nil"/>
            </w:tcBorders>
            <w:shd w:val="clear" w:color="auto" w:fill="AFBED7"/>
            <w:tcMar>
              <w:top w:w="0" w:type="dxa"/>
              <w:left w:w="108" w:type="dxa"/>
              <w:bottom w:w="0" w:type="dxa"/>
              <w:right w:w="108" w:type="dxa"/>
            </w:tcMar>
            <w:vAlign w:val="center"/>
            <w:hideMark/>
          </w:tcPr>
          <w:p w14:paraId="59FCD754" w14:textId="77777777" w:rsidR="00403E23" w:rsidRPr="00ED4EEE" w:rsidRDefault="00403E23" w:rsidP="00403E23">
            <w:pPr>
              <w:jc w:val="center"/>
            </w:pPr>
            <w:r w:rsidRPr="00ED4EEE">
              <w:rPr>
                <w:b/>
                <w:bCs/>
              </w:rPr>
              <w:t>Healthcare Professional Group</w:t>
            </w:r>
          </w:p>
        </w:tc>
        <w:tc>
          <w:tcPr>
            <w:tcW w:w="1380" w:type="dxa"/>
            <w:tcBorders>
              <w:top w:val="single" w:sz="8" w:space="0" w:color="595959"/>
              <w:left w:val="single" w:sz="8" w:space="0" w:color="595959"/>
              <w:bottom w:val="single" w:sz="8" w:space="0" w:color="595959"/>
              <w:right w:val="single" w:sz="8" w:space="0" w:color="595959"/>
            </w:tcBorders>
            <w:shd w:val="clear" w:color="auto" w:fill="AFBED7"/>
            <w:tcMar>
              <w:top w:w="0" w:type="dxa"/>
              <w:left w:w="108" w:type="dxa"/>
              <w:bottom w:w="0" w:type="dxa"/>
              <w:right w:w="108" w:type="dxa"/>
            </w:tcMar>
            <w:vAlign w:val="center"/>
            <w:hideMark/>
          </w:tcPr>
          <w:p w14:paraId="53DD8BBA" w14:textId="77777777" w:rsidR="00403E23" w:rsidRPr="00ED4EEE" w:rsidRDefault="00403E23" w:rsidP="00403E23">
            <w:pPr>
              <w:jc w:val="center"/>
            </w:pPr>
            <w:r w:rsidRPr="00ED4EEE">
              <w:rPr>
                <w:b/>
                <w:bCs/>
              </w:rPr>
              <w:t>WebMD</w:t>
            </w:r>
            <w:r w:rsidRPr="00ED4EEE">
              <w:rPr>
                <w:b/>
                <w:bCs/>
                <w:vertAlign w:val="superscript"/>
              </w:rPr>
              <w:t>1</w:t>
            </w:r>
          </w:p>
        </w:tc>
        <w:tc>
          <w:tcPr>
            <w:tcW w:w="1540" w:type="dxa"/>
            <w:tcBorders>
              <w:top w:val="single" w:sz="8" w:space="0" w:color="595959"/>
              <w:left w:val="nil"/>
              <w:bottom w:val="single" w:sz="8" w:space="0" w:color="595959"/>
              <w:right w:val="nil"/>
            </w:tcBorders>
            <w:shd w:val="clear" w:color="auto" w:fill="AFBED7"/>
            <w:tcMar>
              <w:top w:w="0" w:type="dxa"/>
              <w:left w:w="108" w:type="dxa"/>
              <w:bottom w:w="0" w:type="dxa"/>
              <w:right w:w="108" w:type="dxa"/>
            </w:tcMar>
            <w:vAlign w:val="center"/>
            <w:hideMark/>
          </w:tcPr>
          <w:p w14:paraId="75465315" w14:textId="77777777" w:rsidR="00403E23" w:rsidRPr="00ED4EEE" w:rsidRDefault="00403E23" w:rsidP="00403E23">
            <w:pPr>
              <w:jc w:val="center"/>
            </w:pPr>
            <w:r w:rsidRPr="00ED4EEE">
              <w:rPr>
                <w:b/>
                <w:bCs/>
              </w:rPr>
              <w:t>Estimated Population Total</w:t>
            </w:r>
          </w:p>
        </w:tc>
        <w:tc>
          <w:tcPr>
            <w:tcW w:w="1540" w:type="dxa"/>
            <w:tcBorders>
              <w:top w:val="single" w:sz="8" w:space="0" w:color="595959"/>
              <w:left w:val="single" w:sz="8" w:space="0" w:color="595959"/>
              <w:bottom w:val="single" w:sz="8" w:space="0" w:color="595959"/>
              <w:right w:val="nil"/>
            </w:tcBorders>
            <w:shd w:val="clear" w:color="auto" w:fill="AFBED7"/>
            <w:tcMar>
              <w:top w:w="0" w:type="dxa"/>
              <w:left w:w="108" w:type="dxa"/>
              <w:bottom w:w="0" w:type="dxa"/>
              <w:right w:w="108" w:type="dxa"/>
            </w:tcMar>
            <w:vAlign w:val="center"/>
            <w:hideMark/>
          </w:tcPr>
          <w:p w14:paraId="25EE37C7" w14:textId="77777777" w:rsidR="00403E23" w:rsidRPr="00ED4EEE" w:rsidRDefault="00403E23" w:rsidP="00403E23">
            <w:pPr>
              <w:jc w:val="center"/>
            </w:pPr>
            <w:r w:rsidRPr="00ED4EEE">
              <w:rPr>
                <w:b/>
                <w:bCs/>
              </w:rPr>
              <w:t>Estimated Coverage</w:t>
            </w:r>
          </w:p>
        </w:tc>
      </w:tr>
      <w:tr w:rsidR="00403E23" w:rsidRPr="00ED4EEE" w14:paraId="0A7A9D5A" w14:textId="77777777" w:rsidTr="00F71C9D">
        <w:trPr>
          <w:trHeight w:hRule="exact" w:val="360"/>
        </w:trPr>
        <w:tc>
          <w:tcPr>
            <w:tcW w:w="3920" w:type="dxa"/>
            <w:tcMar>
              <w:top w:w="0" w:type="dxa"/>
              <w:left w:w="108" w:type="dxa"/>
              <w:bottom w:w="0" w:type="dxa"/>
              <w:right w:w="108" w:type="dxa"/>
            </w:tcMar>
            <w:vAlign w:val="center"/>
            <w:hideMark/>
          </w:tcPr>
          <w:p w14:paraId="7D4EA593" w14:textId="77777777" w:rsidR="00403E23" w:rsidRPr="00ED4EEE" w:rsidRDefault="00403E23" w:rsidP="00403E23">
            <w:r w:rsidRPr="00ED4EEE">
              <w:t>Primary care physicians (PCPs)</w:t>
            </w:r>
          </w:p>
        </w:tc>
        <w:tc>
          <w:tcPr>
            <w:tcW w:w="1380" w:type="dxa"/>
            <w:tcBorders>
              <w:top w:val="nil"/>
              <w:left w:val="single" w:sz="8" w:space="0" w:color="595959"/>
              <w:bottom w:val="nil"/>
              <w:right w:val="single" w:sz="8" w:space="0" w:color="595959"/>
            </w:tcBorders>
            <w:tcMar>
              <w:top w:w="0" w:type="dxa"/>
              <w:left w:w="108" w:type="dxa"/>
              <w:bottom w:w="0" w:type="dxa"/>
              <w:right w:w="108" w:type="dxa"/>
            </w:tcMar>
            <w:vAlign w:val="center"/>
            <w:hideMark/>
          </w:tcPr>
          <w:p w14:paraId="4D32EE90" w14:textId="77777777" w:rsidR="00403E23" w:rsidRPr="00ED4EEE" w:rsidRDefault="00403E23" w:rsidP="00403E23">
            <w:pPr>
              <w:jc w:val="right"/>
            </w:pPr>
            <w:r w:rsidRPr="00ED4EEE">
              <w:t>197,980</w:t>
            </w:r>
          </w:p>
        </w:tc>
        <w:tc>
          <w:tcPr>
            <w:tcW w:w="1540" w:type="dxa"/>
            <w:tcMar>
              <w:top w:w="0" w:type="dxa"/>
              <w:left w:w="108" w:type="dxa"/>
              <w:bottom w:w="0" w:type="dxa"/>
              <w:right w:w="108" w:type="dxa"/>
            </w:tcMar>
            <w:vAlign w:val="center"/>
            <w:hideMark/>
          </w:tcPr>
          <w:p w14:paraId="35F6F563" w14:textId="77777777" w:rsidR="00403E23" w:rsidRPr="00ED4EEE" w:rsidRDefault="00403E23" w:rsidP="00403E23">
            <w:pPr>
              <w:jc w:val="right"/>
            </w:pPr>
            <w:r w:rsidRPr="00ED4EEE">
              <w:t>242,800</w:t>
            </w:r>
            <w:r w:rsidRPr="00ED4EEE">
              <w:rPr>
                <w:vertAlign w:val="superscript"/>
              </w:rPr>
              <w:t>2</w:t>
            </w:r>
          </w:p>
        </w:tc>
        <w:tc>
          <w:tcPr>
            <w:tcW w:w="1540" w:type="dxa"/>
            <w:tcBorders>
              <w:top w:val="nil"/>
              <w:left w:val="single" w:sz="8" w:space="0" w:color="595959"/>
              <w:bottom w:val="nil"/>
              <w:right w:val="nil"/>
            </w:tcBorders>
            <w:tcMar>
              <w:top w:w="0" w:type="dxa"/>
              <w:left w:w="108" w:type="dxa"/>
              <w:bottom w:w="0" w:type="dxa"/>
              <w:right w:w="108" w:type="dxa"/>
            </w:tcMar>
            <w:vAlign w:val="center"/>
            <w:hideMark/>
          </w:tcPr>
          <w:p w14:paraId="5E30A018" w14:textId="77777777" w:rsidR="00403E23" w:rsidRPr="00ED4EEE" w:rsidRDefault="00403E23" w:rsidP="00403E23">
            <w:pPr>
              <w:jc w:val="right"/>
            </w:pPr>
            <w:r w:rsidRPr="00ED4EEE">
              <w:t>81.5%</w:t>
            </w:r>
          </w:p>
        </w:tc>
      </w:tr>
      <w:tr w:rsidR="00403E23" w:rsidRPr="00ED4EEE" w14:paraId="3A2E49EB" w14:textId="77777777" w:rsidTr="00F71C9D">
        <w:trPr>
          <w:trHeight w:hRule="exact" w:val="360"/>
        </w:trPr>
        <w:tc>
          <w:tcPr>
            <w:tcW w:w="3920" w:type="dxa"/>
            <w:tcMar>
              <w:top w:w="0" w:type="dxa"/>
              <w:left w:w="108" w:type="dxa"/>
              <w:bottom w:w="0" w:type="dxa"/>
              <w:right w:w="108" w:type="dxa"/>
            </w:tcMar>
            <w:vAlign w:val="center"/>
            <w:hideMark/>
          </w:tcPr>
          <w:p w14:paraId="1CF33700" w14:textId="77777777" w:rsidR="00403E23" w:rsidRPr="00ED4EEE" w:rsidRDefault="00403E23" w:rsidP="00403E23">
            <w:r w:rsidRPr="00ED4EEE">
              <w:t>Specialists (SPs)</w:t>
            </w:r>
          </w:p>
        </w:tc>
        <w:tc>
          <w:tcPr>
            <w:tcW w:w="1380" w:type="dxa"/>
            <w:tcBorders>
              <w:top w:val="nil"/>
              <w:left w:val="single" w:sz="8" w:space="0" w:color="595959"/>
              <w:bottom w:val="nil"/>
              <w:right w:val="single" w:sz="8" w:space="0" w:color="595959"/>
            </w:tcBorders>
            <w:tcMar>
              <w:top w:w="0" w:type="dxa"/>
              <w:left w:w="108" w:type="dxa"/>
              <w:bottom w:w="0" w:type="dxa"/>
              <w:right w:w="108" w:type="dxa"/>
            </w:tcMar>
            <w:vAlign w:val="center"/>
            <w:hideMark/>
          </w:tcPr>
          <w:p w14:paraId="3991C268" w14:textId="77777777" w:rsidR="00403E23" w:rsidRPr="00ED4EEE" w:rsidRDefault="00403E23" w:rsidP="00403E23">
            <w:pPr>
              <w:jc w:val="right"/>
            </w:pPr>
            <w:r w:rsidRPr="00ED4EEE">
              <w:t>465,020</w:t>
            </w:r>
          </w:p>
        </w:tc>
        <w:tc>
          <w:tcPr>
            <w:tcW w:w="1540" w:type="dxa"/>
            <w:tcMar>
              <w:top w:w="0" w:type="dxa"/>
              <w:left w:w="108" w:type="dxa"/>
              <w:bottom w:w="0" w:type="dxa"/>
              <w:right w:w="108" w:type="dxa"/>
            </w:tcMar>
            <w:vAlign w:val="center"/>
            <w:hideMark/>
          </w:tcPr>
          <w:p w14:paraId="27DBED98" w14:textId="77777777" w:rsidR="00403E23" w:rsidRPr="00ED4EEE" w:rsidRDefault="00403E23" w:rsidP="00403E23">
            <w:pPr>
              <w:jc w:val="right"/>
            </w:pPr>
            <w:r w:rsidRPr="00ED4EEE">
              <w:t>724,249</w:t>
            </w:r>
            <w:r w:rsidRPr="00ED4EEE">
              <w:rPr>
                <w:vertAlign w:val="superscript"/>
              </w:rPr>
              <w:t>2</w:t>
            </w:r>
          </w:p>
        </w:tc>
        <w:tc>
          <w:tcPr>
            <w:tcW w:w="1540" w:type="dxa"/>
            <w:tcBorders>
              <w:top w:val="nil"/>
              <w:left w:val="single" w:sz="8" w:space="0" w:color="595959"/>
              <w:bottom w:val="nil"/>
              <w:right w:val="nil"/>
            </w:tcBorders>
            <w:tcMar>
              <w:top w:w="0" w:type="dxa"/>
              <w:left w:w="108" w:type="dxa"/>
              <w:bottom w:w="0" w:type="dxa"/>
              <w:right w:w="108" w:type="dxa"/>
            </w:tcMar>
            <w:vAlign w:val="center"/>
            <w:hideMark/>
          </w:tcPr>
          <w:p w14:paraId="3B36A394" w14:textId="77777777" w:rsidR="00403E23" w:rsidRPr="00ED4EEE" w:rsidRDefault="00403E23" w:rsidP="00403E23">
            <w:pPr>
              <w:jc w:val="right"/>
            </w:pPr>
            <w:r w:rsidRPr="00ED4EEE">
              <w:t>64.2%</w:t>
            </w:r>
          </w:p>
        </w:tc>
      </w:tr>
      <w:tr w:rsidR="00403E23" w:rsidRPr="00ED4EEE" w14:paraId="4CD4153E" w14:textId="77777777" w:rsidTr="00F71C9D">
        <w:trPr>
          <w:trHeight w:hRule="exact" w:val="360"/>
        </w:trPr>
        <w:tc>
          <w:tcPr>
            <w:tcW w:w="3920" w:type="dxa"/>
            <w:tcMar>
              <w:top w:w="0" w:type="dxa"/>
              <w:left w:w="108" w:type="dxa"/>
              <w:bottom w:w="0" w:type="dxa"/>
              <w:right w:w="108" w:type="dxa"/>
            </w:tcMar>
            <w:vAlign w:val="center"/>
            <w:hideMark/>
          </w:tcPr>
          <w:p w14:paraId="1CD69E74" w14:textId="77777777" w:rsidR="00403E23" w:rsidRPr="00ED4EEE" w:rsidRDefault="00403E23" w:rsidP="00403E23">
            <w:r w:rsidRPr="00ED4EEE">
              <w:t>Physicians assistants (PAs)</w:t>
            </w:r>
          </w:p>
        </w:tc>
        <w:tc>
          <w:tcPr>
            <w:tcW w:w="1380" w:type="dxa"/>
            <w:tcBorders>
              <w:top w:val="nil"/>
              <w:left w:val="single" w:sz="8" w:space="0" w:color="595959"/>
              <w:bottom w:val="nil"/>
              <w:right w:val="single" w:sz="8" w:space="0" w:color="595959"/>
            </w:tcBorders>
            <w:tcMar>
              <w:top w:w="0" w:type="dxa"/>
              <w:left w:w="108" w:type="dxa"/>
              <w:bottom w:w="0" w:type="dxa"/>
              <w:right w:w="108" w:type="dxa"/>
            </w:tcMar>
            <w:vAlign w:val="center"/>
            <w:hideMark/>
          </w:tcPr>
          <w:p w14:paraId="7089990F" w14:textId="77777777" w:rsidR="00403E23" w:rsidRPr="00ED4EEE" w:rsidRDefault="00403E23" w:rsidP="00403E23">
            <w:pPr>
              <w:jc w:val="right"/>
            </w:pPr>
            <w:r w:rsidRPr="00ED4EEE">
              <w:t>62,874</w:t>
            </w:r>
          </w:p>
        </w:tc>
        <w:tc>
          <w:tcPr>
            <w:tcW w:w="1540" w:type="dxa"/>
            <w:tcMar>
              <w:top w:w="0" w:type="dxa"/>
              <w:left w:w="108" w:type="dxa"/>
              <w:bottom w:w="0" w:type="dxa"/>
              <w:right w:w="108" w:type="dxa"/>
            </w:tcMar>
            <w:vAlign w:val="center"/>
            <w:hideMark/>
          </w:tcPr>
          <w:p w14:paraId="69C1DB3E" w14:textId="77777777" w:rsidR="00403E23" w:rsidRPr="00ED4EEE" w:rsidRDefault="00403E23" w:rsidP="00403E23">
            <w:pPr>
              <w:jc w:val="right"/>
            </w:pPr>
            <w:r w:rsidRPr="00ED4EEE">
              <w:t>92,000</w:t>
            </w:r>
            <w:r w:rsidRPr="00ED4EEE">
              <w:rPr>
                <w:vertAlign w:val="superscript"/>
              </w:rPr>
              <w:t>3</w:t>
            </w:r>
          </w:p>
        </w:tc>
        <w:tc>
          <w:tcPr>
            <w:tcW w:w="1540" w:type="dxa"/>
            <w:tcBorders>
              <w:top w:val="nil"/>
              <w:left w:val="single" w:sz="8" w:space="0" w:color="595959"/>
              <w:bottom w:val="nil"/>
              <w:right w:val="nil"/>
            </w:tcBorders>
            <w:tcMar>
              <w:top w:w="0" w:type="dxa"/>
              <w:left w:w="108" w:type="dxa"/>
              <w:bottom w:w="0" w:type="dxa"/>
              <w:right w:w="108" w:type="dxa"/>
            </w:tcMar>
            <w:vAlign w:val="center"/>
            <w:hideMark/>
          </w:tcPr>
          <w:p w14:paraId="4D04D109" w14:textId="77777777" w:rsidR="00403E23" w:rsidRPr="00ED4EEE" w:rsidRDefault="00403E23" w:rsidP="00403E23">
            <w:pPr>
              <w:jc w:val="right"/>
            </w:pPr>
            <w:r w:rsidRPr="00ED4EEE">
              <w:t>68.3%</w:t>
            </w:r>
          </w:p>
        </w:tc>
      </w:tr>
      <w:tr w:rsidR="00403E23" w:rsidRPr="00ED4EEE" w14:paraId="326E59A5" w14:textId="77777777" w:rsidTr="00F71C9D">
        <w:trPr>
          <w:trHeight w:hRule="exact" w:val="360"/>
        </w:trPr>
        <w:tc>
          <w:tcPr>
            <w:tcW w:w="3920" w:type="dxa"/>
            <w:tcBorders>
              <w:top w:val="nil"/>
              <w:left w:val="nil"/>
              <w:bottom w:val="single" w:sz="8" w:space="0" w:color="595959"/>
              <w:right w:val="nil"/>
            </w:tcBorders>
            <w:tcMar>
              <w:top w:w="0" w:type="dxa"/>
              <w:left w:w="108" w:type="dxa"/>
              <w:bottom w:w="0" w:type="dxa"/>
              <w:right w:w="108" w:type="dxa"/>
            </w:tcMar>
            <w:vAlign w:val="center"/>
            <w:hideMark/>
          </w:tcPr>
          <w:p w14:paraId="7F3FD698" w14:textId="77777777" w:rsidR="00403E23" w:rsidRPr="00ED4EEE" w:rsidRDefault="00403E23" w:rsidP="00403E23">
            <w:r w:rsidRPr="00ED4EEE">
              <w:t>Nurse practitioners (NPs)</w:t>
            </w:r>
          </w:p>
        </w:tc>
        <w:tc>
          <w:tcPr>
            <w:tcW w:w="1380" w:type="dxa"/>
            <w:tcBorders>
              <w:top w:val="nil"/>
              <w:left w:val="single" w:sz="8" w:space="0" w:color="595959"/>
              <w:bottom w:val="single" w:sz="8" w:space="0" w:color="595959"/>
              <w:right w:val="single" w:sz="8" w:space="0" w:color="595959"/>
            </w:tcBorders>
            <w:tcMar>
              <w:top w:w="0" w:type="dxa"/>
              <w:left w:w="108" w:type="dxa"/>
              <w:bottom w:w="0" w:type="dxa"/>
              <w:right w:w="108" w:type="dxa"/>
            </w:tcMar>
            <w:vAlign w:val="center"/>
            <w:hideMark/>
          </w:tcPr>
          <w:p w14:paraId="4F1874B6" w14:textId="77777777" w:rsidR="00403E23" w:rsidRPr="00ED4EEE" w:rsidRDefault="00403E23" w:rsidP="00403E23">
            <w:pPr>
              <w:jc w:val="right"/>
            </w:pPr>
            <w:r w:rsidRPr="00ED4EEE">
              <w:t>102,552</w:t>
            </w:r>
          </w:p>
        </w:tc>
        <w:tc>
          <w:tcPr>
            <w:tcW w:w="1540" w:type="dxa"/>
            <w:tcBorders>
              <w:top w:val="nil"/>
              <w:left w:val="nil"/>
              <w:bottom w:val="single" w:sz="8" w:space="0" w:color="595959"/>
              <w:right w:val="nil"/>
            </w:tcBorders>
            <w:tcMar>
              <w:top w:w="0" w:type="dxa"/>
              <w:left w:w="108" w:type="dxa"/>
              <w:bottom w:w="0" w:type="dxa"/>
              <w:right w:w="108" w:type="dxa"/>
            </w:tcMar>
            <w:vAlign w:val="center"/>
            <w:hideMark/>
          </w:tcPr>
          <w:p w14:paraId="78424EBE" w14:textId="77777777" w:rsidR="00403E23" w:rsidRPr="00ED4EEE" w:rsidRDefault="00403E23" w:rsidP="00403E23">
            <w:pPr>
              <w:jc w:val="right"/>
            </w:pPr>
            <w:r w:rsidRPr="00ED4EEE">
              <w:t>220,000</w:t>
            </w:r>
            <w:r w:rsidRPr="00ED4EEE">
              <w:rPr>
                <w:vertAlign w:val="superscript"/>
              </w:rPr>
              <w:t>4</w:t>
            </w:r>
          </w:p>
        </w:tc>
        <w:tc>
          <w:tcPr>
            <w:tcW w:w="1540" w:type="dxa"/>
            <w:tcBorders>
              <w:top w:val="nil"/>
              <w:left w:val="single" w:sz="8" w:space="0" w:color="595959"/>
              <w:bottom w:val="single" w:sz="8" w:space="0" w:color="595959"/>
              <w:right w:val="nil"/>
            </w:tcBorders>
            <w:tcMar>
              <w:top w:w="0" w:type="dxa"/>
              <w:left w:w="108" w:type="dxa"/>
              <w:bottom w:w="0" w:type="dxa"/>
              <w:right w:w="108" w:type="dxa"/>
            </w:tcMar>
            <w:vAlign w:val="center"/>
            <w:hideMark/>
          </w:tcPr>
          <w:p w14:paraId="22D3CD0E" w14:textId="77777777" w:rsidR="00403E23" w:rsidRPr="00ED4EEE" w:rsidRDefault="00403E23" w:rsidP="00403E23">
            <w:pPr>
              <w:jc w:val="right"/>
            </w:pPr>
            <w:r w:rsidRPr="00ED4EEE">
              <w:t>46.6%</w:t>
            </w:r>
          </w:p>
        </w:tc>
      </w:tr>
    </w:tbl>
    <w:p w14:paraId="4E71D453" w14:textId="77777777" w:rsidR="00403E23" w:rsidRPr="00BA1A9F" w:rsidRDefault="00403E23" w:rsidP="00403E23">
      <w:pPr>
        <w:pStyle w:val="TF-TblFN"/>
        <w:spacing w:before="0" w:line="240" w:lineRule="auto"/>
        <w:rPr>
          <w:rFonts w:ascii="Times New Roman" w:eastAsiaTheme="minorHAnsi" w:hAnsi="Times New Roman"/>
          <w:sz w:val="20"/>
        </w:rPr>
      </w:pPr>
      <w:r w:rsidRPr="00BA1A9F">
        <w:rPr>
          <w:rFonts w:ascii="Times New Roman" w:hAnsi="Times New Roman"/>
          <w:sz w:val="20"/>
          <w:vertAlign w:val="superscript"/>
        </w:rPr>
        <w:t>1</w:t>
      </w:r>
      <w:r w:rsidRPr="00BA1A9F">
        <w:rPr>
          <w:rFonts w:ascii="Times New Roman" w:hAnsi="Times New Roman"/>
          <w:sz w:val="20"/>
        </w:rPr>
        <w:t xml:space="preserve">WebMD estimated counts of Medscape subscribers by HCP group as of July 2017.     </w:t>
      </w:r>
    </w:p>
    <w:p w14:paraId="7FEB55A1" w14:textId="77777777" w:rsidR="00403E23" w:rsidRPr="00BA1A9F" w:rsidRDefault="00403E23" w:rsidP="00403E23">
      <w:pPr>
        <w:pStyle w:val="TF-TblFN"/>
        <w:spacing w:before="0" w:line="240" w:lineRule="auto"/>
        <w:rPr>
          <w:rFonts w:ascii="Times New Roman" w:hAnsi="Times New Roman"/>
          <w:sz w:val="20"/>
        </w:rPr>
      </w:pPr>
      <w:r w:rsidRPr="00BA1A9F">
        <w:rPr>
          <w:rFonts w:ascii="Times New Roman" w:hAnsi="Times New Roman"/>
          <w:sz w:val="20"/>
          <w:vertAlign w:val="superscript"/>
        </w:rPr>
        <w:t>2</w:t>
      </w:r>
      <w:r w:rsidRPr="00BA1A9F">
        <w:rPr>
          <w:rFonts w:ascii="Times New Roman" w:hAnsi="Times New Roman"/>
          <w:sz w:val="20"/>
        </w:rPr>
        <w:t>American Medical Association (</w:t>
      </w:r>
      <w:hyperlink r:id="rId9" w:history="1">
        <w:r w:rsidRPr="00BA1A9F">
          <w:rPr>
            <w:rStyle w:val="Hyperlink"/>
            <w:rFonts w:ascii="Times New Roman" w:eastAsiaTheme="majorEastAsia" w:hAnsi="Times New Roman"/>
            <w:sz w:val="20"/>
          </w:rPr>
          <w:t>http://www.mmslists.com/data/countspdf/AMA-SpecialtyByTOPS.pdf</w:t>
        </w:r>
      </w:hyperlink>
      <w:r w:rsidRPr="00BA1A9F">
        <w:rPr>
          <w:rFonts w:ascii="Times New Roman" w:hAnsi="Times New Roman"/>
          <w:sz w:val="20"/>
        </w:rPr>
        <w:t>)</w:t>
      </w:r>
    </w:p>
    <w:p w14:paraId="02410DC2" w14:textId="77777777" w:rsidR="00403E23" w:rsidRPr="00BA1A9F" w:rsidRDefault="00403E23" w:rsidP="00403E23">
      <w:pPr>
        <w:pStyle w:val="TF-TblFN"/>
        <w:spacing w:before="0" w:line="240" w:lineRule="auto"/>
        <w:rPr>
          <w:rFonts w:ascii="Times New Roman" w:hAnsi="Times New Roman"/>
          <w:sz w:val="20"/>
        </w:rPr>
      </w:pPr>
      <w:r w:rsidRPr="00BA1A9F">
        <w:rPr>
          <w:rFonts w:ascii="Times New Roman" w:hAnsi="Times New Roman"/>
          <w:sz w:val="20"/>
          <w:vertAlign w:val="superscript"/>
        </w:rPr>
        <w:t>3</w:t>
      </w:r>
      <w:r w:rsidRPr="00BA1A9F">
        <w:rPr>
          <w:rFonts w:ascii="Times New Roman" w:hAnsi="Times New Roman"/>
          <w:sz w:val="20"/>
        </w:rPr>
        <w:t>Kaiser Family Foundation (</w:t>
      </w:r>
      <w:hyperlink r:id="rId10" w:history="1">
        <w:r w:rsidRPr="00BA1A9F">
          <w:rPr>
            <w:rStyle w:val="Hyperlink"/>
            <w:rFonts w:ascii="Times New Roman" w:eastAsiaTheme="majorEastAsia" w:hAnsi="Times New Roman"/>
            <w:sz w:val="20"/>
          </w:rPr>
          <w:t>http://kff.org/other/state-indicator/total-physician-assistants/?currentTimeframe=0&amp;sortModel=%7B%22colId%22:%22Location%22,%22sort%22:%22asc%22%7D</w:t>
        </w:r>
      </w:hyperlink>
      <w:r w:rsidRPr="00BA1A9F">
        <w:rPr>
          <w:rFonts w:ascii="Times New Roman" w:hAnsi="Times New Roman"/>
          <w:sz w:val="20"/>
        </w:rPr>
        <w:t xml:space="preserve">) </w:t>
      </w:r>
    </w:p>
    <w:p w14:paraId="14B98027" w14:textId="77777777" w:rsidR="00403E23" w:rsidRPr="00ED4EEE" w:rsidRDefault="00403E23" w:rsidP="00403E23">
      <w:pPr>
        <w:pStyle w:val="TF-TblFN"/>
        <w:spacing w:before="0" w:line="240" w:lineRule="auto"/>
        <w:rPr>
          <w:rFonts w:ascii="Times New Roman" w:hAnsi="Times New Roman"/>
          <w:sz w:val="24"/>
          <w:szCs w:val="24"/>
        </w:rPr>
      </w:pPr>
      <w:r w:rsidRPr="00BA1A9F">
        <w:rPr>
          <w:rFonts w:ascii="Times New Roman" w:hAnsi="Times New Roman"/>
          <w:sz w:val="20"/>
          <w:vertAlign w:val="superscript"/>
        </w:rPr>
        <w:t>4</w:t>
      </w:r>
      <w:r w:rsidRPr="00BA1A9F">
        <w:rPr>
          <w:rFonts w:ascii="Times New Roman" w:hAnsi="Times New Roman"/>
          <w:sz w:val="20"/>
        </w:rPr>
        <w:t>American Association of Nurse Practitioners (</w:t>
      </w:r>
      <w:hyperlink r:id="rId11" w:history="1">
        <w:r w:rsidRPr="00BA1A9F">
          <w:rPr>
            <w:rStyle w:val="Hyperlink"/>
            <w:rFonts w:ascii="Times New Roman" w:eastAsiaTheme="majorEastAsia" w:hAnsi="Times New Roman"/>
            <w:sz w:val="20"/>
          </w:rPr>
          <w:t>https://www.aanp.org/all-about-nps/np-fact-sheet</w:t>
        </w:r>
      </w:hyperlink>
      <w:r w:rsidRPr="00BA1A9F">
        <w:rPr>
          <w:rFonts w:ascii="Times New Roman" w:hAnsi="Times New Roman"/>
          <w:sz w:val="20"/>
        </w:rPr>
        <w:t>)</w:t>
      </w:r>
    </w:p>
    <w:p w14:paraId="2B76263F" w14:textId="77777777" w:rsidR="00403E23" w:rsidRPr="00ED4EEE" w:rsidRDefault="00403E23" w:rsidP="00403E23">
      <w:pPr>
        <w:pStyle w:val="SP-SglSpPara"/>
        <w:spacing w:line="240" w:lineRule="auto"/>
        <w:rPr>
          <w:rFonts w:ascii="Times New Roman" w:hAnsi="Times New Roman"/>
        </w:rPr>
      </w:pPr>
    </w:p>
    <w:p w14:paraId="6EA613B4" w14:textId="77777777" w:rsidR="00403E23" w:rsidRPr="00ED4EEE" w:rsidRDefault="00403E23" w:rsidP="00A20F66">
      <w:pPr>
        <w:ind w:left="720"/>
      </w:pPr>
      <w:r w:rsidRPr="00ED4EEE">
        <w:t>The Medscape frame has a smaller frequency of out-of-scope records</w:t>
      </w:r>
      <w:r>
        <w:t xml:space="preserve"> </w:t>
      </w:r>
      <w:r w:rsidRPr="00ED4EEE">
        <w:t>(retirees, for example, who have not been dropped from the list), and much better contact information (including email addresses), compared to other possible frames.</w:t>
      </w:r>
      <w:r>
        <w:t xml:space="preserve"> </w:t>
      </w:r>
      <w:r w:rsidRPr="00ED4EEE">
        <w:t>Potential frame competitors, such as the American Medical Association list of providers, have higher coverage of PCPs and SPs, but also many out-of-scope records. Sampling these records would lead to ineligibles in data collection. Considering both coverage and ineligibility rates, Medscape is of better quality than the alternatives. We are planning to calibrate the weights for the sample providers who answer the questionnaire, using the National Ambulatory Medical Care Survey (NAMCS) estimates as benchmarks, based on gender, age, year of graduation, and practice size. Use of these calibrated weights will guarantee that the percentages across provider type, gender, age, year of graduation, and practice size match the NAMCS percentages, which are our best unbiased estimates of the true population percentages. Thus the undercoverage from the use of the Medscape frame will not lead to</w:t>
      </w:r>
      <w:r>
        <w:t xml:space="preserve"> significant</w:t>
      </w:r>
      <w:r w:rsidRPr="00ED4EEE">
        <w:t xml:space="preserve"> imbalances in the distribution of these characteristics which could lead to bias. Calibration eliminates bias-producing imbalances for cells defined by the calibration characteristics, but does not eliminate imbalances within these cells. It may be the case that within the provider type-gender-age-graduation year-practice size cells, the Medscape population differs from the universe because of their self-selection into Medscape. This will generate coverage biases of unknown magnitude, but we anticipate that the size of these biases will be small as a component of overall mean-squared-error in this study and will not materially affect the analyses.   </w:t>
      </w:r>
    </w:p>
    <w:p w14:paraId="5D5DEE2C" w14:textId="77777777" w:rsidR="00D557B0" w:rsidRDefault="00D557B0" w:rsidP="00403E23">
      <w:pPr>
        <w:rPr>
          <w:b/>
        </w:rPr>
      </w:pPr>
    </w:p>
    <w:p w14:paraId="0D221F35" w14:textId="77777777" w:rsidR="00D557B0" w:rsidRDefault="00D557B0" w:rsidP="00403E23">
      <w:pPr>
        <w:rPr>
          <w:b/>
        </w:rPr>
      </w:pPr>
    </w:p>
    <w:p w14:paraId="744ED1E7" w14:textId="7786E593" w:rsidR="00403E23" w:rsidRPr="00ED4EEE" w:rsidRDefault="00403E23" w:rsidP="00A20F66">
      <w:pPr>
        <w:ind w:left="720"/>
      </w:pPr>
      <w:r w:rsidRPr="006B035B">
        <w:rPr>
          <w:b/>
        </w:rPr>
        <w:t>Comment 1b</w:t>
      </w:r>
      <w:r w:rsidRPr="00ED4EEE">
        <w:t xml:space="preserve">:  If specialties are planned to be analyzed individually, the sample size should be at least 50 respondents from each specialty. </w:t>
      </w:r>
    </w:p>
    <w:p w14:paraId="24E434A4" w14:textId="77777777" w:rsidR="00D557B0" w:rsidRDefault="00D557B0" w:rsidP="00A20F66">
      <w:pPr>
        <w:ind w:left="720"/>
        <w:rPr>
          <w:b/>
        </w:rPr>
      </w:pPr>
    </w:p>
    <w:p w14:paraId="0ED79251" w14:textId="7113EFD2" w:rsidR="00403E23" w:rsidRPr="00ED4EEE" w:rsidRDefault="00403E23" w:rsidP="00A20F66">
      <w:pPr>
        <w:ind w:left="720"/>
      </w:pPr>
      <w:r w:rsidRPr="006B035B">
        <w:rPr>
          <w:b/>
        </w:rPr>
        <w:t xml:space="preserve">Response </w:t>
      </w:r>
      <w:r>
        <w:rPr>
          <w:b/>
        </w:rPr>
        <w:t>1b</w:t>
      </w:r>
      <w:r w:rsidRPr="006B035B">
        <w:t>:</w:t>
      </w:r>
      <w:r w:rsidRPr="00ED4EEE">
        <w:t xml:space="preserve"> Our analysis plan does not include a separate full-scale analysis for each specialty, though specialty will be included in the analyses as a covariate along with other provider characteristics. Thus, the 50-respondent minimum per specialty is not necessary given the goals of this study. </w:t>
      </w:r>
    </w:p>
    <w:p w14:paraId="3FF36FE5" w14:textId="77777777" w:rsidR="00D557B0" w:rsidRDefault="00D557B0" w:rsidP="00A20F66">
      <w:pPr>
        <w:ind w:left="720"/>
        <w:rPr>
          <w:b/>
        </w:rPr>
      </w:pPr>
    </w:p>
    <w:p w14:paraId="7F14E997" w14:textId="61C43A0A" w:rsidR="00403E23" w:rsidRPr="00ED4EEE" w:rsidRDefault="00403E23" w:rsidP="00A20F66">
      <w:pPr>
        <w:ind w:left="720"/>
      </w:pPr>
      <w:r w:rsidRPr="006B035B">
        <w:rPr>
          <w:b/>
        </w:rPr>
        <w:t>Comment 1c</w:t>
      </w:r>
      <w:r w:rsidRPr="00ED4EEE">
        <w:t>: We did not have access to the full screening criteria and have several suggestions for the criteria: a mix of age, practice experience, practice setting, number of patients seen each month, and gender.</w:t>
      </w:r>
    </w:p>
    <w:p w14:paraId="38CDAB6D" w14:textId="77777777" w:rsidR="00D557B0" w:rsidRDefault="00D557B0" w:rsidP="00A20F66">
      <w:pPr>
        <w:ind w:left="720"/>
        <w:rPr>
          <w:b/>
        </w:rPr>
      </w:pPr>
    </w:p>
    <w:p w14:paraId="60524096" w14:textId="79186AFF" w:rsidR="00403E23" w:rsidRPr="00ED4EEE" w:rsidRDefault="00403E23" w:rsidP="00A20F66">
      <w:pPr>
        <w:ind w:left="720"/>
      </w:pPr>
      <w:r w:rsidRPr="006B035B">
        <w:rPr>
          <w:b/>
        </w:rPr>
        <w:t xml:space="preserve">Response </w:t>
      </w:r>
      <w:r>
        <w:rPr>
          <w:b/>
        </w:rPr>
        <w:t>1c</w:t>
      </w:r>
      <w:r w:rsidRPr="00ED4EEE">
        <w:t>: Our screening instrument captures the suggested items, including age, gender, race/ethnicity, practice setting, percent of time seeing patients, and clinical specialty. The survey instrument collects information on the number of patients seen weekly and number of years in practice.</w:t>
      </w:r>
    </w:p>
    <w:p w14:paraId="50FE5E41" w14:textId="77777777" w:rsidR="00D557B0" w:rsidRDefault="00D557B0" w:rsidP="00A20F66">
      <w:pPr>
        <w:ind w:left="720"/>
        <w:rPr>
          <w:b/>
        </w:rPr>
      </w:pPr>
    </w:p>
    <w:p w14:paraId="4E84A8B6" w14:textId="453658ED" w:rsidR="00403E23" w:rsidRPr="00ED4EEE" w:rsidRDefault="00403E23" w:rsidP="00A20F66">
      <w:pPr>
        <w:ind w:left="720"/>
      </w:pPr>
      <w:r w:rsidRPr="006B035B">
        <w:rPr>
          <w:b/>
        </w:rPr>
        <w:t>Comment 1d</w:t>
      </w:r>
      <w:r w:rsidRPr="00ED4EEE">
        <w:t xml:space="preserve">: Q2 currently asks how often physicians visit commercial prescription drug websites. This is a broad question, and we suggest adding follow-up questions to understand why the physician went to the website (i.e., interested in getting specific product information, patient assistance program information, etc.), what specific information was sought (i.e., promotional information, educational resources, patient support services, prescribing information) and how helpful was the information. </w:t>
      </w:r>
    </w:p>
    <w:p w14:paraId="5190202D" w14:textId="77777777" w:rsidR="00D557B0" w:rsidRDefault="00D557B0" w:rsidP="00403E23">
      <w:pPr>
        <w:rPr>
          <w:b/>
        </w:rPr>
      </w:pPr>
    </w:p>
    <w:p w14:paraId="52492F60" w14:textId="4972BB81" w:rsidR="00403E23" w:rsidRPr="00ED4EEE" w:rsidRDefault="00403E23" w:rsidP="00A20F66">
      <w:pPr>
        <w:ind w:left="720"/>
      </w:pPr>
      <w:r w:rsidRPr="006B035B">
        <w:rPr>
          <w:b/>
        </w:rPr>
        <w:t>Response 1d:</w:t>
      </w:r>
      <w:r w:rsidRPr="00ED4EEE">
        <w:t xml:space="preserve"> Prescription drug websites are one of several information sources that are asked about in the survey. The primary goal</w:t>
      </w:r>
      <w:r>
        <w:t xml:space="preserve"> of our questions about sources of information </w:t>
      </w:r>
      <w:r w:rsidRPr="00ED4EEE">
        <w:t xml:space="preserve">is to capture the amount of exposure or use of various information sources by HCPs.  </w:t>
      </w:r>
      <w:r>
        <w:t>This may be a good avenue for further research.</w:t>
      </w:r>
    </w:p>
    <w:p w14:paraId="2A496998" w14:textId="77777777" w:rsidR="00D557B0" w:rsidRDefault="00D557B0" w:rsidP="00A20F66">
      <w:pPr>
        <w:ind w:left="720"/>
        <w:rPr>
          <w:b/>
        </w:rPr>
      </w:pPr>
    </w:p>
    <w:p w14:paraId="5CAB46DF" w14:textId="212F2FCC" w:rsidR="00403E23" w:rsidRPr="00ED4EEE" w:rsidRDefault="00403E23" w:rsidP="00A20F66">
      <w:pPr>
        <w:ind w:left="720"/>
      </w:pPr>
      <w:r w:rsidRPr="006B035B">
        <w:rPr>
          <w:b/>
        </w:rPr>
        <w:t>Comment 1e</w:t>
      </w:r>
      <w:r w:rsidRPr="00ED4EEE">
        <w:t xml:space="preserve">: Responses to Q3 could skew towards more frequent use than the average prescriber since the sample is being recruited from a network of physicians subscribing to a reference website (WebMD Medscape).  </w:t>
      </w:r>
    </w:p>
    <w:p w14:paraId="7E2BBDD3" w14:textId="77777777" w:rsidR="00D557B0" w:rsidRDefault="00D557B0" w:rsidP="00403E23">
      <w:pPr>
        <w:rPr>
          <w:b/>
        </w:rPr>
      </w:pPr>
    </w:p>
    <w:p w14:paraId="31CAC06A" w14:textId="5D64C6CE" w:rsidR="00403E23" w:rsidRPr="00ED4EEE" w:rsidRDefault="00403E23" w:rsidP="00A20F66">
      <w:pPr>
        <w:ind w:left="720"/>
      </w:pPr>
      <w:r w:rsidRPr="006B035B">
        <w:rPr>
          <w:b/>
        </w:rPr>
        <w:t>Response 1e</w:t>
      </w:r>
      <w:r w:rsidRPr="00ED4EEE">
        <w:t xml:space="preserve">: We acknowledge there may be a coverage bias from the use of the WebMD Medscape as a frame, but do not know exactly the magnitudes of bias for particular items. We will document the nature of our frame and the potential implications of that. See response to comment </w:t>
      </w:r>
      <w:r>
        <w:t>1a</w:t>
      </w:r>
      <w:r w:rsidRPr="00ED4EEE">
        <w:t xml:space="preserve"> for more details on WebMD sample.</w:t>
      </w:r>
    </w:p>
    <w:p w14:paraId="7738F3FE" w14:textId="77777777" w:rsidR="00D557B0" w:rsidRDefault="00D557B0" w:rsidP="00A20F66">
      <w:pPr>
        <w:ind w:left="720"/>
        <w:rPr>
          <w:b/>
        </w:rPr>
      </w:pPr>
    </w:p>
    <w:p w14:paraId="4A446F75" w14:textId="6F1E448E" w:rsidR="00403E23" w:rsidRPr="00ED4EEE" w:rsidRDefault="00403E23" w:rsidP="00A20F66">
      <w:pPr>
        <w:ind w:left="720"/>
      </w:pPr>
      <w:r w:rsidRPr="006B035B">
        <w:rPr>
          <w:b/>
          <w:noProof/>
        </w:rPr>
        <mc:AlternateContent>
          <mc:Choice Requires="wps">
            <w:drawing>
              <wp:anchor distT="0" distB="0" distL="114300" distR="114300" simplePos="0" relativeHeight="251658240" behindDoc="1" locked="0" layoutInCell="1" allowOverlap="1" wp14:anchorId="5CB80D7E" wp14:editId="1BEA7836">
                <wp:simplePos x="0" y="0"/>
                <wp:positionH relativeFrom="page">
                  <wp:posOffset>2470785</wp:posOffset>
                </wp:positionH>
                <wp:positionV relativeFrom="paragraph">
                  <wp:posOffset>633730</wp:posOffset>
                </wp:positionV>
                <wp:extent cx="23495" cy="161925"/>
                <wp:effectExtent l="3810"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932B" w14:textId="77777777" w:rsidR="00403E23" w:rsidRDefault="00403E23" w:rsidP="00403E23">
                            <w:pPr>
                              <w:pStyle w:val="BodyText"/>
                              <w:spacing w:line="255" w:lineRule="exact"/>
                            </w:pPr>
                            <w:r>
                              <w:rPr>
                                <w:color w:val="2D3B50"/>
                                <w:w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4.55pt;margin-top:49.9pt;width:1.85pt;height:1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" filled="f" stroked="f">
                <v:textbox inset="0,0,0,0">
                  <w:txbxContent>
                    <w:p w14:paraId="444E932B" w14:textId="77777777" w:rsidR="00403E23" w:rsidRDefault="00403E23" w:rsidP="00403E23">
                      <w:pPr>
                        <w:pStyle w:val="BodyText"/>
                        <w:spacing w:line="255" w:lineRule="exact"/>
                      </w:pPr>
                      <w:r>
                        <w:rPr>
                          <w:color w:val="2D3B50"/>
                          <w:w w:val="32"/>
                        </w:rPr>
                        <w:t>1</w:t>
                      </w:r>
                    </w:p>
                  </w:txbxContent>
                </v:textbox>
                <w10:wrap anchorx="page"/>
              </v:shape>
            </w:pict>
          </mc:Fallback>
        </mc:AlternateContent>
      </w:r>
      <w:r w:rsidRPr="006B035B">
        <w:rPr>
          <w:b/>
        </w:rPr>
        <w:t>Comment 1f</w:t>
      </w:r>
      <w:r w:rsidRPr="00ED4EEE">
        <w:t>: Q7</w:t>
      </w:r>
      <w:r>
        <w:t>a</w:t>
      </w:r>
      <w:r w:rsidRPr="00ED4EEE">
        <w:t xml:space="preserve"> asks respondents to gauge the influence of various information sources on their colleagues</w:t>
      </w:r>
      <w:r>
        <w:t>’</w:t>
      </w:r>
      <w:r w:rsidRPr="00ED4EEE">
        <w:t xml:space="preserve"> prescribing decisions.  Q7</w:t>
      </w:r>
      <w:r>
        <w:t>b</w:t>
      </w:r>
      <w:r w:rsidRPr="00ED4EEE">
        <w:t xml:space="preserve"> asks about the influence of various information sources on the respondent’s prescribing decisions.  Influence is subjective and respondent answers to these questions are inherently unreliable. We suggest asking about behavior</w:t>
      </w:r>
      <w:r>
        <w:t xml:space="preserve"> to help understand influence</w:t>
      </w:r>
      <w:r w:rsidRPr="00ED4EEE">
        <w:t>. If these questions are retained, we suggest reordering the questions.</w:t>
      </w:r>
    </w:p>
    <w:p w14:paraId="04943BCC" w14:textId="77777777" w:rsidR="00D557B0" w:rsidRDefault="00D557B0" w:rsidP="00A20F66">
      <w:pPr>
        <w:ind w:left="720"/>
        <w:rPr>
          <w:b/>
        </w:rPr>
      </w:pPr>
    </w:p>
    <w:p w14:paraId="3E74CA40" w14:textId="5EF55394" w:rsidR="00403E23" w:rsidRPr="00ED4EEE" w:rsidRDefault="00403E23" w:rsidP="00A20F66">
      <w:pPr>
        <w:ind w:left="720"/>
      </w:pPr>
      <w:r w:rsidRPr="006B035B">
        <w:rPr>
          <w:b/>
        </w:rPr>
        <w:t>Response 1f</w:t>
      </w:r>
      <w:r w:rsidRPr="00ED4EEE">
        <w:t>:</w:t>
      </w:r>
      <w:r>
        <w:t xml:space="preserve"> We are interested in HCPs’ perceptions of relative influence of different information sources. An assessment of the actual influence of these sources through prescribing data is beyond the scope of this project. This is a valuable avenue for future research. Moreover, t</w:t>
      </w:r>
      <w:r w:rsidRPr="00B50462">
        <w:t>his question is designed to build on research literature which suggests that HCPs typically rate promotional materials as being more influential on colleagues than on themselves</w:t>
      </w:r>
      <w:r>
        <w:t xml:space="preserve"> (Refs. 17, 18)</w:t>
      </w:r>
      <w:r w:rsidRPr="00B50462">
        <w:t>.</w:t>
      </w:r>
      <w:r w:rsidRPr="00B50462">
        <w:rPr>
          <w:vertAlign w:val="superscript"/>
        </w:rPr>
        <w:t xml:space="preserve"> </w:t>
      </w:r>
      <w:r w:rsidRPr="00B50462">
        <w:t xml:space="preserve">Thus, we ask about the influence of promotional information for both colleagues and the respondent. </w:t>
      </w:r>
      <w:r w:rsidRPr="00ED4EEE">
        <w:t xml:space="preserve">We will randomize the presentation order of these two questions in the survey.  </w:t>
      </w:r>
    </w:p>
    <w:p w14:paraId="71A36054" w14:textId="77777777" w:rsidR="00D557B0" w:rsidRDefault="00D557B0" w:rsidP="00A20F66">
      <w:pPr>
        <w:ind w:left="720"/>
        <w:rPr>
          <w:b/>
        </w:rPr>
      </w:pPr>
    </w:p>
    <w:p w14:paraId="217FBE90" w14:textId="45C6AB38" w:rsidR="00403E23" w:rsidRPr="00ED4EEE" w:rsidRDefault="00403E23" w:rsidP="00A20F66">
      <w:pPr>
        <w:ind w:left="720"/>
      </w:pPr>
      <w:r w:rsidRPr="006B035B">
        <w:rPr>
          <w:b/>
        </w:rPr>
        <w:t>Comment 1g</w:t>
      </w:r>
      <w:r w:rsidRPr="00ED4EEE">
        <w:t>: For Q9-Q10, questions and answer choices are overly broad to provide actionable insight. For example, respondents might define "information about clinical trial designs or clinical trial outcomes" differently, along with what "Some" versus "Lots" of information represent. We suggest revising Q9 to "Do you need more clinical trial design information in order to understand or interpret the clinical trial data and outcomes presented in promotional material?" We suggest revising Q10 to "Do you need more clinical trial outcomes information in order to make sound clinical decisions for your patients?"</w:t>
      </w:r>
    </w:p>
    <w:p w14:paraId="3382C92F" w14:textId="77777777" w:rsidR="00D557B0" w:rsidRDefault="00D557B0" w:rsidP="00403E23">
      <w:pPr>
        <w:rPr>
          <w:b/>
        </w:rPr>
      </w:pPr>
    </w:p>
    <w:p w14:paraId="3CBE4E77" w14:textId="23B36051" w:rsidR="00403E23" w:rsidRPr="00ED4EEE" w:rsidRDefault="00403E23" w:rsidP="00A20F66">
      <w:pPr>
        <w:ind w:left="720"/>
      </w:pPr>
      <w:r w:rsidRPr="006B035B">
        <w:rPr>
          <w:b/>
        </w:rPr>
        <w:t>Response 1g</w:t>
      </w:r>
      <w:r w:rsidRPr="006B035B">
        <w:t>:</w:t>
      </w:r>
      <w:r w:rsidRPr="00ED4EEE">
        <w:t xml:space="preserve"> We have made some changes to these questions as a result of cognitive testing. For example, we replaced “clinical trial design” with “clinical trial methodology” and included examples of what is meant by methodology in parenthesis</w:t>
      </w:r>
      <w:r>
        <w:t xml:space="preserve"> (e.g., sample, study design)</w:t>
      </w:r>
      <w:r w:rsidRPr="00ED4EEE">
        <w:t>.  We also changed answer choices to make them more distinct. The choices are now: all information, a moderate amount, a minimal amount, and none.</w:t>
      </w:r>
    </w:p>
    <w:p w14:paraId="5CF4A091" w14:textId="77777777" w:rsidR="00D557B0" w:rsidRDefault="00D557B0" w:rsidP="00A20F66">
      <w:pPr>
        <w:ind w:left="720"/>
        <w:rPr>
          <w:b/>
        </w:rPr>
      </w:pPr>
    </w:p>
    <w:p w14:paraId="6BD4EEE3" w14:textId="3B6CEE09" w:rsidR="00403E23" w:rsidRPr="00ED4EEE" w:rsidRDefault="00403E23" w:rsidP="00A20F66">
      <w:pPr>
        <w:ind w:left="720"/>
      </w:pPr>
      <w:r w:rsidRPr="006B035B">
        <w:rPr>
          <w:b/>
        </w:rPr>
        <w:t>Comment 1h</w:t>
      </w:r>
      <w:r w:rsidRPr="00ED4EEE">
        <w:t xml:space="preserve">: We suggest revising Q14 into two separate questions. One question about the type of training (e.g. formal school, continuing medical education, peers) and a separate question on how much training in different aspects of clinical trial design the respondent completed. </w:t>
      </w:r>
    </w:p>
    <w:p w14:paraId="0F4FD853" w14:textId="77777777" w:rsidR="00D557B0" w:rsidRDefault="00D557B0" w:rsidP="00A20F66">
      <w:pPr>
        <w:ind w:left="720"/>
        <w:rPr>
          <w:b/>
        </w:rPr>
      </w:pPr>
    </w:p>
    <w:p w14:paraId="62DD7B7D" w14:textId="2FC0B797" w:rsidR="00403E23" w:rsidRPr="00ED4EEE" w:rsidRDefault="00403E23" w:rsidP="00A20F66">
      <w:pPr>
        <w:ind w:left="720"/>
      </w:pPr>
      <w:r w:rsidRPr="006B035B">
        <w:rPr>
          <w:b/>
        </w:rPr>
        <w:t>Response 1h</w:t>
      </w:r>
      <w:r w:rsidRPr="006B035B">
        <w:t>:</w:t>
      </w:r>
      <w:r w:rsidRPr="00ED4EEE">
        <w:t xml:space="preserve">  We are using the question about clinical trials training as a covariate to other questions in the survey about clinical trials. Training may influence the amount of clinical trials information HCPs want included in promotions or their level of comfort with clinical trials data.</w:t>
      </w:r>
      <w:r>
        <w:t xml:space="preserve"> We have added the word “formal” to the question to indicate that we are referring to actual training rather than informal discussions with colleagues.</w:t>
      </w:r>
      <w:r w:rsidRPr="00ED4EEE">
        <w:t xml:space="preserve">  </w:t>
      </w:r>
    </w:p>
    <w:p w14:paraId="51FCBA7E" w14:textId="77777777" w:rsidR="00D557B0" w:rsidRDefault="00D557B0" w:rsidP="00403E23">
      <w:pPr>
        <w:rPr>
          <w:b/>
        </w:rPr>
      </w:pPr>
    </w:p>
    <w:p w14:paraId="65D76285" w14:textId="052AB209" w:rsidR="00403E23" w:rsidRPr="00ED4EEE" w:rsidRDefault="00403E23" w:rsidP="00A20F66">
      <w:pPr>
        <w:ind w:left="720"/>
      </w:pPr>
      <w:r w:rsidRPr="006B035B">
        <w:rPr>
          <w:b/>
        </w:rPr>
        <w:t>Comment 1i</w:t>
      </w:r>
      <w:r w:rsidRPr="00ED4EEE">
        <w:t>: Q18 assumes the physician knows whether the drugs prescribed are approved or not approved. We suggest including a selection of "Do not know".</w:t>
      </w:r>
    </w:p>
    <w:p w14:paraId="656CBA5F" w14:textId="77777777" w:rsidR="00D557B0" w:rsidRDefault="00D557B0" w:rsidP="00A20F66">
      <w:pPr>
        <w:ind w:left="720"/>
        <w:rPr>
          <w:b/>
        </w:rPr>
      </w:pPr>
    </w:p>
    <w:p w14:paraId="12EB68AD" w14:textId="678B4897" w:rsidR="00403E23" w:rsidRPr="00ED4EEE" w:rsidRDefault="00403E23" w:rsidP="00A20F66">
      <w:pPr>
        <w:ind w:left="720"/>
      </w:pPr>
      <w:r w:rsidRPr="006B035B">
        <w:rPr>
          <w:b/>
        </w:rPr>
        <w:t>Response 1i</w:t>
      </w:r>
      <w:r w:rsidRPr="00ED4EEE">
        <w:t xml:space="preserve">: We </w:t>
      </w:r>
      <w:r>
        <w:t>will</w:t>
      </w:r>
      <w:r w:rsidRPr="00ED4EEE">
        <w:t xml:space="preserve"> add “Do not know” as a response option to this question. </w:t>
      </w:r>
    </w:p>
    <w:p w14:paraId="27F66A15" w14:textId="77777777" w:rsidR="00D557B0" w:rsidRDefault="00D557B0" w:rsidP="00A20F66">
      <w:pPr>
        <w:ind w:left="720"/>
        <w:rPr>
          <w:b/>
        </w:rPr>
      </w:pPr>
    </w:p>
    <w:p w14:paraId="6C1B7EF3" w14:textId="1736AF79" w:rsidR="00403E23" w:rsidRPr="00ED4EEE" w:rsidRDefault="00403E23" w:rsidP="00A20F66">
      <w:pPr>
        <w:ind w:left="720"/>
      </w:pPr>
      <w:r w:rsidRPr="006B035B">
        <w:rPr>
          <w:b/>
        </w:rPr>
        <w:t>Comment 1j</w:t>
      </w:r>
      <w:r w:rsidRPr="00ED4EEE">
        <w:t>. We have concerns that Q21 fails to define what the agency means by "promotion." As a result, the question as phrased may suggest that the agency has broader authority than delegated by Congress or as permitted under the First Amendment to regulate (i.e., "allow") protected manufacturer speech that is truthful and non-misleading. We suggest revising Q21 to ask respondents if they value the ability of pharmaceutical companies to provide truthful and non-misleading information about their drugs for indications not approved by FDA.</w:t>
      </w:r>
      <w:r w:rsidRPr="00ED4EEE">
        <w:tab/>
      </w:r>
    </w:p>
    <w:p w14:paraId="3144989F" w14:textId="77777777" w:rsidR="00D557B0" w:rsidRDefault="00D557B0" w:rsidP="00A20F66">
      <w:pPr>
        <w:ind w:left="720"/>
        <w:rPr>
          <w:b/>
        </w:rPr>
      </w:pPr>
    </w:p>
    <w:p w14:paraId="75E222C4" w14:textId="33507927" w:rsidR="00403E23" w:rsidRPr="00A9491D" w:rsidRDefault="00403E23" w:rsidP="00A20F66">
      <w:pPr>
        <w:ind w:left="720"/>
      </w:pPr>
      <w:r w:rsidRPr="006B035B">
        <w:rPr>
          <w:b/>
        </w:rPr>
        <w:t>Response 1j</w:t>
      </w:r>
      <w:r w:rsidRPr="006B035B">
        <w:t>:</w:t>
      </w:r>
      <w:r>
        <w:t xml:space="preserve"> </w:t>
      </w:r>
      <w:r w:rsidRPr="00A9491D">
        <w:t xml:space="preserve">Q21 </w:t>
      </w:r>
      <w:r>
        <w:t>has been deleted.</w:t>
      </w:r>
    </w:p>
    <w:p w14:paraId="1130EE7D" w14:textId="77777777" w:rsidR="00D557B0" w:rsidRDefault="00D557B0" w:rsidP="00A20F66">
      <w:pPr>
        <w:ind w:left="720"/>
        <w:rPr>
          <w:b/>
        </w:rPr>
      </w:pPr>
    </w:p>
    <w:p w14:paraId="7F5CA805" w14:textId="3467E7B6" w:rsidR="00403E23" w:rsidRPr="00ED4EEE" w:rsidRDefault="00403E23" w:rsidP="00A20F66">
      <w:pPr>
        <w:ind w:left="720"/>
      </w:pPr>
      <w:r w:rsidRPr="006B035B">
        <w:rPr>
          <w:b/>
        </w:rPr>
        <w:t>Comment 1k</w:t>
      </w:r>
      <w:r w:rsidRPr="00ED4EEE">
        <w:t>: We agree that having an option of "not sure” for Q22 is appropriate since many respondents might not be familiar with this approval pathway. However, this could reduce the amount of information this question could assess. We suggest modifying the question to incorporate the definition of accelerated approval and then ask the respondent about his/her comfort level with prescribing. This approach would allow the survey to collect responses from the most respondents possible. We also suggest adding a question prior to Q22 to ask about familiarity or experience with an accelerated approval drug that could be used to assess prior behavior as well as understand how experience with accelerated approval impacts comfort to use.</w:t>
      </w:r>
    </w:p>
    <w:p w14:paraId="4FB2D9C9" w14:textId="77777777" w:rsidR="00D557B0" w:rsidRDefault="00D557B0" w:rsidP="00A20F66">
      <w:pPr>
        <w:ind w:left="720"/>
        <w:rPr>
          <w:b/>
        </w:rPr>
      </w:pPr>
    </w:p>
    <w:p w14:paraId="20A6BA89" w14:textId="20C66B36" w:rsidR="00403E23" w:rsidRPr="00ED4EEE" w:rsidRDefault="00403E23" w:rsidP="00A20F66">
      <w:pPr>
        <w:ind w:left="720"/>
      </w:pPr>
      <w:r w:rsidRPr="006B035B">
        <w:rPr>
          <w:b/>
        </w:rPr>
        <w:t>Response 1k</w:t>
      </w:r>
      <w:r w:rsidRPr="006B035B">
        <w:t>:</w:t>
      </w:r>
      <w:r w:rsidRPr="00ED4EEE">
        <w:t xml:space="preserve">  </w:t>
      </w:r>
      <w:r>
        <w:t>We have purposefully not</w:t>
      </w:r>
      <w:r w:rsidRPr="00ED4EEE">
        <w:t xml:space="preserve"> includ</w:t>
      </w:r>
      <w:r>
        <w:t>ed</w:t>
      </w:r>
      <w:r w:rsidRPr="00ED4EEE">
        <w:t xml:space="preserve"> a definition of accelerated approval, as we are interested in assessing comfort with accelerated approval based on their own understanding of the term</w:t>
      </w:r>
      <w:r>
        <w:t xml:space="preserve">. </w:t>
      </w:r>
      <w:r w:rsidRPr="00ED4EEE">
        <w:t>We have added an open-ended question prior to Q22 that asks respondents to describe what an accelerated approval drug is in their own words.</w:t>
      </w:r>
    </w:p>
    <w:p w14:paraId="5F27237F" w14:textId="77777777" w:rsidR="00D557B0" w:rsidRDefault="00D557B0" w:rsidP="00403E23">
      <w:pPr>
        <w:rPr>
          <w:b/>
        </w:rPr>
      </w:pPr>
    </w:p>
    <w:p w14:paraId="374ED0D8" w14:textId="1B59CD56" w:rsidR="00403E23" w:rsidRPr="00ED4EEE" w:rsidRDefault="00403E23" w:rsidP="00A20F66">
      <w:pPr>
        <w:ind w:left="720"/>
      </w:pPr>
      <w:r w:rsidRPr="003F3595">
        <w:rPr>
          <w:b/>
        </w:rPr>
        <w:t>Comment 1l</w:t>
      </w:r>
      <w:r w:rsidRPr="00ED4EEE">
        <w:t xml:space="preserve">: We recommend modifying the open-ended question (Q23) about scientific exchange and offering respondent components for consideration (i.e., criteria for who is part of exchange of information, description for type of scientific information, description of context of scientific information, and the forum or setting where exchange of information occurs).  We also recommend adding question(s) to understand how often respondents engage in settings where scientific exchange typically occurs, such as oral presentations/poster sessions at scientific congresses, review of articles in medical journals, data and clinical trial summaries on clinical trial registries. </w:t>
      </w:r>
    </w:p>
    <w:p w14:paraId="6CFFEF7A" w14:textId="77777777" w:rsidR="00D557B0" w:rsidRDefault="00D557B0" w:rsidP="00A20F66">
      <w:pPr>
        <w:ind w:left="720"/>
        <w:rPr>
          <w:b/>
        </w:rPr>
      </w:pPr>
    </w:p>
    <w:p w14:paraId="65AEB559" w14:textId="770BC7E9" w:rsidR="00403E23" w:rsidRPr="00ED4EEE" w:rsidRDefault="00403E23" w:rsidP="00A20F66">
      <w:pPr>
        <w:ind w:left="720"/>
      </w:pPr>
      <w:r w:rsidRPr="003F3595">
        <w:rPr>
          <w:b/>
        </w:rPr>
        <w:t>Response 1l</w:t>
      </w:r>
      <w:r w:rsidRPr="003F3595">
        <w:t>:</w:t>
      </w:r>
      <w:r w:rsidRPr="00ED4EEE">
        <w:t xml:space="preserve"> The goal of this open-ended question is to assess general awareness/understanding of the term scientific exchange. </w:t>
      </w:r>
      <w:r>
        <w:t xml:space="preserve">In cognitive testing, we found that several HCPs had never heard this term before.  Therefore, we need to get a broader sense of general awareness, which may be low, before following up with more specific questions. </w:t>
      </w:r>
      <w:r w:rsidRPr="00ED4EEE">
        <w:t xml:space="preserve">We have added the option to check </w:t>
      </w:r>
      <w:r>
        <w:t>“</w:t>
      </w:r>
      <w:r w:rsidRPr="00ED4EEE">
        <w:t>do not know</w:t>
      </w:r>
      <w:r>
        <w:t>”</w:t>
      </w:r>
      <w:r w:rsidRPr="00ED4EEE">
        <w:t xml:space="preserve"> for this question.</w:t>
      </w:r>
      <w:r>
        <w:t xml:space="preserve"> </w:t>
      </w:r>
      <w:r w:rsidRPr="00ED4EEE">
        <w:t xml:space="preserve"> </w:t>
      </w:r>
    </w:p>
    <w:p w14:paraId="6F6C2546" w14:textId="77777777" w:rsidR="00D557B0" w:rsidRDefault="00D557B0" w:rsidP="00A20F66">
      <w:pPr>
        <w:ind w:left="720"/>
        <w:rPr>
          <w:b/>
        </w:rPr>
      </w:pPr>
    </w:p>
    <w:p w14:paraId="7A701116" w14:textId="3192FFCD" w:rsidR="00403E23" w:rsidRPr="00ED4EEE" w:rsidRDefault="00403E23" w:rsidP="00A20F66">
      <w:pPr>
        <w:ind w:left="720"/>
      </w:pPr>
      <w:r w:rsidRPr="003F3595">
        <w:rPr>
          <w:b/>
        </w:rPr>
        <w:t>Comment 1m</w:t>
      </w:r>
      <w:r w:rsidRPr="00ED4EEE">
        <w:t>: The open-ended question (Q24) seeking a description of biosimilars will likely result in an extremely wide range of answers with no ability to categorize responses based on the HCP's true knowledge of the term. We suggest framing the question along the lines of how comfortable the HCP is with prescribing biosimilars, therefore, the responses may help correlate knowledge of the term with a greater comfort level in prescribing.</w:t>
      </w:r>
    </w:p>
    <w:p w14:paraId="5CF9F415" w14:textId="77777777" w:rsidR="00D557B0" w:rsidRDefault="00D557B0" w:rsidP="00403E23">
      <w:pPr>
        <w:rPr>
          <w:b/>
        </w:rPr>
      </w:pPr>
    </w:p>
    <w:p w14:paraId="384C7F90" w14:textId="1A0138EC" w:rsidR="00403E23" w:rsidRPr="00ED4EEE" w:rsidRDefault="00403E23" w:rsidP="00A20F66">
      <w:pPr>
        <w:ind w:left="720"/>
      </w:pPr>
      <w:r w:rsidRPr="003F3595">
        <w:rPr>
          <w:b/>
        </w:rPr>
        <w:t>Response 1m</w:t>
      </w:r>
      <w:r w:rsidRPr="00ED4EEE">
        <w:t xml:space="preserve">: The goal of this open-ended question is to assess HCP general awareness/knowledge of biosimilars. We have added the option to check </w:t>
      </w:r>
      <w:r>
        <w:t>“</w:t>
      </w:r>
      <w:r w:rsidRPr="00ED4EEE">
        <w:t>do not know</w:t>
      </w:r>
      <w:r>
        <w:t>”</w:t>
      </w:r>
      <w:r w:rsidRPr="00ED4EEE">
        <w:t xml:space="preserve"> for this question. We also plan to code open-ended responses to determine their level of </w:t>
      </w:r>
      <w:r>
        <w:t>closeness to the established definition:</w:t>
      </w:r>
      <w:r w:rsidRPr="008D7536">
        <w:rPr>
          <w:color w:val="333333"/>
          <w:shd w:val="clear" w:color="auto" w:fill="FFFFFF"/>
        </w:rPr>
        <w:t xml:space="preserve"> a biological product that is highly similar to and has no clinically</w:t>
      </w:r>
      <w:r>
        <w:rPr>
          <w:color w:val="333333"/>
          <w:shd w:val="clear" w:color="auto" w:fill="FFFFFF"/>
        </w:rPr>
        <w:t xml:space="preserve"> </w:t>
      </w:r>
      <w:r w:rsidRPr="008D7536">
        <w:rPr>
          <w:color w:val="333333"/>
          <w:shd w:val="clear" w:color="auto" w:fill="FFFFFF"/>
        </w:rPr>
        <w:t>meaningful differences from an existing FDA-approved reference product.</w:t>
      </w:r>
      <w:r w:rsidDel="00BF31F5">
        <w:rPr>
          <w:rStyle w:val="CommentReference"/>
        </w:rPr>
        <w:t xml:space="preserve"> </w:t>
      </w:r>
      <w:r>
        <w:rPr>
          <w:rStyle w:val="FootnoteReference"/>
          <w:sz w:val="16"/>
          <w:szCs w:val="16"/>
        </w:rPr>
        <w:footnoteReference w:id="3"/>
      </w:r>
      <w:r w:rsidRPr="00ED4EEE">
        <w:t xml:space="preserve"> </w:t>
      </w:r>
      <w:r>
        <w:t xml:space="preserve">We have also added a close-ended question prior to Q24 to ask HCPs how comfortable they are prescribing biosimilars.  </w:t>
      </w:r>
    </w:p>
    <w:p w14:paraId="68AAFC0B" w14:textId="77777777" w:rsidR="00D557B0" w:rsidRDefault="00D557B0" w:rsidP="00A20F66">
      <w:pPr>
        <w:ind w:left="720"/>
        <w:rPr>
          <w:b/>
        </w:rPr>
      </w:pPr>
    </w:p>
    <w:p w14:paraId="69C699D7" w14:textId="7C15BAC4" w:rsidR="00403E23" w:rsidRPr="00ED4EEE" w:rsidRDefault="00403E23" w:rsidP="00A20F66">
      <w:pPr>
        <w:ind w:left="720"/>
      </w:pPr>
      <w:r w:rsidRPr="00F912B3">
        <w:rPr>
          <w:b/>
        </w:rPr>
        <w:t>Comment 1n</w:t>
      </w:r>
      <w:r w:rsidRPr="00ED4EEE">
        <w:t xml:space="preserve">: For Q25-26, we recommend including “don’t know” or “it depends” as answer options for these two questions. </w:t>
      </w:r>
    </w:p>
    <w:p w14:paraId="07EF7BE1" w14:textId="77777777" w:rsidR="00D557B0" w:rsidRDefault="00D557B0" w:rsidP="00A20F66">
      <w:pPr>
        <w:ind w:left="720"/>
        <w:rPr>
          <w:b/>
        </w:rPr>
      </w:pPr>
    </w:p>
    <w:p w14:paraId="0308C7D8" w14:textId="38B6FEC5" w:rsidR="00403E23" w:rsidRPr="00ED4EEE" w:rsidRDefault="00403E23" w:rsidP="00A20F66">
      <w:pPr>
        <w:ind w:left="720"/>
      </w:pPr>
      <w:r w:rsidRPr="00F912B3">
        <w:rPr>
          <w:b/>
        </w:rPr>
        <w:t>Response 1n</w:t>
      </w:r>
      <w:r w:rsidRPr="00ED4EEE">
        <w:t xml:space="preserve">: While some cognitive effort is required, we believe the scenarios included in these questions provide sufficient information to allow respondents to make ratings.  We also note that during cognitive testing, respondents did not have difficulty answering these questions.  </w:t>
      </w:r>
    </w:p>
    <w:p w14:paraId="2C881A33" w14:textId="77777777" w:rsidR="00D557B0" w:rsidRDefault="00D557B0" w:rsidP="00A20F66">
      <w:pPr>
        <w:ind w:left="720"/>
        <w:rPr>
          <w:b/>
        </w:rPr>
      </w:pPr>
    </w:p>
    <w:p w14:paraId="02E74AD1" w14:textId="09701952" w:rsidR="00403E23" w:rsidRPr="00ED4EEE" w:rsidRDefault="00403E23" w:rsidP="00A20F66">
      <w:pPr>
        <w:ind w:left="720"/>
      </w:pPr>
      <w:r w:rsidRPr="00F912B3">
        <w:rPr>
          <w:b/>
        </w:rPr>
        <w:t>Comment 1o</w:t>
      </w:r>
      <w:r w:rsidRPr="00ED4EEE">
        <w:t>:  For Q28, we recommend incorporating a description or definition of “REMS” materials.</w:t>
      </w:r>
    </w:p>
    <w:p w14:paraId="52422372" w14:textId="77777777" w:rsidR="00D557B0" w:rsidRDefault="00D557B0" w:rsidP="00A20F66">
      <w:pPr>
        <w:ind w:left="720"/>
        <w:rPr>
          <w:b/>
        </w:rPr>
      </w:pPr>
    </w:p>
    <w:p w14:paraId="7E2DE0E2" w14:textId="5F58A926" w:rsidR="00403E23" w:rsidRPr="00ED4EEE" w:rsidRDefault="00403E23" w:rsidP="00A20F66">
      <w:pPr>
        <w:ind w:left="720"/>
      </w:pPr>
      <w:r w:rsidRPr="00F912B3">
        <w:rPr>
          <w:b/>
        </w:rPr>
        <w:t>Response 1o</w:t>
      </w:r>
      <w:r w:rsidRPr="00F912B3">
        <w:t>:</w:t>
      </w:r>
      <w:r w:rsidRPr="00ED4EEE">
        <w:t xml:space="preserve">  We have revised the question to spell out the term, Risk Evaluation or Mitigation Strategy (REMS) materials. </w:t>
      </w:r>
    </w:p>
    <w:p w14:paraId="70D83362" w14:textId="77777777" w:rsidR="00D557B0" w:rsidRDefault="00D557B0" w:rsidP="00A20F66">
      <w:pPr>
        <w:ind w:left="720"/>
        <w:rPr>
          <w:b/>
        </w:rPr>
      </w:pPr>
    </w:p>
    <w:p w14:paraId="41192E57" w14:textId="4E56BE88" w:rsidR="00403E23" w:rsidRPr="00ED4EEE" w:rsidRDefault="00403E23" w:rsidP="00A20F66">
      <w:pPr>
        <w:ind w:left="720"/>
      </w:pPr>
      <w:r w:rsidRPr="00B50462">
        <w:rPr>
          <w:b/>
        </w:rPr>
        <w:t>Comment 1p</w:t>
      </w:r>
      <w:r w:rsidRPr="00ED4EEE">
        <w:t xml:space="preserve">: For Q28a, we recommend a small modification to the question in order to fully capture and connect to the list from the previous question. For example, How often do these materials or </w:t>
      </w:r>
      <w:r w:rsidRPr="00ED4EEE">
        <w:rPr>
          <w:u w:val="single"/>
        </w:rPr>
        <w:t xml:space="preserve">events </w:t>
      </w:r>
      <w:r w:rsidRPr="00ED4EEE">
        <w:t>mention abuse potential?</w:t>
      </w:r>
    </w:p>
    <w:p w14:paraId="4FE9C4A4" w14:textId="77777777" w:rsidR="00D557B0" w:rsidRDefault="00D557B0" w:rsidP="00403E23">
      <w:pPr>
        <w:rPr>
          <w:b/>
        </w:rPr>
      </w:pPr>
    </w:p>
    <w:p w14:paraId="7E1395B2" w14:textId="675E11FC" w:rsidR="00403E23" w:rsidRPr="00ED4EEE" w:rsidRDefault="00403E23" w:rsidP="00A20F66">
      <w:pPr>
        <w:ind w:left="720"/>
      </w:pPr>
      <w:r w:rsidRPr="00B50462">
        <w:rPr>
          <w:b/>
        </w:rPr>
        <w:t>Response 1p</w:t>
      </w:r>
      <w:r w:rsidRPr="00B50462">
        <w:t>:</w:t>
      </w:r>
      <w:r>
        <w:t xml:space="preserve"> We will</w:t>
      </w:r>
      <w:r w:rsidRPr="00ED4EEE">
        <w:t xml:space="preserve"> revise the question to include </w:t>
      </w:r>
      <w:r>
        <w:t>“</w:t>
      </w:r>
      <w:r w:rsidRPr="00ED4EEE">
        <w:t>events.</w:t>
      </w:r>
      <w:r>
        <w:t>”</w:t>
      </w:r>
      <w:r w:rsidRPr="00ED4EEE">
        <w:t xml:space="preserve"> </w:t>
      </w:r>
    </w:p>
    <w:p w14:paraId="168CB2C3" w14:textId="77777777" w:rsidR="00D557B0" w:rsidRDefault="00D557B0" w:rsidP="00A20F66">
      <w:pPr>
        <w:ind w:left="720"/>
        <w:rPr>
          <w:b/>
        </w:rPr>
      </w:pPr>
    </w:p>
    <w:p w14:paraId="5062C28D" w14:textId="5629A430" w:rsidR="00403E23" w:rsidRPr="00ED4EEE" w:rsidRDefault="00403E23" w:rsidP="00A20F66">
      <w:pPr>
        <w:ind w:left="720"/>
      </w:pPr>
      <w:r w:rsidRPr="00B50462">
        <w:rPr>
          <w:b/>
        </w:rPr>
        <w:t>Comment 1q</w:t>
      </w:r>
      <w:r w:rsidRPr="00ED4EEE">
        <w:t>: We suggest adding a follow-up question to Q27 and Q28 to understand the impact of education/information about opioids on prescribing behaviors. For example, “Is the number of patients you prescribed opioids for chronic pain in the last 3 months relative to 12 months ago: 1) the same, 2) less or 3) more?”</w:t>
      </w:r>
    </w:p>
    <w:p w14:paraId="14519232" w14:textId="77777777" w:rsidR="00D557B0" w:rsidRDefault="00D557B0" w:rsidP="00A20F66">
      <w:pPr>
        <w:ind w:left="720"/>
        <w:rPr>
          <w:b/>
        </w:rPr>
      </w:pPr>
    </w:p>
    <w:p w14:paraId="77CE82D8" w14:textId="1EE4E211" w:rsidR="00403E23" w:rsidRPr="00ED4EEE" w:rsidRDefault="00403E23" w:rsidP="00A20F66">
      <w:pPr>
        <w:ind w:left="720"/>
      </w:pPr>
      <w:r w:rsidRPr="008D7536">
        <w:rPr>
          <w:b/>
        </w:rPr>
        <w:t>Response 1q</w:t>
      </w:r>
      <w:r w:rsidRPr="008D7536">
        <w:t xml:space="preserve">: </w:t>
      </w:r>
      <w:r>
        <w:t xml:space="preserve">We have added this question to the survey. </w:t>
      </w:r>
    </w:p>
    <w:p w14:paraId="0CF2A49B" w14:textId="77777777" w:rsidR="00D557B0" w:rsidRDefault="00D557B0" w:rsidP="00A20F66">
      <w:pPr>
        <w:ind w:left="720"/>
        <w:rPr>
          <w:b/>
        </w:rPr>
      </w:pPr>
    </w:p>
    <w:p w14:paraId="487EA0B0" w14:textId="186244B5" w:rsidR="00403E23" w:rsidRPr="00ED4EEE" w:rsidRDefault="00403E23" w:rsidP="00A20F66">
      <w:pPr>
        <w:ind w:left="720"/>
      </w:pPr>
      <w:r w:rsidRPr="00B50462">
        <w:rPr>
          <w:b/>
        </w:rPr>
        <w:t>Comment 1r</w:t>
      </w:r>
      <w:r w:rsidRPr="00ED4EEE">
        <w:t>:  We suggest an additional follow up question to Q27 and Q28 to capture how the discussion and information on opioids and abuse potential has changed over recent years, rather than focusing only on the previous 12 months. Asking a retrospective question might capture how the type of information physicians receive has changed as the critical opioid situation has gained more widespread recognition.</w:t>
      </w:r>
    </w:p>
    <w:p w14:paraId="75EE6E56" w14:textId="77777777" w:rsidR="00D557B0" w:rsidRDefault="00D557B0" w:rsidP="00403E23">
      <w:pPr>
        <w:rPr>
          <w:b/>
        </w:rPr>
      </w:pPr>
    </w:p>
    <w:p w14:paraId="3CE76278" w14:textId="4DC160C5" w:rsidR="00403E23" w:rsidRDefault="00403E23" w:rsidP="00A20F66">
      <w:pPr>
        <w:ind w:left="720"/>
      </w:pPr>
      <w:r w:rsidRPr="00B50462">
        <w:rPr>
          <w:b/>
        </w:rPr>
        <w:t>Response 1r</w:t>
      </w:r>
      <w:r w:rsidRPr="00B50462">
        <w:t>:</w:t>
      </w:r>
      <w:r w:rsidRPr="00ED4EEE">
        <w:t xml:space="preserve"> </w:t>
      </w:r>
      <w:r>
        <w:t xml:space="preserve">This is an interesting suggestion; however, the proposed follow up question broadens the scope of the survey in a way that may prevent us from collecting the most relevant data. In order to capture the element of change in practice over time, as suggested, we have added a question to ask HCPs whether in the last year the content of promotional materials for opioid products have contained more or less information on abuse potential.  </w:t>
      </w:r>
    </w:p>
    <w:p w14:paraId="3ACF69B4" w14:textId="77777777" w:rsidR="00D557B0" w:rsidRDefault="00D557B0" w:rsidP="00A20F66">
      <w:pPr>
        <w:ind w:left="720"/>
      </w:pPr>
    </w:p>
    <w:p w14:paraId="13B969F7" w14:textId="36E2EDF4" w:rsidR="00403E23" w:rsidRPr="00127118" w:rsidRDefault="00403E23" w:rsidP="00A20F66">
      <w:pPr>
        <w:ind w:left="720"/>
      </w:pPr>
      <w:r w:rsidRPr="00127118">
        <w:t xml:space="preserve">The second public comment responder had 13 comments, to which we have responded. </w:t>
      </w:r>
    </w:p>
    <w:p w14:paraId="07FB4D10" w14:textId="77777777" w:rsidR="00D557B0" w:rsidRDefault="00D557B0" w:rsidP="00A20F66">
      <w:pPr>
        <w:ind w:left="720"/>
        <w:rPr>
          <w:b/>
          <w:bCs/>
        </w:rPr>
      </w:pPr>
    </w:p>
    <w:p w14:paraId="4B22F070" w14:textId="421703D8" w:rsidR="00403E23" w:rsidRPr="00127118" w:rsidRDefault="00403E23" w:rsidP="00A20F66">
      <w:pPr>
        <w:ind w:left="720"/>
      </w:pPr>
      <w:r w:rsidRPr="00127118">
        <w:rPr>
          <w:b/>
          <w:bCs/>
        </w:rPr>
        <w:t xml:space="preserve">Comment 2a. </w:t>
      </w:r>
      <w:r w:rsidRPr="00127118">
        <w:t xml:space="preserve"> The public comment responder expressed concern that they had difficulty obtaining the proposed survey questionnaire via email, but acknowledged that they were able to obtain it promptly once they contacted the telephone number provided in the 60-day notice. Among other suggestions, the commenter recommended that FDA specify a contact that can directly provide the survey in future notices. </w:t>
      </w:r>
    </w:p>
    <w:p w14:paraId="6E63BC2E" w14:textId="77777777" w:rsidR="00D557B0" w:rsidRDefault="00D557B0" w:rsidP="00A20F66">
      <w:pPr>
        <w:ind w:left="720"/>
        <w:rPr>
          <w:b/>
          <w:bCs/>
        </w:rPr>
      </w:pPr>
    </w:p>
    <w:p w14:paraId="166ECC03" w14:textId="4EC81F40" w:rsidR="00403E23" w:rsidRPr="00127118" w:rsidRDefault="00403E23" w:rsidP="00A20F66">
      <w:pPr>
        <w:ind w:left="720"/>
      </w:pPr>
      <w:r w:rsidRPr="00127118">
        <w:rPr>
          <w:b/>
          <w:bCs/>
        </w:rPr>
        <w:t>Response 2a</w:t>
      </w:r>
      <w:r w:rsidRPr="00127118">
        <w:t>.</w:t>
      </w:r>
      <w:r w:rsidRPr="00127118">
        <w:rPr>
          <w:i/>
          <w:iCs/>
        </w:rPr>
        <w:t xml:space="preserve">  </w:t>
      </w:r>
      <w:r w:rsidRPr="00127118">
        <w:t>We appreciate the commenter bringing their experience to our attention. While other commenters that requested the survey did not report that they experienced difficulty promptly obtaining the survey, we take this concern very seriously.  Moving forward, in addition to the contact information that has been provided, we will also</w:t>
      </w:r>
      <w:r w:rsidRPr="00127118">
        <w:rPr>
          <w:color w:val="FF0000"/>
        </w:rPr>
        <w:t xml:space="preserve"> </w:t>
      </w:r>
      <w:r w:rsidRPr="00127118">
        <w:t xml:space="preserve">include the email address of the research team, </w:t>
      </w:r>
      <w:hyperlink r:id="rId12" w:history="1">
        <w:r w:rsidRPr="00127118">
          <w:rPr>
            <w:rStyle w:val="Hyperlink"/>
          </w:rPr>
          <w:t>DTCResearch@fda.hhs.gov</w:t>
        </w:r>
      </w:hyperlink>
      <w:r w:rsidRPr="00127118">
        <w:t xml:space="preserve">, in all notices to facilitate obtaining  information collection instruments directly from the research team. </w:t>
      </w:r>
    </w:p>
    <w:p w14:paraId="73EF9A45" w14:textId="77777777" w:rsidR="00D557B0" w:rsidRDefault="00D557B0" w:rsidP="00A20F66">
      <w:pPr>
        <w:ind w:left="720"/>
        <w:rPr>
          <w:b/>
        </w:rPr>
      </w:pPr>
    </w:p>
    <w:p w14:paraId="339541F8" w14:textId="03371A10" w:rsidR="00403E23" w:rsidRPr="00B50462" w:rsidRDefault="00403E23" w:rsidP="00A20F66">
      <w:pPr>
        <w:ind w:left="720"/>
        <w:rPr>
          <w:rStyle w:val="Strong"/>
          <w:b w:val="0"/>
          <w:i/>
          <w:color w:val="333333"/>
          <w:lang w:val="en"/>
        </w:rPr>
      </w:pPr>
      <w:r w:rsidRPr="00B50462">
        <w:rPr>
          <w:b/>
        </w:rPr>
        <w:t>Comment 2b</w:t>
      </w:r>
      <w:r w:rsidRPr="00B50462">
        <w:t xml:space="preserve">:  The proposed HCP survey is duplicative of other information already collected by FDA, such as, the previous </w:t>
      </w:r>
      <w:r>
        <w:t>Healthcare Professional Survey of Prescription Drug Promotion (</w:t>
      </w:r>
      <w:r w:rsidRPr="00B50462">
        <w:t>HCP I survey</w:t>
      </w:r>
      <w:r>
        <w:t>)</w:t>
      </w:r>
      <w:r w:rsidRPr="00B50462">
        <w:t xml:space="preserve"> and a project referenced on the OPDP website</w:t>
      </w:r>
      <w:r w:rsidRPr="00B50462">
        <w:rPr>
          <w:rStyle w:val="FootnoteReference"/>
        </w:rPr>
        <w:footnoteReference w:id="4"/>
      </w:r>
      <w:r w:rsidRPr="00B50462">
        <w:t xml:space="preserve"> titled, </w:t>
      </w:r>
      <w:r w:rsidRPr="00A53DE3">
        <w:rPr>
          <w:i/>
        </w:rPr>
        <w:t>C</w:t>
      </w:r>
      <w:r w:rsidRPr="00405C74">
        <w:rPr>
          <w:rStyle w:val="Strong"/>
          <w:i/>
          <w:color w:val="333333"/>
          <w:lang w:val="en"/>
        </w:rPr>
        <w:t>linical Trial Data in Professional Prescription Drug Promotion</w:t>
      </w:r>
      <w:r w:rsidRPr="00C433A8">
        <w:rPr>
          <w:rStyle w:val="Strong"/>
          <w:i/>
          <w:color w:val="333333"/>
          <w:lang w:val="en"/>
        </w:rPr>
        <w:t>.</w:t>
      </w:r>
      <w:r w:rsidRPr="00B50462">
        <w:rPr>
          <w:rStyle w:val="Strong"/>
          <w:i/>
          <w:color w:val="333333"/>
          <w:lang w:val="en"/>
        </w:rPr>
        <w:t xml:space="preserve"> </w:t>
      </w:r>
    </w:p>
    <w:p w14:paraId="3BF75D30" w14:textId="77777777" w:rsidR="00D557B0" w:rsidRDefault="00D557B0" w:rsidP="00A20F66">
      <w:pPr>
        <w:ind w:left="720"/>
        <w:rPr>
          <w:b/>
        </w:rPr>
      </w:pPr>
    </w:p>
    <w:p w14:paraId="00108763" w14:textId="49FE4DB1" w:rsidR="00403E23" w:rsidRDefault="00403E23" w:rsidP="00A20F66">
      <w:pPr>
        <w:ind w:left="720"/>
      </w:pPr>
      <w:r w:rsidRPr="00B50462">
        <w:rPr>
          <w:b/>
        </w:rPr>
        <w:t>Response 2b</w:t>
      </w:r>
      <w:r w:rsidRPr="00B50462">
        <w:rPr>
          <w:i/>
        </w:rPr>
        <w:t xml:space="preserve">.  </w:t>
      </w:r>
      <w:r w:rsidRPr="00B50462">
        <w:t>The HCP I survey was conducted five years ago</w:t>
      </w:r>
      <w:r>
        <w:t xml:space="preserve"> (summer 2013)</w:t>
      </w:r>
      <w:r w:rsidRPr="00B50462">
        <w:t xml:space="preserve"> and focused </w:t>
      </w:r>
      <w:r>
        <w:t xml:space="preserve">mainly </w:t>
      </w:r>
      <w:r w:rsidRPr="00B50462">
        <w:t>on HCPs</w:t>
      </w:r>
      <w:r>
        <w:t>’</w:t>
      </w:r>
      <w:r w:rsidRPr="00B50462">
        <w:t xml:space="preserve"> attitudes toward direct-to-consumer (DTC) advertising and its role in their relationship with patients</w:t>
      </w:r>
      <w:r>
        <w:t xml:space="preserve"> (Refs. 2, 3)</w:t>
      </w:r>
      <w:r w:rsidRPr="00B50462">
        <w:t xml:space="preserve">. The current HCP II survey focuses on promotions directed at healthcare professionals. The existence of some overlapping questions does not constitute in itself a duplicative effort, as there is often a need to compare responses at multiple time points for comprehensive analysis of the issues at hand. Many federally funded national surveys ask the same or similar questions at multiple time points to detect changes and identify trends over time.  </w:t>
      </w:r>
    </w:p>
    <w:p w14:paraId="008F743D" w14:textId="77777777" w:rsidR="00D557B0" w:rsidRDefault="00D557B0" w:rsidP="00D557B0">
      <w:pPr>
        <w:rPr>
          <w:rStyle w:val="Strong"/>
          <w:lang w:val="en"/>
        </w:rPr>
      </w:pPr>
    </w:p>
    <w:p w14:paraId="15268E99" w14:textId="1BBEC4C5" w:rsidR="00403E23" w:rsidRPr="00D557B0" w:rsidRDefault="00403E23" w:rsidP="00A20F66">
      <w:pPr>
        <w:ind w:left="720"/>
        <w:rPr>
          <w:rStyle w:val="Strong"/>
          <w:b w:val="0"/>
          <w:lang w:val="en"/>
        </w:rPr>
      </w:pPr>
      <w:r w:rsidRPr="00D557B0">
        <w:rPr>
          <w:rStyle w:val="Strong"/>
          <w:b w:val="0"/>
          <w:lang w:val="en"/>
        </w:rPr>
        <w:t xml:space="preserve">We also note the study referenced on the OPDP website is qualitative research with a small non-representative sample, so the design differs considerably from this proposed study. Having multiple studies focusing on differing aspects of a phenomenon, using differing designs and modes, is in accordance with OMB standards to avoid unnecessary duplication of research efforts. </w:t>
      </w:r>
    </w:p>
    <w:p w14:paraId="168EFF05" w14:textId="77777777" w:rsidR="00D557B0" w:rsidRDefault="00D557B0" w:rsidP="00A20F66">
      <w:pPr>
        <w:autoSpaceDE w:val="0"/>
        <w:autoSpaceDN w:val="0"/>
        <w:adjustRightInd w:val="0"/>
        <w:ind w:left="720"/>
        <w:rPr>
          <w:rStyle w:val="Strong"/>
          <w:lang w:val="en"/>
        </w:rPr>
      </w:pPr>
    </w:p>
    <w:p w14:paraId="03394ED1" w14:textId="1A6B0441" w:rsidR="00403E23" w:rsidRPr="009C15B9" w:rsidRDefault="00403E23" w:rsidP="00A20F66">
      <w:pPr>
        <w:autoSpaceDE w:val="0"/>
        <w:autoSpaceDN w:val="0"/>
        <w:adjustRightInd w:val="0"/>
        <w:ind w:left="720"/>
      </w:pPr>
      <w:r w:rsidRPr="009C15B9">
        <w:rPr>
          <w:rStyle w:val="Strong"/>
          <w:lang w:val="en"/>
        </w:rPr>
        <w:t xml:space="preserve">Comment 2c: </w:t>
      </w:r>
      <w:r w:rsidRPr="00D557B0">
        <w:rPr>
          <w:rStyle w:val="Strong"/>
          <w:b w:val="0"/>
          <w:lang w:val="en"/>
        </w:rPr>
        <w:t>The commenter recommends that FDA ask</w:t>
      </w:r>
      <w:r w:rsidRPr="009C15B9">
        <w:rPr>
          <w:rStyle w:val="Strong"/>
          <w:lang w:val="en"/>
        </w:rPr>
        <w:t xml:space="preserve"> </w:t>
      </w:r>
      <w:r w:rsidRPr="009C15B9">
        <w:t>questions</w:t>
      </w:r>
      <w:r>
        <w:t xml:space="preserve"> </w:t>
      </w:r>
      <w:r w:rsidRPr="009C15B9">
        <w:t>about non-opioid analgesic options, medication-assisted treatment (MAT) for opioid deterrence, and opioid</w:t>
      </w:r>
      <w:r>
        <w:t xml:space="preserve"> </w:t>
      </w:r>
      <w:r w:rsidRPr="009C15B9">
        <w:t>overdose-reversal agents. By asking about this broader range of treatments, the survey would be consistent</w:t>
      </w:r>
    </w:p>
    <w:p w14:paraId="489150C8" w14:textId="77777777" w:rsidR="00403E23" w:rsidRPr="00EC29E7" w:rsidRDefault="00403E23" w:rsidP="00A20F66">
      <w:pPr>
        <w:autoSpaceDE w:val="0"/>
        <w:autoSpaceDN w:val="0"/>
        <w:adjustRightInd w:val="0"/>
        <w:ind w:left="720"/>
      </w:pPr>
      <w:r w:rsidRPr="009C15B9">
        <w:t>with the Administration’s emphasis on the whole range of medical advances that can help address the opioid</w:t>
      </w:r>
      <w:r>
        <w:t xml:space="preserve"> </w:t>
      </w:r>
      <w:r w:rsidRPr="00EC29E7">
        <w:t>crisis</w:t>
      </w:r>
      <w:r>
        <w:t>.</w:t>
      </w:r>
    </w:p>
    <w:p w14:paraId="7735C13F" w14:textId="77777777" w:rsidR="00D557B0" w:rsidRDefault="00D557B0" w:rsidP="00A20F66">
      <w:pPr>
        <w:ind w:left="720"/>
        <w:rPr>
          <w:rStyle w:val="Strong"/>
          <w:color w:val="333333"/>
          <w:lang w:val="en"/>
        </w:rPr>
      </w:pPr>
    </w:p>
    <w:p w14:paraId="09D4DA6D" w14:textId="06DA13C9" w:rsidR="00403E23" w:rsidRPr="00D557B0" w:rsidRDefault="00403E23" w:rsidP="00A20F66">
      <w:pPr>
        <w:ind w:left="720"/>
        <w:rPr>
          <w:rStyle w:val="Strong"/>
          <w:b w:val="0"/>
          <w:color w:val="333333"/>
          <w:lang w:val="en"/>
        </w:rPr>
      </w:pPr>
      <w:r w:rsidRPr="00EC29E7">
        <w:rPr>
          <w:rStyle w:val="Strong"/>
          <w:color w:val="333333"/>
          <w:lang w:val="en"/>
        </w:rPr>
        <w:t>Response 2c</w:t>
      </w:r>
      <w:r>
        <w:rPr>
          <w:rStyle w:val="Strong"/>
          <w:color w:val="333333"/>
          <w:lang w:val="en"/>
        </w:rPr>
        <w:t xml:space="preserve">: </w:t>
      </w:r>
      <w:r w:rsidRPr="00D557B0">
        <w:rPr>
          <w:rStyle w:val="Strong"/>
          <w:b w:val="0"/>
          <w:color w:val="333333"/>
          <w:lang w:val="en"/>
        </w:rPr>
        <w:t>We have added a question to address references to these medical advances in prescription drug promotion.</w:t>
      </w:r>
    </w:p>
    <w:p w14:paraId="0F2EC450" w14:textId="77777777" w:rsidR="00D557B0" w:rsidRDefault="00D557B0" w:rsidP="00A20F66">
      <w:pPr>
        <w:widowControl w:val="0"/>
        <w:tabs>
          <w:tab w:val="left" w:pos="824"/>
          <w:tab w:val="left" w:pos="825"/>
        </w:tabs>
        <w:autoSpaceDE w:val="0"/>
        <w:autoSpaceDN w:val="0"/>
        <w:ind w:left="720" w:right="325"/>
        <w:rPr>
          <w:b/>
        </w:rPr>
      </w:pPr>
    </w:p>
    <w:p w14:paraId="45CC50BA" w14:textId="6443916C" w:rsidR="00403E23" w:rsidRPr="00B50462" w:rsidRDefault="00403E23" w:rsidP="00A20F66">
      <w:pPr>
        <w:widowControl w:val="0"/>
        <w:tabs>
          <w:tab w:val="left" w:pos="824"/>
          <w:tab w:val="left" w:pos="825"/>
        </w:tabs>
        <w:autoSpaceDE w:val="0"/>
        <w:autoSpaceDN w:val="0"/>
        <w:ind w:left="720" w:right="325"/>
      </w:pPr>
      <w:r w:rsidRPr="00B31970">
        <w:rPr>
          <w:b/>
        </w:rPr>
        <w:t>Comment 2</w:t>
      </w:r>
      <w:r>
        <w:rPr>
          <w:b/>
        </w:rPr>
        <w:t>d</w:t>
      </w:r>
      <w:r w:rsidRPr="00B50462">
        <w:t xml:space="preserve">: </w:t>
      </w:r>
      <w:r w:rsidRPr="00B50462">
        <w:rPr>
          <w:b/>
        </w:rPr>
        <w:t xml:space="preserve"> </w:t>
      </w:r>
      <w:r w:rsidRPr="00B50462">
        <w:t>We recommend that FDA amend Q1b to ask how closely HCPs read different types of advertisements (e.g., advertisement for new products, or for products related to the HCPs</w:t>
      </w:r>
      <w:r w:rsidRPr="00B50462">
        <w:rPr>
          <w:spacing w:val="-1"/>
        </w:rPr>
        <w:t xml:space="preserve"> </w:t>
      </w:r>
      <w:r w:rsidRPr="00B50462">
        <w:t>practice).</w:t>
      </w:r>
    </w:p>
    <w:p w14:paraId="4D5D2004" w14:textId="77777777" w:rsidR="00D557B0" w:rsidRDefault="00D557B0" w:rsidP="00A20F66">
      <w:pPr>
        <w:pStyle w:val="BodyText"/>
        <w:ind w:left="720"/>
        <w:rPr>
          <w:b/>
        </w:rPr>
      </w:pPr>
    </w:p>
    <w:p w14:paraId="4A41D433" w14:textId="102DF001" w:rsidR="00403E23" w:rsidRPr="00B50462" w:rsidRDefault="00403E23" w:rsidP="00A20F66">
      <w:pPr>
        <w:pStyle w:val="BodyText"/>
        <w:ind w:left="720"/>
      </w:pPr>
      <w:r w:rsidRPr="00B31970">
        <w:rPr>
          <w:b/>
        </w:rPr>
        <w:t>Response 2</w:t>
      </w:r>
      <w:r>
        <w:rPr>
          <w:b/>
        </w:rPr>
        <w:t>d</w:t>
      </w:r>
      <w:r w:rsidRPr="00B31970">
        <w:t>:</w:t>
      </w:r>
      <w:r w:rsidRPr="00B50462">
        <w:t xml:space="preserve"> </w:t>
      </w:r>
      <w:r>
        <w:t>We have replaced Q1b with two questions to capture how closely HCPs read the suggested types of advertisements.  One will ask about advertisements for new products and one will ask about advertisements for products related to the HCP’s practice.</w:t>
      </w:r>
      <w:r w:rsidRPr="00B50462">
        <w:t xml:space="preserve">    </w:t>
      </w:r>
    </w:p>
    <w:p w14:paraId="5A768031" w14:textId="77777777" w:rsidR="00403E23" w:rsidRPr="00B50462" w:rsidRDefault="00403E23" w:rsidP="00A20F66">
      <w:pPr>
        <w:widowControl w:val="0"/>
        <w:tabs>
          <w:tab w:val="left" w:pos="824"/>
          <w:tab w:val="left" w:pos="825"/>
        </w:tabs>
        <w:autoSpaceDE w:val="0"/>
        <w:autoSpaceDN w:val="0"/>
        <w:ind w:left="720" w:right="414"/>
      </w:pPr>
      <w:r w:rsidRPr="00772911">
        <w:rPr>
          <w:b/>
        </w:rPr>
        <w:t>Comment 2</w:t>
      </w:r>
      <w:r>
        <w:rPr>
          <w:b/>
        </w:rPr>
        <w:t>e</w:t>
      </w:r>
      <w:r w:rsidRPr="00B50462">
        <w:t>:</w:t>
      </w:r>
      <w:r w:rsidRPr="00B50462">
        <w:rPr>
          <w:b/>
        </w:rPr>
        <w:t xml:space="preserve"> </w:t>
      </w:r>
      <w:r w:rsidRPr="00B50462">
        <w:t>W</w:t>
      </w:r>
      <w:r w:rsidRPr="00B50462">
        <w:rPr>
          <w:b/>
        </w:rPr>
        <w:t xml:space="preserve">e </w:t>
      </w:r>
      <w:r w:rsidRPr="00B50462">
        <w:t>recommend that FDA reword Q</w:t>
      </w:r>
      <w:r>
        <w:t>2</w:t>
      </w:r>
      <w:r w:rsidRPr="00B50462">
        <w:t xml:space="preserve"> to avoid the ambiguous term “commercial.” Specifically, we recommend FDA revise the question to read as follows: “How often do you visit product-specific or manufacturer-sponsored </w:t>
      </w:r>
      <w:r w:rsidRPr="00B50462">
        <w:rPr>
          <w:b/>
          <w:strike/>
        </w:rPr>
        <w:t>commercial</w:t>
      </w:r>
      <w:r w:rsidRPr="00B50462">
        <w:rPr>
          <w:b/>
        </w:rPr>
        <w:t xml:space="preserve"> </w:t>
      </w:r>
      <w:r w:rsidRPr="00B50462">
        <w:t>prescription drug product websites, such as</w:t>
      </w:r>
      <w:r w:rsidRPr="00B50462">
        <w:rPr>
          <w:spacing w:val="-8"/>
        </w:rPr>
        <w:t xml:space="preserve"> </w:t>
      </w:r>
      <w:r w:rsidRPr="00B50462">
        <w:t>lipitor.com?”</w:t>
      </w:r>
    </w:p>
    <w:p w14:paraId="4FF87151" w14:textId="77777777" w:rsidR="00D557B0" w:rsidRDefault="00D557B0" w:rsidP="00403E23">
      <w:pPr>
        <w:pStyle w:val="BodyText"/>
        <w:rPr>
          <w:b/>
        </w:rPr>
      </w:pPr>
    </w:p>
    <w:p w14:paraId="0F20C593" w14:textId="08A22880" w:rsidR="00403E23" w:rsidRPr="00B50462" w:rsidRDefault="00403E23" w:rsidP="00A20F66">
      <w:pPr>
        <w:pStyle w:val="BodyText"/>
        <w:ind w:left="720"/>
      </w:pPr>
      <w:r w:rsidRPr="00772911">
        <w:rPr>
          <w:b/>
        </w:rPr>
        <w:t>Response 2</w:t>
      </w:r>
      <w:r>
        <w:rPr>
          <w:b/>
        </w:rPr>
        <w:t>e</w:t>
      </w:r>
      <w:r w:rsidRPr="00B50462">
        <w:rPr>
          <w:i/>
        </w:rPr>
        <w:t>.</w:t>
      </w:r>
      <w:r w:rsidRPr="00B50462">
        <w:t xml:space="preserve"> In cognitive testing conducted to develop this survey, the word “commercial” was easily understood by respondents and is needed in this question to differentiate it from “reference” websites in the subsequent question.</w:t>
      </w:r>
    </w:p>
    <w:p w14:paraId="77484FD9" w14:textId="77777777" w:rsidR="00403E23" w:rsidRPr="00B50462" w:rsidRDefault="00403E23" w:rsidP="00A20F66">
      <w:pPr>
        <w:widowControl w:val="0"/>
        <w:tabs>
          <w:tab w:val="left" w:pos="824"/>
          <w:tab w:val="left" w:pos="825"/>
        </w:tabs>
        <w:autoSpaceDE w:val="0"/>
        <w:autoSpaceDN w:val="0"/>
        <w:ind w:left="720" w:right="134"/>
      </w:pPr>
      <w:bookmarkStart w:id="1" w:name="_Question_2:_PhRMA_recommends_that_FDA_"/>
      <w:bookmarkEnd w:id="1"/>
      <w:r w:rsidRPr="00772911">
        <w:rPr>
          <w:b/>
        </w:rPr>
        <w:t>Comment 2</w:t>
      </w:r>
      <w:r>
        <w:rPr>
          <w:b/>
        </w:rPr>
        <w:t>f</w:t>
      </w:r>
      <w:r w:rsidRPr="00B50462">
        <w:t>: We recommend that FDA include a new question under Q2 (i.e., 2a) that is similar to 3b (i.e., that asks how closely the HCP usually reads the prescription drug websites it</w:t>
      </w:r>
      <w:r w:rsidRPr="00B50462">
        <w:rPr>
          <w:spacing w:val="-32"/>
        </w:rPr>
        <w:t xml:space="preserve"> </w:t>
      </w:r>
      <w:r w:rsidRPr="00B50462">
        <w:t>visits).</w:t>
      </w:r>
    </w:p>
    <w:p w14:paraId="3097DD73" w14:textId="77777777" w:rsidR="00D557B0" w:rsidRDefault="00D557B0" w:rsidP="00A20F66">
      <w:pPr>
        <w:widowControl w:val="0"/>
        <w:tabs>
          <w:tab w:val="left" w:pos="824"/>
          <w:tab w:val="left" w:pos="825"/>
        </w:tabs>
        <w:autoSpaceDE w:val="0"/>
        <w:autoSpaceDN w:val="0"/>
        <w:ind w:left="720" w:right="341"/>
        <w:rPr>
          <w:b/>
        </w:rPr>
      </w:pPr>
      <w:bookmarkStart w:id="2" w:name="_Question_5a:_PhRMA_recommends_that_FDA"/>
      <w:bookmarkEnd w:id="2"/>
    </w:p>
    <w:p w14:paraId="2C2C218F" w14:textId="092020D2" w:rsidR="00403E23" w:rsidRPr="00B50462" w:rsidRDefault="00403E23" w:rsidP="00A20F66">
      <w:pPr>
        <w:widowControl w:val="0"/>
        <w:tabs>
          <w:tab w:val="left" w:pos="824"/>
          <w:tab w:val="left" w:pos="825"/>
        </w:tabs>
        <w:autoSpaceDE w:val="0"/>
        <w:autoSpaceDN w:val="0"/>
        <w:ind w:left="720" w:right="341"/>
      </w:pPr>
      <w:r w:rsidRPr="00772911">
        <w:rPr>
          <w:b/>
        </w:rPr>
        <w:t>Response 2</w:t>
      </w:r>
      <w:r>
        <w:rPr>
          <w:b/>
        </w:rPr>
        <w:t>f</w:t>
      </w:r>
      <w:r w:rsidRPr="00B50462">
        <w:rPr>
          <w:i/>
        </w:rPr>
        <w:t>.</w:t>
      </w:r>
      <w:r w:rsidRPr="00B50462">
        <w:t xml:space="preserve">  We </w:t>
      </w:r>
      <w:r>
        <w:t xml:space="preserve">have </w:t>
      </w:r>
      <w:r w:rsidRPr="00B50462">
        <w:t>add</w:t>
      </w:r>
      <w:r>
        <w:t>ed</w:t>
      </w:r>
      <w:r w:rsidRPr="00B50462">
        <w:t xml:space="preserve"> this question.</w:t>
      </w:r>
    </w:p>
    <w:p w14:paraId="1298DBF7" w14:textId="77777777" w:rsidR="00D557B0" w:rsidRDefault="00D557B0" w:rsidP="00A20F66">
      <w:pPr>
        <w:widowControl w:val="0"/>
        <w:tabs>
          <w:tab w:val="left" w:pos="824"/>
          <w:tab w:val="left" w:pos="825"/>
        </w:tabs>
        <w:autoSpaceDE w:val="0"/>
        <w:autoSpaceDN w:val="0"/>
        <w:ind w:left="720" w:right="341"/>
        <w:rPr>
          <w:b/>
        </w:rPr>
      </w:pPr>
    </w:p>
    <w:p w14:paraId="341029D1" w14:textId="4D17515B" w:rsidR="00403E23" w:rsidRPr="00B50462" w:rsidRDefault="00403E23" w:rsidP="00A20F66">
      <w:pPr>
        <w:widowControl w:val="0"/>
        <w:tabs>
          <w:tab w:val="left" w:pos="824"/>
          <w:tab w:val="left" w:pos="825"/>
        </w:tabs>
        <w:autoSpaceDE w:val="0"/>
        <w:autoSpaceDN w:val="0"/>
        <w:ind w:left="720" w:right="341"/>
      </w:pPr>
      <w:r w:rsidRPr="00772911">
        <w:rPr>
          <w:b/>
        </w:rPr>
        <w:t>Comment 2</w:t>
      </w:r>
      <w:r>
        <w:rPr>
          <w:b/>
        </w:rPr>
        <w:t>g</w:t>
      </w:r>
      <w:r w:rsidRPr="00B50462">
        <w:t>: We recommend that FDA clarify whether Q5a applies only to in-person visits from pharmaceutical sales</w:t>
      </w:r>
      <w:r w:rsidRPr="00B50462">
        <w:rPr>
          <w:spacing w:val="-11"/>
        </w:rPr>
        <w:t xml:space="preserve"> </w:t>
      </w:r>
      <w:r w:rsidRPr="00B50462">
        <w:t>representatives.</w:t>
      </w:r>
    </w:p>
    <w:p w14:paraId="360410CC" w14:textId="77777777" w:rsidR="00D557B0" w:rsidRDefault="00D557B0" w:rsidP="00403E23">
      <w:pPr>
        <w:pStyle w:val="BodyText"/>
        <w:rPr>
          <w:b/>
        </w:rPr>
      </w:pPr>
    </w:p>
    <w:p w14:paraId="6B20F99C" w14:textId="0D3B4649" w:rsidR="00403E23" w:rsidRPr="00B50462" w:rsidRDefault="00403E23" w:rsidP="00A20F66">
      <w:pPr>
        <w:pStyle w:val="BodyText"/>
        <w:ind w:left="720"/>
      </w:pPr>
      <w:r w:rsidRPr="00772911">
        <w:rPr>
          <w:b/>
        </w:rPr>
        <w:t xml:space="preserve">Response </w:t>
      </w:r>
      <w:r>
        <w:rPr>
          <w:b/>
        </w:rPr>
        <w:t>2g</w:t>
      </w:r>
      <w:r w:rsidRPr="00B50462">
        <w:rPr>
          <w:i/>
        </w:rPr>
        <w:t>.</w:t>
      </w:r>
      <w:r w:rsidRPr="00B50462">
        <w:t xml:space="preserve"> </w:t>
      </w:r>
      <w:r>
        <w:t>D</w:t>
      </w:r>
      <w:r w:rsidRPr="00B50462">
        <w:t xml:space="preserve">uring cognitive interviews, respondents had no difficulty understanding </w:t>
      </w:r>
      <w:r>
        <w:t xml:space="preserve">that </w:t>
      </w:r>
      <w:r w:rsidRPr="00B50462">
        <w:t xml:space="preserve">question </w:t>
      </w:r>
      <w:r>
        <w:t xml:space="preserve">5a </w:t>
      </w:r>
      <w:r w:rsidRPr="00B50462">
        <w:t xml:space="preserve">was asking only about in-person visits. </w:t>
      </w:r>
      <w:r>
        <w:t>However, we have revised the question to read, “How often do pharmaceutical representatives bring promotional materials to your practice?” to clarify that the question refers to in-person visits</w:t>
      </w:r>
      <w:r w:rsidRPr="00B50462">
        <w:t>.</w:t>
      </w:r>
    </w:p>
    <w:p w14:paraId="442A52D7" w14:textId="77777777" w:rsidR="00D557B0" w:rsidRDefault="00D557B0" w:rsidP="00A20F66">
      <w:pPr>
        <w:widowControl w:val="0"/>
        <w:tabs>
          <w:tab w:val="left" w:pos="824"/>
          <w:tab w:val="left" w:pos="825"/>
        </w:tabs>
        <w:autoSpaceDE w:val="0"/>
        <w:autoSpaceDN w:val="0"/>
        <w:ind w:left="720" w:right="239"/>
        <w:rPr>
          <w:b/>
        </w:rPr>
      </w:pPr>
      <w:bookmarkStart w:id="3" w:name="_Question_5b:_PhRMA_recommends_that_FDA"/>
      <w:bookmarkEnd w:id="3"/>
    </w:p>
    <w:p w14:paraId="6B14C8D6" w14:textId="55053760" w:rsidR="00403E23" w:rsidRPr="00B50462" w:rsidRDefault="00403E23" w:rsidP="00A20F66">
      <w:pPr>
        <w:widowControl w:val="0"/>
        <w:tabs>
          <w:tab w:val="left" w:pos="824"/>
          <w:tab w:val="left" w:pos="825"/>
        </w:tabs>
        <w:autoSpaceDE w:val="0"/>
        <w:autoSpaceDN w:val="0"/>
        <w:ind w:left="720" w:right="239"/>
      </w:pPr>
      <w:r w:rsidRPr="00772911">
        <w:rPr>
          <w:b/>
        </w:rPr>
        <w:t>Comment 2</w:t>
      </w:r>
      <w:r>
        <w:rPr>
          <w:b/>
        </w:rPr>
        <w:t>h</w:t>
      </w:r>
      <w:r w:rsidRPr="00B50462">
        <w:t>: We recommend that FDA delete responses 2 (“Lunch for staff”) and 7 (“Personal use item”) from</w:t>
      </w:r>
      <w:r>
        <w:t xml:space="preserve"> </w:t>
      </w:r>
      <w:r w:rsidRPr="00B50462">
        <w:t>Q5b. It is not clear how these topics relate to FDA’s jurisdiction. Other agencies of</w:t>
      </w:r>
      <w:r w:rsidRPr="00B50462">
        <w:rPr>
          <w:spacing w:val="-18"/>
        </w:rPr>
        <w:t xml:space="preserve"> </w:t>
      </w:r>
      <w:r w:rsidRPr="00B50462">
        <w:t>the Department of Health and Human Services, not FDA, regulate such practices. In addition, these responses do not seem to fall within the stated scope of the survey.</w:t>
      </w:r>
    </w:p>
    <w:p w14:paraId="1A3722FB" w14:textId="77777777" w:rsidR="00D557B0" w:rsidRDefault="00D557B0" w:rsidP="00A20F66">
      <w:pPr>
        <w:pStyle w:val="BodyText"/>
        <w:ind w:left="720"/>
        <w:rPr>
          <w:b/>
        </w:rPr>
      </w:pPr>
    </w:p>
    <w:p w14:paraId="17699AA1" w14:textId="26B8CA57" w:rsidR="00403E23" w:rsidRPr="00B50462" w:rsidRDefault="00403E23" w:rsidP="00A20F66">
      <w:pPr>
        <w:pStyle w:val="BodyText"/>
        <w:ind w:left="720"/>
      </w:pPr>
      <w:r w:rsidRPr="00772911">
        <w:rPr>
          <w:b/>
        </w:rPr>
        <w:t>Response 2</w:t>
      </w:r>
      <w:r>
        <w:rPr>
          <w:b/>
        </w:rPr>
        <w:t>h</w:t>
      </w:r>
      <w:r w:rsidRPr="00B50462">
        <w:rPr>
          <w:i/>
        </w:rPr>
        <w:t>.</w:t>
      </w:r>
      <w:r w:rsidRPr="00B50462">
        <w:t xml:space="preserve"> We have made a minor change to this question by replacing “lunch for staff” with “food and beverages.” The survey includes questions about the various types of prescription drug promotions and promotional practices that HCPs might be exposed to. To fully understand promotional practices, we also need to know what pharmaceutical representatives provide HCPs during an in-person visit.</w:t>
      </w:r>
    </w:p>
    <w:p w14:paraId="1D06F7AE" w14:textId="77777777" w:rsidR="00D557B0" w:rsidRDefault="00D557B0" w:rsidP="00A20F66">
      <w:pPr>
        <w:widowControl w:val="0"/>
        <w:tabs>
          <w:tab w:val="left" w:pos="824"/>
          <w:tab w:val="left" w:pos="825"/>
        </w:tabs>
        <w:autoSpaceDE w:val="0"/>
        <w:autoSpaceDN w:val="0"/>
        <w:ind w:left="720" w:right="478"/>
        <w:rPr>
          <w:b/>
        </w:rPr>
      </w:pPr>
    </w:p>
    <w:p w14:paraId="495DC0B8" w14:textId="4742BE95" w:rsidR="00403E23" w:rsidRPr="00B50462" w:rsidRDefault="00403E23" w:rsidP="00A20F66">
      <w:pPr>
        <w:widowControl w:val="0"/>
        <w:tabs>
          <w:tab w:val="left" w:pos="824"/>
          <w:tab w:val="left" w:pos="825"/>
        </w:tabs>
        <w:autoSpaceDE w:val="0"/>
        <w:autoSpaceDN w:val="0"/>
        <w:ind w:left="720" w:right="478"/>
      </w:pPr>
      <w:r w:rsidRPr="00772911">
        <w:rPr>
          <w:b/>
        </w:rPr>
        <w:t>Comment 2</w:t>
      </w:r>
      <w:r>
        <w:rPr>
          <w:b/>
        </w:rPr>
        <w:t>i</w:t>
      </w:r>
      <w:r w:rsidRPr="00B50462">
        <w:t>: We recommend that FDA clarify what is meant by the term “conference” in Q6.</w:t>
      </w:r>
    </w:p>
    <w:p w14:paraId="29C214DF" w14:textId="77777777" w:rsidR="00D557B0" w:rsidRDefault="00D557B0" w:rsidP="00A20F66">
      <w:pPr>
        <w:ind w:left="720"/>
        <w:rPr>
          <w:b/>
        </w:rPr>
      </w:pPr>
      <w:bookmarkStart w:id="4" w:name="_Question_7:_PhRMA_recommends_deleting_"/>
      <w:bookmarkEnd w:id="4"/>
    </w:p>
    <w:p w14:paraId="2CB72F75" w14:textId="6696297A" w:rsidR="00403E23" w:rsidRPr="00B50462" w:rsidRDefault="00403E23" w:rsidP="00A20F66">
      <w:pPr>
        <w:ind w:left="720"/>
      </w:pPr>
      <w:r w:rsidRPr="00772911">
        <w:rPr>
          <w:b/>
        </w:rPr>
        <w:t>Response 2</w:t>
      </w:r>
      <w:r>
        <w:rPr>
          <w:b/>
        </w:rPr>
        <w:t>i</w:t>
      </w:r>
      <w:r w:rsidRPr="00B50462">
        <w:rPr>
          <w:i/>
        </w:rPr>
        <w:t>.</w:t>
      </w:r>
      <w:r w:rsidRPr="00B50462">
        <w:t xml:space="preserve">  </w:t>
      </w:r>
      <w:r>
        <w:t>We have</w:t>
      </w:r>
      <w:r w:rsidRPr="00B50462">
        <w:t xml:space="preserve"> revised </w:t>
      </w:r>
      <w:r>
        <w:t xml:space="preserve">the </w:t>
      </w:r>
      <w:r w:rsidRPr="00B50462">
        <w:t xml:space="preserve">survey </w:t>
      </w:r>
      <w:r>
        <w:t>to</w:t>
      </w:r>
      <w:r w:rsidRPr="00B50462">
        <w:t xml:space="preserve"> ask </w:t>
      </w:r>
      <w:r>
        <w:t xml:space="preserve">separate questions </w:t>
      </w:r>
      <w:r w:rsidRPr="00B50462">
        <w:t>about “pharmaceutical dinner meetings” and “professional conferences.” This distinction should make the meaning of professional conference clear.</w:t>
      </w:r>
    </w:p>
    <w:p w14:paraId="5762230E" w14:textId="77777777" w:rsidR="00D557B0" w:rsidRDefault="00D557B0" w:rsidP="00A20F66">
      <w:pPr>
        <w:widowControl w:val="0"/>
        <w:tabs>
          <w:tab w:val="left" w:pos="824"/>
          <w:tab w:val="left" w:pos="825"/>
        </w:tabs>
        <w:autoSpaceDE w:val="0"/>
        <w:autoSpaceDN w:val="0"/>
        <w:ind w:left="720" w:right="1153"/>
        <w:rPr>
          <w:b/>
        </w:rPr>
      </w:pPr>
    </w:p>
    <w:p w14:paraId="0AA46277" w14:textId="15A789E7" w:rsidR="00403E23" w:rsidRPr="00B50462" w:rsidRDefault="00403E23" w:rsidP="00A20F66">
      <w:pPr>
        <w:widowControl w:val="0"/>
        <w:tabs>
          <w:tab w:val="left" w:pos="824"/>
          <w:tab w:val="left" w:pos="825"/>
        </w:tabs>
        <w:autoSpaceDE w:val="0"/>
        <w:autoSpaceDN w:val="0"/>
        <w:ind w:left="720" w:right="1153"/>
      </w:pPr>
      <w:r w:rsidRPr="00772911">
        <w:rPr>
          <w:b/>
        </w:rPr>
        <w:t>Comment 2</w:t>
      </w:r>
      <w:r>
        <w:rPr>
          <w:b/>
        </w:rPr>
        <w:t>j</w:t>
      </w:r>
      <w:r w:rsidRPr="00B50462">
        <w:t>: We recommend deleting Q7, as it ask</w:t>
      </w:r>
      <w:r>
        <w:t>s</w:t>
      </w:r>
      <w:r w:rsidRPr="00B50462">
        <w:t xml:space="preserve"> HCPs to speculate about colleagues’ perception of promotional</w:t>
      </w:r>
      <w:r w:rsidRPr="00B50462">
        <w:rPr>
          <w:spacing w:val="1"/>
        </w:rPr>
        <w:t xml:space="preserve"> </w:t>
      </w:r>
      <w:r w:rsidRPr="00B50462">
        <w:t>materials.</w:t>
      </w:r>
    </w:p>
    <w:p w14:paraId="57379AB2" w14:textId="77777777" w:rsidR="00D557B0" w:rsidRDefault="00D557B0" w:rsidP="00A20F66">
      <w:pPr>
        <w:ind w:left="720"/>
        <w:rPr>
          <w:b/>
        </w:rPr>
      </w:pPr>
    </w:p>
    <w:p w14:paraId="5F62233B" w14:textId="6AE7BC81" w:rsidR="00403E23" w:rsidRPr="00B50462" w:rsidRDefault="00403E23" w:rsidP="00A20F66">
      <w:pPr>
        <w:ind w:left="720"/>
      </w:pPr>
      <w:r w:rsidRPr="00772911">
        <w:rPr>
          <w:b/>
        </w:rPr>
        <w:t>Response 2</w:t>
      </w:r>
      <w:r>
        <w:rPr>
          <w:b/>
        </w:rPr>
        <w:t>j</w:t>
      </w:r>
      <w:r w:rsidRPr="00B50462">
        <w:t xml:space="preserve">. </w:t>
      </w:r>
      <w:bookmarkStart w:id="5" w:name="_Question_8:_PhRMA_recommends_that_resp"/>
      <w:bookmarkEnd w:id="5"/>
      <w:r w:rsidRPr="00B50462">
        <w:t>This question is designed to build on research literature which suggests that HCPs typically rate promotional materials as being more influential on colleagues than on themselves</w:t>
      </w:r>
      <w:r>
        <w:t xml:space="preserve"> (Refs. 17, 18)</w:t>
      </w:r>
      <w:r w:rsidRPr="00B50462">
        <w:t>.</w:t>
      </w:r>
      <w:r w:rsidRPr="00B50462">
        <w:rPr>
          <w:vertAlign w:val="superscript"/>
        </w:rPr>
        <w:t xml:space="preserve"> </w:t>
      </w:r>
      <w:r w:rsidRPr="00B50462">
        <w:t xml:space="preserve">Thus, we ask about the influence of promotional information for both colleagues and the respondent. We will randomize the presentation order of these two questions in the survey.  </w:t>
      </w:r>
    </w:p>
    <w:p w14:paraId="45BF2742" w14:textId="77777777" w:rsidR="00D557B0" w:rsidRDefault="00D557B0" w:rsidP="00A20F66">
      <w:pPr>
        <w:widowControl w:val="0"/>
        <w:tabs>
          <w:tab w:val="left" w:pos="824"/>
          <w:tab w:val="left" w:pos="825"/>
        </w:tabs>
        <w:autoSpaceDE w:val="0"/>
        <w:autoSpaceDN w:val="0"/>
        <w:ind w:left="720" w:right="141"/>
        <w:rPr>
          <w:b/>
        </w:rPr>
      </w:pPr>
    </w:p>
    <w:p w14:paraId="52EE6A85" w14:textId="0B3685FE" w:rsidR="00403E23" w:rsidRPr="00B50462" w:rsidRDefault="00403E23" w:rsidP="00A20F66">
      <w:pPr>
        <w:widowControl w:val="0"/>
        <w:tabs>
          <w:tab w:val="left" w:pos="824"/>
          <w:tab w:val="left" w:pos="825"/>
        </w:tabs>
        <w:autoSpaceDE w:val="0"/>
        <w:autoSpaceDN w:val="0"/>
        <w:ind w:left="720" w:right="141"/>
      </w:pPr>
      <w:r w:rsidRPr="00772911">
        <w:rPr>
          <w:b/>
        </w:rPr>
        <w:t>Comment 2</w:t>
      </w:r>
      <w:r>
        <w:rPr>
          <w:b/>
        </w:rPr>
        <w:t>k</w:t>
      </w:r>
      <w:r w:rsidRPr="00B50462">
        <w:t>: We recommend that response 3 for Q8 be amended to identify both the number and type of trials: “Number and type of trials</w:t>
      </w:r>
      <w:r w:rsidRPr="00B50462">
        <w:rPr>
          <w:spacing w:val="-6"/>
        </w:rPr>
        <w:t xml:space="preserve"> </w:t>
      </w:r>
      <w:r w:rsidRPr="00B50462">
        <w:t>conducted.”</w:t>
      </w:r>
    </w:p>
    <w:p w14:paraId="4C5DC29E" w14:textId="77777777" w:rsidR="00D557B0" w:rsidRDefault="00D557B0" w:rsidP="00A20F66">
      <w:pPr>
        <w:ind w:left="720"/>
        <w:rPr>
          <w:b/>
        </w:rPr>
      </w:pPr>
    </w:p>
    <w:p w14:paraId="1F795339" w14:textId="5151DB7A" w:rsidR="00403E23" w:rsidRPr="00E35153" w:rsidRDefault="00403E23" w:rsidP="00A20F66">
      <w:pPr>
        <w:ind w:left="720"/>
      </w:pPr>
      <w:r w:rsidRPr="008A2E7C">
        <w:rPr>
          <w:b/>
        </w:rPr>
        <w:t>Response 2k</w:t>
      </w:r>
      <w:r w:rsidRPr="008A2E7C">
        <w:rPr>
          <w:i/>
        </w:rPr>
        <w:t>.</w:t>
      </w:r>
      <w:r w:rsidRPr="008A2E7C">
        <w:t xml:space="preserve">  Including number and type of trials conducted as one response option will be confusing for respondents and we believe that type of trial is captured by the second response option: </w:t>
      </w:r>
      <w:r>
        <w:t>“</w:t>
      </w:r>
      <w:r w:rsidRPr="008A2E7C">
        <w:t>Study design (e.g., blinded or not, cohort study, length of trial, etc.)</w:t>
      </w:r>
      <w:r w:rsidRPr="00E35153">
        <w:t>.</w:t>
      </w:r>
      <w:r>
        <w:t>”</w:t>
      </w:r>
      <w:r w:rsidRPr="00E35153">
        <w:t xml:space="preserve"> </w:t>
      </w:r>
    </w:p>
    <w:p w14:paraId="4FDD4B97" w14:textId="77777777" w:rsidR="00D557B0" w:rsidRDefault="00D557B0" w:rsidP="00A20F66">
      <w:pPr>
        <w:widowControl w:val="0"/>
        <w:tabs>
          <w:tab w:val="left" w:pos="824"/>
          <w:tab w:val="left" w:pos="825"/>
        </w:tabs>
        <w:autoSpaceDE w:val="0"/>
        <w:autoSpaceDN w:val="0"/>
        <w:ind w:left="720" w:right="127"/>
        <w:rPr>
          <w:b/>
        </w:rPr>
      </w:pPr>
      <w:bookmarkStart w:id="6" w:name="_Question_18:_PhRMA_recommends_adding_t"/>
      <w:bookmarkEnd w:id="6"/>
    </w:p>
    <w:p w14:paraId="0C7A828F" w14:textId="4400056F" w:rsidR="00403E23" w:rsidRPr="00B50462" w:rsidRDefault="00403E23" w:rsidP="00A20F66">
      <w:pPr>
        <w:widowControl w:val="0"/>
        <w:tabs>
          <w:tab w:val="left" w:pos="824"/>
          <w:tab w:val="left" w:pos="825"/>
        </w:tabs>
        <w:autoSpaceDE w:val="0"/>
        <w:autoSpaceDN w:val="0"/>
        <w:ind w:left="720" w:right="127"/>
      </w:pPr>
      <w:r w:rsidRPr="00E35153">
        <w:rPr>
          <w:b/>
        </w:rPr>
        <w:t>Comment 2l</w:t>
      </w:r>
      <w:r w:rsidRPr="00E35153">
        <w:t>: We recommend adding the following language to Q18 to ensure consistent use</w:t>
      </w:r>
      <w:r w:rsidRPr="00B50462">
        <w:t xml:space="preserve"> throughout the survey: “How often do you prescribe a drug for conditions for which it is not approved </w:t>
      </w:r>
      <w:r w:rsidRPr="00B50462">
        <w:rPr>
          <w:u w:val="thick"/>
        </w:rPr>
        <w:t>(referred to as unapproved use</w:t>
      </w:r>
      <w:r w:rsidRPr="00B50462">
        <w:rPr>
          <w:spacing w:val="-4"/>
          <w:u w:val="thick"/>
        </w:rPr>
        <w:t xml:space="preserve"> </w:t>
      </w:r>
      <w:r w:rsidRPr="00B50462">
        <w:rPr>
          <w:u w:val="thick"/>
        </w:rPr>
        <w:t>below)</w:t>
      </w:r>
      <w:r w:rsidRPr="00B50462">
        <w:t>?” We also recommend amending Q20 to use the term “unapproved use” instead of “off-label use,” to correspond with question 19 and ensure consistent terminology throughout the survey.</w:t>
      </w:r>
    </w:p>
    <w:p w14:paraId="451D7525" w14:textId="77777777" w:rsidR="00D557B0" w:rsidRDefault="00D557B0" w:rsidP="00A20F66">
      <w:pPr>
        <w:pStyle w:val="BodyText"/>
        <w:ind w:left="720"/>
        <w:rPr>
          <w:b/>
        </w:rPr>
      </w:pPr>
    </w:p>
    <w:p w14:paraId="52EF5B0D" w14:textId="77A9B8A4" w:rsidR="00403E23" w:rsidRPr="00B50462" w:rsidRDefault="00403E23" w:rsidP="00A20F66">
      <w:pPr>
        <w:pStyle w:val="BodyText"/>
        <w:ind w:left="720"/>
      </w:pPr>
      <w:r w:rsidRPr="00C63ACE">
        <w:rPr>
          <w:b/>
        </w:rPr>
        <w:t xml:space="preserve">Response </w:t>
      </w:r>
      <w:r>
        <w:rPr>
          <w:b/>
        </w:rPr>
        <w:t>2l</w:t>
      </w:r>
      <w:r w:rsidRPr="00B50462">
        <w:t xml:space="preserve">. We determined through cognitive testing that HCPs are familiar with and use the term off-label use. The questions have been revised to use </w:t>
      </w:r>
      <w:r>
        <w:t>“</w:t>
      </w:r>
      <w:r w:rsidRPr="00B50462">
        <w:t>off-label use</w:t>
      </w:r>
      <w:r>
        <w:t>”</w:t>
      </w:r>
      <w:r w:rsidRPr="00B50462">
        <w:t xml:space="preserve"> for all three questions.</w:t>
      </w:r>
    </w:p>
    <w:p w14:paraId="7D1A893C" w14:textId="77777777" w:rsidR="00D557B0" w:rsidRDefault="00D557B0" w:rsidP="00A20F66">
      <w:pPr>
        <w:widowControl w:val="0"/>
        <w:tabs>
          <w:tab w:val="left" w:pos="824"/>
          <w:tab w:val="left" w:pos="825"/>
        </w:tabs>
        <w:autoSpaceDE w:val="0"/>
        <w:autoSpaceDN w:val="0"/>
        <w:ind w:left="720" w:right="414"/>
        <w:rPr>
          <w:b/>
        </w:rPr>
      </w:pPr>
      <w:bookmarkStart w:id="7" w:name="_Questions_20:_PhRMA_recommends_amendin"/>
      <w:bookmarkEnd w:id="7"/>
    </w:p>
    <w:p w14:paraId="4384D6EB" w14:textId="1623F92A" w:rsidR="00403E23" w:rsidRPr="00B50462" w:rsidRDefault="00403E23" w:rsidP="00A20F66">
      <w:pPr>
        <w:widowControl w:val="0"/>
        <w:tabs>
          <w:tab w:val="left" w:pos="824"/>
          <w:tab w:val="left" w:pos="825"/>
        </w:tabs>
        <w:autoSpaceDE w:val="0"/>
        <w:autoSpaceDN w:val="0"/>
        <w:ind w:left="720" w:right="414"/>
      </w:pPr>
      <w:r w:rsidRPr="00C63ACE">
        <w:rPr>
          <w:b/>
        </w:rPr>
        <w:t>Comment 2</w:t>
      </w:r>
      <w:r>
        <w:rPr>
          <w:b/>
        </w:rPr>
        <w:t>m</w:t>
      </w:r>
      <w:r w:rsidRPr="00B50462">
        <w:t>: We recommend deleting Q21, as HCPs perspectives on whether promotion of unapproved uses should be allowed presumes that HCPs know the existing regulatory framework. Moreover, the relevancy of this question is unclear given the stated research</w:t>
      </w:r>
      <w:r w:rsidRPr="00B50462">
        <w:rPr>
          <w:spacing w:val="-23"/>
        </w:rPr>
        <w:t xml:space="preserve"> </w:t>
      </w:r>
      <w:r w:rsidRPr="00B50462">
        <w:t>goals.</w:t>
      </w:r>
    </w:p>
    <w:p w14:paraId="3D3FEE2E" w14:textId="77777777" w:rsidR="00D557B0" w:rsidRDefault="00D557B0" w:rsidP="00A20F66">
      <w:pPr>
        <w:widowControl w:val="0"/>
        <w:tabs>
          <w:tab w:val="left" w:pos="824"/>
          <w:tab w:val="left" w:pos="825"/>
        </w:tabs>
        <w:autoSpaceDE w:val="0"/>
        <w:autoSpaceDN w:val="0"/>
        <w:ind w:left="720" w:right="414"/>
        <w:rPr>
          <w:b/>
        </w:rPr>
      </w:pPr>
    </w:p>
    <w:p w14:paraId="5A35BD00" w14:textId="7E0FBFD9" w:rsidR="00403E23" w:rsidRPr="00B50462" w:rsidRDefault="00403E23" w:rsidP="00A20F66">
      <w:pPr>
        <w:widowControl w:val="0"/>
        <w:tabs>
          <w:tab w:val="left" w:pos="824"/>
          <w:tab w:val="left" w:pos="825"/>
        </w:tabs>
        <w:autoSpaceDE w:val="0"/>
        <w:autoSpaceDN w:val="0"/>
        <w:ind w:left="720" w:right="414"/>
      </w:pPr>
      <w:r w:rsidRPr="00C63ACE">
        <w:rPr>
          <w:b/>
        </w:rPr>
        <w:t>Response 2</w:t>
      </w:r>
      <w:r>
        <w:rPr>
          <w:b/>
        </w:rPr>
        <w:t>m</w:t>
      </w:r>
      <w:r w:rsidRPr="00B50462">
        <w:t xml:space="preserve">: </w:t>
      </w:r>
      <w:r>
        <w:t>We have deleted this question.</w:t>
      </w:r>
      <w:r w:rsidRPr="00B50462">
        <w:t xml:space="preserve"> </w:t>
      </w:r>
    </w:p>
    <w:p w14:paraId="39982BD9" w14:textId="77777777" w:rsidR="00D557B0" w:rsidRDefault="00D557B0" w:rsidP="00A20F66">
      <w:pPr>
        <w:widowControl w:val="0"/>
        <w:tabs>
          <w:tab w:val="left" w:pos="824"/>
          <w:tab w:val="left" w:pos="825"/>
        </w:tabs>
        <w:autoSpaceDE w:val="0"/>
        <w:autoSpaceDN w:val="0"/>
        <w:ind w:left="720" w:right="128"/>
        <w:rPr>
          <w:b/>
        </w:rPr>
      </w:pPr>
    </w:p>
    <w:p w14:paraId="5AA09BB7" w14:textId="58A12869" w:rsidR="00403E23" w:rsidRPr="00B50462" w:rsidRDefault="00403E23" w:rsidP="00A20F66">
      <w:pPr>
        <w:widowControl w:val="0"/>
        <w:tabs>
          <w:tab w:val="left" w:pos="824"/>
          <w:tab w:val="left" w:pos="825"/>
        </w:tabs>
        <w:autoSpaceDE w:val="0"/>
        <w:autoSpaceDN w:val="0"/>
        <w:ind w:left="720" w:right="128"/>
      </w:pPr>
      <w:r w:rsidRPr="00C63ACE">
        <w:rPr>
          <w:b/>
        </w:rPr>
        <w:t>Comment 2</w:t>
      </w:r>
      <w:r>
        <w:rPr>
          <w:b/>
        </w:rPr>
        <w:t>n</w:t>
      </w:r>
      <w:r w:rsidRPr="00B50462">
        <w:t>: Q31 asks about the respondent’s Secondary Specialty. However, it is not clear from the survey if and where Primary Specialty is recorded; we recommend amending the survey to clearly identify the respondent’s Primary</w:t>
      </w:r>
      <w:r w:rsidRPr="00B50462">
        <w:rPr>
          <w:spacing w:val="-13"/>
        </w:rPr>
        <w:t xml:space="preserve"> </w:t>
      </w:r>
      <w:r w:rsidRPr="00B50462">
        <w:t>Specialty.</w:t>
      </w:r>
    </w:p>
    <w:p w14:paraId="584DA981" w14:textId="77777777" w:rsidR="00D557B0" w:rsidRDefault="00D557B0" w:rsidP="00A20F66">
      <w:pPr>
        <w:ind w:left="720"/>
        <w:rPr>
          <w:b/>
        </w:rPr>
      </w:pPr>
    </w:p>
    <w:p w14:paraId="5E8298D7" w14:textId="1DD6E64C" w:rsidR="00403E23" w:rsidRPr="00B50462" w:rsidRDefault="00403E23" w:rsidP="00A20F66">
      <w:pPr>
        <w:ind w:left="720"/>
      </w:pPr>
      <w:r w:rsidRPr="00C63ACE">
        <w:rPr>
          <w:b/>
        </w:rPr>
        <w:t>Response 2</w:t>
      </w:r>
      <w:r>
        <w:rPr>
          <w:b/>
        </w:rPr>
        <w:t>n</w:t>
      </w:r>
      <w:r w:rsidRPr="00C63ACE">
        <w:t>:</w:t>
      </w:r>
      <w:r>
        <w:t xml:space="preserve"> </w:t>
      </w:r>
      <w:r w:rsidRPr="00B50462">
        <w:t xml:space="preserve">Primary specialty is asked in the screener. We have removed the question about “secondary specialty” from the survey. </w:t>
      </w:r>
    </w:p>
    <w:p w14:paraId="0150D0B3" w14:textId="77777777" w:rsidR="00D557B0" w:rsidRDefault="00D557B0" w:rsidP="00A20F66">
      <w:pPr>
        <w:ind w:left="720"/>
      </w:pPr>
    </w:p>
    <w:p w14:paraId="532E5662" w14:textId="366CA709" w:rsidR="00403E23" w:rsidRDefault="00403E23" w:rsidP="00A20F66">
      <w:pPr>
        <w:ind w:left="720"/>
      </w:pPr>
      <w:r>
        <w:t>The third public comment responder had one comment, to which we have responded.</w:t>
      </w:r>
    </w:p>
    <w:p w14:paraId="39F5926E" w14:textId="77777777" w:rsidR="00D557B0" w:rsidRDefault="00D557B0" w:rsidP="00A20F66">
      <w:pPr>
        <w:ind w:left="720"/>
        <w:rPr>
          <w:b/>
        </w:rPr>
      </w:pPr>
    </w:p>
    <w:p w14:paraId="33B4C51E" w14:textId="146320FF" w:rsidR="00403E23" w:rsidRPr="00C63ACE" w:rsidRDefault="00403E23" w:rsidP="00A20F66">
      <w:pPr>
        <w:ind w:left="720"/>
      </w:pPr>
      <w:r w:rsidRPr="00C63ACE">
        <w:rPr>
          <w:b/>
        </w:rPr>
        <w:t>Comment 3a</w:t>
      </w:r>
      <w:r w:rsidRPr="00C63ACE">
        <w:t xml:space="preserve">:  We suggest adding questions to the survey about </w:t>
      </w:r>
      <w:r>
        <w:t xml:space="preserve">how </w:t>
      </w:r>
      <w:r w:rsidRPr="00C63ACE">
        <w:t>promotional materials and procedures address abuse deterrent formulations (ADF) for opioid products. Specifically, we suggest adding questions related to the following topic areas to assess HCPs</w:t>
      </w:r>
      <w:r>
        <w:t>’</w:t>
      </w:r>
      <w:r w:rsidRPr="00C63ACE">
        <w:t xml:space="preserve"> knowledge and understanding of these areas:  </w:t>
      </w:r>
    </w:p>
    <w:p w14:paraId="38FAEFBC" w14:textId="77777777" w:rsidR="00403E23" w:rsidRPr="00C63ACE" w:rsidRDefault="00403E23" w:rsidP="00A20F66">
      <w:pPr>
        <w:pStyle w:val="Default"/>
        <w:numPr>
          <w:ilvl w:val="0"/>
          <w:numId w:val="6"/>
        </w:numPr>
        <w:ind w:left="1440"/>
      </w:pPr>
      <w:r w:rsidRPr="00C63ACE">
        <w:t xml:space="preserve">That ADF products have not proven any less addictive than standard non-ADF formulations. </w:t>
      </w:r>
    </w:p>
    <w:p w14:paraId="0DCBBEFD" w14:textId="77777777" w:rsidR="00403E23" w:rsidRPr="00C63ACE" w:rsidRDefault="00403E23" w:rsidP="00A20F66">
      <w:pPr>
        <w:pStyle w:val="Default"/>
        <w:numPr>
          <w:ilvl w:val="0"/>
          <w:numId w:val="6"/>
        </w:numPr>
        <w:ind w:left="1440"/>
      </w:pPr>
      <w:r w:rsidRPr="00C63ACE">
        <w:t xml:space="preserve">That the potential for patient harm from dose-dependent misuse of ADF Products (e.g., adverse effects resulting from patients taking higher doses of the product than prescribed) or for patients that switch to non-prescribed drugs (e.g., heroin) still remains. </w:t>
      </w:r>
    </w:p>
    <w:p w14:paraId="5C6AB285" w14:textId="77777777" w:rsidR="00403E23" w:rsidRPr="00C63ACE" w:rsidRDefault="00403E23" w:rsidP="00A20F66">
      <w:pPr>
        <w:pStyle w:val="Default"/>
        <w:numPr>
          <w:ilvl w:val="0"/>
          <w:numId w:val="6"/>
        </w:numPr>
        <w:ind w:left="1440"/>
      </w:pPr>
      <w:r w:rsidRPr="00C63ACE">
        <w:t xml:space="preserve">That potential methods for defeating the “tamper-proof” formulation still exist. </w:t>
      </w:r>
    </w:p>
    <w:p w14:paraId="044F8484" w14:textId="77777777" w:rsidR="00403E23" w:rsidRPr="00C63ACE" w:rsidRDefault="00403E23" w:rsidP="00A20F66">
      <w:pPr>
        <w:pStyle w:val="Default"/>
        <w:numPr>
          <w:ilvl w:val="0"/>
          <w:numId w:val="6"/>
        </w:numPr>
        <w:ind w:left="1440"/>
      </w:pPr>
      <w:r w:rsidRPr="00C63ACE">
        <w:t xml:space="preserve">That there are effective ways to protect against accidental ingestion of the drug or theft by others. </w:t>
      </w:r>
    </w:p>
    <w:p w14:paraId="0D798CB2" w14:textId="77777777" w:rsidR="00D557B0" w:rsidRDefault="00D557B0" w:rsidP="00A20F66">
      <w:pPr>
        <w:ind w:left="720"/>
        <w:rPr>
          <w:b/>
        </w:rPr>
      </w:pPr>
    </w:p>
    <w:p w14:paraId="799B7A84" w14:textId="1CFF695B" w:rsidR="00403E23" w:rsidRPr="00C63ACE" w:rsidRDefault="00403E23" w:rsidP="00A20F66">
      <w:pPr>
        <w:ind w:left="720"/>
      </w:pPr>
      <w:r w:rsidRPr="00EA7A0F">
        <w:rPr>
          <w:b/>
        </w:rPr>
        <w:t>Response 3a</w:t>
      </w:r>
      <w:r w:rsidRPr="00EA7A0F">
        <w:t xml:space="preserve">: </w:t>
      </w:r>
      <w:r>
        <w:t>We address the first bullet in question 28c. Various aspects of the remaining bullets are addressed in question 28d. Although the specific points mentioned in this comment are important public health messages, we think these questions are more appropriate for an in-depth study of the topic, which is beyond the scope of this project. Please also see our responses to Comments 1r and 2c.</w:t>
      </w:r>
    </w:p>
    <w:p w14:paraId="1BB5D3E2" w14:textId="1B233423" w:rsidR="00CC3E7E" w:rsidRPr="00CC3E7E" w:rsidRDefault="00CC3E7E" w:rsidP="00A20F66">
      <w:pPr>
        <w:ind w:left="720"/>
        <w:contextualSpacing/>
      </w:pPr>
    </w:p>
    <w:p w14:paraId="298E44F1" w14:textId="77777777" w:rsidR="0056599C" w:rsidRDefault="0056599C" w:rsidP="00A20F66">
      <w:pPr>
        <w:ind w:left="1440"/>
        <w:contextualSpacing/>
        <w:rPr>
          <w:u w:val="single"/>
        </w:rPr>
      </w:pPr>
      <w:r w:rsidRPr="00E50E65">
        <w:rPr>
          <w:u w:val="single"/>
        </w:rPr>
        <w:t>External Reviewers</w:t>
      </w:r>
    </w:p>
    <w:p w14:paraId="51F7A219" w14:textId="77777777" w:rsidR="00E7010E" w:rsidRPr="00C25450" w:rsidRDefault="00E7010E" w:rsidP="005D5CD5">
      <w:pPr>
        <w:contextualSpacing/>
        <w:rPr>
          <w:u w:val="single"/>
        </w:rPr>
      </w:pPr>
    </w:p>
    <w:p w14:paraId="04FAB4D0" w14:textId="65FE2E87" w:rsidR="009123A0" w:rsidRDefault="0056599C" w:rsidP="00A20F66">
      <w:pPr>
        <w:ind w:left="720"/>
        <w:contextualSpacing/>
      </w:pPr>
      <w:r>
        <w:t xml:space="preserve">In addition to public comment, OPDP </w:t>
      </w:r>
      <w:r w:rsidR="00EE6024">
        <w:t xml:space="preserve">solicited peer-review comments </w:t>
      </w:r>
      <w:r w:rsidR="00A701CB">
        <w:t>from researchers in fields relevant to the communication of DTC prescription drug information. We received responses and incorporated the thoughts of the follow</w:t>
      </w:r>
      <w:r w:rsidR="00774313">
        <w:t>ing</w:t>
      </w:r>
      <w:r w:rsidR="00A701CB">
        <w:t xml:space="preserve"> </w:t>
      </w:r>
      <w:r w:rsidR="000C5CE8">
        <w:t>individual</w:t>
      </w:r>
      <w:r>
        <w:t>:</w:t>
      </w:r>
    </w:p>
    <w:p w14:paraId="20F7382D" w14:textId="77777777" w:rsidR="009123A0" w:rsidRDefault="009123A0" w:rsidP="005D5CD5">
      <w:pPr>
        <w:ind w:firstLine="720"/>
        <w:contextualSpacing/>
      </w:pPr>
    </w:p>
    <w:p w14:paraId="089790E2" w14:textId="22484CA4" w:rsidR="00916C6B" w:rsidRDefault="003846C9" w:rsidP="00A20F66">
      <w:pPr>
        <w:ind w:left="720"/>
        <w:rPr>
          <w:color w:val="000000"/>
        </w:rPr>
      </w:pPr>
      <w:r>
        <w:rPr>
          <w:color w:val="000000"/>
        </w:rPr>
        <w:t>Eric G. Campbell, Ph.D.</w:t>
      </w:r>
    </w:p>
    <w:p w14:paraId="6F6F757E" w14:textId="77777777" w:rsidR="003846C9" w:rsidRDefault="003846C9" w:rsidP="00A20F66">
      <w:pPr>
        <w:ind w:left="720"/>
        <w:rPr>
          <w:sz w:val="22"/>
          <w:szCs w:val="22"/>
        </w:rPr>
      </w:pPr>
      <w:r>
        <w:t>Professor of Medicine</w:t>
      </w:r>
    </w:p>
    <w:p w14:paraId="21FB4C20" w14:textId="77777777" w:rsidR="003846C9" w:rsidRDefault="003846C9" w:rsidP="00A20F66">
      <w:pPr>
        <w:ind w:left="720"/>
      </w:pPr>
      <w:r>
        <w:t>Director of Research</w:t>
      </w:r>
    </w:p>
    <w:p w14:paraId="40A42A16" w14:textId="77777777" w:rsidR="003846C9" w:rsidRDefault="003846C9" w:rsidP="00A20F66">
      <w:pPr>
        <w:ind w:left="720"/>
      </w:pPr>
      <w:r>
        <w:t>CU Center for Bioethics and Humanities</w:t>
      </w:r>
    </w:p>
    <w:p w14:paraId="74EF6C40" w14:textId="77777777" w:rsidR="003846C9" w:rsidRDefault="003846C9" w:rsidP="00A20F66">
      <w:pPr>
        <w:ind w:left="720"/>
      </w:pPr>
      <w:r>
        <w:t xml:space="preserve">University of Colorado </w:t>
      </w:r>
    </w:p>
    <w:p w14:paraId="7A142594" w14:textId="77777777" w:rsidR="00CD77C3" w:rsidRPr="004C6979" w:rsidRDefault="00EB7538" w:rsidP="009C4B3B">
      <w:pPr>
        <w:numPr>
          <w:ilvl w:val="0"/>
          <w:numId w:val="1"/>
        </w:numPr>
        <w:spacing w:before="100" w:beforeAutospacing="1" w:after="100" w:afterAutospacing="1"/>
        <w:rPr>
          <w:u w:val="single"/>
        </w:rPr>
      </w:pPr>
      <w:r w:rsidRPr="009C4B3B">
        <w:rPr>
          <w:u w:val="single"/>
        </w:rPr>
        <w:t>Explanation of Any Payment or Gift to Respondents</w:t>
      </w:r>
    </w:p>
    <w:p w14:paraId="100E463C" w14:textId="4232A20F" w:rsidR="00297B7C" w:rsidRPr="00297B7C" w:rsidRDefault="00297B7C" w:rsidP="00A20F66">
      <w:pPr>
        <w:pStyle w:val="L1-FlLSp12"/>
        <w:spacing w:line="240" w:lineRule="auto"/>
        <w:ind w:left="720"/>
        <w:rPr>
          <w:rFonts w:ascii="Times New Roman" w:hAnsi="Times New Roman"/>
        </w:rPr>
      </w:pPr>
      <w:r w:rsidRPr="00297B7C">
        <w:rPr>
          <w:rFonts w:ascii="Times New Roman" w:hAnsi="Times New Roman"/>
        </w:rPr>
        <w:t>Historically, physicians are one of the most difficult populations to survey, partly because of the demands on their professional time. Consequently, incentives assume an even greater importance with this group. In a survey of physicians, Gunn and Rhodes (1981) found the response rate to an initial survey with no incentive was 58 percent, with a $25 incentive, 69 percent, and with a $50 incentive, 77 percent, with the difference between the $50 and the $25 incentive rate being statistically significant. Several studies</w:t>
      </w:r>
      <w:r w:rsidR="00655A32">
        <w:rPr>
          <w:rStyle w:val="FootnoteReference"/>
          <w:rFonts w:ascii="Times New Roman" w:hAnsi="Times New Roman"/>
        </w:rPr>
        <w:footnoteReference w:id="5"/>
      </w:r>
      <w:r w:rsidRPr="00297B7C">
        <w:rPr>
          <w:rFonts w:ascii="Times New Roman" w:hAnsi="Times New Roman"/>
        </w:rPr>
        <w:t xml:space="preserve"> have discussed the challenges of conducting HCP surveys and have concluded that offering substantial incentives is necessary to attain high response rates.</w:t>
      </w:r>
    </w:p>
    <w:p w14:paraId="0EA9147C" w14:textId="77777777" w:rsidR="00297B7C" w:rsidRPr="00297B7C" w:rsidRDefault="00297B7C" w:rsidP="00A20F66">
      <w:pPr>
        <w:pStyle w:val="L1-FlLSp12"/>
        <w:spacing w:line="240" w:lineRule="auto"/>
        <w:ind w:left="720"/>
        <w:rPr>
          <w:rFonts w:ascii="Times New Roman" w:hAnsi="Times New Roman"/>
        </w:rPr>
      </w:pPr>
    </w:p>
    <w:p w14:paraId="0783A4BA" w14:textId="77777777" w:rsidR="00297B7C" w:rsidRPr="00297B7C" w:rsidRDefault="00297B7C" w:rsidP="00A20F66">
      <w:pPr>
        <w:pStyle w:val="L1-FlLSp12"/>
        <w:spacing w:line="240" w:lineRule="auto"/>
        <w:ind w:left="720"/>
        <w:rPr>
          <w:rFonts w:ascii="Times New Roman" w:hAnsi="Times New Roman"/>
        </w:rPr>
      </w:pPr>
      <w:r w:rsidRPr="00297B7C">
        <w:rPr>
          <w:rFonts w:ascii="Times New Roman" w:hAnsi="Times New Roman"/>
        </w:rPr>
        <w:t>Each HCP will receive a $5 honorarium for completing the screener. For the survey, PCPs, NPs, and PAs will be provided an honorarium of $50 and specialists will be provided an honorarium of $60. These incentives are based on market rates that are offered to physicians and other HCPs for completing surveys. The incentive is an effective method of drawing attention to the study and gaining cooperation for completing the questionnaire. It is not intended as a payment for their time but rather a means for increasing response rates.</w:t>
      </w:r>
    </w:p>
    <w:p w14:paraId="5FD08186" w14:textId="6BA039CA" w:rsidR="00CD77C3" w:rsidRDefault="004D7516" w:rsidP="004D7516">
      <w:pPr>
        <w:spacing w:before="100" w:beforeAutospacing="1" w:after="100" w:afterAutospacing="1"/>
        <w:ind w:left="360"/>
        <w:rPr>
          <w:u w:val="single"/>
        </w:rPr>
      </w:pPr>
      <w:r w:rsidRPr="00A20F66">
        <w:t xml:space="preserve">10. </w:t>
      </w:r>
      <w:r w:rsidR="00EB7538" w:rsidRPr="004C6979">
        <w:rPr>
          <w:u w:val="single"/>
        </w:rPr>
        <w:t>Assurance of Confidentiality Provided to Respondents</w:t>
      </w:r>
    </w:p>
    <w:p w14:paraId="54102632" w14:textId="5F13B594" w:rsidR="005540B6" w:rsidRDefault="005540B6" w:rsidP="00A20F66">
      <w:pPr>
        <w:spacing w:before="100" w:beforeAutospacing="1" w:after="100" w:afterAutospacing="1"/>
        <w:ind w:left="720"/>
      </w:pPr>
      <w:r w:rsidRPr="00CD00CA">
        <w:t xml:space="preserve">All data will be collected with an assurance that the </w:t>
      </w:r>
      <w:r>
        <w:t>participa</w:t>
      </w:r>
      <w:r w:rsidRPr="00CD00CA">
        <w:t xml:space="preserve">nts’ responses will remain private to the extent allowable by law. </w:t>
      </w:r>
      <w:r>
        <w:t>The</w:t>
      </w:r>
      <w:r w:rsidRPr="00CD00CA">
        <w:t xml:space="preserve"> consent form (see Appendix C) contain</w:t>
      </w:r>
      <w:r>
        <w:t>s</w:t>
      </w:r>
      <w:r w:rsidRPr="00CD00CA">
        <w:t xml:space="preserve"> a statement </w:t>
      </w:r>
      <w:r>
        <w:t xml:space="preserve">emphasizing </w:t>
      </w:r>
      <w:r w:rsidRPr="00CD00CA">
        <w:t xml:space="preserve">that no one will be able to link a participant’s identity to his/her responses and that each participant will only be </w:t>
      </w:r>
      <w:r>
        <w:t>identified</w:t>
      </w:r>
      <w:r w:rsidRPr="00CD00CA">
        <w:t xml:space="preserve"> by a unique ID.</w:t>
      </w:r>
      <w:r>
        <w:t xml:space="preserve"> </w:t>
      </w:r>
      <w:r w:rsidRPr="00CD00CA">
        <w:t>Researchers will not tie respondents’ persona</w:t>
      </w:r>
      <w:r>
        <w:t>lly identifiable information (PII) to their answers. A</w:t>
      </w:r>
      <w:r w:rsidRPr="00CD00CA">
        <w:t>ll analyses will be done in the aggregate</w:t>
      </w:r>
      <w:r>
        <w:t>,</w:t>
      </w:r>
      <w:r w:rsidRPr="00CD00CA">
        <w:t xml:space="preserve"> and respondent information will not be appended to the data file used. </w:t>
      </w:r>
      <w:r>
        <w:t xml:space="preserve">Further, </w:t>
      </w:r>
      <w:r w:rsidRPr="00CD00CA">
        <w:t xml:space="preserve">no identifying information will be included in the data files delivered by </w:t>
      </w:r>
      <w:r>
        <w:t xml:space="preserve">FMG </w:t>
      </w:r>
      <w:r w:rsidRPr="00CD00CA">
        <w:t>to FDA.</w:t>
      </w:r>
    </w:p>
    <w:p w14:paraId="08466441" w14:textId="77777777" w:rsidR="005540B6" w:rsidRPr="00CD00CA" w:rsidRDefault="005540B6" w:rsidP="00A20F66">
      <w:pPr>
        <w:keepNext/>
        <w:ind w:left="720"/>
      </w:pPr>
      <w:r w:rsidRPr="00CD00CA">
        <w:t xml:space="preserve">The following procedures will be used to ensure </w:t>
      </w:r>
      <w:r>
        <w:t xml:space="preserve">participant </w:t>
      </w:r>
      <w:r w:rsidRPr="00CD00CA">
        <w:t>confidentiality</w:t>
      </w:r>
      <w:r>
        <w:t xml:space="preserve"> before, during, and after fielding:</w:t>
      </w:r>
      <w:r w:rsidRPr="00CD00CA">
        <w:t xml:space="preserve"> </w:t>
      </w:r>
      <w:r>
        <w:t xml:space="preserve">(1) data transfer between Research Now and FMG and between SERMO and FMG will be conducted via a secure password-protected File Transfer Protocol (FTP) site; (2) all screening-related information will not be tied to any PII but will be identified and matched by the assigned unique ID; </w:t>
      </w:r>
      <w:r w:rsidRPr="00CD00CA">
        <w:t>(</w:t>
      </w:r>
      <w:r>
        <w:t>3</w:t>
      </w:r>
      <w:r w:rsidRPr="00CD00CA">
        <w:t xml:space="preserve">) </w:t>
      </w:r>
      <w:r>
        <w:t>data sets and reports</w:t>
      </w:r>
      <w:r w:rsidRPr="00CD00CA">
        <w:t xml:space="preserve"> will not contain any </w:t>
      </w:r>
      <w:r>
        <w:t xml:space="preserve">PII; and </w:t>
      </w:r>
      <w:r w:rsidRPr="00CD00CA">
        <w:t>(</w:t>
      </w:r>
      <w:r>
        <w:t>4</w:t>
      </w:r>
      <w:r w:rsidRPr="00CD00CA">
        <w:t xml:space="preserve">) </w:t>
      </w:r>
      <w:r>
        <w:t>respondents will not be tied to their individual responses, and all analyses will be conducted in the aggregate (i.e., any data</w:t>
      </w:r>
      <w:r w:rsidRPr="00CD00CA">
        <w:t xml:space="preserve"> used</w:t>
      </w:r>
      <w:r>
        <w:t xml:space="preserve"> in</w:t>
      </w:r>
      <w:r w:rsidRPr="00CD00CA">
        <w:t xml:space="preserve"> report</w:t>
      </w:r>
      <w:r>
        <w:t>ing</w:t>
      </w:r>
      <w:r w:rsidRPr="00CD00CA">
        <w:t xml:space="preserve"> will not be attributed to specific participants</w:t>
      </w:r>
      <w:r>
        <w:t>)</w:t>
      </w:r>
      <w:r w:rsidRPr="00CD00CA">
        <w:t>.</w:t>
      </w:r>
    </w:p>
    <w:p w14:paraId="0F80D248" w14:textId="77777777" w:rsidR="005540B6" w:rsidRPr="007643FA" w:rsidRDefault="005540B6" w:rsidP="00A20F66">
      <w:pPr>
        <w:pStyle w:val="Default"/>
        <w:ind w:left="720"/>
        <w:jc w:val="both"/>
        <w:rPr>
          <w:rFonts w:ascii="Franklin Gothic Book" w:hAnsi="Franklin Gothic Book"/>
          <w:sz w:val="20"/>
          <w:szCs w:val="20"/>
        </w:rPr>
      </w:pPr>
    </w:p>
    <w:p w14:paraId="5C0FBE44" w14:textId="77777777" w:rsidR="005540B6" w:rsidRPr="00DF5E91" w:rsidRDefault="005540B6" w:rsidP="00A20F66">
      <w:pPr>
        <w:ind w:left="720"/>
      </w:pPr>
      <w:r w:rsidRPr="00CD00CA">
        <w:rPr>
          <w:rFonts w:eastAsia="MS Gothic"/>
        </w:rPr>
        <w:t xml:space="preserve">Any </w:t>
      </w:r>
      <w:r>
        <w:rPr>
          <w:rFonts w:eastAsia="MS Gothic"/>
        </w:rPr>
        <w:t xml:space="preserve">data sets and </w:t>
      </w:r>
      <w:r w:rsidRPr="00CD00CA">
        <w:rPr>
          <w:rFonts w:eastAsia="MS Gothic"/>
        </w:rPr>
        <w:t>report</w:t>
      </w:r>
      <w:r>
        <w:rPr>
          <w:rFonts w:eastAsia="MS Gothic"/>
        </w:rPr>
        <w:t>s</w:t>
      </w:r>
      <w:r w:rsidRPr="00CD00CA">
        <w:rPr>
          <w:rFonts w:eastAsia="MS Gothic"/>
        </w:rPr>
        <w:t xml:space="preserve"> delivered to FDA will not include </w:t>
      </w:r>
      <w:r>
        <w:rPr>
          <w:rFonts w:eastAsia="MS Gothic"/>
        </w:rPr>
        <w:t>PII</w:t>
      </w:r>
      <w:r>
        <w:t xml:space="preserve">. </w:t>
      </w:r>
      <w:r w:rsidRPr="00CD00CA">
        <w:t>All identifying information</w:t>
      </w:r>
      <w:r>
        <w:t xml:space="preserve"> </w:t>
      </w:r>
      <w:r w:rsidRPr="00CD00CA">
        <w:t>will be kept on a separ</w:t>
      </w:r>
      <w:r>
        <w:t xml:space="preserve">ate password-protected computer </w:t>
      </w:r>
      <w:r w:rsidRPr="00CD00CA">
        <w:t xml:space="preserve">and/or in locked cabinets for a period of </w:t>
      </w:r>
      <w:r>
        <w:t>three</w:t>
      </w:r>
      <w:r w:rsidRPr="00CD00CA">
        <w:t xml:space="preserve"> years</w:t>
      </w:r>
      <w:r>
        <w:t xml:space="preserve"> and will</w:t>
      </w:r>
      <w:r w:rsidRPr="00CD00CA">
        <w:t xml:space="preserve"> only </w:t>
      </w:r>
      <w:r>
        <w:t xml:space="preserve">be </w:t>
      </w:r>
      <w:r w:rsidRPr="00CD00CA">
        <w:t xml:space="preserve">accessible by </w:t>
      </w:r>
      <w:r>
        <w:t xml:space="preserve">FMG. After three years, FMG will </w:t>
      </w:r>
      <w:r w:rsidRPr="00CD00CA">
        <w:t>destroy</w:t>
      </w:r>
      <w:r>
        <w:t xml:space="preserve"> the information</w:t>
      </w:r>
      <w:r w:rsidRPr="00CD00CA">
        <w:t xml:space="preserve"> </w:t>
      </w:r>
      <w:r>
        <w:t>by securely shredding documents or permanently deleting electronic information</w:t>
      </w:r>
      <w:r w:rsidRPr="00CD00CA">
        <w:t>. In the case of a breach of confidentiality, appropriate steps will be taken to notify participants.</w:t>
      </w:r>
      <w:r>
        <w:t xml:space="preserve"> </w:t>
      </w:r>
    </w:p>
    <w:p w14:paraId="630313B0" w14:textId="77777777" w:rsidR="005540B6" w:rsidRDefault="005540B6" w:rsidP="00A20F66">
      <w:pPr>
        <w:ind w:left="720"/>
      </w:pPr>
    </w:p>
    <w:p w14:paraId="081730BD" w14:textId="77777777" w:rsidR="005540B6" w:rsidRPr="00DF5E91" w:rsidRDefault="005540B6" w:rsidP="00A20F66">
      <w:pPr>
        <w:ind w:left="720"/>
      </w:pPr>
      <w:r w:rsidRPr="00DF5E91">
        <w:t>All data will also be maintained in consistency with the FDA Privacy Act System of Records</w:t>
      </w:r>
      <w:r>
        <w:t> </w:t>
      </w:r>
      <w:r w:rsidRPr="00DF5E91">
        <w:t>#09-10-0009 (Special Studies and Surveys on FDA Regulated Products).</w:t>
      </w:r>
    </w:p>
    <w:p w14:paraId="740339A8" w14:textId="5323DF6B" w:rsidR="004F48D9" w:rsidRDefault="005540B6" w:rsidP="00A627A0">
      <w:pPr>
        <w:spacing w:before="100" w:beforeAutospacing="1" w:after="100" w:afterAutospacing="1"/>
        <w:rPr>
          <w:u w:val="single"/>
        </w:rPr>
      </w:pPr>
      <w:r>
        <w:t xml:space="preserve">      11. </w:t>
      </w:r>
      <w:r w:rsidR="00EB7538" w:rsidRPr="000E36BA">
        <w:rPr>
          <w:u w:val="single"/>
        </w:rPr>
        <w:t>Justification for Sensitive Questions</w:t>
      </w:r>
    </w:p>
    <w:p w14:paraId="5DF74CC3" w14:textId="1394317E" w:rsidR="004C6979" w:rsidRDefault="009952E5" w:rsidP="00A20F66">
      <w:pPr>
        <w:spacing w:before="100" w:beforeAutospacing="1" w:after="100" w:afterAutospacing="1"/>
        <w:ind w:left="720"/>
        <w:contextualSpacing/>
      </w:pPr>
      <w:r w:rsidRPr="000E36BA">
        <w:t xml:space="preserve">This data collection will not include sensitive questions. The complete list of questions is available in Appendix </w:t>
      </w:r>
      <w:r w:rsidR="00122082">
        <w:t>C</w:t>
      </w:r>
      <w:r w:rsidRPr="000E36BA">
        <w:t>.</w:t>
      </w:r>
    </w:p>
    <w:p w14:paraId="1C1C15EC" w14:textId="77777777" w:rsidR="00374454" w:rsidRPr="004F48D9" w:rsidRDefault="00374454" w:rsidP="004F48D9">
      <w:pPr>
        <w:spacing w:before="100" w:beforeAutospacing="1" w:after="100" w:afterAutospacing="1"/>
        <w:ind w:firstLine="720"/>
        <w:contextualSpacing/>
        <w:rPr>
          <w:u w:val="single"/>
        </w:rPr>
      </w:pPr>
    </w:p>
    <w:p w14:paraId="7348BEDC" w14:textId="7D63537C" w:rsidR="004C6979" w:rsidRPr="004C6979" w:rsidRDefault="005540B6" w:rsidP="00A627A0">
      <w:pPr>
        <w:spacing w:before="100" w:beforeAutospacing="1" w:after="100" w:afterAutospacing="1"/>
        <w:ind w:left="360"/>
        <w:rPr>
          <w:u w:val="single"/>
        </w:rPr>
      </w:pPr>
      <w:r w:rsidRPr="00A20F66">
        <w:t>12</w:t>
      </w:r>
      <w:r w:rsidR="00A627A0" w:rsidRPr="00A20F66">
        <w:t xml:space="preserve">. </w:t>
      </w:r>
      <w:r w:rsidR="00EB7538" w:rsidRPr="004C6979">
        <w:rPr>
          <w:u w:val="single"/>
        </w:rPr>
        <w:t>Estimates of Annualized Burden Hours and Costs</w:t>
      </w:r>
    </w:p>
    <w:p w14:paraId="2113A95F" w14:textId="051260C4" w:rsidR="007C1EC8" w:rsidRPr="00A20F66" w:rsidRDefault="007C1EC8" w:rsidP="00A20F66">
      <w:pPr>
        <w:ind w:left="720"/>
        <w:contextualSpacing/>
        <w:rPr>
          <w:u w:val="single"/>
        </w:rPr>
      </w:pPr>
      <w:r>
        <w:t xml:space="preserve">12a. </w:t>
      </w:r>
      <w:r>
        <w:rPr>
          <w:u w:val="single"/>
        </w:rPr>
        <w:t>Annualized Hour Burden Estimate</w:t>
      </w:r>
    </w:p>
    <w:p w14:paraId="0A5563E7" w14:textId="77777777" w:rsidR="007C1EC8" w:rsidRDefault="007C1EC8" w:rsidP="00A20F66">
      <w:pPr>
        <w:ind w:left="720"/>
        <w:contextualSpacing/>
      </w:pPr>
    </w:p>
    <w:p w14:paraId="19781661" w14:textId="2BF52F01" w:rsidR="004F48D9" w:rsidRDefault="00DB6F37" w:rsidP="00A20F66">
      <w:pPr>
        <w:ind w:left="720"/>
        <w:contextualSpacing/>
      </w:pPr>
      <w:r w:rsidRPr="00B53912">
        <w:t xml:space="preserve">For </w:t>
      </w:r>
      <w:r>
        <w:t xml:space="preserve">both the pretests and </w:t>
      </w:r>
      <w:r w:rsidR="00EB559F">
        <w:t>main study</w:t>
      </w:r>
      <w:r w:rsidRPr="00BC329A">
        <w:t xml:space="preserve">, </w:t>
      </w:r>
      <w:r>
        <w:t>the questionnaire is</w:t>
      </w:r>
      <w:r w:rsidRPr="00BC329A">
        <w:t xml:space="preserve"> expected to last no more than </w:t>
      </w:r>
      <w:r w:rsidR="00BF3198">
        <w:t>25</w:t>
      </w:r>
      <w:r w:rsidRPr="00BC329A">
        <w:t xml:space="preserve"> minutes.</w:t>
      </w:r>
      <w:r w:rsidRPr="006C7E73">
        <w:t xml:space="preserve"> </w:t>
      </w:r>
      <w:r>
        <w:t xml:space="preserve"> </w:t>
      </w:r>
      <w:r w:rsidRPr="006C7E73">
        <w:t>This will be a one-time (rather than annual) collection of information. FDA estimates the burden of this collection of information as follows:</w:t>
      </w:r>
      <w:r w:rsidR="004F48D9" w:rsidRPr="004F48D9">
        <w:t xml:space="preserve"> </w:t>
      </w:r>
    </w:p>
    <w:p w14:paraId="7818FA06" w14:textId="77777777" w:rsidR="00BF3198" w:rsidRDefault="00BF3198" w:rsidP="00BF3198"/>
    <w:p w14:paraId="6D040D74" w14:textId="77777777" w:rsidR="009C4CF0" w:rsidRDefault="009C4CF0" w:rsidP="00272B36">
      <w:pPr>
        <w:spacing w:after="200" w:line="276" w:lineRule="auto"/>
        <w:ind w:firstLine="720"/>
      </w:pPr>
    </w:p>
    <w:p w14:paraId="3D40B5B4" w14:textId="77777777" w:rsidR="009C4CF0" w:rsidRDefault="009C4CF0" w:rsidP="00272B36">
      <w:pPr>
        <w:spacing w:after="200" w:line="276" w:lineRule="auto"/>
        <w:ind w:firstLine="720"/>
      </w:pPr>
    </w:p>
    <w:p w14:paraId="49B05438" w14:textId="77777777" w:rsidR="009C4CF0" w:rsidRDefault="009C4CF0" w:rsidP="00272B36">
      <w:pPr>
        <w:spacing w:after="200" w:line="276" w:lineRule="auto"/>
        <w:ind w:firstLine="720"/>
      </w:pPr>
    </w:p>
    <w:p w14:paraId="4DDFDD78" w14:textId="77777777" w:rsidR="009C4CF0" w:rsidRDefault="009C4CF0" w:rsidP="00272B36">
      <w:pPr>
        <w:spacing w:after="200" w:line="276" w:lineRule="auto"/>
        <w:ind w:firstLine="720"/>
      </w:pPr>
    </w:p>
    <w:p w14:paraId="5A2973F9" w14:textId="77777777" w:rsidR="009C4CF0" w:rsidRDefault="009C4CF0" w:rsidP="00272B36">
      <w:pPr>
        <w:spacing w:after="200" w:line="276" w:lineRule="auto"/>
        <w:ind w:firstLine="720"/>
      </w:pPr>
    </w:p>
    <w:p w14:paraId="14B52B45" w14:textId="20403477" w:rsidR="001B2A34" w:rsidRPr="001B2A34" w:rsidRDefault="001B2A34" w:rsidP="00272B36">
      <w:pPr>
        <w:spacing w:after="200" w:line="276" w:lineRule="auto"/>
        <w:ind w:firstLine="720"/>
      </w:pPr>
      <w:r>
        <w:t xml:space="preserve">FDA estimates the </w:t>
      </w:r>
      <w:r w:rsidRPr="001B2A34">
        <w:t>burden of this collection of information as follows:</w:t>
      </w:r>
    </w:p>
    <w:p w14:paraId="0549ACEB" w14:textId="77777777" w:rsidR="001B2A34" w:rsidRPr="001B2A34" w:rsidRDefault="001B2A34" w:rsidP="001B2A34">
      <w:pPr>
        <w:jc w:val="center"/>
        <w:rPr>
          <w:sz w:val="20"/>
          <w:szCs w:val="20"/>
        </w:rPr>
      </w:pPr>
      <w:r w:rsidRPr="001B2A34">
        <w:rPr>
          <w:sz w:val="20"/>
          <w:szCs w:val="20"/>
        </w:rPr>
        <w:t>Table 1.--Estimated Annual Reporting Burden</w:t>
      </w:r>
      <w:r w:rsidRPr="001B2A34">
        <w:rPr>
          <w:sz w:val="20"/>
          <w:szCs w:val="20"/>
          <w:vertAlign w:val="superscript"/>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443"/>
        <w:gridCol w:w="1845"/>
        <w:gridCol w:w="1170"/>
        <w:gridCol w:w="1394"/>
        <w:gridCol w:w="851"/>
      </w:tblGrid>
      <w:tr w:rsidR="001B2A34" w:rsidRPr="001B2A34" w14:paraId="41DAB08D" w14:textId="77777777" w:rsidTr="00CD6D5C">
        <w:trPr>
          <w:jc w:val="center"/>
        </w:trPr>
        <w:tc>
          <w:tcPr>
            <w:tcW w:w="1927" w:type="dxa"/>
            <w:shd w:val="clear" w:color="auto" w:fill="auto"/>
          </w:tcPr>
          <w:p w14:paraId="767B6558" w14:textId="77777777" w:rsidR="001B2A34" w:rsidRPr="001B2A34" w:rsidRDefault="001B2A34" w:rsidP="001B2A34">
            <w:pPr>
              <w:jc w:val="center"/>
              <w:rPr>
                <w:sz w:val="20"/>
                <w:szCs w:val="20"/>
              </w:rPr>
            </w:pPr>
            <w:r w:rsidRPr="001B2A34">
              <w:rPr>
                <w:sz w:val="20"/>
                <w:szCs w:val="20"/>
              </w:rPr>
              <w:t>Activity</w:t>
            </w:r>
          </w:p>
        </w:tc>
        <w:tc>
          <w:tcPr>
            <w:tcW w:w="1443" w:type="dxa"/>
            <w:shd w:val="clear" w:color="auto" w:fill="auto"/>
          </w:tcPr>
          <w:p w14:paraId="76EBE716" w14:textId="77777777" w:rsidR="001B2A34" w:rsidRPr="001B2A34" w:rsidRDefault="001B2A34" w:rsidP="001B2A34">
            <w:pPr>
              <w:jc w:val="center"/>
              <w:rPr>
                <w:sz w:val="20"/>
                <w:szCs w:val="20"/>
              </w:rPr>
            </w:pPr>
            <w:r w:rsidRPr="001B2A34">
              <w:rPr>
                <w:sz w:val="20"/>
                <w:szCs w:val="20"/>
              </w:rPr>
              <w:t>No. of Respondents</w:t>
            </w:r>
          </w:p>
        </w:tc>
        <w:tc>
          <w:tcPr>
            <w:tcW w:w="1845" w:type="dxa"/>
            <w:shd w:val="clear" w:color="auto" w:fill="auto"/>
          </w:tcPr>
          <w:p w14:paraId="530D3C70" w14:textId="77777777" w:rsidR="001B2A34" w:rsidRPr="001B2A34" w:rsidRDefault="001B2A34" w:rsidP="001B2A34">
            <w:pPr>
              <w:jc w:val="center"/>
              <w:rPr>
                <w:sz w:val="20"/>
                <w:szCs w:val="20"/>
              </w:rPr>
            </w:pPr>
            <w:r w:rsidRPr="001B2A34">
              <w:rPr>
                <w:sz w:val="20"/>
                <w:szCs w:val="20"/>
              </w:rPr>
              <w:t>No. of Responses per Respondent</w:t>
            </w:r>
          </w:p>
        </w:tc>
        <w:tc>
          <w:tcPr>
            <w:tcW w:w="1170" w:type="dxa"/>
            <w:shd w:val="clear" w:color="auto" w:fill="auto"/>
          </w:tcPr>
          <w:p w14:paraId="3DD481DC" w14:textId="77777777" w:rsidR="001B2A34" w:rsidRPr="001B2A34" w:rsidRDefault="001B2A34" w:rsidP="001B2A34">
            <w:pPr>
              <w:jc w:val="center"/>
              <w:rPr>
                <w:sz w:val="20"/>
                <w:szCs w:val="20"/>
              </w:rPr>
            </w:pPr>
            <w:r w:rsidRPr="001B2A34">
              <w:rPr>
                <w:sz w:val="20"/>
                <w:szCs w:val="20"/>
              </w:rPr>
              <w:t>Total Annual Responses</w:t>
            </w:r>
          </w:p>
        </w:tc>
        <w:tc>
          <w:tcPr>
            <w:tcW w:w="1394" w:type="dxa"/>
            <w:shd w:val="clear" w:color="auto" w:fill="auto"/>
          </w:tcPr>
          <w:p w14:paraId="1C86A15A" w14:textId="77777777" w:rsidR="001B2A34" w:rsidRPr="001B2A34" w:rsidRDefault="001B2A34" w:rsidP="001B2A34">
            <w:pPr>
              <w:jc w:val="center"/>
              <w:rPr>
                <w:sz w:val="20"/>
                <w:szCs w:val="20"/>
              </w:rPr>
            </w:pPr>
            <w:r w:rsidRPr="001B2A34">
              <w:rPr>
                <w:sz w:val="20"/>
                <w:szCs w:val="20"/>
              </w:rPr>
              <w:t xml:space="preserve">Average Burden per Response </w:t>
            </w:r>
          </w:p>
        </w:tc>
        <w:tc>
          <w:tcPr>
            <w:tcW w:w="851" w:type="dxa"/>
            <w:shd w:val="clear" w:color="auto" w:fill="auto"/>
          </w:tcPr>
          <w:p w14:paraId="73E8B7A8" w14:textId="77777777" w:rsidR="001B2A34" w:rsidRPr="001B2A34" w:rsidRDefault="001B2A34" w:rsidP="001B2A34">
            <w:pPr>
              <w:jc w:val="center"/>
              <w:rPr>
                <w:sz w:val="20"/>
                <w:szCs w:val="20"/>
              </w:rPr>
            </w:pPr>
            <w:r w:rsidRPr="001B2A34">
              <w:rPr>
                <w:sz w:val="20"/>
                <w:szCs w:val="20"/>
              </w:rPr>
              <w:t>Total Hours</w:t>
            </w:r>
          </w:p>
        </w:tc>
      </w:tr>
      <w:tr w:rsidR="001B2A34" w:rsidRPr="001B2A34" w14:paraId="7A02D9D8" w14:textId="77777777" w:rsidTr="00CD6D5C">
        <w:trPr>
          <w:jc w:val="center"/>
        </w:trPr>
        <w:tc>
          <w:tcPr>
            <w:tcW w:w="8630" w:type="dxa"/>
            <w:gridSpan w:val="6"/>
            <w:shd w:val="clear" w:color="auto" w:fill="auto"/>
          </w:tcPr>
          <w:p w14:paraId="7DB3E91C" w14:textId="77777777" w:rsidR="001B2A34" w:rsidRPr="001B2A34" w:rsidRDefault="001B2A34" w:rsidP="001B2A34">
            <w:pPr>
              <w:jc w:val="center"/>
              <w:rPr>
                <w:sz w:val="20"/>
                <w:szCs w:val="20"/>
              </w:rPr>
            </w:pPr>
            <w:r w:rsidRPr="001B2A34">
              <w:rPr>
                <w:sz w:val="20"/>
                <w:szCs w:val="20"/>
              </w:rPr>
              <w:t>Pretest Study</w:t>
            </w:r>
          </w:p>
        </w:tc>
      </w:tr>
      <w:tr w:rsidR="001B2A34" w:rsidRPr="001B2A34" w14:paraId="02C52DB8" w14:textId="77777777" w:rsidTr="00CD6D5C">
        <w:trPr>
          <w:jc w:val="center"/>
        </w:trPr>
        <w:tc>
          <w:tcPr>
            <w:tcW w:w="8630" w:type="dxa"/>
            <w:gridSpan w:val="6"/>
            <w:shd w:val="clear" w:color="auto" w:fill="auto"/>
          </w:tcPr>
          <w:p w14:paraId="5A6C2B47" w14:textId="77777777" w:rsidR="001B2A34" w:rsidRPr="001B2A34" w:rsidRDefault="001B2A34" w:rsidP="001B2A34">
            <w:pPr>
              <w:jc w:val="center"/>
              <w:rPr>
                <w:sz w:val="20"/>
                <w:szCs w:val="20"/>
              </w:rPr>
            </w:pPr>
          </w:p>
        </w:tc>
      </w:tr>
      <w:tr w:rsidR="001B2A34" w:rsidRPr="001B2A34" w14:paraId="13DB67FE" w14:textId="77777777" w:rsidTr="00CD6D5C">
        <w:trPr>
          <w:jc w:val="center"/>
        </w:trPr>
        <w:tc>
          <w:tcPr>
            <w:tcW w:w="1927" w:type="dxa"/>
            <w:shd w:val="clear" w:color="auto" w:fill="auto"/>
          </w:tcPr>
          <w:p w14:paraId="6177A709" w14:textId="77777777" w:rsidR="001B2A34" w:rsidRPr="001B2A34" w:rsidRDefault="001B2A34" w:rsidP="001B2A34">
            <w:pPr>
              <w:rPr>
                <w:sz w:val="20"/>
                <w:szCs w:val="20"/>
              </w:rPr>
            </w:pPr>
            <w:r w:rsidRPr="001B2A34">
              <w:rPr>
                <w:sz w:val="20"/>
                <w:szCs w:val="20"/>
              </w:rPr>
              <w:t>HCP screener</w:t>
            </w:r>
          </w:p>
        </w:tc>
        <w:tc>
          <w:tcPr>
            <w:tcW w:w="1443" w:type="dxa"/>
            <w:shd w:val="clear" w:color="auto" w:fill="auto"/>
          </w:tcPr>
          <w:p w14:paraId="464FF125" w14:textId="77777777" w:rsidR="001B2A34" w:rsidRPr="001B2A34" w:rsidRDefault="001B2A34" w:rsidP="001B2A34">
            <w:pPr>
              <w:jc w:val="right"/>
              <w:rPr>
                <w:sz w:val="20"/>
                <w:szCs w:val="20"/>
              </w:rPr>
            </w:pPr>
            <w:r w:rsidRPr="001B2A34">
              <w:rPr>
                <w:sz w:val="20"/>
                <w:szCs w:val="20"/>
              </w:rPr>
              <w:t>63</w:t>
            </w:r>
          </w:p>
        </w:tc>
        <w:tc>
          <w:tcPr>
            <w:tcW w:w="1845" w:type="dxa"/>
            <w:shd w:val="clear" w:color="auto" w:fill="auto"/>
          </w:tcPr>
          <w:p w14:paraId="03E2E000" w14:textId="77777777" w:rsidR="001B2A34" w:rsidRPr="001B2A34" w:rsidRDefault="001B2A34" w:rsidP="001B2A34">
            <w:pPr>
              <w:jc w:val="right"/>
              <w:rPr>
                <w:sz w:val="20"/>
                <w:szCs w:val="20"/>
              </w:rPr>
            </w:pPr>
            <w:r w:rsidRPr="001B2A34">
              <w:rPr>
                <w:sz w:val="20"/>
                <w:szCs w:val="20"/>
              </w:rPr>
              <w:t>1</w:t>
            </w:r>
          </w:p>
        </w:tc>
        <w:tc>
          <w:tcPr>
            <w:tcW w:w="1170" w:type="dxa"/>
            <w:shd w:val="clear" w:color="auto" w:fill="auto"/>
          </w:tcPr>
          <w:p w14:paraId="31B82563" w14:textId="77777777" w:rsidR="001B2A34" w:rsidRPr="001B2A34" w:rsidRDefault="001B2A34" w:rsidP="001B2A34">
            <w:pPr>
              <w:jc w:val="right"/>
              <w:rPr>
                <w:sz w:val="20"/>
                <w:szCs w:val="20"/>
              </w:rPr>
            </w:pPr>
            <w:r w:rsidRPr="001B2A34">
              <w:rPr>
                <w:sz w:val="20"/>
                <w:szCs w:val="20"/>
              </w:rPr>
              <w:t>63</w:t>
            </w:r>
          </w:p>
        </w:tc>
        <w:tc>
          <w:tcPr>
            <w:tcW w:w="1394" w:type="dxa"/>
            <w:shd w:val="clear" w:color="auto" w:fill="auto"/>
          </w:tcPr>
          <w:p w14:paraId="007F0216" w14:textId="77777777" w:rsidR="001B2A34" w:rsidRPr="001B2A34" w:rsidRDefault="001B2A34" w:rsidP="001B2A34">
            <w:pPr>
              <w:jc w:val="right"/>
              <w:rPr>
                <w:sz w:val="20"/>
                <w:szCs w:val="20"/>
              </w:rPr>
            </w:pPr>
            <w:r w:rsidRPr="001B2A34">
              <w:rPr>
                <w:sz w:val="20"/>
                <w:szCs w:val="20"/>
              </w:rPr>
              <w:t>0.08</w:t>
            </w:r>
          </w:p>
          <w:p w14:paraId="237FC589" w14:textId="77777777" w:rsidR="001B2A34" w:rsidRPr="001B2A34" w:rsidRDefault="001B2A34" w:rsidP="001B2A34">
            <w:pPr>
              <w:jc w:val="right"/>
              <w:rPr>
                <w:sz w:val="20"/>
                <w:szCs w:val="20"/>
              </w:rPr>
            </w:pPr>
            <w:r w:rsidRPr="001B2A34">
              <w:rPr>
                <w:sz w:val="20"/>
                <w:szCs w:val="20"/>
              </w:rPr>
              <w:t>(5 minutes)</w:t>
            </w:r>
          </w:p>
        </w:tc>
        <w:tc>
          <w:tcPr>
            <w:tcW w:w="851" w:type="dxa"/>
            <w:shd w:val="clear" w:color="auto" w:fill="auto"/>
          </w:tcPr>
          <w:p w14:paraId="77C9CD71" w14:textId="77777777" w:rsidR="001B2A34" w:rsidRPr="001B2A34" w:rsidRDefault="001B2A34" w:rsidP="001B2A34">
            <w:pPr>
              <w:jc w:val="right"/>
              <w:rPr>
                <w:sz w:val="20"/>
                <w:szCs w:val="20"/>
              </w:rPr>
            </w:pPr>
            <w:r w:rsidRPr="001B2A34">
              <w:rPr>
                <w:sz w:val="20"/>
                <w:szCs w:val="20"/>
              </w:rPr>
              <w:t>5</w:t>
            </w:r>
          </w:p>
        </w:tc>
      </w:tr>
      <w:tr w:rsidR="001B2A34" w:rsidRPr="001B2A34" w14:paraId="3F7AB6D7" w14:textId="77777777" w:rsidTr="00CD6D5C">
        <w:trPr>
          <w:jc w:val="center"/>
        </w:trPr>
        <w:tc>
          <w:tcPr>
            <w:tcW w:w="1927" w:type="dxa"/>
            <w:shd w:val="clear" w:color="auto" w:fill="auto"/>
          </w:tcPr>
          <w:p w14:paraId="633147C6" w14:textId="77777777" w:rsidR="001B2A34" w:rsidRPr="001B2A34" w:rsidRDefault="001B2A34" w:rsidP="001B2A34">
            <w:pPr>
              <w:rPr>
                <w:sz w:val="20"/>
                <w:szCs w:val="20"/>
              </w:rPr>
            </w:pPr>
            <w:r w:rsidRPr="001B2A34">
              <w:rPr>
                <w:sz w:val="20"/>
                <w:szCs w:val="20"/>
              </w:rPr>
              <w:t>Informed Consent</w:t>
            </w:r>
          </w:p>
        </w:tc>
        <w:tc>
          <w:tcPr>
            <w:tcW w:w="1443" w:type="dxa"/>
            <w:shd w:val="clear" w:color="auto" w:fill="auto"/>
          </w:tcPr>
          <w:p w14:paraId="749B6239" w14:textId="77777777" w:rsidR="001B2A34" w:rsidRPr="001B2A34" w:rsidRDefault="001B2A34" w:rsidP="001B2A34">
            <w:pPr>
              <w:jc w:val="right"/>
              <w:rPr>
                <w:sz w:val="20"/>
                <w:szCs w:val="20"/>
              </w:rPr>
            </w:pPr>
            <w:r w:rsidRPr="001B2A34">
              <w:rPr>
                <w:sz w:val="20"/>
                <w:szCs w:val="20"/>
              </w:rPr>
              <w:t>25</w:t>
            </w:r>
          </w:p>
        </w:tc>
        <w:tc>
          <w:tcPr>
            <w:tcW w:w="1845" w:type="dxa"/>
            <w:shd w:val="clear" w:color="auto" w:fill="auto"/>
          </w:tcPr>
          <w:p w14:paraId="0814291C" w14:textId="77777777" w:rsidR="001B2A34" w:rsidRPr="001B2A34" w:rsidRDefault="001B2A34" w:rsidP="001B2A34">
            <w:pPr>
              <w:jc w:val="right"/>
              <w:rPr>
                <w:sz w:val="20"/>
                <w:szCs w:val="20"/>
              </w:rPr>
            </w:pPr>
            <w:r w:rsidRPr="001B2A34">
              <w:rPr>
                <w:sz w:val="20"/>
                <w:szCs w:val="20"/>
              </w:rPr>
              <w:t>1</w:t>
            </w:r>
          </w:p>
        </w:tc>
        <w:tc>
          <w:tcPr>
            <w:tcW w:w="1170" w:type="dxa"/>
            <w:shd w:val="clear" w:color="auto" w:fill="auto"/>
          </w:tcPr>
          <w:p w14:paraId="0879C927" w14:textId="77777777" w:rsidR="001B2A34" w:rsidRPr="001B2A34" w:rsidRDefault="001B2A34" w:rsidP="001B2A34">
            <w:pPr>
              <w:jc w:val="right"/>
              <w:rPr>
                <w:sz w:val="20"/>
                <w:szCs w:val="20"/>
              </w:rPr>
            </w:pPr>
            <w:r w:rsidRPr="001B2A34">
              <w:rPr>
                <w:sz w:val="20"/>
                <w:szCs w:val="20"/>
              </w:rPr>
              <w:t>25</w:t>
            </w:r>
          </w:p>
        </w:tc>
        <w:tc>
          <w:tcPr>
            <w:tcW w:w="1394" w:type="dxa"/>
            <w:shd w:val="clear" w:color="auto" w:fill="auto"/>
          </w:tcPr>
          <w:p w14:paraId="43269690" w14:textId="77777777" w:rsidR="001B2A34" w:rsidRPr="001B2A34" w:rsidRDefault="001B2A34" w:rsidP="001B2A34">
            <w:pPr>
              <w:jc w:val="right"/>
              <w:rPr>
                <w:sz w:val="20"/>
                <w:szCs w:val="20"/>
              </w:rPr>
            </w:pPr>
            <w:r w:rsidRPr="001B2A34">
              <w:rPr>
                <w:sz w:val="20"/>
                <w:szCs w:val="20"/>
              </w:rPr>
              <w:t>0.08</w:t>
            </w:r>
          </w:p>
          <w:p w14:paraId="3A6AF166" w14:textId="77777777" w:rsidR="001B2A34" w:rsidRPr="001B2A34" w:rsidRDefault="001B2A34" w:rsidP="001B2A34">
            <w:pPr>
              <w:jc w:val="right"/>
              <w:rPr>
                <w:sz w:val="20"/>
                <w:szCs w:val="20"/>
              </w:rPr>
            </w:pPr>
            <w:r w:rsidRPr="001B2A34">
              <w:rPr>
                <w:sz w:val="20"/>
                <w:szCs w:val="20"/>
              </w:rPr>
              <w:t>(5 minutes)</w:t>
            </w:r>
          </w:p>
        </w:tc>
        <w:tc>
          <w:tcPr>
            <w:tcW w:w="851" w:type="dxa"/>
            <w:shd w:val="clear" w:color="auto" w:fill="auto"/>
          </w:tcPr>
          <w:p w14:paraId="33BB9CCA" w14:textId="77777777" w:rsidR="001B2A34" w:rsidRPr="001B2A34" w:rsidRDefault="001B2A34" w:rsidP="001B2A34">
            <w:pPr>
              <w:jc w:val="right"/>
              <w:rPr>
                <w:sz w:val="20"/>
                <w:szCs w:val="20"/>
              </w:rPr>
            </w:pPr>
            <w:r w:rsidRPr="001B2A34">
              <w:rPr>
                <w:sz w:val="20"/>
                <w:szCs w:val="20"/>
              </w:rPr>
              <w:t>2</w:t>
            </w:r>
          </w:p>
        </w:tc>
      </w:tr>
      <w:tr w:rsidR="001B2A34" w:rsidRPr="001B2A34" w14:paraId="20DC6223" w14:textId="77777777" w:rsidTr="00CD6D5C">
        <w:trPr>
          <w:jc w:val="center"/>
        </w:trPr>
        <w:tc>
          <w:tcPr>
            <w:tcW w:w="1927" w:type="dxa"/>
            <w:shd w:val="clear" w:color="auto" w:fill="auto"/>
          </w:tcPr>
          <w:p w14:paraId="61C53E8E" w14:textId="77777777" w:rsidR="001B2A34" w:rsidRPr="001B2A34" w:rsidRDefault="001B2A34" w:rsidP="001B2A34">
            <w:pPr>
              <w:rPr>
                <w:sz w:val="20"/>
                <w:szCs w:val="20"/>
              </w:rPr>
            </w:pPr>
            <w:r w:rsidRPr="001B2A34">
              <w:rPr>
                <w:sz w:val="20"/>
                <w:szCs w:val="20"/>
              </w:rPr>
              <w:t xml:space="preserve">HCP Survey </w:t>
            </w:r>
          </w:p>
        </w:tc>
        <w:tc>
          <w:tcPr>
            <w:tcW w:w="1443" w:type="dxa"/>
            <w:shd w:val="clear" w:color="auto" w:fill="auto"/>
          </w:tcPr>
          <w:p w14:paraId="66FDAF5E" w14:textId="77777777" w:rsidR="001B2A34" w:rsidRPr="001B2A34" w:rsidRDefault="001B2A34" w:rsidP="001B2A34">
            <w:pPr>
              <w:jc w:val="right"/>
              <w:rPr>
                <w:sz w:val="20"/>
                <w:szCs w:val="20"/>
              </w:rPr>
            </w:pPr>
            <w:r w:rsidRPr="001B2A34">
              <w:rPr>
                <w:sz w:val="20"/>
                <w:szCs w:val="20"/>
              </w:rPr>
              <w:t>25</w:t>
            </w:r>
          </w:p>
        </w:tc>
        <w:tc>
          <w:tcPr>
            <w:tcW w:w="1845" w:type="dxa"/>
            <w:shd w:val="clear" w:color="auto" w:fill="auto"/>
          </w:tcPr>
          <w:p w14:paraId="2D3D8490" w14:textId="77777777" w:rsidR="001B2A34" w:rsidRPr="001B2A34" w:rsidRDefault="001B2A34" w:rsidP="001B2A34">
            <w:pPr>
              <w:jc w:val="right"/>
              <w:rPr>
                <w:sz w:val="20"/>
                <w:szCs w:val="20"/>
              </w:rPr>
            </w:pPr>
            <w:r w:rsidRPr="001B2A34">
              <w:rPr>
                <w:sz w:val="20"/>
                <w:szCs w:val="20"/>
              </w:rPr>
              <w:t>1</w:t>
            </w:r>
          </w:p>
        </w:tc>
        <w:tc>
          <w:tcPr>
            <w:tcW w:w="1170" w:type="dxa"/>
            <w:shd w:val="clear" w:color="auto" w:fill="auto"/>
          </w:tcPr>
          <w:p w14:paraId="2C1352DE" w14:textId="77777777" w:rsidR="001B2A34" w:rsidRPr="001B2A34" w:rsidRDefault="001B2A34" w:rsidP="001B2A34">
            <w:pPr>
              <w:jc w:val="right"/>
              <w:rPr>
                <w:sz w:val="20"/>
                <w:szCs w:val="20"/>
              </w:rPr>
            </w:pPr>
            <w:r w:rsidRPr="001B2A34">
              <w:rPr>
                <w:sz w:val="20"/>
                <w:szCs w:val="20"/>
              </w:rPr>
              <w:t>25</w:t>
            </w:r>
          </w:p>
        </w:tc>
        <w:tc>
          <w:tcPr>
            <w:tcW w:w="1394" w:type="dxa"/>
            <w:shd w:val="clear" w:color="auto" w:fill="auto"/>
          </w:tcPr>
          <w:p w14:paraId="7C5EDE38" w14:textId="77777777" w:rsidR="001B2A34" w:rsidRPr="001B2A34" w:rsidRDefault="001B2A34" w:rsidP="001B2A34">
            <w:pPr>
              <w:jc w:val="right"/>
              <w:rPr>
                <w:sz w:val="20"/>
                <w:szCs w:val="20"/>
              </w:rPr>
            </w:pPr>
            <w:r w:rsidRPr="001B2A34">
              <w:rPr>
                <w:sz w:val="20"/>
                <w:szCs w:val="20"/>
              </w:rPr>
              <w:t>0.33</w:t>
            </w:r>
          </w:p>
          <w:p w14:paraId="5E8006CC" w14:textId="77777777" w:rsidR="001B2A34" w:rsidRPr="001B2A34" w:rsidRDefault="001B2A34" w:rsidP="001B2A34">
            <w:pPr>
              <w:jc w:val="right"/>
              <w:rPr>
                <w:sz w:val="20"/>
                <w:szCs w:val="20"/>
              </w:rPr>
            </w:pPr>
            <w:r w:rsidRPr="001B2A34">
              <w:rPr>
                <w:sz w:val="20"/>
                <w:szCs w:val="20"/>
              </w:rPr>
              <w:t>(20 minutes)</w:t>
            </w:r>
          </w:p>
        </w:tc>
        <w:tc>
          <w:tcPr>
            <w:tcW w:w="851" w:type="dxa"/>
            <w:shd w:val="clear" w:color="auto" w:fill="auto"/>
          </w:tcPr>
          <w:p w14:paraId="7091B512" w14:textId="77777777" w:rsidR="001B2A34" w:rsidRPr="001B2A34" w:rsidRDefault="001B2A34" w:rsidP="001B2A34">
            <w:pPr>
              <w:jc w:val="right"/>
              <w:rPr>
                <w:sz w:val="20"/>
                <w:szCs w:val="20"/>
              </w:rPr>
            </w:pPr>
            <w:r w:rsidRPr="001B2A34">
              <w:rPr>
                <w:sz w:val="20"/>
                <w:szCs w:val="20"/>
              </w:rPr>
              <w:t>8</w:t>
            </w:r>
          </w:p>
        </w:tc>
      </w:tr>
      <w:tr w:rsidR="001B2A34" w:rsidRPr="001B2A34" w14:paraId="3A7D7EC0" w14:textId="77777777" w:rsidTr="00CD6D5C">
        <w:trPr>
          <w:jc w:val="center"/>
        </w:trPr>
        <w:tc>
          <w:tcPr>
            <w:tcW w:w="8630" w:type="dxa"/>
            <w:gridSpan w:val="6"/>
            <w:shd w:val="clear" w:color="auto" w:fill="auto"/>
          </w:tcPr>
          <w:p w14:paraId="41AD9016" w14:textId="77777777" w:rsidR="001B2A34" w:rsidRPr="001B2A34" w:rsidRDefault="001B2A34" w:rsidP="001B2A34">
            <w:pPr>
              <w:jc w:val="center"/>
              <w:rPr>
                <w:sz w:val="20"/>
                <w:szCs w:val="20"/>
              </w:rPr>
            </w:pPr>
            <w:r w:rsidRPr="001B2A34">
              <w:rPr>
                <w:sz w:val="20"/>
                <w:szCs w:val="20"/>
              </w:rPr>
              <w:t>Main Study</w:t>
            </w:r>
          </w:p>
        </w:tc>
      </w:tr>
      <w:tr w:rsidR="001B2A34" w:rsidRPr="001B2A34" w14:paraId="27996966" w14:textId="77777777" w:rsidTr="00CD6D5C">
        <w:trPr>
          <w:jc w:val="center"/>
        </w:trPr>
        <w:tc>
          <w:tcPr>
            <w:tcW w:w="1927" w:type="dxa"/>
            <w:shd w:val="clear" w:color="auto" w:fill="auto"/>
          </w:tcPr>
          <w:p w14:paraId="7B744EA8" w14:textId="77777777" w:rsidR="001B2A34" w:rsidRPr="001B2A34" w:rsidRDefault="001B2A34" w:rsidP="001B2A34">
            <w:pPr>
              <w:rPr>
                <w:sz w:val="20"/>
                <w:szCs w:val="20"/>
              </w:rPr>
            </w:pPr>
            <w:r w:rsidRPr="001B2A34">
              <w:rPr>
                <w:sz w:val="20"/>
                <w:szCs w:val="20"/>
              </w:rPr>
              <w:t>HCP screener</w:t>
            </w:r>
          </w:p>
        </w:tc>
        <w:tc>
          <w:tcPr>
            <w:tcW w:w="1443" w:type="dxa"/>
            <w:shd w:val="clear" w:color="auto" w:fill="auto"/>
          </w:tcPr>
          <w:p w14:paraId="37FA8B1A" w14:textId="77777777" w:rsidR="001B2A34" w:rsidRPr="001B2A34" w:rsidRDefault="001B2A34" w:rsidP="001B2A34">
            <w:pPr>
              <w:jc w:val="right"/>
              <w:rPr>
                <w:sz w:val="20"/>
                <w:szCs w:val="20"/>
              </w:rPr>
            </w:pPr>
            <w:r w:rsidRPr="001B2A34">
              <w:rPr>
                <w:sz w:val="20"/>
                <w:szCs w:val="20"/>
              </w:rPr>
              <w:t>5,037</w:t>
            </w:r>
          </w:p>
        </w:tc>
        <w:tc>
          <w:tcPr>
            <w:tcW w:w="1845" w:type="dxa"/>
            <w:shd w:val="clear" w:color="auto" w:fill="auto"/>
          </w:tcPr>
          <w:p w14:paraId="21B738E4" w14:textId="77777777" w:rsidR="001B2A34" w:rsidRPr="001B2A34" w:rsidRDefault="001B2A34" w:rsidP="001B2A34">
            <w:pPr>
              <w:jc w:val="right"/>
              <w:rPr>
                <w:sz w:val="20"/>
                <w:szCs w:val="20"/>
              </w:rPr>
            </w:pPr>
            <w:r w:rsidRPr="001B2A34">
              <w:rPr>
                <w:sz w:val="20"/>
                <w:szCs w:val="20"/>
              </w:rPr>
              <w:t>1</w:t>
            </w:r>
          </w:p>
        </w:tc>
        <w:tc>
          <w:tcPr>
            <w:tcW w:w="1170" w:type="dxa"/>
            <w:shd w:val="clear" w:color="auto" w:fill="auto"/>
          </w:tcPr>
          <w:p w14:paraId="0D0E5182" w14:textId="77777777" w:rsidR="001B2A34" w:rsidRPr="001B2A34" w:rsidRDefault="001B2A34" w:rsidP="001B2A34">
            <w:pPr>
              <w:jc w:val="right"/>
              <w:rPr>
                <w:sz w:val="20"/>
                <w:szCs w:val="20"/>
              </w:rPr>
            </w:pPr>
            <w:r w:rsidRPr="001B2A34">
              <w:rPr>
                <w:sz w:val="20"/>
                <w:szCs w:val="20"/>
              </w:rPr>
              <w:t>5,037</w:t>
            </w:r>
          </w:p>
        </w:tc>
        <w:tc>
          <w:tcPr>
            <w:tcW w:w="1394" w:type="dxa"/>
            <w:shd w:val="clear" w:color="auto" w:fill="auto"/>
          </w:tcPr>
          <w:p w14:paraId="7959910F" w14:textId="77777777" w:rsidR="001B2A34" w:rsidRPr="001B2A34" w:rsidRDefault="001B2A34" w:rsidP="001B2A34">
            <w:pPr>
              <w:jc w:val="right"/>
              <w:rPr>
                <w:sz w:val="20"/>
                <w:szCs w:val="20"/>
              </w:rPr>
            </w:pPr>
            <w:r w:rsidRPr="001B2A34">
              <w:rPr>
                <w:sz w:val="20"/>
                <w:szCs w:val="20"/>
              </w:rPr>
              <w:t>0.08</w:t>
            </w:r>
          </w:p>
          <w:p w14:paraId="7C1EEC6C" w14:textId="77777777" w:rsidR="001B2A34" w:rsidRPr="001B2A34" w:rsidRDefault="001B2A34" w:rsidP="001B2A34">
            <w:pPr>
              <w:jc w:val="right"/>
              <w:rPr>
                <w:sz w:val="20"/>
                <w:szCs w:val="20"/>
              </w:rPr>
            </w:pPr>
            <w:r w:rsidRPr="001B2A34">
              <w:rPr>
                <w:sz w:val="20"/>
                <w:szCs w:val="20"/>
              </w:rPr>
              <w:t>(5 minutes)</w:t>
            </w:r>
          </w:p>
        </w:tc>
        <w:tc>
          <w:tcPr>
            <w:tcW w:w="851" w:type="dxa"/>
            <w:shd w:val="clear" w:color="auto" w:fill="auto"/>
          </w:tcPr>
          <w:p w14:paraId="4960F4BA" w14:textId="77777777" w:rsidR="001B2A34" w:rsidRPr="001B2A34" w:rsidRDefault="001B2A34" w:rsidP="001B2A34">
            <w:pPr>
              <w:jc w:val="right"/>
              <w:rPr>
                <w:sz w:val="20"/>
                <w:szCs w:val="20"/>
              </w:rPr>
            </w:pPr>
            <w:r w:rsidRPr="001B2A34">
              <w:rPr>
                <w:sz w:val="20"/>
                <w:szCs w:val="20"/>
              </w:rPr>
              <w:t>403</w:t>
            </w:r>
          </w:p>
        </w:tc>
      </w:tr>
      <w:tr w:rsidR="001B2A34" w:rsidRPr="001B2A34" w14:paraId="26DFBB1D" w14:textId="77777777" w:rsidTr="00CD6D5C">
        <w:trPr>
          <w:jc w:val="center"/>
        </w:trPr>
        <w:tc>
          <w:tcPr>
            <w:tcW w:w="1927" w:type="dxa"/>
            <w:shd w:val="clear" w:color="auto" w:fill="auto"/>
          </w:tcPr>
          <w:p w14:paraId="436D4220" w14:textId="77777777" w:rsidR="001B2A34" w:rsidRPr="001B2A34" w:rsidRDefault="001B2A34" w:rsidP="001B2A34">
            <w:pPr>
              <w:rPr>
                <w:sz w:val="20"/>
                <w:szCs w:val="20"/>
              </w:rPr>
            </w:pPr>
            <w:r w:rsidRPr="001B2A34">
              <w:rPr>
                <w:sz w:val="20"/>
                <w:szCs w:val="20"/>
              </w:rPr>
              <w:t>Informed Consent</w:t>
            </w:r>
          </w:p>
        </w:tc>
        <w:tc>
          <w:tcPr>
            <w:tcW w:w="1443" w:type="dxa"/>
            <w:shd w:val="clear" w:color="auto" w:fill="auto"/>
          </w:tcPr>
          <w:p w14:paraId="518E97D2" w14:textId="77777777" w:rsidR="001B2A34" w:rsidRPr="001B2A34" w:rsidRDefault="001B2A34" w:rsidP="001B2A34">
            <w:pPr>
              <w:jc w:val="right"/>
              <w:rPr>
                <w:sz w:val="20"/>
                <w:szCs w:val="20"/>
              </w:rPr>
            </w:pPr>
            <w:r w:rsidRPr="001B2A34">
              <w:rPr>
                <w:sz w:val="20"/>
                <w:szCs w:val="20"/>
              </w:rPr>
              <w:t>2,000</w:t>
            </w:r>
          </w:p>
        </w:tc>
        <w:tc>
          <w:tcPr>
            <w:tcW w:w="1845" w:type="dxa"/>
            <w:shd w:val="clear" w:color="auto" w:fill="auto"/>
          </w:tcPr>
          <w:p w14:paraId="66633717" w14:textId="77777777" w:rsidR="001B2A34" w:rsidRPr="001B2A34" w:rsidRDefault="001B2A34" w:rsidP="001B2A34">
            <w:pPr>
              <w:jc w:val="right"/>
              <w:rPr>
                <w:sz w:val="20"/>
                <w:szCs w:val="20"/>
              </w:rPr>
            </w:pPr>
            <w:r w:rsidRPr="001B2A34">
              <w:rPr>
                <w:sz w:val="20"/>
                <w:szCs w:val="20"/>
              </w:rPr>
              <w:t>1</w:t>
            </w:r>
          </w:p>
        </w:tc>
        <w:tc>
          <w:tcPr>
            <w:tcW w:w="1170" w:type="dxa"/>
            <w:shd w:val="clear" w:color="auto" w:fill="auto"/>
          </w:tcPr>
          <w:p w14:paraId="07456B77" w14:textId="77777777" w:rsidR="001B2A34" w:rsidRPr="001B2A34" w:rsidRDefault="001B2A34" w:rsidP="001B2A34">
            <w:pPr>
              <w:jc w:val="right"/>
              <w:rPr>
                <w:sz w:val="20"/>
                <w:szCs w:val="20"/>
              </w:rPr>
            </w:pPr>
            <w:r w:rsidRPr="001B2A34">
              <w:rPr>
                <w:sz w:val="20"/>
                <w:szCs w:val="20"/>
              </w:rPr>
              <w:t>2,000</w:t>
            </w:r>
          </w:p>
        </w:tc>
        <w:tc>
          <w:tcPr>
            <w:tcW w:w="1394" w:type="dxa"/>
            <w:shd w:val="clear" w:color="auto" w:fill="auto"/>
          </w:tcPr>
          <w:p w14:paraId="0D385C3F" w14:textId="77777777" w:rsidR="001B2A34" w:rsidRPr="001B2A34" w:rsidRDefault="001B2A34" w:rsidP="001B2A34">
            <w:pPr>
              <w:jc w:val="right"/>
              <w:rPr>
                <w:sz w:val="20"/>
                <w:szCs w:val="20"/>
              </w:rPr>
            </w:pPr>
            <w:r w:rsidRPr="001B2A34">
              <w:rPr>
                <w:sz w:val="20"/>
                <w:szCs w:val="20"/>
              </w:rPr>
              <w:t>0.08</w:t>
            </w:r>
          </w:p>
          <w:p w14:paraId="46379036" w14:textId="77777777" w:rsidR="001B2A34" w:rsidRPr="001B2A34" w:rsidRDefault="001B2A34" w:rsidP="001B2A34">
            <w:pPr>
              <w:jc w:val="right"/>
              <w:rPr>
                <w:sz w:val="20"/>
                <w:szCs w:val="20"/>
              </w:rPr>
            </w:pPr>
            <w:r w:rsidRPr="001B2A34">
              <w:rPr>
                <w:sz w:val="20"/>
                <w:szCs w:val="20"/>
              </w:rPr>
              <w:t>(5 minutes)</w:t>
            </w:r>
          </w:p>
        </w:tc>
        <w:tc>
          <w:tcPr>
            <w:tcW w:w="851" w:type="dxa"/>
            <w:shd w:val="clear" w:color="auto" w:fill="auto"/>
          </w:tcPr>
          <w:p w14:paraId="5CA451B7" w14:textId="77777777" w:rsidR="001B2A34" w:rsidRPr="001B2A34" w:rsidRDefault="001B2A34" w:rsidP="001B2A34">
            <w:pPr>
              <w:jc w:val="right"/>
              <w:rPr>
                <w:sz w:val="20"/>
                <w:szCs w:val="20"/>
              </w:rPr>
            </w:pPr>
            <w:r w:rsidRPr="001B2A34">
              <w:rPr>
                <w:sz w:val="20"/>
                <w:szCs w:val="20"/>
              </w:rPr>
              <w:t>160</w:t>
            </w:r>
          </w:p>
        </w:tc>
      </w:tr>
      <w:tr w:rsidR="001B2A34" w:rsidRPr="001B2A34" w14:paraId="13AD58E1" w14:textId="77777777" w:rsidTr="00CD6D5C">
        <w:trPr>
          <w:jc w:val="center"/>
        </w:trPr>
        <w:tc>
          <w:tcPr>
            <w:tcW w:w="1927" w:type="dxa"/>
            <w:shd w:val="clear" w:color="auto" w:fill="auto"/>
          </w:tcPr>
          <w:p w14:paraId="701A1502" w14:textId="77777777" w:rsidR="001B2A34" w:rsidRPr="001B2A34" w:rsidRDefault="001B2A34" w:rsidP="001B2A34">
            <w:pPr>
              <w:rPr>
                <w:sz w:val="20"/>
                <w:szCs w:val="20"/>
              </w:rPr>
            </w:pPr>
            <w:r w:rsidRPr="001B2A34">
              <w:rPr>
                <w:sz w:val="20"/>
                <w:szCs w:val="20"/>
              </w:rPr>
              <w:t xml:space="preserve">HCP Survey </w:t>
            </w:r>
          </w:p>
        </w:tc>
        <w:tc>
          <w:tcPr>
            <w:tcW w:w="1443" w:type="dxa"/>
            <w:shd w:val="clear" w:color="auto" w:fill="auto"/>
          </w:tcPr>
          <w:p w14:paraId="33A4E6E3" w14:textId="77777777" w:rsidR="001B2A34" w:rsidRPr="001B2A34" w:rsidRDefault="001B2A34" w:rsidP="001B2A34">
            <w:pPr>
              <w:jc w:val="right"/>
              <w:rPr>
                <w:sz w:val="20"/>
                <w:szCs w:val="20"/>
              </w:rPr>
            </w:pPr>
            <w:r w:rsidRPr="001B2A34">
              <w:rPr>
                <w:sz w:val="20"/>
                <w:szCs w:val="20"/>
              </w:rPr>
              <w:t>2,000</w:t>
            </w:r>
          </w:p>
        </w:tc>
        <w:tc>
          <w:tcPr>
            <w:tcW w:w="1845" w:type="dxa"/>
            <w:shd w:val="clear" w:color="auto" w:fill="auto"/>
          </w:tcPr>
          <w:p w14:paraId="583A615D" w14:textId="77777777" w:rsidR="001B2A34" w:rsidRPr="001B2A34" w:rsidRDefault="001B2A34" w:rsidP="001B2A34">
            <w:pPr>
              <w:jc w:val="right"/>
              <w:rPr>
                <w:sz w:val="20"/>
                <w:szCs w:val="20"/>
              </w:rPr>
            </w:pPr>
            <w:r w:rsidRPr="001B2A34">
              <w:rPr>
                <w:sz w:val="20"/>
                <w:szCs w:val="20"/>
              </w:rPr>
              <w:t>1</w:t>
            </w:r>
          </w:p>
        </w:tc>
        <w:tc>
          <w:tcPr>
            <w:tcW w:w="1170" w:type="dxa"/>
            <w:shd w:val="clear" w:color="auto" w:fill="auto"/>
          </w:tcPr>
          <w:p w14:paraId="52B610E3" w14:textId="77777777" w:rsidR="001B2A34" w:rsidRPr="001B2A34" w:rsidRDefault="001B2A34" w:rsidP="001B2A34">
            <w:pPr>
              <w:jc w:val="right"/>
              <w:rPr>
                <w:sz w:val="20"/>
                <w:szCs w:val="20"/>
              </w:rPr>
            </w:pPr>
            <w:r w:rsidRPr="001B2A34">
              <w:rPr>
                <w:sz w:val="20"/>
                <w:szCs w:val="20"/>
              </w:rPr>
              <w:t>2,000</w:t>
            </w:r>
          </w:p>
        </w:tc>
        <w:tc>
          <w:tcPr>
            <w:tcW w:w="1394" w:type="dxa"/>
            <w:shd w:val="clear" w:color="auto" w:fill="auto"/>
          </w:tcPr>
          <w:p w14:paraId="2DB2C815" w14:textId="77777777" w:rsidR="001B2A34" w:rsidRPr="001B2A34" w:rsidRDefault="001B2A34" w:rsidP="001B2A34">
            <w:pPr>
              <w:jc w:val="right"/>
              <w:rPr>
                <w:sz w:val="20"/>
                <w:szCs w:val="20"/>
              </w:rPr>
            </w:pPr>
            <w:r w:rsidRPr="001B2A34">
              <w:rPr>
                <w:sz w:val="20"/>
                <w:szCs w:val="20"/>
              </w:rPr>
              <w:t>0.33</w:t>
            </w:r>
          </w:p>
          <w:p w14:paraId="3EB28B85" w14:textId="77777777" w:rsidR="001B2A34" w:rsidRPr="001B2A34" w:rsidRDefault="001B2A34" w:rsidP="001B2A34">
            <w:pPr>
              <w:jc w:val="right"/>
              <w:rPr>
                <w:sz w:val="20"/>
                <w:szCs w:val="20"/>
              </w:rPr>
            </w:pPr>
            <w:r w:rsidRPr="001B2A34">
              <w:rPr>
                <w:sz w:val="20"/>
                <w:szCs w:val="20"/>
              </w:rPr>
              <w:t>(20 minutes)</w:t>
            </w:r>
          </w:p>
        </w:tc>
        <w:tc>
          <w:tcPr>
            <w:tcW w:w="851" w:type="dxa"/>
            <w:shd w:val="clear" w:color="auto" w:fill="auto"/>
          </w:tcPr>
          <w:p w14:paraId="629F4881" w14:textId="77777777" w:rsidR="001B2A34" w:rsidRPr="001B2A34" w:rsidRDefault="001B2A34" w:rsidP="001B2A34">
            <w:pPr>
              <w:jc w:val="right"/>
              <w:rPr>
                <w:sz w:val="20"/>
                <w:szCs w:val="20"/>
              </w:rPr>
            </w:pPr>
            <w:r w:rsidRPr="001B2A34">
              <w:rPr>
                <w:sz w:val="20"/>
                <w:szCs w:val="20"/>
              </w:rPr>
              <w:t>660</w:t>
            </w:r>
          </w:p>
        </w:tc>
      </w:tr>
      <w:tr w:rsidR="001B2A34" w:rsidRPr="001B2A34" w14:paraId="3F72E96D" w14:textId="77777777" w:rsidTr="00CD6D5C">
        <w:trPr>
          <w:jc w:val="center"/>
        </w:trPr>
        <w:tc>
          <w:tcPr>
            <w:tcW w:w="1927" w:type="dxa"/>
            <w:shd w:val="clear" w:color="auto" w:fill="auto"/>
          </w:tcPr>
          <w:p w14:paraId="7C37654F" w14:textId="77777777" w:rsidR="001B2A34" w:rsidRPr="001B2A34" w:rsidRDefault="001B2A34" w:rsidP="001B2A34">
            <w:pPr>
              <w:rPr>
                <w:sz w:val="20"/>
                <w:szCs w:val="20"/>
              </w:rPr>
            </w:pPr>
            <w:r w:rsidRPr="001B2A34">
              <w:rPr>
                <w:sz w:val="20"/>
                <w:szCs w:val="20"/>
              </w:rPr>
              <w:t>Total</w:t>
            </w:r>
          </w:p>
        </w:tc>
        <w:tc>
          <w:tcPr>
            <w:tcW w:w="5852" w:type="dxa"/>
            <w:gridSpan w:val="4"/>
            <w:shd w:val="clear" w:color="auto" w:fill="auto"/>
          </w:tcPr>
          <w:p w14:paraId="74368307" w14:textId="77777777" w:rsidR="001B2A34" w:rsidRPr="001B2A34" w:rsidRDefault="001B2A34" w:rsidP="001B2A34">
            <w:pPr>
              <w:jc w:val="right"/>
              <w:rPr>
                <w:sz w:val="20"/>
                <w:szCs w:val="20"/>
              </w:rPr>
            </w:pPr>
          </w:p>
        </w:tc>
        <w:tc>
          <w:tcPr>
            <w:tcW w:w="851" w:type="dxa"/>
            <w:shd w:val="clear" w:color="auto" w:fill="auto"/>
          </w:tcPr>
          <w:p w14:paraId="6A4DA2FE" w14:textId="77777777" w:rsidR="001B2A34" w:rsidRPr="001B2A34" w:rsidRDefault="001B2A34" w:rsidP="001B2A34">
            <w:pPr>
              <w:jc w:val="right"/>
              <w:rPr>
                <w:sz w:val="20"/>
                <w:szCs w:val="20"/>
              </w:rPr>
            </w:pPr>
            <w:r w:rsidRPr="001B2A34">
              <w:rPr>
                <w:sz w:val="20"/>
                <w:szCs w:val="20"/>
              </w:rPr>
              <w:t>1,238</w:t>
            </w:r>
          </w:p>
        </w:tc>
      </w:tr>
    </w:tbl>
    <w:p w14:paraId="3671DDCE" w14:textId="77777777" w:rsidR="001B2A34" w:rsidRPr="001B2A34" w:rsidRDefault="001B2A34" w:rsidP="001B2A34">
      <w:pPr>
        <w:spacing w:after="200" w:line="276" w:lineRule="auto"/>
        <w:ind w:hanging="90"/>
        <w:rPr>
          <w:sz w:val="20"/>
          <w:szCs w:val="20"/>
        </w:rPr>
      </w:pPr>
      <w:r w:rsidRPr="001B2A34">
        <w:rPr>
          <w:sz w:val="20"/>
          <w:szCs w:val="20"/>
          <w:vertAlign w:val="superscript"/>
        </w:rPr>
        <w:t>1</w:t>
      </w:r>
      <w:r w:rsidRPr="001B2A34">
        <w:rPr>
          <w:sz w:val="20"/>
          <w:szCs w:val="20"/>
        </w:rPr>
        <w:t>There are no capital costs and maintenance costs associated with this collection of information.</w:t>
      </w:r>
    </w:p>
    <w:p w14:paraId="6F2E5238" w14:textId="2255A762" w:rsidR="003740BC" w:rsidRDefault="00BF3198" w:rsidP="009C4CF0">
      <w:r w:rsidRPr="00042513">
        <w:rPr>
          <w:sz w:val="20"/>
        </w:rPr>
        <w:t xml:space="preserve"> </w:t>
      </w:r>
      <w:r w:rsidR="009952E5" w:rsidRPr="002E357B">
        <w:t>These estimates are based on FDA’s and the contractor’s experience with previous consumer studies.</w:t>
      </w:r>
    </w:p>
    <w:p w14:paraId="7A17EC2B" w14:textId="77777777" w:rsidR="00EA3744" w:rsidRDefault="00EA3744" w:rsidP="008116CA">
      <w:pPr>
        <w:ind w:left="720"/>
      </w:pPr>
    </w:p>
    <w:p w14:paraId="4616763E" w14:textId="77777777" w:rsidR="00D24B6F" w:rsidRDefault="00060ADF" w:rsidP="00A20F66">
      <w:pPr>
        <w:spacing w:after="100" w:afterAutospacing="1"/>
        <w:ind w:left="360" w:right="360"/>
        <w:rPr>
          <w:u w:val="single"/>
        </w:rPr>
      </w:pPr>
      <w:r w:rsidRPr="00A20F66">
        <w:t xml:space="preserve">13. </w:t>
      </w:r>
      <w:r w:rsidR="00EB7538" w:rsidRPr="004C6979">
        <w:rPr>
          <w:u w:val="single"/>
        </w:rPr>
        <w:t>Estimates of Other Total Annual Cost</w:t>
      </w:r>
      <w:r w:rsidR="007C75B1">
        <w:rPr>
          <w:u w:val="single"/>
        </w:rPr>
        <w:t>s</w:t>
      </w:r>
      <w:r w:rsidR="00EB7538" w:rsidRPr="004C6979">
        <w:rPr>
          <w:u w:val="single"/>
        </w:rPr>
        <w:t xml:space="preserve"> to Respondents and</w:t>
      </w:r>
      <w:r w:rsidR="00350523">
        <w:rPr>
          <w:u w:val="single"/>
        </w:rPr>
        <w:t xml:space="preserve">/or Recordkeepers/Capital </w:t>
      </w:r>
    </w:p>
    <w:p w14:paraId="5F151465" w14:textId="66C30D00" w:rsidR="004C6979" w:rsidRPr="004C6979" w:rsidRDefault="00350523" w:rsidP="00A20F66">
      <w:pPr>
        <w:spacing w:before="100" w:beforeAutospacing="1" w:after="100" w:afterAutospacing="1"/>
        <w:ind w:firstLine="720"/>
        <w:rPr>
          <w:u w:val="single"/>
        </w:rPr>
      </w:pPr>
      <w:r>
        <w:rPr>
          <w:u w:val="single"/>
        </w:rPr>
        <w:t>Costs</w:t>
      </w:r>
    </w:p>
    <w:p w14:paraId="46BC4FD1" w14:textId="5D5DB51E" w:rsidR="00350523" w:rsidRDefault="00350523" w:rsidP="00A20F66">
      <w:pPr>
        <w:ind w:left="720"/>
      </w:pPr>
      <w:r>
        <w:t>There are no capital, start-up, operating or maintenance costs associated with this information collection.</w:t>
      </w:r>
      <w:r w:rsidR="00F01244">
        <w:t xml:space="preserve"> </w:t>
      </w:r>
    </w:p>
    <w:p w14:paraId="414ED8B2" w14:textId="13D753D8" w:rsidR="004C6979" w:rsidRPr="004C6979" w:rsidRDefault="00060ADF" w:rsidP="00A20F66">
      <w:pPr>
        <w:spacing w:before="100" w:beforeAutospacing="1" w:after="100" w:afterAutospacing="1"/>
        <w:ind w:left="360" w:right="360"/>
        <w:rPr>
          <w:u w:val="single"/>
        </w:rPr>
      </w:pPr>
      <w:r w:rsidRPr="00A20F66">
        <w:t xml:space="preserve">14. </w:t>
      </w:r>
      <w:r w:rsidR="00EB7538" w:rsidRPr="004C6979">
        <w:rPr>
          <w:u w:val="single"/>
        </w:rPr>
        <w:t>Annualized Cost to the Federal Government</w:t>
      </w:r>
    </w:p>
    <w:p w14:paraId="08DC015B" w14:textId="06370E86" w:rsidR="00E13764" w:rsidRPr="003B7D6B" w:rsidRDefault="00E13764" w:rsidP="00A20F66">
      <w:pPr>
        <w:autoSpaceDE w:val="0"/>
        <w:autoSpaceDN w:val="0"/>
        <w:adjustRightInd w:val="0"/>
        <w:ind w:left="720"/>
        <w:rPr>
          <w:rFonts w:ascii="Arial" w:hAnsi="Arial" w:cs="Arial"/>
          <w:color w:val="0000FF"/>
          <w:sz w:val="20"/>
          <w:szCs w:val="20"/>
        </w:rPr>
      </w:pPr>
      <w:r w:rsidRPr="003B7D6B">
        <w:t>The total estimated cost to the Federal Government for the collection of data is $</w:t>
      </w:r>
      <w:r w:rsidR="00B631A6">
        <w:t>642,813</w:t>
      </w:r>
      <w:r w:rsidRPr="003B7D6B">
        <w:t xml:space="preserve"> ($</w:t>
      </w:r>
      <w:r w:rsidR="00B631A6">
        <w:t>214,271</w:t>
      </w:r>
      <w:r w:rsidRPr="003B7D6B">
        <w:t xml:space="preserve"> per year for </w:t>
      </w:r>
      <w:r w:rsidR="0075208A">
        <w:t>three</w:t>
      </w:r>
      <w:r w:rsidR="00F8506A">
        <w:t xml:space="preserve"> </w:t>
      </w:r>
      <w:r w:rsidRPr="003B7D6B">
        <w:t xml:space="preserve">years). This includes the costs paid to the contractors to </w:t>
      </w:r>
      <w:r w:rsidR="004E2108">
        <w:t>manipulate</w:t>
      </w:r>
      <w:r w:rsidR="008237C1">
        <w:t xml:space="preserve"> the stimuli, </w:t>
      </w:r>
      <w:r w:rsidRPr="003B7D6B">
        <w:t xml:space="preserve">program the study, draw the sample, collect the data, and create and analyze a database of the </w:t>
      </w:r>
      <w:r w:rsidR="008237C1">
        <w:t>results.</w:t>
      </w:r>
      <w:r w:rsidRPr="003B7D6B">
        <w:t xml:space="preserve">  The contract was awarded as a result of competition.  Specific cost information other than the award amount is proprietary to the contractor and is not public information.  The cost also includes FDA staff time to design and manage the study, to analyze the resultant data, and to draft a report ($</w:t>
      </w:r>
      <w:r w:rsidR="00F8506A">
        <w:t>97</w:t>
      </w:r>
      <w:r w:rsidR="00D02680">
        <w:t>,0</w:t>
      </w:r>
      <w:r w:rsidR="008237C1">
        <w:t>00</w:t>
      </w:r>
      <w:r w:rsidR="00D02680">
        <w:t>; 8</w:t>
      </w:r>
      <w:r w:rsidRPr="003B7D6B">
        <w:t xml:space="preserve"> hours per week for </w:t>
      </w:r>
      <w:r w:rsidR="00DD5AC5">
        <w:t>three</w:t>
      </w:r>
      <w:r w:rsidRPr="003B7D6B">
        <w:t xml:space="preserve"> years).  </w:t>
      </w:r>
    </w:p>
    <w:p w14:paraId="7B2CA79E" w14:textId="46B84289" w:rsidR="004C6979" w:rsidRPr="003B7D6B" w:rsidRDefault="00060ADF" w:rsidP="00A20F66">
      <w:pPr>
        <w:spacing w:before="100" w:beforeAutospacing="1" w:after="100" w:afterAutospacing="1"/>
        <w:ind w:firstLine="432"/>
        <w:rPr>
          <w:u w:val="single"/>
        </w:rPr>
      </w:pPr>
      <w:r w:rsidRPr="00A20F66">
        <w:t xml:space="preserve">15. </w:t>
      </w:r>
      <w:r w:rsidR="00EB7538" w:rsidRPr="003B7D6B">
        <w:rPr>
          <w:u w:val="single"/>
        </w:rPr>
        <w:t>Explanation for Program Changes or Adjustments</w:t>
      </w:r>
    </w:p>
    <w:p w14:paraId="7B275500" w14:textId="1CF3AFB9" w:rsidR="005C55C2" w:rsidRDefault="00BB51B7" w:rsidP="00806772">
      <w:pPr>
        <w:pStyle w:val="BodyTextIndent"/>
        <w:ind w:left="0" w:firstLine="720"/>
      </w:pPr>
      <w:r>
        <w:t xml:space="preserve"> </w:t>
      </w:r>
      <w:r w:rsidR="00E13764">
        <w:t>This is a new data collection.</w:t>
      </w:r>
      <w:r w:rsidR="001F6D6A">
        <w:t xml:space="preserve"> </w:t>
      </w:r>
    </w:p>
    <w:p w14:paraId="4BA9126A" w14:textId="77777777" w:rsidR="00806772" w:rsidRDefault="00806772" w:rsidP="00806772">
      <w:pPr>
        <w:pStyle w:val="BodyTextIndent"/>
        <w:ind w:left="0" w:firstLine="720"/>
      </w:pPr>
    </w:p>
    <w:p w14:paraId="2EF4E3E7" w14:textId="25DD5D09" w:rsidR="004C6979" w:rsidRPr="004C6979" w:rsidRDefault="00060ADF" w:rsidP="00A20F66">
      <w:pPr>
        <w:spacing w:before="100" w:beforeAutospacing="1" w:after="100" w:afterAutospacing="1"/>
        <w:ind w:firstLine="432"/>
        <w:rPr>
          <w:u w:val="single"/>
        </w:rPr>
      </w:pPr>
      <w:r w:rsidRPr="00A20F66">
        <w:t xml:space="preserve">16. </w:t>
      </w:r>
      <w:r w:rsidR="00EB7538" w:rsidRPr="004C6979">
        <w:rPr>
          <w:u w:val="single"/>
        </w:rPr>
        <w:t>Plans for Tabulation and Publication and Project Time Schedule</w:t>
      </w:r>
    </w:p>
    <w:p w14:paraId="7B28D795" w14:textId="77777777" w:rsidR="00AD439C" w:rsidRDefault="00DC7A33" w:rsidP="00A20F66">
      <w:pPr>
        <w:ind w:left="720"/>
      </w:pPr>
      <w:r>
        <w:t xml:space="preserve">Conventional statistical techniques for experimental data, such as descriptive statistics, analysis of variance, and regression models, will be used to analyze the data.  See </w:t>
      </w:r>
      <w:r w:rsidR="003E2A1E">
        <w:t>Part</w:t>
      </w:r>
      <w:r>
        <w:t xml:space="preserve"> B for detailed information on the design, hypotheses, and analysis plan.  The Agency anticipates disseminating the results of the study after the final analyses of the data are completed, reviewed, and cleared.  The exact timing and nature of any such dissemination has not been determined, but may include presentations at trade and </w:t>
      </w:r>
    </w:p>
    <w:p w14:paraId="03D7D4FC" w14:textId="79CB0F42" w:rsidR="00DC7A33" w:rsidRDefault="00DC7A33" w:rsidP="00A20F66">
      <w:pPr>
        <w:ind w:left="720"/>
      </w:pPr>
      <w:r>
        <w:t>academic conferences, publications, articles, and Internet posting.</w:t>
      </w:r>
    </w:p>
    <w:p w14:paraId="0A1286A4" w14:textId="77777777" w:rsidR="003C4EBB" w:rsidRDefault="003C4EBB" w:rsidP="003C4EBB">
      <w:pPr>
        <w:ind w:left="720"/>
      </w:pPr>
      <w:r>
        <w:br/>
      </w:r>
    </w:p>
    <w:tbl>
      <w:tblPr>
        <w:tblW w:w="469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298"/>
      </w:tblGrid>
      <w:tr w:rsidR="00345CE3" w:rsidRPr="00345CE3" w14:paraId="0F46AFA4" w14:textId="77777777" w:rsidTr="00800CBF">
        <w:tc>
          <w:tcPr>
            <w:tcW w:w="5000" w:type="pct"/>
            <w:gridSpan w:val="2"/>
            <w:tcBorders>
              <w:top w:val="nil"/>
              <w:left w:val="nil"/>
              <w:right w:val="nil"/>
            </w:tcBorders>
            <w:shd w:val="clear" w:color="auto" w:fill="auto"/>
          </w:tcPr>
          <w:p w14:paraId="03C3F2CF" w14:textId="77777777" w:rsidR="00345CE3" w:rsidRPr="00345CE3" w:rsidRDefault="00345CE3" w:rsidP="003820D3">
            <w:r w:rsidRPr="00345CE3">
              <w:t xml:space="preserve">Table 2. </w:t>
            </w:r>
            <w:r>
              <w:t xml:space="preserve">– </w:t>
            </w:r>
            <w:r w:rsidRPr="00345CE3">
              <w:t>Project Time Schedule</w:t>
            </w:r>
          </w:p>
        </w:tc>
      </w:tr>
      <w:tr w:rsidR="00AA1F72" w:rsidRPr="00CA40A1" w14:paraId="634443C5" w14:textId="77777777" w:rsidTr="00800CBF">
        <w:tc>
          <w:tcPr>
            <w:tcW w:w="3168" w:type="pct"/>
            <w:shd w:val="clear" w:color="auto" w:fill="auto"/>
          </w:tcPr>
          <w:p w14:paraId="25CCE226" w14:textId="77777777" w:rsidR="00AA1F72" w:rsidRPr="00CA40A1" w:rsidRDefault="00AA1F72" w:rsidP="003820D3">
            <w:pPr>
              <w:rPr>
                <w:b/>
              </w:rPr>
            </w:pPr>
            <w:r>
              <w:rPr>
                <w:b/>
              </w:rPr>
              <w:t>Task</w:t>
            </w:r>
          </w:p>
        </w:tc>
        <w:tc>
          <w:tcPr>
            <w:tcW w:w="1832" w:type="pct"/>
            <w:shd w:val="clear" w:color="auto" w:fill="auto"/>
          </w:tcPr>
          <w:p w14:paraId="400C8ECA" w14:textId="77777777" w:rsidR="00AA1F72" w:rsidRDefault="00AA1F72" w:rsidP="003820D3">
            <w:pPr>
              <w:rPr>
                <w:b/>
              </w:rPr>
            </w:pPr>
            <w:r>
              <w:rPr>
                <w:b/>
              </w:rPr>
              <w:t xml:space="preserve">Estimated Number of Weeks </w:t>
            </w:r>
          </w:p>
          <w:p w14:paraId="3CCEC40F" w14:textId="77777777" w:rsidR="00AA1F72" w:rsidRPr="00CA40A1" w:rsidRDefault="00AA1F72" w:rsidP="003820D3">
            <w:pPr>
              <w:rPr>
                <w:b/>
              </w:rPr>
            </w:pPr>
            <w:r>
              <w:rPr>
                <w:b/>
              </w:rPr>
              <w:t>after OMB Approval</w:t>
            </w:r>
          </w:p>
        </w:tc>
      </w:tr>
      <w:tr w:rsidR="00AA1F72" w:rsidRPr="00CA40A1" w14:paraId="6C7160DB" w14:textId="77777777" w:rsidTr="00800CBF">
        <w:tc>
          <w:tcPr>
            <w:tcW w:w="3168" w:type="pct"/>
            <w:shd w:val="clear" w:color="auto" w:fill="auto"/>
          </w:tcPr>
          <w:p w14:paraId="1AA55641" w14:textId="77777777" w:rsidR="00AA1F72" w:rsidRPr="00CA40A1" w:rsidRDefault="00C66AF1" w:rsidP="00351041">
            <w:r>
              <w:t>P</w:t>
            </w:r>
            <w:r w:rsidR="00AA1F72">
              <w:t>retest completed</w:t>
            </w:r>
          </w:p>
        </w:tc>
        <w:tc>
          <w:tcPr>
            <w:tcW w:w="1832" w:type="pct"/>
            <w:shd w:val="clear" w:color="auto" w:fill="auto"/>
          </w:tcPr>
          <w:p w14:paraId="53EAA965" w14:textId="6EAF282A" w:rsidR="00AA1F72" w:rsidRPr="00CA40A1" w:rsidRDefault="003D011B" w:rsidP="003820D3">
            <w:r>
              <w:t>16</w:t>
            </w:r>
            <w:r w:rsidR="00AA1F72">
              <w:t xml:space="preserve"> weeks</w:t>
            </w:r>
          </w:p>
        </w:tc>
      </w:tr>
      <w:tr w:rsidR="00AA1F72" w:rsidRPr="00CA40A1" w14:paraId="2E02714E" w14:textId="77777777" w:rsidTr="00800CBF">
        <w:tc>
          <w:tcPr>
            <w:tcW w:w="3168" w:type="pct"/>
            <w:shd w:val="clear" w:color="auto" w:fill="auto"/>
          </w:tcPr>
          <w:p w14:paraId="549D913E" w14:textId="77777777" w:rsidR="00AA1F72" w:rsidRPr="00CA40A1" w:rsidRDefault="00AA1F72" w:rsidP="003820D3">
            <w:r w:rsidRPr="00CA40A1">
              <w:t xml:space="preserve">Main study data collected </w:t>
            </w:r>
          </w:p>
        </w:tc>
        <w:tc>
          <w:tcPr>
            <w:tcW w:w="1832" w:type="pct"/>
            <w:shd w:val="clear" w:color="auto" w:fill="auto"/>
          </w:tcPr>
          <w:p w14:paraId="3BD9CFB7" w14:textId="3D35B7A4" w:rsidR="00AA1F72" w:rsidRPr="00CA40A1" w:rsidRDefault="003D011B" w:rsidP="003820D3">
            <w:r>
              <w:t>40</w:t>
            </w:r>
            <w:r w:rsidR="00AA1F72">
              <w:t xml:space="preserve"> weeks </w:t>
            </w:r>
          </w:p>
        </w:tc>
      </w:tr>
      <w:tr w:rsidR="00AA1F72" w:rsidRPr="00CA40A1" w14:paraId="20B22482" w14:textId="77777777" w:rsidTr="00800CBF">
        <w:tc>
          <w:tcPr>
            <w:tcW w:w="3168" w:type="pct"/>
            <w:shd w:val="clear" w:color="auto" w:fill="auto"/>
          </w:tcPr>
          <w:p w14:paraId="2EC17E4D" w14:textId="77777777" w:rsidR="00AA1F72" w:rsidRPr="00CA40A1" w:rsidRDefault="00AA1F72" w:rsidP="003820D3">
            <w:r w:rsidRPr="00CA40A1">
              <w:t xml:space="preserve">Final methods </w:t>
            </w:r>
            <w:r>
              <w:t>report</w:t>
            </w:r>
            <w:r w:rsidRPr="00CA40A1">
              <w:t xml:space="preserve"> </w:t>
            </w:r>
            <w:r>
              <w:t>completed</w:t>
            </w:r>
          </w:p>
        </w:tc>
        <w:tc>
          <w:tcPr>
            <w:tcW w:w="1832" w:type="pct"/>
            <w:shd w:val="clear" w:color="auto" w:fill="auto"/>
          </w:tcPr>
          <w:p w14:paraId="501715F4" w14:textId="108BCA44" w:rsidR="00AA1F72" w:rsidRPr="00CA40A1" w:rsidRDefault="003D011B" w:rsidP="003820D3">
            <w:r>
              <w:t>40</w:t>
            </w:r>
            <w:r w:rsidR="00AA1F72">
              <w:t xml:space="preserve"> weeks</w:t>
            </w:r>
          </w:p>
        </w:tc>
      </w:tr>
      <w:tr w:rsidR="00AA1F72" w:rsidRPr="00CA40A1" w14:paraId="1A9130CE" w14:textId="77777777" w:rsidTr="00800CBF">
        <w:tc>
          <w:tcPr>
            <w:tcW w:w="3168" w:type="pct"/>
            <w:shd w:val="clear" w:color="auto" w:fill="auto"/>
          </w:tcPr>
          <w:p w14:paraId="6D2F5428" w14:textId="77777777" w:rsidR="00AA1F72" w:rsidRPr="00CA40A1" w:rsidRDefault="00AA1F72" w:rsidP="003820D3">
            <w:r w:rsidRPr="00CA40A1">
              <w:t xml:space="preserve">Final results </w:t>
            </w:r>
            <w:r>
              <w:t>report completed</w:t>
            </w:r>
          </w:p>
        </w:tc>
        <w:tc>
          <w:tcPr>
            <w:tcW w:w="1832" w:type="pct"/>
            <w:shd w:val="clear" w:color="auto" w:fill="auto"/>
          </w:tcPr>
          <w:p w14:paraId="4BBC86EE" w14:textId="60BEDD7C" w:rsidR="00AA1F72" w:rsidRPr="00CA40A1" w:rsidRDefault="003D011B" w:rsidP="003820D3">
            <w:r>
              <w:t>62</w:t>
            </w:r>
            <w:r w:rsidR="00AA1F72">
              <w:t xml:space="preserve"> weeks</w:t>
            </w:r>
          </w:p>
        </w:tc>
      </w:tr>
      <w:tr w:rsidR="00AA1F72" w:rsidRPr="00CA40A1" w14:paraId="19D01B0D" w14:textId="77777777" w:rsidTr="00800CBF">
        <w:tc>
          <w:tcPr>
            <w:tcW w:w="3168" w:type="pct"/>
            <w:shd w:val="clear" w:color="auto" w:fill="auto"/>
          </w:tcPr>
          <w:p w14:paraId="4F0A083B" w14:textId="77777777" w:rsidR="00AA1F72" w:rsidRPr="00CA40A1" w:rsidRDefault="00AA1F72" w:rsidP="003820D3">
            <w:r>
              <w:t>Manuscript submitted for internal review</w:t>
            </w:r>
          </w:p>
        </w:tc>
        <w:tc>
          <w:tcPr>
            <w:tcW w:w="1832" w:type="pct"/>
            <w:shd w:val="clear" w:color="auto" w:fill="auto"/>
          </w:tcPr>
          <w:p w14:paraId="4EEA9E84" w14:textId="60037A7B" w:rsidR="00AA1F72" w:rsidRDefault="003D011B" w:rsidP="003820D3">
            <w:r>
              <w:t>66</w:t>
            </w:r>
            <w:r w:rsidR="00AA1F72">
              <w:t xml:space="preserve"> weeks</w:t>
            </w:r>
          </w:p>
        </w:tc>
      </w:tr>
      <w:tr w:rsidR="00AA1F72" w:rsidRPr="00CA40A1" w14:paraId="1D417EAE" w14:textId="77777777" w:rsidTr="00800CBF">
        <w:tc>
          <w:tcPr>
            <w:tcW w:w="3168" w:type="pct"/>
            <w:shd w:val="clear" w:color="auto" w:fill="auto"/>
          </w:tcPr>
          <w:p w14:paraId="5FAA872E" w14:textId="77777777" w:rsidR="00AA1F72" w:rsidRPr="00CA40A1" w:rsidRDefault="00AA1F72" w:rsidP="003820D3">
            <w:r>
              <w:t>Manuscript submitted for peer-review journal publication</w:t>
            </w:r>
          </w:p>
        </w:tc>
        <w:tc>
          <w:tcPr>
            <w:tcW w:w="1832" w:type="pct"/>
            <w:shd w:val="clear" w:color="auto" w:fill="auto"/>
          </w:tcPr>
          <w:p w14:paraId="2C10D82A" w14:textId="07804C05" w:rsidR="00AA1F72" w:rsidRDefault="003D011B" w:rsidP="003820D3">
            <w:r>
              <w:t>70</w:t>
            </w:r>
            <w:r w:rsidR="00AA1F72">
              <w:t xml:space="preserve"> weeks</w:t>
            </w:r>
          </w:p>
        </w:tc>
      </w:tr>
    </w:tbl>
    <w:p w14:paraId="74A58E42" w14:textId="77777777" w:rsidR="00DC7A33" w:rsidRDefault="00DC7A33" w:rsidP="003C4EBB">
      <w:pPr>
        <w:ind w:left="720"/>
      </w:pPr>
    </w:p>
    <w:p w14:paraId="0E4F6AE6" w14:textId="11E18249" w:rsidR="004C6979" w:rsidRPr="004C6979" w:rsidRDefault="00060ADF" w:rsidP="00060ADF">
      <w:pPr>
        <w:spacing w:before="100" w:beforeAutospacing="1" w:after="100" w:afterAutospacing="1"/>
        <w:rPr>
          <w:u w:val="single"/>
        </w:rPr>
      </w:pPr>
      <w:r w:rsidRPr="00A20F66">
        <w:t xml:space="preserve">17. </w:t>
      </w:r>
      <w:r w:rsidR="00EB7538" w:rsidRPr="004C6979">
        <w:rPr>
          <w:u w:val="single"/>
        </w:rPr>
        <w:t>Reason(s) Display of OMB Expiration Date is Inappropriate</w:t>
      </w:r>
    </w:p>
    <w:p w14:paraId="17C4A2D8" w14:textId="0BF151D5" w:rsidR="004C6979" w:rsidRDefault="00A919A5" w:rsidP="00A919A5">
      <w:r>
        <w:t xml:space="preserve">      </w:t>
      </w:r>
      <w:r w:rsidR="00DC7A33">
        <w:t>No exemption is requested.</w:t>
      </w:r>
    </w:p>
    <w:p w14:paraId="6DA7EF2A" w14:textId="134FD981" w:rsidR="00EB7538" w:rsidRDefault="00060ADF" w:rsidP="00060ADF">
      <w:pPr>
        <w:spacing w:before="100" w:beforeAutospacing="1" w:after="100" w:afterAutospacing="1"/>
        <w:rPr>
          <w:u w:val="single"/>
        </w:rPr>
      </w:pPr>
      <w:r w:rsidRPr="00A20F66">
        <w:t xml:space="preserve">18. </w:t>
      </w:r>
      <w:r w:rsidR="00EB7538" w:rsidRPr="004C6979">
        <w:rPr>
          <w:u w:val="single"/>
        </w:rPr>
        <w:t>Exceptions to Certification for Paperwork Reduction Act Submissions</w:t>
      </w:r>
    </w:p>
    <w:p w14:paraId="5B56699B" w14:textId="43DD0F9A" w:rsidR="00915F01" w:rsidRDefault="00A919A5" w:rsidP="003E2A1E">
      <w:pPr>
        <w:spacing w:before="100" w:beforeAutospacing="1" w:after="100" w:afterAutospacing="1"/>
      </w:pPr>
      <w:r>
        <w:t xml:space="preserve">      </w:t>
      </w:r>
      <w:r w:rsidR="00DC7A33">
        <w:t>T</w:t>
      </w:r>
      <w:r w:rsidR="00754497">
        <w:t>here are no e</w:t>
      </w:r>
      <w:r w:rsidR="00DC7A33">
        <w:t>xceptions to the certification.</w:t>
      </w:r>
    </w:p>
    <w:sectPr w:rsidR="00915F01" w:rsidSect="00EB7538">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8174E" w14:textId="77777777" w:rsidR="002300C0" w:rsidRDefault="002300C0">
      <w:r>
        <w:separator/>
      </w:r>
    </w:p>
  </w:endnote>
  <w:endnote w:type="continuationSeparator" w:id="0">
    <w:p w14:paraId="7DB7BC0D" w14:textId="77777777" w:rsidR="002300C0" w:rsidRDefault="002300C0">
      <w:r>
        <w:continuationSeparator/>
      </w:r>
    </w:p>
  </w:endnote>
  <w:endnote w:type="continuationNotice" w:id="1">
    <w:p w14:paraId="43DB7B66" w14:textId="77777777" w:rsidR="002300C0" w:rsidRDefault="00230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D1AE9" w14:textId="77777777" w:rsidR="002300C0" w:rsidRDefault="002300C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E1956" w14:textId="77777777" w:rsidR="002300C0" w:rsidRDefault="00230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F8C3" w14:textId="357AD692" w:rsidR="002300C0" w:rsidRDefault="002300C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1F42">
      <w:rPr>
        <w:rStyle w:val="PageNumber"/>
        <w:noProof/>
      </w:rPr>
      <w:t>1</w:t>
    </w:r>
    <w:r>
      <w:rPr>
        <w:rStyle w:val="PageNumber"/>
      </w:rPr>
      <w:fldChar w:fldCharType="end"/>
    </w:r>
  </w:p>
  <w:p w14:paraId="44D34D25" w14:textId="77777777" w:rsidR="002300C0" w:rsidRDefault="00230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3FD79" w14:textId="77777777" w:rsidR="002300C0" w:rsidRDefault="002300C0">
      <w:r>
        <w:separator/>
      </w:r>
    </w:p>
  </w:footnote>
  <w:footnote w:type="continuationSeparator" w:id="0">
    <w:p w14:paraId="7F2CEF4C" w14:textId="77777777" w:rsidR="002300C0" w:rsidRDefault="002300C0">
      <w:r>
        <w:continuationSeparator/>
      </w:r>
    </w:p>
  </w:footnote>
  <w:footnote w:type="continuationNotice" w:id="1">
    <w:p w14:paraId="6B8E2333" w14:textId="77777777" w:rsidR="002300C0" w:rsidRDefault="002300C0"/>
  </w:footnote>
  <w:footnote w:id="2">
    <w:p w14:paraId="6DBF23F3" w14:textId="59FF844B" w:rsidR="00EB3C90" w:rsidRPr="00EB3C90" w:rsidRDefault="00EB3C90">
      <w:pPr>
        <w:pStyle w:val="FootnoteText"/>
      </w:pPr>
      <w:r>
        <w:rPr>
          <w:rStyle w:val="FootnoteReference"/>
        </w:rPr>
        <w:footnoteRef/>
      </w:r>
      <w:r>
        <w:t xml:space="preserve"> For example, Austed KE, Avorn J, Franklin JM, Campbell EG, Kesselheim AS. Association of marketing interactions with medical trainees’ knowledge about evidence-based prescribing: Results from a national survey. </w:t>
      </w:r>
      <w:r>
        <w:rPr>
          <w:i/>
        </w:rPr>
        <w:t>JAMA Int Med</w:t>
      </w:r>
      <w:r>
        <w:t xml:space="preserve">.2014,174:1283-90. Crigger N, Barnes K, Junko A, Rahal S, Sheek C. Nurse practitioners’ perceptions and participation in pharmaceutical marketing. </w:t>
      </w:r>
      <w:r>
        <w:rPr>
          <w:i/>
        </w:rPr>
        <w:t>J Adv Nurs</w:t>
      </w:r>
      <w:r>
        <w:t xml:space="preserve">.2009,65:525-533. Fugh-Berman AJ, Scialli AR, Bell AM. Why lunch matters: Assessing physicians’ perceptions about industry relationships. </w:t>
      </w:r>
      <w:r>
        <w:rPr>
          <w:i/>
        </w:rPr>
        <w:t>J Cont Educ Health Prof</w:t>
      </w:r>
      <w:r>
        <w:t>. 2010,30:197-204.</w:t>
      </w:r>
    </w:p>
  </w:footnote>
  <w:footnote w:id="3">
    <w:p w14:paraId="0D127681" w14:textId="77777777" w:rsidR="00403E23" w:rsidRDefault="00403E23" w:rsidP="00403E23">
      <w:pPr>
        <w:pStyle w:val="FootnoteText"/>
      </w:pPr>
      <w:r>
        <w:rPr>
          <w:rStyle w:val="FootnoteReference"/>
        </w:rPr>
        <w:footnoteRef/>
      </w:r>
      <w:r>
        <w:t xml:space="preserve"> </w:t>
      </w:r>
      <w:r w:rsidRPr="00BF31F5">
        <w:t>https://www.fda.gov/Drugs/DevelopmentApprovalProcess/HowDrugsareDevelopedandApproved/ApprovalApplications/TherapeuticBiologicApplications/Biosimilars/ucm580419.htm#biosimilar</w:t>
      </w:r>
    </w:p>
  </w:footnote>
  <w:footnote w:id="4">
    <w:p w14:paraId="1858DFE6" w14:textId="77777777" w:rsidR="00403E23" w:rsidRPr="00E85724" w:rsidRDefault="00403E23" w:rsidP="00403E23">
      <w:pPr>
        <w:pStyle w:val="FootnoteText"/>
      </w:pPr>
      <w:r w:rsidRPr="00E85724">
        <w:rPr>
          <w:rStyle w:val="FootnoteReference"/>
        </w:rPr>
        <w:footnoteRef/>
      </w:r>
      <w:r w:rsidRPr="00E85724">
        <w:t>https://www.fda.gov/AboutFDA/CentersOffices/OfficeofMedicalProductsandTobacco/CDER/ucm090276.htm</w:t>
      </w:r>
    </w:p>
  </w:footnote>
  <w:footnote w:id="5">
    <w:p w14:paraId="1B72EE89" w14:textId="724608E5" w:rsidR="00655A32" w:rsidRPr="001227FE" w:rsidRDefault="00655A32" w:rsidP="00655A32">
      <w:pPr>
        <w:pStyle w:val="N0-FlLftBullet"/>
        <w:rPr>
          <w:szCs w:val="24"/>
        </w:rPr>
      </w:pPr>
      <w:r>
        <w:rPr>
          <w:rStyle w:val="FootnoteReference"/>
        </w:rPr>
        <w:footnoteRef/>
      </w:r>
      <w:r>
        <w:t xml:space="preserve"> </w:t>
      </w:r>
      <w:r w:rsidRPr="00655A32">
        <w:rPr>
          <w:rFonts w:ascii="Times New Roman" w:hAnsi="Times New Roman"/>
          <w:sz w:val="20"/>
        </w:rPr>
        <w:t xml:space="preserve">Gunn, W.J., and Rhodes, I.N. (1981). Physician response rates to a telephone survey: Effects of monetary incentive level. </w:t>
      </w:r>
      <w:r w:rsidRPr="00655A32">
        <w:rPr>
          <w:rFonts w:ascii="Times New Roman" w:hAnsi="Times New Roman"/>
          <w:i/>
          <w:iCs/>
          <w:sz w:val="20"/>
        </w:rPr>
        <w:t>Public Opinion Quarterly</w:t>
      </w:r>
      <w:r w:rsidRPr="00655A32">
        <w:rPr>
          <w:rFonts w:ascii="Times New Roman" w:hAnsi="Times New Roman"/>
          <w:sz w:val="20"/>
        </w:rPr>
        <w:t xml:space="preserve">, 45(1), 109-115. Deehan, A., Templeton, L., Taylor, C., Drummond, C. and Strang, J. (1997). </w:t>
      </w:r>
      <w:r w:rsidRPr="00655A32">
        <w:rPr>
          <w:rFonts w:ascii="Times New Roman" w:hAnsi="Times New Roman"/>
          <w:bCs/>
          <w:color w:val="231F20"/>
          <w:sz w:val="20"/>
        </w:rPr>
        <w:t xml:space="preserve">The effect of cash and other financial inducements on the response rate of general practitioners in a national postal study. </w:t>
      </w:r>
      <w:r w:rsidRPr="00655A32">
        <w:rPr>
          <w:rFonts w:ascii="Times New Roman" w:hAnsi="Times New Roman"/>
          <w:i/>
          <w:sz w:val="20"/>
        </w:rPr>
        <w:t>British Journal of General Practice</w:t>
      </w:r>
      <w:r w:rsidRPr="00655A32">
        <w:rPr>
          <w:rFonts w:ascii="Times New Roman" w:hAnsi="Times New Roman"/>
          <w:sz w:val="20"/>
        </w:rPr>
        <w:t xml:space="preserve">, 47, 87-90. Dykema, J., Stevenson, J., Day, B., Sellers, S.L., and Bonham, V.L. (2011). Effects of incentives and prenotification on response rates and costs in a national web survey of physicians. </w:t>
      </w:r>
      <w:r w:rsidRPr="00655A32">
        <w:rPr>
          <w:rFonts w:ascii="Times New Roman" w:hAnsi="Times New Roman"/>
          <w:i/>
          <w:sz w:val="20"/>
        </w:rPr>
        <w:t>Evaluation &amp; the Health Professions</w:t>
      </w:r>
      <w:r w:rsidRPr="00655A32">
        <w:rPr>
          <w:rFonts w:ascii="Times New Roman" w:hAnsi="Times New Roman"/>
          <w:sz w:val="20"/>
        </w:rPr>
        <w:t xml:space="preserve">, 34(4), 434-447. Keating, N.L., Zaslavsky, A.M., Goldstein, J., West, D.W., and Ayanian, J.Z. (2008). Randomized trial of $20 versus $50 incentives to increase physician survey response rates. </w:t>
      </w:r>
      <w:r w:rsidRPr="00655A32">
        <w:rPr>
          <w:rFonts w:ascii="Times New Roman" w:hAnsi="Times New Roman"/>
          <w:i/>
          <w:iCs/>
          <w:sz w:val="20"/>
        </w:rPr>
        <w:t>Medical Care,</w:t>
      </w:r>
      <w:r w:rsidRPr="00655A32">
        <w:rPr>
          <w:rFonts w:ascii="Times New Roman" w:hAnsi="Times New Roman"/>
          <w:iCs/>
          <w:sz w:val="20"/>
        </w:rPr>
        <w:t xml:space="preserve"> 46(8)</w:t>
      </w:r>
      <w:r w:rsidRPr="00655A32">
        <w:rPr>
          <w:rFonts w:ascii="Times New Roman" w:hAnsi="Times New Roman"/>
          <w:sz w:val="20"/>
        </w:rPr>
        <w:t xml:space="preserve">, 878-881. Tambor, E.S., Chase, G.A., Faden, R.R., Geller, G., Hofinan, K.J., and Holtzman, N.A. (1993). Improving response rates through incentive and follow-up: The effect on a survey of physicians' knowledge of genetics. </w:t>
      </w:r>
      <w:r w:rsidRPr="00655A32">
        <w:rPr>
          <w:rFonts w:ascii="Times New Roman" w:hAnsi="Times New Roman"/>
          <w:i/>
          <w:sz w:val="20"/>
        </w:rPr>
        <w:t>American Journal of Public Health,</w:t>
      </w:r>
      <w:r w:rsidRPr="00655A32">
        <w:rPr>
          <w:rFonts w:ascii="Times New Roman" w:hAnsi="Times New Roman"/>
          <w:sz w:val="20"/>
        </w:rPr>
        <w:t xml:space="preserve"> 83(11), 1599-1603. Ziegenfuss, J.Y., Burmeister, K., James, K.M., Haas, L., Tilburt, J.C., and Beebe, T.J. (2012). Getting physicians to open the survey: Little evidence that an envelope teaser increases response rates. </w:t>
      </w:r>
      <w:r w:rsidRPr="00655A32">
        <w:rPr>
          <w:rFonts w:ascii="Times New Roman" w:hAnsi="Times New Roman"/>
          <w:i/>
          <w:sz w:val="20"/>
        </w:rPr>
        <w:t>BMC Medical Research Methodology</w:t>
      </w:r>
      <w:r w:rsidRPr="00655A32">
        <w:rPr>
          <w:rFonts w:ascii="Times New Roman" w:hAnsi="Times New Roman"/>
          <w:sz w:val="20"/>
        </w:rPr>
        <w:t>, 12(41).</w:t>
      </w:r>
    </w:p>
    <w:p w14:paraId="3C8D0CCD" w14:textId="5A99EAC3" w:rsidR="00655A32" w:rsidRPr="00655A32" w:rsidRDefault="00655A32" w:rsidP="00655A32">
      <w:pPr>
        <w:pStyle w:val="N0-FlLftBullet"/>
        <w:rPr>
          <w:szCs w:val="24"/>
        </w:rPr>
      </w:pPr>
    </w:p>
    <w:p w14:paraId="0EFCD051" w14:textId="3FBA5E8D" w:rsidR="00655A32" w:rsidRDefault="00655A3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1">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AE0FAA"/>
    <w:multiLevelType w:val="hybridMultilevel"/>
    <w:tmpl w:val="531480F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0CF102D"/>
    <w:multiLevelType w:val="hybridMultilevel"/>
    <w:tmpl w:val="962E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3300"/>
    <w:rsid w:val="00014C46"/>
    <w:rsid w:val="000324D8"/>
    <w:rsid w:val="0003612A"/>
    <w:rsid w:val="00040160"/>
    <w:rsid w:val="000419DF"/>
    <w:rsid w:val="00051A7C"/>
    <w:rsid w:val="00054F7E"/>
    <w:rsid w:val="000550CA"/>
    <w:rsid w:val="00060ADF"/>
    <w:rsid w:val="0006570F"/>
    <w:rsid w:val="00066BEC"/>
    <w:rsid w:val="00067B31"/>
    <w:rsid w:val="00071C8D"/>
    <w:rsid w:val="000732D5"/>
    <w:rsid w:val="000739A4"/>
    <w:rsid w:val="000A71D7"/>
    <w:rsid w:val="000C00A9"/>
    <w:rsid w:val="000C5CE8"/>
    <w:rsid w:val="000D4741"/>
    <w:rsid w:val="000D48FD"/>
    <w:rsid w:val="000D7569"/>
    <w:rsid w:val="000E16D8"/>
    <w:rsid w:val="000E1C64"/>
    <w:rsid w:val="000E36BA"/>
    <w:rsid w:val="000E7602"/>
    <w:rsid w:val="000F44B9"/>
    <w:rsid w:val="000F60E6"/>
    <w:rsid w:val="000F6CA6"/>
    <w:rsid w:val="00100739"/>
    <w:rsid w:val="00101806"/>
    <w:rsid w:val="00107885"/>
    <w:rsid w:val="00114FC4"/>
    <w:rsid w:val="00122082"/>
    <w:rsid w:val="001220AD"/>
    <w:rsid w:val="0012329C"/>
    <w:rsid w:val="001310E2"/>
    <w:rsid w:val="00134FA7"/>
    <w:rsid w:val="00137950"/>
    <w:rsid w:val="00152F29"/>
    <w:rsid w:val="001679C5"/>
    <w:rsid w:val="0017237B"/>
    <w:rsid w:val="0017723D"/>
    <w:rsid w:val="00180C63"/>
    <w:rsid w:val="0018139E"/>
    <w:rsid w:val="00185270"/>
    <w:rsid w:val="00194AD6"/>
    <w:rsid w:val="00196101"/>
    <w:rsid w:val="001A1296"/>
    <w:rsid w:val="001A24D4"/>
    <w:rsid w:val="001A3B5A"/>
    <w:rsid w:val="001A439E"/>
    <w:rsid w:val="001A772B"/>
    <w:rsid w:val="001B2A34"/>
    <w:rsid w:val="001B7CE9"/>
    <w:rsid w:val="001C416C"/>
    <w:rsid w:val="001C42D8"/>
    <w:rsid w:val="001D2477"/>
    <w:rsid w:val="001D495A"/>
    <w:rsid w:val="001D5458"/>
    <w:rsid w:val="001D634E"/>
    <w:rsid w:val="001D6E11"/>
    <w:rsid w:val="001D7120"/>
    <w:rsid w:val="001E3E05"/>
    <w:rsid w:val="001F1B90"/>
    <w:rsid w:val="001F52BA"/>
    <w:rsid w:val="001F6D6A"/>
    <w:rsid w:val="00201DE8"/>
    <w:rsid w:val="002259EF"/>
    <w:rsid w:val="00226021"/>
    <w:rsid w:val="002300C0"/>
    <w:rsid w:val="00240F72"/>
    <w:rsid w:val="00242ED1"/>
    <w:rsid w:val="00251930"/>
    <w:rsid w:val="00251EBF"/>
    <w:rsid w:val="00254069"/>
    <w:rsid w:val="00266085"/>
    <w:rsid w:val="0027039C"/>
    <w:rsid w:val="00272B36"/>
    <w:rsid w:val="002734E5"/>
    <w:rsid w:val="0027419B"/>
    <w:rsid w:val="002746DB"/>
    <w:rsid w:val="00275448"/>
    <w:rsid w:val="00280CAF"/>
    <w:rsid w:val="00282DF9"/>
    <w:rsid w:val="00282F09"/>
    <w:rsid w:val="0028386A"/>
    <w:rsid w:val="0028604F"/>
    <w:rsid w:val="00297B7C"/>
    <w:rsid w:val="002B2607"/>
    <w:rsid w:val="002B5CE4"/>
    <w:rsid w:val="002C61F7"/>
    <w:rsid w:val="002D0C6C"/>
    <w:rsid w:val="002D14D8"/>
    <w:rsid w:val="002D4799"/>
    <w:rsid w:val="002E357B"/>
    <w:rsid w:val="002E3FA4"/>
    <w:rsid w:val="002E7C59"/>
    <w:rsid w:val="002F1A31"/>
    <w:rsid w:val="00302419"/>
    <w:rsid w:val="0030249A"/>
    <w:rsid w:val="00307DDF"/>
    <w:rsid w:val="0031382F"/>
    <w:rsid w:val="00320A34"/>
    <w:rsid w:val="00322260"/>
    <w:rsid w:val="0032277F"/>
    <w:rsid w:val="003243A8"/>
    <w:rsid w:val="00325672"/>
    <w:rsid w:val="0033345F"/>
    <w:rsid w:val="003374F0"/>
    <w:rsid w:val="003403E9"/>
    <w:rsid w:val="0034336C"/>
    <w:rsid w:val="00345CE3"/>
    <w:rsid w:val="00350523"/>
    <w:rsid w:val="00351041"/>
    <w:rsid w:val="003574BC"/>
    <w:rsid w:val="00357A79"/>
    <w:rsid w:val="00371626"/>
    <w:rsid w:val="003719C0"/>
    <w:rsid w:val="003740BC"/>
    <w:rsid w:val="00374454"/>
    <w:rsid w:val="00374FFB"/>
    <w:rsid w:val="003801A3"/>
    <w:rsid w:val="003820D3"/>
    <w:rsid w:val="00383D90"/>
    <w:rsid w:val="003846C9"/>
    <w:rsid w:val="0039598D"/>
    <w:rsid w:val="00396BCB"/>
    <w:rsid w:val="003A551D"/>
    <w:rsid w:val="003B42B3"/>
    <w:rsid w:val="003B6384"/>
    <w:rsid w:val="003B7D6B"/>
    <w:rsid w:val="003C4EBB"/>
    <w:rsid w:val="003C4FD7"/>
    <w:rsid w:val="003C5B6B"/>
    <w:rsid w:val="003D011B"/>
    <w:rsid w:val="003D1531"/>
    <w:rsid w:val="003D5E26"/>
    <w:rsid w:val="003E2A1E"/>
    <w:rsid w:val="003E4EC6"/>
    <w:rsid w:val="003E527E"/>
    <w:rsid w:val="003E553E"/>
    <w:rsid w:val="003E7078"/>
    <w:rsid w:val="003F02AA"/>
    <w:rsid w:val="003F0DA7"/>
    <w:rsid w:val="003F2F58"/>
    <w:rsid w:val="003F3DF5"/>
    <w:rsid w:val="00401962"/>
    <w:rsid w:val="0040292E"/>
    <w:rsid w:val="00403E23"/>
    <w:rsid w:val="004069C6"/>
    <w:rsid w:val="00411B7E"/>
    <w:rsid w:val="00411D11"/>
    <w:rsid w:val="004129FA"/>
    <w:rsid w:val="0041369B"/>
    <w:rsid w:val="00415E23"/>
    <w:rsid w:val="00423C0D"/>
    <w:rsid w:val="00424061"/>
    <w:rsid w:val="0042773D"/>
    <w:rsid w:val="00430AAD"/>
    <w:rsid w:val="00443969"/>
    <w:rsid w:val="00447D74"/>
    <w:rsid w:val="00450A74"/>
    <w:rsid w:val="004535A4"/>
    <w:rsid w:val="00454B9E"/>
    <w:rsid w:val="0046292A"/>
    <w:rsid w:val="00463DDE"/>
    <w:rsid w:val="00465350"/>
    <w:rsid w:val="00472FA7"/>
    <w:rsid w:val="004744BA"/>
    <w:rsid w:val="00480689"/>
    <w:rsid w:val="004846BF"/>
    <w:rsid w:val="004854BD"/>
    <w:rsid w:val="00490457"/>
    <w:rsid w:val="004C0F30"/>
    <w:rsid w:val="004C47C2"/>
    <w:rsid w:val="004C6979"/>
    <w:rsid w:val="004D3E7A"/>
    <w:rsid w:val="004D475A"/>
    <w:rsid w:val="004D6983"/>
    <w:rsid w:val="004D7516"/>
    <w:rsid w:val="004E0E7D"/>
    <w:rsid w:val="004E2108"/>
    <w:rsid w:val="004E3CCB"/>
    <w:rsid w:val="004E5297"/>
    <w:rsid w:val="004F1CC3"/>
    <w:rsid w:val="004F48D9"/>
    <w:rsid w:val="004F5E39"/>
    <w:rsid w:val="00502CA5"/>
    <w:rsid w:val="00505CA7"/>
    <w:rsid w:val="005158FC"/>
    <w:rsid w:val="00523FA3"/>
    <w:rsid w:val="00531634"/>
    <w:rsid w:val="0053474B"/>
    <w:rsid w:val="00536EA4"/>
    <w:rsid w:val="0053716C"/>
    <w:rsid w:val="00544138"/>
    <w:rsid w:val="00550C9F"/>
    <w:rsid w:val="00551AAB"/>
    <w:rsid w:val="005540B6"/>
    <w:rsid w:val="0056599C"/>
    <w:rsid w:val="005677DE"/>
    <w:rsid w:val="005724F6"/>
    <w:rsid w:val="005776CE"/>
    <w:rsid w:val="00582D53"/>
    <w:rsid w:val="00584583"/>
    <w:rsid w:val="005A4099"/>
    <w:rsid w:val="005A51F5"/>
    <w:rsid w:val="005A546D"/>
    <w:rsid w:val="005A6916"/>
    <w:rsid w:val="005C38B2"/>
    <w:rsid w:val="005C5029"/>
    <w:rsid w:val="005C55C2"/>
    <w:rsid w:val="005D0F84"/>
    <w:rsid w:val="005D4DF5"/>
    <w:rsid w:val="005D5CD5"/>
    <w:rsid w:val="005E006A"/>
    <w:rsid w:val="005F1FC8"/>
    <w:rsid w:val="005F4BFC"/>
    <w:rsid w:val="005F6176"/>
    <w:rsid w:val="00600837"/>
    <w:rsid w:val="00611D6B"/>
    <w:rsid w:val="00615D1E"/>
    <w:rsid w:val="00615F24"/>
    <w:rsid w:val="006348DF"/>
    <w:rsid w:val="00651B50"/>
    <w:rsid w:val="00651E91"/>
    <w:rsid w:val="00655A32"/>
    <w:rsid w:val="00656B89"/>
    <w:rsid w:val="00686A1A"/>
    <w:rsid w:val="006974B3"/>
    <w:rsid w:val="006A264D"/>
    <w:rsid w:val="006A26C6"/>
    <w:rsid w:val="006A3D46"/>
    <w:rsid w:val="006A452E"/>
    <w:rsid w:val="006A7D5D"/>
    <w:rsid w:val="006B0E0B"/>
    <w:rsid w:val="006B5E70"/>
    <w:rsid w:val="006E3F27"/>
    <w:rsid w:val="006E4B44"/>
    <w:rsid w:val="006F4D6D"/>
    <w:rsid w:val="00700CE8"/>
    <w:rsid w:val="007032A6"/>
    <w:rsid w:val="00705086"/>
    <w:rsid w:val="00723A9D"/>
    <w:rsid w:val="00724090"/>
    <w:rsid w:val="0073401D"/>
    <w:rsid w:val="007415BE"/>
    <w:rsid w:val="007446CF"/>
    <w:rsid w:val="00745A28"/>
    <w:rsid w:val="00746A87"/>
    <w:rsid w:val="0075208A"/>
    <w:rsid w:val="00753E99"/>
    <w:rsid w:val="00754497"/>
    <w:rsid w:val="00754BE0"/>
    <w:rsid w:val="0075778E"/>
    <w:rsid w:val="00761D96"/>
    <w:rsid w:val="0076515F"/>
    <w:rsid w:val="0077289B"/>
    <w:rsid w:val="007737DF"/>
    <w:rsid w:val="00774313"/>
    <w:rsid w:val="007775D9"/>
    <w:rsid w:val="0078524B"/>
    <w:rsid w:val="007873B0"/>
    <w:rsid w:val="00787C39"/>
    <w:rsid w:val="00791787"/>
    <w:rsid w:val="00794719"/>
    <w:rsid w:val="00795DF3"/>
    <w:rsid w:val="007A373C"/>
    <w:rsid w:val="007B225C"/>
    <w:rsid w:val="007B7A56"/>
    <w:rsid w:val="007C0528"/>
    <w:rsid w:val="007C1EC8"/>
    <w:rsid w:val="007C75B1"/>
    <w:rsid w:val="007D3DFC"/>
    <w:rsid w:val="007D7C9C"/>
    <w:rsid w:val="007E05A5"/>
    <w:rsid w:val="007E0EE7"/>
    <w:rsid w:val="007E48B6"/>
    <w:rsid w:val="007E67D5"/>
    <w:rsid w:val="007F16C9"/>
    <w:rsid w:val="007F20CF"/>
    <w:rsid w:val="00800CBF"/>
    <w:rsid w:val="00805170"/>
    <w:rsid w:val="00805E98"/>
    <w:rsid w:val="00806772"/>
    <w:rsid w:val="0080776D"/>
    <w:rsid w:val="00810145"/>
    <w:rsid w:val="008108FA"/>
    <w:rsid w:val="00810FF1"/>
    <w:rsid w:val="008116CA"/>
    <w:rsid w:val="00815F4A"/>
    <w:rsid w:val="00822336"/>
    <w:rsid w:val="008237C1"/>
    <w:rsid w:val="00823DFA"/>
    <w:rsid w:val="00823E2E"/>
    <w:rsid w:val="00833048"/>
    <w:rsid w:val="00843752"/>
    <w:rsid w:val="0084603F"/>
    <w:rsid w:val="00872AFC"/>
    <w:rsid w:val="00876526"/>
    <w:rsid w:val="00885B09"/>
    <w:rsid w:val="00885D76"/>
    <w:rsid w:val="00892400"/>
    <w:rsid w:val="008953E7"/>
    <w:rsid w:val="00895F9B"/>
    <w:rsid w:val="008A209D"/>
    <w:rsid w:val="008B0E29"/>
    <w:rsid w:val="008B0EFA"/>
    <w:rsid w:val="008B30AB"/>
    <w:rsid w:val="008B531A"/>
    <w:rsid w:val="008B5546"/>
    <w:rsid w:val="008C2C47"/>
    <w:rsid w:val="008C5368"/>
    <w:rsid w:val="008D04A5"/>
    <w:rsid w:val="008D118A"/>
    <w:rsid w:val="008E48EC"/>
    <w:rsid w:val="008E6346"/>
    <w:rsid w:val="00901043"/>
    <w:rsid w:val="0090289A"/>
    <w:rsid w:val="009051D2"/>
    <w:rsid w:val="00905DEF"/>
    <w:rsid w:val="00907392"/>
    <w:rsid w:val="009123A0"/>
    <w:rsid w:val="00913B43"/>
    <w:rsid w:val="00915F01"/>
    <w:rsid w:val="00916C6B"/>
    <w:rsid w:val="0091771B"/>
    <w:rsid w:val="00921B60"/>
    <w:rsid w:val="00922BB9"/>
    <w:rsid w:val="00925818"/>
    <w:rsid w:val="00930203"/>
    <w:rsid w:val="009311D2"/>
    <w:rsid w:val="00931275"/>
    <w:rsid w:val="00934AEB"/>
    <w:rsid w:val="00936AC7"/>
    <w:rsid w:val="00941599"/>
    <w:rsid w:val="00947D7C"/>
    <w:rsid w:val="00951BE6"/>
    <w:rsid w:val="009617E1"/>
    <w:rsid w:val="00961B2C"/>
    <w:rsid w:val="0097549E"/>
    <w:rsid w:val="009754E5"/>
    <w:rsid w:val="00975D81"/>
    <w:rsid w:val="00976C45"/>
    <w:rsid w:val="00981612"/>
    <w:rsid w:val="00986B1F"/>
    <w:rsid w:val="0099022F"/>
    <w:rsid w:val="009952E5"/>
    <w:rsid w:val="00996480"/>
    <w:rsid w:val="009A1674"/>
    <w:rsid w:val="009C4B3B"/>
    <w:rsid w:val="009C4CF0"/>
    <w:rsid w:val="009C666B"/>
    <w:rsid w:val="009C684F"/>
    <w:rsid w:val="009D074C"/>
    <w:rsid w:val="009D1D9B"/>
    <w:rsid w:val="009F22E8"/>
    <w:rsid w:val="009F2B4F"/>
    <w:rsid w:val="009F3B4E"/>
    <w:rsid w:val="009F66B5"/>
    <w:rsid w:val="00A05093"/>
    <w:rsid w:val="00A10D1B"/>
    <w:rsid w:val="00A20A7D"/>
    <w:rsid w:val="00A20F66"/>
    <w:rsid w:val="00A2208F"/>
    <w:rsid w:val="00A246BC"/>
    <w:rsid w:val="00A304FD"/>
    <w:rsid w:val="00A35D42"/>
    <w:rsid w:val="00A46CCF"/>
    <w:rsid w:val="00A56221"/>
    <w:rsid w:val="00A56361"/>
    <w:rsid w:val="00A627A0"/>
    <w:rsid w:val="00A658A8"/>
    <w:rsid w:val="00A701CB"/>
    <w:rsid w:val="00A70426"/>
    <w:rsid w:val="00A73542"/>
    <w:rsid w:val="00A76D0D"/>
    <w:rsid w:val="00A8247C"/>
    <w:rsid w:val="00A862E8"/>
    <w:rsid w:val="00A919A5"/>
    <w:rsid w:val="00A91E9A"/>
    <w:rsid w:val="00A93ED9"/>
    <w:rsid w:val="00A97F60"/>
    <w:rsid w:val="00AA1F72"/>
    <w:rsid w:val="00AA2817"/>
    <w:rsid w:val="00AA61DE"/>
    <w:rsid w:val="00AB5E87"/>
    <w:rsid w:val="00AB5F2B"/>
    <w:rsid w:val="00AB678A"/>
    <w:rsid w:val="00AB7EF9"/>
    <w:rsid w:val="00AC6A64"/>
    <w:rsid w:val="00AC6A99"/>
    <w:rsid w:val="00AD439C"/>
    <w:rsid w:val="00AE0B46"/>
    <w:rsid w:val="00AE74BF"/>
    <w:rsid w:val="00AF5DE1"/>
    <w:rsid w:val="00AF6F10"/>
    <w:rsid w:val="00B055EF"/>
    <w:rsid w:val="00B07343"/>
    <w:rsid w:val="00B23769"/>
    <w:rsid w:val="00B23F2B"/>
    <w:rsid w:val="00B324A3"/>
    <w:rsid w:val="00B41075"/>
    <w:rsid w:val="00B4384D"/>
    <w:rsid w:val="00B531F2"/>
    <w:rsid w:val="00B57CB9"/>
    <w:rsid w:val="00B631A6"/>
    <w:rsid w:val="00B64C70"/>
    <w:rsid w:val="00B651B5"/>
    <w:rsid w:val="00B73038"/>
    <w:rsid w:val="00B76847"/>
    <w:rsid w:val="00B77C23"/>
    <w:rsid w:val="00B8134F"/>
    <w:rsid w:val="00B82974"/>
    <w:rsid w:val="00B82BFE"/>
    <w:rsid w:val="00B8527D"/>
    <w:rsid w:val="00B86DFA"/>
    <w:rsid w:val="00B92672"/>
    <w:rsid w:val="00B936D0"/>
    <w:rsid w:val="00B937CE"/>
    <w:rsid w:val="00BA44A2"/>
    <w:rsid w:val="00BA7854"/>
    <w:rsid w:val="00BB3661"/>
    <w:rsid w:val="00BB4D11"/>
    <w:rsid w:val="00BB51B7"/>
    <w:rsid w:val="00BC0B4B"/>
    <w:rsid w:val="00BC1AE2"/>
    <w:rsid w:val="00BC2C9E"/>
    <w:rsid w:val="00BC79AD"/>
    <w:rsid w:val="00BE3600"/>
    <w:rsid w:val="00BE3F46"/>
    <w:rsid w:val="00BF09CF"/>
    <w:rsid w:val="00BF3198"/>
    <w:rsid w:val="00C01F6F"/>
    <w:rsid w:val="00C10CC0"/>
    <w:rsid w:val="00C13627"/>
    <w:rsid w:val="00C149AB"/>
    <w:rsid w:val="00C179EF"/>
    <w:rsid w:val="00C217D6"/>
    <w:rsid w:val="00C23652"/>
    <w:rsid w:val="00C33BD7"/>
    <w:rsid w:val="00C34B1F"/>
    <w:rsid w:val="00C40694"/>
    <w:rsid w:val="00C66AF1"/>
    <w:rsid w:val="00C70542"/>
    <w:rsid w:val="00C75CBF"/>
    <w:rsid w:val="00C768EE"/>
    <w:rsid w:val="00C926B0"/>
    <w:rsid w:val="00CB35A1"/>
    <w:rsid w:val="00CC09F2"/>
    <w:rsid w:val="00CC2894"/>
    <w:rsid w:val="00CC3E7E"/>
    <w:rsid w:val="00CD2C22"/>
    <w:rsid w:val="00CD77C3"/>
    <w:rsid w:val="00CE112C"/>
    <w:rsid w:val="00CF1460"/>
    <w:rsid w:val="00CF307A"/>
    <w:rsid w:val="00CF6B48"/>
    <w:rsid w:val="00D02680"/>
    <w:rsid w:val="00D03C30"/>
    <w:rsid w:val="00D04AC1"/>
    <w:rsid w:val="00D05574"/>
    <w:rsid w:val="00D0604C"/>
    <w:rsid w:val="00D1069D"/>
    <w:rsid w:val="00D14BB7"/>
    <w:rsid w:val="00D24B6F"/>
    <w:rsid w:val="00D272B6"/>
    <w:rsid w:val="00D2790F"/>
    <w:rsid w:val="00D439A0"/>
    <w:rsid w:val="00D4722A"/>
    <w:rsid w:val="00D557B0"/>
    <w:rsid w:val="00D608DA"/>
    <w:rsid w:val="00D60E75"/>
    <w:rsid w:val="00D662A7"/>
    <w:rsid w:val="00D730BF"/>
    <w:rsid w:val="00D763D0"/>
    <w:rsid w:val="00D8271B"/>
    <w:rsid w:val="00DA64B6"/>
    <w:rsid w:val="00DB6F37"/>
    <w:rsid w:val="00DB7C18"/>
    <w:rsid w:val="00DC2A31"/>
    <w:rsid w:val="00DC76C7"/>
    <w:rsid w:val="00DC7A33"/>
    <w:rsid w:val="00DD09F5"/>
    <w:rsid w:val="00DD3A4D"/>
    <w:rsid w:val="00DD4201"/>
    <w:rsid w:val="00DD5AC5"/>
    <w:rsid w:val="00DE5711"/>
    <w:rsid w:val="00E00EA0"/>
    <w:rsid w:val="00E05CF3"/>
    <w:rsid w:val="00E13764"/>
    <w:rsid w:val="00E138F6"/>
    <w:rsid w:val="00E266A2"/>
    <w:rsid w:val="00E26758"/>
    <w:rsid w:val="00E36779"/>
    <w:rsid w:val="00E37AF6"/>
    <w:rsid w:val="00E42A3E"/>
    <w:rsid w:val="00E4357B"/>
    <w:rsid w:val="00E5164C"/>
    <w:rsid w:val="00E5683B"/>
    <w:rsid w:val="00E6285B"/>
    <w:rsid w:val="00E638C8"/>
    <w:rsid w:val="00E63DE5"/>
    <w:rsid w:val="00E65A37"/>
    <w:rsid w:val="00E666EB"/>
    <w:rsid w:val="00E672F6"/>
    <w:rsid w:val="00E7010E"/>
    <w:rsid w:val="00E72BEA"/>
    <w:rsid w:val="00E77B48"/>
    <w:rsid w:val="00E81A95"/>
    <w:rsid w:val="00E90219"/>
    <w:rsid w:val="00E91799"/>
    <w:rsid w:val="00EA34E3"/>
    <w:rsid w:val="00EA3744"/>
    <w:rsid w:val="00EA394B"/>
    <w:rsid w:val="00EB1718"/>
    <w:rsid w:val="00EB3C90"/>
    <w:rsid w:val="00EB559F"/>
    <w:rsid w:val="00EB6A4F"/>
    <w:rsid w:val="00EB7538"/>
    <w:rsid w:val="00EC3D7A"/>
    <w:rsid w:val="00ED3082"/>
    <w:rsid w:val="00ED33EC"/>
    <w:rsid w:val="00EE6024"/>
    <w:rsid w:val="00EF1CE0"/>
    <w:rsid w:val="00EF1F42"/>
    <w:rsid w:val="00EF4318"/>
    <w:rsid w:val="00F01244"/>
    <w:rsid w:val="00F0495D"/>
    <w:rsid w:val="00F04A24"/>
    <w:rsid w:val="00F05504"/>
    <w:rsid w:val="00F17FF3"/>
    <w:rsid w:val="00F207A4"/>
    <w:rsid w:val="00F20A19"/>
    <w:rsid w:val="00F3299B"/>
    <w:rsid w:val="00F355AC"/>
    <w:rsid w:val="00F35D84"/>
    <w:rsid w:val="00F44913"/>
    <w:rsid w:val="00F560B7"/>
    <w:rsid w:val="00F56E7B"/>
    <w:rsid w:val="00F57B45"/>
    <w:rsid w:val="00F644B0"/>
    <w:rsid w:val="00F717FC"/>
    <w:rsid w:val="00F71A5A"/>
    <w:rsid w:val="00F769E0"/>
    <w:rsid w:val="00F83808"/>
    <w:rsid w:val="00F83C2E"/>
    <w:rsid w:val="00F8506A"/>
    <w:rsid w:val="00F946B1"/>
    <w:rsid w:val="00F94AAE"/>
    <w:rsid w:val="00FB373C"/>
    <w:rsid w:val="00FB58EF"/>
    <w:rsid w:val="00FB6D59"/>
    <w:rsid w:val="00FC6BDE"/>
    <w:rsid w:val="00FD3882"/>
    <w:rsid w:val="00FD4AF5"/>
    <w:rsid w:val="00FE3799"/>
    <w:rsid w:val="00FF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D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2"/>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aliases w:val="F1"/>
    <w:basedOn w:val="Normal"/>
    <w:link w:val="FootnoteTextChar"/>
    <w:rsid w:val="00981612"/>
    <w:pPr>
      <w:widowControl w:val="0"/>
    </w:pPr>
    <w:rPr>
      <w:snapToGrid w:val="0"/>
      <w:sz w:val="20"/>
      <w:szCs w:val="20"/>
    </w:rPr>
  </w:style>
  <w:style w:type="character" w:customStyle="1" w:styleId="FootnoteTextChar">
    <w:name w:val="Footnote Text Char"/>
    <w:aliases w:val="F1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semiHidden/>
    <w:unhideWhenUsed/>
    <w:rsid w:val="00A97F60"/>
    <w:rPr>
      <w:sz w:val="20"/>
      <w:szCs w:val="20"/>
    </w:rPr>
  </w:style>
  <w:style w:type="character" w:customStyle="1" w:styleId="EndnoteTextChar">
    <w:name w:val="Endnote Text Char"/>
    <w:basedOn w:val="DefaultParagraphFont"/>
    <w:link w:val="EndnoteText"/>
    <w:semiHidden/>
    <w:rsid w:val="00A97F60"/>
  </w:style>
  <w:style w:type="character" w:styleId="EndnoteReference">
    <w:name w:val="endnote reference"/>
    <w:basedOn w:val="DefaultParagraphFont"/>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iPriority w:val="99"/>
    <w:unhideWhenUsed/>
    <w:rsid w:val="0076515F"/>
    <w:pPr>
      <w:tabs>
        <w:tab w:val="center" w:pos="4680"/>
        <w:tab w:val="right" w:pos="9360"/>
      </w:tabs>
    </w:pPr>
  </w:style>
  <w:style w:type="character" w:customStyle="1" w:styleId="HeaderChar">
    <w:name w:val="Header Char"/>
    <w:basedOn w:val="DefaultParagraphFont"/>
    <w:link w:val="Header"/>
    <w:uiPriority w:val="99"/>
    <w:rsid w:val="0076515F"/>
    <w:rPr>
      <w:sz w:val="24"/>
      <w:szCs w:val="24"/>
    </w:rPr>
  </w:style>
  <w:style w:type="paragraph" w:customStyle="1" w:styleId="ReferenceCitation">
    <w:name w:val="Reference Citation"/>
    <w:basedOn w:val="Normal"/>
    <w:rsid w:val="00915F01"/>
    <w:pPr>
      <w:spacing w:after="240"/>
    </w:pPr>
    <w:rPr>
      <w:rFonts w:eastAsia="Calibri"/>
    </w:rPr>
  </w:style>
  <w:style w:type="paragraph" w:customStyle="1" w:styleId="Bullet">
    <w:name w:val="Bullet"/>
    <w:basedOn w:val="Normal"/>
    <w:rsid w:val="004D7516"/>
    <w:pPr>
      <w:numPr>
        <w:numId w:val="4"/>
      </w:numPr>
      <w:autoSpaceDE w:val="0"/>
      <w:autoSpaceDN w:val="0"/>
      <w:adjustRightInd w:val="0"/>
      <w:spacing w:line="276" w:lineRule="auto"/>
      <w:jc w:val="both"/>
    </w:pPr>
    <w:rPr>
      <w:rFonts w:ascii="Franklin Gothic Book" w:hAnsi="Franklin Gothic Book"/>
      <w:sz w:val="20"/>
      <w:szCs w:val="20"/>
    </w:rPr>
  </w:style>
  <w:style w:type="character" w:styleId="Emphasis">
    <w:name w:val="Emphasis"/>
    <w:uiPriority w:val="20"/>
    <w:qFormat/>
    <w:rsid w:val="003F2F58"/>
    <w:rPr>
      <w:i/>
      <w:iCs/>
    </w:rPr>
  </w:style>
  <w:style w:type="paragraph" w:customStyle="1" w:styleId="SP-SglSpPara">
    <w:name w:val="SP-Sgl Sp Para"/>
    <w:link w:val="SP-SglSpParaChar"/>
    <w:rsid w:val="00194AD6"/>
    <w:pPr>
      <w:tabs>
        <w:tab w:val="left" w:pos="576"/>
      </w:tabs>
      <w:spacing w:line="240" w:lineRule="atLeast"/>
      <w:ind w:firstLine="576"/>
      <w:jc w:val="both"/>
    </w:pPr>
    <w:rPr>
      <w:rFonts w:ascii="Garamond" w:hAnsi="Garamond"/>
      <w:sz w:val="24"/>
      <w:szCs w:val="24"/>
    </w:rPr>
  </w:style>
  <w:style w:type="character" w:customStyle="1" w:styleId="SP-SglSpParaChar">
    <w:name w:val="SP-Sgl Sp Para Char"/>
    <w:basedOn w:val="DefaultParagraphFont"/>
    <w:link w:val="SP-SglSpPara"/>
    <w:rsid w:val="00194AD6"/>
    <w:rPr>
      <w:rFonts w:ascii="Garamond" w:hAnsi="Garamond"/>
      <w:sz w:val="24"/>
      <w:szCs w:val="24"/>
    </w:rPr>
  </w:style>
  <w:style w:type="paragraph" w:customStyle="1" w:styleId="TF-TblFN">
    <w:name w:val="TF-Tbl FN"/>
    <w:basedOn w:val="FootnoteText"/>
    <w:rsid w:val="00194AD6"/>
    <w:pPr>
      <w:widowControl/>
      <w:tabs>
        <w:tab w:val="left" w:pos="120"/>
      </w:tabs>
      <w:spacing w:before="120" w:line="200" w:lineRule="atLeast"/>
      <w:ind w:left="115" w:hanging="115"/>
    </w:pPr>
    <w:rPr>
      <w:rFonts w:ascii="Franklin Gothic Medium" w:hAnsi="Franklin Gothic Medium"/>
      <w:snapToGrid/>
      <w:sz w:val="16"/>
    </w:rPr>
  </w:style>
  <w:style w:type="paragraph" w:customStyle="1" w:styleId="N0-FlLftBullet">
    <w:name w:val="N0-Fl Lft Bullet"/>
    <w:basedOn w:val="Normal"/>
    <w:rsid w:val="00194AD6"/>
    <w:pPr>
      <w:tabs>
        <w:tab w:val="left" w:pos="576"/>
      </w:tabs>
      <w:spacing w:after="240" w:line="240" w:lineRule="atLeast"/>
      <w:ind w:left="576" w:hanging="576"/>
    </w:pPr>
    <w:rPr>
      <w:rFonts w:ascii="Garamond" w:hAnsi="Garamond"/>
      <w:szCs w:val="20"/>
    </w:rPr>
  </w:style>
  <w:style w:type="paragraph" w:customStyle="1" w:styleId="L1-FlLSp12">
    <w:name w:val="L1-FlL Sp&amp;1/2"/>
    <w:basedOn w:val="Normal"/>
    <w:link w:val="L1-FlLSp12Char"/>
    <w:rsid w:val="00297B7C"/>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297B7C"/>
    <w:rPr>
      <w:rFonts w:ascii="Garamond" w:hAnsi="Garamond"/>
      <w:sz w:val="24"/>
    </w:rPr>
  </w:style>
  <w:style w:type="paragraph" w:customStyle="1" w:styleId="TT-TableTitle">
    <w:name w:val="TT-Table Title"/>
    <w:link w:val="TT-TableTitleChar"/>
    <w:rsid w:val="00071C8D"/>
    <w:pPr>
      <w:keepNext/>
      <w:tabs>
        <w:tab w:val="left" w:pos="1440"/>
      </w:tabs>
      <w:spacing w:line="240" w:lineRule="atLeast"/>
      <w:ind w:left="1440" w:hanging="1440"/>
    </w:pPr>
    <w:rPr>
      <w:rFonts w:ascii="Franklin Gothic Medium" w:hAnsi="Franklin Gothic Medium"/>
      <w:sz w:val="22"/>
    </w:rPr>
  </w:style>
  <w:style w:type="paragraph" w:customStyle="1" w:styleId="TH-TableHeading">
    <w:name w:val="TH-Table Heading"/>
    <w:rsid w:val="00071C8D"/>
    <w:pPr>
      <w:keepNext/>
      <w:spacing w:line="240" w:lineRule="atLeast"/>
      <w:jc w:val="center"/>
    </w:pPr>
    <w:rPr>
      <w:rFonts w:ascii="Franklin Gothic Medium" w:hAnsi="Franklin Gothic Medium"/>
      <w:b/>
    </w:rPr>
  </w:style>
  <w:style w:type="paragraph" w:customStyle="1" w:styleId="TX-TableText">
    <w:name w:val="TX-Table Text"/>
    <w:basedOn w:val="Normal"/>
    <w:rsid w:val="00071C8D"/>
    <w:pPr>
      <w:spacing w:line="240" w:lineRule="atLeast"/>
    </w:pPr>
    <w:rPr>
      <w:rFonts w:ascii="Franklin Gothic Medium" w:hAnsi="Franklin Gothic Medium"/>
      <w:sz w:val="20"/>
      <w:szCs w:val="20"/>
    </w:rPr>
  </w:style>
  <w:style w:type="character" w:customStyle="1" w:styleId="TT-TableTitleChar">
    <w:name w:val="TT-Table Title Char"/>
    <w:basedOn w:val="DefaultParagraphFont"/>
    <w:link w:val="TT-TableTitle"/>
    <w:locked/>
    <w:rsid w:val="00071C8D"/>
    <w:rPr>
      <w:rFonts w:ascii="Franklin Gothic Medium" w:hAnsi="Franklin Gothic Medium"/>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2"/>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aliases w:val="F1"/>
    <w:basedOn w:val="Normal"/>
    <w:link w:val="FootnoteTextChar"/>
    <w:rsid w:val="00981612"/>
    <w:pPr>
      <w:widowControl w:val="0"/>
    </w:pPr>
    <w:rPr>
      <w:snapToGrid w:val="0"/>
      <w:sz w:val="20"/>
      <w:szCs w:val="20"/>
    </w:rPr>
  </w:style>
  <w:style w:type="character" w:customStyle="1" w:styleId="FootnoteTextChar">
    <w:name w:val="Footnote Text Char"/>
    <w:aliases w:val="F1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semiHidden/>
    <w:unhideWhenUsed/>
    <w:rsid w:val="00A97F60"/>
    <w:rPr>
      <w:sz w:val="20"/>
      <w:szCs w:val="20"/>
    </w:rPr>
  </w:style>
  <w:style w:type="character" w:customStyle="1" w:styleId="EndnoteTextChar">
    <w:name w:val="Endnote Text Char"/>
    <w:basedOn w:val="DefaultParagraphFont"/>
    <w:link w:val="EndnoteText"/>
    <w:semiHidden/>
    <w:rsid w:val="00A97F60"/>
  </w:style>
  <w:style w:type="character" w:styleId="EndnoteReference">
    <w:name w:val="endnote reference"/>
    <w:basedOn w:val="DefaultParagraphFont"/>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iPriority w:val="99"/>
    <w:unhideWhenUsed/>
    <w:rsid w:val="0076515F"/>
    <w:pPr>
      <w:tabs>
        <w:tab w:val="center" w:pos="4680"/>
        <w:tab w:val="right" w:pos="9360"/>
      </w:tabs>
    </w:pPr>
  </w:style>
  <w:style w:type="character" w:customStyle="1" w:styleId="HeaderChar">
    <w:name w:val="Header Char"/>
    <w:basedOn w:val="DefaultParagraphFont"/>
    <w:link w:val="Header"/>
    <w:uiPriority w:val="99"/>
    <w:rsid w:val="0076515F"/>
    <w:rPr>
      <w:sz w:val="24"/>
      <w:szCs w:val="24"/>
    </w:rPr>
  </w:style>
  <w:style w:type="paragraph" w:customStyle="1" w:styleId="ReferenceCitation">
    <w:name w:val="Reference Citation"/>
    <w:basedOn w:val="Normal"/>
    <w:rsid w:val="00915F01"/>
    <w:pPr>
      <w:spacing w:after="240"/>
    </w:pPr>
    <w:rPr>
      <w:rFonts w:eastAsia="Calibri"/>
    </w:rPr>
  </w:style>
  <w:style w:type="paragraph" w:customStyle="1" w:styleId="Bullet">
    <w:name w:val="Bullet"/>
    <w:basedOn w:val="Normal"/>
    <w:rsid w:val="004D7516"/>
    <w:pPr>
      <w:numPr>
        <w:numId w:val="4"/>
      </w:numPr>
      <w:autoSpaceDE w:val="0"/>
      <w:autoSpaceDN w:val="0"/>
      <w:adjustRightInd w:val="0"/>
      <w:spacing w:line="276" w:lineRule="auto"/>
      <w:jc w:val="both"/>
    </w:pPr>
    <w:rPr>
      <w:rFonts w:ascii="Franklin Gothic Book" w:hAnsi="Franklin Gothic Book"/>
      <w:sz w:val="20"/>
      <w:szCs w:val="20"/>
    </w:rPr>
  </w:style>
  <w:style w:type="character" w:styleId="Emphasis">
    <w:name w:val="Emphasis"/>
    <w:uiPriority w:val="20"/>
    <w:qFormat/>
    <w:rsid w:val="003F2F58"/>
    <w:rPr>
      <w:i/>
      <w:iCs/>
    </w:rPr>
  </w:style>
  <w:style w:type="paragraph" w:customStyle="1" w:styleId="SP-SglSpPara">
    <w:name w:val="SP-Sgl Sp Para"/>
    <w:link w:val="SP-SglSpParaChar"/>
    <w:rsid w:val="00194AD6"/>
    <w:pPr>
      <w:tabs>
        <w:tab w:val="left" w:pos="576"/>
      </w:tabs>
      <w:spacing w:line="240" w:lineRule="atLeast"/>
      <w:ind w:firstLine="576"/>
      <w:jc w:val="both"/>
    </w:pPr>
    <w:rPr>
      <w:rFonts w:ascii="Garamond" w:hAnsi="Garamond"/>
      <w:sz w:val="24"/>
      <w:szCs w:val="24"/>
    </w:rPr>
  </w:style>
  <w:style w:type="character" w:customStyle="1" w:styleId="SP-SglSpParaChar">
    <w:name w:val="SP-Sgl Sp Para Char"/>
    <w:basedOn w:val="DefaultParagraphFont"/>
    <w:link w:val="SP-SglSpPara"/>
    <w:rsid w:val="00194AD6"/>
    <w:rPr>
      <w:rFonts w:ascii="Garamond" w:hAnsi="Garamond"/>
      <w:sz w:val="24"/>
      <w:szCs w:val="24"/>
    </w:rPr>
  </w:style>
  <w:style w:type="paragraph" w:customStyle="1" w:styleId="TF-TblFN">
    <w:name w:val="TF-Tbl FN"/>
    <w:basedOn w:val="FootnoteText"/>
    <w:rsid w:val="00194AD6"/>
    <w:pPr>
      <w:widowControl/>
      <w:tabs>
        <w:tab w:val="left" w:pos="120"/>
      </w:tabs>
      <w:spacing w:before="120" w:line="200" w:lineRule="atLeast"/>
      <w:ind w:left="115" w:hanging="115"/>
    </w:pPr>
    <w:rPr>
      <w:rFonts w:ascii="Franklin Gothic Medium" w:hAnsi="Franklin Gothic Medium"/>
      <w:snapToGrid/>
      <w:sz w:val="16"/>
    </w:rPr>
  </w:style>
  <w:style w:type="paragraph" w:customStyle="1" w:styleId="N0-FlLftBullet">
    <w:name w:val="N0-Fl Lft Bullet"/>
    <w:basedOn w:val="Normal"/>
    <w:rsid w:val="00194AD6"/>
    <w:pPr>
      <w:tabs>
        <w:tab w:val="left" w:pos="576"/>
      </w:tabs>
      <w:spacing w:after="240" w:line="240" w:lineRule="atLeast"/>
      <w:ind w:left="576" w:hanging="576"/>
    </w:pPr>
    <w:rPr>
      <w:rFonts w:ascii="Garamond" w:hAnsi="Garamond"/>
      <w:szCs w:val="20"/>
    </w:rPr>
  </w:style>
  <w:style w:type="paragraph" w:customStyle="1" w:styleId="L1-FlLSp12">
    <w:name w:val="L1-FlL Sp&amp;1/2"/>
    <w:basedOn w:val="Normal"/>
    <w:link w:val="L1-FlLSp12Char"/>
    <w:rsid w:val="00297B7C"/>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297B7C"/>
    <w:rPr>
      <w:rFonts w:ascii="Garamond" w:hAnsi="Garamond"/>
      <w:sz w:val="24"/>
    </w:rPr>
  </w:style>
  <w:style w:type="paragraph" w:customStyle="1" w:styleId="TT-TableTitle">
    <w:name w:val="TT-Table Title"/>
    <w:link w:val="TT-TableTitleChar"/>
    <w:rsid w:val="00071C8D"/>
    <w:pPr>
      <w:keepNext/>
      <w:tabs>
        <w:tab w:val="left" w:pos="1440"/>
      </w:tabs>
      <w:spacing w:line="240" w:lineRule="atLeast"/>
      <w:ind w:left="1440" w:hanging="1440"/>
    </w:pPr>
    <w:rPr>
      <w:rFonts w:ascii="Franklin Gothic Medium" w:hAnsi="Franklin Gothic Medium"/>
      <w:sz w:val="22"/>
    </w:rPr>
  </w:style>
  <w:style w:type="paragraph" w:customStyle="1" w:styleId="TH-TableHeading">
    <w:name w:val="TH-Table Heading"/>
    <w:rsid w:val="00071C8D"/>
    <w:pPr>
      <w:keepNext/>
      <w:spacing w:line="240" w:lineRule="atLeast"/>
      <w:jc w:val="center"/>
    </w:pPr>
    <w:rPr>
      <w:rFonts w:ascii="Franklin Gothic Medium" w:hAnsi="Franklin Gothic Medium"/>
      <w:b/>
    </w:rPr>
  </w:style>
  <w:style w:type="paragraph" w:customStyle="1" w:styleId="TX-TableText">
    <w:name w:val="TX-Table Text"/>
    <w:basedOn w:val="Normal"/>
    <w:rsid w:val="00071C8D"/>
    <w:pPr>
      <w:spacing w:line="240" w:lineRule="atLeast"/>
    </w:pPr>
    <w:rPr>
      <w:rFonts w:ascii="Franklin Gothic Medium" w:hAnsi="Franklin Gothic Medium"/>
      <w:sz w:val="20"/>
      <w:szCs w:val="20"/>
    </w:rPr>
  </w:style>
  <w:style w:type="character" w:customStyle="1" w:styleId="TT-TableTitleChar">
    <w:name w:val="TT-Table Title Char"/>
    <w:basedOn w:val="DefaultParagraphFont"/>
    <w:link w:val="TT-TableTitle"/>
    <w:locked/>
    <w:rsid w:val="00071C8D"/>
    <w:rPr>
      <w:rFonts w:ascii="Franklin Gothic Medium" w:hAnsi="Franklin Gothic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4255">
      <w:bodyDiv w:val="1"/>
      <w:marLeft w:val="0"/>
      <w:marRight w:val="0"/>
      <w:marTop w:val="0"/>
      <w:marBottom w:val="0"/>
      <w:divBdr>
        <w:top w:val="none" w:sz="0" w:space="0" w:color="auto"/>
        <w:left w:val="none" w:sz="0" w:space="0" w:color="auto"/>
        <w:bottom w:val="none" w:sz="0" w:space="0" w:color="auto"/>
        <w:right w:val="none" w:sz="0" w:space="0" w:color="auto"/>
      </w:divBdr>
    </w:div>
    <w:div w:id="226191212">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16253254">
      <w:bodyDiv w:val="1"/>
      <w:marLeft w:val="0"/>
      <w:marRight w:val="0"/>
      <w:marTop w:val="0"/>
      <w:marBottom w:val="0"/>
      <w:divBdr>
        <w:top w:val="none" w:sz="0" w:space="0" w:color="auto"/>
        <w:left w:val="none" w:sz="0" w:space="0" w:color="auto"/>
        <w:bottom w:val="none" w:sz="0" w:space="0" w:color="auto"/>
        <w:right w:val="none" w:sz="0" w:space="0" w:color="auto"/>
      </w:divBdr>
      <w:divsChild>
        <w:div w:id="1873105757">
          <w:marLeft w:val="0"/>
          <w:marRight w:val="0"/>
          <w:marTop w:val="0"/>
          <w:marBottom w:val="0"/>
          <w:divBdr>
            <w:top w:val="none" w:sz="0" w:space="0" w:color="auto"/>
            <w:left w:val="none" w:sz="0" w:space="0" w:color="auto"/>
            <w:bottom w:val="none" w:sz="0" w:space="0" w:color="auto"/>
            <w:right w:val="none" w:sz="0" w:space="0" w:color="auto"/>
          </w:divBdr>
          <w:divsChild>
            <w:div w:id="1990093741">
              <w:marLeft w:val="0"/>
              <w:marRight w:val="0"/>
              <w:marTop w:val="0"/>
              <w:marBottom w:val="0"/>
              <w:divBdr>
                <w:top w:val="none" w:sz="0" w:space="0" w:color="auto"/>
                <w:left w:val="none" w:sz="0" w:space="0" w:color="auto"/>
                <w:bottom w:val="none" w:sz="0" w:space="0" w:color="auto"/>
                <w:right w:val="none" w:sz="0" w:space="0" w:color="auto"/>
              </w:divBdr>
              <w:divsChild>
                <w:div w:id="1333216197">
                  <w:marLeft w:val="0"/>
                  <w:marRight w:val="0"/>
                  <w:marTop w:val="0"/>
                  <w:marBottom w:val="0"/>
                  <w:divBdr>
                    <w:top w:val="none" w:sz="0" w:space="0" w:color="auto"/>
                    <w:left w:val="none" w:sz="0" w:space="0" w:color="auto"/>
                    <w:bottom w:val="none" w:sz="0" w:space="0" w:color="auto"/>
                    <w:right w:val="none" w:sz="0" w:space="0" w:color="auto"/>
                  </w:divBdr>
                  <w:divsChild>
                    <w:div w:id="899829387">
                      <w:marLeft w:val="0"/>
                      <w:marRight w:val="0"/>
                      <w:marTop w:val="0"/>
                      <w:marBottom w:val="0"/>
                      <w:divBdr>
                        <w:top w:val="none" w:sz="0" w:space="0" w:color="auto"/>
                        <w:left w:val="none" w:sz="0" w:space="0" w:color="auto"/>
                        <w:bottom w:val="none" w:sz="0" w:space="0" w:color="auto"/>
                        <w:right w:val="none" w:sz="0" w:space="0" w:color="auto"/>
                      </w:divBdr>
                      <w:divsChild>
                        <w:div w:id="473451957">
                          <w:marLeft w:val="0"/>
                          <w:marRight w:val="0"/>
                          <w:marTop w:val="0"/>
                          <w:marBottom w:val="0"/>
                          <w:divBdr>
                            <w:top w:val="none" w:sz="0" w:space="0" w:color="auto"/>
                            <w:left w:val="none" w:sz="0" w:space="0" w:color="auto"/>
                            <w:bottom w:val="none" w:sz="0" w:space="0" w:color="auto"/>
                            <w:right w:val="none" w:sz="0" w:space="0" w:color="auto"/>
                          </w:divBdr>
                          <w:divsChild>
                            <w:div w:id="617183481">
                              <w:marLeft w:val="0"/>
                              <w:marRight w:val="0"/>
                              <w:marTop w:val="0"/>
                              <w:marBottom w:val="0"/>
                              <w:divBdr>
                                <w:top w:val="none" w:sz="0" w:space="0" w:color="auto"/>
                                <w:left w:val="none" w:sz="0" w:space="0" w:color="auto"/>
                                <w:bottom w:val="none" w:sz="0" w:space="0" w:color="auto"/>
                                <w:right w:val="none" w:sz="0" w:space="0" w:color="auto"/>
                              </w:divBdr>
                              <w:divsChild>
                                <w:div w:id="1364861959">
                                  <w:marLeft w:val="0"/>
                                  <w:marRight w:val="0"/>
                                  <w:marTop w:val="0"/>
                                  <w:marBottom w:val="0"/>
                                  <w:divBdr>
                                    <w:top w:val="none" w:sz="0" w:space="0" w:color="auto"/>
                                    <w:left w:val="none" w:sz="0" w:space="0" w:color="auto"/>
                                    <w:bottom w:val="none" w:sz="0" w:space="0" w:color="auto"/>
                                    <w:right w:val="none" w:sz="0" w:space="0" w:color="auto"/>
                                  </w:divBdr>
                                  <w:divsChild>
                                    <w:div w:id="1558935416">
                                      <w:marLeft w:val="0"/>
                                      <w:marRight w:val="0"/>
                                      <w:marTop w:val="0"/>
                                      <w:marBottom w:val="0"/>
                                      <w:divBdr>
                                        <w:top w:val="none" w:sz="0" w:space="0" w:color="auto"/>
                                        <w:left w:val="none" w:sz="0" w:space="0" w:color="auto"/>
                                        <w:bottom w:val="none" w:sz="0" w:space="0" w:color="auto"/>
                                        <w:right w:val="none" w:sz="0" w:space="0" w:color="auto"/>
                                      </w:divBdr>
                                      <w:divsChild>
                                        <w:div w:id="1803033447">
                                          <w:marLeft w:val="0"/>
                                          <w:marRight w:val="0"/>
                                          <w:marTop w:val="0"/>
                                          <w:marBottom w:val="0"/>
                                          <w:divBdr>
                                            <w:top w:val="none" w:sz="0" w:space="0" w:color="auto"/>
                                            <w:left w:val="none" w:sz="0" w:space="0" w:color="auto"/>
                                            <w:bottom w:val="none" w:sz="0" w:space="0" w:color="auto"/>
                                            <w:right w:val="none" w:sz="0" w:space="0" w:color="auto"/>
                                          </w:divBdr>
                                          <w:divsChild>
                                            <w:div w:id="355427037">
                                              <w:marLeft w:val="0"/>
                                              <w:marRight w:val="0"/>
                                              <w:marTop w:val="0"/>
                                              <w:marBottom w:val="0"/>
                                              <w:divBdr>
                                                <w:top w:val="none" w:sz="0" w:space="0" w:color="auto"/>
                                                <w:left w:val="none" w:sz="0" w:space="0" w:color="auto"/>
                                                <w:bottom w:val="none" w:sz="0" w:space="0" w:color="auto"/>
                                                <w:right w:val="none" w:sz="0" w:space="0" w:color="auto"/>
                                              </w:divBdr>
                                              <w:divsChild>
                                                <w:div w:id="1305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2364830">
      <w:bodyDiv w:val="1"/>
      <w:marLeft w:val="0"/>
      <w:marRight w:val="0"/>
      <w:marTop w:val="0"/>
      <w:marBottom w:val="0"/>
      <w:divBdr>
        <w:top w:val="none" w:sz="0" w:space="0" w:color="auto"/>
        <w:left w:val="none" w:sz="0" w:space="0" w:color="auto"/>
        <w:bottom w:val="none" w:sz="0" w:space="0" w:color="auto"/>
        <w:right w:val="none" w:sz="0" w:space="0" w:color="auto"/>
      </w:divBdr>
      <w:divsChild>
        <w:div w:id="904413420">
          <w:marLeft w:val="0"/>
          <w:marRight w:val="0"/>
          <w:marTop w:val="0"/>
          <w:marBottom w:val="0"/>
          <w:divBdr>
            <w:top w:val="none" w:sz="0" w:space="0" w:color="auto"/>
            <w:left w:val="none" w:sz="0" w:space="0" w:color="auto"/>
            <w:bottom w:val="none" w:sz="0" w:space="0" w:color="auto"/>
            <w:right w:val="none" w:sz="0" w:space="0" w:color="auto"/>
          </w:divBdr>
        </w:div>
        <w:div w:id="1106733725">
          <w:marLeft w:val="0"/>
          <w:marRight w:val="0"/>
          <w:marTop w:val="0"/>
          <w:marBottom w:val="0"/>
          <w:divBdr>
            <w:top w:val="none" w:sz="0" w:space="0" w:color="auto"/>
            <w:left w:val="none" w:sz="0" w:space="0" w:color="auto"/>
            <w:bottom w:val="none" w:sz="0" w:space="0" w:color="auto"/>
            <w:right w:val="none" w:sz="0" w:space="0" w:color="auto"/>
          </w:divBdr>
        </w:div>
      </w:divsChild>
    </w:div>
    <w:div w:id="713577254">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893929919">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783950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1774474636">
      <w:bodyDiv w:val="1"/>
      <w:marLeft w:val="0"/>
      <w:marRight w:val="0"/>
      <w:marTop w:val="0"/>
      <w:marBottom w:val="0"/>
      <w:divBdr>
        <w:top w:val="none" w:sz="0" w:space="0" w:color="auto"/>
        <w:left w:val="none" w:sz="0" w:space="0" w:color="auto"/>
        <w:bottom w:val="none" w:sz="0" w:space="0" w:color="auto"/>
        <w:right w:val="none" w:sz="0" w:space="0" w:color="auto"/>
      </w:divBdr>
    </w:div>
    <w:div w:id="2046558420">
      <w:bodyDiv w:val="1"/>
      <w:marLeft w:val="0"/>
      <w:marRight w:val="0"/>
      <w:marTop w:val="0"/>
      <w:marBottom w:val="0"/>
      <w:divBdr>
        <w:top w:val="none" w:sz="0" w:space="0" w:color="auto"/>
        <w:left w:val="none" w:sz="0" w:space="0" w:color="auto"/>
        <w:bottom w:val="none" w:sz="0" w:space="0" w:color="auto"/>
        <w:right w:val="none" w:sz="0" w:space="0" w:color="auto"/>
      </w:divBdr>
    </w:div>
    <w:div w:id="20499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TCResearch@fda.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anp.org/all-about-nps/np-fact-she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kff.org/other/state-indicator/total-physician-assistants/?currentTimeframe=0&amp;sortModel=%7B%22colId%22:%22Location%22,%22sort%22:%22asc%22%7D" TargetMode="External"/><Relationship Id="rId4" Type="http://schemas.microsoft.com/office/2007/relationships/stylesWithEffects" Target="stylesWithEffects.xml"/><Relationship Id="rId9" Type="http://schemas.openxmlformats.org/officeDocument/2006/relationships/hyperlink" Target="http://www.mmslists.com/data/countspdf/AMA-SpecialtyByTOP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055DA-0FB2-4B35-8D85-3649857C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5854</Words>
  <Characters>33369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39145</CharactersWithSpaces>
  <SharedDoc>false</SharedDoc>
  <HLinks>
    <vt:vector size="36" baseType="variant">
      <vt:variant>
        <vt:i4>8192072</vt:i4>
      </vt:variant>
      <vt:variant>
        <vt:i4>21</vt:i4>
      </vt:variant>
      <vt:variant>
        <vt:i4>0</vt:i4>
      </vt:variant>
      <vt:variant>
        <vt:i4>5</vt:i4>
      </vt:variant>
      <vt:variant>
        <vt:lpwstr>mailto:V.Mitchell@city.ac.uk</vt:lpwstr>
      </vt:variant>
      <vt:variant>
        <vt:lpwstr/>
      </vt:variant>
      <vt:variant>
        <vt:i4>3670046</vt:i4>
      </vt:variant>
      <vt:variant>
        <vt:i4>18</vt:i4>
      </vt:variant>
      <vt:variant>
        <vt:i4>0</vt:i4>
      </vt:variant>
      <vt:variant>
        <vt:i4>5</vt:i4>
      </vt:variant>
      <vt:variant>
        <vt:lpwstr>mailto:norman@mcmaster.ca</vt:lpwstr>
      </vt:variant>
      <vt:variant>
        <vt:lpwstr/>
      </vt:variant>
      <vt:variant>
        <vt:i4>1114134</vt:i4>
      </vt:variant>
      <vt:variant>
        <vt:i4>15</vt:i4>
      </vt:variant>
      <vt:variant>
        <vt:i4>0</vt:i4>
      </vt:variant>
      <vt:variant>
        <vt:i4>5</vt:i4>
      </vt:variant>
      <vt:variant>
        <vt:lpwstr>mailto:bob_devellis@unc.edu</vt:lpwstr>
      </vt:variant>
      <vt:variant>
        <vt:lpwstr/>
      </vt:variant>
      <vt:variant>
        <vt:i4>7209051</vt:i4>
      </vt:variant>
      <vt:variant>
        <vt:i4>12</vt:i4>
      </vt:variant>
      <vt:variant>
        <vt:i4>0</vt:i4>
      </vt:variant>
      <vt:variant>
        <vt:i4>5</vt:i4>
      </vt:variant>
      <vt:variant>
        <vt:lpwstr>mailto:bzikmund@umich.edu</vt:lpwstr>
      </vt:variant>
      <vt:variant>
        <vt:lpwstr/>
      </vt:variant>
      <vt:variant>
        <vt:i4>4194315</vt:i4>
      </vt:variant>
      <vt:variant>
        <vt:i4>8</vt:i4>
      </vt:variant>
      <vt:variant>
        <vt:i4>0</vt:i4>
      </vt:variant>
      <vt:variant>
        <vt:i4>5</vt:i4>
      </vt:variant>
      <vt:variant>
        <vt:lpwstr/>
      </vt:variant>
      <vt:variant>
        <vt:lpwstr>_ENREF_1</vt:lpwstr>
      </vt:variant>
      <vt:variant>
        <vt:i4>4390923</vt:i4>
      </vt:variant>
      <vt:variant>
        <vt:i4>2</vt:i4>
      </vt:variant>
      <vt:variant>
        <vt:i4>0</vt:i4>
      </vt:variant>
      <vt:variant>
        <vt:i4>5</vt:i4>
      </vt:variant>
      <vt:variant>
        <vt:lpwstr/>
      </vt:variant>
      <vt:variant>
        <vt:lpwstr>_ENREF_2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2010-12-08T18:17:00Z</cp:lastPrinted>
  <dcterms:created xsi:type="dcterms:W3CDTF">2019-03-07T21:28:00Z</dcterms:created>
  <dcterms:modified xsi:type="dcterms:W3CDTF">2019-03-07T21:28:00Z</dcterms:modified>
</cp:coreProperties>
</file>