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DFA24E" w14:textId="77777777" w:rsidR="004F26E9" w:rsidRDefault="004F26E9">
      <w:pPr>
        <w:jc w:val="center"/>
        <w:rPr>
          <w:b/>
          <w:bCs/>
          <w:sz w:val="24"/>
          <w:szCs w:val="24"/>
        </w:rPr>
      </w:pPr>
      <w:bookmarkStart w:id="0" w:name="_GoBack"/>
      <w:bookmarkEnd w:id="0"/>
      <w:r>
        <w:rPr>
          <w:b/>
          <w:bCs/>
          <w:sz w:val="24"/>
          <w:szCs w:val="24"/>
        </w:rPr>
        <w:t>SUPPORTING STATEMENT</w:t>
      </w:r>
    </w:p>
    <w:p w14:paraId="2C626513" w14:textId="77777777" w:rsidR="009262A1" w:rsidRDefault="009262A1">
      <w:pPr>
        <w:jc w:val="center"/>
        <w:rPr>
          <w:b/>
          <w:bCs/>
          <w:sz w:val="24"/>
          <w:szCs w:val="24"/>
        </w:rPr>
      </w:pPr>
    </w:p>
    <w:p w14:paraId="55CC6277" w14:textId="5CB02324" w:rsidR="005B6290" w:rsidRDefault="005B6290">
      <w:pPr>
        <w:jc w:val="center"/>
        <w:rPr>
          <w:b/>
          <w:bCs/>
          <w:sz w:val="24"/>
          <w:szCs w:val="24"/>
        </w:rPr>
      </w:pPr>
      <w:r>
        <w:rPr>
          <w:b/>
          <w:bCs/>
          <w:sz w:val="24"/>
          <w:szCs w:val="24"/>
        </w:rPr>
        <w:t xml:space="preserve">TERRITORIAL CATCH AND EFFORT LIMITS AND SPECIFIED FISHING </w:t>
      </w:r>
      <w:r w:rsidR="00821741">
        <w:rPr>
          <w:b/>
          <w:bCs/>
          <w:sz w:val="24"/>
          <w:szCs w:val="24"/>
        </w:rPr>
        <w:t>AGREEMENT</w:t>
      </w:r>
      <w:r w:rsidR="00FB48C3">
        <w:rPr>
          <w:b/>
          <w:bCs/>
          <w:sz w:val="24"/>
          <w:szCs w:val="24"/>
        </w:rPr>
        <w:t xml:space="preserve"> - </w:t>
      </w:r>
      <w:r w:rsidR="0004730F">
        <w:rPr>
          <w:b/>
          <w:bCs/>
          <w:sz w:val="24"/>
          <w:szCs w:val="24"/>
        </w:rPr>
        <w:t>FISHERY ECOSYSTEM PLAN FOR PELAGIC FISHERIES OF THE WESTERN PACIFIC REGION</w:t>
      </w:r>
    </w:p>
    <w:p w14:paraId="1CEA63E5" w14:textId="77777777" w:rsidR="005B6290" w:rsidRDefault="005B6290">
      <w:pPr>
        <w:jc w:val="center"/>
        <w:rPr>
          <w:b/>
          <w:bCs/>
          <w:sz w:val="24"/>
          <w:szCs w:val="24"/>
        </w:rPr>
      </w:pPr>
    </w:p>
    <w:p w14:paraId="67071AE9" w14:textId="6C40F863" w:rsidR="004F26E9" w:rsidRDefault="004F26E9">
      <w:pPr>
        <w:jc w:val="center"/>
        <w:rPr>
          <w:sz w:val="24"/>
          <w:szCs w:val="24"/>
        </w:rPr>
      </w:pPr>
      <w:r>
        <w:rPr>
          <w:b/>
          <w:bCs/>
          <w:sz w:val="24"/>
          <w:szCs w:val="24"/>
        </w:rPr>
        <w:t>OMB CONTROL NO. 0648-</w:t>
      </w:r>
      <w:r w:rsidR="004464E0" w:rsidRPr="006E4257">
        <w:rPr>
          <w:b/>
          <w:bCs/>
          <w:sz w:val="24"/>
          <w:szCs w:val="24"/>
        </w:rPr>
        <w:t>0689</w:t>
      </w:r>
    </w:p>
    <w:p w14:paraId="16A04ADE" w14:textId="77777777" w:rsidR="004F26E9" w:rsidRDefault="004F26E9">
      <w:pPr>
        <w:rPr>
          <w:sz w:val="24"/>
          <w:szCs w:val="24"/>
        </w:rPr>
      </w:pPr>
    </w:p>
    <w:p w14:paraId="1E64E18B" w14:textId="48E142CB" w:rsidR="005B6290" w:rsidRDefault="00F731BD">
      <w:pPr>
        <w:rPr>
          <w:bCs/>
          <w:sz w:val="24"/>
          <w:szCs w:val="24"/>
        </w:rPr>
      </w:pPr>
      <w:r>
        <w:rPr>
          <w:bCs/>
          <w:sz w:val="24"/>
          <w:szCs w:val="24"/>
        </w:rPr>
        <w:t xml:space="preserve">This Supporting Statement </w:t>
      </w:r>
      <w:r w:rsidR="00422CBE">
        <w:rPr>
          <w:bCs/>
          <w:sz w:val="24"/>
          <w:szCs w:val="24"/>
        </w:rPr>
        <w:t>is for an</w:t>
      </w:r>
      <w:r>
        <w:rPr>
          <w:bCs/>
          <w:sz w:val="24"/>
          <w:szCs w:val="24"/>
        </w:rPr>
        <w:t xml:space="preserve"> extension of the previously approved information collection</w:t>
      </w:r>
      <w:r w:rsidR="004464E0">
        <w:rPr>
          <w:bCs/>
          <w:sz w:val="24"/>
          <w:szCs w:val="24"/>
        </w:rPr>
        <w:t xml:space="preserve"> under OMB Control No. 0648-0689</w:t>
      </w:r>
      <w:r>
        <w:rPr>
          <w:bCs/>
          <w:sz w:val="24"/>
          <w:szCs w:val="24"/>
        </w:rPr>
        <w:t>.</w:t>
      </w:r>
    </w:p>
    <w:p w14:paraId="1F2D627F" w14:textId="77777777" w:rsidR="005B6290" w:rsidRDefault="005B6290">
      <w:pPr>
        <w:rPr>
          <w:sz w:val="24"/>
          <w:szCs w:val="24"/>
        </w:rPr>
      </w:pPr>
    </w:p>
    <w:p w14:paraId="2B28632D" w14:textId="77777777" w:rsidR="004F26E9" w:rsidRDefault="004F26E9">
      <w:pPr>
        <w:tabs>
          <w:tab w:val="left" w:pos="720"/>
        </w:tabs>
        <w:ind w:left="720" w:hanging="720"/>
        <w:rPr>
          <w:sz w:val="24"/>
          <w:szCs w:val="24"/>
        </w:rPr>
      </w:pPr>
      <w:r>
        <w:rPr>
          <w:b/>
          <w:bCs/>
          <w:sz w:val="24"/>
          <w:szCs w:val="24"/>
        </w:rPr>
        <w:t xml:space="preserve">A. </w:t>
      </w:r>
      <w:r>
        <w:rPr>
          <w:b/>
          <w:bCs/>
          <w:sz w:val="24"/>
          <w:szCs w:val="24"/>
        </w:rPr>
        <w:tab/>
        <w:t>JUSTIFICATION</w:t>
      </w:r>
    </w:p>
    <w:p w14:paraId="4771824D" w14:textId="77777777" w:rsidR="004F26E9" w:rsidRDefault="004F26E9">
      <w:pPr>
        <w:rPr>
          <w:sz w:val="24"/>
          <w:szCs w:val="24"/>
        </w:rPr>
      </w:pPr>
    </w:p>
    <w:p w14:paraId="7235445D" w14:textId="77777777" w:rsidR="004F26E9" w:rsidRDefault="004F26E9">
      <w:pPr>
        <w:rPr>
          <w:sz w:val="24"/>
          <w:szCs w:val="24"/>
        </w:rPr>
      </w:pPr>
      <w:r>
        <w:rPr>
          <w:b/>
          <w:bCs/>
          <w:sz w:val="24"/>
          <w:szCs w:val="24"/>
        </w:rPr>
        <w:t xml:space="preserve">1.  </w:t>
      </w:r>
      <w:r>
        <w:rPr>
          <w:b/>
          <w:bCs/>
          <w:sz w:val="24"/>
          <w:szCs w:val="24"/>
          <w:u w:val="single"/>
        </w:rPr>
        <w:t>Explain the circumstances that make the collection of information necessary.</w:t>
      </w:r>
    </w:p>
    <w:p w14:paraId="008CA4AA" w14:textId="77777777" w:rsidR="007400F9" w:rsidRDefault="007400F9" w:rsidP="007400F9">
      <w:pPr>
        <w:rPr>
          <w:sz w:val="24"/>
          <w:szCs w:val="24"/>
        </w:rPr>
      </w:pPr>
    </w:p>
    <w:p w14:paraId="0EE14632" w14:textId="709B26A5" w:rsidR="00DB05C4" w:rsidRPr="009C0434" w:rsidRDefault="00DB05C4" w:rsidP="009C0434">
      <w:pPr>
        <w:widowControl/>
        <w:rPr>
          <w:sz w:val="24"/>
          <w:szCs w:val="24"/>
        </w:rPr>
      </w:pPr>
      <w:r w:rsidRPr="009C0434">
        <w:rPr>
          <w:sz w:val="24"/>
          <w:szCs w:val="24"/>
        </w:rPr>
        <w:t>Th</w:t>
      </w:r>
      <w:r w:rsidRPr="009C0434">
        <w:rPr>
          <w:color w:val="000000"/>
          <w:sz w:val="24"/>
          <w:szCs w:val="24"/>
        </w:rPr>
        <w:t>e Fishery Ecosystem Plan</w:t>
      </w:r>
      <w:r w:rsidR="00032886">
        <w:rPr>
          <w:color w:val="000000"/>
          <w:sz w:val="24"/>
          <w:szCs w:val="24"/>
        </w:rPr>
        <w:t xml:space="preserve"> (FEP)</w:t>
      </w:r>
      <w:r w:rsidRPr="009C0434">
        <w:rPr>
          <w:color w:val="000000"/>
          <w:sz w:val="24"/>
          <w:szCs w:val="24"/>
        </w:rPr>
        <w:t xml:space="preserve"> for Pelagic Fisheries of the Western Pacific contains a process that allows </w:t>
      </w:r>
      <w:r w:rsidR="00032886">
        <w:rPr>
          <w:color w:val="000000"/>
          <w:sz w:val="24"/>
          <w:szCs w:val="24"/>
        </w:rPr>
        <w:t>NOAA’s National Marine Fisheries Service (</w:t>
      </w:r>
      <w:r w:rsidRPr="009C0434">
        <w:rPr>
          <w:color w:val="000000"/>
          <w:sz w:val="24"/>
          <w:szCs w:val="24"/>
        </w:rPr>
        <w:t>NMFS</w:t>
      </w:r>
      <w:r w:rsidR="00032886">
        <w:rPr>
          <w:color w:val="000000"/>
          <w:sz w:val="24"/>
          <w:szCs w:val="24"/>
        </w:rPr>
        <w:t>)</w:t>
      </w:r>
      <w:r w:rsidRPr="009C0434">
        <w:rPr>
          <w:color w:val="000000"/>
          <w:sz w:val="24"/>
          <w:szCs w:val="24"/>
        </w:rPr>
        <w:t xml:space="preserve"> to implement catch and/or fishing effort limits for management unit species (MUS) caught by pelagic fisheries in the American Samoa, Guam, and the Commonwealth of the Northern Mariana Islands (hereinafter, the U.S. territories). The process also allows NMFS to authorize the government of each U.S. territory to allocate a specific amount of MUS to a U.S. fishing vessel permitted under the FEP through a specified fishing agreement, not to exceed the amount made available for allocation by NMFS. Funds provided by U.S. fishing vessels through a specified fishing agreement </w:t>
      </w:r>
      <w:r w:rsidRPr="009C0434">
        <w:rPr>
          <w:sz w:val="24"/>
          <w:szCs w:val="24"/>
        </w:rPr>
        <w:t>are deposited into the Western Pacific Sustainable Fisheries Fund (SFF) to support fisheries development projects listed in a marine conservation plan of a U.S. territory submitted to and approved by the Secretary of Commerce.</w:t>
      </w:r>
    </w:p>
    <w:p w14:paraId="4067760F" w14:textId="77777777" w:rsidR="00DB05C4" w:rsidRPr="00DB05C4" w:rsidRDefault="00DB05C4" w:rsidP="00DB05C4">
      <w:pPr>
        <w:autoSpaceDE/>
        <w:autoSpaceDN/>
        <w:adjustRightInd/>
        <w:rPr>
          <w:sz w:val="24"/>
          <w:szCs w:val="24"/>
        </w:rPr>
      </w:pPr>
    </w:p>
    <w:p w14:paraId="0662FD6C" w14:textId="14E46987" w:rsidR="00DB05C4" w:rsidRDefault="00DB05C4" w:rsidP="00DB05C4">
      <w:pPr>
        <w:autoSpaceDE/>
        <w:autoSpaceDN/>
        <w:adjustRightInd/>
        <w:rPr>
          <w:color w:val="000000"/>
        </w:rPr>
      </w:pPr>
      <w:r w:rsidRPr="009C0434">
        <w:rPr>
          <w:color w:val="000000"/>
          <w:sz w:val="24"/>
          <w:szCs w:val="24"/>
        </w:rPr>
        <w:t>Data gathered under a specified fishing agreement will include the identity of fishing vessels subject to the agreement, the amount (weight) of MUS or fishing effort to which the agreement applies</w:t>
      </w:r>
      <w:r w:rsidR="00032886">
        <w:rPr>
          <w:color w:val="000000"/>
          <w:sz w:val="24"/>
          <w:szCs w:val="24"/>
        </w:rPr>
        <w:t>,</w:t>
      </w:r>
      <w:r w:rsidRPr="009C0434">
        <w:rPr>
          <w:color w:val="000000"/>
          <w:sz w:val="24"/>
          <w:szCs w:val="24"/>
        </w:rPr>
        <w:t xml:space="preserve"> and the amount of monetary contributions that fishing vessel</w:t>
      </w:r>
      <w:r w:rsidR="00032886">
        <w:rPr>
          <w:color w:val="000000"/>
          <w:sz w:val="24"/>
          <w:szCs w:val="24"/>
        </w:rPr>
        <w:t>,</w:t>
      </w:r>
      <w:r w:rsidRPr="009C0434">
        <w:rPr>
          <w:color w:val="000000"/>
          <w:sz w:val="24"/>
          <w:szCs w:val="24"/>
        </w:rPr>
        <w:t xml:space="preserve"> subject to the agreement</w:t>
      </w:r>
      <w:r w:rsidR="00032886">
        <w:rPr>
          <w:color w:val="000000"/>
          <w:sz w:val="24"/>
          <w:szCs w:val="24"/>
        </w:rPr>
        <w:t>,</w:t>
      </w:r>
      <w:r w:rsidRPr="009C0434">
        <w:rPr>
          <w:color w:val="000000"/>
          <w:sz w:val="24"/>
          <w:szCs w:val="24"/>
        </w:rPr>
        <w:t xml:space="preserve"> will deposit into the SFF, if applicable. Additionally, specified fishing agreements must be signed by an authorized official of the U.S. territory or designated representative, and be signed by each vessel owner or designated representative. There is no form for an agreement.</w:t>
      </w:r>
    </w:p>
    <w:p w14:paraId="1A23F1BF" w14:textId="77777777" w:rsidR="00DB05C4" w:rsidRDefault="00DB05C4" w:rsidP="00DB05C4">
      <w:pPr>
        <w:autoSpaceDE/>
        <w:autoSpaceDN/>
        <w:adjustRightInd/>
        <w:rPr>
          <w:color w:val="000000"/>
        </w:rPr>
      </w:pPr>
    </w:p>
    <w:p w14:paraId="1A301CC8" w14:textId="77777777" w:rsidR="004F26E9" w:rsidRDefault="004F26E9">
      <w:pPr>
        <w:rPr>
          <w:sz w:val="24"/>
          <w:szCs w:val="24"/>
        </w:rPr>
      </w:pPr>
      <w:r>
        <w:rPr>
          <w:b/>
          <w:bCs/>
          <w:sz w:val="24"/>
          <w:szCs w:val="24"/>
        </w:rPr>
        <w:t xml:space="preserve">2.  </w:t>
      </w:r>
      <w:r w:rsidR="00E349FC">
        <w:rPr>
          <w:szCs w:val="24"/>
          <w:lang w:val="en-CA"/>
        </w:rPr>
        <w:fldChar w:fldCharType="begin"/>
      </w:r>
      <w:r>
        <w:rPr>
          <w:szCs w:val="24"/>
          <w:lang w:val="en-CA"/>
        </w:rPr>
        <w:instrText xml:space="preserve"> SEQ CHAPTER \h \r 1</w:instrText>
      </w:r>
      <w:r w:rsidR="00E349FC">
        <w:rPr>
          <w:szCs w:val="24"/>
          <w:lang w:val="en-CA"/>
        </w:rPr>
        <w:fldChar w:fldCharType="end"/>
      </w:r>
      <w:r>
        <w:rPr>
          <w:b/>
          <w:bCs/>
          <w:sz w:val="24"/>
          <w:szCs w:val="24"/>
          <w:u w:val="single"/>
        </w:rPr>
        <w:t xml:space="preserve">Explain how, by whom, how frequently, and for what purpose the information will be used.  </w:t>
      </w:r>
      <w:r w:rsidR="00E349FC">
        <w:rPr>
          <w:szCs w:val="24"/>
          <w:lang w:val="en-CA"/>
        </w:rPr>
        <w:fldChar w:fldCharType="begin"/>
      </w:r>
      <w:r>
        <w:rPr>
          <w:szCs w:val="24"/>
          <w:lang w:val="en-CA"/>
        </w:rPr>
        <w:instrText xml:space="preserve"> SEQ CHAPTER \h \r 1</w:instrText>
      </w:r>
      <w:r w:rsidR="00E349FC">
        <w:rPr>
          <w:szCs w:val="24"/>
          <w:lang w:val="en-CA"/>
        </w:rPr>
        <w:fldChar w:fldCharType="end"/>
      </w:r>
      <w:r>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Pr>
          <w:b/>
          <w:bCs/>
          <w:sz w:val="24"/>
          <w:szCs w:val="24"/>
        </w:rPr>
        <w:t xml:space="preserve">. </w:t>
      </w:r>
    </w:p>
    <w:p w14:paraId="42CCF2E2" w14:textId="77777777" w:rsidR="004F26E9" w:rsidRDefault="004F26E9">
      <w:pPr>
        <w:rPr>
          <w:sz w:val="24"/>
          <w:szCs w:val="24"/>
        </w:rPr>
      </w:pPr>
    </w:p>
    <w:p w14:paraId="4B8E93DB" w14:textId="6DB02B14" w:rsidR="007400F9" w:rsidRDefault="007400F9" w:rsidP="007400F9">
      <w:pPr>
        <w:rPr>
          <w:sz w:val="24"/>
          <w:szCs w:val="24"/>
        </w:rPr>
      </w:pPr>
      <w:r>
        <w:rPr>
          <w:sz w:val="24"/>
          <w:szCs w:val="24"/>
        </w:rPr>
        <w:t xml:space="preserve">A </w:t>
      </w:r>
      <w:r w:rsidR="00E108ED">
        <w:rPr>
          <w:sz w:val="24"/>
          <w:szCs w:val="24"/>
        </w:rPr>
        <w:t xml:space="preserve">specified </w:t>
      </w:r>
      <w:r>
        <w:rPr>
          <w:sz w:val="24"/>
          <w:szCs w:val="24"/>
        </w:rPr>
        <w:t xml:space="preserve">fishing </w:t>
      </w:r>
      <w:r w:rsidR="00821741">
        <w:rPr>
          <w:sz w:val="24"/>
          <w:szCs w:val="24"/>
        </w:rPr>
        <w:t>agreement</w:t>
      </w:r>
      <w:r w:rsidRPr="006E0BC8">
        <w:rPr>
          <w:sz w:val="24"/>
          <w:szCs w:val="24"/>
        </w:rPr>
        <w:t xml:space="preserve"> </w:t>
      </w:r>
      <w:r>
        <w:rPr>
          <w:sz w:val="24"/>
          <w:szCs w:val="24"/>
        </w:rPr>
        <w:t xml:space="preserve">is a voluntary agreement between a U.S. territory and a </w:t>
      </w:r>
      <w:r w:rsidR="008804D9">
        <w:rPr>
          <w:sz w:val="24"/>
          <w:szCs w:val="24"/>
        </w:rPr>
        <w:t xml:space="preserve">U.S. fishing </w:t>
      </w:r>
      <w:r w:rsidRPr="006E0BC8">
        <w:rPr>
          <w:sz w:val="24"/>
          <w:szCs w:val="24"/>
        </w:rPr>
        <w:t>vessel</w:t>
      </w:r>
      <w:r>
        <w:rPr>
          <w:sz w:val="24"/>
          <w:szCs w:val="24"/>
        </w:rPr>
        <w:t>(s)</w:t>
      </w:r>
      <w:r w:rsidRPr="006E0BC8">
        <w:rPr>
          <w:sz w:val="24"/>
          <w:szCs w:val="24"/>
        </w:rPr>
        <w:t xml:space="preserve"> permitted under the </w:t>
      </w:r>
      <w:r>
        <w:rPr>
          <w:sz w:val="24"/>
          <w:szCs w:val="24"/>
        </w:rPr>
        <w:t xml:space="preserve">Pelagics FEP, </w:t>
      </w:r>
      <w:r w:rsidR="00661489">
        <w:rPr>
          <w:sz w:val="24"/>
          <w:szCs w:val="24"/>
        </w:rPr>
        <w:t>and</w:t>
      </w:r>
      <w:r>
        <w:rPr>
          <w:sz w:val="24"/>
          <w:szCs w:val="24"/>
        </w:rPr>
        <w:t xml:space="preserve"> </w:t>
      </w:r>
      <w:r w:rsidR="00E108ED">
        <w:rPr>
          <w:sz w:val="24"/>
          <w:szCs w:val="24"/>
        </w:rPr>
        <w:t xml:space="preserve">provides </w:t>
      </w:r>
      <w:r>
        <w:rPr>
          <w:sz w:val="24"/>
          <w:szCs w:val="24"/>
        </w:rPr>
        <w:t xml:space="preserve">the vessel(s) identified in the </w:t>
      </w:r>
      <w:r w:rsidR="00821741">
        <w:rPr>
          <w:sz w:val="24"/>
          <w:szCs w:val="24"/>
        </w:rPr>
        <w:t>agreement</w:t>
      </w:r>
      <w:r>
        <w:rPr>
          <w:sz w:val="24"/>
          <w:szCs w:val="24"/>
        </w:rPr>
        <w:t xml:space="preserve"> </w:t>
      </w:r>
      <w:r w:rsidR="00821741">
        <w:rPr>
          <w:sz w:val="24"/>
          <w:szCs w:val="24"/>
        </w:rPr>
        <w:t xml:space="preserve">with </w:t>
      </w:r>
      <w:r>
        <w:rPr>
          <w:sz w:val="24"/>
          <w:szCs w:val="24"/>
        </w:rPr>
        <w:t xml:space="preserve">access to a specified </w:t>
      </w:r>
      <w:r w:rsidR="00127585">
        <w:rPr>
          <w:sz w:val="24"/>
          <w:szCs w:val="24"/>
        </w:rPr>
        <w:t xml:space="preserve">amount </w:t>
      </w:r>
      <w:r w:rsidR="00E108ED">
        <w:rPr>
          <w:sz w:val="24"/>
          <w:szCs w:val="24"/>
        </w:rPr>
        <w:t xml:space="preserve">(weight) </w:t>
      </w:r>
      <w:r w:rsidR="00127585">
        <w:rPr>
          <w:sz w:val="24"/>
          <w:szCs w:val="24"/>
        </w:rPr>
        <w:t xml:space="preserve">of MUS </w:t>
      </w:r>
      <w:r>
        <w:rPr>
          <w:sz w:val="24"/>
          <w:szCs w:val="24"/>
        </w:rPr>
        <w:t xml:space="preserve">or </w:t>
      </w:r>
      <w:r w:rsidR="00127585">
        <w:rPr>
          <w:sz w:val="24"/>
          <w:szCs w:val="24"/>
        </w:rPr>
        <w:t xml:space="preserve">fishing </w:t>
      </w:r>
      <w:r>
        <w:rPr>
          <w:sz w:val="24"/>
          <w:szCs w:val="24"/>
        </w:rPr>
        <w:t>effort</w:t>
      </w:r>
      <w:r w:rsidR="00127585">
        <w:rPr>
          <w:sz w:val="24"/>
          <w:szCs w:val="24"/>
        </w:rPr>
        <w:t>, not to exceed the amount made available for allocation by NMFS</w:t>
      </w:r>
      <w:r>
        <w:rPr>
          <w:sz w:val="24"/>
          <w:szCs w:val="24"/>
        </w:rPr>
        <w:t xml:space="preserve">. </w:t>
      </w:r>
    </w:p>
    <w:p w14:paraId="37CB0489" w14:textId="77777777" w:rsidR="007400F9" w:rsidRDefault="007400F9" w:rsidP="006E0BC8">
      <w:pPr>
        <w:rPr>
          <w:sz w:val="24"/>
          <w:szCs w:val="24"/>
        </w:rPr>
      </w:pPr>
    </w:p>
    <w:p w14:paraId="0279DCA8" w14:textId="1A717E07" w:rsidR="008804D9" w:rsidRDefault="008804D9" w:rsidP="006E0BC8">
      <w:pPr>
        <w:rPr>
          <w:sz w:val="24"/>
          <w:szCs w:val="24"/>
        </w:rPr>
      </w:pPr>
      <w:r>
        <w:rPr>
          <w:sz w:val="24"/>
          <w:szCs w:val="24"/>
        </w:rPr>
        <w:t>Each fishing year</w:t>
      </w:r>
      <w:r w:rsidR="00234D20">
        <w:rPr>
          <w:sz w:val="24"/>
          <w:szCs w:val="24"/>
        </w:rPr>
        <w:t>,</w:t>
      </w:r>
      <w:r>
        <w:rPr>
          <w:sz w:val="24"/>
          <w:szCs w:val="24"/>
        </w:rPr>
        <w:t xml:space="preserve"> which begins January 1,</w:t>
      </w:r>
      <w:r w:rsidR="00234D20">
        <w:rPr>
          <w:sz w:val="24"/>
          <w:szCs w:val="24"/>
        </w:rPr>
        <w:t xml:space="preserve"> </w:t>
      </w:r>
      <w:r w:rsidR="000E4167">
        <w:rPr>
          <w:sz w:val="24"/>
          <w:szCs w:val="24"/>
        </w:rPr>
        <w:t>NMFS</w:t>
      </w:r>
      <w:r w:rsidR="00DF713E">
        <w:rPr>
          <w:sz w:val="24"/>
          <w:szCs w:val="24"/>
        </w:rPr>
        <w:t xml:space="preserve"> </w:t>
      </w:r>
      <w:r w:rsidR="00234D20">
        <w:rPr>
          <w:sz w:val="24"/>
          <w:szCs w:val="24"/>
        </w:rPr>
        <w:t>will publish in the Federal Register, a notice of the proposed catch or effort lim</w:t>
      </w:r>
      <w:r w:rsidR="00661489">
        <w:rPr>
          <w:sz w:val="24"/>
          <w:szCs w:val="24"/>
        </w:rPr>
        <w:t>it applicable to each</w:t>
      </w:r>
      <w:r w:rsidR="00234D20">
        <w:rPr>
          <w:sz w:val="24"/>
          <w:szCs w:val="24"/>
        </w:rPr>
        <w:t xml:space="preserve"> U.S. participating territory and th</w:t>
      </w:r>
      <w:r w:rsidR="0063220A">
        <w:rPr>
          <w:sz w:val="24"/>
          <w:szCs w:val="24"/>
        </w:rPr>
        <w:t>e</w:t>
      </w:r>
      <w:r w:rsidR="00661489">
        <w:rPr>
          <w:sz w:val="24"/>
          <w:szCs w:val="24"/>
        </w:rPr>
        <w:t xml:space="preserve"> </w:t>
      </w:r>
      <w:r w:rsidR="00E108ED">
        <w:rPr>
          <w:sz w:val="24"/>
          <w:szCs w:val="24"/>
        </w:rPr>
        <w:t xml:space="preserve">amount of MUS </w:t>
      </w:r>
      <w:r w:rsidR="00661489">
        <w:rPr>
          <w:sz w:val="24"/>
          <w:szCs w:val="24"/>
        </w:rPr>
        <w:t>that each</w:t>
      </w:r>
      <w:r w:rsidR="0063220A">
        <w:rPr>
          <w:sz w:val="24"/>
          <w:szCs w:val="24"/>
        </w:rPr>
        <w:t xml:space="preserve"> territory may </w:t>
      </w:r>
      <w:r w:rsidR="00234D20">
        <w:rPr>
          <w:sz w:val="24"/>
          <w:szCs w:val="24"/>
        </w:rPr>
        <w:t xml:space="preserve">allocate to fishing vessels identified in a specified fishing </w:t>
      </w:r>
      <w:r w:rsidR="00821741">
        <w:rPr>
          <w:sz w:val="24"/>
          <w:szCs w:val="24"/>
        </w:rPr>
        <w:t>agreement</w:t>
      </w:r>
      <w:r w:rsidR="00234D20">
        <w:rPr>
          <w:sz w:val="24"/>
          <w:szCs w:val="24"/>
        </w:rPr>
        <w:t xml:space="preserve">. </w:t>
      </w:r>
      <w:r>
        <w:rPr>
          <w:sz w:val="24"/>
          <w:szCs w:val="24"/>
        </w:rPr>
        <w:t xml:space="preserve">After considering public comments, </w:t>
      </w:r>
      <w:r w:rsidR="000E4167">
        <w:rPr>
          <w:sz w:val="24"/>
          <w:szCs w:val="24"/>
        </w:rPr>
        <w:t xml:space="preserve">NMFS </w:t>
      </w:r>
      <w:r>
        <w:rPr>
          <w:sz w:val="24"/>
          <w:szCs w:val="24"/>
        </w:rPr>
        <w:t xml:space="preserve">will publish the final catch or </w:t>
      </w:r>
      <w:r>
        <w:rPr>
          <w:sz w:val="24"/>
          <w:szCs w:val="24"/>
        </w:rPr>
        <w:lastRenderedPageBreak/>
        <w:t>e</w:t>
      </w:r>
      <w:r w:rsidR="00234D20">
        <w:rPr>
          <w:sz w:val="24"/>
          <w:szCs w:val="24"/>
        </w:rPr>
        <w:t>ffort limit</w:t>
      </w:r>
      <w:r w:rsidR="00E108ED">
        <w:rPr>
          <w:sz w:val="24"/>
          <w:szCs w:val="24"/>
        </w:rPr>
        <w:t>, and amount of allocation</w:t>
      </w:r>
      <w:r w:rsidR="00234D20">
        <w:rPr>
          <w:sz w:val="24"/>
          <w:szCs w:val="24"/>
        </w:rPr>
        <w:t xml:space="preserve"> </w:t>
      </w:r>
      <w:r w:rsidR="00E108ED">
        <w:rPr>
          <w:sz w:val="24"/>
          <w:szCs w:val="24"/>
        </w:rPr>
        <w:t>in the</w:t>
      </w:r>
      <w:r w:rsidR="00497EFC">
        <w:rPr>
          <w:sz w:val="24"/>
          <w:szCs w:val="24"/>
        </w:rPr>
        <w:t xml:space="preserve"> </w:t>
      </w:r>
      <w:r w:rsidR="00661489">
        <w:rPr>
          <w:sz w:val="24"/>
          <w:szCs w:val="24"/>
        </w:rPr>
        <w:t>Federal Register</w:t>
      </w:r>
      <w:r>
        <w:rPr>
          <w:sz w:val="24"/>
          <w:szCs w:val="24"/>
        </w:rPr>
        <w:t>.</w:t>
      </w:r>
      <w:r w:rsidR="00821741">
        <w:rPr>
          <w:sz w:val="24"/>
          <w:szCs w:val="24"/>
        </w:rPr>
        <w:t xml:space="preserve"> A U.S. territory may submit a specified fishing agreement to </w:t>
      </w:r>
      <w:r w:rsidR="000E4167">
        <w:rPr>
          <w:sz w:val="24"/>
          <w:szCs w:val="24"/>
        </w:rPr>
        <w:t>NMFS</w:t>
      </w:r>
      <w:r w:rsidR="00821741">
        <w:rPr>
          <w:sz w:val="24"/>
          <w:szCs w:val="24"/>
        </w:rPr>
        <w:t xml:space="preserve"> at any time during the fishing year.</w:t>
      </w:r>
    </w:p>
    <w:p w14:paraId="1812C731" w14:textId="77777777" w:rsidR="00234D20" w:rsidRDefault="00234D20" w:rsidP="006E0BC8">
      <w:pPr>
        <w:rPr>
          <w:sz w:val="24"/>
          <w:szCs w:val="24"/>
        </w:rPr>
      </w:pPr>
    </w:p>
    <w:p w14:paraId="23705216" w14:textId="204070A2" w:rsidR="007F4B52" w:rsidRDefault="000E4167" w:rsidP="006E0BC8">
      <w:pPr>
        <w:rPr>
          <w:sz w:val="24"/>
          <w:szCs w:val="24"/>
        </w:rPr>
      </w:pPr>
      <w:r>
        <w:rPr>
          <w:sz w:val="24"/>
          <w:szCs w:val="24"/>
        </w:rPr>
        <w:t>NMFS</w:t>
      </w:r>
      <w:r w:rsidR="00234D20">
        <w:rPr>
          <w:sz w:val="24"/>
          <w:szCs w:val="24"/>
        </w:rPr>
        <w:t xml:space="preserve"> will use the information provided in </w:t>
      </w:r>
      <w:r w:rsidR="007F4B52">
        <w:rPr>
          <w:sz w:val="24"/>
          <w:szCs w:val="24"/>
        </w:rPr>
        <w:t>a</w:t>
      </w:r>
      <w:r w:rsidR="00234D20">
        <w:rPr>
          <w:sz w:val="24"/>
          <w:szCs w:val="24"/>
        </w:rPr>
        <w:t xml:space="preserve"> specified fishing </w:t>
      </w:r>
      <w:r w:rsidR="00821741">
        <w:rPr>
          <w:sz w:val="24"/>
          <w:szCs w:val="24"/>
        </w:rPr>
        <w:t>agreement</w:t>
      </w:r>
      <w:r w:rsidR="00234D20">
        <w:rPr>
          <w:sz w:val="24"/>
          <w:szCs w:val="24"/>
        </w:rPr>
        <w:t xml:space="preserve"> to determine whether the vessels identified in the </w:t>
      </w:r>
      <w:r w:rsidR="00821741">
        <w:rPr>
          <w:sz w:val="24"/>
          <w:szCs w:val="24"/>
        </w:rPr>
        <w:t>agreement</w:t>
      </w:r>
      <w:r w:rsidR="00234D20">
        <w:rPr>
          <w:sz w:val="24"/>
          <w:szCs w:val="24"/>
        </w:rPr>
        <w:t xml:space="preserve"> </w:t>
      </w:r>
      <w:r w:rsidR="007F4B52">
        <w:rPr>
          <w:sz w:val="24"/>
          <w:szCs w:val="24"/>
        </w:rPr>
        <w:t>possess</w:t>
      </w:r>
      <w:r w:rsidR="00234D20">
        <w:rPr>
          <w:sz w:val="24"/>
          <w:szCs w:val="24"/>
        </w:rPr>
        <w:t xml:space="preserve"> a valid federal fishin</w:t>
      </w:r>
      <w:r w:rsidR="007400F9">
        <w:rPr>
          <w:sz w:val="24"/>
          <w:szCs w:val="24"/>
        </w:rPr>
        <w:t>g permit issued u</w:t>
      </w:r>
      <w:r w:rsidR="00661489">
        <w:rPr>
          <w:sz w:val="24"/>
          <w:szCs w:val="24"/>
        </w:rPr>
        <w:t>nder § 665.801</w:t>
      </w:r>
      <w:r w:rsidR="00E108ED">
        <w:rPr>
          <w:sz w:val="24"/>
          <w:szCs w:val="24"/>
        </w:rPr>
        <w:t xml:space="preserve">, </w:t>
      </w:r>
      <w:r w:rsidR="00E108ED" w:rsidRPr="00E108ED">
        <w:rPr>
          <w:sz w:val="24"/>
          <w:szCs w:val="24"/>
        </w:rPr>
        <w:t xml:space="preserve">and ensure the amount of MUS or fishing effort available for allocation to a U.S. fishing vessel is consistent with the Pelagic FEP, the Magnuson-Stevens Fishery Conservation and Management Act </w:t>
      </w:r>
      <w:r w:rsidR="00497EFC">
        <w:rPr>
          <w:sz w:val="24"/>
          <w:szCs w:val="24"/>
        </w:rPr>
        <w:t>(M</w:t>
      </w:r>
      <w:r w:rsidR="006E4257">
        <w:rPr>
          <w:sz w:val="24"/>
          <w:szCs w:val="24"/>
        </w:rPr>
        <w:t>SA)</w:t>
      </w:r>
      <w:r w:rsidR="00497EFC">
        <w:rPr>
          <w:sz w:val="24"/>
          <w:szCs w:val="24"/>
        </w:rPr>
        <w:t xml:space="preserve"> </w:t>
      </w:r>
      <w:r w:rsidR="00E108ED" w:rsidRPr="00E108ED">
        <w:rPr>
          <w:sz w:val="24"/>
          <w:szCs w:val="24"/>
        </w:rPr>
        <w:t>and other applicable laws, and the conservation needs of the stock</w:t>
      </w:r>
      <w:r w:rsidR="00234D20">
        <w:rPr>
          <w:sz w:val="24"/>
          <w:szCs w:val="24"/>
        </w:rPr>
        <w:t xml:space="preserve">. </w:t>
      </w:r>
      <w:r>
        <w:rPr>
          <w:sz w:val="24"/>
          <w:szCs w:val="24"/>
        </w:rPr>
        <w:t>NMFS</w:t>
      </w:r>
      <w:r w:rsidR="009D74B5">
        <w:rPr>
          <w:sz w:val="24"/>
          <w:szCs w:val="24"/>
        </w:rPr>
        <w:t xml:space="preserve"> will also use the information to ensure that catches or fishing effort</w:t>
      </w:r>
      <w:r w:rsidR="007400F9">
        <w:rPr>
          <w:sz w:val="24"/>
          <w:szCs w:val="24"/>
        </w:rPr>
        <w:t xml:space="preserve"> </w:t>
      </w:r>
      <w:r w:rsidR="009D74B5">
        <w:rPr>
          <w:sz w:val="24"/>
          <w:szCs w:val="24"/>
        </w:rPr>
        <w:t xml:space="preserve">made by vessels identified in </w:t>
      </w:r>
      <w:r w:rsidR="00661489">
        <w:rPr>
          <w:sz w:val="24"/>
          <w:szCs w:val="24"/>
        </w:rPr>
        <w:t>a</w:t>
      </w:r>
      <w:r w:rsidR="009D74B5">
        <w:rPr>
          <w:sz w:val="24"/>
          <w:szCs w:val="24"/>
        </w:rPr>
        <w:t xml:space="preserve"> </w:t>
      </w:r>
      <w:r w:rsidR="00661489">
        <w:rPr>
          <w:sz w:val="24"/>
          <w:szCs w:val="24"/>
        </w:rPr>
        <w:t xml:space="preserve">specified fishing </w:t>
      </w:r>
      <w:r w:rsidR="00821741">
        <w:rPr>
          <w:sz w:val="24"/>
          <w:szCs w:val="24"/>
        </w:rPr>
        <w:t>agreement</w:t>
      </w:r>
      <w:r w:rsidR="009D74B5">
        <w:rPr>
          <w:sz w:val="24"/>
          <w:szCs w:val="24"/>
        </w:rPr>
        <w:t xml:space="preserve"> are </w:t>
      </w:r>
      <w:r w:rsidR="007F4B52">
        <w:rPr>
          <w:sz w:val="24"/>
          <w:szCs w:val="24"/>
        </w:rPr>
        <w:t xml:space="preserve">properly </w:t>
      </w:r>
      <w:r w:rsidR="009D74B5">
        <w:rPr>
          <w:sz w:val="24"/>
          <w:szCs w:val="24"/>
        </w:rPr>
        <w:t xml:space="preserve">attributed to the territory to which the </w:t>
      </w:r>
      <w:r w:rsidR="00821741">
        <w:rPr>
          <w:sz w:val="24"/>
          <w:szCs w:val="24"/>
        </w:rPr>
        <w:t>agreement</w:t>
      </w:r>
      <w:r w:rsidR="009D74B5">
        <w:rPr>
          <w:sz w:val="24"/>
          <w:szCs w:val="24"/>
        </w:rPr>
        <w:t xml:space="preserve"> </w:t>
      </w:r>
      <w:r w:rsidR="00BD6A11">
        <w:rPr>
          <w:sz w:val="24"/>
          <w:szCs w:val="24"/>
        </w:rPr>
        <w:t>applies</w:t>
      </w:r>
      <w:r w:rsidR="009D74B5">
        <w:rPr>
          <w:sz w:val="24"/>
          <w:szCs w:val="24"/>
        </w:rPr>
        <w:t>, and to inform vessels when a limit is projected to be reached</w:t>
      </w:r>
      <w:r w:rsidR="007F4B52">
        <w:rPr>
          <w:sz w:val="24"/>
          <w:szCs w:val="24"/>
        </w:rPr>
        <w:t>,</w:t>
      </w:r>
      <w:r w:rsidR="009D74B5">
        <w:rPr>
          <w:sz w:val="24"/>
          <w:szCs w:val="24"/>
        </w:rPr>
        <w:t xml:space="preserve"> and </w:t>
      </w:r>
      <w:r w:rsidR="001A11FE">
        <w:rPr>
          <w:sz w:val="24"/>
          <w:szCs w:val="24"/>
        </w:rPr>
        <w:t xml:space="preserve">the </w:t>
      </w:r>
      <w:r w:rsidR="009D74B5">
        <w:rPr>
          <w:sz w:val="24"/>
          <w:szCs w:val="24"/>
        </w:rPr>
        <w:t xml:space="preserve">restrictions </w:t>
      </w:r>
      <w:r>
        <w:rPr>
          <w:sz w:val="24"/>
          <w:szCs w:val="24"/>
        </w:rPr>
        <w:t>NMFS</w:t>
      </w:r>
      <w:r w:rsidR="009D74B5">
        <w:rPr>
          <w:sz w:val="24"/>
          <w:szCs w:val="24"/>
        </w:rPr>
        <w:t xml:space="preserve"> </w:t>
      </w:r>
      <w:r w:rsidR="001A11FE">
        <w:rPr>
          <w:sz w:val="24"/>
          <w:szCs w:val="24"/>
        </w:rPr>
        <w:t>will</w:t>
      </w:r>
      <w:r w:rsidR="009D74B5">
        <w:rPr>
          <w:sz w:val="24"/>
          <w:szCs w:val="24"/>
        </w:rPr>
        <w:t xml:space="preserve"> imp</w:t>
      </w:r>
      <w:r w:rsidR="007400F9">
        <w:rPr>
          <w:sz w:val="24"/>
          <w:szCs w:val="24"/>
        </w:rPr>
        <w:t xml:space="preserve">ose to prevent exceeding a limit. </w:t>
      </w:r>
    </w:p>
    <w:p w14:paraId="2709D1B6" w14:textId="77777777" w:rsidR="007F4B52" w:rsidRDefault="007F4B52" w:rsidP="006E0BC8">
      <w:pPr>
        <w:rPr>
          <w:sz w:val="24"/>
          <w:szCs w:val="24"/>
        </w:rPr>
      </w:pPr>
    </w:p>
    <w:p w14:paraId="3EBF040A" w14:textId="35E4D5D1" w:rsidR="009D74B5" w:rsidRDefault="000E4167" w:rsidP="006E0BC8">
      <w:pPr>
        <w:rPr>
          <w:sz w:val="24"/>
          <w:szCs w:val="24"/>
        </w:rPr>
      </w:pPr>
      <w:r>
        <w:rPr>
          <w:sz w:val="24"/>
          <w:szCs w:val="24"/>
        </w:rPr>
        <w:t>NMFS</w:t>
      </w:r>
      <w:r w:rsidR="007400F9">
        <w:rPr>
          <w:sz w:val="24"/>
          <w:szCs w:val="24"/>
        </w:rPr>
        <w:t xml:space="preserve"> will also use the information to determine whether the </w:t>
      </w:r>
      <w:r w:rsidR="00497EFC">
        <w:rPr>
          <w:sz w:val="24"/>
          <w:szCs w:val="24"/>
        </w:rPr>
        <w:t xml:space="preserve">specified </w:t>
      </w:r>
      <w:r w:rsidR="007400F9">
        <w:rPr>
          <w:sz w:val="24"/>
          <w:szCs w:val="24"/>
        </w:rPr>
        <w:t xml:space="preserve">fishing </w:t>
      </w:r>
      <w:r w:rsidR="00821741">
        <w:rPr>
          <w:sz w:val="24"/>
          <w:szCs w:val="24"/>
        </w:rPr>
        <w:t>agreement</w:t>
      </w:r>
      <w:r w:rsidR="007400F9">
        <w:rPr>
          <w:sz w:val="24"/>
          <w:szCs w:val="24"/>
        </w:rPr>
        <w:t xml:space="preserve"> includes a landing requirement or a deposit in support of implementation of a</w:t>
      </w:r>
      <w:r w:rsidR="007F4B52">
        <w:rPr>
          <w:sz w:val="24"/>
          <w:szCs w:val="24"/>
        </w:rPr>
        <w:t xml:space="preserve"> marine conservation plan, and thus, </w:t>
      </w:r>
      <w:r w:rsidR="007F4B52" w:rsidRPr="007400F9">
        <w:rPr>
          <w:sz w:val="24"/>
          <w:szCs w:val="24"/>
        </w:rPr>
        <w:t>support</w:t>
      </w:r>
      <w:r w:rsidR="00D82BF2">
        <w:rPr>
          <w:sz w:val="24"/>
          <w:szCs w:val="24"/>
        </w:rPr>
        <w:t>s</w:t>
      </w:r>
      <w:r w:rsidR="007F4B52" w:rsidRPr="007400F9">
        <w:rPr>
          <w:sz w:val="24"/>
          <w:szCs w:val="24"/>
        </w:rPr>
        <w:t xml:space="preserve"> fisheries development in the territories</w:t>
      </w:r>
      <w:r w:rsidR="007F4B52">
        <w:rPr>
          <w:sz w:val="24"/>
          <w:szCs w:val="24"/>
        </w:rPr>
        <w:t xml:space="preserve"> as intended by </w:t>
      </w:r>
      <w:r w:rsidR="00E108ED">
        <w:rPr>
          <w:sz w:val="24"/>
          <w:szCs w:val="24"/>
        </w:rPr>
        <w:t>the Pelagics FEP</w:t>
      </w:r>
      <w:r w:rsidR="007F4B52">
        <w:rPr>
          <w:sz w:val="24"/>
          <w:szCs w:val="24"/>
        </w:rPr>
        <w:t xml:space="preserve">. </w:t>
      </w:r>
      <w:r w:rsidR="00D82BF2">
        <w:rPr>
          <w:sz w:val="24"/>
          <w:szCs w:val="24"/>
        </w:rPr>
        <w:t>NOAA Office of Law Enforcement and the U.S. Coast Guard may also use the in</w:t>
      </w:r>
      <w:r w:rsidR="00981FC2" w:rsidRPr="00981FC2">
        <w:rPr>
          <w:sz w:val="24"/>
          <w:szCs w:val="24"/>
        </w:rPr>
        <w:t xml:space="preserve">formation </w:t>
      </w:r>
      <w:r w:rsidR="00D82BF2">
        <w:rPr>
          <w:sz w:val="24"/>
          <w:szCs w:val="24"/>
        </w:rPr>
        <w:t xml:space="preserve">provided in the specified fishing </w:t>
      </w:r>
      <w:r w:rsidR="00821741">
        <w:rPr>
          <w:sz w:val="24"/>
          <w:szCs w:val="24"/>
        </w:rPr>
        <w:t>agreement</w:t>
      </w:r>
      <w:r w:rsidR="00D82BF2">
        <w:rPr>
          <w:sz w:val="24"/>
          <w:szCs w:val="24"/>
        </w:rPr>
        <w:t>s</w:t>
      </w:r>
      <w:r w:rsidR="007F4B52">
        <w:rPr>
          <w:sz w:val="24"/>
          <w:szCs w:val="24"/>
        </w:rPr>
        <w:t xml:space="preserve"> </w:t>
      </w:r>
      <w:r w:rsidR="00032886">
        <w:rPr>
          <w:sz w:val="24"/>
          <w:szCs w:val="24"/>
        </w:rPr>
        <w:t xml:space="preserve">to </w:t>
      </w:r>
      <w:r w:rsidR="007F4B52">
        <w:rPr>
          <w:sz w:val="24"/>
          <w:szCs w:val="24"/>
        </w:rPr>
        <w:t xml:space="preserve">ensure </w:t>
      </w:r>
      <w:r w:rsidR="00D82BF2">
        <w:rPr>
          <w:sz w:val="24"/>
          <w:szCs w:val="24"/>
        </w:rPr>
        <w:t xml:space="preserve">vessels identified in the </w:t>
      </w:r>
      <w:r w:rsidR="00821741">
        <w:rPr>
          <w:sz w:val="24"/>
          <w:szCs w:val="24"/>
        </w:rPr>
        <w:t>agreement</w:t>
      </w:r>
      <w:r w:rsidR="00D82BF2">
        <w:rPr>
          <w:sz w:val="24"/>
          <w:szCs w:val="24"/>
        </w:rPr>
        <w:t>s comply</w:t>
      </w:r>
      <w:r w:rsidR="007F4B52">
        <w:rPr>
          <w:sz w:val="24"/>
          <w:szCs w:val="24"/>
        </w:rPr>
        <w:t xml:space="preserve"> with </w:t>
      </w:r>
      <w:r w:rsidR="001A0F7C">
        <w:rPr>
          <w:sz w:val="24"/>
          <w:szCs w:val="24"/>
        </w:rPr>
        <w:t>catch and fishing effort limit restrictions.</w:t>
      </w:r>
    </w:p>
    <w:p w14:paraId="410AD411" w14:textId="77777777" w:rsidR="009D74B5" w:rsidRDefault="009D74B5" w:rsidP="006E0BC8">
      <w:pPr>
        <w:rPr>
          <w:sz w:val="24"/>
          <w:szCs w:val="24"/>
        </w:rPr>
      </w:pPr>
    </w:p>
    <w:p w14:paraId="5776613F" w14:textId="25A4D992" w:rsidR="007F4B52" w:rsidRPr="001A0F7C" w:rsidRDefault="000E4167" w:rsidP="007F4B52">
      <w:pPr>
        <w:rPr>
          <w:sz w:val="24"/>
          <w:szCs w:val="24"/>
        </w:rPr>
      </w:pPr>
      <w:r>
        <w:rPr>
          <w:sz w:val="24"/>
          <w:szCs w:val="24"/>
        </w:rPr>
        <w:t>NMFS</w:t>
      </w:r>
      <w:r w:rsidR="007F4B52" w:rsidRPr="001A0F7C">
        <w:rPr>
          <w:sz w:val="24"/>
          <w:szCs w:val="24"/>
        </w:rPr>
        <w:t xml:space="preserve"> will retain control over the information and safeguard it from improper access, modification, and destruction, consistent with NOAA standards for confidentiality, privac</w:t>
      </w:r>
      <w:r w:rsidR="0063220A">
        <w:rPr>
          <w:sz w:val="24"/>
          <w:szCs w:val="24"/>
        </w:rPr>
        <w:t>y, and electronic information. </w:t>
      </w:r>
      <w:r w:rsidR="007F4B52" w:rsidRPr="001A0F7C">
        <w:rPr>
          <w:sz w:val="24"/>
          <w:szCs w:val="24"/>
        </w:rPr>
        <w:t xml:space="preserve">See response to Question 10 of this Supporting Statement for more information on confidentiality and privacy. The information collection is designed to yield data that meet all applicable information quality guidelines. Although the information collected is not expected to be disseminated directly to the public, results may be used in scientific, management, technical or general informational publications. Should </w:t>
      </w:r>
      <w:r w:rsidR="006E4257">
        <w:rPr>
          <w:sz w:val="24"/>
          <w:szCs w:val="24"/>
        </w:rPr>
        <w:t>N</w:t>
      </w:r>
      <w:r>
        <w:rPr>
          <w:sz w:val="24"/>
          <w:szCs w:val="24"/>
        </w:rPr>
        <w:t>M</w:t>
      </w:r>
      <w:r w:rsidR="006E4257">
        <w:rPr>
          <w:sz w:val="24"/>
          <w:szCs w:val="24"/>
        </w:rPr>
        <w:t>F</w:t>
      </w:r>
      <w:r>
        <w:rPr>
          <w:sz w:val="24"/>
          <w:szCs w:val="24"/>
        </w:rPr>
        <w:t>S</w:t>
      </w:r>
      <w:r w:rsidR="007F4B52" w:rsidRPr="001A0F7C">
        <w:rPr>
          <w:sz w:val="24"/>
          <w:szCs w:val="24"/>
        </w:rPr>
        <w:t xml:space="preserve"> decide to disseminate the information, it will be subject to the quality control measures and pre-dissemination review pursuant to Section 515 of Public Law 106-554.</w:t>
      </w:r>
    </w:p>
    <w:p w14:paraId="737D9C41" w14:textId="77777777" w:rsidR="004F26E9" w:rsidRPr="001A0F7C" w:rsidRDefault="004F26E9">
      <w:pPr>
        <w:rPr>
          <w:sz w:val="24"/>
          <w:szCs w:val="24"/>
        </w:rPr>
      </w:pPr>
    </w:p>
    <w:p w14:paraId="34E058CF" w14:textId="77777777" w:rsidR="004F26E9" w:rsidRDefault="004F26E9">
      <w:pPr>
        <w:rPr>
          <w:sz w:val="24"/>
          <w:szCs w:val="24"/>
        </w:rPr>
      </w:pPr>
      <w:r>
        <w:rPr>
          <w:b/>
          <w:bCs/>
          <w:sz w:val="24"/>
          <w:szCs w:val="24"/>
        </w:rPr>
        <w:t xml:space="preserve">3.  </w:t>
      </w:r>
      <w:r>
        <w:rPr>
          <w:b/>
          <w:bCs/>
          <w:sz w:val="24"/>
          <w:szCs w:val="24"/>
          <w:u w:val="single"/>
        </w:rPr>
        <w:t>Describe whether, and to what extent, the collection of information involves the use of automated, electronic, mechanical, or other technological techniques or other forms of information technology</w:t>
      </w:r>
      <w:r>
        <w:rPr>
          <w:b/>
          <w:bCs/>
          <w:sz w:val="24"/>
          <w:szCs w:val="24"/>
        </w:rPr>
        <w:t>.</w:t>
      </w:r>
    </w:p>
    <w:p w14:paraId="1DBBC5F5" w14:textId="77777777" w:rsidR="004F26E9" w:rsidRDefault="004F26E9">
      <w:pPr>
        <w:rPr>
          <w:sz w:val="24"/>
          <w:szCs w:val="24"/>
        </w:rPr>
      </w:pPr>
    </w:p>
    <w:p w14:paraId="47A609CA" w14:textId="57B678DC" w:rsidR="004F26E9" w:rsidRDefault="004312A9">
      <w:pPr>
        <w:rPr>
          <w:sz w:val="24"/>
          <w:szCs w:val="24"/>
        </w:rPr>
      </w:pPr>
      <w:r>
        <w:rPr>
          <w:sz w:val="24"/>
          <w:szCs w:val="24"/>
        </w:rPr>
        <w:t xml:space="preserve">The collection of information of a specified fishing </w:t>
      </w:r>
      <w:r w:rsidR="00821741">
        <w:rPr>
          <w:sz w:val="24"/>
          <w:szCs w:val="24"/>
        </w:rPr>
        <w:t>agreement</w:t>
      </w:r>
      <w:r>
        <w:rPr>
          <w:sz w:val="24"/>
          <w:szCs w:val="24"/>
        </w:rPr>
        <w:t xml:space="preserve"> involves no use of forms. Copies of the relevant regulations (</w:t>
      </w:r>
      <w:r w:rsidR="008316F1">
        <w:rPr>
          <w:rFonts w:ascii="Arial" w:hAnsi="Arial" w:cs="Arial"/>
          <w:color w:val="222222"/>
          <w:shd w:val="clear" w:color="auto" w:fill="FFFFFF"/>
        </w:rPr>
        <w:t>50 CFR 665.819</w:t>
      </w:r>
      <w:r>
        <w:rPr>
          <w:sz w:val="24"/>
          <w:szCs w:val="24"/>
        </w:rPr>
        <w:t xml:space="preserve">) </w:t>
      </w:r>
      <w:r w:rsidR="00D82BF2">
        <w:rPr>
          <w:sz w:val="24"/>
          <w:szCs w:val="24"/>
        </w:rPr>
        <w:t xml:space="preserve">and requirements for submitting specified fishing </w:t>
      </w:r>
      <w:r w:rsidR="00821741">
        <w:rPr>
          <w:sz w:val="24"/>
          <w:szCs w:val="24"/>
        </w:rPr>
        <w:t>agreement</w:t>
      </w:r>
      <w:r w:rsidR="00F363A4">
        <w:rPr>
          <w:sz w:val="24"/>
          <w:szCs w:val="24"/>
        </w:rPr>
        <w:t>s</w:t>
      </w:r>
      <w:r>
        <w:rPr>
          <w:sz w:val="24"/>
          <w:szCs w:val="24"/>
        </w:rPr>
        <w:t xml:space="preserve"> </w:t>
      </w:r>
      <w:r w:rsidR="008316F1">
        <w:rPr>
          <w:sz w:val="24"/>
          <w:szCs w:val="24"/>
        </w:rPr>
        <w:t>are</w:t>
      </w:r>
      <w:r>
        <w:rPr>
          <w:sz w:val="24"/>
          <w:szCs w:val="24"/>
        </w:rPr>
        <w:t xml:space="preserve"> available on </w:t>
      </w:r>
      <w:r w:rsidRPr="004312A9">
        <w:rPr>
          <w:sz w:val="24"/>
          <w:szCs w:val="24"/>
        </w:rPr>
        <w:t xml:space="preserve">the Internet at </w:t>
      </w:r>
      <w:r w:rsidR="008316F1" w:rsidRPr="008316F1">
        <w:rPr>
          <w:rStyle w:val="Hyperlink"/>
          <w:sz w:val="24"/>
          <w:szCs w:val="24"/>
        </w:rPr>
        <w:t>https://ecfr.io/Title-50/pt50.13.665#se50.13.665_1819</w:t>
      </w:r>
      <w:r w:rsidRPr="004312A9">
        <w:rPr>
          <w:sz w:val="24"/>
          <w:szCs w:val="24"/>
        </w:rPr>
        <w:t>. Th</w:t>
      </w:r>
      <w:r w:rsidR="00032886">
        <w:rPr>
          <w:sz w:val="24"/>
          <w:szCs w:val="24"/>
        </w:rPr>
        <w:t>is</w:t>
      </w:r>
      <w:r w:rsidRPr="004312A9">
        <w:rPr>
          <w:sz w:val="24"/>
          <w:szCs w:val="24"/>
        </w:rPr>
        <w:t xml:space="preserve"> collection of information does not require any knowledge of automated, electronic, mechanical</w:t>
      </w:r>
      <w:r w:rsidR="00032886">
        <w:rPr>
          <w:sz w:val="24"/>
          <w:szCs w:val="24"/>
        </w:rPr>
        <w:t>,</w:t>
      </w:r>
      <w:r w:rsidRPr="004312A9">
        <w:rPr>
          <w:sz w:val="24"/>
          <w:szCs w:val="24"/>
        </w:rPr>
        <w:t xml:space="preserve"> or other technology.</w:t>
      </w:r>
    </w:p>
    <w:p w14:paraId="47D276A7" w14:textId="77777777" w:rsidR="004F26E9" w:rsidRDefault="004F26E9">
      <w:pPr>
        <w:rPr>
          <w:sz w:val="24"/>
          <w:szCs w:val="24"/>
        </w:rPr>
      </w:pPr>
    </w:p>
    <w:p w14:paraId="701ED090" w14:textId="77777777" w:rsidR="004F26E9" w:rsidRDefault="004F26E9">
      <w:pPr>
        <w:rPr>
          <w:sz w:val="24"/>
          <w:szCs w:val="24"/>
        </w:rPr>
      </w:pPr>
      <w:r>
        <w:rPr>
          <w:b/>
          <w:bCs/>
          <w:sz w:val="24"/>
          <w:szCs w:val="24"/>
        </w:rPr>
        <w:t xml:space="preserve">4.  </w:t>
      </w:r>
      <w:r>
        <w:rPr>
          <w:b/>
          <w:bCs/>
          <w:sz w:val="24"/>
          <w:szCs w:val="24"/>
          <w:u w:val="single"/>
        </w:rPr>
        <w:t>Describe efforts to identify duplication</w:t>
      </w:r>
      <w:r>
        <w:rPr>
          <w:b/>
          <w:bCs/>
          <w:sz w:val="24"/>
          <w:szCs w:val="24"/>
        </w:rPr>
        <w:t>.</w:t>
      </w:r>
    </w:p>
    <w:p w14:paraId="693413BB" w14:textId="77777777" w:rsidR="004F26E9" w:rsidRDefault="004F26E9">
      <w:pPr>
        <w:rPr>
          <w:sz w:val="24"/>
          <w:szCs w:val="24"/>
        </w:rPr>
      </w:pPr>
    </w:p>
    <w:p w14:paraId="0DE5CAAC" w14:textId="0C0B1972" w:rsidR="004F26E9" w:rsidRDefault="00981FC2">
      <w:pPr>
        <w:rPr>
          <w:sz w:val="24"/>
          <w:szCs w:val="24"/>
        </w:rPr>
      </w:pPr>
      <w:r>
        <w:rPr>
          <w:sz w:val="24"/>
          <w:szCs w:val="24"/>
        </w:rPr>
        <w:t xml:space="preserve">There are no existing forms for the collection of this </w:t>
      </w:r>
      <w:r w:rsidR="00D82BF2">
        <w:rPr>
          <w:sz w:val="24"/>
          <w:szCs w:val="24"/>
        </w:rPr>
        <w:t>information</w:t>
      </w:r>
      <w:r>
        <w:rPr>
          <w:sz w:val="24"/>
          <w:szCs w:val="24"/>
        </w:rPr>
        <w:t xml:space="preserve"> and none are </w:t>
      </w:r>
      <w:r w:rsidR="00D82BF2">
        <w:rPr>
          <w:sz w:val="24"/>
          <w:szCs w:val="24"/>
        </w:rPr>
        <w:t>being created.</w:t>
      </w:r>
      <w:r>
        <w:rPr>
          <w:sz w:val="24"/>
          <w:szCs w:val="24"/>
        </w:rPr>
        <w:t xml:space="preserve"> </w:t>
      </w:r>
    </w:p>
    <w:p w14:paraId="439CE4E0" w14:textId="77777777" w:rsidR="004F26E9" w:rsidRDefault="004F26E9">
      <w:pPr>
        <w:rPr>
          <w:sz w:val="24"/>
          <w:szCs w:val="24"/>
        </w:rPr>
      </w:pPr>
    </w:p>
    <w:p w14:paraId="75054EA5" w14:textId="77777777" w:rsidR="004F26E9" w:rsidRDefault="004F26E9">
      <w:pPr>
        <w:rPr>
          <w:sz w:val="24"/>
          <w:szCs w:val="24"/>
        </w:rPr>
      </w:pPr>
      <w:r>
        <w:rPr>
          <w:b/>
          <w:bCs/>
          <w:sz w:val="24"/>
          <w:szCs w:val="24"/>
        </w:rPr>
        <w:t xml:space="preserve">5.  </w:t>
      </w:r>
      <w:r>
        <w:rPr>
          <w:b/>
          <w:bCs/>
          <w:sz w:val="24"/>
          <w:szCs w:val="24"/>
          <w:u w:val="single"/>
        </w:rPr>
        <w:t>If the collection of information involves small businesses or other small entities, describe the methods used to minimize burden</w:t>
      </w:r>
      <w:r>
        <w:rPr>
          <w:b/>
          <w:bCs/>
          <w:sz w:val="24"/>
          <w:szCs w:val="24"/>
        </w:rPr>
        <w:t>.</w:t>
      </w:r>
      <w:r>
        <w:rPr>
          <w:sz w:val="24"/>
          <w:szCs w:val="24"/>
        </w:rPr>
        <w:t xml:space="preserve"> </w:t>
      </w:r>
    </w:p>
    <w:p w14:paraId="67A71802" w14:textId="77777777" w:rsidR="004F26E9" w:rsidRDefault="004F26E9">
      <w:pPr>
        <w:rPr>
          <w:sz w:val="24"/>
          <w:szCs w:val="24"/>
        </w:rPr>
      </w:pPr>
    </w:p>
    <w:p w14:paraId="1050FF8A" w14:textId="654D281A" w:rsidR="005B3D77" w:rsidRDefault="007F4DD7">
      <w:pPr>
        <w:rPr>
          <w:sz w:val="24"/>
          <w:szCs w:val="24"/>
        </w:rPr>
      </w:pPr>
      <w:r>
        <w:rPr>
          <w:sz w:val="24"/>
          <w:szCs w:val="24"/>
        </w:rPr>
        <w:t xml:space="preserve">Although a specified fishing </w:t>
      </w:r>
      <w:r w:rsidR="00821741">
        <w:rPr>
          <w:sz w:val="24"/>
          <w:szCs w:val="24"/>
        </w:rPr>
        <w:t>agreement</w:t>
      </w:r>
      <w:r>
        <w:rPr>
          <w:sz w:val="24"/>
          <w:szCs w:val="24"/>
        </w:rPr>
        <w:t xml:space="preserve"> </w:t>
      </w:r>
      <w:r w:rsidR="005B3D77">
        <w:rPr>
          <w:sz w:val="24"/>
          <w:szCs w:val="24"/>
        </w:rPr>
        <w:t>can only be submitted by</w:t>
      </w:r>
      <w:r w:rsidR="00981FC2">
        <w:rPr>
          <w:sz w:val="24"/>
          <w:szCs w:val="24"/>
        </w:rPr>
        <w:t xml:space="preserve"> </w:t>
      </w:r>
      <w:r w:rsidR="00CD773E">
        <w:rPr>
          <w:sz w:val="24"/>
          <w:szCs w:val="24"/>
        </w:rPr>
        <w:t>the g</w:t>
      </w:r>
      <w:r w:rsidR="00242CAA">
        <w:rPr>
          <w:sz w:val="24"/>
          <w:szCs w:val="24"/>
        </w:rPr>
        <w:t xml:space="preserve">overnments of American </w:t>
      </w:r>
      <w:r w:rsidR="00242CAA">
        <w:rPr>
          <w:sz w:val="24"/>
          <w:szCs w:val="24"/>
        </w:rPr>
        <w:lastRenderedPageBreak/>
        <w:t>Samoa, Guam</w:t>
      </w:r>
      <w:r w:rsidR="001447F0">
        <w:rPr>
          <w:sz w:val="24"/>
          <w:szCs w:val="24"/>
        </w:rPr>
        <w:t>,</w:t>
      </w:r>
      <w:r w:rsidR="00242CAA">
        <w:rPr>
          <w:sz w:val="24"/>
          <w:szCs w:val="24"/>
        </w:rPr>
        <w:t xml:space="preserve"> and the Northern Mariana Islands</w:t>
      </w:r>
      <w:r w:rsidR="005B3D77">
        <w:rPr>
          <w:sz w:val="24"/>
          <w:szCs w:val="24"/>
        </w:rPr>
        <w:t>, the collection of information burden would fall primary on</w:t>
      </w:r>
      <w:r w:rsidR="00242CAA">
        <w:rPr>
          <w:sz w:val="24"/>
          <w:szCs w:val="24"/>
        </w:rPr>
        <w:t xml:space="preserve"> </w:t>
      </w:r>
      <w:r w:rsidR="00981FC2">
        <w:rPr>
          <w:sz w:val="24"/>
          <w:szCs w:val="24"/>
        </w:rPr>
        <w:t>small businesses and small entities</w:t>
      </w:r>
      <w:r w:rsidR="0000166B">
        <w:rPr>
          <w:sz w:val="24"/>
          <w:szCs w:val="24"/>
        </w:rPr>
        <w:t xml:space="preserve"> (e.g., fishing vessel owners)</w:t>
      </w:r>
      <w:r w:rsidR="00CD773E">
        <w:rPr>
          <w:sz w:val="24"/>
          <w:szCs w:val="24"/>
        </w:rPr>
        <w:t xml:space="preserve"> that </w:t>
      </w:r>
      <w:r w:rsidR="005B3D77">
        <w:rPr>
          <w:sz w:val="24"/>
          <w:szCs w:val="24"/>
        </w:rPr>
        <w:t xml:space="preserve">seek to </w:t>
      </w:r>
      <w:r w:rsidR="00CD773E">
        <w:rPr>
          <w:sz w:val="24"/>
          <w:szCs w:val="24"/>
        </w:rPr>
        <w:t>enter into specified fishing agre</w:t>
      </w:r>
      <w:r w:rsidR="005B3D77">
        <w:rPr>
          <w:sz w:val="24"/>
          <w:szCs w:val="24"/>
        </w:rPr>
        <w:t>ements with those governments. However, t</w:t>
      </w:r>
      <w:r w:rsidR="00981FC2">
        <w:rPr>
          <w:sz w:val="24"/>
          <w:szCs w:val="24"/>
        </w:rPr>
        <w:t>he regulatio</w:t>
      </w:r>
      <w:r w:rsidR="00CD773E">
        <w:rPr>
          <w:sz w:val="24"/>
          <w:szCs w:val="24"/>
        </w:rPr>
        <w:t xml:space="preserve">ns provide an opportunity for an </w:t>
      </w:r>
      <w:r w:rsidR="00CD773E" w:rsidRPr="002E0919">
        <w:rPr>
          <w:sz w:val="24"/>
          <w:szCs w:val="24"/>
        </w:rPr>
        <w:t>authorized official of the applicable U.S. territory</w:t>
      </w:r>
      <w:r w:rsidR="00CD773E">
        <w:rPr>
          <w:sz w:val="24"/>
          <w:szCs w:val="24"/>
        </w:rPr>
        <w:t xml:space="preserve">, and a </w:t>
      </w:r>
      <w:r w:rsidR="0000166B">
        <w:rPr>
          <w:sz w:val="24"/>
          <w:szCs w:val="24"/>
        </w:rPr>
        <w:t xml:space="preserve">designated </w:t>
      </w:r>
      <w:r w:rsidR="00981FC2">
        <w:rPr>
          <w:sz w:val="24"/>
          <w:szCs w:val="24"/>
        </w:rPr>
        <w:t xml:space="preserve">representative </w:t>
      </w:r>
      <w:r w:rsidR="0000166B">
        <w:rPr>
          <w:sz w:val="24"/>
          <w:szCs w:val="24"/>
        </w:rPr>
        <w:t xml:space="preserve">of fishing vessel owners </w:t>
      </w:r>
      <w:r w:rsidR="00CD773E">
        <w:rPr>
          <w:sz w:val="24"/>
          <w:szCs w:val="24"/>
        </w:rPr>
        <w:t>to sign</w:t>
      </w:r>
      <w:r w:rsidR="00981FC2">
        <w:rPr>
          <w:sz w:val="24"/>
          <w:szCs w:val="24"/>
        </w:rPr>
        <w:t xml:space="preserve"> for multiple </w:t>
      </w:r>
      <w:r w:rsidR="0000166B">
        <w:rPr>
          <w:sz w:val="24"/>
          <w:szCs w:val="24"/>
        </w:rPr>
        <w:t>fishing vessel owners</w:t>
      </w:r>
      <w:r w:rsidR="00CD773E">
        <w:rPr>
          <w:sz w:val="24"/>
          <w:szCs w:val="24"/>
        </w:rPr>
        <w:t xml:space="preserve"> subject to a specified fishing </w:t>
      </w:r>
      <w:r w:rsidR="00821741">
        <w:rPr>
          <w:sz w:val="24"/>
          <w:szCs w:val="24"/>
        </w:rPr>
        <w:t>agreement</w:t>
      </w:r>
      <w:r w:rsidR="00981FC2">
        <w:rPr>
          <w:sz w:val="24"/>
          <w:szCs w:val="24"/>
        </w:rPr>
        <w:t>.</w:t>
      </w:r>
      <w:r w:rsidR="00025F77">
        <w:rPr>
          <w:sz w:val="24"/>
          <w:szCs w:val="24"/>
        </w:rPr>
        <w:t xml:space="preserve"> </w:t>
      </w:r>
      <w:r w:rsidR="005B3D77">
        <w:rPr>
          <w:sz w:val="24"/>
          <w:szCs w:val="24"/>
        </w:rPr>
        <w:t xml:space="preserve">Therefore, not all vessel owners need enter into separate fishing </w:t>
      </w:r>
      <w:r w:rsidR="00821741">
        <w:rPr>
          <w:sz w:val="24"/>
          <w:szCs w:val="24"/>
        </w:rPr>
        <w:t>agreement</w:t>
      </w:r>
      <w:r w:rsidR="005B3D77">
        <w:rPr>
          <w:sz w:val="24"/>
          <w:szCs w:val="24"/>
        </w:rPr>
        <w:t>s.</w:t>
      </w:r>
    </w:p>
    <w:p w14:paraId="0E67F973" w14:textId="77777777" w:rsidR="005B3D77" w:rsidRDefault="005B3D77">
      <w:pPr>
        <w:rPr>
          <w:sz w:val="24"/>
          <w:szCs w:val="24"/>
        </w:rPr>
      </w:pPr>
    </w:p>
    <w:p w14:paraId="45D9599D" w14:textId="74DE6227" w:rsidR="0000166B" w:rsidRDefault="005B3D77">
      <w:pPr>
        <w:rPr>
          <w:sz w:val="24"/>
          <w:szCs w:val="24"/>
        </w:rPr>
      </w:pPr>
      <w:r>
        <w:rPr>
          <w:sz w:val="24"/>
          <w:szCs w:val="24"/>
        </w:rPr>
        <w:t>Because n</w:t>
      </w:r>
      <w:r w:rsidR="00025F77">
        <w:rPr>
          <w:sz w:val="24"/>
          <w:szCs w:val="24"/>
        </w:rPr>
        <w:t xml:space="preserve">o paper forms are needed from </w:t>
      </w:r>
      <w:r w:rsidR="008334B8">
        <w:rPr>
          <w:sz w:val="24"/>
          <w:szCs w:val="24"/>
        </w:rPr>
        <w:t>NMFS</w:t>
      </w:r>
      <w:r w:rsidR="00025F77">
        <w:rPr>
          <w:sz w:val="24"/>
          <w:szCs w:val="24"/>
        </w:rPr>
        <w:t xml:space="preserve"> to collect the information</w:t>
      </w:r>
      <w:r>
        <w:rPr>
          <w:sz w:val="24"/>
          <w:szCs w:val="24"/>
        </w:rPr>
        <w:t>,</w:t>
      </w:r>
      <w:r w:rsidR="0000166B">
        <w:rPr>
          <w:sz w:val="24"/>
          <w:szCs w:val="24"/>
        </w:rPr>
        <w:t xml:space="preserve"> an </w:t>
      </w:r>
      <w:r w:rsidR="0000166B" w:rsidRPr="002E0919">
        <w:rPr>
          <w:sz w:val="24"/>
          <w:szCs w:val="24"/>
        </w:rPr>
        <w:t>authorized official of the applicable U.S. territory</w:t>
      </w:r>
      <w:r w:rsidR="0000166B">
        <w:rPr>
          <w:sz w:val="24"/>
          <w:szCs w:val="24"/>
        </w:rPr>
        <w:t xml:space="preserve"> may submit a specified fishing </w:t>
      </w:r>
      <w:r w:rsidR="00821741">
        <w:rPr>
          <w:sz w:val="24"/>
          <w:szCs w:val="24"/>
        </w:rPr>
        <w:t>agreement</w:t>
      </w:r>
      <w:r w:rsidR="0000166B">
        <w:rPr>
          <w:sz w:val="24"/>
          <w:szCs w:val="24"/>
        </w:rPr>
        <w:t xml:space="preserve"> by mail or electronically by email on or before the specified deadline announced in a Federal Register notice.</w:t>
      </w:r>
    </w:p>
    <w:p w14:paraId="7FBA74BD" w14:textId="77777777" w:rsidR="006E4257" w:rsidRDefault="006E4257">
      <w:pPr>
        <w:rPr>
          <w:sz w:val="24"/>
          <w:szCs w:val="24"/>
        </w:rPr>
      </w:pPr>
    </w:p>
    <w:p w14:paraId="62FD7C13" w14:textId="77777777" w:rsidR="005A24BF" w:rsidRDefault="004F26E9">
      <w:pPr>
        <w:rPr>
          <w:b/>
          <w:bCs/>
          <w:sz w:val="24"/>
          <w:szCs w:val="24"/>
        </w:rPr>
      </w:pPr>
      <w:r>
        <w:rPr>
          <w:b/>
          <w:bCs/>
          <w:sz w:val="24"/>
          <w:szCs w:val="24"/>
        </w:rPr>
        <w:t xml:space="preserve">6.  </w:t>
      </w:r>
      <w:r w:rsidRPr="00097656">
        <w:rPr>
          <w:b/>
          <w:bCs/>
          <w:sz w:val="24"/>
          <w:szCs w:val="24"/>
          <w:u w:val="single"/>
        </w:rPr>
        <w:t>Describe the consequences to the Federal program or policy activities if the collection is not conducted or is conducted less frequently</w:t>
      </w:r>
      <w:r w:rsidRPr="00097656">
        <w:rPr>
          <w:b/>
          <w:bCs/>
          <w:sz w:val="24"/>
          <w:szCs w:val="24"/>
        </w:rPr>
        <w:t>.</w:t>
      </w:r>
    </w:p>
    <w:p w14:paraId="318DD85E" w14:textId="77777777" w:rsidR="00032A93" w:rsidRDefault="00032A93">
      <w:pPr>
        <w:rPr>
          <w:bCs/>
          <w:sz w:val="24"/>
          <w:szCs w:val="24"/>
        </w:rPr>
      </w:pPr>
    </w:p>
    <w:p w14:paraId="29B26478" w14:textId="04ED04A8" w:rsidR="00B765E7" w:rsidRDefault="00032A93" w:rsidP="00B765E7">
      <w:pPr>
        <w:rPr>
          <w:bCs/>
          <w:sz w:val="24"/>
          <w:szCs w:val="24"/>
        </w:rPr>
      </w:pPr>
      <w:r>
        <w:rPr>
          <w:bCs/>
          <w:sz w:val="24"/>
          <w:szCs w:val="24"/>
        </w:rPr>
        <w:t xml:space="preserve">Without the collection of information, </w:t>
      </w:r>
      <w:r w:rsidR="00BD6A11">
        <w:rPr>
          <w:bCs/>
          <w:sz w:val="24"/>
          <w:szCs w:val="24"/>
        </w:rPr>
        <w:t xml:space="preserve">U.S. territories could enter into fishing </w:t>
      </w:r>
      <w:r w:rsidR="00821741">
        <w:rPr>
          <w:bCs/>
          <w:sz w:val="24"/>
          <w:szCs w:val="24"/>
        </w:rPr>
        <w:t>agreement</w:t>
      </w:r>
      <w:r w:rsidR="00BD6A11">
        <w:rPr>
          <w:bCs/>
          <w:sz w:val="24"/>
          <w:szCs w:val="24"/>
        </w:rPr>
        <w:t xml:space="preserve">s with Pelagic FEP permitted vessels, but </w:t>
      </w:r>
      <w:r w:rsidR="007F6ABF">
        <w:rPr>
          <w:bCs/>
          <w:sz w:val="24"/>
          <w:szCs w:val="24"/>
        </w:rPr>
        <w:t>NMFS</w:t>
      </w:r>
      <w:r w:rsidR="00A06D50">
        <w:rPr>
          <w:bCs/>
          <w:sz w:val="24"/>
          <w:szCs w:val="24"/>
        </w:rPr>
        <w:t xml:space="preserve"> would not know the identity</w:t>
      </w:r>
      <w:r w:rsidR="00BD6A11">
        <w:rPr>
          <w:bCs/>
          <w:sz w:val="24"/>
          <w:szCs w:val="24"/>
        </w:rPr>
        <w:t xml:space="preserve"> of those vessels</w:t>
      </w:r>
      <w:r w:rsidR="00A06D50">
        <w:rPr>
          <w:bCs/>
          <w:sz w:val="24"/>
          <w:szCs w:val="24"/>
        </w:rPr>
        <w:t>,</w:t>
      </w:r>
      <w:r w:rsidR="00BD6A11">
        <w:rPr>
          <w:bCs/>
          <w:sz w:val="24"/>
          <w:szCs w:val="24"/>
        </w:rPr>
        <w:t xml:space="preserve"> and would not be able attribute catches or fishing effort made by those vessels to the territory</w:t>
      </w:r>
      <w:r w:rsidR="00B765E7">
        <w:rPr>
          <w:bCs/>
          <w:sz w:val="24"/>
          <w:szCs w:val="24"/>
        </w:rPr>
        <w:t xml:space="preserve"> to which the agreement applies. Instead, </w:t>
      </w:r>
      <w:r w:rsidR="007F6ABF">
        <w:rPr>
          <w:bCs/>
          <w:sz w:val="24"/>
          <w:szCs w:val="24"/>
        </w:rPr>
        <w:t>NMFS</w:t>
      </w:r>
      <w:r w:rsidR="00B765E7">
        <w:rPr>
          <w:bCs/>
          <w:sz w:val="24"/>
          <w:szCs w:val="24"/>
        </w:rPr>
        <w:t xml:space="preserve"> would attribute catch and effort by those fishing vessels to the geographic area where the </w:t>
      </w:r>
      <w:r w:rsidR="00A06D50">
        <w:rPr>
          <w:bCs/>
          <w:sz w:val="24"/>
          <w:szCs w:val="24"/>
        </w:rPr>
        <w:t>vessels land their catch</w:t>
      </w:r>
      <w:r w:rsidR="00B765E7">
        <w:rPr>
          <w:bCs/>
          <w:sz w:val="24"/>
          <w:szCs w:val="24"/>
        </w:rPr>
        <w:t xml:space="preserve">. </w:t>
      </w:r>
      <w:r w:rsidR="00E4528F">
        <w:rPr>
          <w:bCs/>
          <w:sz w:val="24"/>
          <w:szCs w:val="24"/>
        </w:rPr>
        <w:t xml:space="preserve">As a result, </w:t>
      </w:r>
      <w:r w:rsidR="00821741">
        <w:rPr>
          <w:bCs/>
          <w:sz w:val="24"/>
          <w:szCs w:val="24"/>
        </w:rPr>
        <w:t xml:space="preserve">catches by </w:t>
      </w:r>
      <w:r w:rsidR="00E4528F">
        <w:rPr>
          <w:bCs/>
          <w:sz w:val="24"/>
          <w:szCs w:val="24"/>
        </w:rPr>
        <w:t xml:space="preserve">fishing vessels identified in a specified fishing </w:t>
      </w:r>
      <w:r w:rsidR="00821741">
        <w:rPr>
          <w:bCs/>
          <w:sz w:val="24"/>
          <w:szCs w:val="24"/>
        </w:rPr>
        <w:t>agreement</w:t>
      </w:r>
      <w:r w:rsidR="00E4528F">
        <w:rPr>
          <w:bCs/>
          <w:sz w:val="24"/>
          <w:szCs w:val="24"/>
        </w:rPr>
        <w:t xml:space="preserve"> would</w:t>
      </w:r>
      <w:r w:rsidR="00821741">
        <w:rPr>
          <w:bCs/>
          <w:sz w:val="24"/>
          <w:szCs w:val="24"/>
        </w:rPr>
        <w:t xml:space="preserve"> continue to be allocated to the geographic area where catch is landed and not to </w:t>
      </w:r>
      <w:r w:rsidR="00497EFC">
        <w:rPr>
          <w:bCs/>
          <w:sz w:val="24"/>
          <w:szCs w:val="24"/>
        </w:rPr>
        <w:t xml:space="preserve">the </w:t>
      </w:r>
      <w:r w:rsidR="00821741">
        <w:rPr>
          <w:bCs/>
          <w:sz w:val="24"/>
          <w:szCs w:val="24"/>
        </w:rPr>
        <w:t xml:space="preserve">territory </w:t>
      </w:r>
      <w:r w:rsidR="00497EFC">
        <w:rPr>
          <w:bCs/>
          <w:sz w:val="24"/>
          <w:szCs w:val="24"/>
        </w:rPr>
        <w:t xml:space="preserve">with </w:t>
      </w:r>
      <w:r w:rsidR="00821741">
        <w:rPr>
          <w:bCs/>
          <w:sz w:val="24"/>
          <w:szCs w:val="24"/>
        </w:rPr>
        <w:t xml:space="preserve">which </w:t>
      </w:r>
      <w:r w:rsidR="006E4257">
        <w:rPr>
          <w:bCs/>
          <w:sz w:val="24"/>
          <w:szCs w:val="24"/>
        </w:rPr>
        <w:t xml:space="preserve">a </w:t>
      </w:r>
      <w:r w:rsidR="00821741">
        <w:rPr>
          <w:bCs/>
          <w:sz w:val="24"/>
          <w:szCs w:val="24"/>
        </w:rPr>
        <w:t>fishing vessel has made an agreement.</w:t>
      </w:r>
    </w:p>
    <w:p w14:paraId="3BC50CA9" w14:textId="77777777" w:rsidR="005B3D77" w:rsidRDefault="005B3D77" w:rsidP="00B765E7">
      <w:pPr>
        <w:rPr>
          <w:bCs/>
          <w:sz w:val="24"/>
          <w:szCs w:val="24"/>
        </w:rPr>
      </w:pPr>
    </w:p>
    <w:p w14:paraId="11838AA9" w14:textId="77777777" w:rsidR="004F26E9" w:rsidRDefault="00B765E7">
      <w:pPr>
        <w:rPr>
          <w:sz w:val="24"/>
          <w:szCs w:val="24"/>
        </w:rPr>
      </w:pPr>
      <w:r>
        <w:rPr>
          <w:bCs/>
          <w:sz w:val="24"/>
          <w:szCs w:val="24"/>
        </w:rPr>
        <w:t xml:space="preserve"> </w:t>
      </w:r>
      <w:r w:rsidR="004F26E9">
        <w:rPr>
          <w:b/>
          <w:bCs/>
          <w:sz w:val="24"/>
          <w:szCs w:val="24"/>
        </w:rPr>
        <w:t xml:space="preserve">7.  </w:t>
      </w:r>
      <w:r w:rsidR="004F26E9">
        <w:rPr>
          <w:b/>
          <w:bCs/>
          <w:sz w:val="24"/>
          <w:szCs w:val="24"/>
          <w:u w:val="single"/>
        </w:rPr>
        <w:t>Explain any special circumstances that require the collection to be conducted in a manner inconsistent with OMB guidelines</w:t>
      </w:r>
      <w:r w:rsidR="004F26E9">
        <w:rPr>
          <w:b/>
          <w:bCs/>
          <w:sz w:val="24"/>
          <w:szCs w:val="24"/>
        </w:rPr>
        <w:t xml:space="preserve">. </w:t>
      </w:r>
    </w:p>
    <w:p w14:paraId="7E6B3202" w14:textId="77777777" w:rsidR="004F26E9" w:rsidRDefault="004F26E9">
      <w:pPr>
        <w:rPr>
          <w:sz w:val="24"/>
          <w:szCs w:val="24"/>
        </w:rPr>
      </w:pPr>
    </w:p>
    <w:p w14:paraId="716A74E7" w14:textId="77777777" w:rsidR="004F26E9" w:rsidRDefault="004150C6">
      <w:pPr>
        <w:rPr>
          <w:sz w:val="24"/>
          <w:szCs w:val="24"/>
        </w:rPr>
      </w:pPr>
      <w:r>
        <w:rPr>
          <w:sz w:val="24"/>
          <w:szCs w:val="24"/>
        </w:rPr>
        <w:t>None.</w:t>
      </w:r>
    </w:p>
    <w:p w14:paraId="1C13BDA1" w14:textId="77777777" w:rsidR="004F26E9" w:rsidRDefault="004F26E9">
      <w:pPr>
        <w:rPr>
          <w:sz w:val="24"/>
          <w:szCs w:val="24"/>
        </w:rPr>
      </w:pPr>
    </w:p>
    <w:p w14:paraId="3C5E78C5" w14:textId="77777777" w:rsidR="004F26E9" w:rsidRDefault="004F26E9">
      <w:pPr>
        <w:rPr>
          <w:sz w:val="24"/>
          <w:szCs w:val="24"/>
        </w:rPr>
      </w:pPr>
      <w:r>
        <w:rPr>
          <w:b/>
          <w:bCs/>
          <w:sz w:val="24"/>
          <w:szCs w:val="24"/>
        </w:rPr>
        <w:t xml:space="preserve">8.  </w:t>
      </w:r>
      <w:r>
        <w:rPr>
          <w:b/>
          <w:bCs/>
          <w:sz w:val="24"/>
          <w:szCs w:val="24"/>
          <w:u w:val="single"/>
        </w:rPr>
        <w:t>Provide a copy of the PRA Federal Register notice that solicited public comments on the information collection prior to this submission.  Summarize the public comments received in response to that notice and describe the actions taken by the agency in response to those comments</w:t>
      </w:r>
      <w:r>
        <w:rPr>
          <w:b/>
          <w:bCs/>
          <w:sz w:val="24"/>
          <w:szCs w:val="24"/>
        </w:rPr>
        <w:t>.</w:t>
      </w:r>
      <w:r>
        <w:rPr>
          <w:sz w:val="24"/>
          <w:szCs w:val="24"/>
        </w:rPr>
        <w:t xml:space="preserve">  </w:t>
      </w:r>
      <w:r>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sz w:val="24"/>
          <w:szCs w:val="24"/>
        </w:rPr>
        <w:t>.</w:t>
      </w:r>
    </w:p>
    <w:p w14:paraId="0F4BE8A6" w14:textId="77777777" w:rsidR="004F26E9" w:rsidRDefault="004F26E9">
      <w:pPr>
        <w:rPr>
          <w:sz w:val="24"/>
          <w:szCs w:val="24"/>
        </w:rPr>
      </w:pPr>
    </w:p>
    <w:p w14:paraId="6E28DBEE" w14:textId="62E2AFD3" w:rsidR="00422CBE" w:rsidRDefault="006E4257" w:rsidP="00032A93">
      <w:pPr>
        <w:rPr>
          <w:sz w:val="24"/>
          <w:szCs w:val="24"/>
        </w:rPr>
      </w:pPr>
      <w:r>
        <w:rPr>
          <w:sz w:val="24"/>
          <w:szCs w:val="24"/>
        </w:rPr>
        <w:t>NMFS published a</w:t>
      </w:r>
      <w:r w:rsidR="00032A93" w:rsidRPr="00032A93">
        <w:rPr>
          <w:sz w:val="24"/>
          <w:szCs w:val="24"/>
        </w:rPr>
        <w:t xml:space="preserve"> </w:t>
      </w:r>
      <w:r>
        <w:rPr>
          <w:sz w:val="24"/>
          <w:szCs w:val="24"/>
        </w:rPr>
        <w:t xml:space="preserve">notice </w:t>
      </w:r>
      <w:r w:rsidR="00032A93" w:rsidRPr="00032A93">
        <w:rPr>
          <w:sz w:val="24"/>
          <w:szCs w:val="24"/>
        </w:rPr>
        <w:t xml:space="preserve">in the </w:t>
      </w:r>
      <w:r w:rsidR="00032A93" w:rsidRPr="00032A93">
        <w:rPr>
          <w:sz w:val="24"/>
          <w:szCs w:val="24"/>
          <w:u w:val="single"/>
        </w:rPr>
        <w:t>Federal Register</w:t>
      </w:r>
      <w:r w:rsidR="00032A93" w:rsidRPr="00032A93">
        <w:rPr>
          <w:sz w:val="24"/>
          <w:szCs w:val="24"/>
        </w:rPr>
        <w:t xml:space="preserve"> on </w:t>
      </w:r>
      <w:r w:rsidR="004F77D8">
        <w:rPr>
          <w:sz w:val="24"/>
          <w:szCs w:val="24"/>
        </w:rPr>
        <w:t xml:space="preserve">September 18, 2018 (83 FR 47138) </w:t>
      </w:r>
      <w:r>
        <w:rPr>
          <w:sz w:val="24"/>
          <w:szCs w:val="24"/>
        </w:rPr>
        <w:t>to solicit</w:t>
      </w:r>
      <w:r w:rsidR="00032A93" w:rsidRPr="00032A93">
        <w:rPr>
          <w:sz w:val="24"/>
          <w:szCs w:val="24"/>
        </w:rPr>
        <w:t xml:space="preserve"> public comments on this submission.</w:t>
      </w:r>
      <w:r>
        <w:rPr>
          <w:sz w:val="24"/>
          <w:szCs w:val="24"/>
        </w:rPr>
        <w:t xml:space="preserve"> NMFS received no comments.</w:t>
      </w:r>
    </w:p>
    <w:p w14:paraId="308A1912" w14:textId="77777777" w:rsidR="00422CBE" w:rsidRDefault="00422CBE" w:rsidP="00032A93">
      <w:pPr>
        <w:rPr>
          <w:sz w:val="24"/>
          <w:szCs w:val="24"/>
        </w:rPr>
      </w:pPr>
    </w:p>
    <w:p w14:paraId="3CF098B0" w14:textId="76DFB89E" w:rsidR="00422CBE" w:rsidRDefault="006E4257" w:rsidP="00032A93">
      <w:pPr>
        <w:rPr>
          <w:sz w:val="24"/>
          <w:szCs w:val="24"/>
        </w:rPr>
      </w:pPr>
      <w:r>
        <w:rPr>
          <w:sz w:val="24"/>
          <w:szCs w:val="24"/>
        </w:rPr>
        <w:t>NMFS sent the</w:t>
      </w:r>
      <w:r w:rsidR="00422CBE">
        <w:rPr>
          <w:sz w:val="24"/>
          <w:szCs w:val="24"/>
        </w:rPr>
        <w:t xml:space="preserve"> FRN a</w:t>
      </w:r>
      <w:r>
        <w:rPr>
          <w:sz w:val="24"/>
          <w:szCs w:val="24"/>
        </w:rPr>
        <w:t>nd request for comments</w:t>
      </w:r>
      <w:r w:rsidR="00422CBE">
        <w:rPr>
          <w:sz w:val="24"/>
          <w:szCs w:val="24"/>
        </w:rPr>
        <w:t xml:space="preserve"> to six persons from the fishing industry, territorial and commonwealth governments, and fishery council staff. One person responded.</w:t>
      </w:r>
    </w:p>
    <w:p w14:paraId="751E66E9" w14:textId="77777777" w:rsidR="00422CBE" w:rsidRDefault="00422CBE" w:rsidP="00032A93">
      <w:pPr>
        <w:rPr>
          <w:sz w:val="24"/>
          <w:szCs w:val="24"/>
        </w:rPr>
      </w:pPr>
    </w:p>
    <w:p w14:paraId="2A5EE3B8" w14:textId="77777777" w:rsidR="00422CBE" w:rsidRDefault="00422CBE" w:rsidP="00032A93">
      <w:pPr>
        <w:rPr>
          <w:sz w:val="24"/>
          <w:szCs w:val="24"/>
        </w:rPr>
      </w:pPr>
      <w:r>
        <w:rPr>
          <w:sz w:val="24"/>
          <w:szCs w:val="24"/>
        </w:rPr>
        <w:t>Comment: “I think the existing data collection is needed and time and costs seem reasonable.”</w:t>
      </w:r>
    </w:p>
    <w:p w14:paraId="1552D30D" w14:textId="77777777" w:rsidR="00422CBE" w:rsidRDefault="00422CBE" w:rsidP="00032A93">
      <w:pPr>
        <w:rPr>
          <w:sz w:val="24"/>
          <w:szCs w:val="24"/>
        </w:rPr>
      </w:pPr>
      <w:r>
        <w:rPr>
          <w:sz w:val="24"/>
          <w:szCs w:val="24"/>
        </w:rPr>
        <w:t>Response: We thanked the responder for their comment.</w:t>
      </w:r>
    </w:p>
    <w:p w14:paraId="25775EF5" w14:textId="34D48A82" w:rsidR="00032A93" w:rsidRPr="00032A93" w:rsidRDefault="00032A93" w:rsidP="00032A93">
      <w:pPr>
        <w:rPr>
          <w:sz w:val="24"/>
          <w:szCs w:val="24"/>
        </w:rPr>
      </w:pPr>
    </w:p>
    <w:p w14:paraId="6F82B08C" w14:textId="77777777" w:rsidR="004F26E9" w:rsidRDefault="004F26E9">
      <w:pPr>
        <w:rPr>
          <w:sz w:val="24"/>
          <w:szCs w:val="24"/>
        </w:rPr>
      </w:pPr>
    </w:p>
    <w:p w14:paraId="03BBD902" w14:textId="77777777" w:rsidR="004F26E9" w:rsidRDefault="004F26E9">
      <w:pPr>
        <w:rPr>
          <w:sz w:val="24"/>
          <w:szCs w:val="24"/>
        </w:rPr>
      </w:pPr>
      <w:r>
        <w:rPr>
          <w:b/>
          <w:bCs/>
          <w:sz w:val="24"/>
          <w:szCs w:val="24"/>
        </w:rPr>
        <w:t xml:space="preserve">9.  </w:t>
      </w:r>
      <w:r>
        <w:rPr>
          <w:b/>
          <w:bCs/>
          <w:sz w:val="24"/>
          <w:szCs w:val="24"/>
          <w:u w:val="single"/>
        </w:rPr>
        <w:t>Explain any decisions to provide payments or gifts to respondents, other than remuneration of contractors or grantees</w:t>
      </w:r>
      <w:r>
        <w:rPr>
          <w:b/>
          <w:bCs/>
          <w:sz w:val="24"/>
          <w:szCs w:val="24"/>
        </w:rPr>
        <w:t>.</w:t>
      </w:r>
    </w:p>
    <w:p w14:paraId="5880D5CD" w14:textId="77777777" w:rsidR="004F26E9" w:rsidRDefault="004F26E9">
      <w:pPr>
        <w:rPr>
          <w:sz w:val="24"/>
          <w:szCs w:val="24"/>
        </w:rPr>
      </w:pPr>
    </w:p>
    <w:p w14:paraId="6196FC87" w14:textId="692E138C" w:rsidR="004F26E9" w:rsidRDefault="004150C6">
      <w:pPr>
        <w:rPr>
          <w:sz w:val="24"/>
          <w:szCs w:val="24"/>
        </w:rPr>
      </w:pPr>
      <w:r w:rsidRPr="004150C6">
        <w:rPr>
          <w:sz w:val="24"/>
          <w:szCs w:val="24"/>
        </w:rPr>
        <w:t>No payments or gifts are provided</w:t>
      </w:r>
      <w:r w:rsidR="00497EFC">
        <w:rPr>
          <w:sz w:val="24"/>
          <w:szCs w:val="24"/>
        </w:rPr>
        <w:t xml:space="preserve"> to respondents</w:t>
      </w:r>
      <w:r>
        <w:rPr>
          <w:sz w:val="24"/>
          <w:szCs w:val="24"/>
        </w:rPr>
        <w:t>.</w:t>
      </w:r>
    </w:p>
    <w:p w14:paraId="7862A5D3" w14:textId="77777777" w:rsidR="004F26E9" w:rsidRDefault="004F26E9">
      <w:pPr>
        <w:rPr>
          <w:sz w:val="24"/>
          <w:szCs w:val="24"/>
        </w:rPr>
      </w:pPr>
    </w:p>
    <w:p w14:paraId="7B80873C" w14:textId="77777777" w:rsidR="004F26E9" w:rsidRDefault="004F26E9">
      <w:pPr>
        <w:rPr>
          <w:sz w:val="24"/>
          <w:szCs w:val="24"/>
        </w:rPr>
      </w:pPr>
      <w:r>
        <w:rPr>
          <w:b/>
          <w:bCs/>
          <w:sz w:val="24"/>
          <w:szCs w:val="24"/>
        </w:rPr>
        <w:t xml:space="preserve">10.  </w:t>
      </w:r>
      <w:r>
        <w:rPr>
          <w:b/>
          <w:bCs/>
          <w:sz w:val="24"/>
          <w:szCs w:val="24"/>
          <w:u w:val="single"/>
        </w:rPr>
        <w:t>Describe any assurance of confidentiality provided to respondents and the basis for assurance in statute, regulation, or agency policy</w:t>
      </w:r>
      <w:r>
        <w:rPr>
          <w:b/>
          <w:bCs/>
          <w:sz w:val="24"/>
          <w:szCs w:val="24"/>
        </w:rPr>
        <w:t>.</w:t>
      </w:r>
    </w:p>
    <w:p w14:paraId="0CD1051B" w14:textId="77777777" w:rsidR="004F26E9" w:rsidRDefault="004F26E9">
      <w:pPr>
        <w:rPr>
          <w:sz w:val="24"/>
          <w:szCs w:val="24"/>
        </w:rPr>
      </w:pPr>
    </w:p>
    <w:p w14:paraId="49BD9D79" w14:textId="730A4E20" w:rsidR="004F26E9" w:rsidRDefault="004150C6">
      <w:pPr>
        <w:rPr>
          <w:sz w:val="24"/>
          <w:szCs w:val="24"/>
        </w:rPr>
      </w:pPr>
      <w:r w:rsidRPr="004150C6">
        <w:rPr>
          <w:sz w:val="24"/>
          <w:szCs w:val="24"/>
        </w:rPr>
        <w:t xml:space="preserve">Under Section 402(b) of the </w:t>
      </w:r>
      <w:r w:rsidR="006E4257">
        <w:rPr>
          <w:sz w:val="24"/>
          <w:szCs w:val="24"/>
        </w:rPr>
        <w:t>MSA</w:t>
      </w:r>
      <w:r w:rsidRPr="004150C6">
        <w:rPr>
          <w:sz w:val="24"/>
          <w:szCs w:val="24"/>
        </w:rPr>
        <w:t>, amended in 2006, and NOAA Administrative Order 216-100, information submitted in accordance with regul</w:t>
      </w:r>
      <w:r w:rsidR="006E4257">
        <w:rPr>
          <w:sz w:val="24"/>
          <w:szCs w:val="24"/>
        </w:rPr>
        <w:t>atory requirements under the MSA</w:t>
      </w:r>
      <w:r w:rsidRPr="004150C6">
        <w:rPr>
          <w:sz w:val="24"/>
          <w:szCs w:val="24"/>
        </w:rPr>
        <w:t xml:space="preserve"> is confidential. </w:t>
      </w:r>
    </w:p>
    <w:p w14:paraId="0A4EFB6F" w14:textId="77777777" w:rsidR="004F26E9" w:rsidRDefault="004F26E9">
      <w:pPr>
        <w:rPr>
          <w:sz w:val="24"/>
          <w:szCs w:val="24"/>
        </w:rPr>
      </w:pPr>
    </w:p>
    <w:p w14:paraId="131087F3" w14:textId="77777777" w:rsidR="004F26E9" w:rsidRDefault="004F26E9">
      <w:pPr>
        <w:rPr>
          <w:sz w:val="24"/>
          <w:szCs w:val="24"/>
        </w:rPr>
      </w:pPr>
      <w:r>
        <w:rPr>
          <w:b/>
          <w:bCs/>
          <w:sz w:val="24"/>
          <w:szCs w:val="24"/>
        </w:rPr>
        <w:t xml:space="preserve">11.  </w:t>
      </w:r>
      <w:r>
        <w:rPr>
          <w:b/>
          <w:bCs/>
          <w:sz w:val="24"/>
          <w:szCs w:val="24"/>
          <w:u w:val="single"/>
        </w:rPr>
        <w:t>Provide additional justification for any questions of a sensitive nature, such as sexual behavior and attitudes, religious beliefs, and other matters that are commonly considered private</w:t>
      </w:r>
      <w:r>
        <w:rPr>
          <w:b/>
          <w:bCs/>
          <w:sz w:val="24"/>
          <w:szCs w:val="24"/>
        </w:rPr>
        <w:t>.</w:t>
      </w:r>
    </w:p>
    <w:p w14:paraId="7C3C38B6" w14:textId="77777777" w:rsidR="004F26E9" w:rsidRDefault="004F26E9">
      <w:pPr>
        <w:rPr>
          <w:sz w:val="24"/>
          <w:szCs w:val="24"/>
        </w:rPr>
      </w:pPr>
    </w:p>
    <w:p w14:paraId="2D588A3D" w14:textId="77777777" w:rsidR="004150C6" w:rsidRPr="004150C6" w:rsidRDefault="004150C6" w:rsidP="004150C6">
      <w:pPr>
        <w:rPr>
          <w:sz w:val="24"/>
          <w:szCs w:val="24"/>
        </w:rPr>
      </w:pPr>
      <w:r w:rsidRPr="004150C6">
        <w:rPr>
          <w:sz w:val="24"/>
          <w:szCs w:val="24"/>
        </w:rPr>
        <w:t>No questions are asked of a sensitive nature.</w:t>
      </w:r>
    </w:p>
    <w:p w14:paraId="4490D6C0" w14:textId="77777777" w:rsidR="00821741" w:rsidRDefault="00821741">
      <w:pPr>
        <w:rPr>
          <w:sz w:val="24"/>
          <w:szCs w:val="24"/>
        </w:rPr>
      </w:pPr>
    </w:p>
    <w:p w14:paraId="038B66F6" w14:textId="77777777" w:rsidR="004F26E9" w:rsidRDefault="004F26E9">
      <w:pPr>
        <w:rPr>
          <w:sz w:val="24"/>
          <w:szCs w:val="24"/>
        </w:rPr>
      </w:pPr>
      <w:r>
        <w:rPr>
          <w:b/>
          <w:bCs/>
          <w:sz w:val="24"/>
          <w:szCs w:val="24"/>
        </w:rPr>
        <w:t xml:space="preserve">12.  </w:t>
      </w:r>
      <w:r>
        <w:rPr>
          <w:b/>
          <w:bCs/>
          <w:sz w:val="24"/>
          <w:szCs w:val="24"/>
          <w:u w:val="single"/>
        </w:rPr>
        <w:t>Provide an estimate in hours of the burden of the collection of information</w:t>
      </w:r>
      <w:r>
        <w:rPr>
          <w:b/>
          <w:bCs/>
          <w:sz w:val="24"/>
          <w:szCs w:val="24"/>
        </w:rPr>
        <w:t>.</w:t>
      </w:r>
    </w:p>
    <w:p w14:paraId="15F98B5D" w14:textId="77777777" w:rsidR="004150C6" w:rsidRDefault="004150C6">
      <w:pPr>
        <w:rPr>
          <w:sz w:val="24"/>
          <w:szCs w:val="24"/>
        </w:rPr>
      </w:pPr>
    </w:p>
    <w:p w14:paraId="1CBC30E6" w14:textId="6721036F" w:rsidR="004F26E9" w:rsidRDefault="001A0F7C">
      <w:pPr>
        <w:rPr>
          <w:sz w:val="24"/>
          <w:szCs w:val="24"/>
        </w:rPr>
      </w:pPr>
      <w:r w:rsidRPr="00A06D50">
        <w:rPr>
          <w:sz w:val="24"/>
          <w:szCs w:val="24"/>
        </w:rPr>
        <w:t xml:space="preserve">NOAA </w:t>
      </w:r>
      <w:r w:rsidR="00032A93" w:rsidRPr="00A06D50">
        <w:rPr>
          <w:sz w:val="24"/>
          <w:szCs w:val="24"/>
        </w:rPr>
        <w:t>Fisheries</w:t>
      </w:r>
      <w:r w:rsidR="004150C6" w:rsidRPr="00A06D50">
        <w:rPr>
          <w:sz w:val="24"/>
          <w:szCs w:val="24"/>
        </w:rPr>
        <w:t xml:space="preserve"> expects to receive and process up to </w:t>
      </w:r>
      <w:r w:rsidR="00422CBE">
        <w:rPr>
          <w:sz w:val="24"/>
          <w:szCs w:val="24"/>
        </w:rPr>
        <w:t>five</w:t>
      </w:r>
      <w:r w:rsidR="00032A93" w:rsidRPr="00A06D50">
        <w:rPr>
          <w:sz w:val="24"/>
          <w:szCs w:val="24"/>
        </w:rPr>
        <w:t xml:space="preserve"> (</w:t>
      </w:r>
      <w:r w:rsidR="00422CBE">
        <w:rPr>
          <w:sz w:val="24"/>
          <w:szCs w:val="24"/>
        </w:rPr>
        <w:t>5</w:t>
      </w:r>
      <w:r w:rsidR="00032A93" w:rsidRPr="00A06D50">
        <w:rPr>
          <w:sz w:val="24"/>
          <w:szCs w:val="24"/>
        </w:rPr>
        <w:t>)</w:t>
      </w:r>
      <w:r w:rsidR="004150C6" w:rsidRPr="00A06D50">
        <w:rPr>
          <w:sz w:val="24"/>
          <w:szCs w:val="24"/>
        </w:rPr>
        <w:t xml:space="preserve"> </w:t>
      </w:r>
      <w:r w:rsidR="00821741">
        <w:rPr>
          <w:sz w:val="24"/>
          <w:szCs w:val="24"/>
        </w:rPr>
        <w:t>agreement</w:t>
      </w:r>
      <w:r w:rsidR="004150C6" w:rsidRPr="00A06D50">
        <w:rPr>
          <w:sz w:val="24"/>
          <w:szCs w:val="24"/>
        </w:rPr>
        <w:t xml:space="preserve">s each year. </w:t>
      </w:r>
      <w:r w:rsidR="006B5938" w:rsidRPr="00A06D50">
        <w:rPr>
          <w:sz w:val="24"/>
          <w:szCs w:val="24"/>
        </w:rPr>
        <w:t xml:space="preserve">U.S. participating territories </w:t>
      </w:r>
      <w:r w:rsidR="00A06D50" w:rsidRPr="00A06D50">
        <w:rPr>
          <w:sz w:val="24"/>
          <w:szCs w:val="24"/>
        </w:rPr>
        <w:t>and small businesses and small entities (e.g., fishing vessel owners)</w:t>
      </w:r>
      <w:r w:rsidR="001447F0">
        <w:rPr>
          <w:sz w:val="24"/>
          <w:szCs w:val="24"/>
        </w:rPr>
        <w:t xml:space="preserve"> </w:t>
      </w:r>
      <w:r w:rsidR="006B5938" w:rsidRPr="00A06D50">
        <w:rPr>
          <w:sz w:val="24"/>
          <w:szCs w:val="24"/>
        </w:rPr>
        <w:t>are expected to spend 6</w:t>
      </w:r>
      <w:r w:rsidR="004150C6" w:rsidRPr="00A06D50">
        <w:rPr>
          <w:sz w:val="24"/>
          <w:szCs w:val="24"/>
        </w:rPr>
        <w:t xml:space="preserve"> hours </w:t>
      </w:r>
      <w:r w:rsidR="00970518">
        <w:rPr>
          <w:sz w:val="24"/>
          <w:szCs w:val="24"/>
        </w:rPr>
        <w:t xml:space="preserve">collecting and reviewing information necessary to complete </w:t>
      </w:r>
      <w:r w:rsidR="004150C6" w:rsidRPr="00A06D50">
        <w:rPr>
          <w:sz w:val="24"/>
          <w:szCs w:val="24"/>
        </w:rPr>
        <w:t xml:space="preserve">the </w:t>
      </w:r>
      <w:r w:rsidR="00A06D50" w:rsidRPr="00A06D50">
        <w:rPr>
          <w:sz w:val="24"/>
          <w:szCs w:val="24"/>
        </w:rPr>
        <w:t xml:space="preserve">specified fishing </w:t>
      </w:r>
      <w:r w:rsidR="00821741">
        <w:rPr>
          <w:sz w:val="24"/>
          <w:szCs w:val="24"/>
        </w:rPr>
        <w:t>agreement</w:t>
      </w:r>
      <w:r w:rsidR="004150C6" w:rsidRPr="00A06D50">
        <w:rPr>
          <w:sz w:val="24"/>
          <w:szCs w:val="24"/>
        </w:rPr>
        <w:t xml:space="preserve">. </w:t>
      </w:r>
      <w:r w:rsidR="00422CBE">
        <w:rPr>
          <w:sz w:val="24"/>
          <w:szCs w:val="24"/>
        </w:rPr>
        <w:t xml:space="preserve">One appeal, taking 2 hours to complete, may be received. </w:t>
      </w:r>
      <w:r w:rsidR="004150C6" w:rsidRPr="00A06D50">
        <w:rPr>
          <w:sz w:val="24"/>
          <w:szCs w:val="24"/>
        </w:rPr>
        <w:t>Thus, the total collection-of</w:t>
      </w:r>
      <w:r w:rsidR="00A06D50" w:rsidRPr="00A06D50">
        <w:rPr>
          <w:sz w:val="24"/>
          <w:szCs w:val="24"/>
        </w:rPr>
        <w:t>-information burden for the collection of informatio</w:t>
      </w:r>
      <w:r w:rsidR="006D3303">
        <w:rPr>
          <w:sz w:val="24"/>
          <w:szCs w:val="24"/>
        </w:rPr>
        <w:t>n</w:t>
      </w:r>
      <w:r w:rsidR="004150C6" w:rsidRPr="00A06D50">
        <w:rPr>
          <w:sz w:val="24"/>
          <w:szCs w:val="24"/>
        </w:rPr>
        <w:t xml:space="preserve"> is estimated at </w:t>
      </w:r>
      <w:r w:rsidR="00422CBE">
        <w:rPr>
          <w:sz w:val="24"/>
          <w:szCs w:val="24"/>
        </w:rPr>
        <w:t>32</w:t>
      </w:r>
      <w:r w:rsidR="004150C6" w:rsidRPr="00A06D50">
        <w:rPr>
          <w:sz w:val="24"/>
          <w:szCs w:val="24"/>
        </w:rPr>
        <w:t xml:space="preserve"> hours per year.</w:t>
      </w:r>
      <w:r w:rsidR="00422CBE">
        <w:rPr>
          <w:sz w:val="24"/>
          <w:szCs w:val="24"/>
        </w:rPr>
        <w:t xml:space="preserve"> </w:t>
      </w:r>
    </w:p>
    <w:p w14:paraId="7AACA119" w14:textId="77777777" w:rsidR="00EF7BD0" w:rsidRDefault="00EF7BD0">
      <w:pPr>
        <w:rPr>
          <w:sz w:val="24"/>
          <w:szCs w:val="24"/>
        </w:rPr>
      </w:pPr>
    </w:p>
    <w:p w14:paraId="4BAD291A" w14:textId="1962DD0F" w:rsidR="00EF7BD0" w:rsidRPr="00EF7BD0" w:rsidRDefault="001447F0" w:rsidP="00EF7BD0">
      <w:pPr>
        <w:rPr>
          <w:sz w:val="24"/>
          <w:szCs w:val="24"/>
        </w:rPr>
      </w:pPr>
      <w:r>
        <w:rPr>
          <w:sz w:val="24"/>
          <w:szCs w:val="24"/>
        </w:rPr>
        <w:t>(</w:t>
      </w:r>
      <w:r w:rsidR="00422CBE">
        <w:rPr>
          <w:sz w:val="24"/>
          <w:szCs w:val="24"/>
        </w:rPr>
        <w:t>5</w:t>
      </w:r>
      <w:r w:rsidR="00EF7BD0" w:rsidRPr="00EF7BD0">
        <w:rPr>
          <w:sz w:val="24"/>
          <w:szCs w:val="24"/>
        </w:rPr>
        <w:t xml:space="preserve"> fishing </w:t>
      </w:r>
      <w:r w:rsidR="00821741">
        <w:rPr>
          <w:sz w:val="24"/>
          <w:szCs w:val="24"/>
        </w:rPr>
        <w:t>agreement</w:t>
      </w:r>
      <w:r w:rsidR="00EF7BD0" w:rsidRPr="00EF7BD0">
        <w:rPr>
          <w:sz w:val="24"/>
          <w:szCs w:val="24"/>
        </w:rPr>
        <w:t>s x 6 hr</w:t>
      </w:r>
      <w:r>
        <w:rPr>
          <w:sz w:val="24"/>
          <w:szCs w:val="24"/>
        </w:rPr>
        <w:t>)</w:t>
      </w:r>
      <w:r w:rsidR="00422CBE">
        <w:rPr>
          <w:sz w:val="24"/>
          <w:szCs w:val="24"/>
        </w:rPr>
        <w:t xml:space="preserve"> + </w:t>
      </w:r>
      <w:r>
        <w:rPr>
          <w:sz w:val="24"/>
          <w:szCs w:val="24"/>
        </w:rPr>
        <w:t>(</w:t>
      </w:r>
      <w:r w:rsidR="00422CBE">
        <w:rPr>
          <w:sz w:val="24"/>
          <w:szCs w:val="24"/>
        </w:rPr>
        <w:t>1 appeal x 2 hr</w:t>
      </w:r>
      <w:r>
        <w:rPr>
          <w:sz w:val="24"/>
          <w:szCs w:val="24"/>
        </w:rPr>
        <w:t>)</w:t>
      </w:r>
      <w:r w:rsidR="00EF7BD0" w:rsidRPr="00EF7BD0">
        <w:rPr>
          <w:sz w:val="24"/>
          <w:szCs w:val="24"/>
        </w:rPr>
        <w:t xml:space="preserve"> = </w:t>
      </w:r>
      <w:r w:rsidR="00422CBE">
        <w:rPr>
          <w:sz w:val="24"/>
          <w:szCs w:val="24"/>
        </w:rPr>
        <w:t>32</w:t>
      </w:r>
      <w:r w:rsidR="00EF7BD0" w:rsidRPr="00EF7BD0">
        <w:rPr>
          <w:sz w:val="24"/>
          <w:szCs w:val="24"/>
        </w:rPr>
        <w:t xml:space="preserve"> hr total estimated burden</w:t>
      </w:r>
      <w:r w:rsidR="00830D54">
        <w:rPr>
          <w:sz w:val="24"/>
          <w:szCs w:val="24"/>
        </w:rPr>
        <w:t>.</w:t>
      </w:r>
    </w:p>
    <w:p w14:paraId="4D0EAF60" w14:textId="77777777" w:rsidR="00EF7BD0" w:rsidRDefault="00EF7BD0">
      <w:pPr>
        <w:rPr>
          <w:sz w:val="24"/>
          <w:szCs w:val="24"/>
        </w:rPr>
      </w:pPr>
    </w:p>
    <w:p w14:paraId="476AC30D" w14:textId="77777777" w:rsidR="004F26E9" w:rsidRDefault="004F26E9">
      <w:pPr>
        <w:rPr>
          <w:b/>
          <w:bCs/>
          <w:sz w:val="24"/>
          <w:szCs w:val="24"/>
        </w:rPr>
      </w:pPr>
      <w:r>
        <w:rPr>
          <w:b/>
          <w:bCs/>
          <w:sz w:val="24"/>
          <w:szCs w:val="24"/>
        </w:rPr>
        <w:t xml:space="preserve">13.  </w:t>
      </w:r>
      <w:r>
        <w:rPr>
          <w:b/>
          <w:bCs/>
          <w:sz w:val="24"/>
          <w:szCs w:val="24"/>
          <w:u w:val="single"/>
        </w:rPr>
        <w:t>Provide an estimate of the total annual cost burden to the respondents or record-keepers resulting from the collection (excluding the value of the burden hours in #12 above)</w:t>
      </w:r>
      <w:r>
        <w:rPr>
          <w:b/>
          <w:bCs/>
          <w:sz w:val="24"/>
          <w:szCs w:val="24"/>
        </w:rPr>
        <w:t>.</w:t>
      </w:r>
    </w:p>
    <w:p w14:paraId="65C9A702" w14:textId="77777777" w:rsidR="00032A93" w:rsidRDefault="00032A93">
      <w:pPr>
        <w:rPr>
          <w:sz w:val="24"/>
          <w:szCs w:val="24"/>
        </w:rPr>
      </w:pPr>
    </w:p>
    <w:p w14:paraId="0418D70A" w14:textId="7D47F119" w:rsidR="00032A93" w:rsidRPr="00032A93" w:rsidRDefault="004150C6" w:rsidP="00032A93">
      <w:pPr>
        <w:rPr>
          <w:sz w:val="24"/>
          <w:szCs w:val="24"/>
        </w:rPr>
      </w:pPr>
      <w:r>
        <w:rPr>
          <w:sz w:val="24"/>
          <w:szCs w:val="24"/>
        </w:rPr>
        <w:t xml:space="preserve">There is no </w:t>
      </w:r>
      <w:r w:rsidRPr="004150C6">
        <w:rPr>
          <w:sz w:val="24"/>
          <w:szCs w:val="24"/>
        </w:rPr>
        <w:t>startup capital cost for complying with this requirement.</w:t>
      </w:r>
      <w:r w:rsidR="00032A93">
        <w:rPr>
          <w:sz w:val="24"/>
          <w:szCs w:val="24"/>
        </w:rPr>
        <w:t xml:space="preserve"> </w:t>
      </w:r>
      <w:r w:rsidR="00032A93" w:rsidRPr="00032A93">
        <w:rPr>
          <w:sz w:val="24"/>
          <w:szCs w:val="24"/>
        </w:rPr>
        <w:t xml:space="preserve">Respondents may incur costs for submitting a </w:t>
      </w:r>
      <w:r w:rsidR="00032A93">
        <w:rPr>
          <w:sz w:val="24"/>
          <w:szCs w:val="24"/>
        </w:rPr>
        <w:t xml:space="preserve">specified fishing </w:t>
      </w:r>
      <w:r w:rsidR="00821741">
        <w:rPr>
          <w:sz w:val="24"/>
          <w:szCs w:val="24"/>
        </w:rPr>
        <w:t>agreement</w:t>
      </w:r>
      <w:r w:rsidR="00032A93">
        <w:rPr>
          <w:sz w:val="24"/>
          <w:szCs w:val="24"/>
        </w:rPr>
        <w:t xml:space="preserve"> to NMFS and the Council</w:t>
      </w:r>
      <w:r w:rsidR="00032A93" w:rsidRPr="00032A93">
        <w:rPr>
          <w:sz w:val="24"/>
          <w:szCs w:val="24"/>
        </w:rPr>
        <w:t>. The maximum estimated annual cost to respondents for postage, faxes, copies etc., relat</w:t>
      </w:r>
      <w:r w:rsidR="00032A93">
        <w:rPr>
          <w:sz w:val="24"/>
          <w:szCs w:val="24"/>
        </w:rPr>
        <w:t xml:space="preserve">ed to this collection is </w:t>
      </w:r>
      <w:r w:rsidR="00032A93" w:rsidRPr="006E4257">
        <w:rPr>
          <w:sz w:val="24"/>
          <w:szCs w:val="24"/>
        </w:rPr>
        <w:t>$</w:t>
      </w:r>
      <w:r w:rsidR="002570AC" w:rsidRPr="006E4257">
        <w:rPr>
          <w:sz w:val="24"/>
          <w:szCs w:val="24"/>
        </w:rPr>
        <w:t>6</w:t>
      </w:r>
      <w:r w:rsidR="00032A93" w:rsidRPr="006E4257">
        <w:rPr>
          <w:sz w:val="24"/>
          <w:szCs w:val="24"/>
        </w:rPr>
        <w:t xml:space="preserve">0 </w:t>
      </w:r>
      <w:r w:rsidR="001447F0">
        <w:rPr>
          <w:sz w:val="24"/>
          <w:szCs w:val="24"/>
        </w:rPr>
        <w:t xml:space="preserve">per agreement </w:t>
      </w:r>
      <w:r w:rsidR="00032A93" w:rsidRPr="006E4257">
        <w:rPr>
          <w:sz w:val="24"/>
          <w:szCs w:val="24"/>
        </w:rPr>
        <w:t>or $10</w:t>
      </w:r>
      <w:r w:rsidR="00032A93">
        <w:rPr>
          <w:sz w:val="24"/>
          <w:szCs w:val="24"/>
        </w:rPr>
        <w:t xml:space="preserve"> per </w:t>
      </w:r>
      <w:r w:rsidR="002570AC">
        <w:rPr>
          <w:sz w:val="24"/>
          <w:szCs w:val="24"/>
        </w:rPr>
        <w:t>appeal</w:t>
      </w:r>
      <w:r w:rsidR="00032A93" w:rsidRPr="00032A93">
        <w:rPr>
          <w:sz w:val="24"/>
          <w:szCs w:val="24"/>
        </w:rPr>
        <w:t>.</w:t>
      </w:r>
    </w:p>
    <w:p w14:paraId="47FE4FE8" w14:textId="77777777" w:rsidR="004F26E9" w:rsidRDefault="004F26E9">
      <w:pPr>
        <w:rPr>
          <w:sz w:val="24"/>
          <w:szCs w:val="24"/>
        </w:rPr>
      </w:pPr>
    </w:p>
    <w:p w14:paraId="024C56BE" w14:textId="77777777" w:rsidR="004F26E9" w:rsidRDefault="004F26E9">
      <w:pPr>
        <w:rPr>
          <w:sz w:val="24"/>
          <w:szCs w:val="24"/>
        </w:rPr>
      </w:pPr>
      <w:r w:rsidRPr="00970518">
        <w:rPr>
          <w:b/>
          <w:bCs/>
          <w:sz w:val="24"/>
          <w:szCs w:val="24"/>
        </w:rPr>
        <w:t xml:space="preserve">14.  </w:t>
      </w:r>
      <w:r w:rsidRPr="00970518">
        <w:rPr>
          <w:b/>
          <w:bCs/>
          <w:sz w:val="24"/>
          <w:szCs w:val="24"/>
          <w:u w:val="single"/>
        </w:rPr>
        <w:t>Provide estimates of annualized cost to the Federal government</w:t>
      </w:r>
      <w:r w:rsidRPr="00970518">
        <w:rPr>
          <w:b/>
          <w:bCs/>
          <w:sz w:val="24"/>
          <w:szCs w:val="24"/>
        </w:rPr>
        <w:t>.</w:t>
      </w:r>
    </w:p>
    <w:p w14:paraId="45A87A3C" w14:textId="77777777" w:rsidR="004F26E9" w:rsidRDefault="004F26E9">
      <w:pPr>
        <w:rPr>
          <w:sz w:val="24"/>
          <w:szCs w:val="24"/>
        </w:rPr>
      </w:pPr>
    </w:p>
    <w:p w14:paraId="6B662703" w14:textId="3CFA29A5" w:rsidR="007553BD" w:rsidRDefault="007553BD">
      <w:pPr>
        <w:rPr>
          <w:sz w:val="24"/>
          <w:szCs w:val="24"/>
        </w:rPr>
      </w:pPr>
      <w:r>
        <w:rPr>
          <w:sz w:val="24"/>
          <w:szCs w:val="24"/>
        </w:rPr>
        <w:t xml:space="preserve">The estimated annual cost to the Federal government to administer this information collection is up to </w:t>
      </w:r>
      <w:r w:rsidR="00546595" w:rsidRPr="006E4257">
        <w:rPr>
          <w:sz w:val="24"/>
          <w:szCs w:val="24"/>
        </w:rPr>
        <w:t>$</w:t>
      </w:r>
      <w:r w:rsidR="002570AC" w:rsidRPr="006E4257">
        <w:rPr>
          <w:sz w:val="24"/>
          <w:szCs w:val="24"/>
        </w:rPr>
        <w:t>150</w:t>
      </w:r>
      <w:r>
        <w:rPr>
          <w:sz w:val="24"/>
          <w:szCs w:val="24"/>
        </w:rPr>
        <w:t xml:space="preserve">. This includes cost of reviewing specified fishing </w:t>
      </w:r>
      <w:r w:rsidR="00821741">
        <w:rPr>
          <w:sz w:val="24"/>
          <w:szCs w:val="24"/>
        </w:rPr>
        <w:t>agreement</w:t>
      </w:r>
      <w:r>
        <w:rPr>
          <w:sz w:val="24"/>
          <w:szCs w:val="24"/>
        </w:rPr>
        <w:t xml:space="preserve">s for consistency with the criteria set forth in 50 CFR 665, provisions of the </w:t>
      </w:r>
      <w:r w:rsidR="00A0564E">
        <w:rPr>
          <w:sz w:val="24"/>
          <w:szCs w:val="24"/>
        </w:rPr>
        <w:t xml:space="preserve">Magnuson-Stevens Act, and </w:t>
      </w:r>
      <w:r>
        <w:rPr>
          <w:sz w:val="24"/>
          <w:szCs w:val="24"/>
        </w:rPr>
        <w:t>other applicable la</w:t>
      </w:r>
      <w:r w:rsidR="00546595">
        <w:rPr>
          <w:sz w:val="24"/>
          <w:szCs w:val="24"/>
        </w:rPr>
        <w:t xml:space="preserve">w based on </w:t>
      </w:r>
      <w:r w:rsidR="002570AC">
        <w:rPr>
          <w:sz w:val="24"/>
          <w:szCs w:val="24"/>
        </w:rPr>
        <w:t>five</w:t>
      </w:r>
      <w:r w:rsidR="00546595">
        <w:rPr>
          <w:sz w:val="24"/>
          <w:szCs w:val="24"/>
        </w:rPr>
        <w:t xml:space="preserve"> (</w:t>
      </w:r>
      <w:r w:rsidR="002570AC">
        <w:rPr>
          <w:sz w:val="24"/>
          <w:szCs w:val="24"/>
        </w:rPr>
        <w:t>5</w:t>
      </w:r>
      <w:r w:rsidR="00546595">
        <w:rPr>
          <w:sz w:val="24"/>
          <w:szCs w:val="24"/>
        </w:rPr>
        <w:t xml:space="preserve">) </w:t>
      </w:r>
      <w:r w:rsidR="00821741">
        <w:rPr>
          <w:sz w:val="24"/>
          <w:szCs w:val="24"/>
        </w:rPr>
        <w:t>agreement</w:t>
      </w:r>
      <w:r w:rsidR="00546595">
        <w:rPr>
          <w:sz w:val="24"/>
          <w:szCs w:val="24"/>
        </w:rPr>
        <w:t>s x 1 hr./</w:t>
      </w:r>
      <w:r w:rsidR="00821741">
        <w:rPr>
          <w:sz w:val="24"/>
          <w:szCs w:val="24"/>
        </w:rPr>
        <w:t>agreement</w:t>
      </w:r>
      <w:r w:rsidR="00546595">
        <w:rPr>
          <w:sz w:val="24"/>
          <w:szCs w:val="24"/>
        </w:rPr>
        <w:t xml:space="preserve"> x $</w:t>
      </w:r>
      <w:r w:rsidR="002570AC">
        <w:rPr>
          <w:sz w:val="24"/>
          <w:szCs w:val="24"/>
        </w:rPr>
        <w:t>30</w:t>
      </w:r>
      <w:r w:rsidR="00546595">
        <w:rPr>
          <w:sz w:val="24"/>
          <w:szCs w:val="24"/>
        </w:rPr>
        <w:t>/hr.</w:t>
      </w:r>
    </w:p>
    <w:p w14:paraId="48F39F6A" w14:textId="77777777" w:rsidR="004F26E9" w:rsidRDefault="004F26E9">
      <w:pPr>
        <w:rPr>
          <w:sz w:val="24"/>
          <w:szCs w:val="24"/>
        </w:rPr>
      </w:pPr>
    </w:p>
    <w:p w14:paraId="45379321" w14:textId="77777777" w:rsidR="004F26E9" w:rsidRDefault="004F26E9">
      <w:pPr>
        <w:rPr>
          <w:sz w:val="24"/>
          <w:szCs w:val="24"/>
        </w:rPr>
      </w:pPr>
      <w:r>
        <w:rPr>
          <w:b/>
          <w:bCs/>
          <w:sz w:val="24"/>
          <w:szCs w:val="24"/>
        </w:rPr>
        <w:t xml:space="preserve">15.  </w:t>
      </w:r>
      <w:r>
        <w:rPr>
          <w:b/>
          <w:bCs/>
          <w:sz w:val="24"/>
          <w:szCs w:val="24"/>
          <w:u w:val="single"/>
        </w:rPr>
        <w:t>Explain the reasons for any program changes or adjustments reported in Items 13 or 14 of the OMB 83-I</w:t>
      </w:r>
      <w:r>
        <w:rPr>
          <w:b/>
          <w:bCs/>
          <w:sz w:val="24"/>
          <w:szCs w:val="24"/>
        </w:rPr>
        <w:t>.</w:t>
      </w:r>
    </w:p>
    <w:p w14:paraId="001428DE" w14:textId="77777777" w:rsidR="004F26E9" w:rsidRDefault="004F26E9">
      <w:pPr>
        <w:rPr>
          <w:sz w:val="24"/>
          <w:szCs w:val="24"/>
        </w:rPr>
      </w:pPr>
    </w:p>
    <w:p w14:paraId="207071E4" w14:textId="641C8165" w:rsidR="004F26E9" w:rsidRDefault="002570AC">
      <w:pPr>
        <w:rPr>
          <w:sz w:val="24"/>
          <w:szCs w:val="24"/>
        </w:rPr>
      </w:pPr>
      <w:r>
        <w:rPr>
          <w:sz w:val="24"/>
          <w:szCs w:val="24"/>
        </w:rPr>
        <w:t>We have received a maximum of three agreements in one year to date</w:t>
      </w:r>
      <w:r w:rsidR="004150C6" w:rsidRPr="004150C6">
        <w:rPr>
          <w:sz w:val="24"/>
          <w:szCs w:val="24"/>
        </w:rPr>
        <w:t>.</w:t>
      </w:r>
      <w:r>
        <w:rPr>
          <w:sz w:val="24"/>
          <w:szCs w:val="24"/>
        </w:rPr>
        <w:t xml:space="preserve"> The total number of responses expected was reduced to five.</w:t>
      </w:r>
    </w:p>
    <w:p w14:paraId="14CDF5E0" w14:textId="77777777" w:rsidR="004F26E9" w:rsidRDefault="004F26E9">
      <w:pPr>
        <w:rPr>
          <w:sz w:val="24"/>
          <w:szCs w:val="24"/>
        </w:rPr>
      </w:pPr>
    </w:p>
    <w:p w14:paraId="3C5E3C69" w14:textId="77777777" w:rsidR="004F26E9" w:rsidRDefault="004F26E9">
      <w:pPr>
        <w:rPr>
          <w:sz w:val="24"/>
          <w:szCs w:val="24"/>
        </w:rPr>
      </w:pPr>
      <w:r>
        <w:rPr>
          <w:b/>
          <w:bCs/>
          <w:sz w:val="24"/>
          <w:szCs w:val="24"/>
        </w:rPr>
        <w:t xml:space="preserve">16.  </w:t>
      </w:r>
      <w:r>
        <w:rPr>
          <w:b/>
          <w:bCs/>
          <w:sz w:val="24"/>
          <w:szCs w:val="24"/>
          <w:u w:val="single"/>
        </w:rPr>
        <w:t>For collections whose results will be published, outline the plans for tabulation and publication</w:t>
      </w:r>
      <w:r>
        <w:rPr>
          <w:b/>
          <w:bCs/>
          <w:sz w:val="24"/>
          <w:szCs w:val="24"/>
        </w:rPr>
        <w:t>.</w:t>
      </w:r>
    </w:p>
    <w:p w14:paraId="06405E2B" w14:textId="77777777" w:rsidR="004F26E9" w:rsidRDefault="004F26E9">
      <w:pPr>
        <w:rPr>
          <w:sz w:val="24"/>
          <w:szCs w:val="24"/>
        </w:rPr>
      </w:pPr>
    </w:p>
    <w:p w14:paraId="6E6938D0" w14:textId="77777777" w:rsidR="004F26E9" w:rsidRDefault="004150C6">
      <w:pPr>
        <w:rPr>
          <w:sz w:val="24"/>
          <w:szCs w:val="24"/>
        </w:rPr>
      </w:pPr>
      <w:r w:rsidRPr="004150C6">
        <w:rPr>
          <w:sz w:val="24"/>
          <w:szCs w:val="24"/>
        </w:rPr>
        <w:t>No formal scientific publications based on these collections are planned at this time.</w:t>
      </w:r>
    </w:p>
    <w:p w14:paraId="55B56F4F" w14:textId="77777777" w:rsidR="004F26E9" w:rsidRDefault="004F26E9">
      <w:pPr>
        <w:rPr>
          <w:sz w:val="24"/>
          <w:szCs w:val="24"/>
        </w:rPr>
      </w:pPr>
    </w:p>
    <w:p w14:paraId="2C7C0B55" w14:textId="77777777" w:rsidR="004F26E9" w:rsidRDefault="004F26E9">
      <w:pPr>
        <w:rPr>
          <w:sz w:val="24"/>
          <w:szCs w:val="24"/>
        </w:rPr>
      </w:pPr>
      <w:r>
        <w:rPr>
          <w:b/>
          <w:bCs/>
          <w:sz w:val="24"/>
          <w:szCs w:val="24"/>
        </w:rPr>
        <w:t xml:space="preserve">17.  </w:t>
      </w:r>
      <w:r>
        <w:rPr>
          <w:b/>
          <w:bCs/>
          <w:sz w:val="24"/>
          <w:szCs w:val="24"/>
          <w:u w:val="single"/>
        </w:rPr>
        <w:t>If seeking approval to not display the expiration date for OMB approval of the information collection, explain the reasons why display would be inappropriate</w:t>
      </w:r>
      <w:r>
        <w:rPr>
          <w:b/>
          <w:bCs/>
          <w:sz w:val="24"/>
          <w:szCs w:val="24"/>
        </w:rPr>
        <w:t>.</w:t>
      </w:r>
    </w:p>
    <w:p w14:paraId="2DCB895B" w14:textId="77777777" w:rsidR="004F26E9" w:rsidRDefault="004F26E9">
      <w:pPr>
        <w:rPr>
          <w:sz w:val="24"/>
          <w:szCs w:val="24"/>
        </w:rPr>
      </w:pPr>
    </w:p>
    <w:p w14:paraId="74613ADA" w14:textId="4EDEE54B" w:rsidR="004F26E9" w:rsidRPr="004150C6" w:rsidRDefault="001447F0">
      <w:pPr>
        <w:rPr>
          <w:sz w:val="24"/>
          <w:szCs w:val="24"/>
        </w:rPr>
      </w:pPr>
      <w:r>
        <w:rPr>
          <w:sz w:val="24"/>
          <w:szCs w:val="24"/>
        </w:rPr>
        <w:t>This question is not applicable.</w:t>
      </w:r>
    </w:p>
    <w:p w14:paraId="511BB262" w14:textId="77777777" w:rsidR="004F26E9" w:rsidRDefault="004F26E9">
      <w:pPr>
        <w:rPr>
          <w:sz w:val="24"/>
          <w:szCs w:val="24"/>
        </w:rPr>
      </w:pPr>
    </w:p>
    <w:p w14:paraId="2E9736BD" w14:textId="77777777" w:rsidR="004F26E9" w:rsidRDefault="004F26E9">
      <w:pPr>
        <w:rPr>
          <w:b/>
          <w:bCs/>
          <w:sz w:val="24"/>
          <w:szCs w:val="24"/>
          <w:u w:val="single"/>
        </w:rPr>
      </w:pPr>
      <w:r>
        <w:rPr>
          <w:b/>
          <w:bCs/>
          <w:sz w:val="24"/>
          <w:szCs w:val="24"/>
        </w:rPr>
        <w:t xml:space="preserve">18.  </w:t>
      </w:r>
      <w:r>
        <w:rPr>
          <w:b/>
          <w:bCs/>
          <w:sz w:val="24"/>
          <w:szCs w:val="24"/>
          <w:u w:val="single"/>
        </w:rPr>
        <w:t xml:space="preserve">Explain each exception to the certification statement identified in Item 19 of the </w:t>
      </w:r>
    </w:p>
    <w:p w14:paraId="7A1BC207" w14:textId="77777777" w:rsidR="004F26E9" w:rsidRDefault="004F26E9">
      <w:pPr>
        <w:rPr>
          <w:sz w:val="24"/>
          <w:szCs w:val="24"/>
        </w:rPr>
      </w:pPr>
      <w:r>
        <w:rPr>
          <w:b/>
          <w:bCs/>
          <w:sz w:val="24"/>
          <w:szCs w:val="24"/>
          <w:u w:val="single"/>
        </w:rPr>
        <w:t>OMB 83-I</w:t>
      </w:r>
      <w:r>
        <w:rPr>
          <w:b/>
          <w:bCs/>
          <w:sz w:val="24"/>
          <w:szCs w:val="24"/>
        </w:rPr>
        <w:t>.</w:t>
      </w:r>
    </w:p>
    <w:p w14:paraId="15EF90CA" w14:textId="77777777" w:rsidR="004F26E9" w:rsidRDefault="004F26E9">
      <w:pPr>
        <w:rPr>
          <w:sz w:val="24"/>
          <w:szCs w:val="24"/>
        </w:rPr>
      </w:pPr>
    </w:p>
    <w:p w14:paraId="22924DCE" w14:textId="37029EA0" w:rsidR="004F26E9" w:rsidRDefault="001447F0">
      <w:pPr>
        <w:rPr>
          <w:sz w:val="24"/>
          <w:szCs w:val="24"/>
        </w:rPr>
      </w:pPr>
      <w:r>
        <w:rPr>
          <w:sz w:val="24"/>
          <w:szCs w:val="24"/>
        </w:rPr>
        <w:t>This question is not applicable.</w:t>
      </w:r>
    </w:p>
    <w:p w14:paraId="61BFA90E" w14:textId="77777777" w:rsidR="004F26E9" w:rsidRDefault="004F26E9">
      <w:pPr>
        <w:rPr>
          <w:sz w:val="24"/>
          <w:szCs w:val="24"/>
        </w:rPr>
      </w:pPr>
    </w:p>
    <w:p w14:paraId="10C57A65" w14:textId="77777777" w:rsidR="00821741" w:rsidRDefault="00821741">
      <w:pPr>
        <w:rPr>
          <w:sz w:val="24"/>
          <w:szCs w:val="24"/>
        </w:rPr>
      </w:pPr>
    </w:p>
    <w:p w14:paraId="02F53549" w14:textId="77777777" w:rsidR="00821741" w:rsidRDefault="00821741">
      <w:pPr>
        <w:rPr>
          <w:sz w:val="24"/>
          <w:szCs w:val="24"/>
        </w:rPr>
      </w:pPr>
    </w:p>
    <w:p w14:paraId="1409D4AA" w14:textId="77777777" w:rsidR="004F26E9" w:rsidRDefault="004F26E9">
      <w:pPr>
        <w:rPr>
          <w:sz w:val="24"/>
          <w:szCs w:val="24"/>
        </w:rPr>
      </w:pPr>
      <w:r>
        <w:rPr>
          <w:b/>
          <w:bCs/>
          <w:sz w:val="24"/>
          <w:szCs w:val="24"/>
        </w:rPr>
        <w:t>B.  COLLECTIONS OF INFORMATION EMPLOYING STATISTICAL METHODS</w:t>
      </w:r>
    </w:p>
    <w:p w14:paraId="58303881" w14:textId="77777777" w:rsidR="004F26E9" w:rsidRPr="005A24BF" w:rsidRDefault="004F26E9">
      <w:pPr>
        <w:rPr>
          <w:sz w:val="24"/>
          <w:szCs w:val="24"/>
        </w:rPr>
      </w:pPr>
    </w:p>
    <w:p w14:paraId="4CF486ED" w14:textId="77777777" w:rsidR="007553BD" w:rsidRPr="007553BD" w:rsidRDefault="007553BD" w:rsidP="007553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sidRPr="007553BD">
        <w:rPr>
          <w:bCs/>
          <w:sz w:val="24"/>
          <w:szCs w:val="24"/>
        </w:rPr>
        <w:t>This collection does not use statistical methods.</w:t>
      </w:r>
    </w:p>
    <w:p w14:paraId="5BE918AC" w14:textId="77777777" w:rsidR="004F26E9" w:rsidRPr="005A24BF" w:rsidRDefault="004F26E9" w:rsidP="007553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sectPr w:rsidR="004F26E9" w:rsidRPr="005A24BF" w:rsidSect="00B41EF3">
      <w:footerReference w:type="default" r:id="rId8"/>
      <w:footnotePr>
        <w:numRestart w:val="eachSect"/>
      </w:footnotePr>
      <w:endnotePr>
        <w:numFmt w:val="decimal"/>
      </w:endnotePr>
      <w:type w:val="continuous"/>
      <w:pgSz w:w="12240" w:h="15840"/>
      <w:pgMar w:top="1440" w:right="1440" w:bottom="1080" w:left="1440"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9B8046" w16cid:durableId="20335E3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AA0FD2" w14:textId="77777777" w:rsidR="006D3CCC" w:rsidRDefault="006D3CCC">
      <w:r>
        <w:separator/>
      </w:r>
    </w:p>
  </w:endnote>
  <w:endnote w:type="continuationSeparator" w:id="0">
    <w:p w14:paraId="37016860" w14:textId="77777777" w:rsidR="006D3CCC" w:rsidRDefault="006D3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A64F84" w14:textId="1E0E89F0" w:rsidR="00422CBE" w:rsidRDefault="00422CBE">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4C705F">
      <w:rPr>
        <w:rStyle w:val="PageNumber"/>
        <w:noProof/>
        <w:sz w:val="24"/>
        <w:szCs w:val="24"/>
      </w:rPr>
      <w:t>1</w:t>
    </w:r>
    <w:r>
      <w:rPr>
        <w:rStyle w:val="PageNumber"/>
        <w:sz w:val="24"/>
        <w:szCs w:val="24"/>
      </w:rPr>
      <w:fldChar w:fldCharType="end"/>
    </w:r>
  </w:p>
  <w:p w14:paraId="01455B3D" w14:textId="77777777" w:rsidR="00422CBE" w:rsidRDefault="00422C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6F9656" w14:textId="77777777" w:rsidR="006D3CCC" w:rsidRDefault="006D3CCC">
      <w:r>
        <w:separator/>
      </w:r>
    </w:p>
  </w:footnote>
  <w:footnote w:type="continuationSeparator" w:id="0">
    <w:p w14:paraId="736E21D8" w14:textId="77777777" w:rsidR="006D3CCC" w:rsidRDefault="006D3C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34CB"/>
    <w:multiLevelType w:val="hybridMultilevel"/>
    <w:tmpl w:val="F618A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5E1E5E"/>
    <w:multiLevelType w:val="hybridMultilevel"/>
    <w:tmpl w:val="9260DA5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207437"/>
    <w:multiLevelType w:val="hybridMultilevel"/>
    <w:tmpl w:val="56126112"/>
    <w:lvl w:ilvl="0" w:tplc="0409000F">
      <w:start w:val="1"/>
      <w:numFmt w:val="decimal"/>
      <w:lvlText w:val="%1."/>
      <w:lvlJc w:val="left"/>
      <w:pPr>
        <w:ind w:left="720" w:hanging="360"/>
      </w:pPr>
      <w:rPr>
        <w:rFonts w:hint="default"/>
      </w:rPr>
    </w:lvl>
    <w:lvl w:ilvl="1" w:tplc="57BAFEB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A8211B"/>
    <w:multiLevelType w:val="hybridMultilevel"/>
    <w:tmpl w:val="725CD4E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6E9"/>
    <w:rsid w:val="0000166B"/>
    <w:rsid w:val="00025F77"/>
    <w:rsid w:val="00026042"/>
    <w:rsid w:val="00032886"/>
    <w:rsid w:val="00032A93"/>
    <w:rsid w:val="0004730F"/>
    <w:rsid w:val="00082AB7"/>
    <w:rsid w:val="00097656"/>
    <w:rsid w:val="000A35FB"/>
    <w:rsid w:val="000A5014"/>
    <w:rsid w:val="000C6D7C"/>
    <w:rsid w:val="000E4167"/>
    <w:rsid w:val="00127585"/>
    <w:rsid w:val="001447F0"/>
    <w:rsid w:val="001A0F7C"/>
    <w:rsid w:val="001A11FE"/>
    <w:rsid w:val="00231CF5"/>
    <w:rsid w:val="00234D20"/>
    <w:rsid w:val="00242CAA"/>
    <w:rsid w:val="002570AC"/>
    <w:rsid w:val="00266BA4"/>
    <w:rsid w:val="002803E0"/>
    <w:rsid w:val="002C6B3D"/>
    <w:rsid w:val="002C70E3"/>
    <w:rsid w:val="002E0919"/>
    <w:rsid w:val="002E42E6"/>
    <w:rsid w:val="00315267"/>
    <w:rsid w:val="003E7F14"/>
    <w:rsid w:val="004150C6"/>
    <w:rsid w:val="00422CBE"/>
    <w:rsid w:val="004312A9"/>
    <w:rsid w:val="004464E0"/>
    <w:rsid w:val="00476AE4"/>
    <w:rsid w:val="00481EC1"/>
    <w:rsid w:val="00496D6F"/>
    <w:rsid w:val="00497A9B"/>
    <w:rsid w:val="00497EFC"/>
    <w:rsid w:val="004A5718"/>
    <w:rsid w:val="004B079A"/>
    <w:rsid w:val="004C705F"/>
    <w:rsid w:val="004F26E9"/>
    <w:rsid w:val="004F77D8"/>
    <w:rsid w:val="00500656"/>
    <w:rsid w:val="00546595"/>
    <w:rsid w:val="005A24BF"/>
    <w:rsid w:val="005B3D77"/>
    <w:rsid w:val="005B6290"/>
    <w:rsid w:val="005B6BD7"/>
    <w:rsid w:val="0063220A"/>
    <w:rsid w:val="006370DC"/>
    <w:rsid w:val="00661489"/>
    <w:rsid w:val="006B5938"/>
    <w:rsid w:val="006D3303"/>
    <w:rsid w:val="006D3CCC"/>
    <w:rsid w:val="006D6608"/>
    <w:rsid w:val="006E0BC8"/>
    <w:rsid w:val="006E4257"/>
    <w:rsid w:val="007400F9"/>
    <w:rsid w:val="007553BD"/>
    <w:rsid w:val="0077510C"/>
    <w:rsid w:val="007A008C"/>
    <w:rsid w:val="007B3EBD"/>
    <w:rsid w:val="007E33E5"/>
    <w:rsid w:val="007F4B52"/>
    <w:rsid w:val="007F4DD7"/>
    <w:rsid w:val="007F572D"/>
    <w:rsid w:val="007F6ABF"/>
    <w:rsid w:val="0080366C"/>
    <w:rsid w:val="00820E70"/>
    <w:rsid w:val="00821741"/>
    <w:rsid w:val="00830D54"/>
    <w:rsid w:val="008316F1"/>
    <w:rsid w:val="008334B8"/>
    <w:rsid w:val="00872621"/>
    <w:rsid w:val="008804D9"/>
    <w:rsid w:val="008B02A9"/>
    <w:rsid w:val="00917E19"/>
    <w:rsid w:val="009262A1"/>
    <w:rsid w:val="00970518"/>
    <w:rsid w:val="00981FC2"/>
    <w:rsid w:val="009C0434"/>
    <w:rsid w:val="009D74B5"/>
    <w:rsid w:val="00A0564E"/>
    <w:rsid w:val="00A06D50"/>
    <w:rsid w:val="00A832C1"/>
    <w:rsid w:val="00AB3CEE"/>
    <w:rsid w:val="00B41EF3"/>
    <w:rsid w:val="00B45D90"/>
    <w:rsid w:val="00B765E7"/>
    <w:rsid w:val="00B83C23"/>
    <w:rsid w:val="00B87F9C"/>
    <w:rsid w:val="00BD6A11"/>
    <w:rsid w:val="00BF768F"/>
    <w:rsid w:val="00C51523"/>
    <w:rsid w:val="00C932D9"/>
    <w:rsid w:val="00CC0BEE"/>
    <w:rsid w:val="00CD773E"/>
    <w:rsid w:val="00D1225F"/>
    <w:rsid w:val="00D82BF2"/>
    <w:rsid w:val="00DB05C4"/>
    <w:rsid w:val="00DC0CD1"/>
    <w:rsid w:val="00DF713E"/>
    <w:rsid w:val="00E108ED"/>
    <w:rsid w:val="00E26538"/>
    <w:rsid w:val="00E349FC"/>
    <w:rsid w:val="00E4528F"/>
    <w:rsid w:val="00EC4623"/>
    <w:rsid w:val="00EF7BD0"/>
    <w:rsid w:val="00F21AFF"/>
    <w:rsid w:val="00F363A4"/>
    <w:rsid w:val="00F713A3"/>
    <w:rsid w:val="00F731BD"/>
    <w:rsid w:val="00F74A36"/>
    <w:rsid w:val="00FB48C3"/>
    <w:rsid w:val="00FD206C"/>
    <w:rsid w:val="00FE0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88B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EF3"/>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B41EF3"/>
    <w:pPr>
      <w:widowControl w:val="0"/>
      <w:autoSpaceDE w:val="0"/>
      <w:autoSpaceDN w:val="0"/>
      <w:adjustRightInd w:val="0"/>
      <w:ind w:left="-1440"/>
      <w:jc w:val="both"/>
    </w:pPr>
    <w:rPr>
      <w:sz w:val="24"/>
      <w:szCs w:val="24"/>
    </w:rPr>
  </w:style>
  <w:style w:type="paragraph" w:customStyle="1" w:styleId="2AutoList1">
    <w:name w:val="2AutoList1"/>
    <w:rsid w:val="00B41EF3"/>
    <w:pPr>
      <w:widowControl w:val="0"/>
      <w:autoSpaceDE w:val="0"/>
      <w:autoSpaceDN w:val="0"/>
      <w:adjustRightInd w:val="0"/>
      <w:ind w:left="-1440"/>
      <w:jc w:val="both"/>
    </w:pPr>
    <w:rPr>
      <w:sz w:val="24"/>
      <w:szCs w:val="24"/>
    </w:rPr>
  </w:style>
  <w:style w:type="paragraph" w:customStyle="1" w:styleId="3AutoList1">
    <w:name w:val="3AutoList1"/>
    <w:rsid w:val="00B41EF3"/>
    <w:pPr>
      <w:widowControl w:val="0"/>
      <w:autoSpaceDE w:val="0"/>
      <w:autoSpaceDN w:val="0"/>
      <w:adjustRightInd w:val="0"/>
      <w:ind w:left="-1440"/>
      <w:jc w:val="both"/>
    </w:pPr>
    <w:rPr>
      <w:sz w:val="24"/>
      <w:szCs w:val="24"/>
    </w:rPr>
  </w:style>
  <w:style w:type="paragraph" w:customStyle="1" w:styleId="4AutoList1">
    <w:name w:val="4AutoList1"/>
    <w:rsid w:val="00B41EF3"/>
    <w:pPr>
      <w:widowControl w:val="0"/>
      <w:autoSpaceDE w:val="0"/>
      <w:autoSpaceDN w:val="0"/>
      <w:adjustRightInd w:val="0"/>
      <w:ind w:left="-1440"/>
      <w:jc w:val="both"/>
    </w:pPr>
    <w:rPr>
      <w:sz w:val="24"/>
      <w:szCs w:val="24"/>
    </w:rPr>
  </w:style>
  <w:style w:type="paragraph" w:customStyle="1" w:styleId="5AutoList1">
    <w:name w:val="5AutoList1"/>
    <w:rsid w:val="00B41EF3"/>
    <w:pPr>
      <w:widowControl w:val="0"/>
      <w:autoSpaceDE w:val="0"/>
      <w:autoSpaceDN w:val="0"/>
      <w:adjustRightInd w:val="0"/>
      <w:ind w:left="-1440"/>
      <w:jc w:val="both"/>
    </w:pPr>
    <w:rPr>
      <w:sz w:val="24"/>
      <w:szCs w:val="24"/>
    </w:rPr>
  </w:style>
  <w:style w:type="paragraph" w:customStyle="1" w:styleId="6AutoList1">
    <w:name w:val="6AutoList1"/>
    <w:rsid w:val="00B41EF3"/>
    <w:pPr>
      <w:widowControl w:val="0"/>
      <w:autoSpaceDE w:val="0"/>
      <w:autoSpaceDN w:val="0"/>
      <w:adjustRightInd w:val="0"/>
      <w:ind w:left="-1440"/>
      <w:jc w:val="both"/>
    </w:pPr>
    <w:rPr>
      <w:sz w:val="24"/>
      <w:szCs w:val="24"/>
    </w:rPr>
  </w:style>
  <w:style w:type="paragraph" w:customStyle="1" w:styleId="7AutoList1">
    <w:name w:val="7AutoList1"/>
    <w:rsid w:val="00B41EF3"/>
    <w:pPr>
      <w:widowControl w:val="0"/>
      <w:autoSpaceDE w:val="0"/>
      <w:autoSpaceDN w:val="0"/>
      <w:adjustRightInd w:val="0"/>
      <w:ind w:left="-1440"/>
      <w:jc w:val="both"/>
    </w:pPr>
    <w:rPr>
      <w:sz w:val="24"/>
      <w:szCs w:val="24"/>
    </w:rPr>
  </w:style>
  <w:style w:type="paragraph" w:customStyle="1" w:styleId="8AutoList1">
    <w:name w:val="8AutoList1"/>
    <w:rsid w:val="00B41EF3"/>
    <w:pPr>
      <w:widowControl w:val="0"/>
      <w:autoSpaceDE w:val="0"/>
      <w:autoSpaceDN w:val="0"/>
      <w:adjustRightInd w:val="0"/>
      <w:ind w:left="-1440"/>
      <w:jc w:val="both"/>
    </w:pPr>
    <w:rPr>
      <w:sz w:val="24"/>
      <w:szCs w:val="24"/>
    </w:rPr>
  </w:style>
  <w:style w:type="paragraph" w:styleId="Footer">
    <w:name w:val="footer"/>
    <w:basedOn w:val="Normal"/>
    <w:rsid w:val="00B41EF3"/>
    <w:pPr>
      <w:tabs>
        <w:tab w:val="center" w:pos="4320"/>
        <w:tab w:val="right" w:pos="8640"/>
      </w:tabs>
    </w:pPr>
  </w:style>
  <w:style w:type="character" w:styleId="PageNumber">
    <w:name w:val="page number"/>
    <w:basedOn w:val="DefaultParagraphFont"/>
    <w:rsid w:val="00B41EF3"/>
  </w:style>
  <w:style w:type="paragraph" w:styleId="Header">
    <w:name w:val="header"/>
    <w:basedOn w:val="Normal"/>
    <w:rsid w:val="00B41EF3"/>
    <w:pPr>
      <w:tabs>
        <w:tab w:val="center" w:pos="4320"/>
        <w:tab w:val="right" w:pos="8640"/>
      </w:tabs>
    </w:pPr>
  </w:style>
  <w:style w:type="character" w:styleId="Hyperlink">
    <w:name w:val="Hyperlink"/>
    <w:basedOn w:val="DefaultParagraphFont"/>
    <w:rsid w:val="004312A9"/>
    <w:rPr>
      <w:color w:val="0000FF"/>
      <w:u w:val="single"/>
    </w:rPr>
  </w:style>
  <w:style w:type="character" w:styleId="CommentReference">
    <w:name w:val="annotation reference"/>
    <w:basedOn w:val="DefaultParagraphFont"/>
    <w:rsid w:val="000A5014"/>
    <w:rPr>
      <w:sz w:val="16"/>
      <w:szCs w:val="16"/>
    </w:rPr>
  </w:style>
  <w:style w:type="paragraph" w:styleId="CommentText">
    <w:name w:val="annotation text"/>
    <w:basedOn w:val="Normal"/>
    <w:link w:val="CommentTextChar"/>
    <w:rsid w:val="000A5014"/>
  </w:style>
  <w:style w:type="character" w:customStyle="1" w:styleId="CommentTextChar">
    <w:name w:val="Comment Text Char"/>
    <w:basedOn w:val="DefaultParagraphFont"/>
    <w:link w:val="CommentText"/>
    <w:rsid w:val="000A5014"/>
  </w:style>
  <w:style w:type="paragraph" w:styleId="CommentSubject">
    <w:name w:val="annotation subject"/>
    <w:basedOn w:val="CommentText"/>
    <w:next w:val="CommentText"/>
    <w:link w:val="CommentSubjectChar"/>
    <w:rsid w:val="000A5014"/>
    <w:rPr>
      <w:b/>
      <w:bCs/>
    </w:rPr>
  </w:style>
  <w:style w:type="character" w:customStyle="1" w:styleId="CommentSubjectChar">
    <w:name w:val="Comment Subject Char"/>
    <w:basedOn w:val="CommentTextChar"/>
    <w:link w:val="CommentSubject"/>
    <w:rsid w:val="000A5014"/>
    <w:rPr>
      <w:b/>
      <w:bCs/>
    </w:rPr>
  </w:style>
  <w:style w:type="paragraph" w:styleId="BalloonText">
    <w:name w:val="Balloon Text"/>
    <w:basedOn w:val="Normal"/>
    <w:link w:val="BalloonTextChar"/>
    <w:rsid w:val="000A5014"/>
    <w:rPr>
      <w:rFonts w:ascii="Tahoma" w:hAnsi="Tahoma" w:cs="Tahoma"/>
      <w:sz w:val="16"/>
      <w:szCs w:val="16"/>
    </w:rPr>
  </w:style>
  <w:style w:type="character" w:customStyle="1" w:styleId="BalloonTextChar">
    <w:name w:val="Balloon Text Char"/>
    <w:basedOn w:val="DefaultParagraphFont"/>
    <w:link w:val="BalloonText"/>
    <w:rsid w:val="000A5014"/>
    <w:rPr>
      <w:rFonts w:ascii="Tahoma" w:hAnsi="Tahoma" w:cs="Tahoma"/>
      <w:sz w:val="16"/>
      <w:szCs w:val="16"/>
    </w:rPr>
  </w:style>
  <w:style w:type="character" w:styleId="FollowedHyperlink">
    <w:name w:val="FollowedHyperlink"/>
    <w:basedOn w:val="DefaultParagraphFont"/>
    <w:semiHidden/>
    <w:unhideWhenUsed/>
    <w:rsid w:val="008316F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EF3"/>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B41EF3"/>
    <w:pPr>
      <w:widowControl w:val="0"/>
      <w:autoSpaceDE w:val="0"/>
      <w:autoSpaceDN w:val="0"/>
      <w:adjustRightInd w:val="0"/>
      <w:ind w:left="-1440"/>
      <w:jc w:val="both"/>
    </w:pPr>
    <w:rPr>
      <w:sz w:val="24"/>
      <w:szCs w:val="24"/>
    </w:rPr>
  </w:style>
  <w:style w:type="paragraph" w:customStyle="1" w:styleId="2AutoList1">
    <w:name w:val="2AutoList1"/>
    <w:rsid w:val="00B41EF3"/>
    <w:pPr>
      <w:widowControl w:val="0"/>
      <w:autoSpaceDE w:val="0"/>
      <w:autoSpaceDN w:val="0"/>
      <w:adjustRightInd w:val="0"/>
      <w:ind w:left="-1440"/>
      <w:jc w:val="both"/>
    </w:pPr>
    <w:rPr>
      <w:sz w:val="24"/>
      <w:szCs w:val="24"/>
    </w:rPr>
  </w:style>
  <w:style w:type="paragraph" w:customStyle="1" w:styleId="3AutoList1">
    <w:name w:val="3AutoList1"/>
    <w:rsid w:val="00B41EF3"/>
    <w:pPr>
      <w:widowControl w:val="0"/>
      <w:autoSpaceDE w:val="0"/>
      <w:autoSpaceDN w:val="0"/>
      <w:adjustRightInd w:val="0"/>
      <w:ind w:left="-1440"/>
      <w:jc w:val="both"/>
    </w:pPr>
    <w:rPr>
      <w:sz w:val="24"/>
      <w:szCs w:val="24"/>
    </w:rPr>
  </w:style>
  <w:style w:type="paragraph" w:customStyle="1" w:styleId="4AutoList1">
    <w:name w:val="4AutoList1"/>
    <w:rsid w:val="00B41EF3"/>
    <w:pPr>
      <w:widowControl w:val="0"/>
      <w:autoSpaceDE w:val="0"/>
      <w:autoSpaceDN w:val="0"/>
      <w:adjustRightInd w:val="0"/>
      <w:ind w:left="-1440"/>
      <w:jc w:val="both"/>
    </w:pPr>
    <w:rPr>
      <w:sz w:val="24"/>
      <w:szCs w:val="24"/>
    </w:rPr>
  </w:style>
  <w:style w:type="paragraph" w:customStyle="1" w:styleId="5AutoList1">
    <w:name w:val="5AutoList1"/>
    <w:rsid w:val="00B41EF3"/>
    <w:pPr>
      <w:widowControl w:val="0"/>
      <w:autoSpaceDE w:val="0"/>
      <w:autoSpaceDN w:val="0"/>
      <w:adjustRightInd w:val="0"/>
      <w:ind w:left="-1440"/>
      <w:jc w:val="both"/>
    </w:pPr>
    <w:rPr>
      <w:sz w:val="24"/>
      <w:szCs w:val="24"/>
    </w:rPr>
  </w:style>
  <w:style w:type="paragraph" w:customStyle="1" w:styleId="6AutoList1">
    <w:name w:val="6AutoList1"/>
    <w:rsid w:val="00B41EF3"/>
    <w:pPr>
      <w:widowControl w:val="0"/>
      <w:autoSpaceDE w:val="0"/>
      <w:autoSpaceDN w:val="0"/>
      <w:adjustRightInd w:val="0"/>
      <w:ind w:left="-1440"/>
      <w:jc w:val="both"/>
    </w:pPr>
    <w:rPr>
      <w:sz w:val="24"/>
      <w:szCs w:val="24"/>
    </w:rPr>
  </w:style>
  <w:style w:type="paragraph" w:customStyle="1" w:styleId="7AutoList1">
    <w:name w:val="7AutoList1"/>
    <w:rsid w:val="00B41EF3"/>
    <w:pPr>
      <w:widowControl w:val="0"/>
      <w:autoSpaceDE w:val="0"/>
      <w:autoSpaceDN w:val="0"/>
      <w:adjustRightInd w:val="0"/>
      <w:ind w:left="-1440"/>
      <w:jc w:val="both"/>
    </w:pPr>
    <w:rPr>
      <w:sz w:val="24"/>
      <w:szCs w:val="24"/>
    </w:rPr>
  </w:style>
  <w:style w:type="paragraph" w:customStyle="1" w:styleId="8AutoList1">
    <w:name w:val="8AutoList1"/>
    <w:rsid w:val="00B41EF3"/>
    <w:pPr>
      <w:widowControl w:val="0"/>
      <w:autoSpaceDE w:val="0"/>
      <w:autoSpaceDN w:val="0"/>
      <w:adjustRightInd w:val="0"/>
      <w:ind w:left="-1440"/>
      <w:jc w:val="both"/>
    </w:pPr>
    <w:rPr>
      <w:sz w:val="24"/>
      <w:szCs w:val="24"/>
    </w:rPr>
  </w:style>
  <w:style w:type="paragraph" w:styleId="Footer">
    <w:name w:val="footer"/>
    <w:basedOn w:val="Normal"/>
    <w:rsid w:val="00B41EF3"/>
    <w:pPr>
      <w:tabs>
        <w:tab w:val="center" w:pos="4320"/>
        <w:tab w:val="right" w:pos="8640"/>
      </w:tabs>
    </w:pPr>
  </w:style>
  <w:style w:type="character" w:styleId="PageNumber">
    <w:name w:val="page number"/>
    <w:basedOn w:val="DefaultParagraphFont"/>
    <w:rsid w:val="00B41EF3"/>
  </w:style>
  <w:style w:type="paragraph" w:styleId="Header">
    <w:name w:val="header"/>
    <w:basedOn w:val="Normal"/>
    <w:rsid w:val="00B41EF3"/>
    <w:pPr>
      <w:tabs>
        <w:tab w:val="center" w:pos="4320"/>
        <w:tab w:val="right" w:pos="8640"/>
      </w:tabs>
    </w:pPr>
  </w:style>
  <w:style w:type="character" w:styleId="Hyperlink">
    <w:name w:val="Hyperlink"/>
    <w:basedOn w:val="DefaultParagraphFont"/>
    <w:rsid w:val="004312A9"/>
    <w:rPr>
      <w:color w:val="0000FF"/>
      <w:u w:val="single"/>
    </w:rPr>
  </w:style>
  <w:style w:type="character" w:styleId="CommentReference">
    <w:name w:val="annotation reference"/>
    <w:basedOn w:val="DefaultParagraphFont"/>
    <w:rsid w:val="000A5014"/>
    <w:rPr>
      <w:sz w:val="16"/>
      <w:szCs w:val="16"/>
    </w:rPr>
  </w:style>
  <w:style w:type="paragraph" w:styleId="CommentText">
    <w:name w:val="annotation text"/>
    <w:basedOn w:val="Normal"/>
    <w:link w:val="CommentTextChar"/>
    <w:rsid w:val="000A5014"/>
  </w:style>
  <w:style w:type="character" w:customStyle="1" w:styleId="CommentTextChar">
    <w:name w:val="Comment Text Char"/>
    <w:basedOn w:val="DefaultParagraphFont"/>
    <w:link w:val="CommentText"/>
    <w:rsid w:val="000A5014"/>
  </w:style>
  <w:style w:type="paragraph" w:styleId="CommentSubject">
    <w:name w:val="annotation subject"/>
    <w:basedOn w:val="CommentText"/>
    <w:next w:val="CommentText"/>
    <w:link w:val="CommentSubjectChar"/>
    <w:rsid w:val="000A5014"/>
    <w:rPr>
      <w:b/>
      <w:bCs/>
    </w:rPr>
  </w:style>
  <w:style w:type="character" w:customStyle="1" w:styleId="CommentSubjectChar">
    <w:name w:val="Comment Subject Char"/>
    <w:basedOn w:val="CommentTextChar"/>
    <w:link w:val="CommentSubject"/>
    <w:rsid w:val="000A5014"/>
    <w:rPr>
      <w:b/>
      <w:bCs/>
    </w:rPr>
  </w:style>
  <w:style w:type="paragraph" w:styleId="BalloonText">
    <w:name w:val="Balloon Text"/>
    <w:basedOn w:val="Normal"/>
    <w:link w:val="BalloonTextChar"/>
    <w:rsid w:val="000A5014"/>
    <w:rPr>
      <w:rFonts w:ascii="Tahoma" w:hAnsi="Tahoma" w:cs="Tahoma"/>
      <w:sz w:val="16"/>
      <w:szCs w:val="16"/>
    </w:rPr>
  </w:style>
  <w:style w:type="character" w:customStyle="1" w:styleId="BalloonTextChar">
    <w:name w:val="Balloon Text Char"/>
    <w:basedOn w:val="DefaultParagraphFont"/>
    <w:link w:val="BalloonText"/>
    <w:rsid w:val="000A5014"/>
    <w:rPr>
      <w:rFonts w:ascii="Tahoma" w:hAnsi="Tahoma" w:cs="Tahoma"/>
      <w:sz w:val="16"/>
      <w:szCs w:val="16"/>
    </w:rPr>
  </w:style>
  <w:style w:type="character" w:styleId="FollowedHyperlink">
    <w:name w:val="FollowedHyperlink"/>
    <w:basedOn w:val="DefaultParagraphFont"/>
    <w:semiHidden/>
    <w:unhideWhenUsed/>
    <w:rsid w:val="008316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1848</Words>
  <Characters>10534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12358</CharactersWithSpaces>
  <SharedDoc>false</SharedDoc>
  <HLinks>
    <vt:vector size="6" baseType="variant">
      <vt:variant>
        <vt:i4>1376284</vt:i4>
      </vt:variant>
      <vt:variant>
        <vt:i4>4</vt:i4>
      </vt:variant>
      <vt:variant>
        <vt:i4>0</vt:i4>
      </vt:variant>
      <vt:variant>
        <vt:i4>5</vt:i4>
      </vt:variant>
      <vt:variant>
        <vt:lpwstr>http://www.fpir.noaa.gov/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SYSTEM</cp:lastModifiedBy>
  <cp:revision>2</cp:revision>
  <cp:lastPrinted>2013-09-11T19:39:00Z</cp:lastPrinted>
  <dcterms:created xsi:type="dcterms:W3CDTF">2019-03-14T17:27:00Z</dcterms:created>
  <dcterms:modified xsi:type="dcterms:W3CDTF">2019-03-14T17:27:00Z</dcterms:modified>
</cp:coreProperties>
</file>