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D8631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  <w:bookmarkStart w:id="0" w:name="_GoBack"/>
      <w:bookmarkEnd w:id="0"/>
    </w:p>
    <w:p w14:paraId="7BC1FD0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14:paraId="5C14358E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14:paraId="0E575DEF" w14:textId="77777777" w:rsidR="004431C5" w:rsidRDefault="004431C5" w:rsidP="00B53F3C">
      <w:pPr>
        <w:framePr w:w="1378" w:hSpace="180" w:wrap="auto" w:vAnchor="text" w:hAnchor="page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14:paraId="48BB4907" w14:textId="77777777" w:rsidR="004431C5" w:rsidRDefault="004431C5" w:rsidP="00B53F3C">
      <w:pPr>
        <w:framePr w:w="1378" w:hSpace="180" w:wrap="auto" w:vAnchor="text" w:hAnchor="page" w:x="493" w:y="41"/>
        <w:ind w:left="-720" w:firstLine="720"/>
      </w:pPr>
    </w:p>
    <w:p w14:paraId="53ED7C04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14:paraId="58BB839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14:paraId="2CB30A8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14:paraId="6BA87187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8182BA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14:paraId="124E5C0A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14:paraId="632DA6F9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96B994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14:paraId="5FE3946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14:paraId="38C01C7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D0FCE4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226A431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19D223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435CBA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ED1B5C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E388344" w14:textId="77777777" w:rsidR="004431C5" w:rsidRDefault="004F3E2A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14:paraId="6910A30A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E4BA095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65C47D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D3C3F5F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B57F19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7DAD0D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089C1E9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FE0D544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F6298C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48CB72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55A51E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505718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CE1E524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01209BC1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5B03F06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129E56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F535545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AFB2DA1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5112532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70DCF7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7DC2A0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5445DBD6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70F73B1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6D603B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B58BEE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6A135D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19BEF65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63BD18E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2FE30296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2E711B4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59EFEB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1F9F2BB2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85C046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D2110B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88A687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0D7458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D91FAE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453E4C8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517CBD93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981800D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81A4FC9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4739C6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4244C33C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302B321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799EED20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60FBD34B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37E5C907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14:paraId="055DD0C9" w14:textId="77777777"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14:paraId="7B1F6E2E" w14:textId="77777777" w:rsidR="004431C5" w:rsidRDefault="009A4DD5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 wp14:anchorId="10152C94" wp14:editId="175BE70F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2DFA1" w14:textId="77777777" w:rsidR="00CD5D44" w:rsidRDefault="00CD5D44"/>
    <w:p w14:paraId="57DA2CAE" w14:textId="77777777" w:rsidR="003B3E0A" w:rsidRPr="003667CC" w:rsidRDefault="003B3E0A" w:rsidP="00CE2DA0">
      <w:pPr>
        <w:rPr>
          <w:sz w:val="22"/>
          <w:szCs w:val="22"/>
        </w:rPr>
      </w:pPr>
      <w:r w:rsidRPr="00FC6F9C">
        <w:rPr>
          <w:sz w:val="22"/>
          <w:szCs w:val="22"/>
        </w:rPr>
        <w:t>TO:</w:t>
      </w:r>
      <w:r w:rsidRPr="00FC6F9C">
        <w:rPr>
          <w:sz w:val="22"/>
          <w:szCs w:val="22"/>
        </w:rPr>
        <w:tab/>
      </w:r>
      <w:r w:rsidR="00CE2DA0">
        <w:rPr>
          <w:sz w:val="22"/>
          <w:szCs w:val="22"/>
        </w:rPr>
        <w:tab/>
        <w:t>James Crowe</w:t>
      </w:r>
      <w:r w:rsidR="001D4FD0" w:rsidRPr="003667CC">
        <w:rPr>
          <w:sz w:val="22"/>
          <w:szCs w:val="22"/>
        </w:rPr>
        <w:t xml:space="preserve">, </w:t>
      </w:r>
      <w:r w:rsidRPr="003667CC">
        <w:rPr>
          <w:sz w:val="22"/>
          <w:szCs w:val="22"/>
        </w:rPr>
        <w:t>OMB Desk Officer</w:t>
      </w:r>
    </w:p>
    <w:p w14:paraId="67F0FF87" w14:textId="77777777" w:rsidR="003B3E0A" w:rsidRPr="003667CC" w:rsidRDefault="003B3E0A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Office of Information and Regulatory Affairs</w:t>
      </w:r>
    </w:p>
    <w:p w14:paraId="2387C299" w14:textId="77777777" w:rsidR="003B3E0A" w:rsidRPr="003667CC" w:rsidRDefault="003B3E0A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Office of Management and Budget</w:t>
      </w:r>
    </w:p>
    <w:p w14:paraId="2A413848" w14:textId="77777777" w:rsidR="00CE2DA0" w:rsidRDefault="00CE2DA0" w:rsidP="004475CC">
      <w:pPr>
        <w:rPr>
          <w:sz w:val="22"/>
          <w:szCs w:val="22"/>
        </w:rPr>
      </w:pPr>
    </w:p>
    <w:p w14:paraId="2318EDB0" w14:textId="77777777" w:rsidR="004475CC" w:rsidRPr="003667CC" w:rsidRDefault="003B3E0A" w:rsidP="00CE2DA0">
      <w:pPr>
        <w:rPr>
          <w:sz w:val="22"/>
          <w:szCs w:val="22"/>
        </w:rPr>
      </w:pPr>
      <w:r w:rsidRPr="003667CC">
        <w:rPr>
          <w:sz w:val="22"/>
          <w:szCs w:val="22"/>
        </w:rPr>
        <w:t>THROUGH:</w:t>
      </w:r>
      <w:r w:rsidRPr="003667CC">
        <w:rPr>
          <w:sz w:val="22"/>
          <w:szCs w:val="22"/>
        </w:rPr>
        <w:tab/>
      </w:r>
      <w:r w:rsidR="004475CC" w:rsidRPr="003667CC">
        <w:rPr>
          <w:sz w:val="22"/>
          <w:szCs w:val="22"/>
        </w:rPr>
        <w:t>Ruth Brown, Desk Officer</w:t>
      </w:r>
    </w:p>
    <w:p w14:paraId="0E633003" w14:textId="77777777" w:rsidR="004475CC" w:rsidRPr="003667CC" w:rsidRDefault="004475CC" w:rsidP="004475CC">
      <w:pPr>
        <w:ind w:firstLine="270"/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United States Department of Agriculture</w:t>
      </w:r>
    </w:p>
    <w:p w14:paraId="0E35A9FA" w14:textId="77777777" w:rsidR="001D4FD0" w:rsidRPr="003667CC" w:rsidRDefault="004475CC" w:rsidP="00CE2DA0">
      <w:pPr>
        <w:ind w:firstLine="270"/>
        <w:rPr>
          <w:sz w:val="22"/>
          <w:szCs w:val="22"/>
        </w:rPr>
      </w:pPr>
      <w:r w:rsidRPr="003667CC">
        <w:rPr>
          <w:sz w:val="22"/>
          <w:szCs w:val="22"/>
        </w:rPr>
        <w:tab/>
        <w:t xml:space="preserve">            </w:t>
      </w:r>
      <w:r w:rsidR="00E95C59">
        <w:rPr>
          <w:sz w:val="22"/>
          <w:szCs w:val="22"/>
        </w:rPr>
        <w:t xml:space="preserve"> </w:t>
      </w:r>
      <w:r w:rsidRPr="003667CC">
        <w:rPr>
          <w:sz w:val="22"/>
          <w:szCs w:val="22"/>
        </w:rPr>
        <w:t>Office of Chief Information Office</w:t>
      </w:r>
      <w:r w:rsidR="001D4FD0" w:rsidRPr="003667CC">
        <w:rPr>
          <w:sz w:val="22"/>
          <w:szCs w:val="22"/>
        </w:rPr>
        <w:tab/>
      </w:r>
      <w:r w:rsidR="001D4FD0" w:rsidRPr="003667CC">
        <w:rPr>
          <w:sz w:val="22"/>
          <w:szCs w:val="22"/>
        </w:rPr>
        <w:tab/>
      </w:r>
      <w:r w:rsidR="003800A1" w:rsidRPr="003667CC">
        <w:rPr>
          <w:sz w:val="22"/>
          <w:szCs w:val="22"/>
        </w:rPr>
        <w:t xml:space="preserve">   </w:t>
      </w:r>
    </w:p>
    <w:p w14:paraId="3BC688DA" w14:textId="63054792" w:rsidR="00512261" w:rsidRPr="000E3280" w:rsidRDefault="00CD5D44" w:rsidP="00CE2DA0">
      <w:pPr>
        <w:rPr>
          <w:sz w:val="52"/>
          <w:szCs w:val="52"/>
        </w:rPr>
      </w:pPr>
      <w:r w:rsidRPr="003667CC">
        <w:rPr>
          <w:sz w:val="22"/>
          <w:szCs w:val="22"/>
        </w:rPr>
        <w:t>FROM:</w:t>
      </w:r>
      <w:r w:rsidRPr="003667CC">
        <w:rPr>
          <w:sz w:val="22"/>
          <w:szCs w:val="22"/>
        </w:rPr>
        <w:tab/>
      </w:r>
      <w:r w:rsidR="00BC7F12">
        <w:rPr>
          <w:sz w:val="22"/>
          <w:szCs w:val="22"/>
        </w:rPr>
        <w:t>Rachelle Ragland Greene</w:t>
      </w:r>
      <w:r w:rsidR="00CC18A5">
        <w:rPr>
          <w:sz w:val="22"/>
          <w:szCs w:val="22"/>
        </w:rPr>
        <w:t xml:space="preserve"> </w:t>
      </w:r>
      <w:r w:rsidR="00CC18A5" w:rsidRPr="000E3280">
        <w:rPr>
          <w:rFonts w:ascii="Blackadder ITC" w:hAnsi="Blackadder ITC"/>
          <w:sz w:val="52"/>
          <w:szCs w:val="52"/>
        </w:rPr>
        <w:t>rg</w:t>
      </w:r>
    </w:p>
    <w:p w14:paraId="4A7CF367" w14:textId="77777777" w:rsidR="00C749F4" w:rsidRPr="003667CC" w:rsidRDefault="004475CC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</w:r>
      <w:r w:rsidR="00BC7F12">
        <w:rPr>
          <w:sz w:val="22"/>
          <w:szCs w:val="22"/>
        </w:rPr>
        <w:t>FNS Information Collection Officer</w:t>
      </w:r>
      <w:r w:rsidR="00C749F4" w:rsidRPr="003667CC">
        <w:rPr>
          <w:sz w:val="22"/>
          <w:szCs w:val="22"/>
        </w:rPr>
        <w:t>, Planning &amp; Regulatory Affairs</w:t>
      </w:r>
    </w:p>
    <w:p w14:paraId="369298F3" w14:textId="77777777" w:rsidR="004475CC" w:rsidRPr="003667CC" w:rsidRDefault="004475CC" w:rsidP="004475CC">
      <w:pPr>
        <w:rPr>
          <w:sz w:val="22"/>
          <w:szCs w:val="22"/>
        </w:rPr>
      </w:pPr>
      <w:r w:rsidRPr="003667CC">
        <w:rPr>
          <w:sz w:val="22"/>
          <w:szCs w:val="22"/>
        </w:rPr>
        <w:tab/>
      </w:r>
      <w:r w:rsidRPr="003667CC">
        <w:rPr>
          <w:sz w:val="22"/>
          <w:szCs w:val="22"/>
        </w:rPr>
        <w:tab/>
        <w:t>Food and Nutrition Service</w:t>
      </w:r>
    </w:p>
    <w:p w14:paraId="310276A6" w14:textId="77777777" w:rsidR="004431C5" w:rsidRPr="003667CC" w:rsidRDefault="004431C5" w:rsidP="004475CC">
      <w:pPr>
        <w:rPr>
          <w:sz w:val="22"/>
          <w:szCs w:val="22"/>
        </w:rPr>
      </w:pPr>
    </w:p>
    <w:p w14:paraId="468E8603" w14:textId="77777777" w:rsidR="00CE2DA0" w:rsidRDefault="004F3E2A" w:rsidP="00CE2DA0">
      <w:pPr>
        <w:ind w:left="105"/>
        <w:rPr>
          <w:sz w:val="22"/>
          <w:szCs w:val="22"/>
        </w:rPr>
      </w:pPr>
      <w:r w:rsidRPr="003667CC">
        <w:rPr>
          <w:bCs/>
          <w:sz w:val="22"/>
          <w:szCs w:val="22"/>
        </w:rPr>
        <w:t>SUBJECT:</w:t>
      </w:r>
      <w:r w:rsidR="00CE2DA0">
        <w:rPr>
          <w:bCs/>
          <w:sz w:val="22"/>
          <w:szCs w:val="22"/>
        </w:rPr>
        <w:tab/>
      </w:r>
      <w:r w:rsidR="00CD5D44" w:rsidRPr="003667CC">
        <w:rPr>
          <w:sz w:val="22"/>
          <w:szCs w:val="22"/>
        </w:rPr>
        <w:t xml:space="preserve">Justification for </w:t>
      </w:r>
      <w:r w:rsidR="00CF52B3">
        <w:rPr>
          <w:sz w:val="22"/>
          <w:szCs w:val="22"/>
        </w:rPr>
        <w:t>site changes</w:t>
      </w:r>
      <w:r w:rsidR="00CE2DA0">
        <w:rPr>
          <w:sz w:val="22"/>
          <w:szCs w:val="22"/>
        </w:rPr>
        <w:t xml:space="preserve"> and decreased burden through</w:t>
      </w:r>
      <w:r w:rsidR="00221898">
        <w:rPr>
          <w:sz w:val="22"/>
          <w:szCs w:val="22"/>
        </w:rPr>
        <w:t xml:space="preserve"> </w:t>
      </w:r>
      <w:r w:rsidR="003800A1" w:rsidRPr="003667CC">
        <w:rPr>
          <w:sz w:val="22"/>
          <w:szCs w:val="22"/>
        </w:rPr>
        <w:t xml:space="preserve">OMB Control </w:t>
      </w:r>
    </w:p>
    <w:p w14:paraId="64B7F468" w14:textId="77777777" w:rsidR="001A4191" w:rsidRPr="00EF61FC" w:rsidRDefault="003800A1" w:rsidP="00B815CF">
      <w:pPr>
        <w:ind w:left="1440"/>
        <w:rPr>
          <w:sz w:val="22"/>
          <w:szCs w:val="22"/>
        </w:rPr>
      </w:pPr>
      <w:r w:rsidRPr="003667CC">
        <w:rPr>
          <w:sz w:val="22"/>
          <w:szCs w:val="22"/>
        </w:rPr>
        <w:t>No</w:t>
      </w:r>
      <w:r w:rsidR="00C2074A" w:rsidRPr="003667CC">
        <w:rPr>
          <w:sz w:val="22"/>
          <w:szCs w:val="22"/>
        </w:rPr>
        <w:t xml:space="preserve">: </w:t>
      </w:r>
      <w:r w:rsidR="009466F2" w:rsidRPr="009466F2">
        <w:rPr>
          <w:sz w:val="22"/>
          <w:szCs w:val="22"/>
        </w:rPr>
        <w:t>0584-0</w:t>
      </w:r>
      <w:r w:rsidR="00CE2DA0">
        <w:rPr>
          <w:sz w:val="22"/>
          <w:szCs w:val="22"/>
        </w:rPr>
        <w:t>645: An Assessment of Mandatory S</w:t>
      </w:r>
      <w:r w:rsidR="00375440" w:rsidRPr="00375440">
        <w:rPr>
          <w:sz w:val="22"/>
          <w:szCs w:val="22"/>
        </w:rPr>
        <w:t xml:space="preserve">upplemental Nutrition </w:t>
      </w:r>
      <w:r w:rsidR="00CE2DA0">
        <w:rPr>
          <w:sz w:val="22"/>
          <w:szCs w:val="22"/>
        </w:rPr>
        <w:t xml:space="preserve">  </w:t>
      </w:r>
      <w:r w:rsidR="00375440" w:rsidRPr="00375440">
        <w:rPr>
          <w:sz w:val="22"/>
          <w:szCs w:val="22"/>
        </w:rPr>
        <w:t>Assistance Program</w:t>
      </w:r>
      <w:r w:rsidR="00CE2DA0">
        <w:rPr>
          <w:sz w:val="22"/>
          <w:szCs w:val="22"/>
        </w:rPr>
        <w:t xml:space="preserve"> (SNAP) Employment and Training (E&amp;T) Programs</w:t>
      </w:r>
      <w:r w:rsidR="00CD5D44" w:rsidRPr="00EF61FC">
        <w:rPr>
          <w:sz w:val="22"/>
          <w:szCs w:val="22"/>
        </w:rPr>
        <w:tab/>
      </w:r>
    </w:p>
    <w:p w14:paraId="00283963" w14:textId="77777777" w:rsidR="003667CC" w:rsidRDefault="003667CC" w:rsidP="008C2F10">
      <w:pPr>
        <w:ind w:left="1440"/>
        <w:rPr>
          <w:sz w:val="22"/>
          <w:szCs w:val="22"/>
        </w:rPr>
      </w:pPr>
    </w:p>
    <w:p w14:paraId="222E4B41" w14:textId="77777777" w:rsidR="003667CC" w:rsidRPr="00603F8D" w:rsidRDefault="003667CC" w:rsidP="008C2F10">
      <w:pPr>
        <w:ind w:left="1440"/>
        <w:rPr>
          <w:sz w:val="22"/>
          <w:szCs w:val="22"/>
        </w:rPr>
      </w:pPr>
    </w:p>
    <w:p w14:paraId="6509D09C" w14:textId="34BCE956" w:rsidR="00953D09" w:rsidRPr="00603F8D" w:rsidRDefault="00CD5D44" w:rsidP="00640B43">
      <w:pPr>
        <w:rPr>
          <w:sz w:val="22"/>
          <w:szCs w:val="22"/>
        </w:rPr>
      </w:pPr>
      <w:r w:rsidRPr="00603F8D">
        <w:rPr>
          <w:sz w:val="22"/>
          <w:szCs w:val="22"/>
        </w:rPr>
        <w:t>Through this</w:t>
      </w:r>
      <w:r w:rsidR="00C2074A" w:rsidRPr="00603F8D">
        <w:rPr>
          <w:sz w:val="22"/>
          <w:szCs w:val="22"/>
        </w:rPr>
        <w:t xml:space="preserve"> memorandum, we are requesting </w:t>
      </w:r>
      <w:r w:rsidR="007301C0" w:rsidRPr="00603F8D">
        <w:rPr>
          <w:sz w:val="22"/>
          <w:szCs w:val="22"/>
        </w:rPr>
        <w:t>a</w:t>
      </w:r>
      <w:r w:rsidR="00375440" w:rsidRPr="00603F8D">
        <w:rPr>
          <w:sz w:val="22"/>
          <w:szCs w:val="22"/>
        </w:rPr>
        <w:t xml:space="preserve">pproval </w:t>
      </w:r>
      <w:r w:rsidR="00561B5A" w:rsidRPr="00603F8D">
        <w:rPr>
          <w:sz w:val="22"/>
          <w:szCs w:val="22"/>
        </w:rPr>
        <w:t xml:space="preserve">to </w:t>
      </w:r>
      <w:r w:rsidR="00CF52B3" w:rsidRPr="00603F8D">
        <w:rPr>
          <w:sz w:val="22"/>
          <w:szCs w:val="22"/>
        </w:rPr>
        <w:t xml:space="preserve">modify the sites of the qualitative data collection for the </w:t>
      </w:r>
      <w:r w:rsidR="00CF52B3" w:rsidRPr="00603F8D">
        <w:rPr>
          <w:i/>
          <w:sz w:val="22"/>
          <w:szCs w:val="22"/>
        </w:rPr>
        <w:t>Assessment of SNAP Mandatory E&amp;T Programs</w:t>
      </w:r>
      <w:r w:rsidR="00CF52B3" w:rsidRPr="00603F8D">
        <w:rPr>
          <w:sz w:val="22"/>
          <w:szCs w:val="22"/>
        </w:rPr>
        <w:t xml:space="preserve">, which was approved </w:t>
      </w:r>
      <w:r w:rsidR="001A4191" w:rsidRPr="00603F8D">
        <w:rPr>
          <w:sz w:val="22"/>
          <w:szCs w:val="22"/>
        </w:rPr>
        <w:t>under the</w:t>
      </w:r>
      <w:r w:rsidRPr="00603F8D">
        <w:rPr>
          <w:sz w:val="22"/>
          <w:szCs w:val="22"/>
        </w:rPr>
        <w:t xml:space="preserve"> Information Collection Requ</w:t>
      </w:r>
      <w:r w:rsidR="00A67B93" w:rsidRPr="00603F8D">
        <w:rPr>
          <w:sz w:val="22"/>
          <w:szCs w:val="22"/>
        </w:rPr>
        <w:t xml:space="preserve">est </w:t>
      </w:r>
      <w:r w:rsidR="00EF61FC" w:rsidRPr="00603F8D">
        <w:rPr>
          <w:sz w:val="22"/>
          <w:szCs w:val="22"/>
        </w:rPr>
        <w:t xml:space="preserve">(ICR), OMB Control No. </w:t>
      </w:r>
      <w:r w:rsidR="009466F2" w:rsidRPr="00603F8D">
        <w:rPr>
          <w:sz w:val="22"/>
          <w:szCs w:val="22"/>
        </w:rPr>
        <w:t>0584-</w:t>
      </w:r>
      <w:r w:rsidR="00D935E9" w:rsidRPr="00603F8D">
        <w:rPr>
          <w:sz w:val="22"/>
          <w:szCs w:val="22"/>
        </w:rPr>
        <w:t>0</w:t>
      </w:r>
      <w:r w:rsidR="00D935E9">
        <w:rPr>
          <w:sz w:val="22"/>
          <w:szCs w:val="22"/>
        </w:rPr>
        <w:t>645; Expiration Date: 2/28/2022</w:t>
      </w:r>
      <w:r w:rsidR="00CF52B3" w:rsidRPr="00603F8D">
        <w:rPr>
          <w:sz w:val="22"/>
          <w:szCs w:val="22"/>
        </w:rPr>
        <w:t>.</w:t>
      </w:r>
      <w:r w:rsidRPr="00603F8D">
        <w:rPr>
          <w:sz w:val="22"/>
          <w:szCs w:val="22"/>
        </w:rPr>
        <w:t xml:space="preserve">  </w:t>
      </w:r>
      <w:r w:rsidR="00CF52B3" w:rsidRPr="00603F8D">
        <w:rPr>
          <w:sz w:val="22"/>
          <w:szCs w:val="22"/>
        </w:rPr>
        <w:t xml:space="preserve">The original data collection was approved for visits to </w:t>
      </w:r>
      <w:r w:rsidR="00953D09" w:rsidRPr="00603F8D">
        <w:rPr>
          <w:sz w:val="22"/>
          <w:szCs w:val="22"/>
        </w:rPr>
        <w:t xml:space="preserve">6 States, with visits to </w:t>
      </w:r>
      <w:r w:rsidR="00CF52B3" w:rsidRPr="00603F8D">
        <w:rPr>
          <w:sz w:val="22"/>
          <w:szCs w:val="22"/>
        </w:rPr>
        <w:t xml:space="preserve">2 local SNAP offices and 3 E&amp;T providers in each </w:t>
      </w:r>
      <w:r w:rsidR="00953D09" w:rsidRPr="00603F8D">
        <w:rPr>
          <w:sz w:val="22"/>
          <w:szCs w:val="22"/>
        </w:rPr>
        <w:t>State (in total, 12 local SNAP offices and 18 E&amp;T providers)</w:t>
      </w:r>
      <w:r w:rsidR="00CF52B3" w:rsidRPr="00603F8D">
        <w:rPr>
          <w:sz w:val="22"/>
          <w:szCs w:val="22"/>
        </w:rPr>
        <w:t xml:space="preserve">. </w:t>
      </w:r>
      <w:r w:rsidR="00953D09" w:rsidRPr="00603F8D">
        <w:rPr>
          <w:sz w:val="22"/>
          <w:szCs w:val="22"/>
        </w:rPr>
        <w:t xml:space="preserve"> </w:t>
      </w:r>
      <w:r w:rsidR="00CF52B3" w:rsidRPr="00603F8D">
        <w:rPr>
          <w:sz w:val="22"/>
          <w:szCs w:val="22"/>
        </w:rPr>
        <w:t>However, due to recruitment challenges, only 3 States will be participating</w:t>
      </w:r>
      <w:r w:rsidR="00953D09" w:rsidRPr="00603F8D">
        <w:rPr>
          <w:sz w:val="22"/>
          <w:szCs w:val="22"/>
        </w:rPr>
        <w:t xml:space="preserve"> in the study</w:t>
      </w:r>
      <w:r w:rsidR="00CF52B3" w:rsidRPr="00603F8D">
        <w:rPr>
          <w:sz w:val="22"/>
          <w:szCs w:val="22"/>
        </w:rPr>
        <w:t xml:space="preserve">. To </w:t>
      </w:r>
      <w:r w:rsidR="00887E01" w:rsidRPr="00603F8D">
        <w:rPr>
          <w:sz w:val="22"/>
          <w:szCs w:val="22"/>
        </w:rPr>
        <w:t xml:space="preserve">ensure the data collection </w:t>
      </w:r>
      <w:r w:rsidR="00887E01">
        <w:rPr>
          <w:sz w:val="22"/>
          <w:szCs w:val="22"/>
        </w:rPr>
        <w:t xml:space="preserve">is broad enough to </w:t>
      </w:r>
      <w:r w:rsidR="00887E01" w:rsidRPr="00603F8D">
        <w:rPr>
          <w:sz w:val="22"/>
          <w:szCs w:val="22"/>
        </w:rPr>
        <w:t>adequately answer the research questions and study objectives</w:t>
      </w:r>
      <w:r w:rsidR="00953D09" w:rsidRPr="00603F8D">
        <w:rPr>
          <w:sz w:val="22"/>
          <w:szCs w:val="22"/>
        </w:rPr>
        <w:t xml:space="preserve">, we are </w:t>
      </w:r>
      <w:r w:rsidR="00887E01">
        <w:rPr>
          <w:sz w:val="22"/>
          <w:szCs w:val="22"/>
        </w:rPr>
        <w:t>planning</w:t>
      </w:r>
      <w:r w:rsidR="00953D09" w:rsidRPr="00603F8D">
        <w:rPr>
          <w:sz w:val="22"/>
          <w:szCs w:val="22"/>
        </w:rPr>
        <w:t xml:space="preserve"> to shift the location of some of the approved local visits to the participating States, so that data collection occurs in 3 local SNAP offices in each State (9 total) and 5 E&amp;T providers in each State (15 total). </w:t>
      </w:r>
      <w:r w:rsidR="00CF52B3" w:rsidRPr="00603F8D">
        <w:rPr>
          <w:sz w:val="22"/>
          <w:szCs w:val="22"/>
        </w:rPr>
        <w:t xml:space="preserve"> </w:t>
      </w:r>
      <w:r w:rsidR="00887E01">
        <w:rPr>
          <w:sz w:val="22"/>
          <w:szCs w:val="22"/>
        </w:rPr>
        <w:t>As shown in the tables below, t</w:t>
      </w:r>
      <w:r w:rsidR="00953D09" w:rsidRPr="00603F8D">
        <w:rPr>
          <w:sz w:val="22"/>
          <w:szCs w:val="22"/>
        </w:rPr>
        <w:t xml:space="preserve">hese changes would decrease the total burden estimate from 393 hours to 346.2 hours. </w:t>
      </w:r>
    </w:p>
    <w:p w14:paraId="4494CA49" w14:textId="77777777" w:rsidR="00953D09" w:rsidRDefault="00953D09" w:rsidP="00640B43">
      <w:pPr>
        <w:rPr>
          <w:sz w:val="22"/>
          <w:szCs w:val="22"/>
        </w:rPr>
      </w:pPr>
    </w:p>
    <w:p w14:paraId="2EAADB90" w14:textId="29189B75" w:rsidR="005916D6" w:rsidRDefault="00F52E2E" w:rsidP="00640B43">
      <w:pPr>
        <w:rPr>
          <w:sz w:val="22"/>
          <w:szCs w:val="22"/>
        </w:rPr>
      </w:pPr>
      <w:r>
        <w:rPr>
          <w:sz w:val="22"/>
          <w:szCs w:val="22"/>
        </w:rPr>
        <w:t>Although the</w:t>
      </w:r>
      <w:r w:rsidR="005916D6">
        <w:rPr>
          <w:sz w:val="22"/>
          <w:szCs w:val="22"/>
        </w:rPr>
        <w:t xml:space="preserve"> overall burden</w:t>
      </w:r>
      <w:r>
        <w:rPr>
          <w:sz w:val="22"/>
          <w:szCs w:val="22"/>
        </w:rPr>
        <w:t xml:space="preserve"> hours</w:t>
      </w:r>
      <w:r w:rsidR="005916D6">
        <w:rPr>
          <w:sz w:val="22"/>
          <w:szCs w:val="22"/>
        </w:rPr>
        <w:t xml:space="preserve"> will decrease, more activity will occur in each of the 3 participating States. </w:t>
      </w:r>
      <w:r w:rsidR="00051E34">
        <w:rPr>
          <w:sz w:val="22"/>
          <w:szCs w:val="22"/>
        </w:rPr>
        <w:t xml:space="preserve">Rather than visit 2 local SNAP offices per State (12 total), we intend to visit 3 per State (9 total). </w:t>
      </w:r>
      <w:r>
        <w:rPr>
          <w:sz w:val="22"/>
          <w:szCs w:val="22"/>
        </w:rPr>
        <w:t xml:space="preserve">This will decrease the total burden on local offices from 146.6 hours to 110.5 hours, but it will </w:t>
      </w:r>
      <w:r w:rsidR="00051E34">
        <w:rPr>
          <w:sz w:val="22"/>
          <w:szCs w:val="22"/>
        </w:rPr>
        <w:t xml:space="preserve">increase the burden on local offices in the </w:t>
      </w:r>
      <w:r>
        <w:rPr>
          <w:sz w:val="22"/>
          <w:szCs w:val="22"/>
        </w:rPr>
        <w:t xml:space="preserve">3 </w:t>
      </w:r>
      <w:r w:rsidR="00051E34">
        <w:rPr>
          <w:sz w:val="22"/>
          <w:szCs w:val="22"/>
        </w:rPr>
        <w:t>study States from 24.4 hours per State to 36.8 hours per State</w:t>
      </w:r>
      <w:r>
        <w:rPr>
          <w:sz w:val="22"/>
          <w:szCs w:val="22"/>
        </w:rPr>
        <w:t xml:space="preserve">. </w:t>
      </w:r>
      <w:r w:rsidR="00FF0B8E">
        <w:rPr>
          <w:sz w:val="22"/>
          <w:szCs w:val="22"/>
        </w:rPr>
        <w:t>Additionally, r</w:t>
      </w:r>
      <w:r w:rsidR="005916D6">
        <w:rPr>
          <w:sz w:val="22"/>
          <w:szCs w:val="22"/>
        </w:rPr>
        <w:t xml:space="preserve">ather than visit 3 E&amp;T providers (one for-profit, one non-profit, and one State provider) in 6 States, we intend to visit 5 providers (one for-profit, two non-profits, and two State providers) in the 3 study States. Overall, this will decrease the </w:t>
      </w:r>
      <w:r w:rsidR="00FF0B8E">
        <w:rPr>
          <w:sz w:val="22"/>
          <w:szCs w:val="22"/>
        </w:rPr>
        <w:t xml:space="preserve">total </w:t>
      </w:r>
      <w:r w:rsidR="005916D6">
        <w:rPr>
          <w:sz w:val="22"/>
          <w:szCs w:val="22"/>
        </w:rPr>
        <w:t xml:space="preserve">burden hours for </w:t>
      </w:r>
      <w:r w:rsidR="00FF0B8E">
        <w:rPr>
          <w:sz w:val="22"/>
          <w:szCs w:val="22"/>
        </w:rPr>
        <w:t>E&amp;T</w:t>
      </w:r>
      <w:r w:rsidR="005916D6">
        <w:rPr>
          <w:sz w:val="22"/>
          <w:szCs w:val="22"/>
        </w:rPr>
        <w:t xml:space="preserve"> providers from </w:t>
      </w:r>
      <w:r w:rsidR="00FF0B8E">
        <w:rPr>
          <w:sz w:val="22"/>
          <w:szCs w:val="22"/>
        </w:rPr>
        <w:t>121.5</w:t>
      </w:r>
      <w:r w:rsidR="005916D6">
        <w:rPr>
          <w:sz w:val="22"/>
          <w:szCs w:val="22"/>
        </w:rPr>
        <w:t xml:space="preserve"> to </w:t>
      </w:r>
      <w:r w:rsidR="00FF0B8E">
        <w:rPr>
          <w:sz w:val="22"/>
          <w:szCs w:val="22"/>
        </w:rPr>
        <w:t>110</w:t>
      </w:r>
      <w:r w:rsidR="005916D6">
        <w:rPr>
          <w:sz w:val="22"/>
          <w:szCs w:val="22"/>
        </w:rPr>
        <w:t>.8 hours</w:t>
      </w:r>
      <w:r w:rsidR="00FF0B8E">
        <w:rPr>
          <w:sz w:val="22"/>
          <w:szCs w:val="22"/>
        </w:rPr>
        <w:t>, but it will</w:t>
      </w:r>
      <w:r w:rsidR="005916D6">
        <w:rPr>
          <w:sz w:val="22"/>
          <w:szCs w:val="22"/>
        </w:rPr>
        <w:t xml:space="preserve"> </w:t>
      </w:r>
      <w:r w:rsidR="00FF0B8E">
        <w:rPr>
          <w:sz w:val="22"/>
          <w:szCs w:val="22"/>
        </w:rPr>
        <w:t>increase the burden on</w:t>
      </w:r>
      <w:r w:rsidR="00051E34">
        <w:rPr>
          <w:sz w:val="22"/>
          <w:szCs w:val="22"/>
        </w:rPr>
        <w:t xml:space="preserve"> E&amp;T providers</w:t>
      </w:r>
      <w:r w:rsidR="00FF0B8E">
        <w:rPr>
          <w:sz w:val="22"/>
          <w:szCs w:val="22"/>
        </w:rPr>
        <w:t xml:space="preserve"> per State from 20.3 to 36.9 hours</w:t>
      </w:r>
      <w:r w:rsidR="00051E34">
        <w:rPr>
          <w:sz w:val="22"/>
          <w:szCs w:val="22"/>
        </w:rPr>
        <w:t xml:space="preserve">. </w:t>
      </w:r>
      <w:r w:rsidR="005916D6">
        <w:rPr>
          <w:sz w:val="22"/>
          <w:szCs w:val="22"/>
        </w:rPr>
        <w:t xml:space="preserve"> </w:t>
      </w:r>
    </w:p>
    <w:p w14:paraId="6BB5FE93" w14:textId="77777777" w:rsidR="005916D6" w:rsidRPr="00603F8D" w:rsidRDefault="005916D6" w:rsidP="00640B43">
      <w:pPr>
        <w:rPr>
          <w:sz w:val="22"/>
          <w:szCs w:val="22"/>
        </w:rPr>
      </w:pPr>
    </w:p>
    <w:p w14:paraId="15591271" w14:textId="77777777" w:rsidR="004431C5" w:rsidRPr="00603F8D" w:rsidRDefault="00C2074A" w:rsidP="00F52E2E">
      <w:pPr>
        <w:tabs>
          <w:tab w:val="left" w:pos="270"/>
          <w:tab w:val="left" w:pos="1440"/>
          <w:tab w:val="left" w:pos="3960"/>
        </w:tabs>
        <w:rPr>
          <w:sz w:val="22"/>
          <w:szCs w:val="22"/>
        </w:rPr>
      </w:pPr>
      <w:r w:rsidRPr="00603F8D">
        <w:rPr>
          <w:sz w:val="22"/>
          <w:szCs w:val="22"/>
        </w:rPr>
        <w:t xml:space="preserve">If you have any questions regarding this request, please contact </w:t>
      </w:r>
      <w:r w:rsidR="00BC7F12" w:rsidRPr="00603F8D">
        <w:rPr>
          <w:sz w:val="22"/>
          <w:szCs w:val="22"/>
        </w:rPr>
        <w:t>Rachelle Ragland-Greene</w:t>
      </w:r>
      <w:r w:rsidR="00091B9A" w:rsidRPr="00603F8D">
        <w:rPr>
          <w:sz w:val="22"/>
          <w:szCs w:val="22"/>
        </w:rPr>
        <w:t xml:space="preserve">, </w:t>
      </w:r>
      <w:r w:rsidR="00BC7F12" w:rsidRPr="00603F8D">
        <w:rPr>
          <w:sz w:val="22"/>
          <w:szCs w:val="22"/>
        </w:rPr>
        <w:t>FNS Information Collection Officer</w:t>
      </w:r>
      <w:r w:rsidR="00091B9A" w:rsidRPr="00603F8D">
        <w:rPr>
          <w:sz w:val="22"/>
          <w:szCs w:val="22"/>
        </w:rPr>
        <w:t xml:space="preserve"> for</w:t>
      </w:r>
      <w:r w:rsidRPr="00603F8D">
        <w:rPr>
          <w:sz w:val="22"/>
          <w:szCs w:val="22"/>
        </w:rPr>
        <w:t xml:space="preserve"> the Food and Nutrition Service, </w:t>
      </w:r>
      <w:r w:rsidR="001D2830" w:rsidRPr="00603F8D">
        <w:rPr>
          <w:sz w:val="22"/>
          <w:szCs w:val="22"/>
        </w:rPr>
        <w:t xml:space="preserve">Planning &amp; Regulatory Affairs </w:t>
      </w:r>
      <w:r w:rsidR="00A63351" w:rsidRPr="00603F8D">
        <w:rPr>
          <w:sz w:val="22"/>
          <w:szCs w:val="22"/>
        </w:rPr>
        <w:t xml:space="preserve">Office </w:t>
      </w:r>
      <w:r w:rsidRPr="00603F8D">
        <w:rPr>
          <w:sz w:val="22"/>
          <w:szCs w:val="22"/>
        </w:rPr>
        <w:t xml:space="preserve">at (703) </w:t>
      </w:r>
      <w:r w:rsidR="00BC7F12" w:rsidRPr="00603F8D">
        <w:rPr>
          <w:sz w:val="22"/>
          <w:szCs w:val="22"/>
        </w:rPr>
        <w:t>305-2586</w:t>
      </w:r>
      <w:r w:rsidRPr="00603F8D">
        <w:rPr>
          <w:sz w:val="22"/>
          <w:szCs w:val="22"/>
        </w:rPr>
        <w:t>.</w:t>
      </w:r>
      <w:r w:rsidR="00CD5D44" w:rsidRPr="00603F8D">
        <w:rPr>
          <w:sz w:val="22"/>
          <w:szCs w:val="22"/>
        </w:rPr>
        <w:t xml:space="preserve"> </w:t>
      </w:r>
      <w:r w:rsidR="00CD5D44" w:rsidRPr="00603F8D">
        <w:rPr>
          <w:sz w:val="22"/>
          <w:szCs w:val="22"/>
        </w:rPr>
        <w:tab/>
      </w:r>
    </w:p>
    <w:p w14:paraId="15253D8A" w14:textId="77777777" w:rsidR="005D7DDE" w:rsidRDefault="005D7DD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50B68B5B" w14:textId="2D173A32" w:rsidR="005D7DDE" w:rsidRDefault="005D7DD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6F206C19" w14:textId="028FD7A0" w:rsidR="00FF0B8E" w:rsidRDefault="00FF0B8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634FD809" w14:textId="4EA28A7A" w:rsidR="00FF0B8E" w:rsidRDefault="00FF0B8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4CA7370C" w14:textId="1C280FD2" w:rsidR="00FF0B8E" w:rsidRDefault="00FF0B8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47F3BC5C" w14:textId="061A801D" w:rsidR="00FF0B8E" w:rsidRDefault="00FF0B8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41B18FD5" w14:textId="16EE2951" w:rsidR="00FF0B8E" w:rsidRDefault="00FF0B8E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49B3B7A1" w14:textId="41D55006" w:rsidR="00F93439" w:rsidRDefault="00F93439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2F6BDC9C" w14:textId="77777777" w:rsidR="00F93439" w:rsidRDefault="00F93439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tbl>
      <w:tblPr>
        <w:tblStyle w:val="GridTable4"/>
        <w:tblpPr w:leftFromText="180" w:rightFromText="180" w:vertAnchor="text" w:horzAnchor="margin" w:tblpY="536"/>
        <w:tblW w:w="9061" w:type="dxa"/>
        <w:tblLook w:val="04A0" w:firstRow="1" w:lastRow="0" w:firstColumn="1" w:lastColumn="0" w:noHBand="0" w:noVBand="1"/>
      </w:tblPr>
      <w:tblGrid>
        <w:gridCol w:w="1555"/>
        <w:gridCol w:w="3617"/>
        <w:gridCol w:w="3889"/>
      </w:tblGrid>
      <w:tr w:rsidR="005D7DDE" w:rsidRPr="00603F8D" w14:paraId="7AE8A5BE" w14:textId="77777777" w:rsidTr="005D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0D130E" w14:textId="77777777" w:rsidR="005D7DDE" w:rsidRPr="00603F8D" w:rsidRDefault="005D7DDE" w:rsidP="005D7DDE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617" w:type="dxa"/>
          </w:tcPr>
          <w:p w14:paraId="3EA0B044" w14:textId="77777777" w:rsidR="005D7DDE" w:rsidRPr="00603F8D" w:rsidRDefault="005D7DDE" w:rsidP="005D7D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Approved</w:t>
            </w:r>
          </w:p>
        </w:tc>
        <w:tc>
          <w:tcPr>
            <w:tcW w:w="3889" w:type="dxa"/>
          </w:tcPr>
          <w:p w14:paraId="3596F2AD" w14:textId="77777777" w:rsidR="005D7DDE" w:rsidRPr="00603F8D" w:rsidRDefault="005D7DDE" w:rsidP="005D7D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Proposed</w:t>
            </w:r>
          </w:p>
        </w:tc>
      </w:tr>
      <w:tr w:rsidR="005D7DDE" w:rsidRPr="00603F8D" w14:paraId="3DA88A84" w14:textId="77777777" w:rsidTr="005D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2B747E" w14:textId="77777777" w:rsidR="005D7DDE" w:rsidRPr="00603F8D" w:rsidRDefault="005D7DDE" w:rsidP="005D7DDE">
            <w:pPr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Visits to States</w:t>
            </w:r>
          </w:p>
        </w:tc>
        <w:tc>
          <w:tcPr>
            <w:tcW w:w="3617" w:type="dxa"/>
          </w:tcPr>
          <w:p w14:paraId="0020D307" w14:textId="77777777" w:rsidR="005D7DDE" w:rsidRPr="00603F8D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6 States</w:t>
            </w:r>
          </w:p>
        </w:tc>
        <w:tc>
          <w:tcPr>
            <w:tcW w:w="3889" w:type="dxa"/>
          </w:tcPr>
          <w:p w14:paraId="064C7170" w14:textId="77777777" w:rsidR="005D7DDE" w:rsidRPr="00603F8D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3 States</w:t>
            </w:r>
          </w:p>
        </w:tc>
      </w:tr>
      <w:tr w:rsidR="005D7DDE" w:rsidRPr="00603F8D" w14:paraId="5887FAD9" w14:textId="77777777" w:rsidTr="005D7DD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D6ADFA" w14:textId="77777777" w:rsidR="005D7DDE" w:rsidRPr="00603F8D" w:rsidRDefault="005D7DDE" w:rsidP="005D7DDE">
            <w:pPr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Visits to local SNAP offices</w:t>
            </w:r>
          </w:p>
        </w:tc>
        <w:tc>
          <w:tcPr>
            <w:tcW w:w="3617" w:type="dxa"/>
          </w:tcPr>
          <w:p w14:paraId="17DD101D" w14:textId="77777777" w:rsidR="005D7DDE" w:rsidRPr="00603F8D" w:rsidRDefault="005D7DDE" w:rsidP="005D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2 local offices per State (12 total)</w:t>
            </w:r>
          </w:p>
        </w:tc>
        <w:tc>
          <w:tcPr>
            <w:tcW w:w="3889" w:type="dxa"/>
          </w:tcPr>
          <w:p w14:paraId="16BFD62B" w14:textId="77777777" w:rsidR="005D7DDE" w:rsidRPr="00603F8D" w:rsidRDefault="005D7DDE" w:rsidP="005D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3 local SNAP offices per State (9 total)</w:t>
            </w:r>
          </w:p>
        </w:tc>
      </w:tr>
      <w:tr w:rsidR="005D7DDE" w:rsidRPr="00603F8D" w14:paraId="10E4170F" w14:textId="77777777" w:rsidTr="005D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AF3EC1" w14:textId="77777777" w:rsidR="005D7DDE" w:rsidRPr="00603F8D" w:rsidRDefault="005D7DDE" w:rsidP="005D7DDE">
            <w:pPr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SNAP staff</w:t>
            </w:r>
            <w:r>
              <w:rPr>
                <w:sz w:val="22"/>
                <w:szCs w:val="22"/>
              </w:rPr>
              <w:t xml:space="preserve"> interviews</w:t>
            </w:r>
          </w:p>
        </w:tc>
        <w:tc>
          <w:tcPr>
            <w:tcW w:w="3617" w:type="dxa"/>
          </w:tcPr>
          <w:p w14:paraId="25076FD8" w14:textId="77777777" w:rsidR="005D7DD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36 total</w:t>
            </w:r>
            <w:r>
              <w:rPr>
                <w:sz w:val="22"/>
                <w:szCs w:val="22"/>
              </w:rPr>
              <w:t xml:space="preserve"> (3 interviews per local office</w:t>
            </w:r>
            <w:r w:rsidRPr="00603F8D">
              <w:rPr>
                <w:sz w:val="22"/>
                <w:szCs w:val="22"/>
              </w:rPr>
              <w:t>)</w:t>
            </w:r>
          </w:p>
          <w:p w14:paraId="295A8384" w14:textId="77777777" w:rsidR="005D7DDE" w:rsidRPr="00F52E2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07434D3" w14:textId="77777777" w:rsidR="005D7DD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total (</w:t>
            </w:r>
            <w:r w:rsidRPr="00603F8D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interviews </w:t>
            </w:r>
            <w:r w:rsidRPr="00603F8D">
              <w:rPr>
                <w:sz w:val="22"/>
                <w:szCs w:val="22"/>
              </w:rPr>
              <w:t>per l</w:t>
            </w:r>
            <w:r>
              <w:rPr>
                <w:sz w:val="22"/>
                <w:szCs w:val="22"/>
              </w:rPr>
              <w:t>ocal office)</w:t>
            </w:r>
          </w:p>
          <w:p w14:paraId="551B3C45" w14:textId="77777777" w:rsidR="005D7DDE" w:rsidRPr="00603F8D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7DDE" w:rsidRPr="00603F8D" w14:paraId="7F7CBBF4" w14:textId="77777777" w:rsidTr="005D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5554D2" w14:textId="77777777" w:rsidR="005D7DDE" w:rsidRDefault="005D7DDE" w:rsidP="005D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Visits to E&amp;T providers</w:t>
            </w:r>
          </w:p>
        </w:tc>
        <w:tc>
          <w:tcPr>
            <w:tcW w:w="3617" w:type="dxa"/>
          </w:tcPr>
          <w:p w14:paraId="79A3C2DE" w14:textId="77777777" w:rsidR="005D7DDE" w:rsidRPr="00603F8D" w:rsidRDefault="005D7DDE" w:rsidP="005D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providers per State (18 total)</w:t>
            </w:r>
          </w:p>
        </w:tc>
        <w:tc>
          <w:tcPr>
            <w:tcW w:w="3889" w:type="dxa"/>
          </w:tcPr>
          <w:p w14:paraId="1A77C2E6" w14:textId="77777777" w:rsidR="005D7DDE" w:rsidRPr="00603F8D" w:rsidRDefault="005D7DDE" w:rsidP="005D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providers per State (15 total)</w:t>
            </w:r>
          </w:p>
        </w:tc>
      </w:tr>
      <w:tr w:rsidR="005D7DDE" w:rsidRPr="00603F8D" w14:paraId="2457A57F" w14:textId="77777777" w:rsidTr="005D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438E00" w14:textId="77777777" w:rsidR="005D7DDE" w:rsidRPr="00603F8D" w:rsidRDefault="005D7DDE" w:rsidP="005D7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E&amp;T staff interviews</w:t>
            </w:r>
          </w:p>
        </w:tc>
        <w:tc>
          <w:tcPr>
            <w:tcW w:w="3617" w:type="dxa"/>
          </w:tcPr>
          <w:p w14:paraId="0DAB9AB4" w14:textId="77777777" w:rsidR="005D7DD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54 total</w:t>
            </w:r>
            <w:r>
              <w:rPr>
                <w:sz w:val="22"/>
                <w:szCs w:val="22"/>
              </w:rPr>
              <w:t xml:space="preserve"> (</w:t>
            </w:r>
            <w:r w:rsidRPr="00603F8D">
              <w:rPr>
                <w:sz w:val="22"/>
                <w:szCs w:val="22"/>
              </w:rPr>
              <w:t>3 interviews per provider)</w:t>
            </w:r>
          </w:p>
          <w:p w14:paraId="0B5A92E2" w14:textId="77777777" w:rsidR="005D7DDE" w:rsidRPr="00F52E2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2CC19104" w14:textId="77777777" w:rsidR="005D7DDE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45 total</w:t>
            </w:r>
            <w:r>
              <w:rPr>
                <w:sz w:val="22"/>
                <w:szCs w:val="22"/>
              </w:rPr>
              <w:t xml:space="preserve"> (</w:t>
            </w:r>
            <w:r w:rsidRPr="00603F8D">
              <w:rPr>
                <w:sz w:val="22"/>
                <w:szCs w:val="22"/>
              </w:rPr>
              <w:t>3 interviews per provider)</w:t>
            </w:r>
          </w:p>
          <w:p w14:paraId="18E500AD" w14:textId="77777777" w:rsidR="005D7DDE" w:rsidRPr="00603F8D" w:rsidRDefault="005D7DDE" w:rsidP="005D7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174B8E6" w14:textId="77777777" w:rsidR="00561B5A" w:rsidRDefault="005D7DDE" w:rsidP="007559A1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  <w:r w:rsidRPr="005D7DDE">
        <w:rPr>
          <w:b/>
          <w:sz w:val="22"/>
          <w:szCs w:val="22"/>
        </w:rPr>
        <w:t>Table 1.  Approved activities and proposed activities</w:t>
      </w:r>
    </w:p>
    <w:p w14:paraId="05E63F80" w14:textId="77777777" w:rsidR="005D7DDE" w:rsidRDefault="005D7DDE" w:rsidP="007559A1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p w14:paraId="6D1ED336" w14:textId="77777777" w:rsidR="005D7DDE" w:rsidRDefault="005D7DDE" w:rsidP="007559A1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p w14:paraId="5299A3EB" w14:textId="77777777" w:rsidR="005D7DDE" w:rsidRDefault="005D7DDE" w:rsidP="007559A1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tbl>
      <w:tblPr>
        <w:tblStyle w:val="GridTable4"/>
        <w:tblpPr w:leftFromText="180" w:rightFromText="180" w:vertAnchor="text" w:horzAnchor="margin" w:tblpY="588"/>
        <w:tblW w:w="9018" w:type="dxa"/>
        <w:tblLook w:val="04A0" w:firstRow="1" w:lastRow="0" w:firstColumn="1" w:lastColumn="0" w:noHBand="0" w:noVBand="1"/>
      </w:tblPr>
      <w:tblGrid>
        <w:gridCol w:w="1548"/>
        <w:gridCol w:w="3600"/>
        <w:gridCol w:w="3870"/>
      </w:tblGrid>
      <w:tr w:rsidR="00221739" w:rsidRPr="00603F8D" w14:paraId="1357506B" w14:textId="77777777" w:rsidTr="00221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B325E63" w14:textId="77777777" w:rsidR="00221739" w:rsidRPr="00603F8D" w:rsidRDefault="00221739" w:rsidP="0022173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65BEB03" w14:textId="77777777" w:rsidR="00221739" w:rsidRPr="00603F8D" w:rsidRDefault="00221739" w:rsidP="0022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Approved</w:t>
            </w:r>
          </w:p>
        </w:tc>
        <w:tc>
          <w:tcPr>
            <w:tcW w:w="3870" w:type="dxa"/>
          </w:tcPr>
          <w:p w14:paraId="0F538D10" w14:textId="77777777" w:rsidR="00221739" w:rsidRPr="00603F8D" w:rsidRDefault="00221739" w:rsidP="002217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Proposed</w:t>
            </w:r>
          </w:p>
        </w:tc>
      </w:tr>
      <w:tr w:rsidR="00221739" w:rsidRPr="00603F8D" w14:paraId="0BF0F2DB" w14:textId="77777777" w:rsidTr="002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7B4D5CA" w14:textId="77777777" w:rsidR="00221739" w:rsidRPr="00603F8D" w:rsidRDefault="00221739" w:rsidP="00221739">
            <w:pPr>
              <w:rPr>
                <w:sz w:val="22"/>
                <w:szCs w:val="22"/>
              </w:rPr>
            </w:pPr>
            <w:r w:rsidRPr="00603F8D">
              <w:rPr>
                <w:sz w:val="22"/>
                <w:szCs w:val="22"/>
              </w:rPr>
              <w:t>SNAP staff</w:t>
            </w:r>
            <w:r>
              <w:rPr>
                <w:sz w:val="22"/>
                <w:szCs w:val="22"/>
              </w:rPr>
              <w:t xml:space="preserve"> interviews</w:t>
            </w:r>
          </w:p>
        </w:tc>
        <w:tc>
          <w:tcPr>
            <w:tcW w:w="3600" w:type="dxa"/>
          </w:tcPr>
          <w:p w14:paraId="0F7A73B6" w14:textId="77777777" w:rsidR="00221739" w:rsidRPr="00603F8D" w:rsidRDefault="00221739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2E2E">
              <w:rPr>
                <w:sz w:val="22"/>
                <w:szCs w:val="22"/>
              </w:rPr>
              <w:t>146.6 burden hours</w:t>
            </w:r>
          </w:p>
        </w:tc>
        <w:tc>
          <w:tcPr>
            <w:tcW w:w="3870" w:type="dxa"/>
          </w:tcPr>
          <w:p w14:paraId="67B5D1F9" w14:textId="77777777" w:rsidR="00221739" w:rsidRPr="00F52E2E" w:rsidRDefault="00221739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2E2E">
              <w:rPr>
                <w:sz w:val="22"/>
                <w:szCs w:val="22"/>
              </w:rPr>
              <w:t>110.5 burden hours</w:t>
            </w:r>
          </w:p>
          <w:p w14:paraId="45453AE3" w14:textId="77777777" w:rsidR="00221739" w:rsidRPr="00603F8D" w:rsidRDefault="00221739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21739" w:rsidRPr="00603F8D" w14:paraId="32D47AED" w14:textId="77777777" w:rsidTr="00221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5A16D9D" w14:textId="77777777" w:rsidR="00221739" w:rsidRPr="00603F8D" w:rsidRDefault="00221739" w:rsidP="002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E&amp;T staff interviews</w:t>
            </w:r>
          </w:p>
        </w:tc>
        <w:tc>
          <w:tcPr>
            <w:tcW w:w="3600" w:type="dxa"/>
          </w:tcPr>
          <w:p w14:paraId="0CF6E067" w14:textId="77777777" w:rsidR="00221739" w:rsidRPr="00F52E2E" w:rsidRDefault="00221739" w:rsidP="00221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2E2E">
              <w:rPr>
                <w:sz w:val="22"/>
                <w:szCs w:val="22"/>
              </w:rPr>
              <w:t>121.5 burden hours</w:t>
            </w:r>
          </w:p>
        </w:tc>
        <w:tc>
          <w:tcPr>
            <w:tcW w:w="3870" w:type="dxa"/>
          </w:tcPr>
          <w:p w14:paraId="760B8404" w14:textId="77777777" w:rsidR="00221739" w:rsidRPr="00603F8D" w:rsidRDefault="00221739" w:rsidP="00221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52E2E">
              <w:rPr>
                <w:sz w:val="22"/>
                <w:szCs w:val="22"/>
              </w:rPr>
              <w:t>110.8</w:t>
            </w:r>
            <w:r>
              <w:rPr>
                <w:sz w:val="22"/>
                <w:szCs w:val="22"/>
              </w:rPr>
              <w:t xml:space="preserve"> burden hours</w:t>
            </w:r>
          </w:p>
        </w:tc>
      </w:tr>
      <w:tr w:rsidR="0028438A" w:rsidRPr="00603F8D" w14:paraId="5D78EE6C" w14:textId="77777777" w:rsidTr="002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1F60CCA" w14:textId="396F2A72" w:rsidR="0028438A" w:rsidRPr="005D0C36" w:rsidRDefault="0028438A" w:rsidP="00221739">
            <w:pPr>
              <w:rPr>
                <w:sz w:val="22"/>
                <w:szCs w:val="22"/>
              </w:rPr>
            </w:pPr>
            <w:r w:rsidRPr="005D0C36">
              <w:rPr>
                <w:sz w:val="22"/>
                <w:szCs w:val="22"/>
              </w:rPr>
              <w:t>Individuals &amp; Households</w:t>
            </w:r>
          </w:p>
        </w:tc>
        <w:tc>
          <w:tcPr>
            <w:tcW w:w="3600" w:type="dxa"/>
          </w:tcPr>
          <w:p w14:paraId="67557C0B" w14:textId="052334B9" w:rsidR="0028438A" w:rsidRPr="005D0C36" w:rsidRDefault="0028438A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0C36">
              <w:rPr>
                <w:sz w:val="22"/>
                <w:szCs w:val="22"/>
              </w:rPr>
              <w:t>30.0 burden hours</w:t>
            </w:r>
          </w:p>
        </w:tc>
        <w:tc>
          <w:tcPr>
            <w:tcW w:w="3870" w:type="dxa"/>
          </w:tcPr>
          <w:p w14:paraId="5584A9F5" w14:textId="41DD1364" w:rsidR="0028438A" w:rsidRPr="005D0C36" w:rsidRDefault="0028438A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0C36">
              <w:rPr>
                <w:sz w:val="22"/>
                <w:szCs w:val="22"/>
              </w:rPr>
              <w:t>30.0 burden hours</w:t>
            </w:r>
          </w:p>
        </w:tc>
      </w:tr>
      <w:tr w:rsidR="00221739" w:rsidRPr="00603F8D" w14:paraId="78148AE1" w14:textId="77777777" w:rsidTr="00221739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C7C981D" w14:textId="77777777" w:rsidR="00221739" w:rsidRPr="00603F8D" w:rsidRDefault="00221739" w:rsidP="002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other activities</w:t>
            </w:r>
          </w:p>
        </w:tc>
        <w:tc>
          <w:tcPr>
            <w:tcW w:w="3600" w:type="dxa"/>
          </w:tcPr>
          <w:p w14:paraId="72E444FB" w14:textId="4AEF2ABF" w:rsidR="00221739" w:rsidRPr="00F52E2E" w:rsidRDefault="00852686" w:rsidP="00221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  <w:r w:rsidR="00221739" w:rsidRPr="00F52E2E">
              <w:rPr>
                <w:sz w:val="22"/>
                <w:szCs w:val="22"/>
              </w:rPr>
              <w:t xml:space="preserve"> burden hours</w:t>
            </w:r>
          </w:p>
        </w:tc>
        <w:tc>
          <w:tcPr>
            <w:tcW w:w="3870" w:type="dxa"/>
          </w:tcPr>
          <w:p w14:paraId="3A375715" w14:textId="5447C6B0" w:rsidR="00221739" w:rsidRPr="00603F8D" w:rsidRDefault="00852686" w:rsidP="00221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  <w:r w:rsidR="00221739" w:rsidRPr="00F52E2E">
              <w:rPr>
                <w:sz w:val="22"/>
                <w:szCs w:val="22"/>
              </w:rPr>
              <w:t xml:space="preserve"> burden hours</w:t>
            </w:r>
          </w:p>
        </w:tc>
      </w:tr>
      <w:tr w:rsidR="00221739" w:rsidRPr="00603F8D" w14:paraId="382A89B3" w14:textId="77777777" w:rsidTr="002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720DA2A" w14:textId="77777777" w:rsidR="00221739" w:rsidRPr="00603F8D" w:rsidRDefault="00221739" w:rsidP="002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3600" w:type="dxa"/>
          </w:tcPr>
          <w:p w14:paraId="525E63FC" w14:textId="77777777" w:rsidR="00221739" w:rsidRPr="005D7DDE" w:rsidRDefault="00221739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burden hours</w:t>
            </w:r>
          </w:p>
        </w:tc>
        <w:tc>
          <w:tcPr>
            <w:tcW w:w="3870" w:type="dxa"/>
          </w:tcPr>
          <w:p w14:paraId="0A2E9583" w14:textId="77777777" w:rsidR="00221739" w:rsidRPr="005D7DDE" w:rsidRDefault="00221739" w:rsidP="00221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346.2 burden hours</w:t>
            </w:r>
          </w:p>
        </w:tc>
      </w:tr>
    </w:tbl>
    <w:p w14:paraId="52F159F7" w14:textId="77777777" w:rsidR="008519EC" w:rsidRPr="003667CC" w:rsidRDefault="00221739" w:rsidP="007559A1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D7DDE">
        <w:rPr>
          <w:b/>
          <w:sz w:val="22"/>
          <w:szCs w:val="22"/>
        </w:rPr>
        <w:t>Table 2. Approved burden hours and proposed burden hours</w:t>
      </w:r>
    </w:p>
    <w:sectPr w:rsidR="008519EC" w:rsidRPr="003667CC" w:rsidSect="005D7DDE">
      <w:footerReference w:type="default" r:id="rId9"/>
      <w:pgSz w:w="12240" w:h="15840" w:code="1"/>
      <w:pgMar w:top="1440" w:right="1800" w:bottom="360" w:left="180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FDD4" w14:textId="77777777" w:rsidR="00C27B32" w:rsidRDefault="00C27B32">
      <w:r>
        <w:separator/>
      </w:r>
    </w:p>
  </w:endnote>
  <w:endnote w:type="continuationSeparator" w:id="0">
    <w:p w14:paraId="2A61E0FC" w14:textId="77777777" w:rsidR="00C27B32" w:rsidRDefault="00C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746951"/>
      <w:docPartObj>
        <w:docPartGallery w:val="Page Numbers (Bottom of Page)"/>
        <w:docPartUnique/>
      </w:docPartObj>
    </w:sdtPr>
    <w:sdtEndPr/>
    <w:sdtContent>
      <w:p w14:paraId="01E28E47" w14:textId="6948B5FC" w:rsidR="00A86AE3" w:rsidRDefault="006A31B6" w:rsidP="00CC18A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4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78EF5D" w14:textId="77777777" w:rsidR="00A86AE3" w:rsidRDefault="00A86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C17C7" w14:textId="77777777" w:rsidR="00C27B32" w:rsidRDefault="00C27B32">
      <w:r>
        <w:separator/>
      </w:r>
    </w:p>
  </w:footnote>
  <w:footnote w:type="continuationSeparator" w:id="0">
    <w:p w14:paraId="797FE902" w14:textId="77777777" w:rsidR="00C27B32" w:rsidRDefault="00C2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818"/>
    <w:multiLevelType w:val="hybridMultilevel"/>
    <w:tmpl w:val="2DBC0E30"/>
    <w:lvl w:ilvl="0" w:tplc="FBC2F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A300B"/>
    <w:multiLevelType w:val="hybridMultilevel"/>
    <w:tmpl w:val="1C2C48CC"/>
    <w:lvl w:ilvl="0" w:tplc="60AE47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0"/>
    <w:rsid w:val="000145B6"/>
    <w:rsid w:val="00021092"/>
    <w:rsid w:val="00051E34"/>
    <w:rsid w:val="00064345"/>
    <w:rsid w:val="00091B9A"/>
    <w:rsid w:val="000942AD"/>
    <w:rsid w:val="000963A3"/>
    <w:rsid w:val="000A2FDE"/>
    <w:rsid w:val="000E1557"/>
    <w:rsid w:val="000E3060"/>
    <w:rsid w:val="000E3280"/>
    <w:rsid w:val="000E365C"/>
    <w:rsid w:val="000E69E5"/>
    <w:rsid w:val="001024E3"/>
    <w:rsid w:val="001102B3"/>
    <w:rsid w:val="001236B5"/>
    <w:rsid w:val="001702D8"/>
    <w:rsid w:val="00195667"/>
    <w:rsid w:val="001A4191"/>
    <w:rsid w:val="001B1BEE"/>
    <w:rsid w:val="001B47C9"/>
    <w:rsid w:val="001B5FB5"/>
    <w:rsid w:val="001C7F8E"/>
    <w:rsid w:val="001D2830"/>
    <w:rsid w:val="001D4FD0"/>
    <w:rsid w:val="001F20C9"/>
    <w:rsid w:val="00204319"/>
    <w:rsid w:val="00214864"/>
    <w:rsid w:val="00221739"/>
    <w:rsid w:val="00221898"/>
    <w:rsid w:val="0023499B"/>
    <w:rsid w:val="0026587C"/>
    <w:rsid w:val="00265FA2"/>
    <w:rsid w:val="0028438A"/>
    <w:rsid w:val="00287359"/>
    <w:rsid w:val="00293E4C"/>
    <w:rsid w:val="002A0B23"/>
    <w:rsid w:val="002A795E"/>
    <w:rsid w:val="002C2026"/>
    <w:rsid w:val="002D3230"/>
    <w:rsid w:val="002E0385"/>
    <w:rsid w:val="002E43A3"/>
    <w:rsid w:val="002E60EF"/>
    <w:rsid w:val="002F6473"/>
    <w:rsid w:val="0031468B"/>
    <w:rsid w:val="0034544B"/>
    <w:rsid w:val="003667CC"/>
    <w:rsid w:val="00375440"/>
    <w:rsid w:val="003800A1"/>
    <w:rsid w:val="003A530B"/>
    <w:rsid w:val="003B3E0A"/>
    <w:rsid w:val="003B45EF"/>
    <w:rsid w:val="003B51D4"/>
    <w:rsid w:val="003C64A7"/>
    <w:rsid w:val="003E62B3"/>
    <w:rsid w:val="004431C5"/>
    <w:rsid w:val="004475CC"/>
    <w:rsid w:val="004C13CA"/>
    <w:rsid w:val="004E6D28"/>
    <w:rsid w:val="004F1D58"/>
    <w:rsid w:val="004F3E2A"/>
    <w:rsid w:val="00512261"/>
    <w:rsid w:val="00516483"/>
    <w:rsid w:val="005179B5"/>
    <w:rsid w:val="0052189D"/>
    <w:rsid w:val="0052521C"/>
    <w:rsid w:val="00541267"/>
    <w:rsid w:val="00560719"/>
    <w:rsid w:val="00561B5A"/>
    <w:rsid w:val="00563C32"/>
    <w:rsid w:val="005916D6"/>
    <w:rsid w:val="005A61E9"/>
    <w:rsid w:val="005B1BD6"/>
    <w:rsid w:val="005B3A1F"/>
    <w:rsid w:val="005D0C36"/>
    <w:rsid w:val="005D7DDE"/>
    <w:rsid w:val="00603F8D"/>
    <w:rsid w:val="006041AC"/>
    <w:rsid w:val="006043E4"/>
    <w:rsid w:val="00615262"/>
    <w:rsid w:val="0062762F"/>
    <w:rsid w:val="00640B43"/>
    <w:rsid w:val="00645F94"/>
    <w:rsid w:val="006629A1"/>
    <w:rsid w:val="00663935"/>
    <w:rsid w:val="0066542F"/>
    <w:rsid w:val="006959BB"/>
    <w:rsid w:val="006A17D0"/>
    <w:rsid w:val="006A31B6"/>
    <w:rsid w:val="006C191D"/>
    <w:rsid w:val="006F47C3"/>
    <w:rsid w:val="006F7AE3"/>
    <w:rsid w:val="00704306"/>
    <w:rsid w:val="00706A79"/>
    <w:rsid w:val="007301C0"/>
    <w:rsid w:val="007429FA"/>
    <w:rsid w:val="007559A1"/>
    <w:rsid w:val="00757A9C"/>
    <w:rsid w:val="007730AA"/>
    <w:rsid w:val="00783843"/>
    <w:rsid w:val="007B13D5"/>
    <w:rsid w:val="007B6AEF"/>
    <w:rsid w:val="008069D6"/>
    <w:rsid w:val="00814E72"/>
    <w:rsid w:val="00823E31"/>
    <w:rsid w:val="008309F1"/>
    <w:rsid w:val="008519EC"/>
    <w:rsid w:val="00852686"/>
    <w:rsid w:val="00855A2E"/>
    <w:rsid w:val="008739ED"/>
    <w:rsid w:val="0088072F"/>
    <w:rsid w:val="0088143D"/>
    <w:rsid w:val="00887E01"/>
    <w:rsid w:val="008C2F10"/>
    <w:rsid w:val="008C45EF"/>
    <w:rsid w:val="008D0559"/>
    <w:rsid w:val="008E0A1F"/>
    <w:rsid w:val="008E45F3"/>
    <w:rsid w:val="008F1C8B"/>
    <w:rsid w:val="008F6931"/>
    <w:rsid w:val="00944B01"/>
    <w:rsid w:val="009466F2"/>
    <w:rsid w:val="00953D09"/>
    <w:rsid w:val="0098070F"/>
    <w:rsid w:val="009966AE"/>
    <w:rsid w:val="009A4DD5"/>
    <w:rsid w:val="009B5E21"/>
    <w:rsid w:val="009C5D1B"/>
    <w:rsid w:val="009D1FF8"/>
    <w:rsid w:val="009E6A7B"/>
    <w:rsid w:val="009F46D5"/>
    <w:rsid w:val="00A14422"/>
    <w:rsid w:val="00A3603D"/>
    <w:rsid w:val="00A63351"/>
    <w:rsid w:val="00A67B93"/>
    <w:rsid w:val="00A749EA"/>
    <w:rsid w:val="00A86AE3"/>
    <w:rsid w:val="00A9042F"/>
    <w:rsid w:val="00A91556"/>
    <w:rsid w:val="00AB1863"/>
    <w:rsid w:val="00AB2609"/>
    <w:rsid w:val="00AB2ED5"/>
    <w:rsid w:val="00AC66B4"/>
    <w:rsid w:val="00AD2D0D"/>
    <w:rsid w:val="00AE378D"/>
    <w:rsid w:val="00AF0CB9"/>
    <w:rsid w:val="00AF156B"/>
    <w:rsid w:val="00B01EBC"/>
    <w:rsid w:val="00B02E2F"/>
    <w:rsid w:val="00B06132"/>
    <w:rsid w:val="00B11052"/>
    <w:rsid w:val="00B53F3C"/>
    <w:rsid w:val="00B815CF"/>
    <w:rsid w:val="00BB0107"/>
    <w:rsid w:val="00BB18C1"/>
    <w:rsid w:val="00BC7F12"/>
    <w:rsid w:val="00BD0A70"/>
    <w:rsid w:val="00BD10FA"/>
    <w:rsid w:val="00BE64D9"/>
    <w:rsid w:val="00C2074A"/>
    <w:rsid w:val="00C27B32"/>
    <w:rsid w:val="00C342F5"/>
    <w:rsid w:val="00C43BD6"/>
    <w:rsid w:val="00C616FF"/>
    <w:rsid w:val="00C62795"/>
    <w:rsid w:val="00C706F2"/>
    <w:rsid w:val="00C74452"/>
    <w:rsid w:val="00C749F4"/>
    <w:rsid w:val="00CB62F6"/>
    <w:rsid w:val="00CC18A5"/>
    <w:rsid w:val="00CD5D44"/>
    <w:rsid w:val="00CE2DA0"/>
    <w:rsid w:val="00CF1AFE"/>
    <w:rsid w:val="00CF52B3"/>
    <w:rsid w:val="00CF6D33"/>
    <w:rsid w:val="00D01A2E"/>
    <w:rsid w:val="00D30C2F"/>
    <w:rsid w:val="00D42FF1"/>
    <w:rsid w:val="00D935E9"/>
    <w:rsid w:val="00DA1754"/>
    <w:rsid w:val="00DD18CC"/>
    <w:rsid w:val="00DE28F3"/>
    <w:rsid w:val="00E14614"/>
    <w:rsid w:val="00E31F03"/>
    <w:rsid w:val="00E3421A"/>
    <w:rsid w:val="00E557D2"/>
    <w:rsid w:val="00E7270E"/>
    <w:rsid w:val="00E95C59"/>
    <w:rsid w:val="00E97BA1"/>
    <w:rsid w:val="00EA0A8F"/>
    <w:rsid w:val="00EB5DD3"/>
    <w:rsid w:val="00EE61B5"/>
    <w:rsid w:val="00EF2D6F"/>
    <w:rsid w:val="00EF3AA8"/>
    <w:rsid w:val="00EF61FC"/>
    <w:rsid w:val="00EF7156"/>
    <w:rsid w:val="00F11778"/>
    <w:rsid w:val="00F255B1"/>
    <w:rsid w:val="00F35E23"/>
    <w:rsid w:val="00F42326"/>
    <w:rsid w:val="00F44754"/>
    <w:rsid w:val="00F47177"/>
    <w:rsid w:val="00F52E2E"/>
    <w:rsid w:val="00F65F69"/>
    <w:rsid w:val="00F6609B"/>
    <w:rsid w:val="00F93439"/>
    <w:rsid w:val="00FA042A"/>
    <w:rsid w:val="00FB5E21"/>
    <w:rsid w:val="00FB7EA9"/>
    <w:rsid w:val="00FC060F"/>
    <w:rsid w:val="00FC1721"/>
    <w:rsid w:val="00FC6F9C"/>
    <w:rsid w:val="00FE062D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F3B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B1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F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C18A5"/>
    <w:rPr>
      <w:sz w:val="24"/>
    </w:rPr>
  </w:style>
  <w:style w:type="paragraph" w:customStyle="1" w:styleId="Body11ptCalibrDBi-IPR">
    <w:name w:val="Body11ptCalibrDBi-IPR"/>
    <w:link w:val="Body11ptCalibrDBi-IPRChar"/>
    <w:qFormat/>
    <w:rsid w:val="00953D09"/>
    <w:pPr>
      <w:spacing w:after="120" w:line="480" w:lineRule="exact"/>
    </w:pPr>
    <w:rPr>
      <w:rFonts w:ascii="Calibri" w:hAnsi="Calibri"/>
      <w:sz w:val="22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953D09"/>
    <w:rPr>
      <w:rFonts w:ascii="Calibri" w:hAnsi="Calibri"/>
      <w:sz w:val="22"/>
      <w:szCs w:val="24"/>
    </w:rPr>
  </w:style>
  <w:style w:type="paragraph" w:styleId="ListParagraph">
    <w:name w:val="List Paragraph"/>
    <w:basedOn w:val="Normal"/>
    <w:uiPriority w:val="34"/>
    <w:qFormat/>
    <w:rsid w:val="00051E34"/>
    <w:pPr>
      <w:ind w:left="720"/>
      <w:contextualSpacing/>
    </w:pPr>
  </w:style>
  <w:style w:type="table" w:customStyle="1" w:styleId="GridTable5DarkAccent1">
    <w:name w:val="Grid Table 5 Dark Accent 1"/>
    <w:basedOn w:val="TableNormal"/>
    <w:uiPriority w:val="50"/>
    <w:rsid w:val="005D7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">
    <w:name w:val="Grid Table 5 Dark"/>
    <w:basedOn w:val="TableNormal"/>
    <w:uiPriority w:val="50"/>
    <w:rsid w:val="005D7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TableNormal"/>
    <w:uiPriority w:val="49"/>
    <w:rsid w:val="005D7D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8739E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B1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4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F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F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C18A5"/>
    <w:rPr>
      <w:sz w:val="24"/>
    </w:rPr>
  </w:style>
  <w:style w:type="paragraph" w:customStyle="1" w:styleId="Body11ptCalibrDBi-IPR">
    <w:name w:val="Body11ptCalibrDBi-IPR"/>
    <w:link w:val="Body11ptCalibrDBi-IPRChar"/>
    <w:qFormat/>
    <w:rsid w:val="00953D09"/>
    <w:pPr>
      <w:spacing w:after="120" w:line="480" w:lineRule="exact"/>
    </w:pPr>
    <w:rPr>
      <w:rFonts w:ascii="Calibri" w:hAnsi="Calibri"/>
      <w:sz w:val="22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953D09"/>
    <w:rPr>
      <w:rFonts w:ascii="Calibri" w:hAnsi="Calibri"/>
      <w:sz w:val="22"/>
      <w:szCs w:val="24"/>
    </w:rPr>
  </w:style>
  <w:style w:type="paragraph" w:styleId="ListParagraph">
    <w:name w:val="List Paragraph"/>
    <w:basedOn w:val="Normal"/>
    <w:uiPriority w:val="34"/>
    <w:qFormat/>
    <w:rsid w:val="00051E34"/>
    <w:pPr>
      <w:ind w:left="720"/>
      <w:contextualSpacing/>
    </w:pPr>
  </w:style>
  <w:style w:type="table" w:customStyle="1" w:styleId="GridTable5DarkAccent1">
    <w:name w:val="Grid Table 5 Dark Accent 1"/>
    <w:basedOn w:val="TableNormal"/>
    <w:uiPriority w:val="50"/>
    <w:rsid w:val="005D7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">
    <w:name w:val="Grid Table 5 Dark"/>
    <w:basedOn w:val="TableNormal"/>
    <w:uiPriority w:val="50"/>
    <w:rsid w:val="005D7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TableNormal"/>
    <w:uiPriority w:val="49"/>
    <w:rsid w:val="005D7D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8739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jackson\LOCALS~1\Temp\Letterhead%20New%20Us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Usda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FJackson</dc:creator>
  <cp:lastModifiedBy>SYSTEM</cp:lastModifiedBy>
  <cp:revision>2</cp:revision>
  <cp:lastPrinted>2000-08-25T21:20:00Z</cp:lastPrinted>
  <dcterms:created xsi:type="dcterms:W3CDTF">2019-06-03T20:47:00Z</dcterms:created>
  <dcterms:modified xsi:type="dcterms:W3CDTF">2019-06-03T20:47:00Z</dcterms:modified>
</cp:coreProperties>
</file>