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837A7" w14:textId="77777777" w:rsidR="00912D71" w:rsidRPr="00FA06B8" w:rsidRDefault="00330410" w:rsidP="00FA06B8">
      <w:pPr>
        <w:jc w:val="center"/>
      </w:pPr>
      <w:bookmarkStart w:id="0" w:name="_GoBack"/>
      <w:bookmarkEnd w:id="0"/>
      <w:r>
        <w:t>FINAL</w:t>
      </w:r>
      <w:r w:rsidR="001B22CA">
        <w:t xml:space="preserve"> </w:t>
      </w:r>
      <w:r w:rsidR="00D733C0" w:rsidRPr="00FA06B8">
        <w:t>SUPPORTING STATEMENT</w:t>
      </w:r>
      <w:r w:rsidR="00912D71" w:rsidRPr="00FA06B8">
        <w:t xml:space="preserve"> </w:t>
      </w:r>
    </w:p>
    <w:p w14:paraId="3BEBE373" w14:textId="77777777" w:rsidR="00D733C0" w:rsidRPr="00FA06B8" w:rsidRDefault="00EC26D6" w:rsidP="00FA06B8">
      <w:pPr>
        <w:jc w:val="center"/>
      </w:pPr>
      <w:r w:rsidRPr="00FA06B8">
        <w:t>FOR</w:t>
      </w:r>
    </w:p>
    <w:p w14:paraId="63818E30" w14:textId="77777777" w:rsidR="002A28E8" w:rsidRDefault="002A28E8" w:rsidP="00FA06B8">
      <w:pPr>
        <w:jc w:val="center"/>
      </w:pPr>
      <w:r>
        <w:tab/>
        <w:t>NRC FORM 398, “PERSONAL QUALIFICATION STATEMENT – LICENSE,”</w:t>
      </w:r>
    </w:p>
    <w:p w14:paraId="7C38B85A" w14:textId="77777777" w:rsidR="002A28E8" w:rsidRPr="00043083" w:rsidRDefault="002A28E8" w:rsidP="002A28E8">
      <w:pPr>
        <w:widowControl w:val="0"/>
        <w:tabs>
          <w:tab w:val="center" w:pos="4680"/>
        </w:tabs>
        <w:jc w:val="center"/>
        <w:rPr>
          <w:color w:val="000000"/>
        </w:rPr>
      </w:pPr>
      <w:r w:rsidRPr="00043083">
        <w:rPr>
          <w:color w:val="000000"/>
        </w:rPr>
        <w:t>10 CFR PART 55, SECTIONS 55.31, 55.35, 55.47 AND 55.57</w:t>
      </w:r>
    </w:p>
    <w:p w14:paraId="27054AA2" w14:textId="77777777" w:rsidR="00EC26D6" w:rsidRPr="00FA06B8" w:rsidRDefault="002A28E8" w:rsidP="002A28E8">
      <w:pPr>
        <w:jc w:val="center"/>
      </w:pPr>
      <w:r w:rsidRPr="00FA06B8">
        <w:t xml:space="preserve"> </w:t>
      </w:r>
      <w:r w:rsidR="00EC26D6" w:rsidRPr="00FA06B8">
        <w:t>(3150-00</w:t>
      </w:r>
      <w:r>
        <w:t>90</w:t>
      </w:r>
      <w:r w:rsidR="00EC26D6" w:rsidRPr="00FA06B8">
        <w:t>)</w:t>
      </w:r>
    </w:p>
    <w:p w14:paraId="110CFF19" w14:textId="77777777" w:rsidR="00EC26D6" w:rsidRPr="00FA06B8" w:rsidRDefault="00EC26D6" w:rsidP="00FA06B8">
      <w:pPr>
        <w:jc w:val="center"/>
      </w:pPr>
      <w:r w:rsidRPr="00FA06B8">
        <w:t>---</w:t>
      </w:r>
    </w:p>
    <w:p w14:paraId="3AA3182E" w14:textId="77777777" w:rsidR="00005824" w:rsidRPr="00FA06B8" w:rsidRDefault="00005824" w:rsidP="00FA06B8">
      <w:pPr>
        <w:jc w:val="center"/>
      </w:pPr>
    </w:p>
    <w:p w14:paraId="1DE37C19" w14:textId="77777777" w:rsidR="00EC26D6" w:rsidRPr="00FA06B8" w:rsidRDefault="00532C8C" w:rsidP="00FA06B8">
      <w:pPr>
        <w:jc w:val="center"/>
      </w:pPr>
      <w:r>
        <w:t>EXTENSION</w:t>
      </w:r>
    </w:p>
    <w:p w14:paraId="3B1C8753" w14:textId="77777777" w:rsidR="00EC26D6" w:rsidRPr="00FA06B8" w:rsidRDefault="00EC26D6" w:rsidP="00FA06B8"/>
    <w:p w14:paraId="5080567D" w14:textId="77777777" w:rsidR="00DD3951" w:rsidRPr="008E679A" w:rsidRDefault="00EC26D6" w:rsidP="00DD3951">
      <w:pPr>
        <w:rPr>
          <w:u w:val="single"/>
        </w:rPr>
      </w:pPr>
      <w:r w:rsidRPr="00FA06B8">
        <w:rPr>
          <w:u w:val="single"/>
        </w:rPr>
        <w:t xml:space="preserve">Description of </w:t>
      </w:r>
      <w:r w:rsidR="00CE0671" w:rsidRPr="008E679A">
        <w:rPr>
          <w:u w:val="single"/>
        </w:rPr>
        <w:t>the I</w:t>
      </w:r>
      <w:r w:rsidRPr="008E679A">
        <w:rPr>
          <w:u w:val="single"/>
        </w:rPr>
        <w:t>nformation Collection</w:t>
      </w:r>
    </w:p>
    <w:p w14:paraId="6682E35B" w14:textId="77777777" w:rsidR="00DD3951" w:rsidRPr="008E679A" w:rsidRDefault="00DD3951" w:rsidP="00DD3951">
      <w:pPr>
        <w:rPr>
          <w:u w:val="single"/>
        </w:rPr>
      </w:pPr>
    </w:p>
    <w:p w14:paraId="4659141E" w14:textId="77777777" w:rsidR="00DF4E47" w:rsidRDefault="00DF4E47" w:rsidP="00DF4E47">
      <w:pPr>
        <w:widowControl w:val="0"/>
        <w:rPr>
          <w:rFonts w:cs="Arial"/>
          <w:szCs w:val="22"/>
        </w:rPr>
      </w:pPr>
      <w:r w:rsidRPr="00AF57E3">
        <w:rPr>
          <w:rFonts w:cs="Arial"/>
          <w:szCs w:val="22"/>
        </w:rPr>
        <w:t>The regulations in 10 CFR Part 55, requires facility licensees to certify</w:t>
      </w:r>
      <w:r>
        <w:rPr>
          <w:rFonts w:cs="Arial"/>
          <w:szCs w:val="22"/>
        </w:rPr>
        <w:t xml:space="preserve"> the qualifications and training.  NRC Form 398 is the mechanism by which NRC is advised of the applicant/operator qualifications.</w:t>
      </w:r>
    </w:p>
    <w:p w14:paraId="6265989D" w14:textId="77777777" w:rsidR="00DF4E47" w:rsidRDefault="00DF4E47" w:rsidP="00DF4E47">
      <w:pPr>
        <w:widowControl w:val="0"/>
        <w:rPr>
          <w:lang w:val="en"/>
        </w:rPr>
      </w:pPr>
    </w:p>
    <w:p w14:paraId="6E9CB771" w14:textId="77777777" w:rsidR="00882ECF" w:rsidRDefault="00882ECF" w:rsidP="00DD3951">
      <w:r w:rsidRPr="006F7D61">
        <w:rPr>
          <w:rFonts w:cs="Arial"/>
          <w:szCs w:val="22"/>
        </w:rPr>
        <w:t>NRC Form 398</w:t>
      </w:r>
      <w:r w:rsidR="00BA11F9">
        <w:rPr>
          <w:rFonts w:cs="Arial"/>
          <w:szCs w:val="22"/>
        </w:rPr>
        <w:t xml:space="preserve"> “Personal Qualification Statement-License”</w:t>
      </w:r>
      <w:r w:rsidRPr="006F7D61">
        <w:rPr>
          <w:rFonts w:cs="Arial"/>
          <w:szCs w:val="22"/>
        </w:rPr>
        <w:t xml:space="preserve"> is used to transmit detailed information required to be submitted to the NRC by a facility licensee on each applicant</w:t>
      </w:r>
      <w:r>
        <w:rPr>
          <w:rFonts w:cs="Arial"/>
          <w:szCs w:val="22"/>
        </w:rPr>
        <w:t xml:space="preserve"> </w:t>
      </w:r>
      <w:r w:rsidRPr="006F7D61">
        <w:rPr>
          <w:rFonts w:cs="Arial"/>
          <w:szCs w:val="22"/>
        </w:rPr>
        <w:t>applying for new and upgraded licenses</w:t>
      </w:r>
      <w:r>
        <w:rPr>
          <w:rFonts w:cs="Arial"/>
          <w:szCs w:val="22"/>
        </w:rPr>
        <w:t xml:space="preserve"> or license renewals to operate </w:t>
      </w:r>
      <w:r w:rsidRPr="006F7D61">
        <w:rPr>
          <w:rFonts w:cs="Arial"/>
          <w:szCs w:val="22"/>
        </w:rPr>
        <w:t>the controls at a nuclear reactor facili</w:t>
      </w:r>
      <w:r>
        <w:rPr>
          <w:rFonts w:cs="Arial"/>
          <w:szCs w:val="22"/>
        </w:rPr>
        <w:t xml:space="preserve">ty.  </w:t>
      </w:r>
    </w:p>
    <w:p w14:paraId="0D366649" w14:textId="77777777" w:rsidR="00BA11F9" w:rsidRDefault="00BA11F9" w:rsidP="00581327">
      <w:pPr>
        <w:widowControl w:val="0"/>
        <w:rPr>
          <w:lang w:val="en"/>
        </w:rPr>
      </w:pPr>
    </w:p>
    <w:p w14:paraId="7AFEB849" w14:textId="77777777" w:rsidR="00581327" w:rsidRDefault="00581327" w:rsidP="00581327">
      <w:pPr>
        <w:widowControl w:val="0"/>
        <w:rPr>
          <w:lang w:val="en"/>
        </w:rPr>
      </w:pPr>
      <w:r w:rsidRPr="001A1766">
        <w:rPr>
          <w:lang w:val="en"/>
        </w:rPr>
        <w:t xml:space="preserve">The information requested includes the applicant/operator identifying information, </w:t>
      </w:r>
      <w:r w:rsidR="00740F3D">
        <w:rPr>
          <w:lang w:val="en"/>
        </w:rPr>
        <w:t>type of application and license applying for, license held, position at the facility, education, power reactor operator training program, significant control manipulations, nuclear experience details,</w:t>
      </w:r>
      <w:r w:rsidRPr="001A1766">
        <w:rPr>
          <w:lang w:val="en"/>
        </w:rPr>
        <w:t xml:space="preserve"> applicant/operator signature and signature of certifying facility.</w:t>
      </w:r>
    </w:p>
    <w:p w14:paraId="18F0CA73" w14:textId="77777777" w:rsidR="003E03AC" w:rsidRDefault="003E03AC" w:rsidP="00581327">
      <w:pPr>
        <w:widowControl w:val="0"/>
        <w:rPr>
          <w:lang w:val="en"/>
        </w:rPr>
      </w:pPr>
    </w:p>
    <w:p w14:paraId="6893500D" w14:textId="77777777" w:rsidR="00200017" w:rsidRPr="00FA06B8" w:rsidRDefault="001B22CA" w:rsidP="00C176DF">
      <w:r>
        <w:t>A.</w:t>
      </w:r>
      <w:r>
        <w:tab/>
      </w:r>
      <w:r w:rsidR="00200017" w:rsidRPr="00B073DB">
        <w:rPr>
          <w:u w:val="single"/>
        </w:rPr>
        <w:t>JUSTIFICATION</w:t>
      </w:r>
    </w:p>
    <w:p w14:paraId="7672FE5A" w14:textId="77777777" w:rsidR="00D733C0" w:rsidRPr="00FA06B8" w:rsidRDefault="00D733C0" w:rsidP="00FA06B8">
      <w:pPr>
        <w:ind w:left="360"/>
      </w:pPr>
    </w:p>
    <w:p w14:paraId="3494B7A9" w14:textId="77777777" w:rsidR="004C4984" w:rsidRDefault="00200017" w:rsidP="000D7BCA">
      <w:pPr>
        <w:numPr>
          <w:ilvl w:val="0"/>
          <w:numId w:val="17"/>
        </w:numPr>
        <w:rPr>
          <w:u w:val="single"/>
        </w:rPr>
      </w:pPr>
      <w:r w:rsidRPr="00FA06B8">
        <w:rPr>
          <w:u w:val="single"/>
        </w:rPr>
        <w:t>Need for the Collection of Information</w:t>
      </w:r>
    </w:p>
    <w:p w14:paraId="485696B3" w14:textId="77777777" w:rsidR="004C4984" w:rsidRDefault="004C4984" w:rsidP="004C4984">
      <w:pPr>
        <w:ind w:firstLine="720"/>
        <w:rPr>
          <w:u w:val="single"/>
        </w:rPr>
      </w:pPr>
    </w:p>
    <w:p w14:paraId="3CE035BB" w14:textId="77777777" w:rsidR="0005700B" w:rsidRPr="0005700B" w:rsidRDefault="0005700B" w:rsidP="0005700B">
      <w:pPr>
        <w:widowControl w:val="0"/>
        <w:ind w:left="1440"/>
        <w:rPr>
          <w:szCs w:val="20"/>
          <w:lang w:val="en"/>
        </w:rPr>
      </w:pPr>
      <w:r w:rsidRPr="0005700B">
        <w:rPr>
          <w:szCs w:val="20"/>
          <w:lang w:val="en"/>
        </w:rPr>
        <w:t xml:space="preserve">The information is needed in order to determine facility licensee’s compliance with the </w:t>
      </w:r>
      <w:r w:rsidRPr="0005700B">
        <w:rPr>
          <w:rFonts w:cs="Arial"/>
          <w:szCs w:val="22"/>
        </w:rPr>
        <w:t xml:space="preserve">regulations in 10 CFR Part 55.  </w:t>
      </w:r>
      <w:r w:rsidRPr="0005700B">
        <w:rPr>
          <w:szCs w:val="20"/>
          <w:lang w:val="en"/>
        </w:rPr>
        <w:t>Details of these regulations can be found at the end of this supporting statement in “Description of Information Collection Requirements.”</w:t>
      </w:r>
    </w:p>
    <w:p w14:paraId="007A2592" w14:textId="77777777" w:rsidR="00190ACA" w:rsidRDefault="00190ACA" w:rsidP="004F2CBA">
      <w:pPr>
        <w:ind w:left="720"/>
      </w:pPr>
    </w:p>
    <w:p w14:paraId="69001553" w14:textId="77777777" w:rsidR="00A56E25" w:rsidRDefault="00A56E25" w:rsidP="000D7BCA">
      <w:pPr>
        <w:numPr>
          <w:ilvl w:val="0"/>
          <w:numId w:val="17"/>
        </w:numPr>
        <w:rPr>
          <w:u w:val="single"/>
        </w:rPr>
      </w:pPr>
      <w:r w:rsidRPr="00FA06B8">
        <w:rPr>
          <w:u w:val="single"/>
        </w:rPr>
        <w:t xml:space="preserve">Agency Use </w:t>
      </w:r>
      <w:r w:rsidR="002525C1">
        <w:rPr>
          <w:u w:val="single"/>
        </w:rPr>
        <w:t xml:space="preserve">and Practical Utility </w:t>
      </w:r>
      <w:r w:rsidRPr="00FA06B8">
        <w:rPr>
          <w:u w:val="single"/>
        </w:rPr>
        <w:t>of Information</w:t>
      </w:r>
    </w:p>
    <w:p w14:paraId="433EEF57" w14:textId="77777777" w:rsidR="004C4984" w:rsidRPr="00FA06B8" w:rsidRDefault="004C4984" w:rsidP="004C4984">
      <w:pPr>
        <w:ind w:left="1080"/>
        <w:rPr>
          <w:u w:val="single"/>
        </w:rPr>
      </w:pPr>
    </w:p>
    <w:p w14:paraId="6070A7E8" w14:textId="77777777" w:rsidR="007B2498" w:rsidRPr="00937F17" w:rsidRDefault="00190ACA" w:rsidP="007B2498">
      <w:pPr>
        <w:widowControl w:val="0"/>
        <w:ind w:left="1440"/>
        <w:rPr>
          <w:rFonts w:cs="Arial"/>
          <w:szCs w:val="22"/>
        </w:rPr>
      </w:pPr>
      <w:r>
        <w:rPr>
          <w:rFonts w:cs="Arial"/>
          <w:szCs w:val="22"/>
        </w:rPr>
        <w:t xml:space="preserve">NRC Form 398 </w:t>
      </w:r>
      <w:r w:rsidRPr="00937F17">
        <w:rPr>
          <w:rFonts w:cs="Arial"/>
          <w:szCs w:val="22"/>
        </w:rPr>
        <w:t xml:space="preserve">is the mechanism by which NRC is advised of the information </w:t>
      </w:r>
      <w:r>
        <w:rPr>
          <w:color w:val="000000"/>
        </w:rPr>
        <w:t>that the applicants or operator licensees has met the qualification requirements to become, or continue to be licensed reactor operators or senior reactor operators.</w:t>
      </w:r>
      <w:r w:rsidR="007B2498">
        <w:rPr>
          <w:color w:val="000000"/>
        </w:rPr>
        <w:t xml:space="preserve"> </w:t>
      </w:r>
      <w:r w:rsidR="007B2498" w:rsidRPr="00937F17">
        <w:rPr>
          <w:rFonts w:cs="Arial"/>
          <w:szCs w:val="22"/>
        </w:rPr>
        <w:t>The information assists the Commission in basing its finding upon the certification by facility licensees as detailed on NRC Form 39</w:t>
      </w:r>
      <w:r w:rsidR="007B2498">
        <w:rPr>
          <w:rFonts w:cs="Arial"/>
          <w:szCs w:val="22"/>
        </w:rPr>
        <w:t>8</w:t>
      </w:r>
      <w:r w:rsidR="007B2498" w:rsidRPr="00937F17">
        <w:rPr>
          <w:rFonts w:cs="Arial"/>
          <w:szCs w:val="22"/>
        </w:rPr>
        <w:t xml:space="preserve">.  </w:t>
      </w:r>
    </w:p>
    <w:p w14:paraId="5CE65E2C" w14:textId="77777777" w:rsidR="002A28E8" w:rsidRDefault="002A28E8" w:rsidP="00BD360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14:paraId="0CB7B799" w14:textId="77777777" w:rsidR="00E309DC" w:rsidRPr="00FA06B8" w:rsidRDefault="00E309DC" w:rsidP="000D7BCA">
      <w:pPr>
        <w:widowControl w:val="0"/>
        <w:numPr>
          <w:ilvl w:val="0"/>
          <w:numId w:val="17"/>
        </w:num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A06B8">
        <w:rPr>
          <w:u w:val="single"/>
        </w:rPr>
        <w:t xml:space="preserve">Reduction of Burden </w:t>
      </w:r>
      <w:r w:rsidR="00A6619C">
        <w:rPr>
          <w:u w:val="single"/>
        </w:rPr>
        <w:t>t</w:t>
      </w:r>
      <w:r w:rsidRPr="00FA06B8">
        <w:rPr>
          <w:u w:val="single"/>
        </w:rPr>
        <w:t>hrough Information Technology</w:t>
      </w:r>
    </w:p>
    <w:p w14:paraId="7F0B147D" w14:textId="77777777" w:rsidR="00D733C0" w:rsidRPr="00FA06B8" w:rsidRDefault="00D733C0" w:rsidP="00FA06B8">
      <w:pPr>
        <w:ind w:left="1440"/>
        <w:rPr>
          <w:u w:val="single"/>
        </w:rPr>
      </w:pPr>
    </w:p>
    <w:p w14:paraId="671DEA2E" w14:textId="77777777" w:rsidR="004329DA" w:rsidRDefault="00BD3602" w:rsidP="004F2CBA">
      <w:pPr>
        <w:widowControl w:val="0"/>
        <w:tabs>
          <w:tab w:val="left" w:pos="-1440"/>
          <w:tab w:val="left" w:pos="-360"/>
          <w:tab w:val="left" w:pos="0"/>
          <w:tab w:val="left" w:pos="5760"/>
          <w:tab w:val="left" w:pos="6480"/>
          <w:tab w:val="left" w:pos="7200"/>
          <w:tab w:val="left" w:pos="7920"/>
          <w:tab w:val="left" w:pos="8640"/>
          <w:tab w:val="left" w:pos="9360"/>
        </w:tabs>
        <w:ind w:left="1440"/>
        <w:rPr>
          <w:color w:val="000000"/>
        </w:rPr>
      </w:pPr>
      <w:r w:rsidRPr="00043083">
        <w:rPr>
          <w:color w:val="000000"/>
        </w:rPr>
        <w:t>There are no legal obstacles to reducing the burden associated with this</w:t>
      </w:r>
      <w:r w:rsidR="0000727D">
        <w:rPr>
          <w:color w:val="000000"/>
        </w:rPr>
        <w:t xml:space="preserve"> </w:t>
      </w:r>
      <w:r w:rsidRPr="00043083">
        <w:rPr>
          <w:color w:val="000000"/>
        </w:rPr>
        <w:t>information collection.  The NRC encourages respondents to use information</w:t>
      </w:r>
      <w:r>
        <w:rPr>
          <w:color w:val="000000"/>
        </w:rPr>
        <w:t xml:space="preserve"> </w:t>
      </w:r>
      <w:r w:rsidRPr="00043083">
        <w:rPr>
          <w:color w:val="000000"/>
        </w:rPr>
        <w:t xml:space="preserve">technology when it would be beneficial to them.  </w:t>
      </w:r>
      <w:r w:rsidR="00FB224C" w:rsidRPr="00FB224C">
        <w:rPr>
          <w:rFonts w:eastAsia="Calibri" w:cs="Arial"/>
          <w:szCs w:val="22"/>
        </w:rPr>
        <w:t xml:space="preserve">The NRC has issued </w:t>
      </w:r>
      <w:hyperlink r:id="rId8" w:history="1">
        <w:r w:rsidR="00FB224C" w:rsidRPr="00FB224C">
          <w:rPr>
            <w:rFonts w:eastAsia="Calibri" w:cs="Arial"/>
            <w:i/>
            <w:color w:val="0000FF"/>
            <w:szCs w:val="22"/>
            <w:u w:val="single"/>
          </w:rPr>
          <w:t>Guidance for Electronic Submissions to the NRC</w:t>
        </w:r>
      </w:hyperlink>
      <w:r w:rsidR="00FB224C" w:rsidRPr="00FB224C">
        <w:rPr>
          <w:rFonts w:eastAsia="Calibri" w:cs="Arial"/>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w:t>
      </w:r>
      <w:r w:rsidR="00FB224C" w:rsidRPr="00FB224C">
        <w:rPr>
          <w:rFonts w:eastAsia="Calibri" w:cs="Arial"/>
          <w:szCs w:val="22"/>
        </w:rPr>
        <w:lastRenderedPageBreak/>
        <w:t>NRC's “Electronic Submittals” Web page, by Optical Storage Media (OSM) (e.g. CD-ROM, DVD), by facsimile or by e-mail.</w:t>
      </w:r>
      <w:r w:rsidR="00FB224C">
        <w:rPr>
          <w:rFonts w:eastAsia="Calibri" w:cs="Arial"/>
          <w:szCs w:val="22"/>
        </w:rPr>
        <w:t xml:space="preserve"> </w:t>
      </w:r>
      <w:r w:rsidR="00FB224C" w:rsidRPr="00FB224C">
        <w:rPr>
          <w:rFonts w:eastAsia="Calibri" w:cs="Arial"/>
          <w:szCs w:val="22"/>
        </w:rPr>
        <w:t xml:space="preserve"> </w:t>
      </w:r>
      <w:r w:rsidR="007B2498">
        <w:rPr>
          <w:rFonts w:eastAsia="Calibri" w:cs="Arial"/>
          <w:szCs w:val="22"/>
        </w:rPr>
        <w:t xml:space="preserve">It is </w:t>
      </w:r>
      <w:r w:rsidRPr="003350D9">
        <w:rPr>
          <w:color w:val="000000"/>
        </w:rPr>
        <w:t>estimate</w:t>
      </w:r>
      <w:r w:rsidR="007B2498">
        <w:rPr>
          <w:color w:val="000000"/>
        </w:rPr>
        <w:t>d</w:t>
      </w:r>
      <w:r w:rsidRPr="003350D9">
        <w:rPr>
          <w:color w:val="000000"/>
        </w:rPr>
        <w:t xml:space="preserve"> that </w:t>
      </w:r>
      <w:r w:rsidR="00190ACA">
        <w:t>approximately</w:t>
      </w:r>
      <w:r w:rsidR="004F2CBA">
        <w:t xml:space="preserve"> </w:t>
      </w:r>
      <w:r>
        <w:t>40% of the potential responses are filed electronically.</w:t>
      </w:r>
    </w:p>
    <w:p w14:paraId="01ADE0C6" w14:textId="77777777" w:rsidR="00464EA8" w:rsidRPr="00FA06B8" w:rsidRDefault="00464EA8" w:rsidP="00FA06B8">
      <w:pPr>
        <w:ind w:left="1440"/>
      </w:pPr>
    </w:p>
    <w:p w14:paraId="0694BB4A" w14:textId="77777777" w:rsidR="00464EA8" w:rsidRPr="00FA06B8" w:rsidRDefault="00464EA8" w:rsidP="000D7BCA">
      <w:pPr>
        <w:numPr>
          <w:ilvl w:val="0"/>
          <w:numId w:val="17"/>
        </w:numPr>
        <w:rPr>
          <w:u w:val="single"/>
        </w:rPr>
      </w:pPr>
      <w:r w:rsidRPr="00FA06B8">
        <w:rPr>
          <w:u w:val="single"/>
        </w:rPr>
        <w:t>Effort to Identify Duplication and Use Similar Information</w:t>
      </w:r>
    </w:p>
    <w:p w14:paraId="12E1B192" w14:textId="77777777" w:rsidR="00D733C0" w:rsidRPr="00FA06B8" w:rsidRDefault="00D733C0" w:rsidP="00FA06B8">
      <w:pPr>
        <w:ind w:left="1440"/>
        <w:rPr>
          <w:u w:val="single"/>
        </w:rPr>
      </w:pPr>
    </w:p>
    <w:p w14:paraId="7765F489" w14:textId="77777777" w:rsidR="00464EA8" w:rsidRDefault="00464EA8" w:rsidP="00FA06B8">
      <w:pPr>
        <w:ind w:left="1440"/>
      </w:pPr>
      <w:r w:rsidRPr="00FA06B8">
        <w:t xml:space="preserve">No sources of similar information are available.  There is no duplication of requirements.  </w:t>
      </w:r>
    </w:p>
    <w:p w14:paraId="1D6319CE" w14:textId="77777777" w:rsidR="00190ACA" w:rsidRPr="00FA06B8" w:rsidRDefault="00190ACA" w:rsidP="00FA06B8">
      <w:pPr>
        <w:ind w:left="1440"/>
      </w:pPr>
    </w:p>
    <w:p w14:paraId="7DE1B099" w14:textId="77777777" w:rsidR="00464EA8" w:rsidRPr="00FA06B8" w:rsidRDefault="00464EA8" w:rsidP="000D7BCA">
      <w:pPr>
        <w:numPr>
          <w:ilvl w:val="0"/>
          <w:numId w:val="17"/>
        </w:numPr>
        <w:rPr>
          <w:u w:val="single"/>
        </w:rPr>
      </w:pPr>
      <w:r w:rsidRPr="00FA06B8">
        <w:rPr>
          <w:u w:val="single"/>
        </w:rPr>
        <w:t>Effort to Reduce Small Business Burden</w:t>
      </w:r>
    </w:p>
    <w:p w14:paraId="5640E9B2" w14:textId="77777777" w:rsidR="00FA06B8" w:rsidRPr="00FA06B8" w:rsidRDefault="00FA06B8" w:rsidP="00FA06B8">
      <w:pPr>
        <w:ind w:left="1440"/>
        <w:rPr>
          <w:u w:val="single"/>
        </w:rPr>
      </w:pPr>
    </w:p>
    <w:p w14:paraId="13524548" w14:textId="77777777" w:rsidR="001F3643" w:rsidRPr="00FA06B8" w:rsidRDefault="004329DA" w:rsidP="004329D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pPr>
      <w:r>
        <w:rPr>
          <w:color w:val="000000"/>
          <w:szCs w:val="20"/>
        </w:rPr>
        <w:t xml:space="preserve">   </w:t>
      </w:r>
      <w:r w:rsidR="00A6619C">
        <w:rPr>
          <w:color w:val="000000"/>
          <w:szCs w:val="20"/>
        </w:rPr>
        <w:t xml:space="preserve"> </w:t>
      </w:r>
      <w:r w:rsidR="00A6011F">
        <w:rPr>
          <w:color w:val="000000"/>
          <w:szCs w:val="20"/>
        </w:rPr>
        <w:t xml:space="preserve">Not </w:t>
      </w:r>
      <w:r w:rsidR="00A6619C">
        <w:rPr>
          <w:color w:val="000000"/>
          <w:szCs w:val="20"/>
        </w:rPr>
        <w:t>a</w:t>
      </w:r>
      <w:r w:rsidR="00A6011F">
        <w:rPr>
          <w:color w:val="000000"/>
          <w:szCs w:val="20"/>
        </w:rPr>
        <w:t>pplicable</w:t>
      </w:r>
      <w:r w:rsidR="00A6619C">
        <w:rPr>
          <w:color w:val="000000"/>
          <w:szCs w:val="20"/>
        </w:rPr>
        <w:t>.</w:t>
      </w:r>
    </w:p>
    <w:p w14:paraId="5638990C" w14:textId="77777777" w:rsidR="00960599" w:rsidRDefault="00960599" w:rsidP="00FA06B8">
      <w:pPr>
        <w:ind w:left="1440"/>
      </w:pPr>
    </w:p>
    <w:p w14:paraId="54543C8C" w14:textId="77777777" w:rsidR="00464EA8" w:rsidRPr="00FA06B8" w:rsidRDefault="00464EA8" w:rsidP="000D7BCA">
      <w:pPr>
        <w:numPr>
          <w:ilvl w:val="0"/>
          <w:numId w:val="17"/>
        </w:numPr>
      </w:pPr>
      <w:r w:rsidRPr="00FA06B8">
        <w:rPr>
          <w:u w:val="single"/>
        </w:rPr>
        <w:t>Consequences to Federal Program or Policy Activities if the Collection is not</w:t>
      </w:r>
      <w:r w:rsidRPr="00FA06B8">
        <w:t xml:space="preserve"> </w:t>
      </w:r>
      <w:r w:rsidRPr="00FA06B8">
        <w:rPr>
          <w:u w:val="single"/>
        </w:rPr>
        <w:t>Conducted or is Conducted Less Frequency</w:t>
      </w:r>
    </w:p>
    <w:p w14:paraId="3EA3A2DF" w14:textId="77777777" w:rsidR="00D733C0" w:rsidRPr="00FA06B8" w:rsidRDefault="00D733C0" w:rsidP="00FA06B8">
      <w:pPr>
        <w:ind w:left="1440"/>
        <w:rPr>
          <w:u w:val="single"/>
        </w:rPr>
      </w:pPr>
    </w:p>
    <w:p w14:paraId="26AC20F3" w14:textId="77777777" w:rsidR="004329DA" w:rsidRPr="004329DA" w:rsidRDefault="004329DA" w:rsidP="008E679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Cs w:val="20"/>
        </w:rPr>
      </w:pPr>
      <w:r w:rsidRPr="004329DA">
        <w:rPr>
          <w:color w:val="000000"/>
          <w:szCs w:val="20"/>
        </w:rPr>
        <w:t>Frequency of reporting cannot be discontinued or reduced without violating the NRC licensing requirements as described in 10 CFR 55.31, 10 CFR 55.35, 10</w:t>
      </w:r>
      <w:r w:rsidR="00190ACA">
        <w:rPr>
          <w:color w:val="000000"/>
          <w:szCs w:val="20"/>
        </w:rPr>
        <w:t> </w:t>
      </w:r>
      <w:r>
        <w:rPr>
          <w:color w:val="000000"/>
          <w:szCs w:val="20"/>
        </w:rPr>
        <w:t xml:space="preserve">CFR </w:t>
      </w:r>
      <w:r w:rsidRPr="004329DA">
        <w:rPr>
          <w:color w:val="000000"/>
          <w:szCs w:val="20"/>
        </w:rPr>
        <w:t>55.47 and 10 CFR 55.57</w:t>
      </w:r>
      <w:r w:rsidR="007B2498">
        <w:rPr>
          <w:color w:val="000000"/>
          <w:szCs w:val="20"/>
        </w:rPr>
        <w:t xml:space="preserve"> </w:t>
      </w:r>
      <w:r w:rsidR="007B2498">
        <w:t>which would increase the potential for endangering public health and safety.</w:t>
      </w:r>
    </w:p>
    <w:p w14:paraId="3478DF3F" w14:textId="77777777" w:rsidR="007449D3" w:rsidRPr="00FA06B8" w:rsidRDefault="007449D3" w:rsidP="00FA06B8">
      <w:pPr>
        <w:ind w:left="1440"/>
      </w:pPr>
    </w:p>
    <w:p w14:paraId="1C194CFB" w14:textId="77777777" w:rsidR="006E69D0" w:rsidRPr="00FA06B8" w:rsidRDefault="006E69D0" w:rsidP="000D7BCA">
      <w:pPr>
        <w:numPr>
          <w:ilvl w:val="0"/>
          <w:numId w:val="17"/>
        </w:numPr>
      </w:pPr>
      <w:r w:rsidRPr="00FA06B8">
        <w:rPr>
          <w:u w:val="single"/>
        </w:rPr>
        <w:t>Circumstances Which Justify Variation from OMB Guidelines</w:t>
      </w:r>
    </w:p>
    <w:p w14:paraId="11AAEB8A" w14:textId="77777777" w:rsidR="00D733C0" w:rsidRPr="00FA06B8" w:rsidRDefault="00D733C0" w:rsidP="00FA06B8">
      <w:pPr>
        <w:ind w:left="1440"/>
        <w:rPr>
          <w:u w:val="single"/>
        </w:rPr>
      </w:pPr>
    </w:p>
    <w:p w14:paraId="651AC301" w14:textId="77777777" w:rsidR="004329DA" w:rsidRPr="004329DA" w:rsidRDefault="004329DA" w:rsidP="004329D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color w:val="000000"/>
          <w:szCs w:val="20"/>
        </w:rPr>
      </w:pPr>
      <w:r>
        <w:rPr>
          <w:color w:val="000000"/>
          <w:szCs w:val="20"/>
        </w:rPr>
        <w:t xml:space="preserve">    </w:t>
      </w:r>
      <w:r w:rsidR="00E579CA">
        <w:rPr>
          <w:color w:val="000000"/>
          <w:szCs w:val="20"/>
        </w:rPr>
        <w:t xml:space="preserve">Not </w:t>
      </w:r>
      <w:r w:rsidR="000D7BCA">
        <w:rPr>
          <w:color w:val="000000"/>
          <w:szCs w:val="20"/>
        </w:rPr>
        <w:t>a</w:t>
      </w:r>
      <w:r w:rsidR="00E579CA">
        <w:rPr>
          <w:color w:val="000000"/>
          <w:szCs w:val="20"/>
        </w:rPr>
        <w:t>pplicable</w:t>
      </w:r>
      <w:r w:rsidR="00DE61E1">
        <w:rPr>
          <w:color w:val="000000"/>
          <w:szCs w:val="20"/>
        </w:rPr>
        <w:t>.</w:t>
      </w:r>
    </w:p>
    <w:p w14:paraId="4EB7EE34" w14:textId="77777777" w:rsidR="00960599" w:rsidRPr="00FA06B8" w:rsidRDefault="00960599" w:rsidP="00FA06B8">
      <w:pPr>
        <w:ind w:left="1440"/>
      </w:pPr>
    </w:p>
    <w:p w14:paraId="013A2FDD" w14:textId="77777777" w:rsidR="006E69D0" w:rsidRPr="00FA06B8" w:rsidRDefault="006E69D0" w:rsidP="000D7BCA">
      <w:pPr>
        <w:numPr>
          <w:ilvl w:val="0"/>
          <w:numId w:val="17"/>
        </w:numPr>
      </w:pPr>
      <w:r w:rsidRPr="00FA06B8">
        <w:rPr>
          <w:u w:val="single"/>
        </w:rPr>
        <w:t xml:space="preserve">Consultations Outside </w:t>
      </w:r>
      <w:r w:rsidR="005F6D9F" w:rsidRPr="00FA06B8">
        <w:rPr>
          <w:u w:val="single"/>
        </w:rPr>
        <w:t>of</w:t>
      </w:r>
      <w:r w:rsidRPr="00FA06B8">
        <w:rPr>
          <w:u w:val="single"/>
        </w:rPr>
        <w:t xml:space="preserve"> the NRC</w:t>
      </w:r>
    </w:p>
    <w:p w14:paraId="304AE523" w14:textId="77777777" w:rsidR="00FA06B8" w:rsidRPr="00FA06B8" w:rsidRDefault="00FA06B8" w:rsidP="00FA06B8">
      <w:pPr>
        <w:widowControl w:val="0"/>
        <w:ind w:left="1440"/>
      </w:pPr>
    </w:p>
    <w:p w14:paraId="44453DDE" w14:textId="77777777" w:rsidR="0064717B" w:rsidRDefault="00B26472" w:rsidP="00BE29E9">
      <w:pPr>
        <w:spacing w:line="270" w:lineRule="atLeast"/>
        <w:ind w:left="1440" w:right="-576"/>
      </w:pPr>
      <w:r w:rsidRPr="003D0BC5">
        <w:t xml:space="preserve">Opportunity for public comment on the information collection requirements for this clearance package was published in the </w:t>
      </w:r>
      <w:r w:rsidRPr="009C4EB0">
        <w:rPr>
          <w:i/>
        </w:rPr>
        <w:t>Federal Register</w:t>
      </w:r>
      <w:r w:rsidRPr="003D0BC5">
        <w:t xml:space="preserve"> </w:t>
      </w:r>
      <w:r>
        <w:t xml:space="preserve">on October 10, 2018 (83 FR 50970).  Additionally, we contacted via email nine potential respondents in the areas of operating and non-power reactor owner/operator licensee’s representatives from Dominion Generation, Exelon Generation Co., LLC, Florida Power &amp; Light Co, Southern Nuclear Operating Co., Tennessee Valley Authority and the </w:t>
      </w:r>
      <w:r w:rsidRPr="000D2BF6">
        <w:t xml:space="preserve">University </w:t>
      </w:r>
      <w:r>
        <w:t>o</w:t>
      </w:r>
      <w:r w:rsidRPr="000D2BF6">
        <w:t>f Missouri-Columbia</w:t>
      </w:r>
      <w:r>
        <w:t xml:space="preserve">.  </w:t>
      </w:r>
      <w:r w:rsidRPr="00232630">
        <w:t>Of the nine potential</w:t>
      </w:r>
      <w:r>
        <w:t xml:space="preserve"> </w:t>
      </w:r>
      <w:r w:rsidRPr="00232630">
        <w:t>respondents co</w:t>
      </w:r>
      <w:r>
        <w:t xml:space="preserve">ntacted, no respondent replied. </w:t>
      </w:r>
    </w:p>
    <w:p w14:paraId="2F633DEF" w14:textId="77777777" w:rsidR="000F1EF5" w:rsidRDefault="000F1EF5" w:rsidP="00BE29E9">
      <w:pPr>
        <w:spacing w:line="270" w:lineRule="atLeast"/>
        <w:ind w:left="1440" w:right="-576"/>
      </w:pPr>
    </w:p>
    <w:p w14:paraId="0D4BD889" w14:textId="77777777" w:rsidR="00A37E25" w:rsidRDefault="00A37E25" w:rsidP="00A37E25">
      <w:pPr>
        <w:ind w:left="1440"/>
        <w:rPr>
          <w:rFonts w:cs="Arial"/>
          <w:color w:val="000000"/>
          <w:szCs w:val="22"/>
        </w:rPr>
      </w:pPr>
      <w:r>
        <w:rPr>
          <w:rFonts w:cs="Arial"/>
        </w:rPr>
        <w:t>One comment was received from the published Federal Register Notice on November 7, 2018</w:t>
      </w:r>
      <w:r w:rsidR="00BF72FA">
        <w:rPr>
          <w:rFonts w:cs="Arial"/>
        </w:rPr>
        <w:t xml:space="preserve"> by Ted Delaney</w:t>
      </w:r>
      <w:r>
        <w:rPr>
          <w:rFonts w:cs="Arial"/>
        </w:rPr>
        <w:t>,</w:t>
      </w:r>
      <w:r w:rsidR="00905F3D">
        <w:rPr>
          <w:rFonts w:cs="Arial"/>
        </w:rPr>
        <w:t xml:space="preserve"> the comment</w:t>
      </w:r>
      <w:r>
        <w:rPr>
          <w:rFonts w:cs="Arial"/>
        </w:rPr>
        <w:t xml:space="preserve"> stated the following:</w:t>
      </w:r>
      <w:r w:rsidR="003F0FA4">
        <w:rPr>
          <w:rFonts w:cs="Arial"/>
        </w:rPr>
        <w:t xml:space="preserve">  </w:t>
      </w:r>
      <w:r>
        <w:rPr>
          <w:rFonts w:cs="Arial"/>
        </w:rPr>
        <w:t xml:space="preserve">(1) </w:t>
      </w:r>
      <w:r>
        <w:rPr>
          <w:rFonts w:cs="Arial"/>
          <w:color w:val="000000"/>
        </w:rPr>
        <w:t>In block 14, separate the Docket Number from this block and make it a stand-alone block.  (2) The Docket Number is required regardless of the type of application (Initial or Renewal).  (3) The current setup leads the user to believe it only applies if a previous license was held.</w:t>
      </w:r>
    </w:p>
    <w:p w14:paraId="31BECA06" w14:textId="77777777" w:rsidR="00A37E25" w:rsidRDefault="00A37E25" w:rsidP="00BE29E9">
      <w:pPr>
        <w:spacing w:line="270" w:lineRule="atLeast"/>
        <w:ind w:left="1440" w:right="-576"/>
      </w:pPr>
    </w:p>
    <w:p w14:paraId="7F59223D" w14:textId="77777777" w:rsidR="00F8143F" w:rsidRDefault="003F0FA4" w:rsidP="00A37E25">
      <w:pPr>
        <w:ind w:left="1440"/>
        <w:rPr>
          <w:rFonts w:cs="Arial"/>
        </w:rPr>
      </w:pPr>
      <w:r>
        <w:rPr>
          <w:rFonts w:cs="Arial"/>
        </w:rPr>
        <w:t xml:space="preserve">NRC Form 398 is used to transmit detailed information required to be submitted to the NRC by a facility licensee on each applicant applying for a new, upgraded license or license renewal to operate the controls at a nuclear reactor facility.  This information is used to determine that each applicant or renewal operator seeking a license or renewal of a license is qualified to be issued a license.  Block 14 collects information on the Docket Number, License Number, Expiration Date and Facility Docket Number. These fields are unique identifiers that have been placed in the same location in the form to ensure ease of use for the applicant and recordkeeper.  The Docket Number is required to indicate which facilities the individual is licensed.  </w:t>
      </w:r>
    </w:p>
    <w:p w14:paraId="19838B1A" w14:textId="77777777" w:rsidR="00F8143F" w:rsidRDefault="00F8143F" w:rsidP="00A37E25">
      <w:pPr>
        <w:ind w:left="1440"/>
        <w:rPr>
          <w:rFonts w:cs="Arial"/>
        </w:rPr>
      </w:pPr>
    </w:p>
    <w:p w14:paraId="667C318B" w14:textId="77777777" w:rsidR="00A37E25" w:rsidRDefault="00A37E25" w:rsidP="005511AA">
      <w:pPr>
        <w:ind w:left="1440"/>
      </w:pPr>
      <w:r>
        <w:rPr>
          <w:rFonts w:cs="Arial"/>
          <w:color w:val="000000"/>
        </w:rPr>
        <w:t xml:space="preserve">The staff has reviewed these comments and determined that </w:t>
      </w:r>
      <w:r w:rsidR="00F8143F">
        <w:rPr>
          <w:rFonts w:cs="Arial"/>
          <w:color w:val="000000"/>
        </w:rPr>
        <w:t xml:space="preserve">changing </w:t>
      </w:r>
      <w:r>
        <w:rPr>
          <w:rFonts w:cs="Arial"/>
          <w:color w:val="000000"/>
        </w:rPr>
        <w:t xml:space="preserve">the </w:t>
      </w:r>
      <w:r w:rsidR="00FF6C4D">
        <w:rPr>
          <w:rFonts w:cs="Arial"/>
          <w:color w:val="000000"/>
        </w:rPr>
        <w:t xml:space="preserve">title of block 14 </w:t>
      </w:r>
      <w:r w:rsidR="00F8143F">
        <w:rPr>
          <w:rFonts w:cs="Arial"/>
          <w:color w:val="000000"/>
        </w:rPr>
        <w:t>from “</w:t>
      </w:r>
      <w:r w:rsidR="00F8143F" w:rsidRPr="005511AA">
        <w:rPr>
          <w:rFonts w:cs="Arial"/>
          <w:bCs/>
          <w:color w:val="000000"/>
        </w:rPr>
        <w:t>Current or Previous License(s)</w:t>
      </w:r>
      <w:r w:rsidR="00F8143F">
        <w:rPr>
          <w:rFonts w:cs="Arial"/>
          <w:bCs/>
          <w:color w:val="000000"/>
        </w:rPr>
        <w:t xml:space="preserve"> </w:t>
      </w:r>
      <w:r w:rsidR="00F8143F" w:rsidRPr="005511AA">
        <w:rPr>
          <w:rFonts w:cs="Arial"/>
          <w:bCs/>
          <w:color w:val="000000"/>
        </w:rPr>
        <w:t>Held</w:t>
      </w:r>
      <w:r w:rsidR="00F8143F">
        <w:rPr>
          <w:rFonts w:cs="Arial"/>
          <w:bCs/>
          <w:color w:val="000000"/>
        </w:rPr>
        <w:t xml:space="preserve">” to </w:t>
      </w:r>
      <w:r w:rsidR="00531FB2">
        <w:rPr>
          <w:rFonts w:cs="Arial"/>
          <w:color w:val="000000"/>
        </w:rPr>
        <w:t>“</w:t>
      </w:r>
      <w:r w:rsidR="00FF6C4D">
        <w:rPr>
          <w:rFonts w:cs="Arial"/>
          <w:color w:val="000000"/>
        </w:rPr>
        <w:t>Docket and Licensing Information</w:t>
      </w:r>
      <w:r w:rsidR="00531FB2">
        <w:rPr>
          <w:rFonts w:cs="Arial"/>
          <w:color w:val="000000"/>
        </w:rPr>
        <w:t>”</w:t>
      </w:r>
      <w:r w:rsidR="00FF6C4D">
        <w:rPr>
          <w:rFonts w:cs="Arial"/>
          <w:color w:val="000000"/>
        </w:rPr>
        <w:t xml:space="preserve"> </w:t>
      </w:r>
      <w:r w:rsidR="00F8143F">
        <w:rPr>
          <w:rFonts w:cs="Arial"/>
          <w:color w:val="000000"/>
        </w:rPr>
        <w:t>will</w:t>
      </w:r>
      <w:r w:rsidR="00FF6C4D">
        <w:rPr>
          <w:rFonts w:cs="Arial"/>
          <w:color w:val="000000"/>
        </w:rPr>
        <w:t xml:space="preserve"> add clarity</w:t>
      </w:r>
      <w:r w:rsidR="00B342AF">
        <w:rPr>
          <w:rFonts w:cs="Arial"/>
          <w:color w:val="000000"/>
        </w:rPr>
        <w:t xml:space="preserve"> to the form</w:t>
      </w:r>
      <w:r w:rsidR="00F8143F">
        <w:rPr>
          <w:rFonts w:cs="Arial"/>
        </w:rPr>
        <w:t xml:space="preserve">.  </w:t>
      </w:r>
    </w:p>
    <w:p w14:paraId="45859E2D" w14:textId="77777777" w:rsidR="00A37E25" w:rsidRDefault="00A37E25" w:rsidP="00BE29E9">
      <w:pPr>
        <w:spacing w:line="270" w:lineRule="atLeast"/>
        <w:ind w:left="1440" w:right="-576"/>
      </w:pPr>
    </w:p>
    <w:p w14:paraId="321207C7" w14:textId="77777777" w:rsidR="006E69D0" w:rsidRPr="00FA06B8" w:rsidRDefault="006E69D0" w:rsidP="000D7BCA">
      <w:pPr>
        <w:numPr>
          <w:ilvl w:val="0"/>
          <w:numId w:val="17"/>
        </w:numPr>
      </w:pPr>
      <w:r w:rsidRPr="00FA06B8">
        <w:rPr>
          <w:u w:val="single"/>
        </w:rPr>
        <w:t>Payment or Gift to Respondents</w:t>
      </w:r>
    </w:p>
    <w:p w14:paraId="78C1388D" w14:textId="77777777" w:rsidR="00D733C0" w:rsidRPr="00FA06B8" w:rsidRDefault="00D733C0" w:rsidP="00A3228A">
      <w:pPr>
        <w:ind w:left="1440"/>
      </w:pPr>
    </w:p>
    <w:p w14:paraId="27A38291" w14:textId="77777777" w:rsidR="0053672A" w:rsidRDefault="006E69D0" w:rsidP="00FE3C32">
      <w:pPr>
        <w:ind w:left="1440"/>
      </w:pPr>
      <w:r w:rsidRPr="00FA06B8">
        <w:t>Not applicable.</w:t>
      </w:r>
    </w:p>
    <w:p w14:paraId="46D4CC91" w14:textId="77777777" w:rsidR="0053672A" w:rsidRDefault="0053672A" w:rsidP="00EC4973">
      <w:pPr>
        <w:ind w:firstLine="720"/>
      </w:pPr>
    </w:p>
    <w:p w14:paraId="6CB8B2FC" w14:textId="77777777" w:rsidR="006E69D0" w:rsidRPr="00FA06B8" w:rsidRDefault="006E69D0" w:rsidP="000D7BCA">
      <w:pPr>
        <w:numPr>
          <w:ilvl w:val="0"/>
          <w:numId w:val="17"/>
        </w:numPr>
      </w:pPr>
      <w:r w:rsidRPr="00FA06B8">
        <w:rPr>
          <w:u w:val="single"/>
        </w:rPr>
        <w:t>Confidentiality of the Information</w:t>
      </w:r>
    </w:p>
    <w:p w14:paraId="04B7655C" w14:textId="77777777" w:rsidR="00D733C0" w:rsidRPr="00FA06B8" w:rsidRDefault="00D733C0" w:rsidP="00FA06B8">
      <w:pPr>
        <w:ind w:left="1440"/>
      </w:pPr>
    </w:p>
    <w:p w14:paraId="0AB83EFC" w14:textId="77777777" w:rsidR="00B26472" w:rsidRDefault="0005700B" w:rsidP="0005700B">
      <w:pPr>
        <w:ind w:left="1440"/>
      </w:pPr>
      <w:r w:rsidRPr="0005700B">
        <w:t>Confidential and proprietary information is protected in accordance with NRC regulations at 10 CFR 9.17(a) and 10 CFR 2.390(b).</w:t>
      </w:r>
    </w:p>
    <w:p w14:paraId="595504BD" w14:textId="77777777" w:rsidR="00B26472" w:rsidRDefault="00B26472" w:rsidP="0005700B">
      <w:pPr>
        <w:ind w:left="1440"/>
      </w:pPr>
    </w:p>
    <w:p w14:paraId="2DA3B388" w14:textId="77777777" w:rsidR="006E69D0" w:rsidRPr="00FA06B8" w:rsidRDefault="008B5446" w:rsidP="000D7BCA">
      <w:pPr>
        <w:numPr>
          <w:ilvl w:val="0"/>
          <w:numId w:val="17"/>
        </w:numPr>
        <w:rPr>
          <w:u w:val="single"/>
        </w:rPr>
      </w:pPr>
      <w:r w:rsidRPr="00FA06B8">
        <w:rPr>
          <w:u w:val="single"/>
        </w:rPr>
        <w:t>Justification for Sensitive Questions</w:t>
      </w:r>
    </w:p>
    <w:p w14:paraId="7C2B3F52" w14:textId="77777777" w:rsidR="00D733C0" w:rsidRPr="00FA06B8" w:rsidRDefault="00D733C0" w:rsidP="00FA06B8">
      <w:pPr>
        <w:ind w:left="1440"/>
        <w:rPr>
          <w:u w:val="single"/>
        </w:rPr>
      </w:pPr>
    </w:p>
    <w:p w14:paraId="2229219B" w14:textId="77777777" w:rsidR="003E03AC" w:rsidRDefault="003E03AC" w:rsidP="003E03AC">
      <w:pPr>
        <w:widowControl w:val="0"/>
        <w:ind w:left="1440"/>
      </w:pPr>
      <w:r>
        <w:t xml:space="preserve">The information is required to determine the applicant’s </w:t>
      </w:r>
      <w:r>
        <w:rPr>
          <w:lang w:val="en"/>
        </w:rPr>
        <w:t>has successfully completed the facility licensee's requirements to be licensed as an operator or senior operator and of the facility licensee's need for an operator or a senior operator to perform assigned duties.</w:t>
      </w:r>
      <w:r w:rsidR="006A544E">
        <w:rPr>
          <w:lang w:val="en"/>
        </w:rPr>
        <w:t xml:space="preserve"> </w:t>
      </w:r>
      <w:r w:rsidR="006A544E">
        <w:t>Without the information the Commission would have no bases for its findings upon the certification by facility licensees.</w:t>
      </w:r>
    </w:p>
    <w:p w14:paraId="1EFAF1AE" w14:textId="77777777" w:rsidR="00D46B30" w:rsidRPr="00FA06B8" w:rsidRDefault="00D46B30" w:rsidP="000E0F3A">
      <w:pPr>
        <w:ind w:left="1440"/>
      </w:pPr>
    </w:p>
    <w:p w14:paraId="1C1666CC" w14:textId="77777777" w:rsidR="008B5446" w:rsidRPr="00FA06B8" w:rsidRDefault="008B5446" w:rsidP="000D7BCA">
      <w:pPr>
        <w:numPr>
          <w:ilvl w:val="0"/>
          <w:numId w:val="17"/>
        </w:numPr>
      </w:pPr>
      <w:r w:rsidRPr="00FA06B8">
        <w:rPr>
          <w:u w:val="single"/>
        </w:rPr>
        <w:t>Estimated</w:t>
      </w:r>
      <w:r w:rsidR="00470B44">
        <w:rPr>
          <w:u w:val="single"/>
        </w:rPr>
        <w:t xml:space="preserve"> </w:t>
      </w:r>
      <w:r w:rsidRPr="00FA06B8">
        <w:rPr>
          <w:u w:val="single"/>
        </w:rPr>
        <w:t>Burden and Burden Hour Cost</w:t>
      </w:r>
    </w:p>
    <w:p w14:paraId="227257A2" w14:textId="77777777" w:rsidR="00FA06B8" w:rsidRDefault="00FA06B8" w:rsidP="00FA06B8">
      <w:pPr>
        <w:ind w:left="1440"/>
      </w:pPr>
    </w:p>
    <w:p w14:paraId="1798AC2F" w14:textId="77777777" w:rsidR="00CD3E1E" w:rsidRDefault="00A077C0" w:rsidP="0048204A">
      <w:pPr>
        <w:widowControl w:val="0"/>
        <w:ind w:left="1440"/>
        <w:rPr>
          <w:color w:val="000000"/>
        </w:rPr>
      </w:pPr>
      <w:r>
        <w:rPr>
          <w:color w:val="000000"/>
        </w:rPr>
        <w:t>The NRC</w:t>
      </w:r>
      <w:r w:rsidR="0000727D">
        <w:rPr>
          <w:color w:val="000000"/>
        </w:rPr>
        <w:t xml:space="preserve"> </w:t>
      </w:r>
      <w:r>
        <w:rPr>
          <w:color w:val="000000"/>
        </w:rPr>
        <w:t xml:space="preserve">estimates </w:t>
      </w:r>
      <w:r w:rsidR="0000727D">
        <w:rPr>
          <w:color w:val="000000"/>
        </w:rPr>
        <w:t>that</w:t>
      </w:r>
      <w:r w:rsidR="00EC246E">
        <w:rPr>
          <w:color w:val="000000"/>
        </w:rPr>
        <w:t xml:space="preserve"> </w:t>
      </w:r>
      <w:r w:rsidR="00934132">
        <w:rPr>
          <w:color w:val="000000"/>
        </w:rPr>
        <w:t>1,074</w:t>
      </w:r>
      <w:r w:rsidR="00657A6B">
        <w:rPr>
          <w:color w:val="000000"/>
        </w:rPr>
        <w:t xml:space="preserve"> </w:t>
      </w:r>
      <w:r w:rsidR="003D02D9">
        <w:rPr>
          <w:color w:val="000000"/>
        </w:rPr>
        <w:t>NRC Form 398s are expect</w:t>
      </w:r>
      <w:r w:rsidR="00EC246E">
        <w:rPr>
          <w:color w:val="000000"/>
        </w:rPr>
        <w:t xml:space="preserve">ed to be submitted </w:t>
      </w:r>
      <w:r w:rsidR="006D520C">
        <w:rPr>
          <w:color w:val="000000"/>
        </w:rPr>
        <w:t>annually</w:t>
      </w:r>
      <w:r w:rsidR="00DF4E47">
        <w:rPr>
          <w:color w:val="000000"/>
        </w:rPr>
        <w:t xml:space="preserve"> (291 applicants</w:t>
      </w:r>
      <w:r w:rsidR="0012339F">
        <w:rPr>
          <w:color w:val="000000"/>
        </w:rPr>
        <w:t xml:space="preserve"> (initial &amp; upgrade)</w:t>
      </w:r>
      <w:r w:rsidR="003F0E90">
        <w:rPr>
          <w:color w:val="000000"/>
        </w:rPr>
        <w:t>, 266 applicants with waivers, 494 license renewals, and 23 re-applications).  At the hourly cost of $2</w:t>
      </w:r>
      <w:r w:rsidR="00E75AB0">
        <w:rPr>
          <w:color w:val="000000"/>
        </w:rPr>
        <w:t>75</w:t>
      </w:r>
      <w:r w:rsidR="003F0E90">
        <w:rPr>
          <w:color w:val="000000"/>
        </w:rPr>
        <w:t>, the total industry reporting requirements burden cost is $</w:t>
      </w:r>
      <w:r w:rsidR="00E75AB0">
        <w:rPr>
          <w:color w:val="000000"/>
        </w:rPr>
        <w:t>1,570,525</w:t>
      </w:r>
      <w:r w:rsidR="00375F80">
        <w:rPr>
          <w:color w:val="000000"/>
        </w:rPr>
        <w:t xml:space="preserve">.  </w:t>
      </w:r>
      <w:r w:rsidR="00CD3E1E">
        <w:rPr>
          <w:color w:val="000000"/>
        </w:rPr>
        <w:t>(See</w:t>
      </w:r>
      <w:r w:rsidR="00375F80">
        <w:rPr>
          <w:color w:val="000000"/>
        </w:rPr>
        <w:t> </w:t>
      </w:r>
      <w:r w:rsidR="0012339F">
        <w:rPr>
          <w:color w:val="000000"/>
        </w:rPr>
        <w:t xml:space="preserve">Reporting </w:t>
      </w:r>
      <w:r w:rsidR="00DF4E47">
        <w:rPr>
          <w:color w:val="000000"/>
        </w:rPr>
        <w:t>Burden Table)</w:t>
      </w:r>
      <w:r w:rsidR="0012339F">
        <w:rPr>
          <w:color w:val="000000"/>
        </w:rPr>
        <w:t xml:space="preserve">.  </w:t>
      </w:r>
    </w:p>
    <w:p w14:paraId="571241BE" w14:textId="77777777" w:rsidR="0012339F" w:rsidRDefault="0012339F" w:rsidP="0048204A">
      <w:pPr>
        <w:widowControl w:val="0"/>
        <w:ind w:left="1440"/>
        <w:rPr>
          <w:color w:val="000000"/>
        </w:rPr>
      </w:pPr>
    </w:p>
    <w:p w14:paraId="7270F87A" w14:textId="77777777" w:rsidR="0012339F" w:rsidRDefault="0012339F" w:rsidP="0048204A">
      <w:pPr>
        <w:widowControl w:val="0"/>
        <w:ind w:left="1440"/>
        <w:rPr>
          <w:color w:val="000000"/>
        </w:rPr>
      </w:pPr>
      <w:r>
        <w:rPr>
          <w:color w:val="000000"/>
        </w:rPr>
        <w:t>Note, there are no recordkeeping requirements imposed with this clearance.</w:t>
      </w:r>
    </w:p>
    <w:p w14:paraId="72F95415" w14:textId="77777777" w:rsidR="00F94086" w:rsidRDefault="00F94086" w:rsidP="001A191A">
      <w:pPr>
        <w:pStyle w:val="ListBullet"/>
        <w:numPr>
          <w:ilvl w:val="0"/>
          <w:numId w:val="0"/>
        </w:numPr>
        <w:ind w:left="720" w:firstLine="720"/>
        <w:rPr>
          <w:color w:val="000000"/>
          <w:highlight w:val="yellow"/>
        </w:rPr>
      </w:pPr>
    </w:p>
    <w:p w14:paraId="621B9BE5" w14:textId="77777777" w:rsidR="00F94086" w:rsidRPr="00B073DB" w:rsidRDefault="00F94086" w:rsidP="0048204A">
      <w:pPr>
        <w:ind w:left="720" w:firstLine="720"/>
      </w:pPr>
      <w:r w:rsidRPr="00B073DB">
        <w:rPr>
          <w:u w:val="single"/>
        </w:rPr>
        <w:t>Total Burden and Cost</w:t>
      </w:r>
    </w:p>
    <w:p w14:paraId="58387A2E" w14:textId="77777777" w:rsidR="00F94086" w:rsidRPr="00B073DB" w:rsidRDefault="00F94086" w:rsidP="00B073DB">
      <w:pPr>
        <w:ind w:left="2160"/>
      </w:pPr>
    </w:p>
    <w:p w14:paraId="09B41653" w14:textId="77777777" w:rsidR="00C15801" w:rsidRPr="00B073DB" w:rsidRDefault="0048204A" w:rsidP="0048204A">
      <w:pPr>
        <w:ind w:left="720" w:firstLine="720"/>
      </w:pPr>
      <w:r>
        <w:t xml:space="preserve">Total Annual Burden </w:t>
      </w:r>
      <w:r w:rsidR="007A31EC">
        <w:t xml:space="preserve">(1,891.5 + 2,527 + 1,235 + 57.5) </w:t>
      </w:r>
      <w:r>
        <w:t xml:space="preserve">= </w:t>
      </w:r>
      <w:r w:rsidR="00C15801" w:rsidRPr="00B073DB">
        <w:t xml:space="preserve">5,711 hours </w:t>
      </w:r>
    </w:p>
    <w:p w14:paraId="5CC918EF" w14:textId="77777777" w:rsidR="00136629" w:rsidRPr="00B073DB" w:rsidRDefault="00136629" w:rsidP="00B073DB">
      <w:pPr>
        <w:ind w:left="2160"/>
      </w:pPr>
    </w:p>
    <w:p w14:paraId="29CE7E2A" w14:textId="77777777" w:rsidR="00136629" w:rsidRPr="00B073DB" w:rsidRDefault="00136629" w:rsidP="0048204A">
      <w:pPr>
        <w:ind w:left="720" w:firstLine="720"/>
      </w:pPr>
      <w:r w:rsidRPr="00B073DB">
        <w:t>Total Burden Hour Cost</w:t>
      </w:r>
      <w:r w:rsidR="0048204A">
        <w:t xml:space="preserve"> =</w:t>
      </w:r>
      <w:r w:rsidR="00531FB2">
        <w:t xml:space="preserve"> $</w:t>
      </w:r>
      <w:r w:rsidRPr="00B073DB">
        <w:t>1,5</w:t>
      </w:r>
      <w:r w:rsidR="007644EA">
        <w:t xml:space="preserve">70,525 </w:t>
      </w:r>
      <w:r w:rsidRPr="00B073DB">
        <w:t>(5,711 hours x $</w:t>
      </w:r>
      <w:r w:rsidR="007644EA">
        <w:t>275</w:t>
      </w:r>
      <w:r w:rsidRPr="00B073DB">
        <w:t>/hour)</w:t>
      </w:r>
    </w:p>
    <w:p w14:paraId="71CAD5F7" w14:textId="77777777" w:rsidR="00C15801" w:rsidRPr="00B073DB" w:rsidRDefault="00C15801" w:rsidP="00B073DB">
      <w:pPr>
        <w:ind w:left="2160"/>
        <w:rPr>
          <w:highlight w:val="yellow"/>
        </w:rPr>
      </w:pPr>
    </w:p>
    <w:p w14:paraId="0D7F543A" w14:textId="77777777" w:rsidR="007B2498" w:rsidRDefault="007644EA" w:rsidP="00B073DB">
      <w:pPr>
        <w:pStyle w:val="ListBullet"/>
        <w:numPr>
          <w:ilvl w:val="0"/>
          <w:numId w:val="0"/>
        </w:numPr>
        <w:ind w:left="1440"/>
      </w:pPr>
      <w:r>
        <w:rPr>
          <w:rFonts w:cs="Arial"/>
        </w:rPr>
        <w:t>The $275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(83 FR 29622, June 25, 2018).</w:t>
      </w:r>
    </w:p>
    <w:p w14:paraId="68CEF355" w14:textId="77777777" w:rsidR="00090BDB" w:rsidRDefault="00090BDB" w:rsidP="007B2498">
      <w:pPr>
        <w:widowControl w:val="0"/>
        <w:ind w:left="1440"/>
        <w:rPr>
          <w:szCs w:val="22"/>
        </w:rPr>
      </w:pPr>
    </w:p>
    <w:p w14:paraId="665A01E8" w14:textId="77777777" w:rsidR="003F4DB0" w:rsidRDefault="003D02D9" w:rsidP="00F877B1">
      <w:pPr>
        <w:numPr>
          <w:ilvl w:val="0"/>
          <w:numId w:val="17"/>
        </w:numPr>
        <w:rPr>
          <w:color w:val="000000"/>
          <w:u w:val="single"/>
        </w:rPr>
      </w:pPr>
      <w:r w:rsidRPr="00043083">
        <w:rPr>
          <w:color w:val="000000"/>
          <w:u w:val="single"/>
        </w:rPr>
        <w:t>Estimate of Other Additional Costs</w:t>
      </w:r>
    </w:p>
    <w:p w14:paraId="26080F0E" w14:textId="77777777" w:rsidR="00F33C33" w:rsidRDefault="00F33C33" w:rsidP="003F4DB0">
      <w:pPr>
        <w:rPr>
          <w:color w:val="000000"/>
          <w:u w:val="single"/>
        </w:rPr>
      </w:pPr>
    </w:p>
    <w:p w14:paraId="1E364389" w14:textId="77777777" w:rsidR="00CB00CF" w:rsidRDefault="0048204A" w:rsidP="00CB00CF">
      <w:pPr>
        <w:widowControl w:val="0"/>
        <w:ind w:left="1440"/>
      </w:pPr>
      <w:r>
        <w:t>T</w:t>
      </w:r>
      <w:r w:rsidR="00B60671">
        <w:t xml:space="preserve">here are no additional costs.   </w:t>
      </w:r>
    </w:p>
    <w:p w14:paraId="22C9A222" w14:textId="77777777" w:rsidR="003F4DB0" w:rsidRDefault="003D02D9" w:rsidP="003F4DB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cs="Arial"/>
          <w:bCs/>
          <w:szCs w:val="22"/>
        </w:rPr>
      </w:pPr>
      <w:r>
        <w:rPr>
          <w:bCs/>
          <w:szCs w:val="22"/>
        </w:rPr>
        <w:tab/>
      </w:r>
    </w:p>
    <w:p w14:paraId="2C5DB125" w14:textId="77777777" w:rsidR="003D02D9" w:rsidRDefault="003D02D9" w:rsidP="00F877B1">
      <w:pPr>
        <w:widowControl w:val="0"/>
        <w:numPr>
          <w:ilvl w:val="0"/>
          <w:numId w:val="17"/>
        </w:numPr>
        <w:rPr>
          <w:color w:val="000000"/>
          <w:u w:val="single"/>
        </w:rPr>
      </w:pPr>
      <w:r w:rsidRPr="00043083">
        <w:rPr>
          <w:color w:val="000000"/>
          <w:u w:val="single"/>
        </w:rPr>
        <w:t>Estimated Annualized Cost to the Federal Government</w:t>
      </w:r>
    </w:p>
    <w:p w14:paraId="21619429" w14:textId="77777777" w:rsidR="00F33C33" w:rsidRDefault="00F33C33" w:rsidP="00357EA4">
      <w:pPr>
        <w:widowControl w:val="0"/>
        <w:rPr>
          <w:color w:val="000000"/>
          <w:u w:val="single"/>
        </w:rPr>
      </w:pPr>
    </w:p>
    <w:p w14:paraId="377DB9D1" w14:textId="77777777" w:rsidR="00015519" w:rsidRDefault="00F33C33" w:rsidP="00B073DB">
      <w:pPr>
        <w:widowControl w:val="0"/>
        <w:ind w:left="1440"/>
      </w:pPr>
      <w:r w:rsidRPr="00D93EC1">
        <w:rPr>
          <w:rFonts w:cs="Arial"/>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t xml:space="preserve">  It is estimated that 1,074 NRC Forms 398 will be submitted annually during the clearance period</w:t>
      </w:r>
      <w:r w:rsidR="00015519">
        <w:t xml:space="preserve"> </w:t>
      </w:r>
      <w:r w:rsidR="00B60671" w:rsidRPr="00B60671">
        <w:t>(291 applicants without waivers</w:t>
      </w:r>
      <w:r w:rsidR="0012339F">
        <w:t xml:space="preserve"> </w:t>
      </w:r>
      <w:r w:rsidR="0012339F">
        <w:rPr>
          <w:color w:val="000000"/>
        </w:rPr>
        <w:t>(initial &amp; upgrade),</w:t>
      </w:r>
      <w:r w:rsidR="00B60671" w:rsidRPr="00B60671">
        <w:t xml:space="preserve"> 266 applicants with waivers, </w:t>
      </w:r>
      <w:r w:rsidR="007A31EC">
        <w:t>494 license renewals, and 23 re</w:t>
      </w:r>
      <w:r w:rsidR="007A31EC">
        <w:noBreakHyphen/>
      </w:r>
      <w:r w:rsidR="00B60671" w:rsidRPr="00B60671">
        <w:t>applications)</w:t>
      </w:r>
      <w:r w:rsidR="00B60671">
        <w:t>.</w:t>
      </w:r>
      <w:r>
        <w:t xml:space="preserve"> </w:t>
      </w:r>
    </w:p>
    <w:p w14:paraId="6D4E675B" w14:textId="77777777" w:rsidR="000B3589" w:rsidRDefault="000B3589" w:rsidP="00B073DB">
      <w:pPr>
        <w:pStyle w:val="ListBullet"/>
        <w:numPr>
          <w:ilvl w:val="0"/>
          <w:numId w:val="0"/>
        </w:numPr>
        <w:ind w:left="2520"/>
      </w:pPr>
    </w:p>
    <w:p w14:paraId="73E0057E" w14:textId="77777777" w:rsidR="0012339F" w:rsidRDefault="00796E71" w:rsidP="00B2647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r>
        <w:rPr>
          <w:color w:val="000000"/>
        </w:rPr>
        <w:t xml:space="preserve">                       </w:t>
      </w:r>
      <w:r w:rsidR="003D02D9" w:rsidRPr="00043083">
        <w:rPr>
          <w:color w:val="000000"/>
        </w:rPr>
        <w:t xml:space="preserve">Processing the NRC Form 398 takes </w:t>
      </w:r>
      <w:r w:rsidR="003D02D9">
        <w:rPr>
          <w:color w:val="000000"/>
        </w:rPr>
        <w:t xml:space="preserve">approximately </w:t>
      </w:r>
      <w:r w:rsidR="00934132">
        <w:rPr>
          <w:color w:val="000000"/>
        </w:rPr>
        <w:t>1</w:t>
      </w:r>
      <w:r w:rsidR="00BC730D">
        <w:rPr>
          <w:color w:val="000000"/>
        </w:rPr>
        <w:t>.0</w:t>
      </w:r>
      <w:r w:rsidR="003D02D9">
        <w:rPr>
          <w:color w:val="000000"/>
        </w:rPr>
        <w:t xml:space="preserve"> hour per</w:t>
      </w:r>
      <w:r w:rsidR="00EC4973">
        <w:rPr>
          <w:color w:val="000000"/>
        </w:rPr>
        <w:t xml:space="preserve"> </w:t>
      </w:r>
      <w:r w:rsidR="003D02D9">
        <w:rPr>
          <w:color w:val="000000"/>
        </w:rPr>
        <w:t>application</w:t>
      </w:r>
      <w:r w:rsidR="00B60671">
        <w:rPr>
          <w:color w:val="000000"/>
        </w:rPr>
        <w:t xml:space="preserve"> without a waiver</w:t>
      </w:r>
      <w:r w:rsidR="003D02D9">
        <w:rPr>
          <w:color w:val="000000"/>
        </w:rPr>
        <w:t>,</w:t>
      </w:r>
      <w:r w:rsidR="00B47D08">
        <w:rPr>
          <w:color w:val="000000"/>
        </w:rPr>
        <w:t xml:space="preserve"> </w:t>
      </w:r>
      <w:r w:rsidR="003D02D9">
        <w:rPr>
          <w:color w:val="000000"/>
        </w:rPr>
        <w:t xml:space="preserve">1.5 hours per application with a waiver, </w:t>
      </w:r>
      <w:r w:rsidR="00934132">
        <w:rPr>
          <w:color w:val="000000"/>
        </w:rPr>
        <w:t>0</w:t>
      </w:r>
      <w:r w:rsidR="003D02D9">
        <w:rPr>
          <w:color w:val="000000"/>
        </w:rPr>
        <w:t>.5 hour per renewal and</w:t>
      </w:r>
      <w:r w:rsidR="00357EA4">
        <w:rPr>
          <w:color w:val="000000"/>
        </w:rPr>
        <w:t xml:space="preserve"> </w:t>
      </w:r>
      <w:r w:rsidR="00934132">
        <w:rPr>
          <w:color w:val="000000"/>
        </w:rPr>
        <w:t>0</w:t>
      </w:r>
      <w:r w:rsidR="003D02D9">
        <w:rPr>
          <w:color w:val="000000"/>
        </w:rPr>
        <w:t>.50 hour per</w:t>
      </w:r>
      <w:r w:rsidR="00B60671">
        <w:rPr>
          <w:color w:val="000000"/>
        </w:rPr>
        <w:t xml:space="preserve"> </w:t>
      </w:r>
      <w:r w:rsidR="00A6619C">
        <w:rPr>
          <w:color w:val="000000"/>
        </w:rPr>
        <w:t>re-application</w:t>
      </w:r>
      <w:r w:rsidR="003D02D9">
        <w:rPr>
          <w:color w:val="000000"/>
        </w:rPr>
        <w:t xml:space="preserve">. </w:t>
      </w:r>
      <w:r w:rsidR="00531FB2">
        <w:rPr>
          <w:color w:val="000000"/>
        </w:rPr>
        <w:t xml:space="preserve"> </w:t>
      </w:r>
      <w:r w:rsidR="003D02D9" w:rsidRPr="00043083">
        <w:rPr>
          <w:color w:val="000000"/>
        </w:rPr>
        <w:t>The NRC Form 398 processing includes data input, file maintenanc</w:t>
      </w:r>
      <w:r w:rsidR="003D02D9">
        <w:rPr>
          <w:color w:val="000000"/>
        </w:rPr>
        <w:t>e, and form review regarding</w:t>
      </w:r>
      <w:r w:rsidR="003D02D9" w:rsidRPr="00043083">
        <w:rPr>
          <w:color w:val="000000"/>
        </w:rPr>
        <w:t xml:space="preserve"> eligibility criteria.  Data input takes longer for applications because al</w:t>
      </w:r>
      <w:r w:rsidR="003D02D9">
        <w:rPr>
          <w:color w:val="000000"/>
        </w:rPr>
        <w:t>l data must be entered to initially activate an operator’s docket</w:t>
      </w:r>
      <w:r w:rsidR="002C364C">
        <w:rPr>
          <w:color w:val="000000"/>
        </w:rPr>
        <w:t xml:space="preserve">.  Alternatively, </w:t>
      </w:r>
      <w:r w:rsidR="00A6619C">
        <w:rPr>
          <w:color w:val="000000"/>
        </w:rPr>
        <w:t>re-applications</w:t>
      </w:r>
      <w:r w:rsidR="003D02D9" w:rsidRPr="00043083">
        <w:rPr>
          <w:color w:val="000000"/>
        </w:rPr>
        <w:t xml:space="preserve"> and renewals</w:t>
      </w:r>
      <w:r w:rsidR="002C364C">
        <w:rPr>
          <w:color w:val="000000"/>
        </w:rPr>
        <w:t xml:space="preserve"> only require data updates to the existing docket file</w:t>
      </w:r>
      <w:r w:rsidR="003D02D9">
        <w:rPr>
          <w:color w:val="000000"/>
        </w:rPr>
        <w:t xml:space="preserve">. </w:t>
      </w:r>
      <w:r w:rsidR="00531FB2">
        <w:rPr>
          <w:color w:val="000000"/>
        </w:rPr>
        <w:t xml:space="preserve"> </w:t>
      </w:r>
      <w:r w:rsidR="002C364C" w:rsidRPr="002C364C">
        <w:rPr>
          <w:color w:val="000000"/>
        </w:rPr>
        <w:t>At the hourly cost of $2</w:t>
      </w:r>
      <w:r w:rsidR="00E75AB0">
        <w:rPr>
          <w:color w:val="000000"/>
        </w:rPr>
        <w:t>75</w:t>
      </w:r>
      <w:r w:rsidR="002C364C" w:rsidRPr="002C364C">
        <w:rPr>
          <w:color w:val="000000"/>
        </w:rPr>
        <w:t>, the total cost</w:t>
      </w:r>
      <w:r w:rsidR="002C364C">
        <w:rPr>
          <w:color w:val="000000"/>
        </w:rPr>
        <w:t xml:space="preserve"> to the NRC</w:t>
      </w:r>
      <w:r w:rsidR="002C364C" w:rsidRPr="002C364C">
        <w:rPr>
          <w:color w:val="000000"/>
        </w:rPr>
        <w:t xml:space="preserve"> is $</w:t>
      </w:r>
      <w:r w:rsidR="0012339F">
        <w:rPr>
          <w:color w:val="000000"/>
        </w:rPr>
        <w:t>260,838</w:t>
      </w:r>
      <w:r w:rsidR="007A31EC">
        <w:rPr>
          <w:color w:val="000000"/>
        </w:rPr>
        <w:t>.</w:t>
      </w:r>
    </w:p>
    <w:p w14:paraId="743FA14A" w14:textId="77777777" w:rsidR="00F32FA2" w:rsidRDefault="00F32FA2" w:rsidP="0062556A">
      <w:pPr>
        <w:widowControl w:val="0"/>
        <w:ind w:left="1440"/>
        <w:rPr>
          <w:rFonts w:cs="Arial"/>
          <w:szCs w:val="22"/>
        </w:rPr>
      </w:pPr>
    </w:p>
    <w:p w14:paraId="481B9116" w14:textId="77777777" w:rsidR="003D02D9" w:rsidRDefault="003D02D9" w:rsidP="008C752F">
      <w:pPr>
        <w:widowControl w:val="0"/>
        <w:numPr>
          <w:ilvl w:val="0"/>
          <w:numId w:val="17"/>
        </w:numPr>
        <w:rPr>
          <w:color w:val="000000"/>
          <w:u w:val="single"/>
        </w:rPr>
      </w:pPr>
      <w:r w:rsidRPr="00043083">
        <w:rPr>
          <w:color w:val="000000"/>
          <w:u w:val="single"/>
        </w:rPr>
        <w:t>Reasons for Changes in Burden or Cost</w:t>
      </w:r>
    </w:p>
    <w:p w14:paraId="6499E6E9" w14:textId="77777777" w:rsidR="00075BF4" w:rsidRDefault="00075BF4" w:rsidP="00B073DB">
      <w:pPr>
        <w:widowControl w:val="0"/>
        <w:rPr>
          <w:color w:val="000000"/>
        </w:rPr>
      </w:pPr>
    </w:p>
    <w:p w14:paraId="7F3C6463" w14:textId="77777777" w:rsidR="000B3BB4" w:rsidRPr="000B3BB4" w:rsidRDefault="007A31EC" w:rsidP="000B3BB4">
      <w:pPr>
        <w:widowControl w:val="0"/>
        <w:ind w:left="1440"/>
        <w:rPr>
          <w:color w:val="000000"/>
        </w:rPr>
      </w:pPr>
      <w:r>
        <w:rPr>
          <w:color w:val="000000"/>
        </w:rPr>
        <w:t xml:space="preserve">Improvements </w:t>
      </w:r>
      <w:r w:rsidR="000B3BB4" w:rsidRPr="000B3BB4">
        <w:rPr>
          <w:color w:val="000000"/>
        </w:rPr>
        <w:t>have been made to the NRC Form 398</w:t>
      </w:r>
      <w:r>
        <w:rPr>
          <w:color w:val="000000"/>
        </w:rPr>
        <w:t xml:space="preserve"> to aid the applicant</w:t>
      </w:r>
      <w:r w:rsidR="000B3BB4" w:rsidRPr="000B3BB4">
        <w:rPr>
          <w:color w:val="000000"/>
        </w:rPr>
        <w:t>.</w:t>
      </w:r>
      <w:r>
        <w:rPr>
          <w:color w:val="000000"/>
        </w:rPr>
        <w:t xml:space="preserve">  I</w:t>
      </w:r>
      <w:r w:rsidR="000B3BB4" w:rsidRPr="000B3BB4">
        <w:t xml:space="preserve">nstructions </w:t>
      </w:r>
      <w:r w:rsidR="000B3BB4">
        <w:t>have</w:t>
      </w:r>
      <w:r w:rsidR="000B3BB4" w:rsidRPr="000B3BB4">
        <w:t xml:space="preserve"> be</w:t>
      </w:r>
      <w:r w:rsidR="000B3BB4">
        <w:t>en</w:t>
      </w:r>
      <w:r w:rsidR="000B3BB4" w:rsidRPr="000B3BB4">
        <w:t xml:space="preserve"> clarified, and </w:t>
      </w:r>
      <w:r>
        <w:t>improved</w:t>
      </w:r>
      <w:r w:rsidR="000B3BB4" w:rsidRPr="000B3BB4">
        <w:t xml:space="preserve"> format</w:t>
      </w:r>
      <w:r w:rsidR="000B3BB4">
        <w:t>ting</w:t>
      </w:r>
      <w:r w:rsidR="000B3BB4" w:rsidRPr="000B3BB4">
        <w:t xml:space="preserve"> changes have been applied to support </w:t>
      </w:r>
      <w:r w:rsidR="000B3BB4">
        <w:t xml:space="preserve">a </w:t>
      </w:r>
      <w:r w:rsidR="000B3BB4" w:rsidRPr="000B3BB4">
        <w:t>future electronic submission</w:t>
      </w:r>
      <w:r w:rsidR="000B3BB4">
        <w:t xml:space="preserve"> option</w:t>
      </w:r>
      <w:r w:rsidR="000B3BB4" w:rsidRPr="000B3BB4">
        <w:t>.</w:t>
      </w:r>
      <w:r w:rsidR="000B3BB4" w:rsidRPr="000B3BB4">
        <w:rPr>
          <w:color w:val="000000"/>
        </w:rPr>
        <w:t xml:space="preserve">  </w:t>
      </w:r>
      <w:r w:rsidR="000B3BB4" w:rsidRPr="005D43B4">
        <w:rPr>
          <w:rFonts w:cs="Arial"/>
          <w:color w:val="000000"/>
          <w:szCs w:val="22"/>
        </w:rPr>
        <w:t>These changes a</w:t>
      </w:r>
      <w:r w:rsidR="005D43B4" w:rsidRPr="005D43B4">
        <w:rPr>
          <w:rFonts w:cs="Arial"/>
          <w:color w:val="000000"/>
          <w:szCs w:val="22"/>
        </w:rPr>
        <w:t xml:space="preserve">re not expected to </w:t>
      </w:r>
      <w:r w:rsidR="000B3BB4" w:rsidRPr="005D43B4">
        <w:rPr>
          <w:rFonts w:cs="Arial"/>
          <w:color w:val="000000"/>
          <w:szCs w:val="22"/>
        </w:rPr>
        <w:t>increase the burden associated with completing</w:t>
      </w:r>
      <w:r w:rsidR="00AD2F99">
        <w:rPr>
          <w:rFonts w:cs="Arial"/>
          <w:color w:val="000000"/>
          <w:szCs w:val="22"/>
        </w:rPr>
        <w:t xml:space="preserve"> and submitting an NRC Form 39</w:t>
      </w:r>
      <w:r w:rsidR="003D36FE">
        <w:rPr>
          <w:rFonts w:cs="Arial"/>
          <w:color w:val="000000"/>
          <w:szCs w:val="22"/>
        </w:rPr>
        <w:t>8</w:t>
      </w:r>
      <w:r w:rsidR="00AD2F99">
        <w:rPr>
          <w:rFonts w:cs="Arial"/>
          <w:color w:val="000000"/>
          <w:szCs w:val="22"/>
        </w:rPr>
        <w:t>.</w:t>
      </w:r>
    </w:p>
    <w:p w14:paraId="4AE431CF" w14:textId="77777777" w:rsidR="000B3BB4" w:rsidRDefault="000B3BB4" w:rsidP="006936A3">
      <w:pPr>
        <w:widowControl w:val="0"/>
        <w:ind w:left="1440"/>
        <w:rPr>
          <w:color w:val="000000"/>
        </w:rPr>
      </w:pPr>
    </w:p>
    <w:p w14:paraId="2F57B82E" w14:textId="2D61FC7C" w:rsidR="00294429" w:rsidRDefault="00B26DB4" w:rsidP="00B544B5">
      <w:pPr>
        <w:widowControl w:val="0"/>
        <w:ind w:left="1440"/>
        <w:rPr>
          <w:color w:val="000000"/>
        </w:rPr>
      </w:pPr>
      <w:r>
        <w:rPr>
          <w:color w:val="000000"/>
        </w:rPr>
        <w:t>The previous cycle</w:t>
      </w:r>
      <w:r w:rsidR="009055EF">
        <w:rPr>
          <w:color w:val="000000"/>
        </w:rPr>
        <w:t>’s</w:t>
      </w:r>
      <w:r>
        <w:rPr>
          <w:color w:val="000000"/>
        </w:rPr>
        <w:t xml:space="preserve"> estimated response rate of 1,500 responses per year</w:t>
      </w:r>
      <w:r w:rsidR="00067D3E">
        <w:rPr>
          <w:color w:val="000000"/>
        </w:rPr>
        <w:t xml:space="preserve"> double count</w:t>
      </w:r>
      <w:r w:rsidR="00EB12A3">
        <w:rPr>
          <w:color w:val="000000"/>
        </w:rPr>
        <w:t>ed</w:t>
      </w:r>
      <w:r w:rsidR="00067D3E">
        <w:rPr>
          <w:color w:val="000000"/>
        </w:rPr>
        <w:t xml:space="preserve"> </w:t>
      </w:r>
      <w:r w:rsidR="00F1531B">
        <w:rPr>
          <w:color w:val="000000"/>
        </w:rPr>
        <w:t>the</w:t>
      </w:r>
      <w:r w:rsidR="00B27C65">
        <w:rPr>
          <w:color w:val="000000"/>
        </w:rPr>
        <w:t xml:space="preserve"> </w:t>
      </w:r>
      <w:r w:rsidR="00067D3E">
        <w:rPr>
          <w:color w:val="000000"/>
        </w:rPr>
        <w:t xml:space="preserve">number of annual applications requiring a waiver.  </w:t>
      </w:r>
      <w:r w:rsidR="00F1531B">
        <w:rPr>
          <w:color w:val="000000"/>
        </w:rPr>
        <w:t xml:space="preserve">Without </w:t>
      </w:r>
      <w:r w:rsidR="00EB12A3">
        <w:rPr>
          <w:color w:val="000000"/>
        </w:rPr>
        <w:t xml:space="preserve">the </w:t>
      </w:r>
      <w:r w:rsidR="00F1531B">
        <w:rPr>
          <w:color w:val="000000"/>
        </w:rPr>
        <w:t>double counting the applications requiring a waiver, the</w:t>
      </w:r>
      <w:r w:rsidR="00EB12A3">
        <w:rPr>
          <w:color w:val="000000"/>
        </w:rPr>
        <w:t xml:space="preserve"> response rate</w:t>
      </w:r>
      <w:r w:rsidR="00CA3A2A">
        <w:rPr>
          <w:color w:val="000000"/>
        </w:rPr>
        <w:t xml:space="preserve"> </w:t>
      </w:r>
      <w:r w:rsidR="00F1531B">
        <w:rPr>
          <w:color w:val="000000"/>
        </w:rPr>
        <w:t>w</w:t>
      </w:r>
      <w:r w:rsidR="00067D3E">
        <w:rPr>
          <w:color w:val="000000"/>
        </w:rPr>
        <w:t>ould have been 1,375</w:t>
      </w:r>
      <w:r w:rsidR="00EB12A3">
        <w:rPr>
          <w:color w:val="000000"/>
        </w:rPr>
        <w:t xml:space="preserve"> responses per year</w:t>
      </w:r>
      <w:r w:rsidR="00B27C65">
        <w:rPr>
          <w:color w:val="000000"/>
        </w:rPr>
        <w:t>.</w:t>
      </w:r>
      <w:r>
        <w:rPr>
          <w:color w:val="000000"/>
        </w:rPr>
        <w:t xml:space="preserve">  </w:t>
      </w:r>
      <w:r w:rsidR="00067D3E">
        <w:rPr>
          <w:color w:val="000000"/>
        </w:rPr>
        <w:t xml:space="preserve">For this renewal, the </w:t>
      </w:r>
      <w:r>
        <w:rPr>
          <w:color w:val="000000"/>
        </w:rPr>
        <w:t>number of estimated annual responses has been reduce</w:t>
      </w:r>
      <w:r w:rsidR="00294429">
        <w:rPr>
          <w:color w:val="000000"/>
        </w:rPr>
        <w:t>d</w:t>
      </w:r>
      <w:r>
        <w:rPr>
          <w:color w:val="000000"/>
        </w:rPr>
        <w:t xml:space="preserve"> to 1,074</w:t>
      </w:r>
      <w:r w:rsidR="00067D3E">
        <w:rPr>
          <w:color w:val="000000"/>
        </w:rPr>
        <w:t>.  The decrease in annual responses is</w:t>
      </w:r>
      <w:r w:rsidR="00B27C65">
        <w:rPr>
          <w:color w:val="000000"/>
        </w:rPr>
        <w:t xml:space="preserve"> </w:t>
      </w:r>
      <w:r>
        <w:rPr>
          <w:color w:val="000000"/>
        </w:rPr>
        <w:t>due, in part, to improved data on the actual number of submitted responses in the past three years</w:t>
      </w:r>
      <w:r w:rsidR="00294429">
        <w:rPr>
          <w:color w:val="000000"/>
        </w:rPr>
        <w:t>.  Additionally</w:t>
      </w:r>
      <w:r w:rsidR="00CA3A2A">
        <w:rPr>
          <w:color w:val="000000"/>
        </w:rPr>
        <w:t xml:space="preserve">, </w:t>
      </w:r>
      <w:r w:rsidR="00294429">
        <w:rPr>
          <w:color w:val="000000"/>
        </w:rPr>
        <w:t>the estimated annual response rate is informed by the information provided by industry on NRC Form 536 (3150-0131).  NRC Form 536 collects licensee estimates on the number of operator licensing exams needed for the next four calendar years.</w:t>
      </w:r>
    </w:p>
    <w:p w14:paraId="5341785A" w14:textId="77777777" w:rsidR="00B80FAB" w:rsidRDefault="00B80FAB" w:rsidP="00BD63B5">
      <w:pPr>
        <w:widowControl w:val="0"/>
        <w:spacing w:line="360" w:lineRule="auto"/>
        <w:ind w:left="1440"/>
        <w:rPr>
          <w:rFonts w:cs="Arial"/>
          <w:color w:val="000000"/>
          <w:szCs w:val="22"/>
        </w:rPr>
      </w:pPr>
    </w:p>
    <w:p w14:paraId="11B30504" w14:textId="77777777" w:rsidR="00C733ED" w:rsidRDefault="00091061" w:rsidP="006936A3">
      <w:pPr>
        <w:widowControl w:val="0"/>
        <w:spacing w:line="240" w:lineRule="exact"/>
        <w:ind w:left="1440"/>
      </w:pPr>
      <w:r>
        <w:t xml:space="preserve">The overall annual industry and Federal Government costs </w:t>
      </w:r>
      <w:r w:rsidR="0044571C">
        <w:t>decreased</w:t>
      </w:r>
      <w:r>
        <w:t xml:space="preserve"> by</w:t>
      </w:r>
    </w:p>
    <w:p w14:paraId="1BD428A5" w14:textId="10627CFF" w:rsidR="00543AD5" w:rsidRDefault="00091061" w:rsidP="006936A3">
      <w:pPr>
        <w:widowControl w:val="0"/>
        <w:ind w:left="1440"/>
        <w:rPr>
          <w:color w:val="000000"/>
        </w:rPr>
      </w:pPr>
      <w:r>
        <w:t>$</w:t>
      </w:r>
      <w:r w:rsidR="00F4190A">
        <w:t xml:space="preserve">678,566 </w:t>
      </w:r>
      <w:r>
        <w:t>from $</w:t>
      </w:r>
      <w:r w:rsidR="00C733ED">
        <w:t>2,249,09</w:t>
      </w:r>
      <w:r w:rsidR="0044571C">
        <w:t>1</w:t>
      </w:r>
      <w:r w:rsidR="003E78D8">
        <w:t xml:space="preserve"> </w:t>
      </w:r>
      <w:r>
        <w:t xml:space="preserve">to </w:t>
      </w:r>
      <w:r w:rsidR="0044571C">
        <w:t>$</w:t>
      </w:r>
      <w:r w:rsidR="00F4190A">
        <w:t>1,570,525</w:t>
      </w:r>
      <w:r>
        <w:t xml:space="preserve"> </w:t>
      </w:r>
      <w:r w:rsidR="00DF64EC">
        <w:t>as a result of</w:t>
      </w:r>
      <w:r w:rsidR="00651ABF">
        <w:t xml:space="preserve"> </w:t>
      </w:r>
      <w:r w:rsidR="00CA0CCD">
        <w:t>a decrease in the annual fee</w:t>
      </w:r>
      <w:r w:rsidR="00B26DB4">
        <w:t xml:space="preserve"> from $279/hour to $275/hour</w:t>
      </w:r>
      <w:r w:rsidR="00CA0CCD">
        <w:t xml:space="preserve"> and due to </w:t>
      </w:r>
      <w:r w:rsidR="00CA3A2A">
        <w:t>re-baselining,</w:t>
      </w:r>
      <w:r w:rsidR="00CA0CCD">
        <w:t xml:space="preserve"> the </w:t>
      </w:r>
      <w:r w:rsidR="00651ABF">
        <w:t xml:space="preserve">cycle </w:t>
      </w:r>
      <w:r w:rsidR="00CA0CCD">
        <w:t xml:space="preserve">response </w:t>
      </w:r>
      <w:r w:rsidR="00651ABF">
        <w:t xml:space="preserve">estimates </w:t>
      </w:r>
      <w:r w:rsidR="00B26DB4">
        <w:t xml:space="preserve">based on improved </w:t>
      </w:r>
      <w:r w:rsidR="00A077C0">
        <w:t>historical data.</w:t>
      </w:r>
    </w:p>
    <w:p w14:paraId="352812A4" w14:textId="77777777" w:rsidR="00F8143F" w:rsidRDefault="00F8143F">
      <w:pPr>
        <w:rPr>
          <w:color w:val="000000"/>
          <w:u w:val="single"/>
        </w:rPr>
      </w:pPr>
      <w:r>
        <w:rPr>
          <w:color w:val="000000"/>
          <w:u w:val="single"/>
        </w:rPr>
        <w:br w:type="page"/>
      </w:r>
    </w:p>
    <w:p w14:paraId="5D5FE91B" w14:textId="77777777" w:rsidR="003D02D9" w:rsidRPr="00043083" w:rsidRDefault="003D02D9" w:rsidP="008C752F">
      <w:pPr>
        <w:widowControl w:val="0"/>
        <w:numPr>
          <w:ilvl w:val="0"/>
          <w:numId w:val="17"/>
        </w:num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43083">
        <w:rPr>
          <w:color w:val="000000"/>
          <w:u w:val="single"/>
        </w:rPr>
        <w:t>Publications for Statistical Use</w:t>
      </w:r>
    </w:p>
    <w:p w14:paraId="437E8E3F" w14:textId="77777777" w:rsidR="003D02D9" w:rsidRPr="00043083" w:rsidRDefault="003D02D9" w:rsidP="006936A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923CDC4" w14:textId="77777777" w:rsidR="003D02D9" w:rsidRPr="00043083" w:rsidRDefault="008C752F" w:rsidP="000E0F3A">
      <w:pPr>
        <w:widowControl w:val="0"/>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00" w:firstLine="240"/>
        <w:rPr>
          <w:color w:val="000000"/>
        </w:rPr>
      </w:pPr>
      <w:r>
        <w:rPr>
          <w:color w:val="000000"/>
        </w:rPr>
        <w:t>None.</w:t>
      </w:r>
    </w:p>
    <w:p w14:paraId="1D99D1F7" w14:textId="77777777" w:rsidR="003D02D9" w:rsidRDefault="003D02D9" w:rsidP="003D02D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color w:val="000000"/>
        </w:rPr>
      </w:pPr>
    </w:p>
    <w:p w14:paraId="3118AA94" w14:textId="77777777" w:rsidR="003D02D9" w:rsidRDefault="003D02D9" w:rsidP="008C752F">
      <w:pPr>
        <w:widowControl w:val="0"/>
        <w:numPr>
          <w:ilvl w:val="0"/>
          <w:numId w:val="17"/>
        </w:num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043083">
        <w:rPr>
          <w:color w:val="000000"/>
          <w:u w:val="single"/>
        </w:rPr>
        <w:t>Reason for Not Displaying the Expiration Date</w:t>
      </w:r>
    </w:p>
    <w:p w14:paraId="1A54ABF0" w14:textId="77777777" w:rsidR="003D02D9" w:rsidRPr="00043083" w:rsidRDefault="003D02D9" w:rsidP="003D02D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D54C432" w14:textId="77777777" w:rsidR="003D02D9" w:rsidRDefault="003D02D9" w:rsidP="000E0F3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firstLine="240"/>
        <w:rPr>
          <w:color w:val="000000"/>
        </w:rPr>
      </w:pPr>
      <w:r w:rsidRPr="00043083">
        <w:rPr>
          <w:color w:val="000000"/>
        </w:rPr>
        <w:t>The expiration date is displayed.</w:t>
      </w:r>
    </w:p>
    <w:p w14:paraId="77F779DE" w14:textId="77777777" w:rsidR="003D02D9" w:rsidRDefault="003D02D9" w:rsidP="003D02D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p>
    <w:p w14:paraId="6C0B3354" w14:textId="77777777" w:rsidR="003D02D9" w:rsidRPr="00084218" w:rsidRDefault="003D02D9" w:rsidP="008C752F">
      <w:pPr>
        <w:widowControl w:val="0"/>
        <w:numPr>
          <w:ilvl w:val="0"/>
          <w:numId w:val="17"/>
        </w:num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084218">
        <w:rPr>
          <w:color w:val="000000"/>
          <w:u w:val="single"/>
        </w:rPr>
        <w:t>Exceptions to the Certification Statement</w:t>
      </w:r>
    </w:p>
    <w:p w14:paraId="04BD1D1F" w14:textId="77777777" w:rsidR="003D02D9" w:rsidRDefault="003D02D9" w:rsidP="003D02D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p>
    <w:p w14:paraId="6612EEA0" w14:textId="77777777" w:rsidR="00110FF5" w:rsidRDefault="008C752F" w:rsidP="000E0F3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pPr>
      <w:r>
        <w:rPr>
          <w:color w:val="000000"/>
        </w:rPr>
        <w:t>Not applicable.</w:t>
      </w:r>
      <w:r w:rsidR="003D02D9">
        <w:rPr>
          <w:color w:val="000000"/>
        </w:rPr>
        <w:t xml:space="preserve">  </w:t>
      </w:r>
    </w:p>
    <w:p w14:paraId="7F594B16" w14:textId="77777777" w:rsidR="00AD2F99" w:rsidRDefault="00AD2F99" w:rsidP="0014507D">
      <w:pPr>
        <w:ind w:left="360"/>
      </w:pPr>
    </w:p>
    <w:p w14:paraId="1FA27877" w14:textId="77777777" w:rsidR="00AD2F99" w:rsidRDefault="00AD2F99" w:rsidP="0014507D">
      <w:pPr>
        <w:ind w:left="360"/>
      </w:pPr>
    </w:p>
    <w:p w14:paraId="36F42F3E" w14:textId="77777777" w:rsidR="00110FF5" w:rsidRPr="00FA06B8" w:rsidRDefault="001B22CA" w:rsidP="0014507D">
      <w:pPr>
        <w:ind w:left="360"/>
      </w:pPr>
      <w:r>
        <w:t>B.</w:t>
      </w:r>
      <w:r>
        <w:tab/>
      </w:r>
      <w:r w:rsidR="00110FF5" w:rsidRPr="00FA06B8">
        <w:t>COLLECTION OF INFORMATION EMPLOYING STATISTICAL METHODS</w:t>
      </w:r>
    </w:p>
    <w:p w14:paraId="50C53856" w14:textId="77777777" w:rsidR="00D733C0" w:rsidRPr="00FA06B8" w:rsidRDefault="00D733C0" w:rsidP="00FA06B8">
      <w:pPr>
        <w:ind w:left="720"/>
      </w:pPr>
    </w:p>
    <w:p w14:paraId="390F1AC7" w14:textId="77777777" w:rsidR="00FA06B8" w:rsidRDefault="00110FF5" w:rsidP="00FA06B8">
      <w:pPr>
        <w:ind w:left="720"/>
      </w:pPr>
      <w:r w:rsidRPr="00FA06B8">
        <w:t>Statistical methods are not used in this collection of information.</w:t>
      </w:r>
    </w:p>
    <w:p w14:paraId="13830E7A" w14:textId="77777777" w:rsidR="00015519" w:rsidRPr="00043083" w:rsidRDefault="00015519" w:rsidP="00015519">
      <w:pPr>
        <w:widowControl w:val="0"/>
        <w:ind w:left="1200" w:firstLine="240"/>
        <w:rPr>
          <w:color w:val="000000"/>
        </w:rPr>
      </w:pPr>
    </w:p>
    <w:p w14:paraId="25CF0B0E" w14:textId="77777777" w:rsidR="00E356C1" w:rsidRDefault="00E356C1" w:rsidP="00E356C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r>
        <w:br w:type="page"/>
      </w:r>
      <w:r>
        <w:rPr>
          <w:rFonts w:cs="Arial"/>
          <w:szCs w:val="22"/>
        </w:rPr>
        <w:t>DESCRIPTION OF INFORMATION COLLECTION REQUIREMENTS</w:t>
      </w:r>
    </w:p>
    <w:p w14:paraId="12E7DC6C" w14:textId="77777777" w:rsidR="00E356C1" w:rsidRDefault="00E356C1" w:rsidP="00E356C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szCs w:val="22"/>
        </w:rPr>
      </w:pPr>
      <w:r>
        <w:rPr>
          <w:rFonts w:cs="Arial"/>
          <w:szCs w:val="22"/>
        </w:rPr>
        <w:t xml:space="preserve">CONTAINED IN </w:t>
      </w:r>
    </w:p>
    <w:p w14:paraId="63FFE7E2" w14:textId="77777777" w:rsidR="00E356C1" w:rsidRDefault="00E356C1" w:rsidP="00E356C1">
      <w:pPr>
        <w:jc w:val="center"/>
      </w:pPr>
    </w:p>
    <w:p w14:paraId="6B6FC255" w14:textId="77777777" w:rsidR="00E356C1" w:rsidRDefault="00E356C1" w:rsidP="00E356C1">
      <w:pPr>
        <w:jc w:val="center"/>
      </w:pPr>
      <w:r>
        <w:t>NRC FORM 398, “PERSONAL QUALIFICATION STATEMENT – LICENSE,”</w:t>
      </w:r>
    </w:p>
    <w:p w14:paraId="397F3309" w14:textId="77777777" w:rsidR="00E356C1" w:rsidRPr="00043083" w:rsidRDefault="00E356C1" w:rsidP="00E356C1">
      <w:pPr>
        <w:widowControl w:val="0"/>
        <w:tabs>
          <w:tab w:val="center" w:pos="4680"/>
        </w:tabs>
        <w:jc w:val="center"/>
        <w:rPr>
          <w:color w:val="000000"/>
        </w:rPr>
      </w:pPr>
      <w:r w:rsidRPr="00043083">
        <w:rPr>
          <w:color w:val="000000"/>
        </w:rPr>
        <w:t>10 CFR PART 55, SECTIONS 55.31, 55.35, 55.47 AND 55.57</w:t>
      </w:r>
    </w:p>
    <w:p w14:paraId="5FD5B95C" w14:textId="77777777" w:rsidR="00E356C1" w:rsidRPr="00FA06B8" w:rsidRDefault="00E356C1" w:rsidP="00E356C1">
      <w:pPr>
        <w:jc w:val="center"/>
      </w:pPr>
      <w:r w:rsidRPr="00FA06B8">
        <w:t xml:space="preserve"> (3150-00</w:t>
      </w:r>
      <w:r>
        <w:t>90</w:t>
      </w:r>
      <w:r w:rsidRPr="00FA06B8">
        <w:t>)</w:t>
      </w:r>
    </w:p>
    <w:p w14:paraId="2534D724" w14:textId="77777777" w:rsidR="00E356C1" w:rsidRDefault="00E356C1" w:rsidP="00FA06B8">
      <w:pPr>
        <w:ind w:left="720"/>
      </w:pPr>
    </w:p>
    <w:p w14:paraId="772E35F3" w14:textId="77777777" w:rsidR="00E356C1" w:rsidRDefault="00E356C1" w:rsidP="00FA06B8">
      <w:pPr>
        <w:ind w:left="720"/>
      </w:pPr>
    </w:p>
    <w:p w14:paraId="42D89C1F" w14:textId="77777777" w:rsidR="00E356C1" w:rsidRDefault="00E356C1" w:rsidP="00FA06B8">
      <w:pPr>
        <w:ind w:left="720"/>
      </w:pPr>
    </w:p>
    <w:p w14:paraId="0AEA1A05" w14:textId="77777777" w:rsidR="00E356C1" w:rsidRPr="002A28E8" w:rsidRDefault="00E356C1" w:rsidP="00E356C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E679A">
        <w:rPr>
          <w:szCs w:val="20"/>
        </w:rPr>
        <w:t>10 CFR 55.31 requires that the facility licensee certify that an applicant for an NRC operator or senior operator license has successfully completed the facility licensee’s requirements; the facility has a need</w:t>
      </w:r>
      <w:r w:rsidRPr="002A28E8">
        <w:rPr>
          <w:szCs w:val="20"/>
        </w:rPr>
        <w:t xml:space="preserve"> for an operator or senior operator to perform assigned licensed duties; and the applicant, as a trainee</w:t>
      </w:r>
      <w:r>
        <w:rPr>
          <w:szCs w:val="20"/>
        </w:rPr>
        <w:t>,</w:t>
      </w:r>
      <w:r w:rsidRPr="002A28E8">
        <w:rPr>
          <w:szCs w:val="20"/>
        </w:rPr>
        <w:t xml:space="preserve"> has successfully manipulated the </w:t>
      </w:r>
      <w:r>
        <w:rPr>
          <w:szCs w:val="20"/>
        </w:rPr>
        <w:t xml:space="preserve">either the </w:t>
      </w:r>
      <w:r w:rsidRPr="002A28E8">
        <w:rPr>
          <w:szCs w:val="20"/>
        </w:rPr>
        <w:t>controls of the facility for which a license is sought or a plant-referenced simulator that meets the requirements of 55.46(c).</w:t>
      </w:r>
    </w:p>
    <w:p w14:paraId="51F4F39A" w14:textId="77777777" w:rsidR="00E356C1" w:rsidRPr="002A28E8" w:rsidRDefault="00E356C1" w:rsidP="00E356C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0"/>
        </w:rPr>
      </w:pPr>
    </w:p>
    <w:p w14:paraId="3D324738" w14:textId="73741D22" w:rsidR="00E356C1" w:rsidRPr="002A28E8" w:rsidRDefault="00E356C1" w:rsidP="00E356C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10 CFR 55.35 requires</w:t>
      </w:r>
      <w:r w:rsidRPr="002A28E8">
        <w:rPr>
          <w:szCs w:val="20"/>
        </w:rPr>
        <w:t xml:space="preserve"> the facility licensee to resubmit an application for an applicant whose application was denied because of failure to pass the written examinati</w:t>
      </w:r>
      <w:r w:rsidR="00CA3A2A">
        <w:rPr>
          <w:szCs w:val="20"/>
        </w:rPr>
        <w:t xml:space="preserve">on or operating test, or both, </w:t>
      </w:r>
      <w:r w:rsidRPr="002A28E8">
        <w:rPr>
          <w:szCs w:val="20"/>
        </w:rPr>
        <w:t>certifying the applicant’s readiness for re</w:t>
      </w:r>
      <w:r>
        <w:rPr>
          <w:szCs w:val="20"/>
        </w:rPr>
        <w:t xml:space="preserve">-examination and or to request to be excused from taking the </w:t>
      </w:r>
      <w:r w:rsidRPr="002A28E8">
        <w:rPr>
          <w:szCs w:val="20"/>
        </w:rPr>
        <w:t xml:space="preserve">portion previously passed. </w:t>
      </w:r>
    </w:p>
    <w:p w14:paraId="4CE2F4E0" w14:textId="77777777" w:rsidR="00E356C1" w:rsidRPr="002A28E8" w:rsidRDefault="00E356C1" w:rsidP="00E356C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0"/>
        </w:rPr>
      </w:pPr>
    </w:p>
    <w:p w14:paraId="39D924CB" w14:textId="77777777" w:rsidR="00E356C1" w:rsidRPr="002A28E8" w:rsidRDefault="00E356C1" w:rsidP="00E356C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2A28E8">
        <w:rPr>
          <w:szCs w:val="20"/>
        </w:rPr>
        <w:t>10 CFR 55.47 requires that the facility licensee, on application, certify all applicable information in support of a requested waiver of examination</w:t>
      </w:r>
      <w:r>
        <w:rPr>
          <w:szCs w:val="20"/>
        </w:rPr>
        <w:t>,</w:t>
      </w:r>
      <w:r w:rsidRPr="002A28E8">
        <w:rPr>
          <w:szCs w:val="20"/>
        </w:rPr>
        <w:t xml:space="preserve"> operator experience or medical issue. </w:t>
      </w:r>
    </w:p>
    <w:p w14:paraId="5A655D68" w14:textId="77777777" w:rsidR="00E356C1" w:rsidRPr="002A28E8" w:rsidRDefault="00E356C1" w:rsidP="00E356C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0"/>
        </w:rPr>
      </w:pPr>
    </w:p>
    <w:p w14:paraId="7DBD3A91" w14:textId="77777777" w:rsidR="00E356C1" w:rsidRPr="002A28E8" w:rsidRDefault="00E356C1" w:rsidP="00E356C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2A28E8">
        <w:rPr>
          <w:szCs w:val="20"/>
        </w:rPr>
        <w:t>10 CFR 55.57 requires that the facility licensee, upon renewal of a license, certify the applicant’s experience under the existing license; that the operator licensee is capable of continuing to competently and safely assume licensed duties, has successfully completed a requalification program, has passed the requalification examinations and annual operating tests, and there is a continu</w:t>
      </w:r>
      <w:r>
        <w:rPr>
          <w:szCs w:val="20"/>
        </w:rPr>
        <w:t>ing need for the</w:t>
      </w:r>
      <w:r w:rsidRPr="002A28E8">
        <w:rPr>
          <w:szCs w:val="20"/>
        </w:rPr>
        <w:t xml:space="preserve"> operator licensee to operate, or senior operator to direct operators at the facility. </w:t>
      </w:r>
    </w:p>
    <w:p w14:paraId="5F7CBA12" w14:textId="77777777" w:rsidR="00E356C1" w:rsidRDefault="00E356C1" w:rsidP="00E356C1"/>
    <w:p w14:paraId="4EFB25DF" w14:textId="77777777" w:rsidR="00E356C1" w:rsidRPr="00377C58" w:rsidRDefault="00E356C1" w:rsidP="00E356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cs="Arial"/>
          <w:szCs w:val="22"/>
        </w:rPr>
      </w:pPr>
      <w:r>
        <w:br w:type="page"/>
      </w:r>
      <w:r w:rsidRPr="00377C58">
        <w:rPr>
          <w:rFonts w:cs="Arial"/>
          <w:szCs w:val="22"/>
        </w:rPr>
        <w:t>GUIDANCE DOCUMENTS FOR INFORMATION COLLECTION REQUIREMENTS</w:t>
      </w:r>
    </w:p>
    <w:p w14:paraId="13E8B3FB" w14:textId="77777777" w:rsidR="00E356C1" w:rsidRDefault="00E356C1" w:rsidP="00E356C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cs="Arial"/>
          <w:szCs w:val="22"/>
        </w:rPr>
      </w:pPr>
      <w:r w:rsidRPr="00377C58">
        <w:rPr>
          <w:rFonts w:cs="Arial"/>
          <w:szCs w:val="22"/>
        </w:rPr>
        <w:t>CONTAINED IN</w:t>
      </w:r>
    </w:p>
    <w:p w14:paraId="614D6119" w14:textId="77777777" w:rsidR="00E356C1" w:rsidRDefault="00E356C1" w:rsidP="00E356C1">
      <w:pPr>
        <w:jc w:val="center"/>
      </w:pPr>
      <w:r>
        <w:t>NRC FORM 398, “PERSONAL QUALIFICATION STATEMENT – LICENSE,”</w:t>
      </w:r>
    </w:p>
    <w:p w14:paraId="7092EFC5" w14:textId="77777777" w:rsidR="00E356C1" w:rsidRPr="00043083" w:rsidRDefault="00E356C1" w:rsidP="00E356C1">
      <w:pPr>
        <w:widowControl w:val="0"/>
        <w:tabs>
          <w:tab w:val="center" w:pos="4680"/>
        </w:tabs>
        <w:jc w:val="center"/>
        <w:rPr>
          <w:color w:val="000000"/>
        </w:rPr>
      </w:pPr>
      <w:r w:rsidRPr="00043083">
        <w:rPr>
          <w:color w:val="000000"/>
        </w:rPr>
        <w:t>10 CFR PART 55, SECTIONS 55.31, 55.35, 55.47 AND 55.57</w:t>
      </w:r>
    </w:p>
    <w:p w14:paraId="500543CA" w14:textId="77777777" w:rsidR="00E356C1" w:rsidRPr="00FA06B8" w:rsidRDefault="00E356C1" w:rsidP="00E356C1">
      <w:pPr>
        <w:jc w:val="center"/>
      </w:pPr>
      <w:r w:rsidRPr="00FA06B8">
        <w:t xml:space="preserve"> (3150-00</w:t>
      </w:r>
      <w:r>
        <w:t>90</w:t>
      </w:r>
      <w:r w:rsidRPr="00FA06B8">
        <w:t>)</w:t>
      </w:r>
    </w:p>
    <w:p w14:paraId="75067386" w14:textId="77777777" w:rsidR="00E356C1" w:rsidRDefault="00E356C1" w:rsidP="00E356C1"/>
    <w:p w14:paraId="138ABF0A" w14:textId="77777777" w:rsidR="002664CB" w:rsidRDefault="002664CB" w:rsidP="00E356C1"/>
    <w:p w14:paraId="4CCF90B7" w14:textId="77777777" w:rsidR="002664CB" w:rsidRDefault="002664CB" w:rsidP="00E356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664CB" w14:paraId="1F1E7B8D" w14:textId="77777777" w:rsidTr="0000511E">
        <w:tc>
          <w:tcPr>
            <w:tcW w:w="4788" w:type="dxa"/>
            <w:shd w:val="clear" w:color="auto" w:fill="auto"/>
          </w:tcPr>
          <w:p w14:paraId="51EF8B28" w14:textId="77777777" w:rsidR="002664CB" w:rsidRDefault="002664CB" w:rsidP="00532C8C">
            <w:pPr>
              <w:jc w:val="center"/>
            </w:pPr>
            <w:r w:rsidRPr="0000511E">
              <w:rPr>
                <w:rFonts w:cs="Arial"/>
                <w:szCs w:val="22"/>
              </w:rPr>
              <w:t>Title</w:t>
            </w:r>
          </w:p>
        </w:tc>
        <w:tc>
          <w:tcPr>
            <w:tcW w:w="4788" w:type="dxa"/>
            <w:shd w:val="clear" w:color="auto" w:fill="auto"/>
          </w:tcPr>
          <w:p w14:paraId="6DBA4CBA" w14:textId="77777777" w:rsidR="002664CB" w:rsidRDefault="002664CB" w:rsidP="00532C8C">
            <w:pPr>
              <w:jc w:val="center"/>
            </w:pPr>
            <w:r w:rsidRPr="0000511E">
              <w:rPr>
                <w:rFonts w:cs="Arial"/>
                <w:szCs w:val="22"/>
              </w:rPr>
              <w:t>Accession number</w:t>
            </w:r>
          </w:p>
        </w:tc>
      </w:tr>
      <w:tr w:rsidR="002664CB" w14:paraId="04C56603" w14:textId="77777777" w:rsidTr="0000511E">
        <w:tc>
          <w:tcPr>
            <w:tcW w:w="4788" w:type="dxa"/>
            <w:shd w:val="clear" w:color="auto" w:fill="auto"/>
          </w:tcPr>
          <w:p w14:paraId="6F768CFD" w14:textId="77777777" w:rsidR="002664CB" w:rsidRPr="0000511E" w:rsidRDefault="00E903D5" w:rsidP="00532C8C">
            <w:pPr>
              <w:rPr>
                <w:rFonts w:cs="Arial"/>
                <w:szCs w:val="22"/>
              </w:rPr>
            </w:pPr>
            <w:r w:rsidRPr="0000511E">
              <w:rPr>
                <w:rFonts w:cs="Arial"/>
                <w:szCs w:val="22"/>
              </w:rPr>
              <w:t>NUREG-1021 “</w:t>
            </w:r>
            <w:r>
              <w:t>Operator Licensing Examination Standards for Power Reactors”</w:t>
            </w:r>
          </w:p>
        </w:tc>
        <w:tc>
          <w:tcPr>
            <w:tcW w:w="4788" w:type="dxa"/>
            <w:shd w:val="clear" w:color="auto" w:fill="auto"/>
          </w:tcPr>
          <w:p w14:paraId="320BABAA" w14:textId="77777777" w:rsidR="002664CB" w:rsidRPr="0000511E" w:rsidRDefault="00E903D5" w:rsidP="00532C8C">
            <w:pPr>
              <w:rPr>
                <w:rFonts w:cs="Arial"/>
                <w:szCs w:val="22"/>
              </w:rPr>
            </w:pPr>
            <w:r w:rsidRPr="0000511E">
              <w:rPr>
                <w:rFonts w:cs="Arial"/>
                <w:szCs w:val="22"/>
              </w:rPr>
              <w:t>ML17038A432</w:t>
            </w:r>
          </w:p>
        </w:tc>
      </w:tr>
      <w:tr w:rsidR="00E903D5" w14:paraId="25965E87" w14:textId="77777777" w:rsidTr="0000511E">
        <w:tc>
          <w:tcPr>
            <w:tcW w:w="4788" w:type="dxa"/>
            <w:shd w:val="clear" w:color="auto" w:fill="auto"/>
          </w:tcPr>
          <w:p w14:paraId="23E73EFC" w14:textId="77777777" w:rsidR="00E903D5" w:rsidRPr="0000511E" w:rsidRDefault="00E903D5" w:rsidP="00532C8C">
            <w:pPr>
              <w:rPr>
                <w:rFonts w:cs="Arial"/>
                <w:szCs w:val="22"/>
              </w:rPr>
            </w:pPr>
            <w:r w:rsidRPr="0000511E">
              <w:rPr>
                <w:rFonts w:cs="Arial"/>
                <w:szCs w:val="22"/>
              </w:rPr>
              <w:t>NUREG-1478 “</w:t>
            </w:r>
            <w:r>
              <w:t>Operator Licensing Examiner Standards for Research and Test Reactors”</w:t>
            </w:r>
          </w:p>
        </w:tc>
        <w:tc>
          <w:tcPr>
            <w:tcW w:w="4788" w:type="dxa"/>
            <w:shd w:val="clear" w:color="auto" w:fill="auto"/>
          </w:tcPr>
          <w:p w14:paraId="7967FE5E" w14:textId="77777777" w:rsidR="00E903D5" w:rsidRPr="0000511E" w:rsidRDefault="00E903D5" w:rsidP="00532C8C">
            <w:pPr>
              <w:rPr>
                <w:rFonts w:cs="Arial"/>
                <w:szCs w:val="22"/>
              </w:rPr>
            </w:pPr>
            <w:r w:rsidRPr="0000511E">
              <w:rPr>
                <w:rFonts w:cs="Arial"/>
                <w:szCs w:val="22"/>
              </w:rPr>
              <w:t>ML072000059</w:t>
            </w:r>
          </w:p>
        </w:tc>
      </w:tr>
    </w:tbl>
    <w:p w14:paraId="14B5169F" w14:textId="77777777" w:rsidR="00C91E5A" w:rsidRDefault="00C91E5A" w:rsidP="00E356C1">
      <w:pPr>
        <w:sectPr w:rsidR="00C91E5A" w:rsidSect="001F3643">
          <w:footerReference w:type="default" r:id="rId9"/>
          <w:pgSz w:w="12240" w:h="15840" w:code="1"/>
          <w:pgMar w:top="1440" w:right="1440" w:bottom="1440" w:left="1440" w:header="432" w:footer="1440" w:gutter="0"/>
          <w:pgNumType w:fmt="numberInDash" w:start="1"/>
          <w:cols w:space="720"/>
          <w:titlePg/>
          <w:docGrid w:linePitch="360"/>
        </w:sectPr>
      </w:pPr>
    </w:p>
    <w:p w14:paraId="0231805F" w14:textId="77777777" w:rsidR="00437052" w:rsidRDefault="00437052" w:rsidP="00E356C1"/>
    <w:tbl>
      <w:tblPr>
        <w:tblW w:w="14035" w:type="dxa"/>
        <w:tblLook w:val="04A0" w:firstRow="1" w:lastRow="0" w:firstColumn="1" w:lastColumn="0" w:noHBand="0" w:noVBand="1"/>
      </w:tblPr>
      <w:tblGrid>
        <w:gridCol w:w="2605"/>
        <w:gridCol w:w="1890"/>
        <w:gridCol w:w="1530"/>
        <w:gridCol w:w="1530"/>
        <w:gridCol w:w="1620"/>
        <w:gridCol w:w="1440"/>
        <w:gridCol w:w="1620"/>
        <w:gridCol w:w="1800"/>
      </w:tblGrid>
      <w:tr w:rsidR="00C91E5A" w:rsidRPr="006C1982" w14:paraId="37B64FE1" w14:textId="77777777" w:rsidTr="00C91E5A">
        <w:trPr>
          <w:trHeight w:val="630"/>
        </w:trPr>
        <w:tc>
          <w:tcPr>
            <w:tcW w:w="1403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0166F3D" w14:textId="77777777" w:rsidR="00C91E5A" w:rsidRPr="006C1982" w:rsidRDefault="00C91E5A" w:rsidP="006C1982">
            <w:pPr>
              <w:jc w:val="center"/>
              <w:rPr>
                <w:rFonts w:cs="Arial"/>
                <w:color w:val="000000"/>
                <w:sz w:val="18"/>
                <w:szCs w:val="18"/>
              </w:rPr>
            </w:pPr>
            <w:r w:rsidRPr="006C1982">
              <w:rPr>
                <w:rFonts w:cs="Arial"/>
                <w:color w:val="000000"/>
                <w:sz w:val="18"/>
                <w:szCs w:val="18"/>
              </w:rPr>
              <w:t>ANNUAL REPORTING REQUIREMENTS</w:t>
            </w:r>
            <w:r w:rsidRPr="006C1982">
              <w:rPr>
                <w:rFonts w:cs="Arial"/>
                <w:color w:val="000000"/>
                <w:sz w:val="18"/>
                <w:szCs w:val="18"/>
              </w:rPr>
              <w:br/>
            </w:r>
            <w:r w:rsidR="00375F80">
              <w:rPr>
                <w:rFonts w:cs="Arial"/>
                <w:color w:val="000000"/>
                <w:sz w:val="18"/>
                <w:szCs w:val="18"/>
              </w:rPr>
              <w:t>(3150-0090</w:t>
            </w:r>
            <w:r w:rsidRPr="006C1982">
              <w:rPr>
                <w:rFonts w:cs="Arial"/>
                <w:color w:val="000000"/>
                <w:sz w:val="18"/>
                <w:szCs w:val="18"/>
              </w:rPr>
              <w:t>)</w:t>
            </w:r>
          </w:p>
        </w:tc>
      </w:tr>
      <w:tr w:rsidR="00C91E5A" w:rsidRPr="006C1982" w14:paraId="7AC27A7A" w14:textId="77777777" w:rsidTr="00C91E5A">
        <w:trPr>
          <w:trHeight w:val="855"/>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823379D" w14:textId="77777777" w:rsidR="00C91E5A" w:rsidRPr="006C1982" w:rsidRDefault="00C91E5A" w:rsidP="006C1982">
            <w:pPr>
              <w:jc w:val="center"/>
              <w:rPr>
                <w:rFonts w:cs="Arial"/>
                <w:color w:val="000000"/>
                <w:sz w:val="18"/>
                <w:szCs w:val="18"/>
              </w:rPr>
            </w:pPr>
            <w:r w:rsidRPr="006C1982">
              <w:rPr>
                <w:rFonts w:cs="Arial"/>
                <w:color w:val="000000"/>
                <w:sz w:val="18"/>
                <w:szCs w:val="18"/>
              </w:rPr>
              <w:t>Requirement</w:t>
            </w:r>
          </w:p>
        </w:tc>
        <w:tc>
          <w:tcPr>
            <w:tcW w:w="1890" w:type="dxa"/>
            <w:tcBorders>
              <w:top w:val="nil"/>
              <w:left w:val="nil"/>
              <w:bottom w:val="single" w:sz="4" w:space="0" w:color="auto"/>
              <w:right w:val="single" w:sz="4" w:space="0" w:color="auto"/>
            </w:tcBorders>
            <w:shd w:val="clear" w:color="auto" w:fill="auto"/>
            <w:vAlign w:val="center"/>
            <w:hideMark/>
          </w:tcPr>
          <w:p w14:paraId="2A1969D0" w14:textId="77777777" w:rsidR="00C91E5A" w:rsidRPr="006C1982" w:rsidRDefault="00C91E5A" w:rsidP="006C1982">
            <w:pPr>
              <w:jc w:val="center"/>
              <w:rPr>
                <w:rFonts w:cs="Arial"/>
                <w:color w:val="000000"/>
                <w:sz w:val="18"/>
                <w:szCs w:val="18"/>
              </w:rPr>
            </w:pPr>
            <w:r w:rsidRPr="006C1982">
              <w:rPr>
                <w:rFonts w:cs="Arial"/>
                <w:color w:val="000000"/>
                <w:sz w:val="18"/>
                <w:szCs w:val="18"/>
              </w:rPr>
              <w:t>Description</w:t>
            </w:r>
          </w:p>
        </w:tc>
        <w:tc>
          <w:tcPr>
            <w:tcW w:w="1530" w:type="dxa"/>
            <w:tcBorders>
              <w:top w:val="nil"/>
              <w:left w:val="nil"/>
              <w:bottom w:val="single" w:sz="4" w:space="0" w:color="auto"/>
              <w:right w:val="single" w:sz="4" w:space="0" w:color="auto"/>
            </w:tcBorders>
            <w:shd w:val="clear" w:color="auto" w:fill="auto"/>
            <w:vAlign w:val="center"/>
            <w:hideMark/>
          </w:tcPr>
          <w:p w14:paraId="2BFD19FE" w14:textId="77777777" w:rsidR="00C91E5A" w:rsidRPr="006C1982" w:rsidRDefault="00C91E5A" w:rsidP="006C1982">
            <w:pPr>
              <w:jc w:val="center"/>
              <w:rPr>
                <w:rFonts w:cs="Arial"/>
                <w:color w:val="000000"/>
                <w:sz w:val="18"/>
                <w:szCs w:val="18"/>
              </w:rPr>
            </w:pPr>
            <w:r w:rsidRPr="006C1982">
              <w:rPr>
                <w:rFonts w:cs="Arial"/>
                <w:color w:val="000000"/>
                <w:sz w:val="18"/>
                <w:szCs w:val="18"/>
              </w:rPr>
              <w:t xml:space="preserve"> Number of Respondents </w:t>
            </w:r>
          </w:p>
        </w:tc>
        <w:tc>
          <w:tcPr>
            <w:tcW w:w="1530" w:type="dxa"/>
            <w:tcBorders>
              <w:top w:val="nil"/>
              <w:left w:val="nil"/>
              <w:bottom w:val="single" w:sz="4" w:space="0" w:color="auto"/>
              <w:right w:val="single" w:sz="4" w:space="0" w:color="auto"/>
            </w:tcBorders>
            <w:shd w:val="clear" w:color="auto" w:fill="auto"/>
            <w:vAlign w:val="center"/>
            <w:hideMark/>
          </w:tcPr>
          <w:p w14:paraId="27DAFF6A" w14:textId="77777777" w:rsidR="00C91E5A" w:rsidRPr="006C1982" w:rsidRDefault="00C91E5A" w:rsidP="006C1982">
            <w:pPr>
              <w:jc w:val="center"/>
              <w:rPr>
                <w:rFonts w:cs="Arial"/>
                <w:color w:val="000000"/>
                <w:sz w:val="18"/>
                <w:szCs w:val="18"/>
              </w:rPr>
            </w:pPr>
            <w:r w:rsidRPr="006C1982">
              <w:rPr>
                <w:rFonts w:cs="Arial"/>
                <w:color w:val="000000"/>
                <w:sz w:val="18"/>
                <w:szCs w:val="18"/>
              </w:rPr>
              <w:t xml:space="preserve"> Responses per Respondent </w:t>
            </w:r>
          </w:p>
        </w:tc>
        <w:tc>
          <w:tcPr>
            <w:tcW w:w="1620" w:type="dxa"/>
            <w:tcBorders>
              <w:top w:val="nil"/>
              <w:left w:val="nil"/>
              <w:bottom w:val="single" w:sz="4" w:space="0" w:color="auto"/>
              <w:right w:val="single" w:sz="4" w:space="0" w:color="auto"/>
            </w:tcBorders>
            <w:shd w:val="clear" w:color="auto" w:fill="auto"/>
            <w:vAlign w:val="center"/>
            <w:hideMark/>
          </w:tcPr>
          <w:p w14:paraId="17854CB1" w14:textId="77777777" w:rsidR="00C91E5A" w:rsidRPr="006C1982" w:rsidRDefault="00C91E5A" w:rsidP="006C1982">
            <w:pPr>
              <w:jc w:val="center"/>
              <w:rPr>
                <w:rFonts w:cs="Arial"/>
                <w:color w:val="000000"/>
                <w:sz w:val="18"/>
                <w:szCs w:val="18"/>
              </w:rPr>
            </w:pPr>
            <w:r w:rsidRPr="006C1982">
              <w:rPr>
                <w:rFonts w:cs="Arial"/>
                <w:color w:val="000000"/>
                <w:sz w:val="18"/>
                <w:szCs w:val="18"/>
              </w:rPr>
              <w:t xml:space="preserve"> Total Number of Responses  </w:t>
            </w:r>
          </w:p>
        </w:tc>
        <w:tc>
          <w:tcPr>
            <w:tcW w:w="1440" w:type="dxa"/>
            <w:tcBorders>
              <w:top w:val="nil"/>
              <w:left w:val="nil"/>
              <w:bottom w:val="single" w:sz="4" w:space="0" w:color="auto"/>
              <w:right w:val="single" w:sz="4" w:space="0" w:color="auto"/>
            </w:tcBorders>
            <w:shd w:val="clear" w:color="auto" w:fill="auto"/>
            <w:vAlign w:val="center"/>
            <w:hideMark/>
          </w:tcPr>
          <w:p w14:paraId="6FDBEB34" w14:textId="77777777" w:rsidR="00C91E5A" w:rsidRPr="006C1982" w:rsidRDefault="00C91E5A" w:rsidP="006C1982">
            <w:pPr>
              <w:jc w:val="center"/>
              <w:rPr>
                <w:rFonts w:cs="Arial"/>
                <w:color w:val="000000"/>
                <w:sz w:val="18"/>
                <w:szCs w:val="18"/>
              </w:rPr>
            </w:pPr>
            <w:r w:rsidRPr="006C1982">
              <w:rPr>
                <w:rFonts w:cs="Arial"/>
                <w:color w:val="000000"/>
                <w:sz w:val="18"/>
                <w:szCs w:val="18"/>
              </w:rPr>
              <w:t xml:space="preserve"> Burden </w:t>
            </w:r>
            <w:r w:rsidR="00531FB2">
              <w:rPr>
                <w:rFonts w:cs="Arial"/>
                <w:color w:val="000000"/>
                <w:sz w:val="18"/>
                <w:szCs w:val="18"/>
              </w:rPr>
              <w:t xml:space="preserve">hours </w:t>
            </w:r>
            <w:r w:rsidRPr="006C1982">
              <w:rPr>
                <w:rFonts w:cs="Arial"/>
                <w:color w:val="000000"/>
                <w:sz w:val="18"/>
                <w:szCs w:val="18"/>
              </w:rPr>
              <w:t xml:space="preserve">per Response </w:t>
            </w:r>
          </w:p>
        </w:tc>
        <w:tc>
          <w:tcPr>
            <w:tcW w:w="1620" w:type="dxa"/>
            <w:tcBorders>
              <w:top w:val="nil"/>
              <w:left w:val="nil"/>
              <w:bottom w:val="single" w:sz="4" w:space="0" w:color="auto"/>
              <w:right w:val="single" w:sz="4" w:space="0" w:color="auto"/>
            </w:tcBorders>
            <w:shd w:val="clear" w:color="auto" w:fill="auto"/>
            <w:vAlign w:val="center"/>
            <w:hideMark/>
          </w:tcPr>
          <w:p w14:paraId="62DB1FFA" w14:textId="77777777" w:rsidR="00C91E5A" w:rsidRPr="006C1982" w:rsidRDefault="00C91E5A" w:rsidP="006C1982">
            <w:pPr>
              <w:jc w:val="center"/>
              <w:rPr>
                <w:rFonts w:cs="Arial"/>
                <w:color w:val="000000"/>
                <w:sz w:val="18"/>
                <w:szCs w:val="18"/>
              </w:rPr>
            </w:pPr>
            <w:r w:rsidRPr="006C1982">
              <w:rPr>
                <w:rFonts w:cs="Arial"/>
                <w:color w:val="000000"/>
                <w:sz w:val="18"/>
                <w:szCs w:val="18"/>
              </w:rPr>
              <w:t xml:space="preserve"> Total Annual Burden Hours </w:t>
            </w:r>
          </w:p>
        </w:tc>
        <w:tc>
          <w:tcPr>
            <w:tcW w:w="1800" w:type="dxa"/>
            <w:tcBorders>
              <w:top w:val="nil"/>
              <w:left w:val="nil"/>
              <w:bottom w:val="single" w:sz="4" w:space="0" w:color="auto"/>
              <w:right w:val="single" w:sz="4" w:space="0" w:color="auto"/>
            </w:tcBorders>
            <w:shd w:val="clear" w:color="auto" w:fill="auto"/>
            <w:vAlign w:val="center"/>
            <w:hideMark/>
          </w:tcPr>
          <w:p w14:paraId="0B669DDA" w14:textId="77777777" w:rsidR="00C91E5A" w:rsidRPr="006C1982" w:rsidRDefault="00C91E5A" w:rsidP="006C1982">
            <w:pPr>
              <w:jc w:val="center"/>
              <w:rPr>
                <w:rFonts w:cs="Arial"/>
                <w:color w:val="000000"/>
                <w:sz w:val="18"/>
                <w:szCs w:val="18"/>
              </w:rPr>
            </w:pPr>
            <w:r w:rsidRPr="006C1982">
              <w:rPr>
                <w:rFonts w:cs="Arial"/>
                <w:color w:val="000000"/>
                <w:sz w:val="18"/>
                <w:szCs w:val="18"/>
              </w:rPr>
              <w:t xml:space="preserve"> Cost @ $275/Hour </w:t>
            </w:r>
          </w:p>
        </w:tc>
      </w:tr>
      <w:tr w:rsidR="00C91E5A" w:rsidRPr="006C1982" w14:paraId="018E3BEA" w14:textId="77777777" w:rsidTr="00C91E5A">
        <w:trPr>
          <w:trHeight w:val="285"/>
        </w:trPr>
        <w:tc>
          <w:tcPr>
            <w:tcW w:w="2605" w:type="dxa"/>
            <w:tcBorders>
              <w:top w:val="nil"/>
              <w:left w:val="single" w:sz="4" w:space="0" w:color="auto"/>
              <w:bottom w:val="single" w:sz="4" w:space="0" w:color="auto"/>
              <w:right w:val="single" w:sz="4" w:space="0" w:color="auto"/>
            </w:tcBorders>
            <w:shd w:val="clear" w:color="auto" w:fill="auto"/>
            <w:vAlign w:val="bottom"/>
            <w:hideMark/>
          </w:tcPr>
          <w:p w14:paraId="11E182B3" w14:textId="77777777" w:rsidR="00C91E5A" w:rsidRPr="006C1982" w:rsidRDefault="00C91E5A" w:rsidP="006C1982">
            <w:pPr>
              <w:rPr>
                <w:rFonts w:cs="Arial"/>
                <w:color w:val="000000"/>
                <w:sz w:val="18"/>
                <w:szCs w:val="18"/>
              </w:rPr>
            </w:pPr>
            <w:r w:rsidRPr="006C1982">
              <w:rPr>
                <w:rFonts w:cs="Arial"/>
                <w:color w:val="000000"/>
                <w:sz w:val="18"/>
                <w:szCs w:val="18"/>
              </w:rPr>
              <w:t>Applicants (Initial &amp; Upgrade)</w:t>
            </w:r>
          </w:p>
        </w:tc>
        <w:tc>
          <w:tcPr>
            <w:tcW w:w="1890" w:type="dxa"/>
            <w:tcBorders>
              <w:top w:val="nil"/>
              <w:left w:val="nil"/>
              <w:bottom w:val="single" w:sz="4" w:space="0" w:color="auto"/>
              <w:right w:val="single" w:sz="4" w:space="0" w:color="auto"/>
            </w:tcBorders>
            <w:shd w:val="clear" w:color="auto" w:fill="auto"/>
            <w:vAlign w:val="bottom"/>
            <w:hideMark/>
          </w:tcPr>
          <w:p w14:paraId="135FC18E" w14:textId="77777777" w:rsidR="00C91E5A" w:rsidRPr="006C1982" w:rsidRDefault="00C91E5A" w:rsidP="006C1982">
            <w:pPr>
              <w:rPr>
                <w:rFonts w:cs="Arial"/>
                <w:color w:val="000000"/>
                <w:sz w:val="18"/>
                <w:szCs w:val="18"/>
              </w:rPr>
            </w:pPr>
            <w:r w:rsidRPr="006C1982">
              <w:rPr>
                <w:rFonts w:cs="Arial"/>
                <w:color w:val="000000"/>
                <w:sz w:val="18"/>
                <w:szCs w:val="18"/>
              </w:rPr>
              <w:t>NRC Form 398</w:t>
            </w:r>
          </w:p>
        </w:tc>
        <w:tc>
          <w:tcPr>
            <w:tcW w:w="1530" w:type="dxa"/>
            <w:tcBorders>
              <w:top w:val="nil"/>
              <w:left w:val="nil"/>
              <w:bottom w:val="single" w:sz="4" w:space="0" w:color="auto"/>
              <w:right w:val="single" w:sz="4" w:space="0" w:color="auto"/>
            </w:tcBorders>
            <w:shd w:val="clear" w:color="auto" w:fill="auto"/>
            <w:vAlign w:val="bottom"/>
            <w:hideMark/>
          </w:tcPr>
          <w:p w14:paraId="5B9124B9" w14:textId="77777777" w:rsidR="00C91E5A" w:rsidRPr="006C1982" w:rsidRDefault="00C91E5A" w:rsidP="006C1982">
            <w:pPr>
              <w:rPr>
                <w:rFonts w:cs="Arial"/>
                <w:color w:val="000000"/>
                <w:sz w:val="18"/>
                <w:szCs w:val="18"/>
              </w:rPr>
            </w:pPr>
            <w:r w:rsidRPr="006C1982">
              <w:rPr>
                <w:rFonts w:cs="Arial"/>
                <w:color w:val="000000"/>
                <w:sz w:val="18"/>
                <w:szCs w:val="18"/>
              </w:rPr>
              <w:t xml:space="preserve">                 291.0 </w:t>
            </w:r>
          </w:p>
        </w:tc>
        <w:tc>
          <w:tcPr>
            <w:tcW w:w="1530" w:type="dxa"/>
            <w:tcBorders>
              <w:top w:val="nil"/>
              <w:left w:val="nil"/>
              <w:bottom w:val="single" w:sz="4" w:space="0" w:color="auto"/>
              <w:right w:val="single" w:sz="4" w:space="0" w:color="auto"/>
            </w:tcBorders>
            <w:shd w:val="clear" w:color="auto" w:fill="auto"/>
            <w:vAlign w:val="bottom"/>
            <w:hideMark/>
          </w:tcPr>
          <w:p w14:paraId="6A3AB9A0" w14:textId="77777777" w:rsidR="00C91E5A" w:rsidRPr="006C1982" w:rsidRDefault="00C91E5A" w:rsidP="006C1982">
            <w:pPr>
              <w:rPr>
                <w:rFonts w:cs="Arial"/>
                <w:color w:val="000000"/>
                <w:sz w:val="18"/>
                <w:szCs w:val="18"/>
              </w:rPr>
            </w:pPr>
            <w:r w:rsidRPr="006C1982">
              <w:rPr>
                <w:rFonts w:cs="Arial"/>
                <w:color w:val="000000"/>
                <w:sz w:val="18"/>
                <w:szCs w:val="18"/>
              </w:rPr>
              <w:t xml:space="preserve">               1.0 </w:t>
            </w:r>
          </w:p>
        </w:tc>
        <w:tc>
          <w:tcPr>
            <w:tcW w:w="1620" w:type="dxa"/>
            <w:tcBorders>
              <w:top w:val="nil"/>
              <w:left w:val="nil"/>
              <w:bottom w:val="single" w:sz="4" w:space="0" w:color="auto"/>
              <w:right w:val="single" w:sz="4" w:space="0" w:color="auto"/>
            </w:tcBorders>
            <w:shd w:val="clear" w:color="auto" w:fill="auto"/>
            <w:vAlign w:val="bottom"/>
            <w:hideMark/>
          </w:tcPr>
          <w:p w14:paraId="69F028F5" w14:textId="77777777" w:rsidR="00C91E5A" w:rsidRPr="006C1982" w:rsidRDefault="00C91E5A" w:rsidP="006C1982">
            <w:pPr>
              <w:rPr>
                <w:rFonts w:cs="Arial"/>
                <w:color w:val="000000"/>
                <w:sz w:val="18"/>
                <w:szCs w:val="18"/>
              </w:rPr>
            </w:pPr>
            <w:r w:rsidRPr="006C1982">
              <w:rPr>
                <w:rFonts w:cs="Arial"/>
                <w:color w:val="000000"/>
                <w:sz w:val="18"/>
                <w:szCs w:val="18"/>
              </w:rPr>
              <w:t xml:space="preserve">           291.0 </w:t>
            </w:r>
          </w:p>
        </w:tc>
        <w:tc>
          <w:tcPr>
            <w:tcW w:w="1440" w:type="dxa"/>
            <w:tcBorders>
              <w:top w:val="nil"/>
              <w:left w:val="nil"/>
              <w:bottom w:val="single" w:sz="4" w:space="0" w:color="auto"/>
              <w:right w:val="single" w:sz="4" w:space="0" w:color="auto"/>
            </w:tcBorders>
            <w:shd w:val="clear" w:color="auto" w:fill="auto"/>
            <w:vAlign w:val="bottom"/>
            <w:hideMark/>
          </w:tcPr>
          <w:p w14:paraId="3D60262E" w14:textId="77777777" w:rsidR="00C91E5A" w:rsidRPr="006C1982" w:rsidRDefault="00C91E5A" w:rsidP="006C1982">
            <w:pPr>
              <w:rPr>
                <w:rFonts w:cs="Arial"/>
                <w:color w:val="000000"/>
                <w:sz w:val="18"/>
                <w:szCs w:val="18"/>
              </w:rPr>
            </w:pPr>
            <w:r w:rsidRPr="006C1982">
              <w:rPr>
                <w:rFonts w:cs="Arial"/>
                <w:color w:val="000000"/>
                <w:sz w:val="18"/>
                <w:szCs w:val="18"/>
              </w:rPr>
              <w:t xml:space="preserve">               6.5 </w:t>
            </w:r>
          </w:p>
        </w:tc>
        <w:tc>
          <w:tcPr>
            <w:tcW w:w="1620" w:type="dxa"/>
            <w:tcBorders>
              <w:top w:val="nil"/>
              <w:left w:val="nil"/>
              <w:bottom w:val="single" w:sz="4" w:space="0" w:color="auto"/>
              <w:right w:val="single" w:sz="4" w:space="0" w:color="auto"/>
            </w:tcBorders>
            <w:shd w:val="clear" w:color="auto" w:fill="auto"/>
            <w:vAlign w:val="bottom"/>
            <w:hideMark/>
          </w:tcPr>
          <w:p w14:paraId="2CA5911F" w14:textId="77777777" w:rsidR="00C91E5A" w:rsidRPr="006C1982" w:rsidRDefault="00C91E5A" w:rsidP="006C1982">
            <w:pPr>
              <w:rPr>
                <w:rFonts w:cs="Arial"/>
                <w:color w:val="000000"/>
                <w:sz w:val="18"/>
                <w:szCs w:val="18"/>
              </w:rPr>
            </w:pPr>
            <w:r w:rsidRPr="006C1982">
              <w:rPr>
                <w:rFonts w:cs="Arial"/>
                <w:color w:val="000000"/>
                <w:sz w:val="18"/>
                <w:szCs w:val="18"/>
              </w:rPr>
              <w:t xml:space="preserve">        1,891.5 </w:t>
            </w:r>
          </w:p>
        </w:tc>
        <w:tc>
          <w:tcPr>
            <w:tcW w:w="1800" w:type="dxa"/>
            <w:tcBorders>
              <w:top w:val="nil"/>
              <w:left w:val="nil"/>
              <w:bottom w:val="single" w:sz="4" w:space="0" w:color="auto"/>
              <w:right w:val="single" w:sz="4" w:space="0" w:color="auto"/>
            </w:tcBorders>
            <w:shd w:val="clear" w:color="auto" w:fill="auto"/>
            <w:vAlign w:val="bottom"/>
            <w:hideMark/>
          </w:tcPr>
          <w:p w14:paraId="66BD2701" w14:textId="77777777" w:rsidR="00C91E5A" w:rsidRPr="006C1982" w:rsidRDefault="00C91E5A" w:rsidP="006C1982">
            <w:pPr>
              <w:rPr>
                <w:rFonts w:cs="Arial"/>
                <w:color w:val="000000"/>
                <w:sz w:val="18"/>
                <w:szCs w:val="18"/>
              </w:rPr>
            </w:pPr>
            <w:r w:rsidRPr="006C1982">
              <w:rPr>
                <w:rFonts w:cs="Arial"/>
                <w:color w:val="000000"/>
                <w:sz w:val="18"/>
                <w:szCs w:val="18"/>
              </w:rPr>
              <w:t xml:space="preserve"> $          520,163 </w:t>
            </w:r>
          </w:p>
        </w:tc>
      </w:tr>
      <w:tr w:rsidR="00C91E5A" w:rsidRPr="006C1982" w14:paraId="7C4A42B6" w14:textId="77777777" w:rsidTr="00C91E5A">
        <w:trPr>
          <w:trHeight w:val="570"/>
        </w:trPr>
        <w:tc>
          <w:tcPr>
            <w:tcW w:w="2605" w:type="dxa"/>
            <w:tcBorders>
              <w:top w:val="nil"/>
              <w:left w:val="single" w:sz="4" w:space="0" w:color="auto"/>
              <w:bottom w:val="single" w:sz="4" w:space="0" w:color="auto"/>
              <w:right w:val="single" w:sz="4" w:space="0" w:color="auto"/>
            </w:tcBorders>
            <w:shd w:val="clear" w:color="auto" w:fill="auto"/>
            <w:vAlign w:val="bottom"/>
            <w:hideMark/>
          </w:tcPr>
          <w:p w14:paraId="489D3EB9" w14:textId="77777777" w:rsidR="00C91E5A" w:rsidRPr="006C1982" w:rsidRDefault="00C91E5A" w:rsidP="006C1982">
            <w:pPr>
              <w:rPr>
                <w:rFonts w:cs="Arial"/>
                <w:color w:val="000000"/>
                <w:sz w:val="18"/>
                <w:szCs w:val="18"/>
              </w:rPr>
            </w:pPr>
            <w:r w:rsidRPr="006C1982">
              <w:rPr>
                <w:rFonts w:cs="Arial"/>
                <w:color w:val="000000"/>
                <w:sz w:val="18"/>
                <w:szCs w:val="18"/>
              </w:rPr>
              <w:t xml:space="preserve">Applicants </w:t>
            </w:r>
            <w:r>
              <w:rPr>
                <w:rFonts w:cs="Arial"/>
                <w:color w:val="000000"/>
                <w:sz w:val="18"/>
                <w:szCs w:val="18"/>
              </w:rPr>
              <w:t>with waiver or excusal requests</w:t>
            </w:r>
          </w:p>
        </w:tc>
        <w:tc>
          <w:tcPr>
            <w:tcW w:w="1890" w:type="dxa"/>
            <w:tcBorders>
              <w:top w:val="nil"/>
              <w:left w:val="nil"/>
              <w:bottom w:val="nil"/>
              <w:right w:val="nil"/>
            </w:tcBorders>
            <w:shd w:val="clear" w:color="auto" w:fill="auto"/>
            <w:vAlign w:val="bottom"/>
            <w:hideMark/>
          </w:tcPr>
          <w:p w14:paraId="537C1A52" w14:textId="77777777" w:rsidR="00C91E5A" w:rsidRPr="006C1982" w:rsidRDefault="00C91E5A" w:rsidP="006C1982">
            <w:pPr>
              <w:rPr>
                <w:rFonts w:cs="Arial"/>
                <w:color w:val="000000"/>
                <w:sz w:val="18"/>
                <w:szCs w:val="18"/>
              </w:rPr>
            </w:pPr>
            <w:r w:rsidRPr="006C1982">
              <w:rPr>
                <w:rFonts w:cs="Arial"/>
                <w:color w:val="000000"/>
                <w:sz w:val="18"/>
                <w:szCs w:val="18"/>
              </w:rPr>
              <w:t>NRC Form 398</w:t>
            </w:r>
          </w:p>
        </w:tc>
        <w:tc>
          <w:tcPr>
            <w:tcW w:w="1530" w:type="dxa"/>
            <w:tcBorders>
              <w:top w:val="nil"/>
              <w:left w:val="single" w:sz="4" w:space="0" w:color="auto"/>
              <w:bottom w:val="single" w:sz="4" w:space="0" w:color="auto"/>
              <w:right w:val="single" w:sz="4" w:space="0" w:color="auto"/>
            </w:tcBorders>
            <w:shd w:val="clear" w:color="auto" w:fill="auto"/>
            <w:vAlign w:val="bottom"/>
            <w:hideMark/>
          </w:tcPr>
          <w:p w14:paraId="5B0A9C4C" w14:textId="77777777" w:rsidR="00C91E5A" w:rsidRPr="006C1982" w:rsidRDefault="00C91E5A" w:rsidP="006C1982">
            <w:pPr>
              <w:rPr>
                <w:rFonts w:cs="Arial"/>
                <w:color w:val="000000"/>
                <w:sz w:val="18"/>
                <w:szCs w:val="18"/>
              </w:rPr>
            </w:pPr>
            <w:r w:rsidRPr="006C1982">
              <w:rPr>
                <w:rFonts w:cs="Arial"/>
                <w:color w:val="000000"/>
                <w:sz w:val="18"/>
                <w:szCs w:val="18"/>
              </w:rPr>
              <w:t xml:space="preserve">                 266.0 </w:t>
            </w:r>
          </w:p>
        </w:tc>
        <w:tc>
          <w:tcPr>
            <w:tcW w:w="1530" w:type="dxa"/>
            <w:tcBorders>
              <w:top w:val="nil"/>
              <w:left w:val="nil"/>
              <w:bottom w:val="single" w:sz="4" w:space="0" w:color="auto"/>
              <w:right w:val="single" w:sz="4" w:space="0" w:color="auto"/>
            </w:tcBorders>
            <w:shd w:val="clear" w:color="auto" w:fill="auto"/>
            <w:vAlign w:val="bottom"/>
            <w:hideMark/>
          </w:tcPr>
          <w:p w14:paraId="411AE7A6" w14:textId="77777777" w:rsidR="00C91E5A" w:rsidRPr="006C1982" w:rsidRDefault="00C91E5A" w:rsidP="006C1982">
            <w:pPr>
              <w:rPr>
                <w:rFonts w:cs="Arial"/>
                <w:color w:val="000000"/>
                <w:sz w:val="18"/>
                <w:szCs w:val="18"/>
              </w:rPr>
            </w:pPr>
            <w:r w:rsidRPr="006C1982">
              <w:rPr>
                <w:rFonts w:cs="Arial"/>
                <w:color w:val="000000"/>
                <w:sz w:val="18"/>
                <w:szCs w:val="18"/>
              </w:rPr>
              <w:t xml:space="preserve">               1.0 </w:t>
            </w:r>
          </w:p>
        </w:tc>
        <w:tc>
          <w:tcPr>
            <w:tcW w:w="1620" w:type="dxa"/>
            <w:tcBorders>
              <w:top w:val="nil"/>
              <w:left w:val="nil"/>
              <w:bottom w:val="single" w:sz="4" w:space="0" w:color="auto"/>
              <w:right w:val="single" w:sz="4" w:space="0" w:color="auto"/>
            </w:tcBorders>
            <w:shd w:val="clear" w:color="auto" w:fill="auto"/>
            <w:vAlign w:val="bottom"/>
            <w:hideMark/>
          </w:tcPr>
          <w:p w14:paraId="4035B58E" w14:textId="77777777" w:rsidR="00C91E5A" w:rsidRPr="006C1982" w:rsidRDefault="00C91E5A" w:rsidP="006C1982">
            <w:pPr>
              <w:rPr>
                <w:rFonts w:cs="Arial"/>
                <w:color w:val="000000"/>
                <w:sz w:val="18"/>
                <w:szCs w:val="18"/>
              </w:rPr>
            </w:pPr>
            <w:r w:rsidRPr="006C1982">
              <w:rPr>
                <w:rFonts w:cs="Arial"/>
                <w:color w:val="000000"/>
                <w:sz w:val="18"/>
                <w:szCs w:val="18"/>
              </w:rPr>
              <w:t xml:space="preserve">           266.0 </w:t>
            </w:r>
          </w:p>
        </w:tc>
        <w:tc>
          <w:tcPr>
            <w:tcW w:w="1440" w:type="dxa"/>
            <w:tcBorders>
              <w:top w:val="nil"/>
              <w:left w:val="nil"/>
              <w:bottom w:val="single" w:sz="4" w:space="0" w:color="auto"/>
              <w:right w:val="single" w:sz="4" w:space="0" w:color="auto"/>
            </w:tcBorders>
            <w:shd w:val="clear" w:color="auto" w:fill="auto"/>
            <w:vAlign w:val="bottom"/>
            <w:hideMark/>
          </w:tcPr>
          <w:p w14:paraId="6782D1CA" w14:textId="77777777" w:rsidR="00C91E5A" w:rsidRPr="006C1982" w:rsidRDefault="00C91E5A" w:rsidP="006C1982">
            <w:pPr>
              <w:rPr>
                <w:rFonts w:cs="Arial"/>
                <w:color w:val="000000"/>
                <w:sz w:val="18"/>
                <w:szCs w:val="18"/>
              </w:rPr>
            </w:pPr>
            <w:r w:rsidRPr="006C1982">
              <w:rPr>
                <w:rFonts w:cs="Arial"/>
                <w:color w:val="000000"/>
                <w:sz w:val="18"/>
                <w:szCs w:val="18"/>
              </w:rPr>
              <w:t xml:space="preserve">               9.5 </w:t>
            </w:r>
          </w:p>
        </w:tc>
        <w:tc>
          <w:tcPr>
            <w:tcW w:w="1620" w:type="dxa"/>
            <w:tcBorders>
              <w:top w:val="nil"/>
              <w:left w:val="nil"/>
              <w:bottom w:val="single" w:sz="4" w:space="0" w:color="auto"/>
              <w:right w:val="single" w:sz="4" w:space="0" w:color="auto"/>
            </w:tcBorders>
            <w:shd w:val="clear" w:color="auto" w:fill="auto"/>
            <w:vAlign w:val="bottom"/>
            <w:hideMark/>
          </w:tcPr>
          <w:p w14:paraId="20B71DFB" w14:textId="77777777" w:rsidR="00C91E5A" w:rsidRPr="006C1982" w:rsidRDefault="00C91E5A" w:rsidP="006C1982">
            <w:pPr>
              <w:rPr>
                <w:rFonts w:cs="Arial"/>
                <w:color w:val="000000"/>
                <w:sz w:val="18"/>
                <w:szCs w:val="18"/>
              </w:rPr>
            </w:pPr>
            <w:r w:rsidRPr="006C1982">
              <w:rPr>
                <w:rFonts w:cs="Arial"/>
                <w:color w:val="000000"/>
                <w:sz w:val="18"/>
                <w:szCs w:val="18"/>
              </w:rPr>
              <w:t xml:space="preserve">        2,527.0 </w:t>
            </w:r>
          </w:p>
        </w:tc>
        <w:tc>
          <w:tcPr>
            <w:tcW w:w="1800" w:type="dxa"/>
            <w:tcBorders>
              <w:top w:val="nil"/>
              <w:left w:val="nil"/>
              <w:bottom w:val="single" w:sz="4" w:space="0" w:color="auto"/>
              <w:right w:val="single" w:sz="4" w:space="0" w:color="auto"/>
            </w:tcBorders>
            <w:shd w:val="clear" w:color="auto" w:fill="auto"/>
            <w:vAlign w:val="bottom"/>
            <w:hideMark/>
          </w:tcPr>
          <w:p w14:paraId="2C05F9BB" w14:textId="77777777" w:rsidR="00C91E5A" w:rsidRPr="006C1982" w:rsidRDefault="00C91E5A" w:rsidP="006C1982">
            <w:pPr>
              <w:rPr>
                <w:rFonts w:cs="Arial"/>
                <w:color w:val="000000"/>
                <w:sz w:val="18"/>
                <w:szCs w:val="18"/>
              </w:rPr>
            </w:pPr>
            <w:r w:rsidRPr="006C1982">
              <w:rPr>
                <w:rFonts w:cs="Arial"/>
                <w:color w:val="000000"/>
                <w:sz w:val="18"/>
                <w:szCs w:val="18"/>
              </w:rPr>
              <w:t xml:space="preserve"> $          694,925 </w:t>
            </w:r>
          </w:p>
        </w:tc>
      </w:tr>
      <w:tr w:rsidR="00C91E5A" w:rsidRPr="006C1982" w14:paraId="58E577B4" w14:textId="77777777" w:rsidTr="00C91E5A">
        <w:trPr>
          <w:trHeight w:val="285"/>
        </w:trPr>
        <w:tc>
          <w:tcPr>
            <w:tcW w:w="2605" w:type="dxa"/>
            <w:tcBorders>
              <w:top w:val="nil"/>
              <w:left w:val="single" w:sz="4" w:space="0" w:color="auto"/>
              <w:bottom w:val="single" w:sz="4" w:space="0" w:color="auto"/>
              <w:right w:val="single" w:sz="4" w:space="0" w:color="auto"/>
            </w:tcBorders>
            <w:shd w:val="clear" w:color="auto" w:fill="auto"/>
            <w:vAlign w:val="bottom"/>
            <w:hideMark/>
          </w:tcPr>
          <w:p w14:paraId="47EE40C5" w14:textId="77777777" w:rsidR="00C91E5A" w:rsidRPr="006C1982" w:rsidRDefault="00C91E5A" w:rsidP="006C1982">
            <w:pPr>
              <w:rPr>
                <w:rFonts w:cs="Arial"/>
                <w:color w:val="000000"/>
                <w:sz w:val="18"/>
                <w:szCs w:val="18"/>
              </w:rPr>
            </w:pPr>
            <w:r w:rsidRPr="006C1982">
              <w:rPr>
                <w:rFonts w:cs="Arial"/>
                <w:color w:val="000000"/>
                <w:sz w:val="18"/>
                <w:szCs w:val="18"/>
              </w:rPr>
              <w:t>Applicants - Renewals</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1A379AC3" w14:textId="77777777" w:rsidR="00C91E5A" w:rsidRPr="006C1982" w:rsidRDefault="00C91E5A" w:rsidP="006C1982">
            <w:pPr>
              <w:rPr>
                <w:rFonts w:cs="Arial"/>
                <w:color w:val="000000"/>
                <w:sz w:val="18"/>
                <w:szCs w:val="18"/>
              </w:rPr>
            </w:pPr>
            <w:r w:rsidRPr="006C1982">
              <w:rPr>
                <w:rFonts w:cs="Arial"/>
                <w:color w:val="000000"/>
                <w:sz w:val="18"/>
                <w:szCs w:val="18"/>
              </w:rPr>
              <w:t>NRC Form 398</w:t>
            </w:r>
          </w:p>
        </w:tc>
        <w:tc>
          <w:tcPr>
            <w:tcW w:w="1530" w:type="dxa"/>
            <w:tcBorders>
              <w:top w:val="nil"/>
              <w:left w:val="nil"/>
              <w:bottom w:val="single" w:sz="4" w:space="0" w:color="auto"/>
              <w:right w:val="single" w:sz="4" w:space="0" w:color="auto"/>
            </w:tcBorders>
            <w:shd w:val="clear" w:color="auto" w:fill="auto"/>
            <w:vAlign w:val="bottom"/>
            <w:hideMark/>
          </w:tcPr>
          <w:p w14:paraId="6238F278" w14:textId="77777777" w:rsidR="00C91E5A" w:rsidRPr="006C1982" w:rsidRDefault="00C91E5A" w:rsidP="006C1982">
            <w:pPr>
              <w:rPr>
                <w:rFonts w:cs="Arial"/>
                <w:color w:val="000000"/>
                <w:sz w:val="18"/>
                <w:szCs w:val="18"/>
              </w:rPr>
            </w:pPr>
            <w:r w:rsidRPr="006C1982">
              <w:rPr>
                <w:rFonts w:cs="Arial"/>
                <w:color w:val="000000"/>
                <w:sz w:val="18"/>
                <w:szCs w:val="18"/>
              </w:rPr>
              <w:t xml:space="preserve">                 494.0 </w:t>
            </w:r>
          </w:p>
        </w:tc>
        <w:tc>
          <w:tcPr>
            <w:tcW w:w="1530" w:type="dxa"/>
            <w:tcBorders>
              <w:top w:val="nil"/>
              <w:left w:val="nil"/>
              <w:bottom w:val="single" w:sz="4" w:space="0" w:color="auto"/>
              <w:right w:val="single" w:sz="4" w:space="0" w:color="auto"/>
            </w:tcBorders>
            <w:shd w:val="clear" w:color="auto" w:fill="auto"/>
            <w:vAlign w:val="bottom"/>
            <w:hideMark/>
          </w:tcPr>
          <w:p w14:paraId="3DBAD84F" w14:textId="77777777" w:rsidR="00C91E5A" w:rsidRPr="006C1982" w:rsidRDefault="00C91E5A" w:rsidP="006C1982">
            <w:pPr>
              <w:rPr>
                <w:rFonts w:cs="Arial"/>
                <w:color w:val="000000"/>
                <w:sz w:val="18"/>
                <w:szCs w:val="18"/>
              </w:rPr>
            </w:pPr>
            <w:r w:rsidRPr="006C1982">
              <w:rPr>
                <w:rFonts w:cs="Arial"/>
                <w:color w:val="000000"/>
                <w:sz w:val="18"/>
                <w:szCs w:val="18"/>
              </w:rPr>
              <w:t xml:space="preserve">               1.0 </w:t>
            </w:r>
          </w:p>
        </w:tc>
        <w:tc>
          <w:tcPr>
            <w:tcW w:w="1620" w:type="dxa"/>
            <w:tcBorders>
              <w:top w:val="nil"/>
              <w:left w:val="nil"/>
              <w:bottom w:val="single" w:sz="4" w:space="0" w:color="auto"/>
              <w:right w:val="single" w:sz="4" w:space="0" w:color="auto"/>
            </w:tcBorders>
            <w:shd w:val="clear" w:color="auto" w:fill="auto"/>
            <w:vAlign w:val="bottom"/>
            <w:hideMark/>
          </w:tcPr>
          <w:p w14:paraId="44092C0F" w14:textId="77777777" w:rsidR="00C91E5A" w:rsidRPr="006C1982" w:rsidRDefault="00C91E5A" w:rsidP="006C1982">
            <w:pPr>
              <w:rPr>
                <w:rFonts w:cs="Arial"/>
                <w:color w:val="000000"/>
                <w:sz w:val="18"/>
                <w:szCs w:val="18"/>
              </w:rPr>
            </w:pPr>
            <w:r w:rsidRPr="006C1982">
              <w:rPr>
                <w:rFonts w:cs="Arial"/>
                <w:color w:val="000000"/>
                <w:sz w:val="18"/>
                <w:szCs w:val="18"/>
              </w:rPr>
              <w:t xml:space="preserve">           494.0 </w:t>
            </w:r>
          </w:p>
        </w:tc>
        <w:tc>
          <w:tcPr>
            <w:tcW w:w="1440" w:type="dxa"/>
            <w:tcBorders>
              <w:top w:val="nil"/>
              <w:left w:val="nil"/>
              <w:bottom w:val="single" w:sz="4" w:space="0" w:color="auto"/>
              <w:right w:val="single" w:sz="4" w:space="0" w:color="auto"/>
            </w:tcBorders>
            <w:shd w:val="clear" w:color="auto" w:fill="auto"/>
            <w:vAlign w:val="bottom"/>
            <w:hideMark/>
          </w:tcPr>
          <w:p w14:paraId="2EEC21BA" w14:textId="77777777" w:rsidR="00C91E5A" w:rsidRPr="006C1982" w:rsidRDefault="00C91E5A" w:rsidP="006C1982">
            <w:pPr>
              <w:rPr>
                <w:rFonts w:cs="Arial"/>
                <w:color w:val="000000"/>
                <w:sz w:val="18"/>
                <w:szCs w:val="18"/>
              </w:rPr>
            </w:pPr>
            <w:r w:rsidRPr="006C1982">
              <w:rPr>
                <w:rFonts w:cs="Arial"/>
                <w:color w:val="000000"/>
                <w:sz w:val="18"/>
                <w:szCs w:val="18"/>
              </w:rPr>
              <w:t xml:space="preserve">               2.5 </w:t>
            </w:r>
          </w:p>
        </w:tc>
        <w:tc>
          <w:tcPr>
            <w:tcW w:w="1620" w:type="dxa"/>
            <w:tcBorders>
              <w:top w:val="nil"/>
              <w:left w:val="nil"/>
              <w:bottom w:val="single" w:sz="4" w:space="0" w:color="auto"/>
              <w:right w:val="single" w:sz="4" w:space="0" w:color="auto"/>
            </w:tcBorders>
            <w:shd w:val="clear" w:color="auto" w:fill="auto"/>
            <w:vAlign w:val="bottom"/>
            <w:hideMark/>
          </w:tcPr>
          <w:p w14:paraId="33D6B416" w14:textId="77777777" w:rsidR="00C91E5A" w:rsidRPr="006C1982" w:rsidRDefault="00C91E5A" w:rsidP="006C1982">
            <w:pPr>
              <w:rPr>
                <w:rFonts w:cs="Arial"/>
                <w:color w:val="000000"/>
                <w:sz w:val="18"/>
                <w:szCs w:val="18"/>
              </w:rPr>
            </w:pPr>
            <w:r w:rsidRPr="006C1982">
              <w:rPr>
                <w:rFonts w:cs="Arial"/>
                <w:color w:val="000000"/>
                <w:sz w:val="18"/>
                <w:szCs w:val="18"/>
              </w:rPr>
              <w:t xml:space="preserve">        1,235.0 </w:t>
            </w:r>
          </w:p>
        </w:tc>
        <w:tc>
          <w:tcPr>
            <w:tcW w:w="1800" w:type="dxa"/>
            <w:tcBorders>
              <w:top w:val="nil"/>
              <w:left w:val="nil"/>
              <w:bottom w:val="single" w:sz="4" w:space="0" w:color="auto"/>
              <w:right w:val="single" w:sz="4" w:space="0" w:color="auto"/>
            </w:tcBorders>
            <w:shd w:val="clear" w:color="auto" w:fill="auto"/>
            <w:vAlign w:val="bottom"/>
            <w:hideMark/>
          </w:tcPr>
          <w:p w14:paraId="4EC78FD3" w14:textId="77777777" w:rsidR="00C91E5A" w:rsidRPr="006C1982" w:rsidRDefault="00C91E5A" w:rsidP="006C1982">
            <w:pPr>
              <w:rPr>
                <w:rFonts w:cs="Arial"/>
                <w:color w:val="000000"/>
                <w:sz w:val="18"/>
                <w:szCs w:val="18"/>
              </w:rPr>
            </w:pPr>
            <w:r w:rsidRPr="006C1982">
              <w:rPr>
                <w:rFonts w:cs="Arial"/>
                <w:color w:val="000000"/>
                <w:sz w:val="18"/>
                <w:szCs w:val="18"/>
              </w:rPr>
              <w:t xml:space="preserve"> $          339,625 </w:t>
            </w:r>
          </w:p>
        </w:tc>
      </w:tr>
      <w:tr w:rsidR="00C91E5A" w:rsidRPr="006C1982" w14:paraId="6DD3D2B0" w14:textId="77777777" w:rsidTr="00C91E5A">
        <w:trPr>
          <w:trHeight w:val="285"/>
        </w:trPr>
        <w:tc>
          <w:tcPr>
            <w:tcW w:w="2605" w:type="dxa"/>
            <w:tcBorders>
              <w:top w:val="nil"/>
              <w:left w:val="single" w:sz="4" w:space="0" w:color="auto"/>
              <w:bottom w:val="single" w:sz="4" w:space="0" w:color="auto"/>
              <w:right w:val="single" w:sz="4" w:space="0" w:color="auto"/>
            </w:tcBorders>
            <w:shd w:val="clear" w:color="auto" w:fill="auto"/>
            <w:vAlign w:val="bottom"/>
            <w:hideMark/>
          </w:tcPr>
          <w:p w14:paraId="762E1D5D" w14:textId="77777777" w:rsidR="00C91E5A" w:rsidRPr="006C1982" w:rsidRDefault="00C91E5A" w:rsidP="006C1982">
            <w:pPr>
              <w:rPr>
                <w:rFonts w:cs="Arial"/>
                <w:color w:val="000000"/>
                <w:sz w:val="18"/>
                <w:szCs w:val="18"/>
              </w:rPr>
            </w:pPr>
            <w:r w:rsidRPr="006C1982">
              <w:rPr>
                <w:rFonts w:cs="Arial"/>
                <w:color w:val="000000"/>
                <w:sz w:val="18"/>
                <w:szCs w:val="18"/>
              </w:rPr>
              <w:t>Applicants - re-applied</w:t>
            </w:r>
          </w:p>
        </w:tc>
        <w:tc>
          <w:tcPr>
            <w:tcW w:w="1890" w:type="dxa"/>
            <w:tcBorders>
              <w:top w:val="nil"/>
              <w:left w:val="nil"/>
              <w:bottom w:val="single" w:sz="4" w:space="0" w:color="auto"/>
              <w:right w:val="single" w:sz="4" w:space="0" w:color="auto"/>
            </w:tcBorders>
            <w:shd w:val="clear" w:color="auto" w:fill="auto"/>
            <w:vAlign w:val="bottom"/>
            <w:hideMark/>
          </w:tcPr>
          <w:p w14:paraId="622964FB" w14:textId="77777777" w:rsidR="00C91E5A" w:rsidRPr="006C1982" w:rsidRDefault="00C91E5A" w:rsidP="006C1982">
            <w:pPr>
              <w:rPr>
                <w:rFonts w:cs="Arial"/>
                <w:color w:val="000000"/>
                <w:sz w:val="18"/>
                <w:szCs w:val="18"/>
              </w:rPr>
            </w:pPr>
            <w:r w:rsidRPr="006C1982">
              <w:rPr>
                <w:rFonts w:cs="Arial"/>
                <w:color w:val="000000"/>
                <w:sz w:val="18"/>
                <w:szCs w:val="18"/>
              </w:rPr>
              <w:t>NRC Form 398</w:t>
            </w:r>
          </w:p>
        </w:tc>
        <w:tc>
          <w:tcPr>
            <w:tcW w:w="1530" w:type="dxa"/>
            <w:tcBorders>
              <w:top w:val="nil"/>
              <w:left w:val="nil"/>
              <w:bottom w:val="single" w:sz="4" w:space="0" w:color="auto"/>
              <w:right w:val="single" w:sz="4" w:space="0" w:color="auto"/>
            </w:tcBorders>
            <w:shd w:val="clear" w:color="auto" w:fill="auto"/>
            <w:vAlign w:val="bottom"/>
            <w:hideMark/>
          </w:tcPr>
          <w:p w14:paraId="6913D61C" w14:textId="77777777" w:rsidR="00C91E5A" w:rsidRPr="006C1982" w:rsidRDefault="00C91E5A" w:rsidP="006C1982">
            <w:pPr>
              <w:rPr>
                <w:rFonts w:cs="Arial"/>
                <w:color w:val="000000"/>
                <w:sz w:val="18"/>
                <w:szCs w:val="18"/>
              </w:rPr>
            </w:pPr>
            <w:r w:rsidRPr="006C1982">
              <w:rPr>
                <w:rFonts w:cs="Arial"/>
                <w:color w:val="000000"/>
                <w:sz w:val="18"/>
                <w:szCs w:val="18"/>
              </w:rPr>
              <w:t xml:space="preserve">                   23.0 </w:t>
            </w:r>
          </w:p>
        </w:tc>
        <w:tc>
          <w:tcPr>
            <w:tcW w:w="1530" w:type="dxa"/>
            <w:tcBorders>
              <w:top w:val="nil"/>
              <w:left w:val="nil"/>
              <w:bottom w:val="single" w:sz="4" w:space="0" w:color="auto"/>
              <w:right w:val="single" w:sz="4" w:space="0" w:color="auto"/>
            </w:tcBorders>
            <w:shd w:val="clear" w:color="auto" w:fill="auto"/>
            <w:vAlign w:val="bottom"/>
            <w:hideMark/>
          </w:tcPr>
          <w:p w14:paraId="3909E3B6" w14:textId="77777777" w:rsidR="00C91E5A" w:rsidRPr="006C1982" w:rsidRDefault="00C91E5A" w:rsidP="006C1982">
            <w:pPr>
              <w:rPr>
                <w:rFonts w:cs="Arial"/>
                <w:color w:val="000000"/>
                <w:sz w:val="18"/>
                <w:szCs w:val="18"/>
              </w:rPr>
            </w:pPr>
            <w:r w:rsidRPr="006C1982">
              <w:rPr>
                <w:rFonts w:cs="Arial"/>
                <w:color w:val="000000"/>
                <w:sz w:val="18"/>
                <w:szCs w:val="18"/>
              </w:rPr>
              <w:t xml:space="preserve">               1.0 </w:t>
            </w:r>
          </w:p>
        </w:tc>
        <w:tc>
          <w:tcPr>
            <w:tcW w:w="1620" w:type="dxa"/>
            <w:tcBorders>
              <w:top w:val="nil"/>
              <w:left w:val="nil"/>
              <w:bottom w:val="single" w:sz="4" w:space="0" w:color="auto"/>
              <w:right w:val="single" w:sz="4" w:space="0" w:color="auto"/>
            </w:tcBorders>
            <w:shd w:val="clear" w:color="auto" w:fill="auto"/>
            <w:vAlign w:val="bottom"/>
            <w:hideMark/>
          </w:tcPr>
          <w:p w14:paraId="4B719A67" w14:textId="77777777" w:rsidR="00C91E5A" w:rsidRPr="006C1982" w:rsidRDefault="00C91E5A" w:rsidP="006C1982">
            <w:pPr>
              <w:rPr>
                <w:rFonts w:cs="Arial"/>
                <w:color w:val="000000"/>
                <w:sz w:val="18"/>
                <w:szCs w:val="18"/>
              </w:rPr>
            </w:pPr>
            <w:r w:rsidRPr="006C1982">
              <w:rPr>
                <w:rFonts w:cs="Arial"/>
                <w:color w:val="000000"/>
                <w:sz w:val="18"/>
                <w:szCs w:val="18"/>
              </w:rPr>
              <w:t xml:space="preserve">             23.0 </w:t>
            </w:r>
          </w:p>
        </w:tc>
        <w:tc>
          <w:tcPr>
            <w:tcW w:w="1440" w:type="dxa"/>
            <w:tcBorders>
              <w:top w:val="nil"/>
              <w:left w:val="nil"/>
              <w:bottom w:val="single" w:sz="4" w:space="0" w:color="auto"/>
              <w:right w:val="single" w:sz="4" w:space="0" w:color="auto"/>
            </w:tcBorders>
            <w:shd w:val="clear" w:color="auto" w:fill="auto"/>
            <w:vAlign w:val="bottom"/>
            <w:hideMark/>
          </w:tcPr>
          <w:p w14:paraId="603D40BA" w14:textId="77777777" w:rsidR="00C91E5A" w:rsidRPr="006C1982" w:rsidRDefault="00C91E5A" w:rsidP="006C1982">
            <w:pPr>
              <w:rPr>
                <w:rFonts w:cs="Arial"/>
                <w:color w:val="000000"/>
                <w:sz w:val="18"/>
                <w:szCs w:val="18"/>
              </w:rPr>
            </w:pPr>
            <w:r w:rsidRPr="006C1982">
              <w:rPr>
                <w:rFonts w:cs="Arial"/>
                <w:color w:val="000000"/>
                <w:sz w:val="18"/>
                <w:szCs w:val="18"/>
              </w:rPr>
              <w:t xml:space="preserve">               2.5 </w:t>
            </w:r>
          </w:p>
        </w:tc>
        <w:tc>
          <w:tcPr>
            <w:tcW w:w="1620" w:type="dxa"/>
            <w:tcBorders>
              <w:top w:val="nil"/>
              <w:left w:val="nil"/>
              <w:bottom w:val="single" w:sz="4" w:space="0" w:color="auto"/>
              <w:right w:val="single" w:sz="4" w:space="0" w:color="auto"/>
            </w:tcBorders>
            <w:shd w:val="clear" w:color="auto" w:fill="auto"/>
            <w:vAlign w:val="bottom"/>
            <w:hideMark/>
          </w:tcPr>
          <w:p w14:paraId="28E8FB36" w14:textId="77777777" w:rsidR="00C91E5A" w:rsidRPr="006C1982" w:rsidRDefault="00C91E5A" w:rsidP="006C1982">
            <w:pPr>
              <w:rPr>
                <w:rFonts w:cs="Arial"/>
                <w:color w:val="000000"/>
                <w:sz w:val="18"/>
                <w:szCs w:val="18"/>
              </w:rPr>
            </w:pPr>
            <w:r w:rsidRPr="006C1982">
              <w:rPr>
                <w:rFonts w:cs="Arial"/>
                <w:color w:val="000000"/>
                <w:sz w:val="18"/>
                <w:szCs w:val="18"/>
              </w:rPr>
              <w:t xml:space="preserve">             57.5 </w:t>
            </w:r>
          </w:p>
        </w:tc>
        <w:tc>
          <w:tcPr>
            <w:tcW w:w="1800" w:type="dxa"/>
            <w:tcBorders>
              <w:top w:val="nil"/>
              <w:left w:val="nil"/>
              <w:bottom w:val="single" w:sz="4" w:space="0" w:color="auto"/>
              <w:right w:val="single" w:sz="4" w:space="0" w:color="auto"/>
            </w:tcBorders>
            <w:shd w:val="clear" w:color="auto" w:fill="auto"/>
            <w:vAlign w:val="bottom"/>
            <w:hideMark/>
          </w:tcPr>
          <w:p w14:paraId="0CF9FFB7" w14:textId="77777777" w:rsidR="00C91E5A" w:rsidRPr="006C1982" w:rsidRDefault="00C91E5A" w:rsidP="006C1982">
            <w:pPr>
              <w:rPr>
                <w:rFonts w:cs="Arial"/>
                <w:color w:val="000000"/>
                <w:sz w:val="18"/>
                <w:szCs w:val="18"/>
              </w:rPr>
            </w:pPr>
            <w:r w:rsidRPr="006C1982">
              <w:rPr>
                <w:rFonts w:cs="Arial"/>
                <w:color w:val="000000"/>
                <w:sz w:val="18"/>
                <w:szCs w:val="18"/>
              </w:rPr>
              <w:t xml:space="preserve"> $            15,813 </w:t>
            </w:r>
          </w:p>
        </w:tc>
      </w:tr>
      <w:tr w:rsidR="00C91E5A" w:rsidRPr="006C1982" w14:paraId="14F25A2B" w14:textId="77777777" w:rsidTr="00C91E5A">
        <w:trPr>
          <w:trHeight w:val="300"/>
        </w:trPr>
        <w:tc>
          <w:tcPr>
            <w:tcW w:w="2605" w:type="dxa"/>
            <w:tcBorders>
              <w:top w:val="nil"/>
              <w:left w:val="single" w:sz="4" w:space="0" w:color="auto"/>
              <w:bottom w:val="single" w:sz="4" w:space="0" w:color="auto"/>
              <w:right w:val="single" w:sz="4" w:space="0" w:color="auto"/>
            </w:tcBorders>
            <w:shd w:val="clear" w:color="auto" w:fill="auto"/>
            <w:vAlign w:val="bottom"/>
            <w:hideMark/>
          </w:tcPr>
          <w:p w14:paraId="7246A784" w14:textId="77777777" w:rsidR="00C91E5A" w:rsidRPr="006C1982" w:rsidRDefault="00C91E5A" w:rsidP="006C1982">
            <w:pPr>
              <w:rPr>
                <w:rFonts w:cs="Arial"/>
                <w:b/>
                <w:bCs/>
                <w:color w:val="000000"/>
                <w:sz w:val="18"/>
                <w:szCs w:val="18"/>
              </w:rPr>
            </w:pPr>
            <w:r w:rsidRPr="006C1982">
              <w:rPr>
                <w:rFonts w:cs="Arial"/>
                <w:b/>
                <w:bCs/>
                <w:color w:val="000000"/>
                <w:sz w:val="18"/>
                <w:szCs w:val="18"/>
              </w:rPr>
              <w:t>TOTAL</w:t>
            </w:r>
          </w:p>
        </w:tc>
        <w:tc>
          <w:tcPr>
            <w:tcW w:w="1890" w:type="dxa"/>
            <w:tcBorders>
              <w:top w:val="nil"/>
              <w:left w:val="nil"/>
              <w:bottom w:val="single" w:sz="4" w:space="0" w:color="auto"/>
              <w:right w:val="single" w:sz="4" w:space="0" w:color="auto"/>
            </w:tcBorders>
            <w:shd w:val="clear" w:color="auto" w:fill="auto"/>
            <w:vAlign w:val="bottom"/>
            <w:hideMark/>
          </w:tcPr>
          <w:p w14:paraId="1B955D47" w14:textId="77777777" w:rsidR="00C91E5A" w:rsidRPr="006C1982" w:rsidRDefault="00C91E5A" w:rsidP="006C1982">
            <w:pPr>
              <w:rPr>
                <w:rFonts w:cs="Arial"/>
                <w:b/>
                <w:bCs/>
                <w:color w:val="000000"/>
                <w:sz w:val="18"/>
                <w:szCs w:val="18"/>
              </w:rPr>
            </w:pPr>
            <w:r w:rsidRPr="006C1982">
              <w:rPr>
                <w:rFonts w:cs="Arial"/>
                <w:b/>
                <w:bCs/>
                <w:color w:val="000000"/>
                <w:sz w:val="18"/>
                <w:szCs w:val="18"/>
              </w:rPr>
              <w:t> </w:t>
            </w:r>
          </w:p>
        </w:tc>
        <w:tc>
          <w:tcPr>
            <w:tcW w:w="1530" w:type="dxa"/>
            <w:tcBorders>
              <w:top w:val="nil"/>
              <w:left w:val="nil"/>
              <w:bottom w:val="single" w:sz="4" w:space="0" w:color="auto"/>
              <w:right w:val="single" w:sz="4" w:space="0" w:color="auto"/>
            </w:tcBorders>
            <w:shd w:val="clear" w:color="auto" w:fill="auto"/>
            <w:vAlign w:val="bottom"/>
            <w:hideMark/>
          </w:tcPr>
          <w:p w14:paraId="4C283D0A" w14:textId="77777777" w:rsidR="00C91E5A" w:rsidRPr="006C1982" w:rsidRDefault="00C91E5A" w:rsidP="006C1982">
            <w:pPr>
              <w:rPr>
                <w:rFonts w:cs="Arial"/>
                <w:b/>
                <w:bCs/>
                <w:color w:val="000000"/>
                <w:sz w:val="18"/>
                <w:szCs w:val="18"/>
              </w:rPr>
            </w:pPr>
            <w:r w:rsidRPr="006C1982">
              <w:rPr>
                <w:rFonts w:cs="Arial"/>
                <w:b/>
                <w:bCs/>
                <w:color w:val="000000"/>
                <w:sz w:val="18"/>
                <w:szCs w:val="18"/>
              </w:rPr>
              <w:t> </w:t>
            </w:r>
          </w:p>
        </w:tc>
        <w:tc>
          <w:tcPr>
            <w:tcW w:w="1530" w:type="dxa"/>
            <w:tcBorders>
              <w:top w:val="nil"/>
              <w:left w:val="nil"/>
              <w:bottom w:val="single" w:sz="4" w:space="0" w:color="auto"/>
              <w:right w:val="single" w:sz="4" w:space="0" w:color="auto"/>
            </w:tcBorders>
            <w:shd w:val="clear" w:color="auto" w:fill="auto"/>
            <w:vAlign w:val="bottom"/>
            <w:hideMark/>
          </w:tcPr>
          <w:p w14:paraId="3EBA9714" w14:textId="77777777" w:rsidR="00C91E5A" w:rsidRPr="006C1982" w:rsidRDefault="00C91E5A" w:rsidP="006C1982">
            <w:pPr>
              <w:rPr>
                <w:rFonts w:cs="Arial"/>
                <w:b/>
                <w:bCs/>
                <w:color w:val="000000"/>
                <w:sz w:val="18"/>
                <w:szCs w:val="18"/>
              </w:rPr>
            </w:pPr>
            <w:r w:rsidRPr="006C1982">
              <w:rPr>
                <w:rFonts w:cs="Arial"/>
                <w:b/>
                <w:bCs/>
                <w:color w:val="000000"/>
                <w:sz w:val="18"/>
                <w:szCs w:val="18"/>
              </w:rPr>
              <w:t> </w:t>
            </w:r>
          </w:p>
        </w:tc>
        <w:tc>
          <w:tcPr>
            <w:tcW w:w="1620" w:type="dxa"/>
            <w:tcBorders>
              <w:top w:val="nil"/>
              <w:left w:val="nil"/>
              <w:bottom w:val="single" w:sz="4" w:space="0" w:color="auto"/>
              <w:right w:val="single" w:sz="4" w:space="0" w:color="auto"/>
            </w:tcBorders>
            <w:shd w:val="clear" w:color="auto" w:fill="auto"/>
            <w:vAlign w:val="bottom"/>
            <w:hideMark/>
          </w:tcPr>
          <w:p w14:paraId="1742AA11" w14:textId="77777777" w:rsidR="00C91E5A" w:rsidRPr="006C1982" w:rsidRDefault="00C91E5A" w:rsidP="006C1982">
            <w:pPr>
              <w:rPr>
                <w:rFonts w:cs="Arial"/>
                <w:b/>
                <w:bCs/>
                <w:color w:val="000000"/>
                <w:sz w:val="18"/>
                <w:szCs w:val="18"/>
              </w:rPr>
            </w:pPr>
            <w:r w:rsidRPr="006C1982">
              <w:rPr>
                <w:rFonts w:cs="Arial"/>
                <w:b/>
                <w:bCs/>
                <w:color w:val="000000"/>
                <w:sz w:val="18"/>
                <w:szCs w:val="18"/>
              </w:rPr>
              <w:t xml:space="preserve">        1,074.0 </w:t>
            </w:r>
          </w:p>
        </w:tc>
        <w:tc>
          <w:tcPr>
            <w:tcW w:w="1440" w:type="dxa"/>
            <w:tcBorders>
              <w:top w:val="nil"/>
              <w:left w:val="nil"/>
              <w:bottom w:val="single" w:sz="4" w:space="0" w:color="auto"/>
              <w:right w:val="single" w:sz="4" w:space="0" w:color="auto"/>
            </w:tcBorders>
            <w:shd w:val="clear" w:color="auto" w:fill="auto"/>
            <w:vAlign w:val="bottom"/>
            <w:hideMark/>
          </w:tcPr>
          <w:p w14:paraId="738312CF" w14:textId="77777777" w:rsidR="00C91E5A" w:rsidRPr="006C1982" w:rsidRDefault="00C91E5A" w:rsidP="006C1982">
            <w:pPr>
              <w:rPr>
                <w:rFonts w:cs="Arial"/>
                <w:b/>
                <w:bCs/>
                <w:color w:val="000000"/>
                <w:sz w:val="18"/>
                <w:szCs w:val="18"/>
              </w:rPr>
            </w:pPr>
            <w:r w:rsidRPr="006C1982">
              <w:rPr>
                <w:rFonts w:cs="Arial"/>
                <w:b/>
                <w:bCs/>
                <w:color w:val="000000"/>
                <w:sz w:val="18"/>
                <w:szCs w:val="18"/>
              </w:rPr>
              <w:t> </w:t>
            </w:r>
          </w:p>
        </w:tc>
        <w:tc>
          <w:tcPr>
            <w:tcW w:w="1620" w:type="dxa"/>
            <w:tcBorders>
              <w:top w:val="nil"/>
              <w:left w:val="nil"/>
              <w:bottom w:val="single" w:sz="4" w:space="0" w:color="auto"/>
              <w:right w:val="single" w:sz="4" w:space="0" w:color="auto"/>
            </w:tcBorders>
            <w:shd w:val="clear" w:color="auto" w:fill="auto"/>
            <w:vAlign w:val="bottom"/>
            <w:hideMark/>
          </w:tcPr>
          <w:p w14:paraId="067577BA" w14:textId="77777777" w:rsidR="00C91E5A" w:rsidRPr="006C1982" w:rsidRDefault="00C91E5A" w:rsidP="006C1982">
            <w:pPr>
              <w:rPr>
                <w:rFonts w:cs="Arial"/>
                <w:b/>
                <w:bCs/>
                <w:color w:val="000000"/>
                <w:sz w:val="18"/>
                <w:szCs w:val="18"/>
              </w:rPr>
            </w:pPr>
            <w:r w:rsidRPr="006C1982">
              <w:rPr>
                <w:rFonts w:cs="Arial"/>
                <w:b/>
                <w:bCs/>
                <w:color w:val="000000"/>
                <w:sz w:val="18"/>
                <w:szCs w:val="18"/>
              </w:rPr>
              <w:t xml:space="preserve">        5,711.0 </w:t>
            </w:r>
          </w:p>
        </w:tc>
        <w:tc>
          <w:tcPr>
            <w:tcW w:w="1800" w:type="dxa"/>
            <w:tcBorders>
              <w:top w:val="nil"/>
              <w:left w:val="nil"/>
              <w:bottom w:val="single" w:sz="4" w:space="0" w:color="auto"/>
              <w:right w:val="single" w:sz="4" w:space="0" w:color="auto"/>
            </w:tcBorders>
            <w:shd w:val="clear" w:color="auto" w:fill="auto"/>
            <w:vAlign w:val="bottom"/>
            <w:hideMark/>
          </w:tcPr>
          <w:p w14:paraId="637EDD08" w14:textId="77777777" w:rsidR="00C91E5A" w:rsidRPr="006C1982" w:rsidRDefault="00C91E5A" w:rsidP="006C1982">
            <w:pPr>
              <w:rPr>
                <w:rFonts w:cs="Arial"/>
                <w:color w:val="000000"/>
                <w:sz w:val="18"/>
                <w:szCs w:val="18"/>
              </w:rPr>
            </w:pPr>
            <w:r w:rsidRPr="006C1982">
              <w:rPr>
                <w:rFonts w:cs="Arial"/>
                <w:color w:val="000000"/>
                <w:sz w:val="18"/>
                <w:szCs w:val="18"/>
              </w:rPr>
              <w:t xml:space="preserve"> $       1,570,525 </w:t>
            </w:r>
          </w:p>
        </w:tc>
      </w:tr>
    </w:tbl>
    <w:p w14:paraId="3079EA6E" w14:textId="77777777" w:rsidR="002664CB" w:rsidRPr="00FA06B8" w:rsidRDefault="002664CB" w:rsidP="00E356C1"/>
    <w:sectPr w:rsidR="002664CB" w:rsidRPr="00FA06B8" w:rsidSect="00C91E5A">
      <w:pgSz w:w="15840" w:h="12240" w:orient="landscape" w:code="1"/>
      <w:pgMar w:top="720" w:right="720" w:bottom="720" w:left="720" w:header="432" w:footer="144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0D551" w14:textId="77777777" w:rsidR="00A43659" w:rsidRDefault="00A43659" w:rsidP="003F648B">
      <w:r>
        <w:separator/>
      </w:r>
    </w:p>
  </w:endnote>
  <w:endnote w:type="continuationSeparator" w:id="0">
    <w:p w14:paraId="21BA69BA" w14:textId="77777777" w:rsidR="00A43659" w:rsidRDefault="00A43659" w:rsidP="003F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A72FB" w14:textId="77777777" w:rsidR="00007AA6" w:rsidRDefault="00007AA6">
    <w:pPr>
      <w:pStyle w:val="Footer"/>
      <w:jc w:val="center"/>
    </w:pPr>
    <w:r>
      <w:fldChar w:fldCharType="begin"/>
    </w:r>
    <w:r>
      <w:instrText xml:space="preserve"> PAGE   \* MERGEFORMAT </w:instrText>
    </w:r>
    <w:r>
      <w:fldChar w:fldCharType="separate"/>
    </w:r>
    <w:r w:rsidR="00400337">
      <w:rPr>
        <w:noProof/>
      </w:rPr>
      <w:t>- 7 -</w:t>
    </w:r>
    <w:r>
      <w:fldChar w:fldCharType="end"/>
    </w:r>
  </w:p>
  <w:p w14:paraId="216A02AB" w14:textId="77777777" w:rsidR="00007AA6" w:rsidRDefault="00007AA6" w:rsidP="003F64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99C4A" w14:textId="77777777" w:rsidR="00A43659" w:rsidRDefault="00A43659" w:rsidP="003F648B">
      <w:r>
        <w:separator/>
      </w:r>
    </w:p>
  </w:footnote>
  <w:footnote w:type="continuationSeparator" w:id="0">
    <w:p w14:paraId="2F110676" w14:textId="77777777" w:rsidR="00A43659" w:rsidRDefault="00A43659" w:rsidP="003F6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34B98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FD4A09"/>
    <w:multiLevelType w:val="hybridMultilevel"/>
    <w:tmpl w:val="119259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306CA3"/>
    <w:multiLevelType w:val="hybridMultilevel"/>
    <w:tmpl w:val="918A076C"/>
    <w:lvl w:ilvl="0" w:tplc="7370F930">
      <w:start w:val="1"/>
      <w:numFmt w:val="decimal"/>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E17DCD"/>
    <w:multiLevelType w:val="hybridMultilevel"/>
    <w:tmpl w:val="9E78FD14"/>
    <w:lvl w:ilvl="0" w:tplc="3B7451CE">
      <w:start w:val="1"/>
      <w:numFmt w:val="decimal"/>
      <w:lvlText w:val="%1."/>
      <w:lvlJc w:val="left"/>
      <w:pPr>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E81771E"/>
    <w:multiLevelType w:val="hybridMultilevel"/>
    <w:tmpl w:val="3186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A732F"/>
    <w:multiLevelType w:val="hybridMultilevel"/>
    <w:tmpl w:val="4C8E69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8627157"/>
    <w:multiLevelType w:val="hybridMultilevel"/>
    <w:tmpl w:val="B1489592"/>
    <w:lvl w:ilvl="0" w:tplc="19FE74F2">
      <w:start w:val="1"/>
      <w:numFmt w:val="upperLetter"/>
      <w:lvlText w:val="%1."/>
      <w:lvlJc w:val="left"/>
      <w:pPr>
        <w:tabs>
          <w:tab w:val="num" w:pos="1080"/>
        </w:tabs>
        <w:ind w:left="1080" w:hanging="720"/>
      </w:pPr>
      <w:rPr>
        <w:rFonts w:hint="default"/>
      </w:rPr>
    </w:lvl>
    <w:lvl w:ilvl="1" w:tplc="A0F08C04">
      <w:start w:val="1"/>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034C5"/>
    <w:multiLevelType w:val="hybridMultilevel"/>
    <w:tmpl w:val="4BEE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0F4AED"/>
    <w:multiLevelType w:val="hybridMultilevel"/>
    <w:tmpl w:val="E51C0C02"/>
    <w:lvl w:ilvl="0" w:tplc="A55E7CC4">
      <w:start w:val="1"/>
      <w:numFmt w:val="upperLetter"/>
      <w:lvlText w:val="%1."/>
      <w:lvlJc w:val="left"/>
      <w:pPr>
        <w:tabs>
          <w:tab w:val="num" w:pos="861"/>
        </w:tabs>
        <w:ind w:left="861" w:hanging="69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0">
    <w:nsid w:val="4F857707"/>
    <w:multiLevelType w:val="hybridMultilevel"/>
    <w:tmpl w:val="45B0C8C4"/>
    <w:lvl w:ilvl="0" w:tplc="A70E4B1E">
      <w:start w:val="1"/>
      <w:numFmt w:val="lowerLetter"/>
      <w:lvlText w:val="%1)"/>
      <w:lvlJc w:val="left"/>
      <w:pPr>
        <w:ind w:left="216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693D2281"/>
    <w:multiLevelType w:val="hybridMultilevel"/>
    <w:tmpl w:val="E51050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E601B2B"/>
    <w:multiLevelType w:val="hybridMultilevel"/>
    <w:tmpl w:val="E7567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98A6C6B"/>
    <w:multiLevelType w:val="hybridMultilevel"/>
    <w:tmpl w:val="30C20090"/>
    <w:lvl w:ilvl="0" w:tplc="05BEB486">
      <w:start w:val="1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E6A6E0E"/>
    <w:multiLevelType w:val="hybridMultilevel"/>
    <w:tmpl w:val="C5EEF7AE"/>
    <w:lvl w:ilvl="0" w:tplc="23E44F5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3"/>
  </w:num>
  <w:num w:numId="3">
    <w:abstractNumId w:val="9"/>
  </w:num>
  <w:num w:numId="4">
    <w:abstractNumId w:val="1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0"/>
  </w:num>
  <w:num w:numId="9">
    <w:abstractNumId w:val="0"/>
  </w:num>
  <w:num w:numId="10">
    <w:abstractNumId w:val="3"/>
  </w:num>
  <w:num w:numId="11">
    <w:abstractNumId w:val="5"/>
  </w:num>
  <w:num w:numId="12">
    <w:abstractNumId w:val="0"/>
  </w:num>
  <w:num w:numId="13">
    <w:abstractNumId w:val="4"/>
  </w:num>
  <w:num w:numId="14">
    <w:abstractNumId w:val="8"/>
  </w:num>
  <w:num w:numId="15">
    <w:abstractNumId w:val="11"/>
  </w:num>
  <w:num w:numId="16">
    <w:abstractNumId w:val="1"/>
  </w:num>
  <w:num w:numId="17">
    <w:abstractNumId w:val="2"/>
  </w:num>
  <w:num w:numId="18">
    <w:abstractNumId w:val="1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D6"/>
    <w:rsid w:val="000007DB"/>
    <w:rsid w:val="00003CC6"/>
    <w:rsid w:val="0000511E"/>
    <w:rsid w:val="00005824"/>
    <w:rsid w:val="0000727D"/>
    <w:rsid w:val="00007AA6"/>
    <w:rsid w:val="00015519"/>
    <w:rsid w:val="00016CD4"/>
    <w:rsid w:val="0002043E"/>
    <w:rsid w:val="00023A93"/>
    <w:rsid w:val="000325F9"/>
    <w:rsid w:val="00032EBE"/>
    <w:rsid w:val="00033422"/>
    <w:rsid w:val="00040A07"/>
    <w:rsid w:val="0004557E"/>
    <w:rsid w:val="00050B73"/>
    <w:rsid w:val="0005700B"/>
    <w:rsid w:val="00057592"/>
    <w:rsid w:val="0006301E"/>
    <w:rsid w:val="00065494"/>
    <w:rsid w:val="00067D3E"/>
    <w:rsid w:val="000718AF"/>
    <w:rsid w:val="00073841"/>
    <w:rsid w:val="00075BF4"/>
    <w:rsid w:val="000764A2"/>
    <w:rsid w:val="00077512"/>
    <w:rsid w:val="00080D94"/>
    <w:rsid w:val="00080E19"/>
    <w:rsid w:val="00083AA5"/>
    <w:rsid w:val="00085833"/>
    <w:rsid w:val="00090BDB"/>
    <w:rsid w:val="00091061"/>
    <w:rsid w:val="00095362"/>
    <w:rsid w:val="000A2AC0"/>
    <w:rsid w:val="000B2A3C"/>
    <w:rsid w:val="000B3589"/>
    <w:rsid w:val="000B3BB4"/>
    <w:rsid w:val="000B73DE"/>
    <w:rsid w:val="000C2F68"/>
    <w:rsid w:val="000C3FD2"/>
    <w:rsid w:val="000D3F27"/>
    <w:rsid w:val="000D55F1"/>
    <w:rsid w:val="000D6FF2"/>
    <w:rsid w:val="000D7168"/>
    <w:rsid w:val="000D7BCA"/>
    <w:rsid w:val="000E0612"/>
    <w:rsid w:val="000E0F3A"/>
    <w:rsid w:val="000E7A3C"/>
    <w:rsid w:val="000F1EF5"/>
    <w:rsid w:val="0010309B"/>
    <w:rsid w:val="0010375A"/>
    <w:rsid w:val="001047BB"/>
    <w:rsid w:val="00110FF5"/>
    <w:rsid w:val="00111C0A"/>
    <w:rsid w:val="00114ABA"/>
    <w:rsid w:val="00116745"/>
    <w:rsid w:val="00116E4C"/>
    <w:rsid w:val="00122168"/>
    <w:rsid w:val="0012339F"/>
    <w:rsid w:val="00123BB1"/>
    <w:rsid w:val="00123FA9"/>
    <w:rsid w:val="00124E40"/>
    <w:rsid w:val="00131E0B"/>
    <w:rsid w:val="00134A9F"/>
    <w:rsid w:val="00135FD0"/>
    <w:rsid w:val="00136629"/>
    <w:rsid w:val="00137BCD"/>
    <w:rsid w:val="0014507D"/>
    <w:rsid w:val="001452A9"/>
    <w:rsid w:val="0015122A"/>
    <w:rsid w:val="0016174C"/>
    <w:rsid w:val="00163A96"/>
    <w:rsid w:val="00172607"/>
    <w:rsid w:val="00173596"/>
    <w:rsid w:val="00174423"/>
    <w:rsid w:val="0017602F"/>
    <w:rsid w:val="00182ED8"/>
    <w:rsid w:val="0018537C"/>
    <w:rsid w:val="00190ACA"/>
    <w:rsid w:val="001A191A"/>
    <w:rsid w:val="001A7CB6"/>
    <w:rsid w:val="001B22CA"/>
    <w:rsid w:val="001B2BE2"/>
    <w:rsid w:val="001B7F93"/>
    <w:rsid w:val="001C12D0"/>
    <w:rsid w:val="001C4CAE"/>
    <w:rsid w:val="001D0914"/>
    <w:rsid w:val="001D2291"/>
    <w:rsid w:val="001F3643"/>
    <w:rsid w:val="00200017"/>
    <w:rsid w:val="00201A50"/>
    <w:rsid w:val="0021254B"/>
    <w:rsid w:val="0021347E"/>
    <w:rsid w:val="00232B98"/>
    <w:rsid w:val="00233D4F"/>
    <w:rsid w:val="0024043A"/>
    <w:rsid w:val="002435B7"/>
    <w:rsid w:val="002525C1"/>
    <w:rsid w:val="00262B2D"/>
    <w:rsid w:val="002664CB"/>
    <w:rsid w:val="0027244D"/>
    <w:rsid w:val="00272C02"/>
    <w:rsid w:val="00273777"/>
    <w:rsid w:val="00277E86"/>
    <w:rsid w:val="002814A9"/>
    <w:rsid w:val="00291DB3"/>
    <w:rsid w:val="00294429"/>
    <w:rsid w:val="002A0408"/>
    <w:rsid w:val="002A0622"/>
    <w:rsid w:val="002A0D54"/>
    <w:rsid w:val="002A28E8"/>
    <w:rsid w:val="002A3C5F"/>
    <w:rsid w:val="002B292F"/>
    <w:rsid w:val="002B6D87"/>
    <w:rsid w:val="002C1BB3"/>
    <w:rsid w:val="002C364C"/>
    <w:rsid w:val="002D0D77"/>
    <w:rsid w:val="002D1524"/>
    <w:rsid w:val="002F0B4A"/>
    <w:rsid w:val="002F230A"/>
    <w:rsid w:val="002F4D7D"/>
    <w:rsid w:val="002F6E92"/>
    <w:rsid w:val="0030052B"/>
    <w:rsid w:val="00301884"/>
    <w:rsid w:val="00314ACD"/>
    <w:rsid w:val="0031569E"/>
    <w:rsid w:val="003213ED"/>
    <w:rsid w:val="00321E66"/>
    <w:rsid w:val="003234EB"/>
    <w:rsid w:val="00325274"/>
    <w:rsid w:val="003254FE"/>
    <w:rsid w:val="00330410"/>
    <w:rsid w:val="00340D04"/>
    <w:rsid w:val="00346C2C"/>
    <w:rsid w:val="0035080F"/>
    <w:rsid w:val="003573C5"/>
    <w:rsid w:val="00357EA4"/>
    <w:rsid w:val="00362E08"/>
    <w:rsid w:val="00365E7F"/>
    <w:rsid w:val="00370892"/>
    <w:rsid w:val="00371C7C"/>
    <w:rsid w:val="00375F80"/>
    <w:rsid w:val="00376184"/>
    <w:rsid w:val="00391CC1"/>
    <w:rsid w:val="003962D2"/>
    <w:rsid w:val="003974EA"/>
    <w:rsid w:val="00397BE7"/>
    <w:rsid w:val="003A3BEF"/>
    <w:rsid w:val="003B50E1"/>
    <w:rsid w:val="003B71FA"/>
    <w:rsid w:val="003C1511"/>
    <w:rsid w:val="003C71F0"/>
    <w:rsid w:val="003D02D9"/>
    <w:rsid w:val="003D36FE"/>
    <w:rsid w:val="003E03AC"/>
    <w:rsid w:val="003E210C"/>
    <w:rsid w:val="003E78D8"/>
    <w:rsid w:val="003F0E90"/>
    <w:rsid w:val="003F0FA4"/>
    <w:rsid w:val="003F4DB0"/>
    <w:rsid w:val="003F5485"/>
    <w:rsid w:val="003F648B"/>
    <w:rsid w:val="00400337"/>
    <w:rsid w:val="00413C3E"/>
    <w:rsid w:val="00421C1F"/>
    <w:rsid w:val="00424003"/>
    <w:rsid w:val="004329DA"/>
    <w:rsid w:val="00437052"/>
    <w:rsid w:val="00437568"/>
    <w:rsid w:val="0044571C"/>
    <w:rsid w:val="00445D0C"/>
    <w:rsid w:val="00455255"/>
    <w:rsid w:val="00461506"/>
    <w:rsid w:val="00464EA8"/>
    <w:rsid w:val="00470B44"/>
    <w:rsid w:val="00480F5A"/>
    <w:rsid w:val="0048204A"/>
    <w:rsid w:val="004834CB"/>
    <w:rsid w:val="00493207"/>
    <w:rsid w:val="00497CEA"/>
    <w:rsid w:val="00497EF8"/>
    <w:rsid w:val="004A2E9E"/>
    <w:rsid w:val="004A4B40"/>
    <w:rsid w:val="004A6B43"/>
    <w:rsid w:val="004B19B1"/>
    <w:rsid w:val="004B5D30"/>
    <w:rsid w:val="004B7889"/>
    <w:rsid w:val="004C4984"/>
    <w:rsid w:val="004D37ED"/>
    <w:rsid w:val="004D4323"/>
    <w:rsid w:val="004D62CB"/>
    <w:rsid w:val="004F2CBA"/>
    <w:rsid w:val="004F77AC"/>
    <w:rsid w:val="00510D95"/>
    <w:rsid w:val="00512D90"/>
    <w:rsid w:val="00531FB2"/>
    <w:rsid w:val="00532C8C"/>
    <w:rsid w:val="0053672A"/>
    <w:rsid w:val="005427BE"/>
    <w:rsid w:val="00542CBB"/>
    <w:rsid w:val="00543AD5"/>
    <w:rsid w:val="005451D7"/>
    <w:rsid w:val="005511AA"/>
    <w:rsid w:val="005608E7"/>
    <w:rsid w:val="0056210C"/>
    <w:rsid w:val="00564172"/>
    <w:rsid w:val="00565F0F"/>
    <w:rsid w:val="005669BF"/>
    <w:rsid w:val="00581327"/>
    <w:rsid w:val="00585A84"/>
    <w:rsid w:val="005900C6"/>
    <w:rsid w:val="005920D0"/>
    <w:rsid w:val="005947AA"/>
    <w:rsid w:val="005B0103"/>
    <w:rsid w:val="005B24F4"/>
    <w:rsid w:val="005C39D7"/>
    <w:rsid w:val="005C499F"/>
    <w:rsid w:val="005D0A3E"/>
    <w:rsid w:val="005D1D9E"/>
    <w:rsid w:val="005D2EE1"/>
    <w:rsid w:val="005D43B4"/>
    <w:rsid w:val="005E66D5"/>
    <w:rsid w:val="005F02F7"/>
    <w:rsid w:val="005F4B0F"/>
    <w:rsid w:val="005F6D9F"/>
    <w:rsid w:val="00610859"/>
    <w:rsid w:val="00611F2E"/>
    <w:rsid w:val="0061782A"/>
    <w:rsid w:val="0062461E"/>
    <w:rsid w:val="0062556A"/>
    <w:rsid w:val="00626F01"/>
    <w:rsid w:val="0063291B"/>
    <w:rsid w:val="0064717B"/>
    <w:rsid w:val="00651ABF"/>
    <w:rsid w:val="00657A6B"/>
    <w:rsid w:val="00661BC6"/>
    <w:rsid w:val="006622B2"/>
    <w:rsid w:val="006650E6"/>
    <w:rsid w:val="00666C0C"/>
    <w:rsid w:val="00667650"/>
    <w:rsid w:val="0067372C"/>
    <w:rsid w:val="0068147E"/>
    <w:rsid w:val="00686275"/>
    <w:rsid w:val="006936A3"/>
    <w:rsid w:val="006A2374"/>
    <w:rsid w:val="006A458E"/>
    <w:rsid w:val="006A544E"/>
    <w:rsid w:val="006A6786"/>
    <w:rsid w:val="006B29CB"/>
    <w:rsid w:val="006C1982"/>
    <w:rsid w:val="006C2037"/>
    <w:rsid w:val="006D520C"/>
    <w:rsid w:val="006E69D0"/>
    <w:rsid w:val="006E75E8"/>
    <w:rsid w:val="006F3CDB"/>
    <w:rsid w:val="007016CB"/>
    <w:rsid w:val="007063EB"/>
    <w:rsid w:val="00714548"/>
    <w:rsid w:val="00714588"/>
    <w:rsid w:val="00715E78"/>
    <w:rsid w:val="00725AEA"/>
    <w:rsid w:val="007326C4"/>
    <w:rsid w:val="0073409D"/>
    <w:rsid w:val="00740F3D"/>
    <w:rsid w:val="00743ABE"/>
    <w:rsid w:val="007449D3"/>
    <w:rsid w:val="00751CE8"/>
    <w:rsid w:val="00754544"/>
    <w:rsid w:val="0076158D"/>
    <w:rsid w:val="007640EB"/>
    <w:rsid w:val="007644EA"/>
    <w:rsid w:val="007668EA"/>
    <w:rsid w:val="00770ED4"/>
    <w:rsid w:val="00776894"/>
    <w:rsid w:val="0079298C"/>
    <w:rsid w:val="007934B3"/>
    <w:rsid w:val="00796E71"/>
    <w:rsid w:val="0079767E"/>
    <w:rsid w:val="00797A5C"/>
    <w:rsid w:val="007A17D4"/>
    <w:rsid w:val="007A31EC"/>
    <w:rsid w:val="007B2498"/>
    <w:rsid w:val="007B4684"/>
    <w:rsid w:val="007C4BFB"/>
    <w:rsid w:val="007C4EA2"/>
    <w:rsid w:val="007D17F0"/>
    <w:rsid w:val="007D1827"/>
    <w:rsid w:val="007D1DDC"/>
    <w:rsid w:val="007E271B"/>
    <w:rsid w:val="007F08A8"/>
    <w:rsid w:val="007F3834"/>
    <w:rsid w:val="0080364D"/>
    <w:rsid w:val="0080684A"/>
    <w:rsid w:val="008237EE"/>
    <w:rsid w:val="00826788"/>
    <w:rsid w:val="00834F92"/>
    <w:rsid w:val="00836446"/>
    <w:rsid w:val="00852936"/>
    <w:rsid w:val="008546D6"/>
    <w:rsid w:val="008617CB"/>
    <w:rsid w:val="00872CB5"/>
    <w:rsid w:val="00882ECF"/>
    <w:rsid w:val="0089787A"/>
    <w:rsid w:val="008A07F6"/>
    <w:rsid w:val="008B3B9F"/>
    <w:rsid w:val="008B5446"/>
    <w:rsid w:val="008C0430"/>
    <w:rsid w:val="008C752F"/>
    <w:rsid w:val="008D0070"/>
    <w:rsid w:val="008D5C83"/>
    <w:rsid w:val="008E3812"/>
    <w:rsid w:val="008E42FD"/>
    <w:rsid w:val="008E679A"/>
    <w:rsid w:val="008E71DB"/>
    <w:rsid w:val="008F57CF"/>
    <w:rsid w:val="008F6D24"/>
    <w:rsid w:val="009012B2"/>
    <w:rsid w:val="00903BF2"/>
    <w:rsid w:val="009051C8"/>
    <w:rsid w:val="009055EF"/>
    <w:rsid w:val="00905F3D"/>
    <w:rsid w:val="00910132"/>
    <w:rsid w:val="00910A5E"/>
    <w:rsid w:val="00912D71"/>
    <w:rsid w:val="009226F8"/>
    <w:rsid w:val="0092728C"/>
    <w:rsid w:val="009306C2"/>
    <w:rsid w:val="009315B5"/>
    <w:rsid w:val="009333B0"/>
    <w:rsid w:val="00934132"/>
    <w:rsid w:val="00934D5F"/>
    <w:rsid w:val="009366D9"/>
    <w:rsid w:val="009376CC"/>
    <w:rsid w:val="00941CB7"/>
    <w:rsid w:val="00945CC1"/>
    <w:rsid w:val="00960599"/>
    <w:rsid w:val="00962E19"/>
    <w:rsid w:val="009656DA"/>
    <w:rsid w:val="00965AAE"/>
    <w:rsid w:val="00970D26"/>
    <w:rsid w:val="0099496C"/>
    <w:rsid w:val="009979A6"/>
    <w:rsid w:val="009A0510"/>
    <w:rsid w:val="009A2AE4"/>
    <w:rsid w:val="009A3043"/>
    <w:rsid w:val="009A7257"/>
    <w:rsid w:val="009B32B2"/>
    <w:rsid w:val="009B5979"/>
    <w:rsid w:val="009C093B"/>
    <w:rsid w:val="009C4798"/>
    <w:rsid w:val="009C4ED4"/>
    <w:rsid w:val="009C7D05"/>
    <w:rsid w:val="009E085F"/>
    <w:rsid w:val="009E3951"/>
    <w:rsid w:val="009E5B27"/>
    <w:rsid w:val="00A03EB8"/>
    <w:rsid w:val="00A077C0"/>
    <w:rsid w:val="00A27D54"/>
    <w:rsid w:val="00A30C56"/>
    <w:rsid w:val="00A3228A"/>
    <w:rsid w:val="00A36030"/>
    <w:rsid w:val="00A37CA6"/>
    <w:rsid w:val="00A37E25"/>
    <w:rsid w:val="00A37E81"/>
    <w:rsid w:val="00A420C9"/>
    <w:rsid w:val="00A43659"/>
    <w:rsid w:val="00A518F8"/>
    <w:rsid w:val="00A54F6E"/>
    <w:rsid w:val="00A56E25"/>
    <w:rsid w:val="00A56F76"/>
    <w:rsid w:val="00A6011F"/>
    <w:rsid w:val="00A6470E"/>
    <w:rsid w:val="00A6619C"/>
    <w:rsid w:val="00A708F2"/>
    <w:rsid w:val="00A84275"/>
    <w:rsid w:val="00A93494"/>
    <w:rsid w:val="00AA166B"/>
    <w:rsid w:val="00AA7B48"/>
    <w:rsid w:val="00AB033B"/>
    <w:rsid w:val="00AC7CDD"/>
    <w:rsid w:val="00AC7F3C"/>
    <w:rsid w:val="00AD2F99"/>
    <w:rsid w:val="00AF1920"/>
    <w:rsid w:val="00AF1936"/>
    <w:rsid w:val="00B02EBA"/>
    <w:rsid w:val="00B0355E"/>
    <w:rsid w:val="00B073DB"/>
    <w:rsid w:val="00B07FB7"/>
    <w:rsid w:val="00B1008E"/>
    <w:rsid w:val="00B1016A"/>
    <w:rsid w:val="00B156DA"/>
    <w:rsid w:val="00B17A45"/>
    <w:rsid w:val="00B219A8"/>
    <w:rsid w:val="00B26472"/>
    <w:rsid w:val="00B26DB4"/>
    <w:rsid w:val="00B27C65"/>
    <w:rsid w:val="00B33910"/>
    <w:rsid w:val="00B342AF"/>
    <w:rsid w:val="00B3431B"/>
    <w:rsid w:val="00B34E6A"/>
    <w:rsid w:val="00B372E4"/>
    <w:rsid w:val="00B45F6B"/>
    <w:rsid w:val="00B47D08"/>
    <w:rsid w:val="00B508C8"/>
    <w:rsid w:val="00B544B5"/>
    <w:rsid w:val="00B570A8"/>
    <w:rsid w:val="00B60671"/>
    <w:rsid w:val="00B67037"/>
    <w:rsid w:val="00B675C4"/>
    <w:rsid w:val="00B71A41"/>
    <w:rsid w:val="00B73883"/>
    <w:rsid w:val="00B742F3"/>
    <w:rsid w:val="00B75358"/>
    <w:rsid w:val="00B76699"/>
    <w:rsid w:val="00B76B5B"/>
    <w:rsid w:val="00B80FAB"/>
    <w:rsid w:val="00B90643"/>
    <w:rsid w:val="00B96A76"/>
    <w:rsid w:val="00BA11F9"/>
    <w:rsid w:val="00BA549A"/>
    <w:rsid w:val="00BB6CC4"/>
    <w:rsid w:val="00BC4320"/>
    <w:rsid w:val="00BC730D"/>
    <w:rsid w:val="00BD3602"/>
    <w:rsid w:val="00BD63B5"/>
    <w:rsid w:val="00BE29E9"/>
    <w:rsid w:val="00BF3F8F"/>
    <w:rsid w:val="00BF4908"/>
    <w:rsid w:val="00BF6D8C"/>
    <w:rsid w:val="00BF72FA"/>
    <w:rsid w:val="00C14365"/>
    <w:rsid w:val="00C15801"/>
    <w:rsid w:val="00C176DF"/>
    <w:rsid w:val="00C2408A"/>
    <w:rsid w:val="00C26A9B"/>
    <w:rsid w:val="00C321C8"/>
    <w:rsid w:val="00C332DB"/>
    <w:rsid w:val="00C35ECE"/>
    <w:rsid w:val="00C43B31"/>
    <w:rsid w:val="00C5009E"/>
    <w:rsid w:val="00C50ABA"/>
    <w:rsid w:val="00C52BB3"/>
    <w:rsid w:val="00C609D3"/>
    <w:rsid w:val="00C6421B"/>
    <w:rsid w:val="00C733ED"/>
    <w:rsid w:val="00C74F25"/>
    <w:rsid w:val="00C77772"/>
    <w:rsid w:val="00C83606"/>
    <w:rsid w:val="00C90C6E"/>
    <w:rsid w:val="00C91E5A"/>
    <w:rsid w:val="00CA0CCD"/>
    <w:rsid w:val="00CA3A2A"/>
    <w:rsid w:val="00CA5E01"/>
    <w:rsid w:val="00CB00CF"/>
    <w:rsid w:val="00CC3726"/>
    <w:rsid w:val="00CC6C15"/>
    <w:rsid w:val="00CD11D0"/>
    <w:rsid w:val="00CD3314"/>
    <w:rsid w:val="00CD3E1E"/>
    <w:rsid w:val="00CE0671"/>
    <w:rsid w:val="00CE24E4"/>
    <w:rsid w:val="00CE70AC"/>
    <w:rsid w:val="00CF3040"/>
    <w:rsid w:val="00D00103"/>
    <w:rsid w:val="00D00363"/>
    <w:rsid w:val="00D01638"/>
    <w:rsid w:val="00D10EE7"/>
    <w:rsid w:val="00D11641"/>
    <w:rsid w:val="00D1432A"/>
    <w:rsid w:val="00D15825"/>
    <w:rsid w:val="00D23CA5"/>
    <w:rsid w:val="00D242E3"/>
    <w:rsid w:val="00D34A42"/>
    <w:rsid w:val="00D3502F"/>
    <w:rsid w:val="00D40FFB"/>
    <w:rsid w:val="00D4110A"/>
    <w:rsid w:val="00D46B30"/>
    <w:rsid w:val="00D56DAF"/>
    <w:rsid w:val="00D57363"/>
    <w:rsid w:val="00D60042"/>
    <w:rsid w:val="00D64F90"/>
    <w:rsid w:val="00D66C09"/>
    <w:rsid w:val="00D67D5B"/>
    <w:rsid w:val="00D733C0"/>
    <w:rsid w:val="00DA7D3E"/>
    <w:rsid w:val="00DB46AC"/>
    <w:rsid w:val="00DC0940"/>
    <w:rsid w:val="00DC15A9"/>
    <w:rsid w:val="00DC5403"/>
    <w:rsid w:val="00DC6257"/>
    <w:rsid w:val="00DD3951"/>
    <w:rsid w:val="00DD73EC"/>
    <w:rsid w:val="00DE1D9E"/>
    <w:rsid w:val="00DE61E1"/>
    <w:rsid w:val="00DF1865"/>
    <w:rsid w:val="00DF4E05"/>
    <w:rsid w:val="00DF4E47"/>
    <w:rsid w:val="00DF64EC"/>
    <w:rsid w:val="00DF729A"/>
    <w:rsid w:val="00E00B60"/>
    <w:rsid w:val="00E019B5"/>
    <w:rsid w:val="00E06A84"/>
    <w:rsid w:val="00E077FC"/>
    <w:rsid w:val="00E07C60"/>
    <w:rsid w:val="00E1263A"/>
    <w:rsid w:val="00E16B19"/>
    <w:rsid w:val="00E228E2"/>
    <w:rsid w:val="00E309DC"/>
    <w:rsid w:val="00E356C1"/>
    <w:rsid w:val="00E3660E"/>
    <w:rsid w:val="00E431F2"/>
    <w:rsid w:val="00E450DF"/>
    <w:rsid w:val="00E5331F"/>
    <w:rsid w:val="00E56687"/>
    <w:rsid w:val="00E579CA"/>
    <w:rsid w:val="00E7075F"/>
    <w:rsid w:val="00E72404"/>
    <w:rsid w:val="00E73C2C"/>
    <w:rsid w:val="00E75AB0"/>
    <w:rsid w:val="00E8017A"/>
    <w:rsid w:val="00E85276"/>
    <w:rsid w:val="00E903D5"/>
    <w:rsid w:val="00EA0208"/>
    <w:rsid w:val="00EA64AB"/>
    <w:rsid w:val="00EB0F4C"/>
    <w:rsid w:val="00EB12A3"/>
    <w:rsid w:val="00EB12F1"/>
    <w:rsid w:val="00EB55AA"/>
    <w:rsid w:val="00EB7F01"/>
    <w:rsid w:val="00EC2045"/>
    <w:rsid w:val="00EC246E"/>
    <w:rsid w:val="00EC26D6"/>
    <w:rsid w:val="00EC4973"/>
    <w:rsid w:val="00EC6AAB"/>
    <w:rsid w:val="00EC7216"/>
    <w:rsid w:val="00ED26E2"/>
    <w:rsid w:val="00EE00F5"/>
    <w:rsid w:val="00EE24E6"/>
    <w:rsid w:val="00EE72C8"/>
    <w:rsid w:val="00EE7A5A"/>
    <w:rsid w:val="00EF0DF5"/>
    <w:rsid w:val="00EF1622"/>
    <w:rsid w:val="00EF4BDE"/>
    <w:rsid w:val="00EF4F8F"/>
    <w:rsid w:val="00F006D7"/>
    <w:rsid w:val="00F04762"/>
    <w:rsid w:val="00F06F36"/>
    <w:rsid w:val="00F07E22"/>
    <w:rsid w:val="00F10E86"/>
    <w:rsid w:val="00F11390"/>
    <w:rsid w:val="00F1281D"/>
    <w:rsid w:val="00F1531B"/>
    <w:rsid w:val="00F20E38"/>
    <w:rsid w:val="00F32FA2"/>
    <w:rsid w:val="00F33C33"/>
    <w:rsid w:val="00F4190A"/>
    <w:rsid w:val="00F4479B"/>
    <w:rsid w:val="00F653CD"/>
    <w:rsid w:val="00F776CD"/>
    <w:rsid w:val="00F8143F"/>
    <w:rsid w:val="00F864DE"/>
    <w:rsid w:val="00F877B1"/>
    <w:rsid w:val="00F94086"/>
    <w:rsid w:val="00FA06B8"/>
    <w:rsid w:val="00FA1C98"/>
    <w:rsid w:val="00FA2F88"/>
    <w:rsid w:val="00FA6F21"/>
    <w:rsid w:val="00FB224C"/>
    <w:rsid w:val="00FD6790"/>
    <w:rsid w:val="00FE3C32"/>
    <w:rsid w:val="00FE3CAA"/>
    <w:rsid w:val="00FE4EA4"/>
    <w:rsid w:val="00FE5CB2"/>
    <w:rsid w:val="00FF4266"/>
    <w:rsid w:val="00FF5E88"/>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2D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01638"/>
    <w:rPr>
      <w:sz w:val="16"/>
      <w:szCs w:val="16"/>
    </w:rPr>
  </w:style>
  <w:style w:type="paragraph" w:styleId="CommentText">
    <w:name w:val="annotation text"/>
    <w:basedOn w:val="Normal"/>
    <w:link w:val="CommentTextChar"/>
    <w:rsid w:val="00D01638"/>
    <w:rPr>
      <w:rFonts w:ascii="Times New Roman" w:hAnsi="Times New Roman"/>
      <w:sz w:val="20"/>
      <w:szCs w:val="20"/>
    </w:rPr>
  </w:style>
  <w:style w:type="character" w:customStyle="1" w:styleId="CommentTextChar">
    <w:name w:val="Comment Text Char"/>
    <w:basedOn w:val="DefaultParagraphFont"/>
    <w:link w:val="CommentText"/>
    <w:rsid w:val="00D01638"/>
  </w:style>
  <w:style w:type="paragraph" w:styleId="BalloonText">
    <w:name w:val="Balloon Text"/>
    <w:basedOn w:val="Normal"/>
    <w:link w:val="BalloonTextChar"/>
    <w:rsid w:val="00D01638"/>
    <w:rPr>
      <w:rFonts w:ascii="Tahoma" w:hAnsi="Tahoma" w:cs="Tahoma"/>
      <w:sz w:val="16"/>
      <w:szCs w:val="16"/>
    </w:rPr>
  </w:style>
  <w:style w:type="character" w:customStyle="1" w:styleId="BalloonTextChar">
    <w:name w:val="Balloon Text Char"/>
    <w:link w:val="BalloonText"/>
    <w:rsid w:val="00D01638"/>
    <w:rPr>
      <w:rFonts w:ascii="Tahoma" w:hAnsi="Tahoma" w:cs="Tahoma"/>
      <w:sz w:val="16"/>
      <w:szCs w:val="16"/>
    </w:rPr>
  </w:style>
  <w:style w:type="paragraph" w:styleId="Header">
    <w:name w:val="header"/>
    <w:basedOn w:val="Normal"/>
    <w:link w:val="HeaderChar"/>
    <w:rsid w:val="003F648B"/>
    <w:pPr>
      <w:tabs>
        <w:tab w:val="center" w:pos="4680"/>
        <w:tab w:val="right" w:pos="9360"/>
      </w:tabs>
    </w:pPr>
  </w:style>
  <w:style w:type="character" w:customStyle="1" w:styleId="HeaderChar">
    <w:name w:val="Header Char"/>
    <w:link w:val="Header"/>
    <w:rsid w:val="003F648B"/>
    <w:rPr>
      <w:rFonts w:ascii="Arial" w:hAnsi="Arial"/>
      <w:sz w:val="22"/>
      <w:szCs w:val="24"/>
    </w:rPr>
  </w:style>
  <w:style w:type="paragraph" w:styleId="Footer">
    <w:name w:val="footer"/>
    <w:basedOn w:val="Normal"/>
    <w:link w:val="FooterChar"/>
    <w:uiPriority w:val="99"/>
    <w:rsid w:val="003F648B"/>
    <w:pPr>
      <w:tabs>
        <w:tab w:val="center" w:pos="4680"/>
        <w:tab w:val="right" w:pos="9360"/>
      </w:tabs>
    </w:pPr>
  </w:style>
  <w:style w:type="character" w:customStyle="1" w:styleId="FooterChar">
    <w:name w:val="Footer Char"/>
    <w:link w:val="Footer"/>
    <w:uiPriority w:val="99"/>
    <w:rsid w:val="003F648B"/>
    <w:rPr>
      <w:rFonts w:ascii="Arial" w:hAnsi="Arial"/>
      <w:sz w:val="22"/>
      <w:szCs w:val="24"/>
    </w:rPr>
  </w:style>
  <w:style w:type="paragraph" w:styleId="PlainText">
    <w:name w:val="Plain Text"/>
    <w:basedOn w:val="Normal"/>
    <w:link w:val="PlainTextChar"/>
    <w:uiPriority w:val="99"/>
    <w:unhideWhenUsed/>
    <w:rsid w:val="007326C4"/>
    <w:rPr>
      <w:rFonts w:eastAsia="Calibri" w:cs="Arial"/>
      <w:szCs w:val="22"/>
    </w:rPr>
  </w:style>
  <w:style w:type="character" w:customStyle="1" w:styleId="PlainTextChar">
    <w:name w:val="Plain Text Char"/>
    <w:link w:val="PlainText"/>
    <w:uiPriority w:val="99"/>
    <w:rsid w:val="007326C4"/>
    <w:rPr>
      <w:rFonts w:ascii="Arial" w:eastAsia="Calibri" w:hAnsi="Arial" w:cs="Arial"/>
      <w:sz w:val="22"/>
      <w:szCs w:val="22"/>
    </w:rPr>
  </w:style>
  <w:style w:type="paragraph" w:styleId="CommentSubject">
    <w:name w:val="annotation subject"/>
    <w:basedOn w:val="CommentText"/>
    <w:next w:val="CommentText"/>
    <w:link w:val="CommentSubjectChar"/>
    <w:rsid w:val="00DF729A"/>
    <w:rPr>
      <w:rFonts w:ascii="Arial" w:hAnsi="Arial"/>
      <w:b/>
      <w:bCs/>
    </w:rPr>
  </w:style>
  <w:style w:type="character" w:customStyle="1" w:styleId="CommentSubjectChar">
    <w:name w:val="Comment Subject Char"/>
    <w:link w:val="CommentSubject"/>
    <w:rsid w:val="00DF729A"/>
    <w:rPr>
      <w:rFonts w:ascii="Arial" w:hAnsi="Arial"/>
      <w:b/>
      <w:bCs/>
    </w:rPr>
  </w:style>
  <w:style w:type="paragraph" w:styleId="Revision">
    <w:name w:val="Revision"/>
    <w:hidden/>
    <w:uiPriority w:val="99"/>
    <w:semiHidden/>
    <w:rsid w:val="00301884"/>
    <w:rPr>
      <w:rFonts w:ascii="Arial" w:hAnsi="Arial"/>
      <w:sz w:val="22"/>
      <w:szCs w:val="24"/>
    </w:rPr>
  </w:style>
  <w:style w:type="paragraph" w:styleId="ListBullet">
    <w:name w:val="List Bullet"/>
    <w:basedOn w:val="Normal"/>
    <w:rsid w:val="008E679A"/>
    <w:pPr>
      <w:numPr>
        <w:numId w:val="6"/>
      </w:numPr>
      <w:contextualSpacing/>
    </w:pPr>
  </w:style>
  <w:style w:type="paragraph" w:styleId="FootnoteText">
    <w:name w:val="footnote text"/>
    <w:basedOn w:val="Normal"/>
    <w:link w:val="FootnoteTextChar"/>
    <w:rsid w:val="00362E08"/>
    <w:rPr>
      <w:sz w:val="20"/>
      <w:szCs w:val="20"/>
    </w:rPr>
  </w:style>
  <w:style w:type="character" w:customStyle="1" w:styleId="FootnoteTextChar">
    <w:name w:val="Footnote Text Char"/>
    <w:link w:val="FootnoteText"/>
    <w:rsid w:val="00362E08"/>
    <w:rPr>
      <w:rFonts w:ascii="Arial" w:hAnsi="Arial"/>
    </w:rPr>
  </w:style>
  <w:style w:type="character" w:styleId="FootnoteReference">
    <w:name w:val="footnote reference"/>
    <w:rsid w:val="00362E08"/>
    <w:rPr>
      <w:vertAlign w:val="superscript"/>
    </w:rPr>
  </w:style>
  <w:style w:type="paragraph" w:styleId="ListParagraph">
    <w:name w:val="List Paragraph"/>
    <w:basedOn w:val="Normal"/>
    <w:uiPriority w:val="34"/>
    <w:qFormat/>
    <w:rsid w:val="00437568"/>
    <w:pPr>
      <w:spacing w:line="276" w:lineRule="auto"/>
      <w:ind w:left="720"/>
      <w:contextualSpacing/>
    </w:pPr>
    <w:rPr>
      <w:rFonts w:eastAsia="Calibri" w:cs="Arial"/>
      <w:szCs w:val="22"/>
    </w:rPr>
  </w:style>
  <w:style w:type="paragraph" w:customStyle="1" w:styleId="Level1">
    <w:name w:val="Level 1"/>
    <w:basedOn w:val="Normal"/>
    <w:rsid w:val="001D2291"/>
    <w:pPr>
      <w:widowControl w:val="0"/>
    </w:pPr>
    <w:rPr>
      <w:rFonts w:ascii="Times New Roman" w:hAnsi="Times New Roman"/>
      <w:sz w:val="24"/>
      <w:szCs w:val="20"/>
    </w:rPr>
  </w:style>
  <w:style w:type="table" w:styleId="TableGrid">
    <w:name w:val="Table Grid"/>
    <w:basedOn w:val="TableNormal"/>
    <w:rsid w:val="00266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07AA6"/>
    <w:rPr>
      <w:rFonts w:eastAsiaTheme="minorHAnsi"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01638"/>
    <w:rPr>
      <w:sz w:val="16"/>
      <w:szCs w:val="16"/>
    </w:rPr>
  </w:style>
  <w:style w:type="paragraph" w:styleId="CommentText">
    <w:name w:val="annotation text"/>
    <w:basedOn w:val="Normal"/>
    <w:link w:val="CommentTextChar"/>
    <w:rsid w:val="00D01638"/>
    <w:rPr>
      <w:rFonts w:ascii="Times New Roman" w:hAnsi="Times New Roman"/>
      <w:sz w:val="20"/>
      <w:szCs w:val="20"/>
    </w:rPr>
  </w:style>
  <w:style w:type="character" w:customStyle="1" w:styleId="CommentTextChar">
    <w:name w:val="Comment Text Char"/>
    <w:basedOn w:val="DefaultParagraphFont"/>
    <w:link w:val="CommentText"/>
    <w:rsid w:val="00D01638"/>
  </w:style>
  <w:style w:type="paragraph" w:styleId="BalloonText">
    <w:name w:val="Balloon Text"/>
    <w:basedOn w:val="Normal"/>
    <w:link w:val="BalloonTextChar"/>
    <w:rsid w:val="00D01638"/>
    <w:rPr>
      <w:rFonts w:ascii="Tahoma" w:hAnsi="Tahoma" w:cs="Tahoma"/>
      <w:sz w:val="16"/>
      <w:szCs w:val="16"/>
    </w:rPr>
  </w:style>
  <w:style w:type="character" w:customStyle="1" w:styleId="BalloonTextChar">
    <w:name w:val="Balloon Text Char"/>
    <w:link w:val="BalloonText"/>
    <w:rsid w:val="00D01638"/>
    <w:rPr>
      <w:rFonts w:ascii="Tahoma" w:hAnsi="Tahoma" w:cs="Tahoma"/>
      <w:sz w:val="16"/>
      <w:szCs w:val="16"/>
    </w:rPr>
  </w:style>
  <w:style w:type="paragraph" w:styleId="Header">
    <w:name w:val="header"/>
    <w:basedOn w:val="Normal"/>
    <w:link w:val="HeaderChar"/>
    <w:rsid w:val="003F648B"/>
    <w:pPr>
      <w:tabs>
        <w:tab w:val="center" w:pos="4680"/>
        <w:tab w:val="right" w:pos="9360"/>
      </w:tabs>
    </w:pPr>
  </w:style>
  <w:style w:type="character" w:customStyle="1" w:styleId="HeaderChar">
    <w:name w:val="Header Char"/>
    <w:link w:val="Header"/>
    <w:rsid w:val="003F648B"/>
    <w:rPr>
      <w:rFonts w:ascii="Arial" w:hAnsi="Arial"/>
      <w:sz w:val="22"/>
      <w:szCs w:val="24"/>
    </w:rPr>
  </w:style>
  <w:style w:type="paragraph" w:styleId="Footer">
    <w:name w:val="footer"/>
    <w:basedOn w:val="Normal"/>
    <w:link w:val="FooterChar"/>
    <w:uiPriority w:val="99"/>
    <w:rsid w:val="003F648B"/>
    <w:pPr>
      <w:tabs>
        <w:tab w:val="center" w:pos="4680"/>
        <w:tab w:val="right" w:pos="9360"/>
      </w:tabs>
    </w:pPr>
  </w:style>
  <w:style w:type="character" w:customStyle="1" w:styleId="FooterChar">
    <w:name w:val="Footer Char"/>
    <w:link w:val="Footer"/>
    <w:uiPriority w:val="99"/>
    <w:rsid w:val="003F648B"/>
    <w:rPr>
      <w:rFonts w:ascii="Arial" w:hAnsi="Arial"/>
      <w:sz w:val="22"/>
      <w:szCs w:val="24"/>
    </w:rPr>
  </w:style>
  <w:style w:type="paragraph" w:styleId="PlainText">
    <w:name w:val="Plain Text"/>
    <w:basedOn w:val="Normal"/>
    <w:link w:val="PlainTextChar"/>
    <w:uiPriority w:val="99"/>
    <w:unhideWhenUsed/>
    <w:rsid w:val="007326C4"/>
    <w:rPr>
      <w:rFonts w:eastAsia="Calibri" w:cs="Arial"/>
      <w:szCs w:val="22"/>
    </w:rPr>
  </w:style>
  <w:style w:type="character" w:customStyle="1" w:styleId="PlainTextChar">
    <w:name w:val="Plain Text Char"/>
    <w:link w:val="PlainText"/>
    <w:uiPriority w:val="99"/>
    <w:rsid w:val="007326C4"/>
    <w:rPr>
      <w:rFonts w:ascii="Arial" w:eastAsia="Calibri" w:hAnsi="Arial" w:cs="Arial"/>
      <w:sz w:val="22"/>
      <w:szCs w:val="22"/>
    </w:rPr>
  </w:style>
  <w:style w:type="paragraph" w:styleId="CommentSubject">
    <w:name w:val="annotation subject"/>
    <w:basedOn w:val="CommentText"/>
    <w:next w:val="CommentText"/>
    <w:link w:val="CommentSubjectChar"/>
    <w:rsid w:val="00DF729A"/>
    <w:rPr>
      <w:rFonts w:ascii="Arial" w:hAnsi="Arial"/>
      <w:b/>
      <w:bCs/>
    </w:rPr>
  </w:style>
  <w:style w:type="character" w:customStyle="1" w:styleId="CommentSubjectChar">
    <w:name w:val="Comment Subject Char"/>
    <w:link w:val="CommentSubject"/>
    <w:rsid w:val="00DF729A"/>
    <w:rPr>
      <w:rFonts w:ascii="Arial" w:hAnsi="Arial"/>
      <w:b/>
      <w:bCs/>
    </w:rPr>
  </w:style>
  <w:style w:type="paragraph" w:styleId="Revision">
    <w:name w:val="Revision"/>
    <w:hidden/>
    <w:uiPriority w:val="99"/>
    <w:semiHidden/>
    <w:rsid w:val="00301884"/>
    <w:rPr>
      <w:rFonts w:ascii="Arial" w:hAnsi="Arial"/>
      <w:sz w:val="22"/>
      <w:szCs w:val="24"/>
    </w:rPr>
  </w:style>
  <w:style w:type="paragraph" w:styleId="ListBullet">
    <w:name w:val="List Bullet"/>
    <w:basedOn w:val="Normal"/>
    <w:rsid w:val="008E679A"/>
    <w:pPr>
      <w:numPr>
        <w:numId w:val="6"/>
      </w:numPr>
      <w:contextualSpacing/>
    </w:pPr>
  </w:style>
  <w:style w:type="paragraph" w:styleId="FootnoteText">
    <w:name w:val="footnote text"/>
    <w:basedOn w:val="Normal"/>
    <w:link w:val="FootnoteTextChar"/>
    <w:rsid w:val="00362E08"/>
    <w:rPr>
      <w:sz w:val="20"/>
      <w:szCs w:val="20"/>
    </w:rPr>
  </w:style>
  <w:style w:type="character" w:customStyle="1" w:styleId="FootnoteTextChar">
    <w:name w:val="Footnote Text Char"/>
    <w:link w:val="FootnoteText"/>
    <w:rsid w:val="00362E08"/>
    <w:rPr>
      <w:rFonts w:ascii="Arial" w:hAnsi="Arial"/>
    </w:rPr>
  </w:style>
  <w:style w:type="character" w:styleId="FootnoteReference">
    <w:name w:val="footnote reference"/>
    <w:rsid w:val="00362E08"/>
    <w:rPr>
      <w:vertAlign w:val="superscript"/>
    </w:rPr>
  </w:style>
  <w:style w:type="paragraph" w:styleId="ListParagraph">
    <w:name w:val="List Paragraph"/>
    <w:basedOn w:val="Normal"/>
    <w:uiPriority w:val="34"/>
    <w:qFormat/>
    <w:rsid w:val="00437568"/>
    <w:pPr>
      <w:spacing w:line="276" w:lineRule="auto"/>
      <w:ind w:left="720"/>
      <w:contextualSpacing/>
    </w:pPr>
    <w:rPr>
      <w:rFonts w:eastAsia="Calibri" w:cs="Arial"/>
      <w:szCs w:val="22"/>
    </w:rPr>
  </w:style>
  <w:style w:type="paragraph" w:customStyle="1" w:styleId="Level1">
    <w:name w:val="Level 1"/>
    <w:basedOn w:val="Normal"/>
    <w:rsid w:val="001D2291"/>
    <w:pPr>
      <w:widowControl w:val="0"/>
    </w:pPr>
    <w:rPr>
      <w:rFonts w:ascii="Times New Roman" w:hAnsi="Times New Roman"/>
      <w:sz w:val="24"/>
      <w:szCs w:val="20"/>
    </w:rPr>
  </w:style>
  <w:style w:type="table" w:styleId="TableGrid">
    <w:name w:val="Table Grid"/>
    <w:basedOn w:val="TableNormal"/>
    <w:rsid w:val="00266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07AA6"/>
    <w:rPr>
      <w:rFonts w:eastAsia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2587">
      <w:bodyDiv w:val="1"/>
      <w:marLeft w:val="0"/>
      <w:marRight w:val="0"/>
      <w:marTop w:val="0"/>
      <w:marBottom w:val="0"/>
      <w:divBdr>
        <w:top w:val="none" w:sz="0" w:space="0" w:color="auto"/>
        <w:left w:val="none" w:sz="0" w:space="0" w:color="auto"/>
        <w:bottom w:val="none" w:sz="0" w:space="0" w:color="auto"/>
        <w:right w:val="none" w:sz="0" w:space="0" w:color="auto"/>
      </w:divBdr>
    </w:div>
    <w:div w:id="391537230">
      <w:bodyDiv w:val="1"/>
      <w:marLeft w:val="0"/>
      <w:marRight w:val="0"/>
      <w:marTop w:val="0"/>
      <w:marBottom w:val="0"/>
      <w:divBdr>
        <w:top w:val="none" w:sz="0" w:space="0" w:color="auto"/>
        <w:left w:val="none" w:sz="0" w:space="0" w:color="auto"/>
        <w:bottom w:val="none" w:sz="0" w:space="0" w:color="auto"/>
        <w:right w:val="none" w:sz="0" w:space="0" w:color="auto"/>
      </w:divBdr>
    </w:div>
    <w:div w:id="442769431">
      <w:bodyDiv w:val="1"/>
      <w:marLeft w:val="0"/>
      <w:marRight w:val="0"/>
      <w:marTop w:val="0"/>
      <w:marBottom w:val="0"/>
      <w:divBdr>
        <w:top w:val="none" w:sz="0" w:space="0" w:color="auto"/>
        <w:left w:val="none" w:sz="0" w:space="0" w:color="auto"/>
        <w:bottom w:val="none" w:sz="0" w:space="0" w:color="auto"/>
        <w:right w:val="none" w:sz="0" w:space="0" w:color="auto"/>
      </w:divBdr>
    </w:div>
    <w:div w:id="701175872">
      <w:bodyDiv w:val="1"/>
      <w:marLeft w:val="0"/>
      <w:marRight w:val="0"/>
      <w:marTop w:val="0"/>
      <w:marBottom w:val="0"/>
      <w:divBdr>
        <w:top w:val="none" w:sz="0" w:space="0" w:color="auto"/>
        <w:left w:val="none" w:sz="0" w:space="0" w:color="auto"/>
        <w:bottom w:val="none" w:sz="0" w:space="0" w:color="auto"/>
        <w:right w:val="none" w:sz="0" w:space="0" w:color="auto"/>
      </w:divBdr>
    </w:div>
    <w:div w:id="1305089356">
      <w:bodyDiv w:val="1"/>
      <w:marLeft w:val="0"/>
      <w:marRight w:val="0"/>
      <w:marTop w:val="0"/>
      <w:marBottom w:val="0"/>
      <w:divBdr>
        <w:top w:val="none" w:sz="0" w:space="0" w:color="auto"/>
        <w:left w:val="none" w:sz="0" w:space="0" w:color="auto"/>
        <w:bottom w:val="none" w:sz="0" w:space="0" w:color="auto"/>
        <w:right w:val="none" w:sz="0" w:space="0" w:color="auto"/>
      </w:divBdr>
    </w:div>
    <w:div w:id="1606501982">
      <w:bodyDiv w:val="1"/>
      <w:marLeft w:val="0"/>
      <w:marRight w:val="0"/>
      <w:marTop w:val="0"/>
      <w:marBottom w:val="0"/>
      <w:divBdr>
        <w:top w:val="none" w:sz="0" w:space="0" w:color="auto"/>
        <w:left w:val="none" w:sz="0" w:space="0" w:color="auto"/>
        <w:bottom w:val="none" w:sz="0" w:space="0" w:color="auto"/>
        <w:right w:val="none" w:sz="0" w:space="0" w:color="auto"/>
      </w:divBdr>
    </w:div>
    <w:div w:id="1652522044">
      <w:bodyDiv w:val="1"/>
      <w:marLeft w:val="0"/>
      <w:marRight w:val="0"/>
      <w:marTop w:val="0"/>
      <w:marBottom w:val="0"/>
      <w:divBdr>
        <w:top w:val="none" w:sz="0" w:space="0" w:color="auto"/>
        <w:left w:val="none" w:sz="0" w:space="0" w:color="auto"/>
        <w:bottom w:val="none" w:sz="0" w:space="0" w:color="auto"/>
        <w:right w:val="none" w:sz="0" w:space="0" w:color="auto"/>
      </w:divBdr>
    </w:div>
    <w:div w:id="1673216535">
      <w:bodyDiv w:val="1"/>
      <w:marLeft w:val="0"/>
      <w:marRight w:val="0"/>
      <w:marTop w:val="0"/>
      <w:marBottom w:val="0"/>
      <w:divBdr>
        <w:top w:val="none" w:sz="0" w:space="0" w:color="auto"/>
        <w:left w:val="none" w:sz="0" w:space="0" w:color="auto"/>
        <w:bottom w:val="none" w:sz="0" w:space="0" w:color="auto"/>
        <w:right w:val="none" w:sz="0" w:space="0" w:color="auto"/>
      </w:divBdr>
    </w:div>
    <w:div w:id="20115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gov/site-help/electronic-sub-ref-mat.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Links>
    <vt:vector size="6" baseType="variant">
      <vt:variant>
        <vt:i4>1048578</vt:i4>
      </vt:variant>
      <vt:variant>
        <vt:i4>0</vt:i4>
      </vt:variant>
      <vt:variant>
        <vt:i4>0</vt:i4>
      </vt:variant>
      <vt:variant>
        <vt:i4>5</vt:i4>
      </vt:variant>
      <vt:variant>
        <vt:lpwstr>http://www.nrc.gov/site-help/electronic-sub-ref-mat.html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2019-02-26T17:09:00Z</dcterms:created>
  <dcterms:modified xsi:type="dcterms:W3CDTF">2019-02-26T17:09:00Z</dcterms:modified>
</cp:coreProperties>
</file>