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A556B" w14:textId="77777777" w:rsidR="00EC52D2" w:rsidRPr="00F933ED" w:rsidRDefault="00EC52D2" w:rsidP="00EC52D2">
      <w:pPr>
        <w:pStyle w:val="ListParagraph"/>
        <w:tabs>
          <w:tab w:val="left" w:pos="720"/>
        </w:tabs>
        <w:ind w:hanging="720"/>
        <w:jc w:val="center"/>
        <w:rPr>
          <w:bCs/>
        </w:rPr>
      </w:pPr>
      <w:bookmarkStart w:id="0" w:name="_GoBack"/>
      <w:bookmarkEnd w:id="0"/>
      <w:r w:rsidRPr="00F933ED">
        <w:rPr>
          <w:bCs/>
        </w:rPr>
        <w:t>National Credit Union Administration</w:t>
      </w:r>
    </w:p>
    <w:p w14:paraId="6DEB9D45" w14:textId="77777777" w:rsidR="00EC52D2" w:rsidRPr="000E4982" w:rsidRDefault="00EC52D2" w:rsidP="00EC52D2">
      <w:pPr>
        <w:pStyle w:val="ListParagraph"/>
        <w:tabs>
          <w:tab w:val="left" w:pos="720"/>
        </w:tabs>
        <w:ind w:hanging="720"/>
        <w:jc w:val="center"/>
        <w:rPr>
          <w:b/>
          <w:bCs/>
        </w:rPr>
      </w:pPr>
      <w:r w:rsidRPr="000E4982">
        <w:rPr>
          <w:b/>
          <w:bCs/>
        </w:rPr>
        <w:t>SUPPORTING STATEMENT</w:t>
      </w:r>
    </w:p>
    <w:p w14:paraId="02FD5123" w14:textId="77777777" w:rsidR="00EC52D2" w:rsidRDefault="00EC52D2" w:rsidP="00EC52D2">
      <w:pPr>
        <w:pStyle w:val="ListParagraph"/>
        <w:tabs>
          <w:tab w:val="left" w:pos="720"/>
        </w:tabs>
        <w:ind w:hanging="720"/>
        <w:jc w:val="center"/>
        <w:rPr>
          <w:bCs/>
        </w:rPr>
      </w:pPr>
    </w:p>
    <w:p w14:paraId="4B1E62F0" w14:textId="77777777" w:rsidR="00EC52D2" w:rsidRPr="000E4982" w:rsidRDefault="00EC52D2" w:rsidP="00EC52D2">
      <w:pPr>
        <w:pStyle w:val="ListParagraph"/>
        <w:tabs>
          <w:tab w:val="left" w:pos="720"/>
        </w:tabs>
        <w:ind w:hanging="720"/>
        <w:jc w:val="center"/>
        <w:rPr>
          <w:bCs/>
        </w:rPr>
      </w:pPr>
      <w:r w:rsidRPr="000E4982">
        <w:rPr>
          <w:bCs/>
        </w:rPr>
        <w:t>Corporate Credit Unions, 12 CFR Part 704</w:t>
      </w:r>
    </w:p>
    <w:p w14:paraId="67C66602" w14:textId="77777777" w:rsidR="00EC52D2" w:rsidRPr="000E4982" w:rsidRDefault="00EC52D2" w:rsidP="00EC52D2">
      <w:pPr>
        <w:pStyle w:val="ListParagraph"/>
        <w:tabs>
          <w:tab w:val="left" w:pos="720"/>
        </w:tabs>
        <w:ind w:hanging="720"/>
        <w:jc w:val="center"/>
        <w:rPr>
          <w:bCs/>
        </w:rPr>
      </w:pPr>
      <w:r w:rsidRPr="000E4982">
        <w:rPr>
          <w:bCs/>
        </w:rPr>
        <w:t>OMB No. 3133-0129</w:t>
      </w:r>
    </w:p>
    <w:p w14:paraId="41443CE2" w14:textId="77777777" w:rsidR="00EC52D2" w:rsidRPr="000E4982" w:rsidRDefault="00EC52D2" w:rsidP="00EC52D2">
      <w:pPr>
        <w:pStyle w:val="ListParagraph"/>
        <w:tabs>
          <w:tab w:val="left" w:pos="720"/>
        </w:tabs>
        <w:ind w:hanging="720"/>
        <w:rPr>
          <w:bCs/>
        </w:rPr>
      </w:pPr>
    </w:p>
    <w:p w14:paraId="71E081FD" w14:textId="77777777" w:rsidR="00EC52D2" w:rsidRPr="000E4982" w:rsidRDefault="00EC52D2" w:rsidP="00EC52D2">
      <w:pPr>
        <w:pStyle w:val="ListParagraph"/>
        <w:tabs>
          <w:tab w:val="left" w:pos="720"/>
        </w:tabs>
        <w:ind w:hanging="720"/>
      </w:pPr>
    </w:p>
    <w:p w14:paraId="4CE7C996" w14:textId="77777777" w:rsidR="00EC52D2" w:rsidRPr="00F933ED" w:rsidRDefault="00EC52D2" w:rsidP="00EC52D2">
      <w:pPr>
        <w:pStyle w:val="ListParagraph"/>
        <w:numPr>
          <w:ilvl w:val="0"/>
          <w:numId w:val="1"/>
        </w:numPr>
        <w:tabs>
          <w:tab w:val="left" w:pos="720"/>
        </w:tabs>
        <w:ind w:left="720" w:hanging="720"/>
        <w:rPr>
          <w:b/>
        </w:rPr>
      </w:pPr>
      <w:r w:rsidRPr="00F933ED">
        <w:rPr>
          <w:b/>
        </w:rPr>
        <w:t>JUSTIFICATION</w:t>
      </w:r>
    </w:p>
    <w:p w14:paraId="732D50F0" w14:textId="77777777" w:rsidR="00EC52D2" w:rsidRPr="00625090" w:rsidRDefault="00EC52D2" w:rsidP="00EC52D2">
      <w:pPr>
        <w:pStyle w:val="ListParagraph"/>
        <w:ind w:hanging="720"/>
        <w:rPr>
          <w:b/>
        </w:rPr>
      </w:pPr>
    </w:p>
    <w:p w14:paraId="2C86F209" w14:textId="77777777" w:rsidR="00EC52D2" w:rsidRPr="00625090" w:rsidRDefault="00EC52D2" w:rsidP="00EC52D2">
      <w:pPr>
        <w:pStyle w:val="ListParagraph"/>
        <w:numPr>
          <w:ilvl w:val="0"/>
          <w:numId w:val="2"/>
        </w:numPr>
        <w:ind w:left="720" w:hanging="720"/>
        <w:rPr>
          <w:b/>
        </w:rPr>
      </w:pPr>
      <w:r w:rsidRPr="00625090">
        <w:rPr>
          <w:b/>
        </w:rPr>
        <w:t>Circumstances that make the collection of information necessary</w:t>
      </w:r>
      <w:r>
        <w:rPr>
          <w:b/>
        </w:rPr>
        <w:t>.</w:t>
      </w:r>
    </w:p>
    <w:p w14:paraId="2F8C0B4B" w14:textId="77777777" w:rsidR="00A25211" w:rsidRDefault="00A25211" w:rsidP="00EC52D2">
      <w:pPr>
        <w:pStyle w:val="ListParagraph"/>
        <w:tabs>
          <w:tab w:val="left" w:pos="-720"/>
        </w:tabs>
        <w:suppressAutoHyphens/>
        <w:ind w:hanging="720"/>
      </w:pPr>
    </w:p>
    <w:p w14:paraId="2A9A0A8C" w14:textId="54E7E347" w:rsidR="00EC52D2" w:rsidRPr="00F933ED" w:rsidRDefault="00EC52D2" w:rsidP="00EC52D2">
      <w:pPr>
        <w:pStyle w:val="ListParagraph"/>
        <w:tabs>
          <w:tab w:val="left" w:pos="-720"/>
        </w:tabs>
        <w:suppressAutoHyphens/>
        <w:ind w:hanging="720"/>
      </w:pPr>
      <w:r w:rsidRPr="00F933ED">
        <w:tab/>
        <w:t xml:space="preserve">The National Credit Union Administration (NCUA) has established and regulates corporate credit unions (corporates) pursuant to its authority under Sections 120, 201, and 209 of the Federal Credit Union Act, 12 U.S.C. 1766(a), 1781, and 1789.  The regulations implementing this statutory authority appear in 12 CFR part 704 (Part 704).  Corporates provide correspondent financial services to natural person credit unions.  There are </w:t>
      </w:r>
      <w:r>
        <w:t>11</w:t>
      </w:r>
      <w:r w:rsidRPr="00F933ED">
        <w:t xml:space="preserve"> corporates, all of which are federally insured by the National Credit Union Share Insurance Fund (NCUSIF).  There are</w:t>
      </w:r>
      <w:r w:rsidR="00660131">
        <w:t xml:space="preserve"> 26</w:t>
      </w:r>
      <w:r w:rsidRPr="00F933ED">
        <w:t xml:space="preserve"> corporate credit union service organizations (Corporate CUSOs).</w:t>
      </w:r>
      <w:r w:rsidRPr="00F933ED">
        <w:rPr>
          <w:rStyle w:val="FootnoteReference"/>
        </w:rPr>
        <w:footnoteReference w:id="1"/>
      </w:r>
      <w:r w:rsidRPr="00F933ED">
        <w:t xml:space="preserve">  The collections of information are necessary to ensure that corporates operate in a safe and sound manner by limiting risk to their natural person credit union members and the NCUSIF.</w:t>
      </w:r>
    </w:p>
    <w:p w14:paraId="72936F94" w14:textId="77777777" w:rsidR="00EC52D2" w:rsidRPr="00534129" w:rsidRDefault="00EC52D2" w:rsidP="00534129">
      <w:pPr>
        <w:pStyle w:val="ListParagraph"/>
        <w:tabs>
          <w:tab w:val="left" w:pos="-720"/>
          <w:tab w:val="left" w:pos="286"/>
          <w:tab w:val="left" w:pos="403"/>
          <w:tab w:val="left" w:pos="720"/>
        </w:tabs>
        <w:suppressAutoHyphens/>
        <w:ind w:hanging="720"/>
      </w:pPr>
    </w:p>
    <w:p w14:paraId="16896698" w14:textId="7FE77198" w:rsidR="00EC52D2" w:rsidRPr="00534129" w:rsidRDefault="00EC52D2" w:rsidP="00534129">
      <w:pPr>
        <w:tabs>
          <w:tab w:val="left" w:pos="720"/>
        </w:tabs>
        <w:suppressAutoHyphens/>
        <w:spacing w:after="0" w:line="240" w:lineRule="auto"/>
        <w:rPr>
          <w:rFonts w:ascii="Times New Roman" w:hAnsi="Times New Roman" w:cs="Times New Roman"/>
          <w:b/>
          <w:sz w:val="24"/>
          <w:szCs w:val="24"/>
        </w:rPr>
      </w:pPr>
      <w:r w:rsidRPr="00534129">
        <w:rPr>
          <w:rFonts w:ascii="Times New Roman" w:hAnsi="Times New Roman" w:cs="Times New Roman"/>
          <w:b/>
          <w:sz w:val="24"/>
          <w:szCs w:val="24"/>
        </w:rPr>
        <w:t>2.</w:t>
      </w:r>
      <w:r w:rsidRPr="00534129">
        <w:rPr>
          <w:rFonts w:ascii="Times New Roman" w:hAnsi="Times New Roman" w:cs="Times New Roman"/>
          <w:b/>
          <w:sz w:val="24"/>
          <w:szCs w:val="24"/>
        </w:rPr>
        <w:tab/>
        <w:t>Purpose and use of the information collection.</w:t>
      </w:r>
    </w:p>
    <w:p w14:paraId="7678904A" w14:textId="77777777" w:rsidR="00A25211" w:rsidRDefault="00A25211" w:rsidP="00534129">
      <w:pPr>
        <w:tabs>
          <w:tab w:val="left" w:pos="720"/>
        </w:tabs>
        <w:overflowPunct w:val="0"/>
        <w:autoSpaceDE w:val="0"/>
        <w:autoSpaceDN w:val="0"/>
        <w:adjustRightInd w:val="0"/>
        <w:spacing w:after="0" w:line="240" w:lineRule="auto"/>
        <w:ind w:left="720" w:hanging="720"/>
        <w:textAlignment w:val="baseline"/>
        <w:rPr>
          <w:rFonts w:ascii="Times New Roman" w:hAnsi="Times New Roman" w:cs="Times New Roman"/>
          <w:sz w:val="24"/>
          <w:szCs w:val="24"/>
        </w:rPr>
      </w:pPr>
    </w:p>
    <w:p w14:paraId="0A44710E" w14:textId="77777777" w:rsidR="00EC52D2" w:rsidRPr="00EC52D2" w:rsidRDefault="00EC52D2" w:rsidP="00EC52D2">
      <w:pPr>
        <w:tabs>
          <w:tab w:val="left" w:pos="720"/>
        </w:tabs>
        <w:overflowPunct w:val="0"/>
        <w:autoSpaceDE w:val="0"/>
        <w:autoSpaceDN w:val="0"/>
        <w:adjustRightInd w:val="0"/>
        <w:spacing w:after="0" w:line="240" w:lineRule="auto"/>
        <w:ind w:left="720" w:hanging="720"/>
        <w:textAlignment w:val="baseline"/>
        <w:rPr>
          <w:rFonts w:ascii="Times New Roman" w:hAnsi="Times New Roman" w:cs="Times New Roman"/>
          <w:sz w:val="24"/>
          <w:szCs w:val="24"/>
        </w:rPr>
      </w:pPr>
      <w:r w:rsidRPr="00EC52D2">
        <w:rPr>
          <w:rFonts w:ascii="Times New Roman" w:hAnsi="Times New Roman" w:cs="Times New Roman"/>
          <w:sz w:val="24"/>
          <w:szCs w:val="24"/>
        </w:rPr>
        <w:tab/>
        <w:t xml:space="preserve">The information is used by corporate credit union management and staff in making critical operational decisions on an ongoing basis.  Sound business practices dictate that this type of data should be routinely obtained and analyzed by financial institutions with the asset composition exhibited in most corporates.  Shifts in market or business conditions, even those that are subtle in nature, can have a profound impact on the condition of corporates.  Current and comprehensive information allows corporates the ability to make informed decisions and take corrective action before a negative market or business trends can cause a significant impact on the financial or operational condition of the corporate.    </w:t>
      </w:r>
    </w:p>
    <w:p w14:paraId="7EB1D776" w14:textId="77777777" w:rsidR="00EC52D2" w:rsidRPr="00EC52D2" w:rsidRDefault="00EC52D2" w:rsidP="00EC52D2">
      <w:pPr>
        <w:tabs>
          <w:tab w:val="left" w:pos="720"/>
        </w:tabs>
        <w:overflowPunct w:val="0"/>
        <w:autoSpaceDE w:val="0"/>
        <w:autoSpaceDN w:val="0"/>
        <w:adjustRightInd w:val="0"/>
        <w:spacing w:after="0" w:line="240" w:lineRule="auto"/>
        <w:ind w:left="720" w:hanging="720"/>
        <w:textAlignment w:val="baseline"/>
        <w:rPr>
          <w:rFonts w:ascii="Times New Roman" w:hAnsi="Times New Roman" w:cs="Times New Roman"/>
          <w:sz w:val="24"/>
          <w:szCs w:val="24"/>
        </w:rPr>
      </w:pPr>
    </w:p>
    <w:p w14:paraId="07A3BE9C" w14:textId="77777777" w:rsidR="00EC52D2" w:rsidRPr="00EC52D2" w:rsidRDefault="00EC52D2" w:rsidP="00EC52D2">
      <w:pPr>
        <w:tabs>
          <w:tab w:val="left" w:pos="720"/>
        </w:tabs>
        <w:overflowPunct w:val="0"/>
        <w:autoSpaceDE w:val="0"/>
        <w:autoSpaceDN w:val="0"/>
        <w:adjustRightInd w:val="0"/>
        <w:spacing w:after="0" w:line="240" w:lineRule="auto"/>
        <w:ind w:left="720" w:hanging="720"/>
        <w:textAlignment w:val="baseline"/>
        <w:rPr>
          <w:rFonts w:ascii="Times New Roman" w:hAnsi="Times New Roman" w:cs="Times New Roman"/>
          <w:b/>
          <w:sz w:val="24"/>
          <w:szCs w:val="24"/>
        </w:rPr>
      </w:pPr>
      <w:r w:rsidRPr="00EC52D2">
        <w:rPr>
          <w:rFonts w:ascii="Times New Roman" w:hAnsi="Times New Roman" w:cs="Times New Roman"/>
          <w:sz w:val="24"/>
          <w:szCs w:val="24"/>
        </w:rPr>
        <w:tab/>
        <w:t>NCUA uses the information during the annual examination and ongoing supervision process.  It is essential for NCUA, in carrying out its mission to ensure the safety and soundness of the credit union system and prevent losses to the NCUSIF, to have access to contemporary and comprehensive financial and operational information on corporates.</w:t>
      </w:r>
    </w:p>
    <w:p w14:paraId="2FD41A26" w14:textId="77777777" w:rsidR="00EC52D2" w:rsidRPr="00EC52D2" w:rsidRDefault="00EC52D2" w:rsidP="00EC52D2">
      <w:pPr>
        <w:tabs>
          <w:tab w:val="left" w:pos="720"/>
        </w:tabs>
        <w:spacing w:after="0" w:line="240" w:lineRule="auto"/>
        <w:ind w:left="720" w:hanging="720"/>
        <w:rPr>
          <w:rFonts w:ascii="Times New Roman" w:hAnsi="Times New Roman" w:cs="Times New Roman"/>
          <w:sz w:val="24"/>
          <w:szCs w:val="24"/>
        </w:rPr>
      </w:pPr>
    </w:p>
    <w:p w14:paraId="3C62B6F3" w14:textId="77777777" w:rsidR="005E54E7" w:rsidRDefault="005E54E7">
      <w:pPr>
        <w:rPr>
          <w:rFonts w:ascii="Times New Roman" w:hAnsi="Times New Roman" w:cs="Times New Roman"/>
          <w:b/>
          <w:sz w:val="24"/>
          <w:szCs w:val="24"/>
        </w:rPr>
      </w:pPr>
      <w:r>
        <w:rPr>
          <w:rFonts w:ascii="Times New Roman" w:hAnsi="Times New Roman" w:cs="Times New Roman"/>
          <w:b/>
          <w:sz w:val="24"/>
          <w:szCs w:val="24"/>
        </w:rPr>
        <w:br w:type="page"/>
      </w:r>
    </w:p>
    <w:p w14:paraId="76FBF579" w14:textId="09CA992B"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lastRenderedPageBreak/>
        <w:t>3.</w:t>
      </w:r>
      <w:r w:rsidRPr="00EC52D2">
        <w:rPr>
          <w:rFonts w:ascii="Times New Roman" w:hAnsi="Times New Roman" w:cs="Times New Roman"/>
          <w:b/>
          <w:sz w:val="24"/>
          <w:szCs w:val="24"/>
        </w:rPr>
        <w:tab/>
        <w:t>Use of information technology.</w:t>
      </w:r>
    </w:p>
    <w:p w14:paraId="4F116E6B" w14:textId="77777777" w:rsidR="00A25211" w:rsidRDefault="00A25211" w:rsidP="00EC52D2">
      <w:pPr>
        <w:pStyle w:val="ListParagraph"/>
        <w:tabs>
          <w:tab w:val="left" w:pos="-720"/>
          <w:tab w:val="left" w:pos="720"/>
        </w:tabs>
        <w:suppressAutoHyphens/>
        <w:ind w:hanging="720"/>
      </w:pPr>
    </w:p>
    <w:p w14:paraId="6AC5D197" w14:textId="77777777" w:rsidR="00EC52D2" w:rsidRPr="00EC52D2" w:rsidRDefault="00EC52D2" w:rsidP="00EC52D2">
      <w:pPr>
        <w:pStyle w:val="ListParagraph"/>
        <w:tabs>
          <w:tab w:val="left" w:pos="-720"/>
          <w:tab w:val="left" w:pos="720"/>
        </w:tabs>
        <w:suppressAutoHyphens/>
        <w:ind w:hanging="720"/>
      </w:pPr>
      <w:r w:rsidRPr="00EC52D2">
        <w:tab/>
        <w:t>Corporates may use any available information technology to satisfy the information collection requirements.  NCUA encourages the use of electronic information as it simplifies the data collection process and improves the accuracy and timeliness of the data.</w:t>
      </w:r>
    </w:p>
    <w:p w14:paraId="42067C13" w14:textId="77777777" w:rsidR="00EC52D2" w:rsidRPr="00EC52D2" w:rsidRDefault="00EC52D2" w:rsidP="00EC52D2">
      <w:pPr>
        <w:tabs>
          <w:tab w:val="left" w:pos="720"/>
        </w:tabs>
        <w:spacing w:after="0" w:line="240" w:lineRule="auto"/>
        <w:rPr>
          <w:rFonts w:ascii="Times New Roman" w:hAnsi="Times New Roman" w:cs="Times New Roman"/>
          <w:sz w:val="24"/>
          <w:szCs w:val="24"/>
        </w:rPr>
      </w:pPr>
    </w:p>
    <w:p w14:paraId="0DD2C63D"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4.</w:t>
      </w:r>
      <w:r w:rsidRPr="00EC52D2">
        <w:rPr>
          <w:rFonts w:ascii="Times New Roman" w:hAnsi="Times New Roman" w:cs="Times New Roman"/>
          <w:b/>
          <w:sz w:val="24"/>
          <w:szCs w:val="24"/>
        </w:rPr>
        <w:tab/>
        <w:t>Duplication of information.</w:t>
      </w:r>
    </w:p>
    <w:p w14:paraId="3C06D9FB" w14:textId="77777777" w:rsidR="00B327CD" w:rsidRDefault="00B327CD" w:rsidP="00EC52D2">
      <w:pPr>
        <w:pStyle w:val="ListParagraph"/>
        <w:tabs>
          <w:tab w:val="left" w:pos="-720"/>
        </w:tabs>
        <w:suppressAutoHyphens/>
        <w:ind w:hanging="720"/>
      </w:pPr>
    </w:p>
    <w:p w14:paraId="28B8B997" w14:textId="6412B06B" w:rsidR="00EC52D2" w:rsidRPr="00EC52D2" w:rsidRDefault="00EC52D2" w:rsidP="00EC52D2">
      <w:pPr>
        <w:pStyle w:val="ListParagraph"/>
        <w:tabs>
          <w:tab w:val="left" w:pos="-720"/>
        </w:tabs>
        <w:suppressAutoHyphens/>
        <w:ind w:hanging="720"/>
      </w:pPr>
      <w:r w:rsidRPr="00EC52D2">
        <w:tab/>
        <w:t>The information collection is unique to corporates, it is not duplicated from another information collection source.</w:t>
      </w:r>
    </w:p>
    <w:p w14:paraId="51B49AB7" w14:textId="77777777" w:rsidR="00EC52D2" w:rsidRPr="00EC52D2" w:rsidRDefault="00EC52D2" w:rsidP="00EC52D2">
      <w:pPr>
        <w:pStyle w:val="ListParagraph"/>
        <w:tabs>
          <w:tab w:val="left" w:pos="-720"/>
        </w:tabs>
        <w:suppressAutoHyphens/>
        <w:ind w:hanging="720"/>
      </w:pPr>
    </w:p>
    <w:p w14:paraId="18A0358D"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5.</w:t>
      </w:r>
      <w:r w:rsidRPr="00EC52D2">
        <w:rPr>
          <w:rFonts w:ascii="Times New Roman" w:hAnsi="Times New Roman" w:cs="Times New Roman"/>
          <w:b/>
          <w:sz w:val="24"/>
          <w:szCs w:val="24"/>
        </w:rPr>
        <w:tab/>
        <w:t>Efforts to reduce burden on small entities.</w:t>
      </w:r>
    </w:p>
    <w:p w14:paraId="2436014E" w14:textId="77777777" w:rsidR="00A25211" w:rsidRDefault="00A25211" w:rsidP="00EC52D2">
      <w:pPr>
        <w:pStyle w:val="ListParagraph"/>
        <w:tabs>
          <w:tab w:val="left" w:pos="-4466"/>
          <w:tab w:val="left" w:pos="-3460"/>
          <w:tab w:val="left" w:pos="-3343"/>
        </w:tabs>
        <w:suppressAutoHyphens/>
        <w:ind w:hanging="720"/>
      </w:pPr>
    </w:p>
    <w:p w14:paraId="46DCCDB3" w14:textId="77777777" w:rsidR="00EC52D2" w:rsidRPr="00EC52D2" w:rsidRDefault="00EC52D2" w:rsidP="00EC52D2">
      <w:pPr>
        <w:pStyle w:val="ListParagraph"/>
        <w:tabs>
          <w:tab w:val="left" w:pos="-4466"/>
          <w:tab w:val="left" w:pos="-3460"/>
          <w:tab w:val="left" w:pos="-3343"/>
        </w:tabs>
        <w:suppressAutoHyphens/>
        <w:ind w:hanging="720"/>
      </w:pPr>
      <w:r w:rsidRPr="00EC52D2">
        <w:tab/>
        <w:t xml:space="preserve">These information collection requirements affect corporates and Corporate CUSOs.  The asset size of corporates ranges from approximately $140 million to $4 billion.  We have no information on, and are unable to estimate, the asset sizes of Corporate CUSOs. </w:t>
      </w:r>
    </w:p>
    <w:p w14:paraId="1FCC26FE" w14:textId="77777777" w:rsidR="00EC52D2" w:rsidRPr="00EC52D2" w:rsidRDefault="00EC52D2" w:rsidP="00EC52D2">
      <w:pPr>
        <w:pStyle w:val="ListParagraph"/>
        <w:tabs>
          <w:tab w:val="left" w:pos="-4466"/>
          <w:tab w:val="left" w:pos="-3460"/>
          <w:tab w:val="left" w:pos="-3343"/>
        </w:tabs>
        <w:suppressAutoHyphens/>
        <w:ind w:hanging="720"/>
      </w:pPr>
    </w:p>
    <w:p w14:paraId="7600A561" w14:textId="77777777" w:rsidR="00EC52D2" w:rsidRPr="00EC52D2" w:rsidRDefault="00EC52D2" w:rsidP="00EC52D2">
      <w:pPr>
        <w:pStyle w:val="ListParagraph"/>
        <w:tabs>
          <w:tab w:val="left" w:pos="-4466"/>
          <w:tab w:val="left" w:pos="-3460"/>
          <w:tab w:val="left" w:pos="-3343"/>
        </w:tabs>
        <w:suppressAutoHyphens/>
        <w:ind w:hanging="720"/>
      </w:pPr>
      <w:r w:rsidRPr="00EC52D2">
        <w:tab/>
        <w:t xml:space="preserve">The burden on small entities is minimal because much of the required information is already maintained by corporates that have an investment or lending relationship with a Corporate CUSO.  </w:t>
      </w:r>
    </w:p>
    <w:p w14:paraId="11D5628B" w14:textId="77777777" w:rsidR="00EC52D2" w:rsidRPr="00EC52D2" w:rsidRDefault="00EC52D2" w:rsidP="00EC52D2">
      <w:pPr>
        <w:pStyle w:val="ListParagraph"/>
        <w:tabs>
          <w:tab w:val="left" w:pos="-4466"/>
          <w:tab w:val="left" w:pos="-3460"/>
          <w:tab w:val="left" w:pos="-3343"/>
        </w:tabs>
        <w:suppressAutoHyphens/>
        <w:ind w:hanging="720"/>
      </w:pPr>
    </w:p>
    <w:p w14:paraId="42321BFA"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6.</w:t>
      </w:r>
      <w:r w:rsidRPr="00EC52D2">
        <w:rPr>
          <w:rFonts w:ascii="Times New Roman" w:hAnsi="Times New Roman" w:cs="Times New Roman"/>
          <w:b/>
          <w:sz w:val="24"/>
          <w:szCs w:val="24"/>
        </w:rPr>
        <w:tab/>
        <w:t xml:space="preserve">Consequences of not conducting the collection. </w:t>
      </w:r>
    </w:p>
    <w:p w14:paraId="120BF721" w14:textId="77777777" w:rsidR="00A25211" w:rsidRDefault="00A25211" w:rsidP="00EC52D2">
      <w:pPr>
        <w:pStyle w:val="ListParagraph"/>
        <w:tabs>
          <w:tab w:val="left" w:pos="-4466"/>
          <w:tab w:val="left" w:pos="-3460"/>
          <w:tab w:val="left" w:pos="-3343"/>
        </w:tabs>
        <w:suppressAutoHyphens/>
        <w:ind w:hanging="720"/>
      </w:pPr>
    </w:p>
    <w:p w14:paraId="70145D3D" w14:textId="77777777" w:rsidR="00EC52D2" w:rsidRPr="00EC52D2" w:rsidRDefault="00EC52D2" w:rsidP="00EC52D2">
      <w:pPr>
        <w:pStyle w:val="ListParagraph"/>
        <w:tabs>
          <w:tab w:val="left" w:pos="-4466"/>
          <w:tab w:val="left" w:pos="-3460"/>
          <w:tab w:val="left" w:pos="-3343"/>
        </w:tabs>
        <w:suppressAutoHyphens/>
        <w:ind w:hanging="720"/>
      </w:pPr>
      <w:r w:rsidRPr="00EC52D2">
        <w:tab/>
        <w:t>Corporates must file a Corporate Credit Union Call Report with NCUA monthly.</w:t>
      </w:r>
      <w:r w:rsidRPr="00EC52D2">
        <w:rPr>
          <w:rStyle w:val="FootnoteReference"/>
        </w:rPr>
        <w:footnoteReference w:id="2"/>
      </w:r>
      <w:r w:rsidRPr="00EC52D2">
        <w:t xml:space="preserve">  The consequences to the Federal program if the ICRs in Part 704 were conducted less frequently would severely impair the effectiveness of the program.  Without the ability to timely review and analyze the type of information that is required by Part 704, corporate credit union management and NCUA would not be guaranteed the availability of timely, comprehensive information.  The reduced frequency of such information could jeopardize the ability of corporate credit union management to make appropriate decisions, and could hamper NCUA’s ability to implement timely corrective measures.   </w:t>
      </w:r>
    </w:p>
    <w:p w14:paraId="5849EC76" w14:textId="77777777" w:rsidR="00EC52D2" w:rsidRPr="00EC52D2" w:rsidRDefault="00EC52D2" w:rsidP="00EC52D2">
      <w:pPr>
        <w:spacing w:after="0" w:line="240" w:lineRule="auto"/>
        <w:ind w:left="720" w:hanging="720"/>
        <w:rPr>
          <w:rFonts w:ascii="Times New Roman" w:hAnsi="Times New Roman" w:cs="Times New Roman"/>
          <w:sz w:val="24"/>
          <w:szCs w:val="24"/>
        </w:rPr>
      </w:pPr>
    </w:p>
    <w:p w14:paraId="27015C16"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7.</w:t>
      </w:r>
      <w:r w:rsidRPr="00EC52D2">
        <w:rPr>
          <w:rFonts w:ascii="Times New Roman" w:hAnsi="Times New Roman" w:cs="Times New Roman"/>
          <w:b/>
          <w:sz w:val="24"/>
          <w:szCs w:val="24"/>
        </w:rPr>
        <w:tab/>
        <w:t>Inconsistencies with guidelines in 5 CFR 1320.5(d)(2).</w:t>
      </w:r>
    </w:p>
    <w:p w14:paraId="33AA1A11" w14:textId="77777777" w:rsidR="00A25211" w:rsidRDefault="00A25211" w:rsidP="00EC52D2">
      <w:pPr>
        <w:pStyle w:val="ListParagraph"/>
        <w:ind w:hanging="720"/>
      </w:pPr>
    </w:p>
    <w:p w14:paraId="1FB6C4B0" w14:textId="77777777" w:rsidR="00EC52D2" w:rsidRPr="00EC52D2" w:rsidRDefault="00EC52D2" w:rsidP="00EC52D2">
      <w:pPr>
        <w:pStyle w:val="ListParagraph"/>
        <w:ind w:hanging="720"/>
      </w:pPr>
      <w:r w:rsidRPr="00EC52D2">
        <w:tab/>
        <w:t xml:space="preserve">The composition of corporate balance sheets may undergo significant changes on a day-to-day basis.  Quarterly reporting of information is insufficient to maintain an appropriate level of supervision of corporates, which account for a significant portion of natural person credit union investments.  None of the other special circumstances noted in 5 CFR 1320.6(d)(2) are applicable to this collection.  </w:t>
      </w:r>
    </w:p>
    <w:p w14:paraId="41A4447E" w14:textId="77777777" w:rsidR="00EC52D2" w:rsidRPr="00EC52D2" w:rsidRDefault="00EC52D2" w:rsidP="00EC52D2">
      <w:pPr>
        <w:pStyle w:val="ListParagraph"/>
        <w:ind w:hanging="720"/>
        <w:rPr>
          <w:b/>
        </w:rPr>
      </w:pPr>
    </w:p>
    <w:p w14:paraId="043A7724" w14:textId="77777777" w:rsidR="005E54E7" w:rsidRDefault="005E54E7">
      <w:pPr>
        <w:rPr>
          <w:rFonts w:ascii="Times New Roman" w:hAnsi="Times New Roman" w:cs="Times New Roman"/>
          <w:b/>
          <w:sz w:val="24"/>
          <w:szCs w:val="24"/>
        </w:rPr>
      </w:pPr>
      <w:r>
        <w:rPr>
          <w:rFonts w:ascii="Times New Roman" w:hAnsi="Times New Roman" w:cs="Times New Roman"/>
          <w:b/>
          <w:sz w:val="24"/>
          <w:szCs w:val="24"/>
        </w:rPr>
        <w:br w:type="page"/>
      </w:r>
    </w:p>
    <w:p w14:paraId="55E46439" w14:textId="0D54AB40"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8.</w:t>
      </w:r>
      <w:r w:rsidRPr="00EC52D2">
        <w:rPr>
          <w:rFonts w:ascii="Times New Roman" w:hAnsi="Times New Roman" w:cs="Times New Roman"/>
          <w:b/>
          <w:sz w:val="24"/>
          <w:szCs w:val="24"/>
        </w:rPr>
        <w:tab/>
        <w:t>Efforts to consult with persons outside the agency.</w:t>
      </w:r>
    </w:p>
    <w:p w14:paraId="49EB38C3" w14:textId="77777777" w:rsidR="00A25211" w:rsidRDefault="00A25211" w:rsidP="00EC52D2">
      <w:pPr>
        <w:tabs>
          <w:tab w:val="left" w:pos="720"/>
        </w:tabs>
        <w:spacing w:after="0" w:line="240" w:lineRule="auto"/>
        <w:ind w:left="720"/>
        <w:rPr>
          <w:rFonts w:ascii="Times New Roman" w:hAnsi="Times New Roman" w:cs="Times New Roman"/>
          <w:sz w:val="24"/>
          <w:szCs w:val="24"/>
        </w:rPr>
      </w:pPr>
    </w:p>
    <w:p w14:paraId="5FED72D8" w14:textId="1F361B38" w:rsidR="00EC52D2" w:rsidRPr="00EC52D2" w:rsidRDefault="00EC52D2" w:rsidP="00EC52D2">
      <w:pPr>
        <w:tabs>
          <w:tab w:val="left" w:pos="720"/>
        </w:tabs>
        <w:spacing w:after="0" w:line="240" w:lineRule="auto"/>
        <w:ind w:left="720"/>
        <w:rPr>
          <w:rFonts w:ascii="Times New Roman" w:hAnsi="Times New Roman" w:cs="Times New Roman"/>
          <w:sz w:val="24"/>
          <w:szCs w:val="24"/>
        </w:rPr>
      </w:pPr>
      <w:r w:rsidRPr="00EC52D2">
        <w:rPr>
          <w:rFonts w:ascii="Times New Roman" w:hAnsi="Times New Roman" w:cs="Times New Roman"/>
          <w:sz w:val="24"/>
          <w:szCs w:val="24"/>
        </w:rPr>
        <w:t xml:space="preserve">A 60-day notice was published in the </w:t>
      </w:r>
      <w:r w:rsidRPr="00EC52D2">
        <w:rPr>
          <w:rFonts w:ascii="Times New Roman" w:hAnsi="Times New Roman" w:cs="Times New Roman"/>
          <w:i/>
          <w:sz w:val="24"/>
          <w:szCs w:val="24"/>
        </w:rPr>
        <w:t>Federal Register</w:t>
      </w:r>
      <w:r w:rsidRPr="00EC52D2">
        <w:rPr>
          <w:rFonts w:ascii="Times New Roman" w:hAnsi="Times New Roman" w:cs="Times New Roman"/>
          <w:sz w:val="24"/>
          <w:szCs w:val="24"/>
        </w:rPr>
        <w:t xml:space="preserve"> on April </w:t>
      </w:r>
      <w:r w:rsidR="00534129">
        <w:rPr>
          <w:rFonts w:ascii="Times New Roman" w:hAnsi="Times New Roman" w:cs="Times New Roman"/>
          <w:sz w:val="24"/>
          <w:szCs w:val="24"/>
        </w:rPr>
        <w:t>9</w:t>
      </w:r>
      <w:r w:rsidRPr="00EC52D2">
        <w:rPr>
          <w:rFonts w:ascii="Times New Roman" w:hAnsi="Times New Roman" w:cs="Times New Roman"/>
          <w:sz w:val="24"/>
          <w:szCs w:val="24"/>
        </w:rPr>
        <w:t>, 2019, at 84 FR 14136, soliciting comments on this collection of information and no comment were received.</w:t>
      </w:r>
    </w:p>
    <w:p w14:paraId="335BB8CA" w14:textId="77777777" w:rsidR="00EC52D2" w:rsidRPr="00EC52D2" w:rsidRDefault="00EC52D2" w:rsidP="00EC52D2">
      <w:pPr>
        <w:pStyle w:val="ListParagraph"/>
        <w:tabs>
          <w:tab w:val="left" w:pos="720"/>
        </w:tabs>
        <w:ind w:hanging="720"/>
        <w:rPr>
          <w:b/>
        </w:rPr>
      </w:pPr>
    </w:p>
    <w:p w14:paraId="60CCDB92"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9.</w:t>
      </w:r>
      <w:r w:rsidRPr="00EC52D2">
        <w:rPr>
          <w:rFonts w:ascii="Times New Roman" w:hAnsi="Times New Roman" w:cs="Times New Roman"/>
          <w:b/>
          <w:sz w:val="24"/>
          <w:szCs w:val="24"/>
        </w:rPr>
        <w:tab/>
        <w:t>Payment or gifts to respondents.</w:t>
      </w:r>
    </w:p>
    <w:p w14:paraId="46501BF9" w14:textId="77777777" w:rsidR="00A25211" w:rsidRDefault="00A25211" w:rsidP="00EC52D2">
      <w:pPr>
        <w:overflowPunct w:val="0"/>
        <w:autoSpaceDE w:val="0"/>
        <w:autoSpaceDN w:val="0"/>
        <w:adjustRightInd w:val="0"/>
        <w:spacing w:after="0" w:line="240" w:lineRule="auto"/>
        <w:ind w:left="720" w:hanging="720"/>
        <w:textAlignment w:val="baseline"/>
        <w:rPr>
          <w:rFonts w:ascii="Times New Roman" w:hAnsi="Times New Roman" w:cs="Times New Roman"/>
          <w:sz w:val="24"/>
          <w:szCs w:val="24"/>
        </w:rPr>
      </w:pPr>
    </w:p>
    <w:p w14:paraId="0A4DFCE5" w14:textId="77777777" w:rsidR="00EC52D2" w:rsidRPr="00EC52D2" w:rsidRDefault="00EC52D2" w:rsidP="00EC52D2">
      <w:pPr>
        <w:overflowPunct w:val="0"/>
        <w:autoSpaceDE w:val="0"/>
        <w:autoSpaceDN w:val="0"/>
        <w:adjustRightInd w:val="0"/>
        <w:spacing w:after="0" w:line="240" w:lineRule="auto"/>
        <w:ind w:left="720" w:hanging="720"/>
        <w:textAlignment w:val="baseline"/>
        <w:rPr>
          <w:rFonts w:ascii="Times New Roman" w:hAnsi="Times New Roman" w:cs="Times New Roman"/>
          <w:sz w:val="24"/>
          <w:szCs w:val="24"/>
        </w:rPr>
      </w:pPr>
      <w:r w:rsidRPr="00EC52D2">
        <w:rPr>
          <w:rFonts w:ascii="Times New Roman" w:hAnsi="Times New Roman" w:cs="Times New Roman"/>
          <w:sz w:val="24"/>
          <w:szCs w:val="24"/>
        </w:rPr>
        <w:tab/>
        <w:t>No payments or gifts will be provided to respondents.</w:t>
      </w:r>
    </w:p>
    <w:p w14:paraId="6CEBA412" w14:textId="77777777" w:rsidR="00EC52D2" w:rsidRPr="00EC52D2" w:rsidRDefault="00EC52D2" w:rsidP="00EC52D2">
      <w:pPr>
        <w:spacing w:after="0" w:line="240" w:lineRule="auto"/>
        <w:ind w:left="720" w:hanging="720"/>
        <w:rPr>
          <w:rFonts w:ascii="Times New Roman" w:hAnsi="Times New Roman" w:cs="Times New Roman"/>
          <w:sz w:val="24"/>
          <w:szCs w:val="24"/>
        </w:rPr>
      </w:pPr>
    </w:p>
    <w:p w14:paraId="2702404D"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10.</w:t>
      </w:r>
      <w:r w:rsidRPr="00EC52D2">
        <w:rPr>
          <w:rFonts w:ascii="Times New Roman" w:hAnsi="Times New Roman" w:cs="Times New Roman"/>
          <w:b/>
          <w:sz w:val="24"/>
          <w:szCs w:val="24"/>
        </w:rPr>
        <w:tab/>
        <w:t>Assurance of confidentiality.</w:t>
      </w:r>
    </w:p>
    <w:p w14:paraId="16F5AB54" w14:textId="77777777" w:rsidR="00A25211" w:rsidRDefault="00A25211" w:rsidP="00EC52D2">
      <w:pPr>
        <w:overflowPunct w:val="0"/>
        <w:autoSpaceDE w:val="0"/>
        <w:autoSpaceDN w:val="0"/>
        <w:adjustRightInd w:val="0"/>
        <w:spacing w:after="0" w:line="240" w:lineRule="auto"/>
        <w:ind w:left="720" w:hanging="720"/>
        <w:textAlignment w:val="baseline"/>
        <w:rPr>
          <w:rFonts w:ascii="Times New Roman" w:hAnsi="Times New Roman" w:cs="Times New Roman"/>
          <w:sz w:val="24"/>
          <w:szCs w:val="24"/>
        </w:rPr>
      </w:pPr>
    </w:p>
    <w:p w14:paraId="69BA85C3" w14:textId="1C37F84E" w:rsidR="00EC52D2" w:rsidRPr="00EC52D2" w:rsidRDefault="00EC52D2" w:rsidP="00EC52D2">
      <w:pPr>
        <w:overflowPunct w:val="0"/>
        <w:autoSpaceDE w:val="0"/>
        <w:autoSpaceDN w:val="0"/>
        <w:adjustRightInd w:val="0"/>
        <w:spacing w:after="0" w:line="240" w:lineRule="auto"/>
        <w:ind w:left="720" w:hanging="720"/>
        <w:textAlignment w:val="baseline"/>
        <w:rPr>
          <w:rFonts w:ascii="Times New Roman" w:hAnsi="Times New Roman" w:cs="Times New Roman"/>
          <w:sz w:val="24"/>
          <w:szCs w:val="24"/>
        </w:rPr>
      </w:pPr>
      <w:r w:rsidRPr="00EC52D2">
        <w:rPr>
          <w:rFonts w:ascii="Times New Roman" w:hAnsi="Times New Roman" w:cs="Times New Roman"/>
          <w:sz w:val="24"/>
          <w:szCs w:val="24"/>
        </w:rPr>
        <w:tab/>
        <w:t>There is no assurance of confidentiality other than th</w:t>
      </w:r>
      <w:r w:rsidR="00FD390D">
        <w:rPr>
          <w:rFonts w:ascii="Times New Roman" w:hAnsi="Times New Roman" w:cs="Times New Roman"/>
          <w:sz w:val="24"/>
          <w:szCs w:val="24"/>
        </w:rPr>
        <w:t>ose</w:t>
      </w:r>
      <w:r w:rsidRPr="00EC52D2">
        <w:rPr>
          <w:rFonts w:ascii="Times New Roman" w:hAnsi="Times New Roman" w:cs="Times New Roman"/>
          <w:sz w:val="24"/>
          <w:szCs w:val="24"/>
        </w:rPr>
        <w:t xml:space="preserve"> provided by law. </w:t>
      </w:r>
    </w:p>
    <w:p w14:paraId="33AA7849" w14:textId="77777777" w:rsidR="00EC52D2" w:rsidRPr="00EC52D2" w:rsidRDefault="00EC52D2" w:rsidP="00EC52D2">
      <w:pPr>
        <w:spacing w:after="0" w:line="240" w:lineRule="auto"/>
        <w:ind w:left="720" w:hanging="720"/>
        <w:rPr>
          <w:rFonts w:ascii="Times New Roman" w:hAnsi="Times New Roman" w:cs="Times New Roman"/>
          <w:sz w:val="24"/>
          <w:szCs w:val="24"/>
        </w:rPr>
      </w:pPr>
    </w:p>
    <w:p w14:paraId="2DD55852"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11.</w:t>
      </w:r>
      <w:r w:rsidRPr="00EC52D2">
        <w:rPr>
          <w:rFonts w:ascii="Times New Roman" w:hAnsi="Times New Roman" w:cs="Times New Roman"/>
          <w:b/>
          <w:sz w:val="24"/>
          <w:szCs w:val="24"/>
        </w:rPr>
        <w:tab/>
        <w:t>Questions of a sensitive nature.</w:t>
      </w:r>
    </w:p>
    <w:p w14:paraId="18120C4E" w14:textId="77777777" w:rsidR="00A25211" w:rsidRDefault="00A25211" w:rsidP="00EC52D2">
      <w:pPr>
        <w:pStyle w:val="ListParagraph"/>
        <w:tabs>
          <w:tab w:val="left" w:pos="-8213"/>
          <w:tab w:val="left" w:pos="-7207"/>
          <w:tab w:val="left" w:pos="-7090"/>
          <w:tab w:val="left" w:pos="-3415"/>
          <w:tab w:val="left" w:pos="-3298"/>
          <w:tab w:val="left" w:pos="-2159"/>
          <w:tab w:val="left" w:pos="-2041"/>
        </w:tabs>
        <w:suppressAutoHyphens/>
        <w:ind w:hanging="720"/>
      </w:pPr>
    </w:p>
    <w:p w14:paraId="076EC43C" w14:textId="16418FFE" w:rsidR="00EC52D2" w:rsidRPr="00EC52D2" w:rsidRDefault="00EC52D2" w:rsidP="00EC52D2">
      <w:pPr>
        <w:pStyle w:val="ListParagraph"/>
        <w:tabs>
          <w:tab w:val="left" w:pos="-8213"/>
          <w:tab w:val="left" w:pos="-7207"/>
          <w:tab w:val="left" w:pos="-7090"/>
          <w:tab w:val="left" w:pos="-3415"/>
          <w:tab w:val="left" w:pos="-3298"/>
          <w:tab w:val="left" w:pos="-2159"/>
          <w:tab w:val="left" w:pos="-2041"/>
        </w:tabs>
        <w:suppressAutoHyphens/>
        <w:ind w:hanging="720"/>
        <w:rPr>
          <w:color w:val="000000"/>
        </w:rPr>
      </w:pPr>
      <w:r w:rsidRPr="00EC52D2">
        <w:tab/>
      </w:r>
      <w:r>
        <w:rPr>
          <w:rStyle w:val="CommentReference"/>
          <w:sz w:val="24"/>
          <w:szCs w:val="24"/>
        </w:rPr>
        <w:t xml:space="preserve">There are no </w:t>
      </w:r>
      <w:r>
        <w:rPr>
          <w:color w:val="000000"/>
        </w:rPr>
        <w:t>questions of a sensitive nature and no personally identifiable information (PII) is collected.</w:t>
      </w:r>
    </w:p>
    <w:p w14:paraId="1C37F6A1" w14:textId="77777777" w:rsidR="00EC52D2" w:rsidRPr="00EC52D2" w:rsidRDefault="00EC52D2" w:rsidP="00EC52D2">
      <w:pPr>
        <w:spacing w:after="0" w:line="240" w:lineRule="auto"/>
        <w:rPr>
          <w:rFonts w:ascii="Times New Roman" w:hAnsi="Times New Roman" w:cs="Times New Roman"/>
          <w:b/>
          <w:sz w:val="24"/>
          <w:szCs w:val="24"/>
        </w:rPr>
      </w:pPr>
    </w:p>
    <w:p w14:paraId="786B9E3F" w14:textId="7A57E530" w:rsidR="00B327CD" w:rsidRDefault="00B327CD">
      <w:pPr>
        <w:rPr>
          <w:rFonts w:ascii="Times New Roman" w:hAnsi="Times New Roman" w:cs="Times New Roman"/>
          <w:b/>
          <w:sz w:val="24"/>
          <w:szCs w:val="24"/>
        </w:rPr>
      </w:pPr>
    </w:p>
    <w:p w14:paraId="57AE6331" w14:textId="77777777" w:rsidR="00B327CD" w:rsidRDefault="00B327CD">
      <w:pPr>
        <w:rPr>
          <w:rFonts w:ascii="Times New Roman" w:hAnsi="Times New Roman" w:cs="Times New Roman"/>
          <w:b/>
          <w:sz w:val="24"/>
          <w:szCs w:val="24"/>
        </w:rPr>
        <w:sectPr w:rsidR="00B327CD" w:rsidSect="00A252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C7991E4" w14:textId="50B8AC14" w:rsidR="00B327CD" w:rsidRDefault="00B327CD">
      <w:pPr>
        <w:rPr>
          <w:rFonts w:ascii="Times New Roman" w:hAnsi="Times New Roman" w:cs="Times New Roman"/>
          <w:b/>
          <w:sz w:val="24"/>
          <w:szCs w:val="24"/>
        </w:rPr>
      </w:pPr>
    </w:p>
    <w:p w14:paraId="29FD3A48" w14:textId="348BF610"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12.</w:t>
      </w:r>
      <w:r w:rsidRPr="00EC52D2">
        <w:rPr>
          <w:rFonts w:ascii="Times New Roman" w:hAnsi="Times New Roman" w:cs="Times New Roman"/>
          <w:b/>
          <w:sz w:val="24"/>
          <w:szCs w:val="24"/>
        </w:rPr>
        <w:tab/>
        <w:t>Burden of information collection.</w:t>
      </w:r>
    </w:p>
    <w:tbl>
      <w:tblPr>
        <w:tblW w:w="14310" w:type="dxa"/>
        <w:tblInd w:w="-95" w:type="dxa"/>
        <w:tblLayout w:type="fixed"/>
        <w:tblLook w:val="04A0" w:firstRow="1" w:lastRow="0" w:firstColumn="1" w:lastColumn="0" w:noHBand="0" w:noVBand="1"/>
      </w:tblPr>
      <w:tblGrid>
        <w:gridCol w:w="429"/>
        <w:gridCol w:w="1371"/>
        <w:gridCol w:w="4950"/>
        <w:gridCol w:w="1080"/>
        <w:gridCol w:w="900"/>
        <w:gridCol w:w="990"/>
        <w:gridCol w:w="900"/>
        <w:gridCol w:w="900"/>
        <w:gridCol w:w="990"/>
        <w:gridCol w:w="900"/>
        <w:gridCol w:w="900"/>
      </w:tblGrid>
      <w:tr w:rsidR="00026AFA" w:rsidRPr="00026AFA" w14:paraId="707D5D33" w14:textId="77777777" w:rsidTr="00026AFA">
        <w:trPr>
          <w:trHeight w:val="780"/>
        </w:trPr>
        <w:tc>
          <w:tcPr>
            <w:tcW w:w="429" w:type="dxa"/>
            <w:tcBorders>
              <w:top w:val="single" w:sz="4" w:space="0" w:color="auto"/>
              <w:left w:val="single" w:sz="4" w:space="0" w:color="auto"/>
              <w:bottom w:val="single" w:sz="8" w:space="0" w:color="auto"/>
              <w:right w:val="single" w:sz="4" w:space="0" w:color="auto"/>
            </w:tcBorders>
            <w:shd w:val="clear" w:color="000000" w:fill="D9D9D9"/>
            <w:noWrap/>
            <w:textDirection w:val="btLr"/>
            <w:vAlign w:val="center"/>
            <w:hideMark/>
          </w:tcPr>
          <w:p w14:paraId="2577EA83" w14:textId="77777777" w:rsidR="00026AFA" w:rsidRPr="00026AFA" w:rsidRDefault="00026AFA" w:rsidP="00026AFA">
            <w:pPr>
              <w:spacing w:after="0" w:line="240" w:lineRule="auto"/>
              <w:jc w:val="center"/>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Line Item</w:t>
            </w:r>
          </w:p>
        </w:tc>
        <w:tc>
          <w:tcPr>
            <w:tcW w:w="1371" w:type="dxa"/>
            <w:tcBorders>
              <w:top w:val="single" w:sz="4" w:space="0" w:color="auto"/>
              <w:left w:val="nil"/>
              <w:bottom w:val="single" w:sz="8" w:space="0" w:color="auto"/>
              <w:right w:val="single" w:sz="4" w:space="0" w:color="auto"/>
            </w:tcBorders>
            <w:shd w:val="clear" w:color="000000" w:fill="D9D9D9"/>
            <w:vAlign w:val="center"/>
            <w:hideMark/>
          </w:tcPr>
          <w:p w14:paraId="046C7A23" w14:textId="77777777" w:rsidR="00026AFA" w:rsidRPr="00026AFA" w:rsidRDefault="00026AFA" w:rsidP="00026AFA">
            <w:pPr>
              <w:spacing w:after="0" w:line="240" w:lineRule="auto"/>
              <w:jc w:val="center"/>
              <w:rPr>
                <w:rFonts w:ascii="Arial" w:eastAsia="Times New Roman" w:hAnsi="Arial" w:cs="Arial"/>
                <w:color w:val="000000"/>
                <w:sz w:val="18"/>
                <w:szCs w:val="18"/>
              </w:rPr>
            </w:pPr>
            <w:r w:rsidRPr="00026AFA">
              <w:rPr>
                <w:rFonts w:ascii="Arial" w:eastAsia="Times New Roman" w:hAnsi="Arial" w:cs="Arial"/>
                <w:color w:val="000000"/>
                <w:sz w:val="18"/>
                <w:szCs w:val="18"/>
              </w:rPr>
              <w:t>12 CFR</w:t>
            </w:r>
          </w:p>
        </w:tc>
        <w:tc>
          <w:tcPr>
            <w:tcW w:w="4950" w:type="dxa"/>
            <w:tcBorders>
              <w:top w:val="single" w:sz="4" w:space="0" w:color="auto"/>
              <w:left w:val="nil"/>
              <w:bottom w:val="single" w:sz="8" w:space="0" w:color="auto"/>
              <w:right w:val="nil"/>
            </w:tcBorders>
            <w:shd w:val="clear" w:color="000000" w:fill="D9D9D9"/>
            <w:vAlign w:val="center"/>
            <w:hideMark/>
          </w:tcPr>
          <w:p w14:paraId="50963C53" w14:textId="77777777" w:rsidR="00026AFA" w:rsidRPr="00026AFA" w:rsidRDefault="00026AFA" w:rsidP="00026AFA">
            <w:pPr>
              <w:spacing w:after="0" w:line="240" w:lineRule="auto"/>
              <w:jc w:val="center"/>
              <w:rPr>
                <w:rFonts w:ascii="Arial" w:eastAsia="Times New Roman" w:hAnsi="Arial" w:cs="Arial"/>
                <w:color w:val="000000"/>
                <w:sz w:val="18"/>
                <w:szCs w:val="18"/>
              </w:rPr>
            </w:pPr>
            <w:r w:rsidRPr="00026AFA">
              <w:rPr>
                <w:rFonts w:ascii="Arial" w:eastAsia="Times New Roman" w:hAnsi="Arial" w:cs="Arial"/>
                <w:color w:val="000000"/>
                <w:sz w:val="18"/>
                <w:szCs w:val="18"/>
              </w:rPr>
              <w:t>Activity</w:t>
            </w:r>
          </w:p>
        </w:tc>
        <w:tc>
          <w:tcPr>
            <w:tcW w:w="1080" w:type="dxa"/>
            <w:tcBorders>
              <w:top w:val="single" w:sz="4" w:space="0" w:color="auto"/>
              <w:left w:val="single" w:sz="8" w:space="0" w:color="auto"/>
              <w:bottom w:val="single" w:sz="8" w:space="0" w:color="auto"/>
              <w:right w:val="single" w:sz="4" w:space="0" w:color="auto"/>
            </w:tcBorders>
            <w:shd w:val="clear" w:color="000000" w:fill="D9D9D9"/>
            <w:vAlign w:val="center"/>
            <w:hideMark/>
          </w:tcPr>
          <w:p w14:paraId="2E950B0E" w14:textId="77777777" w:rsidR="00026AFA" w:rsidRPr="00026AFA" w:rsidRDefault="00026AFA" w:rsidP="00026AFA">
            <w:pPr>
              <w:spacing w:after="0" w:line="240" w:lineRule="auto"/>
              <w:jc w:val="center"/>
              <w:rPr>
                <w:rFonts w:ascii="Arial" w:eastAsia="Times New Roman" w:hAnsi="Arial" w:cs="Arial"/>
                <w:color w:val="000000"/>
                <w:sz w:val="16"/>
                <w:szCs w:val="16"/>
              </w:rPr>
            </w:pPr>
            <w:r w:rsidRPr="00026AFA">
              <w:rPr>
                <w:rFonts w:ascii="Arial" w:eastAsia="Times New Roman" w:hAnsi="Arial" w:cs="Arial"/>
                <w:color w:val="000000"/>
                <w:sz w:val="16"/>
                <w:szCs w:val="16"/>
              </w:rPr>
              <w:t>Type of Burden</w:t>
            </w:r>
          </w:p>
        </w:tc>
        <w:tc>
          <w:tcPr>
            <w:tcW w:w="900" w:type="dxa"/>
            <w:tcBorders>
              <w:top w:val="single" w:sz="4" w:space="0" w:color="auto"/>
              <w:left w:val="single" w:sz="12" w:space="0" w:color="auto"/>
              <w:bottom w:val="single" w:sz="12" w:space="0" w:color="auto"/>
              <w:right w:val="single" w:sz="4" w:space="0" w:color="auto"/>
            </w:tcBorders>
            <w:shd w:val="clear" w:color="000000" w:fill="DDEBF7"/>
            <w:vAlign w:val="center"/>
            <w:hideMark/>
          </w:tcPr>
          <w:p w14:paraId="26D5D5D4" w14:textId="77777777" w:rsidR="00026AFA" w:rsidRPr="00026AFA" w:rsidRDefault="00026AFA" w:rsidP="00026AFA">
            <w:pPr>
              <w:spacing w:after="0" w:line="240" w:lineRule="auto"/>
              <w:jc w:val="center"/>
              <w:rPr>
                <w:rFonts w:ascii="Arial Narrow" w:eastAsia="Times New Roman" w:hAnsi="Arial Narrow" w:cs="Calibri"/>
                <w:color w:val="000000"/>
                <w:sz w:val="16"/>
                <w:szCs w:val="16"/>
              </w:rPr>
            </w:pPr>
            <w:r w:rsidRPr="00026AFA">
              <w:rPr>
                <w:rFonts w:ascii="Arial Narrow" w:eastAsia="Times New Roman" w:hAnsi="Arial Narrow" w:cs="Calibri"/>
                <w:color w:val="000000"/>
                <w:sz w:val="16"/>
                <w:szCs w:val="16"/>
              </w:rPr>
              <w:t># Respon- dents</w:t>
            </w:r>
          </w:p>
        </w:tc>
        <w:tc>
          <w:tcPr>
            <w:tcW w:w="990" w:type="dxa"/>
            <w:tcBorders>
              <w:top w:val="single" w:sz="4" w:space="0" w:color="auto"/>
              <w:left w:val="nil"/>
              <w:bottom w:val="single" w:sz="12" w:space="0" w:color="auto"/>
              <w:right w:val="single" w:sz="4" w:space="0" w:color="auto"/>
            </w:tcBorders>
            <w:shd w:val="clear" w:color="000000" w:fill="DDEBF7"/>
            <w:vAlign w:val="center"/>
            <w:hideMark/>
          </w:tcPr>
          <w:p w14:paraId="7478F344" w14:textId="77777777" w:rsidR="00026AFA" w:rsidRPr="00026AFA" w:rsidRDefault="00026AFA" w:rsidP="00026AFA">
            <w:pPr>
              <w:spacing w:after="0" w:line="240" w:lineRule="auto"/>
              <w:jc w:val="center"/>
              <w:rPr>
                <w:rFonts w:ascii="Arial Narrow" w:eastAsia="Times New Roman" w:hAnsi="Arial Narrow" w:cs="Calibri"/>
                <w:color w:val="000000"/>
                <w:sz w:val="16"/>
                <w:szCs w:val="16"/>
              </w:rPr>
            </w:pPr>
            <w:r w:rsidRPr="00026AFA">
              <w:rPr>
                <w:rFonts w:ascii="Arial Narrow" w:eastAsia="Times New Roman" w:hAnsi="Arial Narrow" w:cs="Calibri"/>
                <w:color w:val="000000"/>
                <w:sz w:val="16"/>
                <w:szCs w:val="16"/>
              </w:rPr>
              <w:t># Responses Per Respondent</w:t>
            </w:r>
          </w:p>
        </w:tc>
        <w:tc>
          <w:tcPr>
            <w:tcW w:w="900" w:type="dxa"/>
            <w:tcBorders>
              <w:top w:val="single" w:sz="4" w:space="0" w:color="auto"/>
              <w:left w:val="nil"/>
              <w:bottom w:val="single" w:sz="12" w:space="0" w:color="auto"/>
              <w:right w:val="single" w:sz="4" w:space="0" w:color="auto"/>
            </w:tcBorders>
            <w:shd w:val="clear" w:color="000000" w:fill="DDEBF7"/>
            <w:vAlign w:val="center"/>
            <w:hideMark/>
          </w:tcPr>
          <w:p w14:paraId="5F195BF5" w14:textId="77777777" w:rsidR="00026AFA" w:rsidRPr="00026AFA" w:rsidRDefault="00026AFA" w:rsidP="00026AFA">
            <w:pPr>
              <w:spacing w:after="0" w:line="240" w:lineRule="auto"/>
              <w:jc w:val="center"/>
              <w:rPr>
                <w:rFonts w:ascii="Arial Narrow" w:eastAsia="Times New Roman" w:hAnsi="Arial Narrow" w:cs="Calibri"/>
                <w:color w:val="000000"/>
                <w:sz w:val="16"/>
                <w:szCs w:val="16"/>
              </w:rPr>
            </w:pPr>
            <w:r w:rsidRPr="00026AFA">
              <w:rPr>
                <w:rFonts w:ascii="Arial Narrow" w:eastAsia="Times New Roman" w:hAnsi="Arial Narrow" w:cs="Calibri"/>
                <w:color w:val="000000"/>
                <w:sz w:val="16"/>
                <w:szCs w:val="16"/>
              </w:rPr>
              <w:t># Annual Responses</w:t>
            </w:r>
          </w:p>
        </w:tc>
        <w:tc>
          <w:tcPr>
            <w:tcW w:w="900" w:type="dxa"/>
            <w:tcBorders>
              <w:top w:val="single" w:sz="4" w:space="0" w:color="auto"/>
              <w:left w:val="nil"/>
              <w:bottom w:val="single" w:sz="12" w:space="0" w:color="auto"/>
              <w:right w:val="single" w:sz="4" w:space="0" w:color="auto"/>
            </w:tcBorders>
            <w:shd w:val="clear" w:color="000000" w:fill="DDEBF7"/>
            <w:vAlign w:val="center"/>
            <w:hideMark/>
          </w:tcPr>
          <w:p w14:paraId="6AE9A157" w14:textId="77777777" w:rsidR="00026AFA" w:rsidRPr="00026AFA" w:rsidRDefault="00026AFA" w:rsidP="00026AFA">
            <w:pPr>
              <w:spacing w:after="0" w:line="240" w:lineRule="auto"/>
              <w:jc w:val="center"/>
              <w:rPr>
                <w:rFonts w:ascii="Arial Narrow" w:eastAsia="Times New Roman" w:hAnsi="Arial Narrow" w:cs="Calibri"/>
                <w:color w:val="000000"/>
                <w:sz w:val="16"/>
                <w:szCs w:val="16"/>
              </w:rPr>
            </w:pPr>
            <w:r w:rsidRPr="00026AFA">
              <w:rPr>
                <w:rFonts w:ascii="Arial Narrow" w:eastAsia="Times New Roman" w:hAnsi="Arial Narrow" w:cs="Calibri"/>
                <w:color w:val="000000"/>
                <w:sz w:val="16"/>
                <w:szCs w:val="16"/>
              </w:rPr>
              <w:t>Hours Per Response</w:t>
            </w:r>
          </w:p>
        </w:tc>
        <w:tc>
          <w:tcPr>
            <w:tcW w:w="990" w:type="dxa"/>
            <w:tcBorders>
              <w:top w:val="single" w:sz="4" w:space="0" w:color="auto"/>
              <w:left w:val="nil"/>
              <w:bottom w:val="single" w:sz="12" w:space="0" w:color="auto"/>
              <w:right w:val="single" w:sz="12" w:space="0" w:color="auto"/>
            </w:tcBorders>
            <w:shd w:val="clear" w:color="000000" w:fill="DDEBF7"/>
            <w:vAlign w:val="center"/>
            <w:hideMark/>
          </w:tcPr>
          <w:p w14:paraId="1FDF708E" w14:textId="77777777" w:rsidR="00026AFA" w:rsidRPr="00026AFA" w:rsidRDefault="00026AFA" w:rsidP="00026AFA">
            <w:pPr>
              <w:spacing w:after="0" w:line="240" w:lineRule="auto"/>
              <w:jc w:val="center"/>
              <w:rPr>
                <w:rFonts w:ascii="Arial Narrow" w:eastAsia="Times New Roman" w:hAnsi="Arial Narrow" w:cs="Calibri"/>
                <w:color w:val="000000"/>
                <w:sz w:val="16"/>
                <w:szCs w:val="16"/>
              </w:rPr>
            </w:pPr>
            <w:r w:rsidRPr="00026AFA">
              <w:rPr>
                <w:rFonts w:ascii="Arial Narrow" w:eastAsia="Times New Roman" w:hAnsi="Arial Narrow" w:cs="Calibri"/>
                <w:color w:val="000000"/>
                <w:sz w:val="16"/>
                <w:szCs w:val="16"/>
              </w:rPr>
              <w:t>TOTAL BURDEN</w:t>
            </w:r>
          </w:p>
        </w:tc>
        <w:tc>
          <w:tcPr>
            <w:tcW w:w="900" w:type="dxa"/>
            <w:tcBorders>
              <w:top w:val="single" w:sz="4" w:space="0" w:color="auto"/>
              <w:left w:val="single" w:sz="12" w:space="0" w:color="auto"/>
              <w:bottom w:val="single" w:sz="12" w:space="0" w:color="auto"/>
              <w:right w:val="single" w:sz="4" w:space="0" w:color="auto"/>
            </w:tcBorders>
            <w:shd w:val="clear" w:color="000000" w:fill="E2EFDA"/>
            <w:vAlign w:val="center"/>
            <w:hideMark/>
          </w:tcPr>
          <w:p w14:paraId="59EDCB6E" w14:textId="77777777" w:rsidR="00026AFA" w:rsidRPr="00026AFA" w:rsidRDefault="00026AFA" w:rsidP="00026AFA">
            <w:pPr>
              <w:spacing w:after="0" w:line="240" w:lineRule="auto"/>
              <w:jc w:val="center"/>
              <w:rPr>
                <w:rFonts w:ascii="Arial Narrow" w:eastAsia="Times New Roman" w:hAnsi="Arial Narrow" w:cs="Calibri"/>
                <w:color w:val="000000"/>
                <w:sz w:val="16"/>
                <w:szCs w:val="16"/>
              </w:rPr>
            </w:pPr>
            <w:r w:rsidRPr="00026AFA">
              <w:rPr>
                <w:rFonts w:ascii="Arial Narrow" w:eastAsia="Times New Roman" w:hAnsi="Arial Narrow" w:cs="Calibri"/>
                <w:color w:val="000000"/>
                <w:sz w:val="16"/>
                <w:szCs w:val="16"/>
              </w:rPr>
              <w:t>Previously Approved</w:t>
            </w:r>
          </w:p>
        </w:tc>
        <w:tc>
          <w:tcPr>
            <w:tcW w:w="900" w:type="dxa"/>
            <w:tcBorders>
              <w:top w:val="single" w:sz="4" w:space="0" w:color="auto"/>
              <w:left w:val="nil"/>
              <w:bottom w:val="single" w:sz="12" w:space="0" w:color="auto"/>
              <w:right w:val="single" w:sz="4" w:space="0" w:color="auto"/>
            </w:tcBorders>
            <w:shd w:val="clear" w:color="000000" w:fill="FCE4D6"/>
            <w:vAlign w:val="center"/>
            <w:hideMark/>
          </w:tcPr>
          <w:p w14:paraId="12A21E9E" w14:textId="2B200D93" w:rsidR="00026AFA" w:rsidRPr="00026AFA" w:rsidRDefault="00026AFA" w:rsidP="005E54E7">
            <w:pPr>
              <w:spacing w:after="0" w:line="240" w:lineRule="auto"/>
              <w:jc w:val="center"/>
              <w:rPr>
                <w:rFonts w:ascii="Arial Narrow" w:eastAsia="Times New Roman" w:hAnsi="Arial Narrow" w:cs="Calibri"/>
                <w:color w:val="000000"/>
                <w:sz w:val="16"/>
                <w:szCs w:val="16"/>
              </w:rPr>
            </w:pPr>
            <w:r w:rsidRPr="00026AFA">
              <w:rPr>
                <w:rFonts w:ascii="Arial Narrow" w:eastAsia="Times New Roman" w:hAnsi="Arial Narrow" w:cs="Calibri"/>
                <w:color w:val="000000"/>
                <w:sz w:val="16"/>
                <w:szCs w:val="16"/>
              </w:rPr>
              <w:t xml:space="preserve">Difference </w:t>
            </w:r>
          </w:p>
        </w:tc>
      </w:tr>
      <w:tr w:rsidR="00026AFA" w:rsidRPr="00026AFA" w14:paraId="75679426" w14:textId="77777777" w:rsidTr="00026AFA">
        <w:trPr>
          <w:trHeight w:val="102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146D6A83"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449BD62B"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704.3(a)(3)</w:t>
            </w:r>
          </w:p>
        </w:tc>
        <w:tc>
          <w:tcPr>
            <w:tcW w:w="4950" w:type="dxa"/>
            <w:tcBorders>
              <w:top w:val="single" w:sz="4" w:space="0" w:color="auto"/>
              <w:left w:val="nil"/>
              <w:bottom w:val="single" w:sz="4" w:space="0" w:color="auto"/>
              <w:right w:val="nil"/>
            </w:tcBorders>
            <w:shd w:val="clear" w:color="auto" w:fill="auto"/>
            <w:vAlign w:val="center"/>
            <w:hideMark/>
          </w:tcPr>
          <w:p w14:paraId="2973FA67" w14:textId="77777777" w:rsidR="00026AFA" w:rsidRPr="00026AFA" w:rsidRDefault="00026AFA" w:rsidP="00241B9E">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 xml:space="preserve">Retained earnings </w:t>
            </w:r>
            <w:r w:rsidR="00241B9E">
              <w:rPr>
                <w:rFonts w:ascii="Arial Narrow" w:eastAsia="Times New Roman" w:hAnsi="Arial Narrow" w:cs="Calibri"/>
                <w:color w:val="000000"/>
                <w:sz w:val="20"/>
                <w:szCs w:val="20"/>
              </w:rPr>
              <w:t>accumulation</w:t>
            </w:r>
            <w:r w:rsidR="00241B9E" w:rsidRPr="00026AFA">
              <w:rPr>
                <w:rFonts w:ascii="Arial Narrow" w:eastAsia="Times New Roman" w:hAnsi="Arial Narrow" w:cs="Calibri"/>
                <w:color w:val="000000"/>
                <w:sz w:val="20"/>
                <w:szCs w:val="20"/>
              </w:rPr>
              <w:t xml:space="preserve"> </w:t>
            </w:r>
            <w:r w:rsidRPr="00026AFA">
              <w:rPr>
                <w:rFonts w:ascii="Arial Narrow" w:eastAsia="Times New Roman" w:hAnsi="Arial Narrow" w:cs="Calibri"/>
                <w:color w:val="000000"/>
                <w:sz w:val="20"/>
                <w:szCs w:val="20"/>
              </w:rPr>
              <w:t>plan.  A Corporate CU must calculate and report to NCUA the ration of its retained earning</w:t>
            </w:r>
            <w:r w:rsidR="00241B9E">
              <w:rPr>
                <w:rFonts w:ascii="Arial Narrow" w:eastAsia="Times New Roman" w:hAnsi="Arial Narrow" w:cs="Calibri"/>
                <w:color w:val="000000"/>
                <w:sz w:val="20"/>
                <w:szCs w:val="20"/>
              </w:rPr>
              <w:t>s</w:t>
            </w:r>
            <w:r w:rsidRPr="00026AFA">
              <w:rPr>
                <w:rFonts w:ascii="Arial Narrow" w:eastAsia="Times New Roman" w:hAnsi="Arial Narrow" w:cs="Calibri"/>
                <w:color w:val="000000"/>
                <w:sz w:val="20"/>
                <w:szCs w:val="20"/>
              </w:rPr>
              <w:t xml:space="preserve"> to its moving daily average net assets.  If this ratio is less than 0.45 %, the Corporate CU must submit a retained earnings accumulation plan to NCUA for approval.</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159FF88"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54ACF47F"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0A2CA22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6D5568D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00A4D70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24</w:t>
            </w:r>
          </w:p>
        </w:tc>
        <w:tc>
          <w:tcPr>
            <w:tcW w:w="990" w:type="dxa"/>
            <w:tcBorders>
              <w:top w:val="nil"/>
              <w:left w:val="nil"/>
              <w:bottom w:val="single" w:sz="4" w:space="0" w:color="auto"/>
              <w:right w:val="single" w:sz="12" w:space="0" w:color="auto"/>
            </w:tcBorders>
            <w:shd w:val="clear" w:color="auto" w:fill="auto"/>
            <w:vAlign w:val="center"/>
            <w:hideMark/>
          </w:tcPr>
          <w:p w14:paraId="4EDAF5C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24</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4114786A"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24</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495C4FA0"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r>
      <w:tr w:rsidR="00026AFA" w:rsidRPr="00026AFA" w14:paraId="2F3FA4FF" w14:textId="77777777" w:rsidTr="00026AFA">
        <w:trPr>
          <w:trHeight w:val="153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21AB6CA5"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w:t>
            </w:r>
          </w:p>
        </w:tc>
        <w:tc>
          <w:tcPr>
            <w:tcW w:w="1371" w:type="dxa"/>
            <w:tcBorders>
              <w:top w:val="nil"/>
              <w:left w:val="nil"/>
              <w:bottom w:val="nil"/>
              <w:right w:val="single" w:sz="4" w:space="0" w:color="auto"/>
            </w:tcBorders>
            <w:shd w:val="clear" w:color="auto" w:fill="auto"/>
            <w:vAlign w:val="center"/>
            <w:hideMark/>
          </w:tcPr>
          <w:p w14:paraId="4873ACB7"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 xml:space="preserve">704.3(b)(5) </w:t>
            </w:r>
          </w:p>
        </w:tc>
        <w:tc>
          <w:tcPr>
            <w:tcW w:w="4950" w:type="dxa"/>
            <w:tcBorders>
              <w:top w:val="nil"/>
              <w:left w:val="nil"/>
              <w:bottom w:val="nil"/>
              <w:right w:val="single" w:sz="8" w:space="0" w:color="auto"/>
            </w:tcBorders>
            <w:shd w:val="clear" w:color="auto" w:fill="auto"/>
            <w:vAlign w:val="center"/>
            <w:hideMark/>
          </w:tcPr>
          <w:p w14:paraId="18B5B9DB" w14:textId="77777777" w:rsidR="00026AFA" w:rsidRPr="00026AFA" w:rsidRDefault="00026AFA" w:rsidP="00241B9E">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Notice of Intent to Redeem or Call Contributed Capital.  A Corporate CU may redeem NCAs (non</w:t>
            </w:r>
            <w:r w:rsidR="00EC52D2">
              <w:rPr>
                <w:rFonts w:ascii="Arial Narrow" w:eastAsia="Times New Roman" w:hAnsi="Arial Narrow" w:cs="Calibri"/>
                <w:color w:val="000000"/>
                <w:sz w:val="20"/>
                <w:szCs w:val="20"/>
              </w:rPr>
              <w:t>-</w:t>
            </w:r>
            <w:r w:rsidRPr="00026AFA">
              <w:rPr>
                <w:rFonts w:ascii="Arial Narrow" w:eastAsia="Times New Roman" w:hAnsi="Arial Narrow" w:cs="Calibri"/>
                <w:color w:val="000000"/>
                <w:sz w:val="20"/>
                <w:szCs w:val="20"/>
              </w:rPr>
              <w:t>perpetual capital accounts) prior to maturity or prior to the end of the notice period only if it meets its min. required capital and net economic value ratios after the funds are redeemed and only with the prior approval of NCUA and,  for state chartered Corp</w:t>
            </w:r>
            <w:r w:rsidR="00EC52D2">
              <w:rPr>
                <w:rFonts w:ascii="Arial Narrow" w:eastAsia="Times New Roman" w:hAnsi="Arial Narrow" w:cs="Calibri"/>
                <w:color w:val="000000"/>
                <w:sz w:val="20"/>
                <w:szCs w:val="20"/>
              </w:rPr>
              <w:t xml:space="preserve"> </w:t>
            </w:r>
            <w:r w:rsidRPr="00026AFA">
              <w:rPr>
                <w:rFonts w:ascii="Arial Narrow" w:eastAsia="Times New Roman" w:hAnsi="Arial Narrow" w:cs="Calibri"/>
                <w:color w:val="000000"/>
                <w:sz w:val="20"/>
                <w:szCs w:val="20"/>
              </w:rPr>
              <w:t>CUs, the applicable state regulator.</w:t>
            </w:r>
          </w:p>
        </w:tc>
        <w:tc>
          <w:tcPr>
            <w:tcW w:w="1080" w:type="dxa"/>
            <w:tcBorders>
              <w:top w:val="nil"/>
              <w:left w:val="nil"/>
              <w:bottom w:val="nil"/>
              <w:right w:val="single" w:sz="12" w:space="0" w:color="auto"/>
            </w:tcBorders>
            <w:shd w:val="clear" w:color="auto" w:fill="auto"/>
            <w:vAlign w:val="center"/>
            <w:hideMark/>
          </w:tcPr>
          <w:p w14:paraId="0EA7C414"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nil"/>
              <w:bottom w:val="nil"/>
              <w:right w:val="single" w:sz="4" w:space="0" w:color="auto"/>
            </w:tcBorders>
            <w:shd w:val="clear" w:color="auto" w:fill="auto"/>
            <w:vAlign w:val="center"/>
            <w:hideMark/>
          </w:tcPr>
          <w:p w14:paraId="5519EB9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11</w:t>
            </w:r>
          </w:p>
        </w:tc>
        <w:tc>
          <w:tcPr>
            <w:tcW w:w="990" w:type="dxa"/>
            <w:tcBorders>
              <w:top w:val="nil"/>
              <w:left w:val="nil"/>
              <w:bottom w:val="single" w:sz="4" w:space="0" w:color="000000"/>
              <w:right w:val="single" w:sz="4" w:space="0" w:color="000000"/>
            </w:tcBorders>
            <w:shd w:val="clear" w:color="auto" w:fill="auto"/>
            <w:vAlign w:val="center"/>
            <w:hideMark/>
          </w:tcPr>
          <w:p w14:paraId="5E70B04A"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2427E0F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11</w:t>
            </w:r>
          </w:p>
        </w:tc>
        <w:tc>
          <w:tcPr>
            <w:tcW w:w="900" w:type="dxa"/>
            <w:tcBorders>
              <w:top w:val="nil"/>
              <w:left w:val="nil"/>
              <w:bottom w:val="single" w:sz="4" w:space="0" w:color="000000"/>
              <w:right w:val="single" w:sz="4" w:space="0" w:color="auto"/>
            </w:tcBorders>
            <w:shd w:val="clear" w:color="auto" w:fill="auto"/>
            <w:vAlign w:val="center"/>
            <w:hideMark/>
          </w:tcPr>
          <w:p w14:paraId="28ED8A7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0.5</w:t>
            </w:r>
          </w:p>
        </w:tc>
        <w:tc>
          <w:tcPr>
            <w:tcW w:w="990" w:type="dxa"/>
            <w:tcBorders>
              <w:top w:val="nil"/>
              <w:left w:val="nil"/>
              <w:bottom w:val="single" w:sz="4" w:space="0" w:color="auto"/>
              <w:right w:val="single" w:sz="12" w:space="0" w:color="auto"/>
            </w:tcBorders>
            <w:shd w:val="clear" w:color="auto" w:fill="auto"/>
            <w:vAlign w:val="center"/>
            <w:hideMark/>
          </w:tcPr>
          <w:p w14:paraId="3BE6D0C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5.5</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20E517D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6</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0FCFBAD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-0.5</w:t>
            </w:r>
          </w:p>
        </w:tc>
      </w:tr>
      <w:tr w:rsidR="00026AFA" w:rsidRPr="00026AFA" w14:paraId="449FFEA0" w14:textId="77777777" w:rsidTr="00026AFA">
        <w:trPr>
          <w:trHeight w:val="102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37A98AC7"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3</w:t>
            </w:r>
          </w:p>
        </w:tc>
        <w:tc>
          <w:tcPr>
            <w:tcW w:w="1371" w:type="dxa"/>
            <w:tcBorders>
              <w:top w:val="single" w:sz="4" w:space="0" w:color="auto"/>
              <w:left w:val="nil"/>
              <w:bottom w:val="nil"/>
              <w:right w:val="single" w:sz="4" w:space="0" w:color="auto"/>
            </w:tcBorders>
            <w:shd w:val="clear" w:color="auto" w:fill="auto"/>
            <w:vAlign w:val="center"/>
            <w:hideMark/>
          </w:tcPr>
          <w:p w14:paraId="7E3DBA59"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704.3(c)(3)</w:t>
            </w:r>
          </w:p>
        </w:tc>
        <w:tc>
          <w:tcPr>
            <w:tcW w:w="4950" w:type="dxa"/>
            <w:tcBorders>
              <w:top w:val="single" w:sz="4" w:space="0" w:color="auto"/>
              <w:left w:val="nil"/>
              <w:bottom w:val="single" w:sz="4" w:space="0" w:color="auto"/>
              <w:right w:val="nil"/>
            </w:tcBorders>
            <w:shd w:val="clear" w:color="auto" w:fill="auto"/>
            <w:vAlign w:val="center"/>
            <w:hideMark/>
          </w:tcPr>
          <w:p w14:paraId="2122E22B"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 xml:space="preserve">A Corporate CU may call PCC instruments only if it meets its minimum required capital and net economic value ratios after the funds are called and only with the prior approval of the NCUA and, for state chartered Corp CU, the applicable state regulator. </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24B4C95"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single" w:sz="4" w:space="0" w:color="auto"/>
              <w:left w:val="single" w:sz="12" w:space="0" w:color="auto"/>
              <w:bottom w:val="single" w:sz="4" w:space="0" w:color="000000"/>
              <w:right w:val="single" w:sz="4" w:space="0" w:color="auto"/>
            </w:tcBorders>
            <w:shd w:val="clear" w:color="auto" w:fill="auto"/>
            <w:vAlign w:val="center"/>
            <w:hideMark/>
          </w:tcPr>
          <w:p w14:paraId="2DC5DC7A"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1AA800D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3A34639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06DD4F8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auto"/>
              <w:right w:val="single" w:sz="12" w:space="0" w:color="auto"/>
            </w:tcBorders>
            <w:shd w:val="clear" w:color="auto" w:fill="auto"/>
            <w:vAlign w:val="center"/>
            <w:hideMark/>
          </w:tcPr>
          <w:p w14:paraId="7340C64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17049D7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271AA7B1"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r>
      <w:tr w:rsidR="00026AFA" w:rsidRPr="00026AFA" w14:paraId="79556988"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48F82B59"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4</w:t>
            </w:r>
          </w:p>
        </w:tc>
        <w:tc>
          <w:tcPr>
            <w:tcW w:w="1371" w:type="dxa"/>
            <w:tcBorders>
              <w:top w:val="single" w:sz="4" w:space="0" w:color="auto"/>
              <w:left w:val="nil"/>
              <w:bottom w:val="nil"/>
              <w:right w:val="single" w:sz="4" w:space="0" w:color="auto"/>
            </w:tcBorders>
            <w:shd w:val="clear" w:color="auto" w:fill="auto"/>
            <w:vAlign w:val="center"/>
            <w:hideMark/>
          </w:tcPr>
          <w:p w14:paraId="73A3CC65"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704.3(d)(4)(iii)</w:t>
            </w:r>
          </w:p>
        </w:tc>
        <w:tc>
          <w:tcPr>
            <w:tcW w:w="4950" w:type="dxa"/>
            <w:tcBorders>
              <w:top w:val="nil"/>
              <w:left w:val="nil"/>
              <w:bottom w:val="single" w:sz="4" w:space="0" w:color="auto"/>
              <w:right w:val="nil"/>
            </w:tcBorders>
            <w:shd w:val="clear" w:color="auto" w:fill="auto"/>
            <w:vAlign w:val="center"/>
            <w:hideMark/>
          </w:tcPr>
          <w:p w14:paraId="6DE54170"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NCUA will notify the Corporate CU if a minimum capital requirement is necessary, the Corporate CU must prov</w:t>
            </w:r>
            <w:r w:rsidR="00EC52D2">
              <w:rPr>
                <w:rFonts w:ascii="Arial Narrow" w:eastAsia="Times New Roman" w:hAnsi="Arial Narrow" w:cs="Calibri"/>
                <w:color w:val="000000"/>
                <w:sz w:val="20"/>
                <w:szCs w:val="20"/>
              </w:rPr>
              <w:t>ide any information, in writing</w:t>
            </w:r>
            <w:r w:rsidRPr="00026AFA">
              <w:rPr>
                <w:rFonts w:ascii="Arial Narrow" w:eastAsia="Times New Roman" w:hAnsi="Arial Narrow" w:cs="Calibri"/>
                <w:color w:val="000000"/>
                <w:sz w:val="20"/>
                <w:szCs w:val="20"/>
              </w:rPr>
              <w:t xml:space="preserve">, for consideration by NCUA in their determination.  </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0F0C648B"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6979EFE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05F54EB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2EDA1F4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00EF656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auto"/>
              <w:right w:val="single" w:sz="12" w:space="0" w:color="auto"/>
            </w:tcBorders>
            <w:shd w:val="clear" w:color="auto" w:fill="auto"/>
            <w:vAlign w:val="center"/>
            <w:hideMark/>
          </w:tcPr>
          <w:p w14:paraId="7B11DC22"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7736FBA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13608831"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r>
      <w:tr w:rsidR="00026AFA" w:rsidRPr="00026AFA" w14:paraId="2C17A123" w14:textId="77777777" w:rsidTr="00026AFA">
        <w:trPr>
          <w:trHeight w:val="51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5CBE8D47"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5</w:t>
            </w:r>
          </w:p>
        </w:tc>
        <w:tc>
          <w:tcPr>
            <w:tcW w:w="1371" w:type="dxa"/>
            <w:tcBorders>
              <w:top w:val="single" w:sz="4" w:space="0" w:color="auto"/>
              <w:left w:val="nil"/>
              <w:bottom w:val="nil"/>
              <w:right w:val="single" w:sz="4" w:space="0" w:color="auto"/>
            </w:tcBorders>
            <w:shd w:val="clear" w:color="auto" w:fill="auto"/>
            <w:vAlign w:val="center"/>
            <w:hideMark/>
          </w:tcPr>
          <w:p w14:paraId="153EB4D6"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704.3(d)(4)(vi)</w:t>
            </w:r>
          </w:p>
        </w:tc>
        <w:tc>
          <w:tcPr>
            <w:tcW w:w="4950" w:type="dxa"/>
            <w:tcBorders>
              <w:top w:val="nil"/>
              <w:left w:val="nil"/>
              <w:bottom w:val="single" w:sz="4" w:space="0" w:color="auto"/>
              <w:right w:val="nil"/>
            </w:tcBorders>
            <w:shd w:val="clear" w:color="auto" w:fill="auto"/>
            <w:vAlign w:val="center"/>
            <w:hideMark/>
          </w:tcPr>
          <w:p w14:paraId="21AC39A1"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A Corporate CU may request, in writing, an informal hearing of actions involving the minimum capital requirement.</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672B9EB1"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0F73D7E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6A2E6619"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110FBB3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238E7A5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auto"/>
              <w:right w:val="single" w:sz="12" w:space="0" w:color="auto"/>
            </w:tcBorders>
            <w:shd w:val="clear" w:color="auto" w:fill="auto"/>
            <w:vAlign w:val="center"/>
            <w:hideMark/>
          </w:tcPr>
          <w:p w14:paraId="2BF8F08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0830C52A"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5208865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r>
      <w:tr w:rsidR="00026AFA" w:rsidRPr="00026AFA" w14:paraId="1BA5612A" w14:textId="77777777" w:rsidTr="00026AFA">
        <w:trPr>
          <w:trHeight w:val="102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218D7F27"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6</w:t>
            </w:r>
          </w:p>
        </w:tc>
        <w:tc>
          <w:tcPr>
            <w:tcW w:w="1371" w:type="dxa"/>
            <w:tcBorders>
              <w:top w:val="single" w:sz="4" w:space="0" w:color="auto"/>
              <w:left w:val="nil"/>
              <w:bottom w:val="nil"/>
              <w:right w:val="single" w:sz="4" w:space="0" w:color="auto"/>
            </w:tcBorders>
            <w:shd w:val="clear" w:color="auto" w:fill="auto"/>
            <w:vAlign w:val="center"/>
            <w:hideMark/>
          </w:tcPr>
          <w:p w14:paraId="4C53C0ED"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704.3(e)(4)</w:t>
            </w:r>
          </w:p>
        </w:tc>
        <w:tc>
          <w:tcPr>
            <w:tcW w:w="4950" w:type="dxa"/>
            <w:tcBorders>
              <w:top w:val="nil"/>
              <w:left w:val="nil"/>
              <w:bottom w:val="single" w:sz="4" w:space="0" w:color="auto"/>
              <w:right w:val="nil"/>
            </w:tcBorders>
            <w:shd w:val="clear" w:color="auto" w:fill="auto"/>
            <w:vAlign w:val="center"/>
            <w:hideMark/>
          </w:tcPr>
          <w:p w14:paraId="441D220F" w14:textId="77777777" w:rsidR="00026AFA" w:rsidRPr="00026AFA" w:rsidRDefault="00026AFA" w:rsidP="00241B9E">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 xml:space="preserve">Before taking any action under this para e [reservation of authority], NCUA will provide the </w:t>
            </w:r>
            <w:r w:rsidR="00241B9E">
              <w:rPr>
                <w:rFonts w:ascii="Arial Narrow" w:eastAsia="Times New Roman" w:hAnsi="Arial Narrow" w:cs="Calibri"/>
                <w:color w:val="000000"/>
                <w:sz w:val="20"/>
                <w:szCs w:val="20"/>
              </w:rPr>
              <w:t>Corporate</w:t>
            </w:r>
            <w:r w:rsidRPr="00026AFA">
              <w:rPr>
                <w:rFonts w:ascii="Arial Narrow" w:eastAsia="Times New Roman" w:hAnsi="Arial Narrow" w:cs="Calibri"/>
                <w:color w:val="000000"/>
                <w:sz w:val="20"/>
                <w:szCs w:val="20"/>
              </w:rPr>
              <w:t xml:space="preserve"> CU with written notice of the intended action and the reasons for such action. The </w:t>
            </w:r>
            <w:r w:rsidR="00241B9E">
              <w:rPr>
                <w:rFonts w:ascii="Arial Narrow" w:eastAsia="Times New Roman" w:hAnsi="Arial Narrow" w:cs="Calibri"/>
                <w:color w:val="000000"/>
                <w:sz w:val="20"/>
                <w:szCs w:val="20"/>
              </w:rPr>
              <w:t>Corporate</w:t>
            </w:r>
            <w:r w:rsidRPr="00026AFA">
              <w:rPr>
                <w:rFonts w:ascii="Arial Narrow" w:eastAsia="Times New Roman" w:hAnsi="Arial Narrow" w:cs="Calibri"/>
                <w:color w:val="000000"/>
                <w:sz w:val="20"/>
                <w:szCs w:val="20"/>
              </w:rPr>
              <w:t xml:space="preserve"> CU will have 7 days to provide the NCUA with a written response.</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2CB06ABF"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06FBFE4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0C578C71"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15B394EF"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25654C0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auto"/>
              <w:right w:val="single" w:sz="12" w:space="0" w:color="auto"/>
            </w:tcBorders>
            <w:shd w:val="clear" w:color="auto" w:fill="auto"/>
            <w:vAlign w:val="center"/>
            <w:hideMark/>
          </w:tcPr>
          <w:p w14:paraId="3A233D2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74EED8D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0A02773F"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r>
      <w:tr w:rsidR="00026AFA" w:rsidRPr="00026AFA" w14:paraId="1B393C52"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328D415B"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7</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70110344"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704.4 (b)(3)</w:t>
            </w:r>
          </w:p>
        </w:tc>
        <w:tc>
          <w:tcPr>
            <w:tcW w:w="4950" w:type="dxa"/>
            <w:tcBorders>
              <w:top w:val="nil"/>
              <w:left w:val="nil"/>
              <w:bottom w:val="single" w:sz="4" w:space="0" w:color="auto"/>
              <w:right w:val="nil"/>
            </w:tcBorders>
            <w:shd w:val="clear" w:color="auto" w:fill="auto"/>
            <w:vAlign w:val="center"/>
            <w:hideMark/>
          </w:tcPr>
          <w:p w14:paraId="57B74548"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 xml:space="preserve">Prompt corrective action.  Any group of CUs applying for a new Corporate CU charter will submit, as part of the charter application, a detailed draft plan for soliciting contributed capital and building retained earnings. </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2CE9C57B" w14:textId="77777777" w:rsidR="00026AFA" w:rsidRPr="00026AFA" w:rsidRDefault="00026AFA" w:rsidP="00026AFA">
            <w:pPr>
              <w:spacing w:after="0" w:line="240" w:lineRule="auto"/>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1F49CFD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6DB7EC0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43E6E930"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0C8CC110"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auto"/>
              <w:right w:val="single" w:sz="12" w:space="0" w:color="auto"/>
            </w:tcBorders>
            <w:shd w:val="clear" w:color="auto" w:fill="auto"/>
            <w:vAlign w:val="center"/>
            <w:hideMark/>
          </w:tcPr>
          <w:p w14:paraId="0ED74880"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74050720"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7FEF526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r>
      <w:tr w:rsidR="00026AFA" w:rsidRPr="00026AFA" w14:paraId="53B1AC81"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7DCBD5D9"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8</w:t>
            </w:r>
          </w:p>
        </w:tc>
        <w:tc>
          <w:tcPr>
            <w:tcW w:w="1371" w:type="dxa"/>
            <w:tcBorders>
              <w:top w:val="nil"/>
              <w:left w:val="nil"/>
              <w:bottom w:val="single" w:sz="4" w:space="0" w:color="auto"/>
              <w:right w:val="single" w:sz="4" w:space="0" w:color="auto"/>
            </w:tcBorders>
            <w:shd w:val="clear" w:color="auto" w:fill="auto"/>
            <w:vAlign w:val="center"/>
            <w:hideMark/>
          </w:tcPr>
          <w:p w14:paraId="0FD7F1A7"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704.4 (c)(2)</w:t>
            </w:r>
          </w:p>
        </w:tc>
        <w:tc>
          <w:tcPr>
            <w:tcW w:w="4950" w:type="dxa"/>
            <w:tcBorders>
              <w:top w:val="nil"/>
              <w:left w:val="nil"/>
              <w:bottom w:val="single" w:sz="4" w:space="0" w:color="auto"/>
              <w:right w:val="nil"/>
            </w:tcBorders>
            <w:shd w:val="clear" w:color="auto" w:fill="auto"/>
            <w:vAlign w:val="center"/>
            <w:hideMark/>
          </w:tcPr>
          <w:p w14:paraId="6A5E450B"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Notice of PCA Category Change.  A Corporate CU must provide the NCUA with written notice that an adjustment to the Corporate CU’s capital category may have occurred.</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3D8BABBC"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324824F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14BFC1A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1B74B89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67D9ACE0"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w:t>
            </w:r>
          </w:p>
        </w:tc>
        <w:tc>
          <w:tcPr>
            <w:tcW w:w="990" w:type="dxa"/>
            <w:tcBorders>
              <w:top w:val="nil"/>
              <w:left w:val="nil"/>
              <w:bottom w:val="single" w:sz="4" w:space="0" w:color="auto"/>
              <w:right w:val="single" w:sz="12" w:space="0" w:color="auto"/>
            </w:tcBorders>
            <w:shd w:val="clear" w:color="auto" w:fill="auto"/>
            <w:vAlign w:val="center"/>
            <w:hideMark/>
          </w:tcPr>
          <w:p w14:paraId="24CA0689"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7569849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6C10985A"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r>
    </w:tbl>
    <w:p w14:paraId="4A7362E4" w14:textId="6A3752FA" w:rsidR="00B327CD" w:rsidRDefault="00B327CD">
      <w:r>
        <w:br w:type="page"/>
      </w:r>
    </w:p>
    <w:p w14:paraId="6777285E" w14:textId="14112DAA" w:rsidR="00B327CD" w:rsidRDefault="00B327CD"/>
    <w:tbl>
      <w:tblPr>
        <w:tblW w:w="14310" w:type="dxa"/>
        <w:tblInd w:w="-95" w:type="dxa"/>
        <w:tblLayout w:type="fixed"/>
        <w:tblLook w:val="04A0" w:firstRow="1" w:lastRow="0" w:firstColumn="1" w:lastColumn="0" w:noHBand="0" w:noVBand="1"/>
      </w:tblPr>
      <w:tblGrid>
        <w:gridCol w:w="429"/>
        <w:gridCol w:w="1371"/>
        <w:gridCol w:w="4950"/>
        <w:gridCol w:w="1080"/>
        <w:gridCol w:w="900"/>
        <w:gridCol w:w="990"/>
        <w:gridCol w:w="900"/>
        <w:gridCol w:w="900"/>
        <w:gridCol w:w="990"/>
        <w:gridCol w:w="900"/>
        <w:gridCol w:w="900"/>
      </w:tblGrid>
      <w:tr w:rsidR="00B327CD" w:rsidRPr="00026AFA" w14:paraId="7225C25B" w14:textId="77777777" w:rsidTr="00B327CD">
        <w:trPr>
          <w:cantSplit/>
          <w:trHeight w:val="980"/>
        </w:trPr>
        <w:tc>
          <w:tcPr>
            <w:tcW w:w="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72C3E8EC" w14:textId="77777777" w:rsidR="00B327CD" w:rsidRPr="00B327CD" w:rsidRDefault="00B327CD" w:rsidP="00B327CD">
            <w:pPr>
              <w:spacing w:after="0" w:line="240" w:lineRule="auto"/>
              <w:ind w:left="113" w:right="113"/>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Line Item</w:t>
            </w:r>
          </w:p>
        </w:tc>
        <w:tc>
          <w:tcPr>
            <w:tcW w:w="1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CB8AA9" w14:textId="77777777" w:rsidR="00B327CD" w:rsidRPr="00B327CD" w:rsidRDefault="00B327CD" w:rsidP="00B327CD">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12 CFR</w:t>
            </w:r>
          </w:p>
        </w:tc>
        <w:tc>
          <w:tcPr>
            <w:tcW w:w="4950" w:type="dxa"/>
            <w:tcBorders>
              <w:top w:val="single" w:sz="4" w:space="0" w:color="auto"/>
              <w:left w:val="nil"/>
              <w:bottom w:val="single" w:sz="4" w:space="0" w:color="auto"/>
              <w:right w:val="nil"/>
            </w:tcBorders>
            <w:shd w:val="clear" w:color="auto" w:fill="D9D9D9" w:themeFill="background1" w:themeFillShade="D9"/>
            <w:vAlign w:val="center"/>
            <w:hideMark/>
          </w:tcPr>
          <w:p w14:paraId="7B936901" w14:textId="77777777" w:rsidR="00B327CD" w:rsidRPr="00B327CD" w:rsidRDefault="00B327CD" w:rsidP="00B327CD">
            <w:pPr>
              <w:spacing w:after="0" w:line="240" w:lineRule="auto"/>
              <w:jc w:val="center"/>
              <w:rPr>
                <w:rFonts w:ascii="Arial Narrow" w:eastAsia="Times New Roman" w:hAnsi="Arial Narrow" w:cs="Calibri"/>
                <w:color w:val="000000"/>
                <w:sz w:val="18"/>
                <w:szCs w:val="18"/>
              </w:rPr>
            </w:pPr>
            <w:r w:rsidRPr="00B327CD">
              <w:rPr>
                <w:rFonts w:ascii="Arial Narrow" w:eastAsia="Times New Roman" w:hAnsi="Arial Narrow" w:cs="Calibri"/>
                <w:color w:val="000000"/>
                <w:sz w:val="18"/>
                <w:szCs w:val="18"/>
              </w:rPr>
              <w:t>Activity</w:t>
            </w:r>
          </w:p>
        </w:tc>
        <w:tc>
          <w:tcPr>
            <w:tcW w:w="108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613055FB" w14:textId="77777777" w:rsidR="00B327CD" w:rsidRPr="00B327CD" w:rsidRDefault="00B327CD" w:rsidP="00B327CD">
            <w:pPr>
              <w:spacing w:after="0" w:line="240" w:lineRule="auto"/>
              <w:jc w:val="center"/>
              <w:rPr>
                <w:rFonts w:ascii="Arial Narrow" w:eastAsia="Times New Roman" w:hAnsi="Arial Narrow" w:cs="Calibri"/>
                <w:color w:val="000000"/>
                <w:sz w:val="18"/>
                <w:szCs w:val="18"/>
              </w:rPr>
            </w:pPr>
            <w:r w:rsidRPr="00B327CD">
              <w:rPr>
                <w:rFonts w:ascii="Arial Narrow" w:eastAsia="Times New Roman" w:hAnsi="Arial Narrow" w:cs="Calibri"/>
                <w:color w:val="000000"/>
                <w:sz w:val="18"/>
                <w:szCs w:val="18"/>
              </w:rPr>
              <w:t>Type of Burden</w:t>
            </w:r>
          </w:p>
        </w:tc>
        <w:tc>
          <w:tcPr>
            <w:tcW w:w="900"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165F5986" w14:textId="77777777" w:rsidR="00B327CD" w:rsidRPr="00B327CD" w:rsidRDefault="00B327CD" w:rsidP="00B327CD">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 Respon- dents</w:t>
            </w:r>
          </w:p>
        </w:tc>
        <w:tc>
          <w:tcPr>
            <w:tcW w:w="990"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14:paraId="62FA2D43" w14:textId="77777777" w:rsidR="00B327CD" w:rsidRPr="005E54E7" w:rsidRDefault="00B327CD" w:rsidP="00B327CD">
            <w:pPr>
              <w:spacing w:after="0" w:line="240" w:lineRule="auto"/>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 Responses Per Respondent</w:t>
            </w:r>
          </w:p>
        </w:tc>
        <w:tc>
          <w:tcPr>
            <w:tcW w:w="900"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14:paraId="32A75D66" w14:textId="77777777" w:rsidR="00B327CD" w:rsidRPr="005E54E7" w:rsidRDefault="00B327CD" w:rsidP="00B327CD">
            <w:pPr>
              <w:spacing w:after="0" w:line="240" w:lineRule="auto"/>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 Annual Responses</w:t>
            </w:r>
          </w:p>
        </w:tc>
        <w:tc>
          <w:tcPr>
            <w:tcW w:w="900" w:type="dxa"/>
            <w:tcBorders>
              <w:top w:val="single" w:sz="4" w:space="0" w:color="auto"/>
              <w:left w:val="nil"/>
              <w:bottom w:val="single" w:sz="4" w:space="0" w:color="000000"/>
              <w:right w:val="single" w:sz="4" w:space="0" w:color="auto"/>
            </w:tcBorders>
            <w:shd w:val="clear" w:color="auto" w:fill="D9D9D9" w:themeFill="background1" w:themeFillShade="D9"/>
            <w:vAlign w:val="center"/>
            <w:hideMark/>
          </w:tcPr>
          <w:p w14:paraId="59B6E7C5" w14:textId="77777777" w:rsidR="00B327CD" w:rsidRPr="00B327CD" w:rsidRDefault="00B327CD" w:rsidP="00B327CD">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Hours Per Response</w:t>
            </w:r>
          </w:p>
        </w:tc>
        <w:tc>
          <w:tcPr>
            <w:tcW w:w="990"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58E668FA" w14:textId="77777777" w:rsidR="00B327CD" w:rsidRPr="00B327CD" w:rsidRDefault="00B327CD" w:rsidP="00B327CD">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TOTAL BURDEN</w:t>
            </w:r>
          </w:p>
        </w:tc>
        <w:tc>
          <w:tcPr>
            <w:tcW w:w="900" w:type="dxa"/>
            <w:tcBorders>
              <w:top w:val="single" w:sz="4" w:space="0" w:color="auto"/>
              <w:left w:val="single" w:sz="12" w:space="0" w:color="auto"/>
              <w:bottom w:val="single" w:sz="4" w:space="0" w:color="auto"/>
              <w:right w:val="single" w:sz="4" w:space="0" w:color="auto"/>
            </w:tcBorders>
            <w:shd w:val="clear" w:color="000000" w:fill="E2EFDA"/>
            <w:vAlign w:val="center"/>
            <w:hideMark/>
          </w:tcPr>
          <w:p w14:paraId="1A5614B1" w14:textId="77777777" w:rsidR="00B327CD" w:rsidRPr="00B327CD" w:rsidRDefault="00B327CD" w:rsidP="00B327CD">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Previously Approved</w:t>
            </w:r>
          </w:p>
        </w:tc>
        <w:tc>
          <w:tcPr>
            <w:tcW w:w="90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36483EB" w14:textId="4AB5FF09" w:rsidR="00B327CD" w:rsidRPr="00B327CD" w:rsidRDefault="00B327CD" w:rsidP="005E54E7">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 xml:space="preserve">Difference </w:t>
            </w:r>
          </w:p>
        </w:tc>
      </w:tr>
      <w:tr w:rsidR="00026AFA" w:rsidRPr="00026AFA" w14:paraId="06193DB5"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6233BBC9" w14:textId="36FE0786"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9</w:t>
            </w:r>
          </w:p>
        </w:tc>
        <w:tc>
          <w:tcPr>
            <w:tcW w:w="1371" w:type="dxa"/>
            <w:tcBorders>
              <w:top w:val="nil"/>
              <w:left w:val="nil"/>
              <w:bottom w:val="single" w:sz="4" w:space="0" w:color="auto"/>
              <w:right w:val="single" w:sz="4" w:space="0" w:color="auto"/>
            </w:tcBorders>
            <w:shd w:val="clear" w:color="auto" w:fill="auto"/>
            <w:vAlign w:val="center"/>
            <w:hideMark/>
          </w:tcPr>
          <w:p w14:paraId="75B7EF93"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704.4 (e)(1)(i)</w:t>
            </w:r>
          </w:p>
        </w:tc>
        <w:tc>
          <w:tcPr>
            <w:tcW w:w="4950" w:type="dxa"/>
            <w:tcBorders>
              <w:top w:val="nil"/>
              <w:left w:val="nil"/>
              <w:bottom w:val="single" w:sz="4" w:space="0" w:color="auto"/>
              <w:right w:val="nil"/>
            </w:tcBorders>
            <w:shd w:val="clear" w:color="auto" w:fill="auto"/>
            <w:vAlign w:val="center"/>
            <w:hideMark/>
          </w:tcPr>
          <w:p w14:paraId="2C6EC746"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Capital Restoration Plan. A Corporate CU must file a written capital restoration plan with NCUA 45 days after r</w:t>
            </w:r>
            <w:r>
              <w:rPr>
                <w:rFonts w:ascii="Arial Narrow" w:eastAsia="Times New Roman" w:hAnsi="Arial Narrow" w:cs="Calibri"/>
                <w:color w:val="000000"/>
                <w:sz w:val="20"/>
                <w:szCs w:val="20"/>
              </w:rPr>
              <w:t>eceives notice that it is under-</w:t>
            </w:r>
            <w:r w:rsidRPr="00026AFA">
              <w:rPr>
                <w:rFonts w:ascii="Arial Narrow" w:eastAsia="Times New Roman" w:hAnsi="Arial Narrow" w:cs="Calibri"/>
                <w:color w:val="000000"/>
                <w:sz w:val="20"/>
                <w:szCs w:val="20"/>
              </w:rPr>
              <w:t>capitalized, significantly undercapitalized, or critically undercapitalized.</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30DF9F6C"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0DF3C7A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5C3F2E34"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7EDC673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68719402"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40</w:t>
            </w:r>
          </w:p>
        </w:tc>
        <w:tc>
          <w:tcPr>
            <w:tcW w:w="990" w:type="dxa"/>
            <w:tcBorders>
              <w:top w:val="nil"/>
              <w:left w:val="nil"/>
              <w:bottom w:val="single" w:sz="4" w:space="0" w:color="auto"/>
              <w:right w:val="single" w:sz="12" w:space="0" w:color="auto"/>
            </w:tcBorders>
            <w:shd w:val="clear" w:color="auto" w:fill="auto"/>
            <w:vAlign w:val="center"/>
            <w:hideMark/>
          </w:tcPr>
          <w:p w14:paraId="6847EC8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40</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2A494AF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58CE86E1"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r>
      <w:tr w:rsidR="00026AFA" w:rsidRPr="00026AFA" w14:paraId="0156388A" w14:textId="77777777" w:rsidTr="00026AFA">
        <w:trPr>
          <w:trHeight w:val="51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19160368"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10</w:t>
            </w:r>
          </w:p>
        </w:tc>
        <w:tc>
          <w:tcPr>
            <w:tcW w:w="1371" w:type="dxa"/>
            <w:tcBorders>
              <w:top w:val="nil"/>
              <w:left w:val="nil"/>
              <w:bottom w:val="single" w:sz="4" w:space="0" w:color="auto"/>
              <w:right w:val="single" w:sz="4" w:space="0" w:color="auto"/>
            </w:tcBorders>
            <w:shd w:val="clear" w:color="auto" w:fill="auto"/>
            <w:noWrap/>
            <w:vAlign w:val="center"/>
            <w:hideMark/>
          </w:tcPr>
          <w:p w14:paraId="7C8D5F5B"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704.4 (e)(5)</w:t>
            </w:r>
          </w:p>
        </w:tc>
        <w:tc>
          <w:tcPr>
            <w:tcW w:w="4950" w:type="dxa"/>
            <w:tcBorders>
              <w:top w:val="nil"/>
              <w:left w:val="nil"/>
              <w:bottom w:val="single" w:sz="4" w:space="0" w:color="auto"/>
              <w:right w:val="nil"/>
            </w:tcBorders>
            <w:shd w:val="clear" w:color="auto" w:fill="auto"/>
            <w:vAlign w:val="center"/>
            <w:hideMark/>
          </w:tcPr>
          <w:p w14:paraId="56901733"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Disapproval of capital plan.  If the NCUA does not approve a capital restoration plan, the Corporate CU must submit a revised CRP, when directed.</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70D6E427"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vMerge w:val="restart"/>
            <w:tcBorders>
              <w:top w:val="nil"/>
              <w:left w:val="single" w:sz="12" w:space="0" w:color="auto"/>
              <w:bottom w:val="single" w:sz="12" w:space="0" w:color="auto"/>
              <w:right w:val="single" w:sz="4" w:space="0" w:color="auto"/>
            </w:tcBorders>
            <w:shd w:val="clear" w:color="auto" w:fill="auto"/>
            <w:vAlign w:val="center"/>
            <w:hideMark/>
          </w:tcPr>
          <w:p w14:paraId="7EFBAA32"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vMerge w:val="restart"/>
            <w:tcBorders>
              <w:top w:val="nil"/>
              <w:left w:val="single" w:sz="4" w:space="0" w:color="auto"/>
              <w:bottom w:val="single" w:sz="12" w:space="0" w:color="auto"/>
              <w:right w:val="single" w:sz="4" w:space="0" w:color="000000"/>
            </w:tcBorders>
            <w:shd w:val="clear" w:color="auto" w:fill="auto"/>
            <w:vAlign w:val="center"/>
            <w:hideMark/>
          </w:tcPr>
          <w:p w14:paraId="17BD2E1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vMerge w:val="restart"/>
            <w:tcBorders>
              <w:top w:val="nil"/>
              <w:left w:val="single" w:sz="4" w:space="0" w:color="000000"/>
              <w:bottom w:val="single" w:sz="12" w:space="0" w:color="auto"/>
              <w:right w:val="single" w:sz="4" w:space="0" w:color="000000"/>
            </w:tcBorders>
            <w:shd w:val="clear" w:color="auto" w:fill="auto"/>
            <w:vAlign w:val="center"/>
            <w:hideMark/>
          </w:tcPr>
          <w:p w14:paraId="4F9DC77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vMerge w:val="restart"/>
            <w:tcBorders>
              <w:top w:val="nil"/>
              <w:left w:val="single" w:sz="4" w:space="0" w:color="000000"/>
              <w:bottom w:val="single" w:sz="12" w:space="0" w:color="auto"/>
              <w:right w:val="single" w:sz="4" w:space="0" w:color="auto"/>
            </w:tcBorders>
            <w:shd w:val="clear" w:color="auto" w:fill="auto"/>
            <w:vAlign w:val="center"/>
            <w:hideMark/>
          </w:tcPr>
          <w:p w14:paraId="72F96F39"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24</w:t>
            </w:r>
          </w:p>
        </w:tc>
        <w:tc>
          <w:tcPr>
            <w:tcW w:w="990" w:type="dxa"/>
            <w:vMerge w:val="restart"/>
            <w:tcBorders>
              <w:top w:val="nil"/>
              <w:left w:val="single" w:sz="4" w:space="0" w:color="auto"/>
              <w:bottom w:val="single" w:sz="12" w:space="0" w:color="auto"/>
              <w:right w:val="single" w:sz="12" w:space="0" w:color="auto"/>
            </w:tcBorders>
            <w:shd w:val="clear" w:color="auto" w:fill="auto"/>
            <w:vAlign w:val="center"/>
            <w:hideMark/>
          </w:tcPr>
          <w:p w14:paraId="662CE5DA"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40</w:t>
            </w:r>
          </w:p>
        </w:tc>
        <w:tc>
          <w:tcPr>
            <w:tcW w:w="900" w:type="dxa"/>
            <w:vMerge w:val="restart"/>
            <w:tcBorders>
              <w:top w:val="single" w:sz="4" w:space="0" w:color="auto"/>
              <w:left w:val="single" w:sz="12" w:space="0" w:color="auto"/>
              <w:bottom w:val="single" w:sz="12" w:space="0" w:color="auto"/>
              <w:right w:val="single" w:sz="4" w:space="0" w:color="auto"/>
            </w:tcBorders>
            <w:shd w:val="clear" w:color="000000" w:fill="E2EFDA"/>
            <w:vAlign w:val="center"/>
            <w:hideMark/>
          </w:tcPr>
          <w:p w14:paraId="637AB7A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vMerge w:val="restart"/>
            <w:tcBorders>
              <w:top w:val="nil"/>
              <w:left w:val="single" w:sz="4" w:space="0" w:color="auto"/>
              <w:bottom w:val="single" w:sz="12" w:space="0" w:color="auto"/>
              <w:right w:val="single" w:sz="4" w:space="0" w:color="auto"/>
            </w:tcBorders>
            <w:shd w:val="clear" w:color="000000" w:fill="FCE4D6"/>
            <w:vAlign w:val="center"/>
            <w:hideMark/>
          </w:tcPr>
          <w:p w14:paraId="75E5861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40</w:t>
            </w:r>
          </w:p>
        </w:tc>
      </w:tr>
      <w:tr w:rsidR="00026AFA" w:rsidRPr="00026AFA" w14:paraId="67FE05E0" w14:textId="77777777" w:rsidTr="00026AFA">
        <w:trPr>
          <w:trHeight w:val="510"/>
        </w:trPr>
        <w:tc>
          <w:tcPr>
            <w:tcW w:w="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3B64F"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11</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6635ED09"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704.4 (e)(7)</w:t>
            </w:r>
          </w:p>
        </w:tc>
        <w:tc>
          <w:tcPr>
            <w:tcW w:w="4950" w:type="dxa"/>
            <w:tcBorders>
              <w:top w:val="single" w:sz="4" w:space="0" w:color="auto"/>
              <w:left w:val="nil"/>
              <w:bottom w:val="single" w:sz="4" w:space="0" w:color="auto"/>
              <w:right w:val="nil"/>
            </w:tcBorders>
            <w:shd w:val="clear" w:color="auto" w:fill="auto"/>
            <w:vAlign w:val="center"/>
            <w:hideMark/>
          </w:tcPr>
          <w:p w14:paraId="3DD34CA2"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 xml:space="preserve">Amendment of capital plan.  A Corporate CU that has filed an approved capital restoration plan may amend the plan to reflect a change in circumstance. </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2FBEF0"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vMerge/>
            <w:tcBorders>
              <w:top w:val="single" w:sz="12" w:space="0" w:color="auto"/>
              <w:left w:val="single" w:sz="12" w:space="0" w:color="auto"/>
              <w:bottom w:val="single" w:sz="4" w:space="0" w:color="000000"/>
              <w:right w:val="single" w:sz="4" w:space="0" w:color="auto"/>
            </w:tcBorders>
            <w:vAlign w:val="center"/>
            <w:hideMark/>
          </w:tcPr>
          <w:p w14:paraId="38BCE018" w14:textId="77777777" w:rsidR="00026AFA" w:rsidRPr="00026AFA" w:rsidRDefault="00026AFA" w:rsidP="00026AFA">
            <w:pPr>
              <w:spacing w:after="0" w:line="240" w:lineRule="auto"/>
              <w:rPr>
                <w:rFonts w:ascii="Arial" w:eastAsia="Times New Roman" w:hAnsi="Arial" w:cs="Arial"/>
                <w:color w:val="000000"/>
                <w:sz w:val="18"/>
                <w:szCs w:val="18"/>
              </w:rPr>
            </w:pPr>
          </w:p>
        </w:tc>
        <w:tc>
          <w:tcPr>
            <w:tcW w:w="990" w:type="dxa"/>
            <w:vMerge/>
            <w:tcBorders>
              <w:top w:val="single" w:sz="12" w:space="0" w:color="auto"/>
              <w:left w:val="single" w:sz="4" w:space="0" w:color="auto"/>
              <w:bottom w:val="single" w:sz="4" w:space="0" w:color="000000"/>
              <w:right w:val="single" w:sz="4" w:space="0" w:color="000000"/>
            </w:tcBorders>
            <w:vAlign w:val="center"/>
            <w:hideMark/>
          </w:tcPr>
          <w:p w14:paraId="40EDC991" w14:textId="77777777" w:rsidR="00026AFA" w:rsidRPr="00026AFA" w:rsidRDefault="00026AFA" w:rsidP="00026AFA">
            <w:pPr>
              <w:spacing w:after="0" w:line="240" w:lineRule="auto"/>
              <w:rPr>
                <w:rFonts w:ascii="Arial" w:eastAsia="Times New Roman" w:hAnsi="Arial" w:cs="Arial"/>
                <w:color w:val="000000"/>
                <w:sz w:val="18"/>
                <w:szCs w:val="18"/>
              </w:rPr>
            </w:pPr>
          </w:p>
        </w:tc>
        <w:tc>
          <w:tcPr>
            <w:tcW w:w="900" w:type="dxa"/>
            <w:vMerge/>
            <w:tcBorders>
              <w:top w:val="single" w:sz="12" w:space="0" w:color="auto"/>
              <w:left w:val="single" w:sz="4" w:space="0" w:color="000000"/>
              <w:bottom w:val="single" w:sz="4" w:space="0" w:color="000000"/>
              <w:right w:val="single" w:sz="4" w:space="0" w:color="000000"/>
            </w:tcBorders>
            <w:vAlign w:val="center"/>
            <w:hideMark/>
          </w:tcPr>
          <w:p w14:paraId="7D5A9923" w14:textId="77777777" w:rsidR="00026AFA" w:rsidRPr="00026AFA" w:rsidRDefault="00026AFA" w:rsidP="00026AFA">
            <w:pPr>
              <w:spacing w:after="0" w:line="240" w:lineRule="auto"/>
              <w:rPr>
                <w:rFonts w:ascii="Arial" w:eastAsia="Times New Roman" w:hAnsi="Arial" w:cs="Arial"/>
                <w:color w:val="000000"/>
                <w:sz w:val="18"/>
                <w:szCs w:val="18"/>
              </w:rPr>
            </w:pPr>
          </w:p>
        </w:tc>
        <w:tc>
          <w:tcPr>
            <w:tcW w:w="900" w:type="dxa"/>
            <w:vMerge/>
            <w:tcBorders>
              <w:top w:val="single" w:sz="12" w:space="0" w:color="auto"/>
              <w:left w:val="single" w:sz="4" w:space="0" w:color="000000"/>
              <w:bottom w:val="single" w:sz="4" w:space="0" w:color="000000"/>
              <w:right w:val="single" w:sz="4" w:space="0" w:color="auto"/>
            </w:tcBorders>
            <w:vAlign w:val="center"/>
            <w:hideMark/>
          </w:tcPr>
          <w:p w14:paraId="17B1CF46" w14:textId="77777777" w:rsidR="00026AFA" w:rsidRPr="00026AFA" w:rsidRDefault="00026AFA" w:rsidP="00026AFA">
            <w:pPr>
              <w:spacing w:after="0" w:line="240" w:lineRule="auto"/>
              <w:rPr>
                <w:rFonts w:ascii="Arial" w:eastAsia="Times New Roman" w:hAnsi="Arial" w:cs="Arial"/>
                <w:color w:val="000000"/>
                <w:sz w:val="18"/>
                <w:szCs w:val="18"/>
              </w:rPr>
            </w:pPr>
          </w:p>
        </w:tc>
        <w:tc>
          <w:tcPr>
            <w:tcW w:w="990" w:type="dxa"/>
            <w:vMerge/>
            <w:tcBorders>
              <w:top w:val="single" w:sz="12" w:space="0" w:color="auto"/>
              <w:left w:val="single" w:sz="4" w:space="0" w:color="auto"/>
              <w:bottom w:val="single" w:sz="4" w:space="0" w:color="auto"/>
              <w:right w:val="single" w:sz="12" w:space="0" w:color="auto"/>
            </w:tcBorders>
            <w:vAlign w:val="center"/>
            <w:hideMark/>
          </w:tcPr>
          <w:p w14:paraId="1B697823" w14:textId="77777777" w:rsidR="00026AFA" w:rsidRPr="00026AFA" w:rsidRDefault="00026AFA" w:rsidP="00026AFA">
            <w:pPr>
              <w:spacing w:after="0" w:line="240" w:lineRule="auto"/>
              <w:rPr>
                <w:rFonts w:ascii="Arial" w:eastAsia="Times New Roman" w:hAnsi="Arial" w:cs="Arial"/>
                <w:color w:val="000000"/>
                <w:sz w:val="18"/>
                <w:szCs w:val="18"/>
              </w:rPr>
            </w:pPr>
          </w:p>
        </w:tc>
        <w:tc>
          <w:tcPr>
            <w:tcW w:w="900" w:type="dxa"/>
            <w:vMerge/>
            <w:tcBorders>
              <w:top w:val="single" w:sz="12" w:space="0" w:color="auto"/>
              <w:left w:val="single" w:sz="12" w:space="0" w:color="auto"/>
              <w:bottom w:val="single" w:sz="4" w:space="0" w:color="000000"/>
              <w:right w:val="single" w:sz="4" w:space="0" w:color="auto"/>
            </w:tcBorders>
            <w:vAlign w:val="center"/>
            <w:hideMark/>
          </w:tcPr>
          <w:p w14:paraId="3832AA09" w14:textId="77777777" w:rsidR="00026AFA" w:rsidRPr="00026AFA" w:rsidRDefault="00026AFA" w:rsidP="00026AFA">
            <w:pPr>
              <w:spacing w:after="0" w:line="240" w:lineRule="auto"/>
              <w:rPr>
                <w:rFonts w:ascii="Arial" w:eastAsia="Times New Roman" w:hAnsi="Arial" w:cs="Arial"/>
                <w:color w:val="000000"/>
                <w:sz w:val="18"/>
                <w:szCs w:val="18"/>
              </w:rPr>
            </w:pPr>
          </w:p>
        </w:tc>
        <w:tc>
          <w:tcPr>
            <w:tcW w:w="900" w:type="dxa"/>
            <w:vMerge/>
            <w:tcBorders>
              <w:top w:val="single" w:sz="12" w:space="0" w:color="auto"/>
              <w:left w:val="single" w:sz="4" w:space="0" w:color="auto"/>
              <w:bottom w:val="single" w:sz="4" w:space="0" w:color="000000"/>
              <w:right w:val="single" w:sz="4" w:space="0" w:color="auto"/>
            </w:tcBorders>
            <w:vAlign w:val="center"/>
            <w:hideMark/>
          </w:tcPr>
          <w:p w14:paraId="0AB1F483" w14:textId="77777777" w:rsidR="00026AFA" w:rsidRPr="00026AFA" w:rsidRDefault="00026AFA" w:rsidP="00026AFA">
            <w:pPr>
              <w:spacing w:after="0" w:line="240" w:lineRule="auto"/>
              <w:rPr>
                <w:rFonts w:ascii="Arial" w:eastAsia="Times New Roman" w:hAnsi="Arial" w:cs="Arial"/>
                <w:color w:val="000000"/>
                <w:sz w:val="18"/>
                <w:szCs w:val="18"/>
              </w:rPr>
            </w:pPr>
          </w:p>
        </w:tc>
      </w:tr>
      <w:tr w:rsidR="00026AFA" w:rsidRPr="00026AFA" w14:paraId="748705F5" w14:textId="77777777" w:rsidTr="00026AFA">
        <w:trPr>
          <w:trHeight w:val="109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17345CBC"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12</w:t>
            </w:r>
          </w:p>
        </w:tc>
        <w:tc>
          <w:tcPr>
            <w:tcW w:w="1371" w:type="dxa"/>
            <w:tcBorders>
              <w:top w:val="nil"/>
              <w:left w:val="nil"/>
              <w:bottom w:val="single" w:sz="4" w:space="0" w:color="auto"/>
              <w:right w:val="single" w:sz="4" w:space="0" w:color="auto"/>
            </w:tcBorders>
            <w:shd w:val="clear" w:color="auto" w:fill="auto"/>
            <w:vAlign w:val="center"/>
            <w:hideMark/>
          </w:tcPr>
          <w:p w14:paraId="4ED66386" w14:textId="77777777" w:rsid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704.4</w:t>
            </w:r>
          </w:p>
          <w:p w14:paraId="11B4F39C" w14:textId="77777777" w:rsid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(k)(3)(iii)(A)</w:t>
            </w:r>
          </w:p>
          <w:p w14:paraId="65F258AC"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(1)&amp;(2)</w:t>
            </w:r>
          </w:p>
        </w:tc>
        <w:tc>
          <w:tcPr>
            <w:tcW w:w="4950" w:type="dxa"/>
            <w:tcBorders>
              <w:top w:val="nil"/>
              <w:left w:val="nil"/>
              <w:bottom w:val="single" w:sz="4" w:space="0" w:color="auto"/>
              <w:right w:val="nil"/>
            </w:tcBorders>
            <w:shd w:val="clear" w:color="auto" w:fill="auto"/>
            <w:vAlign w:val="center"/>
            <w:hideMark/>
          </w:tcPr>
          <w:p w14:paraId="1D40B6BF"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The Corporate CU is prohibited from doing any of the following without the prior written approval of the NCUA: (1) Pay any bonus or profit-sharing to any senior executive officer. (2) Provide compensation to any senior executive officer at a rate exceeding that officer’s average rate of compensation.</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56AF8551"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269A5CA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0AE13F8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7E4F9F4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4F9E09D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auto"/>
              <w:right w:val="single" w:sz="12" w:space="0" w:color="auto"/>
            </w:tcBorders>
            <w:shd w:val="clear" w:color="auto" w:fill="auto"/>
            <w:vAlign w:val="center"/>
            <w:hideMark/>
          </w:tcPr>
          <w:p w14:paraId="7CED170F"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single" w:sz="4" w:space="0" w:color="auto"/>
              <w:left w:val="single" w:sz="12" w:space="0" w:color="auto"/>
              <w:bottom w:val="single" w:sz="4" w:space="0" w:color="auto"/>
              <w:right w:val="single" w:sz="4" w:space="0" w:color="auto"/>
            </w:tcBorders>
            <w:shd w:val="clear" w:color="000000" w:fill="E2EFDA"/>
            <w:vAlign w:val="center"/>
            <w:hideMark/>
          </w:tcPr>
          <w:p w14:paraId="2E9A87FF"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79600AB0"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r>
      <w:tr w:rsidR="00026AFA" w:rsidRPr="00026AFA" w14:paraId="6FFE9644" w14:textId="77777777" w:rsidTr="00026AFA">
        <w:trPr>
          <w:trHeight w:val="64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7AFC8A4D"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13</w:t>
            </w:r>
          </w:p>
        </w:tc>
        <w:tc>
          <w:tcPr>
            <w:tcW w:w="1371" w:type="dxa"/>
            <w:tcBorders>
              <w:top w:val="nil"/>
              <w:left w:val="nil"/>
              <w:bottom w:val="single" w:sz="4" w:space="0" w:color="auto"/>
              <w:right w:val="single" w:sz="4" w:space="0" w:color="auto"/>
            </w:tcBorders>
            <w:shd w:val="clear" w:color="auto" w:fill="auto"/>
            <w:vAlign w:val="center"/>
            <w:hideMark/>
          </w:tcPr>
          <w:p w14:paraId="4552A761"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704.4(k)(6)(ii)</w:t>
            </w:r>
          </w:p>
        </w:tc>
        <w:tc>
          <w:tcPr>
            <w:tcW w:w="4950" w:type="dxa"/>
            <w:tcBorders>
              <w:top w:val="nil"/>
              <w:left w:val="nil"/>
              <w:bottom w:val="single" w:sz="4" w:space="0" w:color="auto"/>
              <w:right w:val="nil"/>
            </w:tcBorders>
            <w:shd w:val="clear" w:color="auto" w:fill="auto"/>
            <w:vAlign w:val="center"/>
            <w:hideMark/>
          </w:tcPr>
          <w:p w14:paraId="0EEC1460"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Restrictive activities of critically undercapitalized Corp CU - prohibits activities without prior written approval from NCUA described in para (A) thru (F)</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11D65C14"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67971D64"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2B4F730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21FC840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6F61A1A9"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auto"/>
              <w:right w:val="single" w:sz="12" w:space="0" w:color="auto"/>
            </w:tcBorders>
            <w:shd w:val="clear" w:color="auto" w:fill="auto"/>
            <w:vAlign w:val="center"/>
            <w:hideMark/>
          </w:tcPr>
          <w:p w14:paraId="0F83B52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4ACA3EA9"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4BD2C5E4"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r>
      <w:tr w:rsidR="00026AFA" w:rsidRPr="00026AFA" w14:paraId="1122F776"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14D791C3"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14</w:t>
            </w:r>
          </w:p>
        </w:tc>
        <w:tc>
          <w:tcPr>
            <w:tcW w:w="1371" w:type="dxa"/>
            <w:tcBorders>
              <w:top w:val="nil"/>
              <w:left w:val="nil"/>
              <w:bottom w:val="single" w:sz="4" w:space="0" w:color="auto"/>
              <w:right w:val="single" w:sz="4" w:space="0" w:color="auto"/>
            </w:tcBorders>
            <w:shd w:val="clear" w:color="auto" w:fill="auto"/>
            <w:vAlign w:val="center"/>
            <w:hideMark/>
          </w:tcPr>
          <w:p w14:paraId="2CFF9E6A"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704.8(j)(1)(ii)</w:t>
            </w:r>
          </w:p>
        </w:tc>
        <w:tc>
          <w:tcPr>
            <w:tcW w:w="4950" w:type="dxa"/>
            <w:tcBorders>
              <w:top w:val="nil"/>
              <w:left w:val="nil"/>
              <w:bottom w:val="single" w:sz="4" w:space="0" w:color="auto"/>
              <w:right w:val="nil"/>
            </w:tcBorders>
            <w:shd w:val="clear" w:color="auto" w:fill="auto"/>
            <w:vAlign w:val="center"/>
            <w:hideMark/>
          </w:tcPr>
          <w:p w14:paraId="656D014D"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ALM Testing.  Limit breaches.   If the Corporate CU cannot adjust its balance sheet within 10 calendar days after detection by the corporate, the corporate must notify NCUA in writing.</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21D7DB0A"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70FACFF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610945E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3BCC26B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21F5BB8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w:t>
            </w:r>
          </w:p>
        </w:tc>
        <w:tc>
          <w:tcPr>
            <w:tcW w:w="990" w:type="dxa"/>
            <w:tcBorders>
              <w:top w:val="nil"/>
              <w:left w:val="nil"/>
              <w:bottom w:val="single" w:sz="4" w:space="0" w:color="auto"/>
              <w:right w:val="single" w:sz="12" w:space="0" w:color="auto"/>
            </w:tcBorders>
            <w:shd w:val="clear" w:color="auto" w:fill="auto"/>
            <w:vAlign w:val="center"/>
            <w:hideMark/>
          </w:tcPr>
          <w:p w14:paraId="6B2818B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7C48E2D1"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133270E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r>
      <w:tr w:rsidR="00026AFA" w:rsidRPr="00026AFA" w14:paraId="47B37CE6"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057C28A9"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15</w:t>
            </w:r>
          </w:p>
        </w:tc>
        <w:tc>
          <w:tcPr>
            <w:tcW w:w="1371" w:type="dxa"/>
            <w:tcBorders>
              <w:top w:val="nil"/>
              <w:left w:val="nil"/>
              <w:bottom w:val="single" w:sz="4" w:space="0" w:color="auto"/>
              <w:right w:val="single" w:sz="4" w:space="0" w:color="auto"/>
            </w:tcBorders>
            <w:shd w:val="clear" w:color="auto" w:fill="auto"/>
            <w:vAlign w:val="center"/>
            <w:hideMark/>
          </w:tcPr>
          <w:p w14:paraId="0730971E"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704.8(j)(2)(i)</w:t>
            </w:r>
          </w:p>
        </w:tc>
        <w:tc>
          <w:tcPr>
            <w:tcW w:w="4950" w:type="dxa"/>
            <w:tcBorders>
              <w:top w:val="nil"/>
              <w:left w:val="nil"/>
              <w:bottom w:val="single" w:sz="4" w:space="0" w:color="auto"/>
              <w:right w:val="nil"/>
            </w:tcBorders>
            <w:shd w:val="clear" w:color="auto" w:fill="auto"/>
            <w:vAlign w:val="center"/>
            <w:hideMark/>
          </w:tcPr>
          <w:p w14:paraId="6E220475"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If any breach described in para (j)(1) of this selection persists for 30 or more calendar days, the Corp CU must immediately submit a detailed written action plan to the NCUA.</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2A11DCF0"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nil"/>
              <w:right w:val="single" w:sz="4" w:space="0" w:color="auto"/>
            </w:tcBorders>
            <w:shd w:val="clear" w:color="auto" w:fill="auto"/>
            <w:vAlign w:val="center"/>
            <w:hideMark/>
          </w:tcPr>
          <w:p w14:paraId="0A55B45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nil"/>
              <w:right w:val="single" w:sz="4" w:space="0" w:color="000000"/>
            </w:tcBorders>
            <w:shd w:val="clear" w:color="auto" w:fill="auto"/>
            <w:vAlign w:val="center"/>
            <w:hideMark/>
          </w:tcPr>
          <w:p w14:paraId="14F4163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nil"/>
              <w:right w:val="single" w:sz="4" w:space="0" w:color="000000"/>
            </w:tcBorders>
            <w:shd w:val="clear" w:color="auto" w:fill="auto"/>
            <w:vAlign w:val="center"/>
            <w:hideMark/>
          </w:tcPr>
          <w:p w14:paraId="7305270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nil"/>
              <w:right w:val="single" w:sz="4" w:space="0" w:color="auto"/>
            </w:tcBorders>
            <w:shd w:val="clear" w:color="auto" w:fill="auto"/>
            <w:vAlign w:val="center"/>
            <w:hideMark/>
          </w:tcPr>
          <w:p w14:paraId="27B80D3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16</w:t>
            </w:r>
          </w:p>
        </w:tc>
        <w:tc>
          <w:tcPr>
            <w:tcW w:w="990" w:type="dxa"/>
            <w:tcBorders>
              <w:top w:val="nil"/>
              <w:left w:val="nil"/>
              <w:bottom w:val="single" w:sz="4" w:space="0" w:color="auto"/>
              <w:right w:val="single" w:sz="12" w:space="0" w:color="auto"/>
            </w:tcBorders>
            <w:shd w:val="clear" w:color="auto" w:fill="auto"/>
            <w:vAlign w:val="center"/>
            <w:hideMark/>
          </w:tcPr>
          <w:p w14:paraId="5ADFDB9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16</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58F8C75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5B041C0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16</w:t>
            </w:r>
          </w:p>
        </w:tc>
      </w:tr>
      <w:tr w:rsidR="00026AFA" w:rsidRPr="00026AFA" w14:paraId="724EB093" w14:textId="77777777" w:rsidTr="00026AFA">
        <w:trPr>
          <w:trHeight w:val="102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4BCB6D47"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16</w:t>
            </w:r>
          </w:p>
        </w:tc>
        <w:tc>
          <w:tcPr>
            <w:tcW w:w="1371" w:type="dxa"/>
            <w:tcBorders>
              <w:top w:val="nil"/>
              <w:left w:val="nil"/>
              <w:bottom w:val="single" w:sz="4" w:space="0" w:color="auto"/>
              <w:right w:val="single" w:sz="4" w:space="0" w:color="auto"/>
            </w:tcBorders>
            <w:shd w:val="clear" w:color="auto" w:fill="auto"/>
            <w:vAlign w:val="center"/>
            <w:hideMark/>
          </w:tcPr>
          <w:p w14:paraId="562C21F2"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704.10(a)</w:t>
            </w:r>
          </w:p>
        </w:tc>
        <w:tc>
          <w:tcPr>
            <w:tcW w:w="4950" w:type="dxa"/>
            <w:tcBorders>
              <w:top w:val="nil"/>
              <w:left w:val="nil"/>
              <w:bottom w:val="single" w:sz="4" w:space="0" w:color="auto"/>
              <w:right w:val="nil"/>
            </w:tcBorders>
            <w:shd w:val="clear" w:color="auto" w:fill="auto"/>
            <w:vAlign w:val="center"/>
            <w:hideMark/>
          </w:tcPr>
          <w:p w14:paraId="761F22FE"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Investment Action Plan.  Any Corporate CU in possession of an investment that fails to meet a requirement of this part must report the failed investment to its board of directors, superv</w:t>
            </w:r>
            <w:r>
              <w:rPr>
                <w:rFonts w:ascii="Arial Narrow" w:eastAsia="Times New Roman" w:hAnsi="Arial Narrow" w:cs="Calibri"/>
                <w:color w:val="000000"/>
                <w:sz w:val="20"/>
                <w:szCs w:val="20"/>
              </w:rPr>
              <w:t xml:space="preserve">isory committee, and NCUA, and </w:t>
            </w:r>
            <w:r w:rsidRPr="00026AFA">
              <w:rPr>
                <w:rFonts w:ascii="Arial Narrow" w:eastAsia="Times New Roman" w:hAnsi="Arial Narrow" w:cs="Calibri"/>
                <w:color w:val="000000"/>
                <w:sz w:val="20"/>
                <w:szCs w:val="20"/>
              </w:rPr>
              <w:t xml:space="preserve">provide to NCUA a written action plan. </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238E6190"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single" w:sz="4" w:space="0" w:color="000000"/>
              <w:left w:val="single" w:sz="12" w:space="0" w:color="auto"/>
              <w:bottom w:val="single" w:sz="4" w:space="0" w:color="000000"/>
              <w:right w:val="single" w:sz="4" w:space="0" w:color="auto"/>
            </w:tcBorders>
            <w:shd w:val="clear" w:color="auto" w:fill="auto"/>
            <w:vAlign w:val="center"/>
            <w:hideMark/>
          </w:tcPr>
          <w:p w14:paraId="28418B62"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w:t>
            </w:r>
          </w:p>
        </w:tc>
        <w:tc>
          <w:tcPr>
            <w:tcW w:w="990" w:type="dxa"/>
            <w:tcBorders>
              <w:top w:val="single" w:sz="4" w:space="0" w:color="000000"/>
              <w:left w:val="nil"/>
              <w:bottom w:val="single" w:sz="4" w:space="0" w:color="000000"/>
              <w:right w:val="single" w:sz="4" w:space="0" w:color="000000"/>
            </w:tcBorders>
            <w:shd w:val="clear" w:color="auto" w:fill="auto"/>
            <w:vAlign w:val="center"/>
            <w:hideMark/>
          </w:tcPr>
          <w:p w14:paraId="758CFFA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3D3957D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w:t>
            </w:r>
          </w:p>
        </w:tc>
        <w:tc>
          <w:tcPr>
            <w:tcW w:w="900" w:type="dxa"/>
            <w:tcBorders>
              <w:top w:val="single" w:sz="4" w:space="0" w:color="000000"/>
              <w:left w:val="nil"/>
              <w:bottom w:val="single" w:sz="4" w:space="0" w:color="000000"/>
              <w:right w:val="single" w:sz="4" w:space="0" w:color="auto"/>
            </w:tcBorders>
            <w:shd w:val="clear" w:color="auto" w:fill="auto"/>
            <w:vAlign w:val="center"/>
            <w:hideMark/>
          </w:tcPr>
          <w:p w14:paraId="5BEC357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12</w:t>
            </w:r>
          </w:p>
        </w:tc>
        <w:tc>
          <w:tcPr>
            <w:tcW w:w="990" w:type="dxa"/>
            <w:tcBorders>
              <w:top w:val="nil"/>
              <w:left w:val="nil"/>
              <w:bottom w:val="single" w:sz="4" w:space="0" w:color="auto"/>
              <w:right w:val="single" w:sz="12" w:space="0" w:color="auto"/>
            </w:tcBorders>
            <w:shd w:val="clear" w:color="auto" w:fill="auto"/>
            <w:vAlign w:val="center"/>
            <w:hideMark/>
          </w:tcPr>
          <w:p w14:paraId="0FCBE5F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48</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1C41A5A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72</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1D7D7DC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-24</w:t>
            </w:r>
          </w:p>
        </w:tc>
      </w:tr>
      <w:tr w:rsidR="00026AFA" w:rsidRPr="00026AFA" w14:paraId="7EB0DFAD"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4FD8F894"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17</w:t>
            </w:r>
          </w:p>
        </w:tc>
        <w:tc>
          <w:tcPr>
            <w:tcW w:w="1371" w:type="dxa"/>
            <w:tcBorders>
              <w:top w:val="nil"/>
              <w:left w:val="nil"/>
              <w:bottom w:val="single" w:sz="4" w:space="0" w:color="auto"/>
              <w:right w:val="single" w:sz="4" w:space="0" w:color="auto"/>
            </w:tcBorders>
            <w:shd w:val="clear" w:color="auto" w:fill="auto"/>
            <w:vAlign w:val="center"/>
            <w:hideMark/>
          </w:tcPr>
          <w:p w14:paraId="51C5254C" w14:textId="77777777" w:rsid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704.11</w:t>
            </w:r>
          </w:p>
          <w:p w14:paraId="1334C528"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(e)(1)(ii)</w:t>
            </w:r>
          </w:p>
        </w:tc>
        <w:tc>
          <w:tcPr>
            <w:tcW w:w="4950" w:type="dxa"/>
            <w:tcBorders>
              <w:top w:val="nil"/>
              <w:left w:val="nil"/>
              <w:bottom w:val="single" w:sz="4" w:space="0" w:color="auto"/>
              <w:right w:val="nil"/>
            </w:tcBorders>
            <w:shd w:val="clear" w:color="auto" w:fill="auto"/>
            <w:vAlign w:val="center"/>
            <w:hideMark/>
          </w:tcPr>
          <w:p w14:paraId="6A7C3C43"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Corporate CUSO Approval.  Permissible activities.  A Corporate CUSO must agree to limit its activities to: (i) Brokerage services, (ii) Investment advisory services, and (iii) Other categories of activities as approved in writing by NCUA.</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3B20C10A"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729A694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28C5E864"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4B711A4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4D09B004"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w:t>
            </w:r>
          </w:p>
        </w:tc>
        <w:tc>
          <w:tcPr>
            <w:tcW w:w="990" w:type="dxa"/>
            <w:tcBorders>
              <w:top w:val="nil"/>
              <w:left w:val="nil"/>
              <w:bottom w:val="single" w:sz="4" w:space="0" w:color="auto"/>
              <w:right w:val="single" w:sz="12" w:space="0" w:color="auto"/>
            </w:tcBorders>
            <w:shd w:val="clear" w:color="auto" w:fill="auto"/>
            <w:vAlign w:val="center"/>
            <w:hideMark/>
          </w:tcPr>
          <w:p w14:paraId="07B2795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64E51FE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45057D9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r>
    </w:tbl>
    <w:p w14:paraId="420C452E" w14:textId="0EEE66EC" w:rsidR="00B327CD" w:rsidRDefault="00B327CD">
      <w:r>
        <w:br w:type="page"/>
      </w:r>
    </w:p>
    <w:tbl>
      <w:tblPr>
        <w:tblW w:w="14310" w:type="dxa"/>
        <w:tblInd w:w="-95" w:type="dxa"/>
        <w:tblLayout w:type="fixed"/>
        <w:tblLook w:val="04A0" w:firstRow="1" w:lastRow="0" w:firstColumn="1" w:lastColumn="0" w:noHBand="0" w:noVBand="1"/>
      </w:tblPr>
      <w:tblGrid>
        <w:gridCol w:w="429"/>
        <w:gridCol w:w="1371"/>
        <w:gridCol w:w="4950"/>
        <w:gridCol w:w="1080"/>
        <w:gridCol w:w="900"/>
        <w:gridCol w:w="990"/>
        <w:gridCol w:w="900"/>
        <w:gridCol w:w="900"/>
        <w:gridCol w:w="990"/>
        <w:gridCol w:w="900"/>
        <w:gridCol w:w="900"/>
      </w:tblGrid>
      <w:tr w:rsidR="00B327CD" w:rsidRPr="00026AFA" w14:paraId="7E372D30" w14:textId="77777777" w:rsidTr="005E54E7">
        <w:trPr>
          <w:cantSplit/>
          <w:trHeight w:val="900"/>
        </w:trPr>
        <w:tc>
          <w:tcPr>
            <w:tcW w:w="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58480488" w14:textId="77777777" w:rsidR="00B327CD" w:rsidRPr="00B327CD" w:rsidRDefault="00B327CD" w:rsidP="00B327CD">
            <w:pPr>
              <w:spacing w:after="0" w:line="240" w:lineRule="auto"/>
              <w:ind w:left="113" w:right="113"/>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Line Item</w:t>
            </w:r>
          </w:p>
        </w:tc>
        <w:tc>
          <w:tcPr>
            <w:tcW w:w="1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E2B58A" w14:textId="77777777" w:rsidR="00B327CD" w:rsidRPr="00B327CD" w:rsidRDefault="00B327CD" w:rsidP="00B327CD">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12 CFR</w:t>
            </w:r>
          </w:p>
        </w:tc>
        <w:tc>
          <w:tcPr>
            <w:tcW w:w="4950" w:type="dxa"/>
            <w:tcBorders>
              <w:top w:val="single" w:sz="4" w:space="0" w:color="auto"/>
              <w:left w:val="nil"/>
              <w:bottom w:val="single" w:sz="4" w:space="0" w:color="auto"/>
              <w:right w:val="nil"/>
            </w:tcBorders>
            <w:shd w:val="clear" w:color="auto" w:fill="D9D9D9" w:themeFill="background1" w:themeFillShade="D9"/>
            <w:vAlign w:val="center"/>
            <w:hideMark/>
          </w:tcPr>
          <w:p w14:paraId="5D5B4AB2" w14:textId="77777777" w:rsidR="00B327CD" w:rsidRPr="00B327CD" w:rsidRDefault="00B327CD" w:rsidP="00B327CD">
            <w:pPr>
              <w:spacing w:after="0" w:line="240" w:lineRule="auto"/>
              <w:jc w:val="center"/>
              <w:rPr>
                <w:rFonts w:ascii="Arial Narrow" w:eastAsia="Times New Roman" w:hAnsi="Arial Narrow" w:cs="Calibri"/>
                <w:color w:val="000000"/>
                <w:sz w:val="18"/>
                <w:szCs w:val="18"/>
              </w:rPr>
            </w:pPr>
            <w:r w:rsidRPr="00B327CD">
              <w:rPr>
                <w:rFonts w:ascii="Arial Narrow" w:eastAsia="Times New Roman" w:hAnsi="Arial Narrow" w:cs="Calibri"/>
                <w:color w:val="000000"/>
                <w:sz w:val="18"/>
                <w:szCs w:val="18"/>
              </w:rPr>
              <w:t>Activity</w:t>
            </w:r>
          </w:p>
        </w:tc>
        <w:tc>
          <w:tcPr>
            <w:tcW w:w="108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124D6728" w14:textId="77777777" w:rsidR="00B327CD" w:rsidRPr="00B327CD" w:rsidRDefault="00B327CD" w:rsidP="00B327CD">
            <w:pPr>
              <w:spacing w:after="0" w:line="240" w:lineRule="auto"/>
              <w:jc w:val="center"/>
              <w:rPr>
                <w:rFonts w:ascii="Arial Narrow" w:eastAsia="Times New Roman" w:hAnsi="Arial Narrow" w:cs="Calibri"/>
                <w:color w:val="000000"/>
                <w:sz w:val="18"/>
                <w:szCs w:val="18"/>
              </w:rPr>
            </w:pPr>
            <w:r w:rsidRPr="00B327CD">
              <w:rPr>
                <w:rFonts w:ascii="Arial Narrow" w:eastAsia="Times New Roman" w:hAnsi="Arial Narrow" w:cs="Calibri"/>
                <w:color w:val="000000"/>
                <w:sz w:val="18"/>
                <w:szCs w:val="18"/>
              </w:rPr>
              <w:t>Type of Burden</w:t>
            </w:r>
          </w:p>
        </w:tc>
        <w:tc>
          <w:tcPr>
            <w:tcW w:w="900"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noWrap/>
            <w:vAlign w:val="center"/>
            <w:hideMark/>
          </w:tcPr>
          <w:p w14:paraId="3E7B30DD" w14:textId="77777777" w:rsidR="00B327CD" w:rsidRPr="00B327CD" w:rsidRDefault="00B327CD" w:rsidP="00B327CD">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 Respon- dents</w:t>
            </w:r>
          </w:p>
        </w:tc>
        <w:tc>
          <w:tcPr>
            <w:tcW w:w="990" w:type="dxa"/>
            <w:tcBorders>
              <w:top w:val="single" w:sz="4" w:space="0" w:color="auto"/>
              <w:left w:val="nil"/>
              <w:bottom w:val="single" w:sz="4" w:space="0" w:color="000000"/>
              <w:right w:val="single" w:sz="4" w:space="0" w:color="000000"/>
            </w:tcBorders>
            <w:shd w:val="clear" w:color="auto" w:fill="D9D9D9" w:themeFill="background1" w:themeFillShade="D9"/>
            <w:noWrap/>
            <w:vAlign w:val="center"/>
            <w:hideMark/>
          </w:tcPr>
          <w:p w14:paraId="170E6521" w14:textId="77777777" w:rsidR="00B327CD" w:rsidRPr="005E54E7" w:rsidRDefault="00B327CD" w:rsidP="00B327CD">
            <w:pPr>
              <w:spacing w:after="0" w:line="240" w:lineRule="auto"/>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 Responses Per Respondent</w:t>
            </w:r>
          </w:p>
        </w:tc>
        <w:tc>
          <w:tcPr>
            <w:tcW w:w="900"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14:paraId="1E4A6A79" w14:textId="77777777" w:rsidR="00B327CD" w:rsidRPr="005E54E7" w:rsidRDefault="00B327CD" w:rsidP="00B327CD">
            <w:pPr>
              <w:spacing w:after="0" w:line="240" w:lineRule="auto"/>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 Annual Responses</w:t>
            </w:r>
          </w:p>
        </w:tc>
        <w:tc>
          <w:tcPr>
            <w:tcW w:w="900" w:type="dxa"/>
            <w:tcBorders>
              <w:top w:val="single" w:sz="4" w:space="0" w:color="auto"/>
              <w:left w:val="nil"/>
              <w:bottom w:val="single" w:sz="4" w:space="0" w:color="000000"/>
              <w:right w:val="single" w:sz="4" w:space="0" w:color="auto"/>
            </w:tcBorders>
            <w:shd w:val="clear" w:color="auto" w:fill="D9D9D9" w:themeFill="background1" w:themeFillShade="D9"/>
            <w:noWrap/>
            <w:vAlign w:val="center"/>
            <w:hideMark/>
          </w:tcPr>
          <w:p w14:paraId="27E36260" w14:textId="77777777" w:rsidR="00B327CD" w:rsidRPr="00B327CD" w:rsidRDefault="00B327CD" w:rsidP="00B327CD">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Hours Per Response</w:t>
            </w:r>
          </w:p>
        </w:tc>
        <w:tc>
          <w:tcPr>
            <w:tcW w:w="990"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5941BC1D" w14:textId="77777777" w:rsidR="00B327CD" w:rsidRPr="00B327CD" w:rsidRDefault="00B327CD" w:rsidP="00B327CD">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TOTAL BURDEN</w:t>
            </w:r>
          </w:p>
        </w:tc>
        <w:tc>
          <w:tcPr>
            <w:tcW w:w="900" w:type="dxa"/>
            <w:tcBorders>
              <w:top w:val="single" w:sz="4" w:space="0" w:color="auto"/>
              <w:left w:val="single" w:sz="12" w:space="0" w:color="auto"/>
              <w:bottom w:val="single" w:sz="4" w:space="0" w:color="auto"/>
              <w:right w:val="single" w:sz="4" w:space="0" w:color="auto"/>
            </w:tcBorders>
            <w:shd w:val="clear" w:color="000000" w:fill="E2EFDA"/>
            <w:vAlign w:val="center"/>
            <w:hideMark/>
          </w:tcPr>
          <w:p w14:paraId="49DA8A10" w14:textId="77777777" w:rsidR="00B327CD" w:rsidRPr="00B327CD" w:rsidRDefault="00B327CD" w:rsidP="00B327CD">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Previously Approved</w:t>
            </w:r>
          </w:p>
        </w:tc>
        <w:tc>
          <w:tcPr>
            <w:tcW w:w="90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5FEF665F" w14:textId="4D790138" w:rsidR="00B327CD" w:rsidRPr="00B327CD" w:rsidRDefault="00B327CD" w:rsidP="005E54E7">
            <w:pPr>
              <w:spacing w:after="0" w:line="240" w:lineRule="auto"/>
              <w:jc w:val="center"/>
              <w:rPr>
                <w:rFonts w:ascii="Arial Narrow" w:eastAsia="Times New Roman" w:hAnsi="Arial Narrow" w:cs="Arial"/>
                <w:color w:val="000000"/>
                <w:sz w:val="18"/>
                <w:szCs w:val="18"/>
              </w:rPr>
            </w:pPr>
            <w:r w:rsidRPr="00B327CD">
              <w:rPr>
                <w:rFonts w:ascii="Arial Narrow" w:eastAsia="Times New Roman" w:hAnsi="Arial Narrow" w:cs="Arial"/>
                <w:color w:val="000000"/>
                <w:sz w:val="18"/>
                <w:szCs w:val="18"/>
              </w:rPr>
              <w:t xml:space="preserve">Difference </w:t>
            </w:r>
          </w:p>
        </w:tc>
      </w:tr>
      <w:tr w:rsidR="00026AFA" w:rsidRPr="00026AFA" w14:paraId="7ACAB57D" w14:textId="77777777" w:rsidTr="00026AFA">
        <w:trPr>
          <w:trHeight w:val="153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6281E269" w14:textId="6F4B97D2"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18</w:t>
            </w:r>
          </w:p>
        </w:tc>
        <w:tc>
          <w:tcPr>
            <w:tcW w:w="1371" w:type="dxa"/>
            <w:tcBorders>
              <w:top w:val="nil"/>
              <w:left w:val="nil"/>
              <w:bottom w:val="single" w:sz="4" w:space="0" w:color="auto"/>
              <w:right w:val="single" w:sz="4" w:space="0" w:color="auto"/>
            </w:tcBorders>
            <w:shd w:val="clear" w:color="auto" w:fill="auto"/>
            <w:vAlign w:val="center"/>
            <w:hideMark/>
          </w:tcPr>
          <w:p w14:paraId="2BD7CC02"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704.11(g)(7)</w:t>
            </w:r>
          </w:p>
        </w:tc>
        <w:tc>
          <w:tcPr>
            <w:tcW w:w="4950" w:type="dxa"/>
            <w:tcBorders>
              <w:top w:val="nil"/>
              <w:left w:val="nil"/>
              <w:bottom w:val="single" w:sz="4" w:space="0" w:color="auto"/>
              <w:right w:val="nil"/>
            </w:tcBorders>
            <w:shd w:val="clear" w:color="auto" w:fill="auto"/>
            <w:vAlign w:val="center"/>
            <w:hideMark/>
          </w:tcPr>
          <w:p w14:paraId="10BA37DB"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Disclosure of Duel Employee Compensation. Prior to making an investment in or loan to a Corp CUSO, a Corporate CU must obtain a written agreement that the CUSO (7) will inform the corporate, at least quarterly, of all the compensation paid by the CUSO to its employees who are also employees of the corporate CU. [The FCU must retain a record from the CUSO stating that they w</w:t>
            </w:r>
            <w:r w:rsidR="00241B9E">
              <w:rPr>
                <w:rFonts w:ascii="Arial Narrow" w:eastAsia="Times New Roman" w:hAnsi="Arial Narrow" w:cs="Calibri"/>
                <w:color w:val="000000"/>
                <w:sz w:val="20"/>
                <w:szCs w:val="20"/>
              </w:rPr>
              <w:t>i</w:t>
            </w:r>
            <w:r w:rsidRPr="00026AFA">
              <w:rPr>
                <w:rFonts w:ascii="Arial Narrow" w:eastAsia="Times New Roman" w:hAnsi="Arial Narrow" w:cs="Calibri"/>
                <w:color w:val="000000"/>
                <w:sz w:val="20"/>
                <w:szCs w:val="20"/>
              </w:rPr>
              <w:t>ll inform FCUs on a quarterly basis.</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52FD78D7"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Record- keeping</w:t>
            </w:r>
          </w:p>
        </w:tc>
        <w:tc>
          <w:tcPr>
            <w:tcW w:w="900" w:type="dxa"/>
            <w:tcBorders>
              <w:top w:val="nil"/>
              <w:left w:val="single" w:sz="12" w:space="0" w:color="auto"/>
              <w:bottom w:val="single" w:sz="4" w:space="0" w:color="000000"/>
              <w:right w:val="single" w:sz="4" w:space="0" w:color="auto"/>
            </w:tcBorders>
            <w:shd w:val="clear" w:color="auto" w:fill="auto"/>
            <w:noWrap/>
            <w:vAlign w:val="center"/>
            <w:hideMark/>
          </w:tcPr>
          <w:p w14:paraId="6111B75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5</w:t>
            </w:r>
          </w:p>
        </w:tc>
        <w:tc>
          <w:tcPr>
            <w:tcW w:w="990" w:type="dxa"/>
            <w:tcBorders>
              <w:top w:val="nil"/>
              <w:left w:val="nil"/>
              <w:bottom w:val="single" w:sz="4" w:space="0" w:color="000000"/>
              <w:right w:val="single" w:sz="4" w:space="0" w:color="000000"/>
            </w:tcBorders>
            <w:shd w:val="clear" w:color="auto" w:fill="auto"/>
            <w:noWrap/>
            <w:vAlign w:val="center"/>
            <w:hideMark/>
          </w:tcPr>
          <w:p w14:paraId="7FB4036F"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37F4B050"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5</w:t>
            </w:r>
          </w:p>
        </w:tc>
        <w:tc>
          <w:tcPr>
            <w:tcW w:w="900" w:type="dxa"/>
            <w:tcBorders>
              <w:top w:val="nil"/>
              <w:left w:val="nil"/>
              <w:bottom w:val="single" w:sz="4" w:space="0" w:color="000000"/>
              <w:right w:val="single" w:sz="4" w:space="0" w:color="auto"/>
            </w:tcBorders>
            <w:shd w:val="clear" w:color="auto" w:fill="auto"/>
            <w:noWrap/>
            <w:vAlign w:val="center"/>
            <w:hideMark/>
          </w:tcPr>
          <w:p w14:paraId="411CB19F"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0.25</w:t>
            </w:r>
          </w:p>
        </w:tc>
        <w:tc>
          <w:tcPr>
            <w:tcW w:w="990" w:type="dxa"/>
            <w:tcBorders>
              <w:top w:val="nil"/>
              <w:left w:val="nil"/>
              <w:bottom w:val="single" w:sz="4" w:space="0" w:color="auto"/>
              <w:right w:val="single" w:sz="12" w:space="0" w:color="auto"/>
            </w:tcBorders>
            <w:shd w:val="clear" w:color="auto" w:fill="auto"/>
            <w:vAlign w:val="center"/>
            <w:hideMark/>
          </w:tcPr>
          <w:p w14:paraId="04D7025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1.25</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4780CA4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12</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32DD9C8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-10.75</w:t>
            </w:r>
          </w:p>
        </w:tc>
      </w:tr>
      <w:tr w:rsidR="00026AFA" w:rsidRPr="00026AFA" w14:paraId="690149D4"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4DA1836E"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19</w:t>
            </w:r>
          </w:p>
        </w:tc>
        <w:tc>
          <w:tcPr>
            <w:tcW w:w="1371" w:type="dxa"/>
            <w:tcBorders>
              <w:top w:val="nil"/>
              <w:left w:val="nil"/>
              <w:bottom w:val="single" w:sz="4" w:space="0" w:color="auto"/>
              <w:right w:val="single" w:sz="4" w:space="0" w:color="auto"/>
            </w:tcBorders>
            <w:shd w:val="clear" w:color="auto" w:fill="auto"/>
            <w:noWrap/>
            <w:vAlign w:val="center"/>
            <w:hideMark/>
          </w:tcPr>
          <w:p w14:paraId="483BF917"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704.12(b)(1)</w:t>
            </w:r>
          </w:p>
        </w:tc>
        <w:tc>
          <w:tcPr>
            <w:tcW w:w="4950" w:type="dxa"/>
            <w:tcBorders>
              <w:top w:val="nil"/>
              <w:left w:val="nil"/>
              <w:bottom w:val="single" w:sz="4" w:space="0" w:color="auto"/>
              <w:right w:val="nil"/>
            </w:tcBorders>
            <w:shd w:val="clear" w:color="auto" w:fill="auto"/>
            <w:vAlign w:val="center"/>
            <w:hideMark/>
          </w:tcPr>
          <w:p w14:paraId="3FCFB0EF"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 xml:space="preserve">Procedure for adding services that are not preapproved. To provide a service to its members that is not preapproved by NCUA: (1) A federal Corp CU must request approval from NCUA. </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1DC3A8E7"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auto"/>
              <w:right w:val="single" w:sz="4" w:space="0" w:color="auto"/>
            </w:tcBorders>
            <w:shd w:val="clear" w:color="auto" w:fill="auto"/>
            <w:noWrap/>
            <w:vAlign w:val="center"/>
            <w:hideMark/>
          </w:tcPr>
          <w:p w14:paraId="763364D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auto"/>
              <w:right w:val="single" w:sz="4" w:space="0" w:color="000000"/>
            </w:tcBorders>
            <w:shd w:val="clear" w:color="auto" w:fill="auto"/>
            <w:noWrap/>
            <w:vAlign w:val="center"/>
            <w:hideMark/>
          </w:tcPr>
          <w:p w14:paraId="2CB11594" w14:textId="77777777" w:rsidR="00026AFA" w:rsidRPr="007F610E" w:rsidRDefault="00026AFA" w:rsidP="007F610E">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auto"/>
              <w:right w:val="single" w:sz="4" w:space="0" w:color="000000"/>
            </w:tcBorders>
            <w:shd w:val="clear" w:color="auto" w:fill="auto"/>
            <w:noWrap/>
            <w:vAlign w:val="center"/>
            <w:hideMark/>
          </w:tcPr>
          <w:p w14:paraId="2095978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14:paraId="25E2B17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w:t>
            </w:r>
          </w:p>
        </w:tc>
        <w:tc>
          <w:tcPr>
            <w:tcW w:w="990" w:type="dxa"/>
            <w:tcBorders>
              <w:top w:val="nil"/>
              <w:left w:val="nil"/>
              <w:bottom w:val="single" w:sz="4" w:space="0" w:color="auto"/>
              <w:right w:val="single" w:sz="12" w:space="0" w:color="auto"/>
            </w:tcBorders>
            <w:shd w:val="clear" w:color="auto" w:fill="auto"/>
            <w:vAlign w:val="center"/>
            <w:hideMark/>
          </w:tcPr>
          <w:p w14:paraId="04BF0E81"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309C306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72F9821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w:t>
            </w:r>
          </w:p>
        </w:tc>
      </w:tr>
      <w:tr w:rsidR="00026AFA" w:rsidRPr="00026AFA" w14:paraId="7FFC4F9C" w14:textId="77777777" w:rsidTr="00026AFA">
        <w:trPr>
          <w:trHeight w:val="1365"/>
        </w:trPr>
        <w:tc>
          <w:tcPr>
            <w:tcW w:w="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8D5F9"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20</w:t>
            </w:r>
          </w:p>
        </w:tc>
        <w:tc>
          <w:tcPr>
            <w:tcW w:w="1371" w:type="dxa"/>
            <w:tcBorders>
              <w:top w:val="single" w:sz="4" w:space="0" w:color="auto"/>
              <w:left w:val="nil"/>
              <w:bottom w:val="nil"/>
              <w:right w:val="single" w:sz="4" w:space="0" w:color="auto"/>
            </w:tcBorders>
            <w:shd w:val="clear" w:color="auto" w:fill="auto"/>
            <w:noWrap/>
            <w:vAlign w:val="center"/>
            <w:hideMark/>
          </w:tcPr>
          <w:p w14:paraId="26659EDB"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704.13(c)(8)</w:t>
            </w:r>
          </w:p>
        </w:tc>
        <w:tc>
          <w:tcPr>
            <w:tcW w:w="4950" w:type="dxa"/>
            <w:tcBorders>
              <w:top w:val="single" w:sz="4" w:space="0" w:color="auto"/>
              <w:left w:val="nil"/>
              <w:bottom w:val="nil"/>
              <w:right w:val="single" w:sz="8" w:space="0" w:color="auto"/>
            </w:tcBorders>
            <w:shd w:val="clear" w:color="auto" w:fill="auto"/>
            <w:vAlign w:val="center"/>
            <w:hideMark/>
          </w:tcPr>
          <w:p w14:paraId="238BF287"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Record Director Votes. The meeting minutes list the names of directors and their votes, as well as the names of any directors who did not vote, except that if the minutes include a complete list of directors attending the meeting, the vote tally need only list the names of directors who voted against the item or who abstained.</w:t>
            </w:r>
          </w:p>
        </w:tc>
        <w:tc>
          <w:tcPr>
            <w:tcW w:w="1080" w:type="dxa"/>
            <w:tcBorders>
              <w:top w:val="single" w:sz="4" w:space="0" w:color="auto"/>
              <w:left w:val="nil"/>
              <w:bottom w:val="nil"/>
              <w:right w:val="single" w:sz="12" w:space="0" w:color="auto"/>
            </w:tcBorders>
            <w:shd w:val="clear" w:color="auto" w:fill="auto"/>
            <w:vAlign w:val="center"/>
            <w:hideMark/>
          </w:tcPr>
          <w:p w14:paraId="4AE3FD02"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Record- keeping</w:t>
            </w:r>
          </w:p>
        </w:tc>
        <w:tc>
          <w:tcPr>
            <w:tcW w:w="900" w:type="dxa"/>
            <w:tcBorders>
              <w:top w:val="single" w:sz="4" w:space="0" w:color="auto"/>
              <w:left w:val="nil"/>
              <w:bottom w:val="single" w:sz="4" w:space="0" w:color="000000"/>
              <w:right w:val="single" w:sz="4" w:space="0" w:color="auto"/>
            </w:tcBorders>
            <w:shd w:val="clear" w:color="auto" w:fill="auto"/>
            <w:noWrap/>
            <w:vAlign w:val="center"/>
            <w:hideMark/>
          </w:tcPr>
          <w:p w14:paraId="276E1902"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11</w:t>
            </w:r>
          </w:p>
        </w:tc>
        <w:tc>
          <w:tcPr>
            <w:tcW w:w="990" w:type="dxa"/>
            <w:tcBorders>
              <w:top w:val="single" w:sz="4" w:space="0" w:color="auto"/>
              <w:left w:val="nil"/>
              <w:bottom w:val="single" w:sz="4" w:space="0" w:color="000000"/>
              <w:right w:val="single" w:sz="4" w:space="0" w:color="000000"/>
            </w:tcBorders>
            <w:shd w:val="clear" w:color="auto" w:fill="auto"/>
            <w:noWrap/>
            <w:vAlign w:val="center"/>
            <w:hideMark/>
          </w:tcPr>
          <w:p w14:paraId="45C22F0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12</w:t>
            </w:r>
          </w:p>
        </w:tc>
        <w:tc>
          <w:tcPr>
            <w:tcW w:w="900" w:type="dxa"/>
            <w:tcBorders>
              <w:top w:val="single" w:sz="4" w:space="0" w:color="auto"/>
              <w:left w:val="nil"/>
              <w:bottom w:val="single" w:sz="4" w:space="0" w:color="000000"/>
              <w:right w:val="single" w:sz="4" w:space="0" w:color="000000"/>
            </w:tcBorders>
            <w:shd w:val="clear" w:color="auto" w:fill="auto"/>
            <w:noWrap/>
            <w:vAlign w:val="center"/>
            <w:hideMark/>
          </w:tcPr>
          <w:p w14:paraId="4593F0F2"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132</w:t>
            </w:r>
          </w:p>
        </w:tc>
        <w:tc>
          <w:tcPr>
            <w:tcW w:w="900" w:type="dxa"/>
            <w:tcBorders>
              <w:top w:val="single" w:sz="4" w:space="0" w:color="auto"/>
              <w:left w:val="nil"/>
              <w:bottom w:val="single" w:sz="4" w:space="0" w:color="000000"/>
              <w:right w:val="single" w:sz="4" w:space="0" w:color="auto"/>
            </w:tcBorders>
            <w:shd w:val="clear" w:color="auto" w:fill="auto"/>
            <w:noWrap/>
            <w:vAlign w:val="center"/>
            <w:hideMark/>
          </w:tcPr>
          <w:p w14:paraId="578F4AF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0.5</w:t>
            </w:r>
          </w:p>
        </w:tc>
        <w:tc>
          <w:tcPr>
            <w:tcW w:w="990" w:type="dxa"/>
            <w:tcBorders>
              <w:top w:val="single" w:sz="4" w:space="0" w:color="auto"/>
              <w:left w:val="nil"/>
              <w:bottom w:val="single" w:sz="4" w:space="0" w:color="auto"/>
              <w:right w:val="single" w:sz="12" w:space="0" w:color="auto"/>
            </w:tcBorders>
            <w:shd w:val="clear" w:color="auto" w:fill="auto"/>
            <w:vAlign w:val="center"/>
            <w:hideMark/>
          </w:tcPr>
          <w:p w14:paraId="2F3C5B92"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66</w:t>
            </w:r>
          </w:p>
        </w:tc>
        <w:tc>
          <w:tcPr>
            <w:tcW w:w="900" w:type="dxa"/>
            <w:tcBorders>
              <w:top w:val="single" w:sz="4" w:space="0" w:color="auto"/>
              <w:left w:val="single" w:sz="12" w:space="0" w:color="auto"/>
              <w:bottom w:val="single" w:sz="4" w:space="0" w:color="auto"/>
              <w:right w:val="single" w:sz="4" w:space="0" w:color="auto"/>
            </w:tcBorders>
            <w:shd w:val="clear" w:color="000000" w:fill="E2EFDA"/>
            <w:vAlign w:val="center"/>
            <w:hideMark/>
          </w:tcPr>
          <w:p w14:paraId="3991C87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72</w:t>
            </w:r>
          </w:p>
        </w:tc>
        <w:tc>
          <w:tcPr>
            <w:tcW w:w="90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28C3F0D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-6</w:t>
            </w:r>
          </w:p>
        </w:tc>
      </w:tr>
      <w:tr w:rsidR="00026AFA" w:rsidRPr="00026AFA" w14:paraId="5A360552" w14:textId="77777777" w:rsidTr="00026AFA">
        <w:trPr>
          <w:trHeight w:val="51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0D870125"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21</w:t>
            </w:r>
          </w:p>
        </w:tc>
        <w:tc>
          <w:tcPr>
            <w:tcW w:w="1371" w:type="dxa"/>
            <w:tcBorders>
              <w:top w:val="single" w:sz="4" w:space="0" w:color="auto"/>
              <w:left w:val="nil"/>
              <w:bottom w:val="nil"/>
              <w:right w:val="single" w:sz="4" w:space="0" w:color="auto"/>
            </w:tcBorders>
            <w:shd w:val="clear" w:color="auto" w:fill="auto"/>
            <w:noWrap/>
            <w:vAlign w:val="center"/>
            <w:hideMark/>
          </w:tcPr>
          <w:p w14:paraId="0F43AA75"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 xml:space="preserve">704.15(a)(2) </w:t>
            </w:r>
          </w:p>
        </w:tc>
        <w:tc>
          <w:tcPr>
            <w:tcW w:w="4950" w:type="dxa"/>
            <w:tcBorders>
              <w:top w:val="single" w:sz="4" w:space="0" w:color="auto"/>
              <w:left w:val="nil"/>
              <w:bottom w:val="nil"/>
              <w:right w:val="single" w:sz="8" w:space="0" w:color="auto"/>
            </w:tcBorders>
            <w:shd w:val="clear" w:color="auto" w:fill="auto"/>
            <w:vAlign w:val="center"/>
            <w:hideMark/>
          </w:tcPr>
          <w:p w14:paraId="31EEFEF4"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 xml:space="preserve">Management Reports. Each Corporate CU must prepare an annual management report.  </w:t>
            </w:r>
          </w:p>
        </w:tc>
        <w:tc>
          <w:tcPr>
            <w:tcW w:w="1080" w:type="dxa"/>
            <w:tcBorders>
              <w:top w:val="single" w:sz="4" w:space="0" w:color="auto"/>
              <w:left w:val="nil"/>
              <w:bottom w:val="nil"/>
              <w:right w:val="single" w:sz="12" w:space="0" w:color="auto"/>
            </w:tcBorders>
            <w:shd w:val="clear" w:color="auto" w:fill="auto"/>
            <w:vAlign w:val="center"/>
            <w:hideMark/>
          </w:tcPr>
          <w:p w14:paraId="38B7B62D"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nil"/>
              <w:bottom w:val="single" w:sz="4" w:space="0" w:color="000000"/>
              <w:right w:val="single" w:sz="4" w:space="0" w:color="auto"/>
            </w:tcBorders>
            <w:shd w:val="clear" w:color="auto" w:fill="auto"/>
            <w:vAlign w:val="center"/>
            <w:hideMark/>
          </w:tcPr>
          <w:p w14:paraId="7AD4A68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11</w:t>
            </w:r>
          </w:p>
        </w:tc>
        <w:tc>
          <w:tcPr>
            <w:tcW w:w="990" w:type="dxa"/>
            <w:tcBorders>
              <w:top w:val="nil"/>
              <w:left w:val="nil"/>
              <w:bottom w:val="single" w:sz="4" w:space="0" w:color="000000"/>
              <w:right w:val="single" w:sz="4" w:space="0" w:color="000000"/>
            </w:tcBorders>
            <w:shd w:val="clear" w:color="auto" w:fill="auto"/>
            <w:vAlign w:val="center"/>
            <w:hideMark/>
          </w:tcPr>
          <w:p w14:paraId="4B055C2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27AC957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11</w:t>
            </w:r>
          </w:p>
        </w:tc>
        <w:tc>
          <w:tcPr>
            <w:tcW w:w="900" w:type="dxa"/>
            <w:tcBorders>
              <w:top w:val="nil"/>
              <w:left w:val="nil"/>
              <w:bottom w:val="single" w:sz="4" w:space="0" w:color="000000"/>
              <w:right w:val="single" w:sz="4" w:space="0" w:color="auto"/>
            </w:tcBorders>
            <w:shd w:val="clear" w:color="auto" w:fill="auto"/>
            <w:vAlign w:val="center"/>
            <w:hideMark/>
          </w:tcPr>
          <w:p w14:paraId="22EFB00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w:t>
            </w:r>
          </w:p>
        </w:tc>
        <w:tc>
          <w:tcPr>
            <w:tcW w:w="990" w:type="dxa"/>
            <w:tcBorders>
              <w:top w:val="nil"/>
              <w:left w:val="nil"/>
              <w:bottom w:val="single" w:sz="4" w:space="0" w:color="auto"/>
              <w:right w:val="single" w:sz="12" w:space="0" w:color="auto"/>
            </w:tcBorders>
            <w:shd w:val="clear" w:color="auto" w:fill="auto"/>
            <w:vAlign w:val="center"/>
            <w:hideMark/>
          </w:tcPr>
          <w:p w14:paraId="6040F1A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88</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3683903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96</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703FCA0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w:t>
            </w:r>
          </w:p>
        </w:tc>
      </w:tr>
      <w:tr w:rsidR="00026AFA" w:rsidRPr="00026AFA" w14:paraId="7758CCB9"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6576FD05"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22</w:t>
            </w:r>
          </w:p>
        </w:tc>
        <w:tc>
          <w:tcPr>
            <w:tcW w:w="1371" w:type="dxa"/>
            <w:tcBorders>
              <w:top w:val="single" w:sz="4" w:space="0" w:color="auto"/>
              <w:left w:val="nil"/>
              <w:bottom w:val="nil"/>
              <w:right w:val="single" w:sz="4" w:space="0" w:color="auto"/>
            </w:tcBorders>
            <w:shd w:val="clear" w:color="auto" w:fill="auto"/>
            <w:noWrap/>
            <w:vAlign w:val="center"/>
            <w:hideMark/>
          </w:tcPr>
          <w:p w14:paraId="20D587AE"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 xml:space="preserve">704.15(b)(3) </w:t>
            </w:r>
          </w:p>
        </w:tc>
        <w:tc>
          <w:tcPr>
            <w:tcW w:w="4950" w:type="dxa"/>
            <w:tcBorders>
              <w:top w:val="single" w:sz="4" w:space="0" w:color="auto"/>
              <w:left w:val="nil"/>
              <w:bottom w:val="single" w:sz="4" w:space="0" w:color="auto"/>
              <w:right w:val="nil"/>
            </w:tcBorders>
            <w:shd w:val="clear" w:color="auto" w:fill="auto"/>
            <w:vAlign w:val="center"/>
            <w:hideMark/>
          </w:tcPr>
          <w:p w14:paraId="3AC2D00A"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Independent public accountant.  Notice by accountant of termination of services.   An independent public accountant performing an audit under this part who ceases to be the accountant for a Corp CU must notify NCUA in writing.</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B3E174"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35DD067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7B4DEF9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77ECCD44"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528B951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0.1667</w:t>
            </w:r>
          </w:p>
        </w:tc>
        <w:tc>
          <w:tcPr>
            <w:tcW w:w="990" w:type="dxa"/>
            <w:tcBorders>
              <w:top w:val="nil"/>
              <w:left w:val="nil"/>
              <w:bottom w:val="single" w:sz="4" w:space="0" w:color="auto"/>
              <w:right w:val="single" w:sz="12" w:space="0" w:color="auto"/>
            </w:tcBorders>
            <w:shd w:val="clear" w:color="auto" w:fill="auto"/>
            <w:vAlign w:val="center"/>
            <w:hideMark/>
          </w:tcPr>
          <w:p w14:paraId="4FE2DEF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0.17</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4D911E4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53441EA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0.1667</w:t>
            </w:r>
          </w:p>
        </w:tc>
      </w:tr>
      <w:tr w:rsidR="00026AFA" w:rsidRPr="00026AFA" w14:paraId="22969D2D"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24B2D02B"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23</w:t>
            </w:r>
          </w:p>
        </w:tc>
        <w:tc>
          <w:tcPr>
            <w:tcW w:w="1371" w:type="dxa"/>
            <w:tcBorders>
              <w:top w:val="single" w:sz="4" w:space="0" w:color="auto"/>
              <w:left w:val="nil"/>
              <w:bottom w:val="nil"/>
              <w:right w:val="single" w:sz="4" w:space="0" w:color="auto"/>
            </w:tcBorders>
            <w:shd w:val="clear" w:color="auto" w:fill="auto"/>
            <w:noWrap/>
            <w:vAlign w:val="center"/>
            <w:hideMark/>
          </w:tcPr>
          <w:p w14:paraId="7AE8B7F1" w14:textId="77777777" w:rsid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704.15</w:t>
            </w:r>
          </w:p>
          <w:p w14:paraId="4CE58CD7"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(b)(7)(ii)</w:t>
            </w:r>
          </w:p>
        </w:tc>
        <w:tc>
          <w:tcPr>
            <w:tcW w:w="4950" w:type="dxa"/>
            <w:tcBorders>
              <w:top w:val="nil"/>
              <w:left w:val="nil"/>
              <w:bottom w:val="single" w:sz="4" w:space="0" w:color="auto"/>
              <w:right w:val="nil"/>
            </w:tcBorders>
            <w:shd w:val="clear" w:color="auto" w:fill="auto"/>
            <w:vAlign w:val="center"/>
            <w:hideMark/>
          </w:tcPr>
          <w:p w14:paraId="1D58EA5A"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Peer reviews and inspection reports. The independent public accountant must file a copy of the most recent peer review report and the public portion of the most recent PCAOB inspection report with NCUA if the report has not already been filed.</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772334CA"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1CAD2F22"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3AF5E7A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06C56D6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5F03D46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0.1667</w:t>
            </w:r>
          </w:p>
        </w:tc>
        <w:tc>
          <w:tcPr>
            <w:tcW w:w="990" w:type="dxa"/>
            <w:tcBorders>
              <w:top w:val="nil"/>
              <w:left w:val="nil"/>
              <w:bottom w:val="single" w:sz="4" w:space="0" w:color="auto"/>
              <w:right w:val="single" w:sz="12" w:space="0" w:color="auto"/>
            </w:tcBorders>
            <w:shd w:val="clear" w:color="auto" w:fill="auto"/>
            <w:vAlign w:val="center"/>
            <w:hideMark/>
          </w:tcPr>
          <w:p w14:paraId="30F92DA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0.17</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6259CB51"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29D9C63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0.1667</w:t>
            </w:r>
          </w:p>
        </w:tc>
      </w:tr>
      <w:tr w:rsidR="00026AFA" w:rsidRPr="00026AFA" w14:paraId="21B0E4C0"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071895BA"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24</w:t>
            </w:r>
          </w:p>
        </w:tc>
        <w:tc>
          <w:tcPr>
            <w:tcW w:w="1371" w:type="dxa"/>
            <w:tcBorders>
              <w:top w:val="single" w:sz="4" w:space="0" w:color="auto"/>
              <w:left w:val="nil"/>
              <w:bottom w:val="nil"/>
              <w:right w:val="single" w:sz="4" w:space="0" w:color="auto"/>
            </w:tcBorders>
            <w:shd w:val="clear" w:color="auto" w:fill="auto"/>
            <w:noWrap/>
            <w:vAlign w:val="center"/>
            <w:hideMark/>
          </w:tcPr>
          <w:p w14:paraId="5534B3E5" w14:textId="77777777" w:rsid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704.15</w:t>
            </w:r>
          </w:p>
          <w:p w14:paraId="61E6424A"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(b)(7)(iii)</w:t>
            </w:r>
          </w:p>
        </w:tc>
        <w:tc>
          <w:tcPr>
            <w:tcW w:w="4950" w:type="dxa"/>
            <w:tcBorders>
              <w:top w:val="nil"/>
              <w:left w:val="nil"/>
              <w:bottom w:val="single" w:sz="4" w:space="0" w:color="auto"/>
              <w:right w:val="nil"/>
            </w:tcBorders>
            <w:shd w:val="clear" w:color="auto" w:fill="auto"/>
            <w:vAlign w:val="center"/>
            <w:hideMark/>
          </w:tcPr>
          <w:p w14:paraId="5989F283"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Within 15 days of the PCAOB making public a previously nonpublic portion of an inspection report, the independent public accountant must file a copy of the previously nonpublic portion of the inspection report with NCUA.</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1C297F6E"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7F0A71C1"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4EBAEE4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7454DD1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76B34C8A"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0.1667</w:t>
            </w:r>
          </w:p>
        </w:tc>
        <w:tc>
          <w:tcPr>
            <w:tcW w:w="990" w:type="dxa"/>
            <w:tcBorders>
              <w:top w:val="nil"/>
              <w:left w:val="nil"/>
              <w:bottom w:val="single" w:sz="4" w:space="0" w:color="auto"/>
              <w:right w:val="single" w:sz="12" w:space="0" w:color="auto"/>
            </w:tcBorders>
            <w:shd w:val="clear" w:color="auto" w:fill="auto"/>
            <w:vAlign w:val="center"/>
            <w:hideMark/>
          </w:tcPr>
          <w:p w14:paraId="578C548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0.17</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3D938567"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5F71896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0.1667</w:t>
            </w:r>
          </w:p>
        </w:tc>
      </w:tr>
      <w:tr w:rsidR="00026AFA" w:rsidRPr="00026AFA" w14:paraId="55F2542B" w14:textId="77777777" w:rsidTr="00A25211">
        <w:trPr>
          <w:trHeight w:val="800"/>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1A44534C"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25</w:t>
            </w:r>
          </w:p>
        </w:tc>
        <w:tc>
          <w:tcPr>
            <w:tcW w:w="1371" w:type="dxa"/>
            <w:tcBorders>
              <w:top w:val="single" w:sz="4" w:space="0" w:color="auto"/>
              <w:left w:val="nil"/>
              <w:bottom w:val="nil"/>
              <w:right w:val="single" w:sz="4" w:space="0" w:color="auto"/>
            </w:tcBorders>
            <w:shd w:val="clear" w:color="auto" w:fill="auto"/>
            <w:noWrap/>
            <w:vAlign w:val="center"/>
            <w:hideMark/>
          </w:tcPr>
          <w:p w14:paraId="4A3C5144"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 xml:space="preserve">704.15(c)(1) </w:t>
            </w:r>
          </w:p>
        </w:tc>
        <w:tc>
          <w:tcPr>
            <w:tcW w:w="4950" w:type="dxa"/>
            <w:tcBorders>
              <w:top w:val="nil"/>
              <w:left w:val="nil"/>
              <w:bottom w:val="single" w:sz="4" w:space="0" w:color="auto"/>
              <w:right w:val="nil"/>
            </w:tcBorders>
            <w:shd w:val="clear" w:color="auto" w:fill="auto"/>
            <w:vAlign w:val="center"/>
            <w:hideMark/>
          </w:tcPr>
          <w:p w14:paraId="0706828F"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 xml:space="preserve">Filing and notice requirements—Annual Report.  Each Corporate CU union must, no later than 180 days after the end of the calendar year, file an Annual Report with NCUA.   </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1FCB6E29"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5A4DD5F0"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11</w:t>
            </w:r>
          </w:p>
        </w:tc>
        <w:tc>
          <w:tcPr>
            <w:tcW w:w="990" w:type="dxa"/>
            <w:tcBorders>
              <w:top w:val="nil"/>
              <w:left w:val="nil"/>
              <w:bottom w:val="single" w:sz="4" w:space="0" w:color="000000"/>
              <w:right w:val="single" w:sz="4" w:space="0" w:color="000000"/>
            </w:tcBorders>
            <w:shd w:val="clear" w:color="auto" w:fill="auto"/>
            <w:vAlign w:val="center"/>
            <w:hideMark/>
          </w:tcPr>
          <w:p w14:paraId="7715371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03F07F6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11</w:t>
            </w:r>
          </w:p>
        </w:tc>
        <w:tc>
          <w:tcPr>
            <w:tcW w:w="900" w:type="dxa"/>
            <w:tcBorders>
              <w:top w:val="nil"/>
              <w:left w:val="nil"/>
              <w:bottom w:val="single" w:sz="4" w:space="0" w:color="000000"/>
              <w:right w:val="single" w:sz="4" w:space="0" w:color="auto"/>
            </w:tcBorders>
            <w:shd w:val="clear" w:color="auto" w:fill="auto"/>
            <w:vAlign w:val="center"/>
            <w:hideMark/>
          </w:tcPr>
          <w:p w14:paraId="3C55201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0.25</w:t>
            </w:r>
          </w:p>
        </w:tc>
        <w:tc>
          <w:tcPr>
            <w:tcW w:w="990" w:type="dxa"/>
            <w:tcBorders>
              <w:top w:val="nil"/>
              <w:left w:val="nil"/>
              <w:bottom w:val="single" w:sz="4" w:space="0" w:color="auto"/>
              <w:right w:val="single" w:sz="12" w:space="0" w:color="auto"/>
            </w:tcBorders>
            <w:shd w:val="clear" w:color="auto" w:fill="auto"/>
            <w:vAlign w:val="center"/>
            <w:hideMark/>
          </w:tcPr>
          <w:p w14:paraId="28BCBB4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2.75</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6B690049"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363CCF8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2.75</w:t>
            </w:r>
          </w:p>
        </w:tc>
      </w:tr>
      <w:tr w:rsidR="00026AFA" w:rsidRPr="00026AFA" w14:paraId="5C0AE8FB" w14:textId="77777777" w:rsidTr="00026AFA">
        <w:trPr>
          <w:trHeight w:val="76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4C93E590"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26</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60DAAD63"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704.15(c)(4)</w:t>
            </w:r>
          </w:p>
        </w:tc>
        <w:tc>
          <w:tcPr>
            <w:tcW w:w="4950" w:type="dxa"/>
            <w:tcBorders>
              <w:top w:val="nil"/>
              <w:left w:val="nil"/>
              <w:bottom w:val="single" w:sz="4" w:space="0" w:color="auto"/>
              <w:right w:val="nil"/>
            </w:tcBorders>
            <w:shd w:val="clear" w:color="auto" w:fill="auto"/>
            <w:vAlign w:val="center"/>
            <w:hideMark/>
          </w:tcPr>
          <w:p w14:paraId="403A9445"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Notice of engagement or change of accountants. Each Corp CU that engages an independent public accountant, or that loses an independent public accountant through dismissal o</w:t>
            </w:r>
            <w:r w:rsidR="00241B9E">
              <w:rPr>
                <w:rFonts w:ascii="Arial Narrow" w:eastAsia="Times New Roman" w:hAnsi="Arial Narrow" w:cs="Calibri"/>
                <w:color w:val="000000"/>
                <w:sz w:val="20"/>
                <w:szCs w:val="20"/>
              </w:rPr>
              <w:t>r resignation, must notify NCUA</w:t>
            </w:r>
            <w:r w:rsidRPr="00026AFA">
              <w:rPr>
                <w:rFonts w:ascii="Arial Narrow" w:eastAsia="Times New Roman" w:hAnsi="Arial Narrow" w:cs="Calibri"/>
                <w:color w:val="000000"/>
                <w:sz w:val="20"/>
                <w:szCs w:val="20"/>
              </w:rPr>
              <w:t xml:space="preserve">. </w:t>
            </w:r>
          </w:p>
        </w:tc>
        <w:tc>
          <w:tcPr>
            <w:tcW w:w="1080" w:type="dxa"/>
            <w:tcBorders>
              <w:top w:val="nil"/>
              <w:left w:val="single" w:sz="8" w:space="0" w:color="auto"/>
              <w:bottom w:val="single" w:sz="4" w:space="0" w:color="auto"/>
              <w:right w:val="single" w:sz="4" w:space="0" w:color="auto"/>
            </w:tcBorders>
            <w:shd w:val="clear" w:color="auto" w:fill="auto"/>
            <w:vAlign w:val="center"/>
            <w:hideMark/>
          </w:tcPr>
          <w:p w14:paraId="2256E4B9"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000000"/>
              <w:right w:val="single" w:sz="4" w:space="0" w:color="auto"/>
            </w:tcBorders>
            <w:shd w:val="clear" w:color="auto" w:fill="auto"/>
            <w:vAlign w:val="center"/>
            <w:hideMark/>
          </w:tcPr>
          <w:p w14:paraId="7A9155E2"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hideMark/>
          </w:tcPr>
          <w:p w14:paraId="3498C6A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000000"/>
            </w:tcBorders>
            <w:shd w:val="clear" w:color="auto" w:fill="auto"/>
            <w:vAlign w:val="center"/>
            <w:hideMark/>
          </w:tcPr>
          <w:p w14:paraId="64099868"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000000"/>
              <w:right w:val="single" w:sz="4" w:space="0" w:color="auto"/>
            </w:tcBorders>
            <w:shd w:val="clear" w:color="auto" w:fill="auto"/>
            <w:vAlign w:val="center"/>
            <w:hideMark/>
          </w:tcPr>
          <w:p w14:paraId="5F28C04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auto"/>
              <w:right w:val="single" w:sz="12" w:space="0" w:color="auto"/>
            </w:tcBorders>
            <w:shd w:val="clear" w:color="auto" w:fill="auto"/>
            <w:vAlign w:val="center"/>
            <w:hideMark/>
          </w:tcPr>
          <w:p w14:paraId="396505E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739FA1BD" w14:textId="77777777" w:rsidR="00026AFA" w:rsidRPr="00026AFA" w:rsidRDefault="007F610E" w:rsidP="00026AF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4E0CCC6A" w14:textId="77777777" w:rsidR="00026AFA" w:rsidRPr="00026AFA" w:rsidRDefault="007F610E" w:rsidP="00026AF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r>
    </w:tbl>
    <w:p w14:paraId="7138FA33" w14:textId="3432C7E3" w:rsidR="005E54E7" w:rsidRDefault="005E54E7">
      <w:r>
        <w:br w:type="page"/>
      </w:r>
    </w:p>
    <w:tbl>
      <w:tblPr>
        <w:tblW w:w="14310" w:type="dxa"/>
        <w:tblInd w:w="-95" w:type="dxa"/>
        <w:tblLayout w:type="fixed"/>
        <w:tblLook w:val="04A0" w:firstRow="1" w:lastRow="0" w:firstColumn="1" w:lastColumn="0" w:noHBand="0" w:noVBand="1"/>
      </w:tblPr>
      <w:tblGrid>
        <w:gridCol w:w="429"/>
        <w:gridCol w:w="1371"/>
        <w:gridCol w:w="4950"/>
        <w:gridCol w:w="1080"/>
        <w:gridCol w:w="900"/>
        <w:gridCol w:w="990"/>
        <w:gridCol w:w="900"/>
        <w:gridCol w:w="900"/>
        <w:gridCol w:w="990"/>
        <w:gridCol w:w="900"/>
        <w:gridCol w:w="900"/>
      </w:tblGrid>
      <w:tr w:rsidR="005E54E7" w:rsidRPr="00026AFA" w14:paraId="2E30E752" w14:textId="77777777" w:rsidTr="005E54E7">
        <w:trPr>
          <w:cantSplit/>
          <w:trHeight w:val="980"/>
        </w:trPr>
        <w:tc>
          <w:tcPr>
            <w:tcW w:w="429" w:type="dxa"/>
            <w:tcBorders>
              <w:top w:val="single" w:sz="4" w:space="0" w:color="auto"/>
              <w:left w:val="single" w:sz="4" w:space="0" w:color="auto"/>
              <w:bottom w:val="single" w:sz="8" w:space="0" w:color="auto"/>
              <w:right w:val="single" w:sz="4" w:space="0" w:color="auto"/>
            </w:tcBorders>
            <w:shd w:val="clear" w:color="auto" w:fill="D9D9D9" w:themeFill="background1" w:themeFillShade="D9"/>
            <w:noWrap/>
            <w:textDirection w:val="btLr"/>
            <w:vAlign w:val="center"/>
            <w:hideMark/>
          </w:tcPr>
          <w:p w14:paraId="663B0840" w14:textId="77777777" w:rsidR="005E54E7" w:rsidRPr="005E54E7" w:rsidRDefault="005E54E7" w:rsidP="005E54E7">
            <w:pPr>
              <w:spacing w:after="0" w:line="240" w:lineRule="auto"/>
              <w:ind w:left="113" w:right="113"/>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Line Item</w:t>
            </w:r>
          </w:p>
        </w:tc>
        <w:tc>
          <w:tcPr>
            <w:tcW w:w="1371" w:type="dxa"/>
            <w:tcBorders>
              <w:top w:val="single" w:sz="4" w:space="0" w:color="auto"/>
              <w:left w:val="nil"/>
              <w:bottom w:val="single" w:sz="8" w:space="0" w:color="auto"/>
              <w:right w:val="single" w:sz="4" w:space="0" w:color="auto"/>
            </w:tcBorders>
            <w:shd w:val="clear" w:color="auto" w:fill="D9D9D9" w:themeFill="background1" w:themeFillShade="D9"/>
            <w:noWrap/>
            <w:vAlign w:val="center"/>
            <w:hideMark/>
          </w:tcPr>
          <w:p w14:paraId="01B87617" w14:textId="77777777" w:rsidR="005E54E7" w:rsidRPr="005E54E7" w:rsidRDefault="005E54E7" w:rsidP="005E54E7">
            <w:pPr>
              <w:spacing w:after="0" w:line="240" w:lineRule="auto"/>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12 CFR</w:t>
            </w:r>
          </w:p>
        </w:tc>
        <w:tc>
          <w:tcPr>
            <w:tcW w:w="4950" w:type="dxa"/>
            <w:tcBorders>
              <w:top w:val="single" w:sz="4" w:space="0" w:color="auto"/>
              <w:left w:val="nil"/>
              <w:bottom w:val="single" w:sz="8" w:space="0" w:color="auto"/>
              <w:right w:val="nil"/>
            </w:tcBorders>
            <w:shd w:val="clear" w:color="auto" w:fill="D9D9D9" w:themeFill="background1" w:themeFillShade="D9"/>
            <w:vAlign w:val="center"/>
            <w:hideMark/>
          </w:tcPr>
          <w:p w14:paraId="1C9706FB" w14:textId="77777777" w:rsidR="005E54E7" w:rsidRPr="005E54E7" w:rsidRDefault="005E54E7" w:rsidP="005E54E7">
            <w:pPr>
              <w:spacing w:after="0" w:line="240" w:lineRule="auto"/>
              <w:jc w:val="center"/>
              <w:rPr>
                <w:rFonts w:ascii="Arial Narrow" w:eastAsia="Times New Roman" w:hAnsi="Arial Narrow" w:cs="Calibri"/>
                <w:color w:val="000000"/>
                <w:sz w:val="16"/>
                <w:szCs w:val="16"/>
              </w:rPr>
            </w:pPr>
            <w:r w:rsidRPr="005E54E7">
              <w:rPr>
                <w:rFonts w:ascii="Arial Narrow" w:eastAsia="Times New Roman" w:hAnsi="Arial Narrow" w:cs="Calibri"/>
                <w:color w:val="000000"/>
                <w:sz w:val="16"/>
                <w:szCs w:val="16"/>
              </w:rPr>
              <w:t>Activity</w:t>
            </w:r>
          </w:p>
        </w:tc>
        <w:tc>
          <w:tcPr>
            <w:tcW w:w="1080"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8F38E9F" w14:textId="77777777" w:rsidR="005E54E7" w:rsidRPr="005E54E7" w:rsidRDefault="005E54E7" w:rsidP="005E54E7">
            <w:pPr>
              <w:spacing w:after="0" w:line="240" w:lineRule="auto"/>
              <w:jc w:val="center"/>
              <w:rPr>
                <w:rFonts w:ascii="Arial Narrow" w:eastAsia="Times New Roman" w:hAnsi="Arial Narrow" w:cs="Calibri"/>
                <w:color w:val="000000"/>
                <w:sz w:val="16"/>
                <w:szCs w:val="16"/>
              </w:rPr>
            </w:pPr>
            <w:r w:rsidRPr="005E54E7">
              <w:rPr>
                <w:rFonts w:ascii="Arial Narrow" w:eastAsia="Times New Roman" w:hAnsi="Arial Narrow" w:cs="Calibri"/>
                <w:color w:val="000000"/>
                <w:sz w:val="16"/>
                <w:szCs w:val="16"/>
              </w:rPr>
              <w:t>Type of Burden</w:t>
            </w:r>
          </w:p>
        </w:tc>
        <w:tc>
          <w:tcPr>
            <w:tcW w:w="900" w:type="dxa"/>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62B34685" w14:textId="77777777" w:rsidR="005E54E7" w:rsidRPr="005E54E7" w:rsidRDefault="005E54E7" w:rsidP="005E54E7">
            <w:pPr>
              <w:spacing w:after="0" w:line="240" w:lineRule="auto"/>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 Respon- dents</w:t>
            </w:r>
          </w:p>
        </w:tc>
        <w:tc>
          <w:tcPr>
            <w:tcW w:w="990" w:type="dxa"/>
            <w:tcBorders>
              <w:top w:val="single" w:sz="4" w:space="0" w:color="auto"/>
              <w:left w:val="nil"/>
              <w:bottom w:val="single" w:sz="8" w:space="0" w:color="auto"/>
              <w:right w:val="single" w:sz="4" w:space="0" w:color="000000"/>
            </w:tcBorders>
            <w:shd w:val="clear" w:color="auto" w:fill="D9D9D9" w:themeFill="background1" w:themeFillShade="D9"/>
            <w:vAlign w:val="center"/>
            <w:hideMark/>
          </w:tcPr>
          <w:p w14:paraId="12A55794" w14:textId="77777777" w:rsidR="005E54E7" w:rsidRPr="005E54E7" w:rsidRDefault="005E54E7" w:rsidP="005E54E7">
            <w:pPr>
              <w:spacing w:after="0" w:line="240" w:lineRule="auto"/>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 Responses Per Respondent</w:t>
            </w:r>
          </w:p>
        </w:tc>
        <w:tc>
          <w:tcPr>
            <w:tcW w:w="900" w:type="dxa"/>
            <w:tcBorders>
              <w:top w:val="single" w:sz="4" w:space="0" w:color="auto"/>
              <w:left w:val="nil"/>
              <w:bottom w:val="single" w:sz="8" w:space="0" w:color="auto"/>
              <w:right w:val="single" w:sz="4" w:space="0" w:color="000000"/>
            </w:tcBorders>
            <w:shd w:val="clear" w:color="auto" w:fill="D9D9D9" w:themeFill="background1" w:themeFillShade="D9"/>
            <w:vAlign w:val="center"/>
            <w:hideMark/>
          </w:tcPr>
          <w:p w14:paraId="6C1D7485" w14:textId="77777777" w:rsidR="005E54E7" w:rsidRPr="005E54E7" w:rsidRDefault="005E54E7" w:rsidP="005E54E7">
            <w:pPr>
              <w:spacing w:after="0" w:line="240" w:lineRule="auto"/>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 Annual Responses</w:t>
            </w:r>
          </w:p>
        </w:tc>
        <w:tc>
          <w:tcPr>
            <w:tcW w:w="900"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410C1584" w14:textId="77777777" w:rsidR="005E54E7" w:rsidRPr="005E54E7" w:rsidRDefault="005E54E7" w:rsidP="005E54E7">
            <w:pPr>
              <w:spacing w:after="0" w:line="240" w:lineRule="auto"/>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Hours Per Response</w:t>
            </w:r>
          </w:p>
        </w:tc>
        <w:tc>
          <w:tcPr>
            <w:tcW w:w="990" w:type="dxa"/>
            <w:tcBorders>
              <w:top w:val="single" w:sz="4" w:space="0" w:color="auto"/>
              <w:left w:val="nil"/>
              <w:bottom w:val="single" w:sz="8" w:space="0" w:color="auto"/>
              <w:right w:val="single" w:sz="12" w:space="0" w:color="auto"/>
            </w:tcBorders>
            <w:shd w:val="clear" w:color="auto" w:fill="D9D9D9" w:themeFill="background1" w:themeFillShade="D9"/>
            <w:vAlign w:val="center"/>
            <w:hideMark/>
          </w:tcPr>
          <w:p w14:paraId="07A244E5" w14:textId="77777777" w:rsidR="005E54E7" w:rsidRPr="005E54E7" w:rsidRDefault="005E54E7" w:rsidP="005E54E7">
            <w:pPr>
              <w:spacing w:after="0" w:line="240" w:lineRule="auto"/>
              <w:jc w:val="center"/>
              <w:rPr>
                <w:rFonts w:ascii="Arial Narrow" w:eastAsia="Times New Roman" w:hAnsi="Arial Narrow" w:cs="Arial"/>
                <w:color w:val="000000"/>
                <w:sz w:val="16"/>
                <w:szCs w:val="16"/>
              </w:rPr>
            </w:pPr>
            <w:r w:rsidRPr="005E54E7">
              <w:rPr>
                <w:rFonts w:ascii="Arial Narrow" w:eastAsia="Times New Roman" w:hAnsi="Arial Narrow" w:cs="Arial"/>
                <w:color w:val="000000"/>
                <w:sz w:val="16"/>
                <w:szCs w:val="16"/>
              </w:rPr>
              <w:t>TOTAL BURDEN</w:t>
            </w:r>
          </w:p>
        </w:tc>
        <w:tc>
          <w:tcPr>
            <w:tcW w:w="900" w:type="dxa"/>
            <w:tcBorders>
              <w:top w:val="single" w:sz="4" w:space="0" w:color="auto"/>
              <w:left w:val="single" w:sz="12" w:space="0" w:color="auto"/>
              <w:bottom w:val="single" w:sz="8" w:space="0" w:color="auto"/>
              <w:right w:val="single" w:sz="4" w:space="0" w:color="auto"/>
            </w:tcBorders>
            <w:shd w:val="clear" w:color="000000" w:fill="E2EFDA"/>
            <w:vAlign w:val="center"/>
            <w:hideMark/>
          </w:tcPr>
          <w:p w14:paraId="7739B3CB" w14:textId="77777777" w:rsidR="005E54E7" w:rsidRPr="005E54E7" w:rsidRDefault="005E54E7" w:rsidP="005E54E7">
            <w:pPr>
              <w:spacing w:after="0" w:line="240" w:lineRule="auto"/>
              <w:jc w:val="center"/>
              <w:rPr>
                <w:rFonts w:ascii="Arial Narrow" w:eastAsia="Times New Roman" w:hAnsi="Arial Narrow" w:cs="Arial"/>
                <w:color w:val="000000"/>
                <w:sz w:val="18"/>
                <w:szCs w:val="18"/>
              </w:rPr>
            </w:pPr>
            <w:r w:rsidRPr="005E54E7">
              <w:rPr>
                <w:rFonts w:ascii="Arial Narrow" w:eastAsia="Times New Roman" w:hAnsi="Arial Narrow" w:cs="Arial"/>
                <w:color w:val="000000"/>
                <w:sz w:val="18"/>
                <w:szCs w:val="18"/>
              </w:rPr>
              <w:t>Previously Approved</w:t>
            </w:r>
          </w:p>
        </w:tc>
        <w:tc>
          <w:tcPr>
            <w:tcW w:w="900" w:type="dxa"/>
            <w:tcBorders>
              <w:top w:val="single" w:sz="4" w:space="0" w:color="auto"/>
              <w:left w:val="single" w:sz="4" w:space="0" w:color="auto"/>
              <w:bottom w:val="single" w:sz="8" w:space="0" w:color="auto"/>
              <w:right w:val="single" w:sz="4" w:space="0" w:color="auto"/>
            </w:tcBorders>
            <w:shd w:val="clear" w:color="000000" w:fill="FCE4D6"/>
            <w:vAlign w:val="center"/>
            <w:hideMark/>
          </w:tcPr>
          <w:p w14:paraId="7BB37232" w14:textId="77777777" w:rsidR="005E54E7" w:rsidRPr="005E54E7" w:rsidRDefault="005E54E7" w:rsidP="005E54E7">
            <w:pPr>
              <w:spacing w:after="0" w:line="240" w:lineRule="auto"/>
              <w:jc w:val="center"/>
              <w:rPr>
                <w:rFonts w:ascii="Arial Narrow" w:eastAsia="Times New Roman" w:hAnsi="Arial Narrow" w:cs="Arial"/>
                <w:color w:val="000000"/>
                <w:sz w:val="18"/>
                <w:szCs w:val="18"/>
              </w:rPr>
            </w:pPr>
            <w:r w:rsidRPr="005E54E7">
              <w:rPr>
                <w:rFonts w:ascii="Arial Narrow" w:eastAsia="Times New Roman" w:hAnsi="Arial Narrow" w:cs="Arial"/>
                <w:color w:val="000000"/>
                <w:sz w:val="18"/>
                <w:szCs w:val="18"/>
              </w:rPr>
              <w:t>Difference from Previously Approved</w:t>
            </w:r>
          </w:p>
        </w:tc>
      </w:tr>
      <w:tr w:rsidR="00A25211" w:rsidRPr="00026AFA" w14:paraId="3ED79AAC" w14:textId="77777777" w:rsidTr="00A25211">
        <w:trPr>
          <w:trHeight w:val="765"/>
        </w:trPr>
        <w:tc>
          <w:tcPr>
            <w:tcW w:w="429" w:type="dxa"/>
            <w:tcBorders>
              <w:top w:val="nil"/>
              <w:left w:val="single" w:sz="4" w:space="0" w:color="auto"/>
              <w:bottom w:val="single" w:sz="8" w:space="0" w:color="auto"/>
              <w:right w:val="single" w:sz="4" w:space="0" w:color="auto"/>
            </w:tcBorders>
            <w:shd w:val="clear" w:color="auto" w:fill="auto"/>
            <w:noWrap/>
            <w:vAlign w:val="center"/>
            <w:hideMark/>
          </w:tcPr>
          <w:p w14:paraId="2998C34C" w14:textId="70C5D994"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27</w:t>
            </w:r>
          </w:p>
        </w:tc>
        <w:tc>
          <w:tcPr>
            <w:tcW w:w="1371" w:type="dxa"/>
            <w:tcBorders>
              <w:top w:val="nil"/>
              <w:left w:val="nil"/>
              <w:bottom w:val="single" w:sz="8" w:space="0" w:color="auto"/>
              <w:right w:val="single" w:sz="4" w:space="0" w:color="auto"/>
            </w:tcBorders>
            <w:shd w:val="clear" w:color="auto" w:fill="auto"/>
            <w:noWrap/>
            <w:vAlign w:val="center"/>
            <w:hideMark/>
          </w:tcPr>
          <w:p w14:paraId="6488F37A"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704.15(c)(5)</w:t>
            </w:r>
          </w:p>
        </w:tc>
        <w:tc>
          <w:tcPr>
            <w:tcW w:w="4950" w:type="dxa"/>
            <w:tcBorders>
              <w:top w:val="nil"/>
              <w:left w:val="nil"/>
              <w:bottom w:val="single" w:sz="8" w:space="0" w:color="auto"/>
              <w:right w:val="nil"/>
            </w:tcBorders>
            <w:shd w:val="clear" w:color="auto" w:fill="auto"/>
            <w:vAlign w:val="center"/>
            <w:hideMark/>
          </w:tcPr>
          <w:p w14:paraId="74F18A5A"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Notification of late filing. A Corporate CU that is unable to timely file any part of its Annual Report or any other report or notice required by this paragraph (c) must submit a written notice of late filing to NCUA.</w:t>
            </w:r>
          </w:p>
        </w:tc>
        <w:tc>
          <w:tcPr>
            <w:tcW w:w="1080" w:type="dxa"/>
            <w:tcBorders>
              <w:top w:val="nil"/>
              <w:left w:val="single" w:sz="8" w:space="0" w:color="auto"/>
              <w:bottom w:val="single" w:sz="8" w:space="0" w:color="auto"/>
              <w:right w:val="single" w:sz="4" w:space="0" w:color="auto"/>
            </w:tcBorders>
            <w:shd w:val="clear" w:color="auto" w:fill="auto"/>
            <w:vAlign w:val="center"/>
            <w:hideMark/>
          </w:tcPr>
          <w:p w14:paraId="71558246"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8" w:space="0" w:color="auto"/>
              <w:right w:val="single" w:sz="4" w:space="0" w:color="auto"/>
            </w:tcBorders>
            <w:shd w:val="clear" w:color="auto" w:fill="auto"/>
            <w:vAlign w:val="center"/>
            <w:hideMark/>
          </w:tcPr>
          <w:p w14:paraId="7873A0B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8" w:space="0" w:color="auto"/>
              <w:right w:val="single" w:sz="4" w:space="0" w:color="000000"/>
            </w:tcBorders>
            <w:shd w:val="clear" w:color="auto" w:fill="auto"/>
            <w:vAlign w:val="center"/>
            <w:hideMark/>
          </w:tcPr>
          <w:p w14:paraId="06E8FB2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8" w:space="0" w:color="auto"/>
              <w:right w:val="single" w:sz="4" w:space="0" w:color="000000"/>
            </w:tcBorders>
            <w:shd w:val="clear" w:color="auto" w:fill="auto"/>
            <w:vAlign w:val="center"/>
            <w:hideMark/>
          </w:tcPr>
          <w:p w14:paraId="32F8A279"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8" w:space="0" w:color="auto"/>
              <w:right w:val="single" w:sz="4" w:space="0" w:color="auto"/>
            </w:tcBorders>
            <w:shd w:val="clear" w:color="auto" w:fill="auto"/>
            <w:vAlign w:val="center"/>
            <w:hideMark/>
          </w:tcPr>
          <w:p w14:paraId="077DCD7C"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w:t>
            </w:r>
          </w:p>
        </w:tc>
        <w:tc>
          <w:tcPr>
            <w:tcW w:w="990" w:type="dxa"/>
            <w:tcBorders>
              <w:top w:val="nil"/>
              <w:left w:val="nil"/>
              <w:bottom w:val="single" w:sz="8" w:space="0" w:color="auto"/>
              <w:right w:val="single" w:sz="12" w:space="0" w:color="auto"/>
            </w:tcBorders>
            <w:shd w:val="clear" w:color="auto" w:fill="auto"/>
            <w:vAlign w:val="center"/>
            <w:hideMark/>
          </w:tcPr>
          <w:p w14:paraId="0040B324"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w:t>
            </w:r>
          </w:p>
        </w:tc>
        <w:tc>
          <w:tcPr>
            <w:tcW w:w="900" w:type="dxa"/>
            <w:tcBorders>
              <w:top w:val="nil"/>
              <w:left w:val="single" w:sz="12" w:space="0" w:color="auto"/>
              <w:bottom w:val="single" w:sz="8" w:space="0" w:color="auto"/>
              <w:right w:val="single" w:sz="4" w:space="0" w:color="auto"/>
            </w:tcBorders>
            <w:shd w:val="clear" w:color="000000" w:fill="E2EFDA"/>
            <w:vAlign w:val="center"/>
            <w:hideMark/>
          </w:tcPr>
          <w:p w14:paraId="4D251C2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w:t>
            </w:r>
          </w:p>
        </w:tc>
        <w:tc>
          <w:tcPr>
            <w:tcW w:w="900" w:type="dxa"/>
            <w:tcBorders>
              <w:top w:val="nil"/>
              <w:left w:val="single" w:sz="4" w:space="0" w:color="auto"/>
              <w:bottom w:val="single" w:sz="8" w:space="0" w:color="auto"/>
              <w:right w:val="single" w:sz="4" w:space="0" w:color="auto"/>
            </w:tcBorders>
            <w:shd w:val="clear" w:color="000000" w:fill="FCE4D6"/>
            <w:vAlign w:val="center"/>
            <w:hideMark/>
          </w:tcPr>
          <w:p w14:paraId="23B7021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r>
      <w:tr w:rsidR="00A25211" w:rsidRPr="00026AFA" w14:paraId="6205D005" w14:textId="77777777" w:rsidTr="00A25211">
        <w:trPr>
          <w:trHeight w:val="765"/>
        </w:trPr>
        <w:tc>
          <w:tcPr>
            <w:tcW w:w="429" w:type="dxa"/>
            <w:tcBorders>
              <w:top w:val="single" w:sz="8" w:space="0" w:color="auto"/>
              <w:left w:val="single" w:sz="4" w:space="0" w:color="auto"/>
              <w:bottom w:val="single" w:sz="4" w:space="0" w:color="auto"/>
              <w:right w:val="single" w:sz="4" w:space="0" w:color="auto"/>
            </w:tcBorders>
            <w:shd w:val="clear" w:color="auto" w:fill="auto"/>
            <w:noWrap/>
            <w:vAlign w:val="center"/>
          </w:tcPr>
          <w:p w14:paraId="7055976A" w14:textId="77777777" w:rsidR="00A25211" w:rsidRPr="00026AFA" w:rsidRDefault="00A25211" w:rsidP="00A25211">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28</w:t>
            </w:r>
          </w:p>
        </w:tc>
        <w:tc>
          <w:tcPr>
            <w:tcW w:w="1371" w:type="dxa"/>
            <w:tcBorders>
              <w:top w:val="single" w:sz="8" w:space="0" w:color="auto"/>
              <w:left w:val="nil"/>
              <w:bottom w:val="single" w:sz="4" w:space="0" w:color="auto"/>
              <w:right w:val="single" w:sz="4" w:space="0" w:color="auto"/>
            </w:tcBorders>
            <w:shd w:val="clear" w:color="auto" w:fill="auto"/>
            <w:noWrap/>
            <w:vAlign w:val="center"/>
          </w:tcPr>
          <w:p w14:paraId="1E9EC308" w14:textId="77777777" w:rsidR="00A25211" w:rsidRPr="00026AFA" w:rsidRDefault="00A25211" w:rsidP="00A2521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704.19(a)</w:t>
            </w:r>
          </w:p>
        </w:tc>
        <w:tc>
          <w:tcPr>
            <w:tcW w:w="4950" w:type="dxa"/>
            <w:tcBorders>
              <w:top w:val="single" w:sz="8" w:space="0" w:color="auto"/>
              <w:left w:val="nil"/>
              <w:bottom w:val="single" w:sz="4" w:space="0" w:color="auto"/>
              <w:right w:val="nil"/>
            </w:tcBorders>
            <w:shd w:val="clear" w:color="auto" w:fill="auto"/>
            <w:vAlign w:val="center"/>
          </w:tcPr>
          <w:p w14:paraId="4BACD7C2" w14:textId="77777777" w:rsidR="00A25211" w:rsidRPr="00026AFA" w:rsidRDefault="00A25211" w:rsidP="00A25211">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Disclosure of Executive Compensation.  A Corporate CU must annually prepare and maintain a disclosure of the dollar amount of compensation paid to its most highly compensated employees, including compensation from any corporate CUSO in which the corporate has invested or made a loan.</w:t>
            </w:r>
          </w:p>
        </w:tc>
        <w:tc>
          <w:tcPr>
            <w:tcW w:w="1080" w:type="dxa"/>
            <w:tcBorders>
              <w:top w:val="single" w:sz="8" w:space="0" w:color="auto"/>
              <w:left w:val="single" w:sz="8" w:space="0" w:color="auto"/>
              <w:bottom w:val="single" w:sz="4" w:space="0" w:color="auto"/>
              <w:right w:val="single" w:sz="4" w:space="0" w:color="auto"/>
            </w:tcBorders>
            <w:shd w:val="clear" w:color="auto" w:fill="auto"/>
            <w:vAlign w:val="center"/>
          </w:tcPr>
          <w:p w14:paraId="40DDFCC0" w14:textId="77777777" w:rsidR="00A25211" w:rsidRPr="00026AFA" w:rsidRDefault="00A25211" w:rsidP="00A25211">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Record- keeping</w:t>
            </w:r>
          </w:p>
        </w:tc>
        <w:tc>
          <w:tcPr>
            <w:tcW w:w="900" w:type="dxa"/>
            <w:tcBorders>
              <w:top w:val="single" w:sz="8" w:space="0" w:color="auto"/>
              <w:left w:val="single" w:sz="12" w:space="0" w:color="auto"/>
              <w:bottom w:val="single" w:sz="4" w:space="0" w:color="000000"/>
              <w:right w:val="single" w:sz="4" w:space="0" w:color="auto"/>
            </w:tcBorders>
            <w:shd w:val="clear" w:color="auto" w:fill="auto"/>
            <w:vAlign w:val="center"/>
          </w:tcPr>
          <w:p w14:paraId="1F363256" w14:textId="77777777" w:rsidR="00A25211" w:rsidRPr="00026AFA" w:rsidRDefault="00A25211" w:rsidP="00A25211">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11</w:t>
            </w:r>
          </w:p>
        </w:tc>
        <w:tc>
          <w:tcPr>
            <w:tcW w:w="990" w:type="dxa"/>
            <w:tcBorders>
              <w:top w:val="single" w:sz="8" w:space="0" w:color="auto"/>
              <w:left w:val="nil"/>
              <w:bottom w:val="single" w:sz="4" w:space="0" w:color="000000"/>
              <w:right w:val="single" w:sz="4" w:space="0" w:color="000000"/>
            </w:tcBorders>
            <w:shd w:val="clear" w:color="auto" w:fill="auto"/>
            <w:vAlign w:val="center"/>
          </w:tcPr>
          <w:p w14:paraId="7D35C5E2" w14:textId="77777777" w:rsidR="00A25211" w:rsidRPr="00026AFA" w:rsidRDefault="00A25211" w:rsidP="00A25211">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single" w:sz="8" w:space="0" w:color="auto"/>
              <w:left w:val="nil"/>
              <w:bottom w:val="single" w:sz="4" w:space="0" w:color="000000"/>
              <w:right w:val="single" w:sz="4" w:space="0" w:color="000000"/>
            </w:tcBorders>
            <w:shd w:val="clear" w:color="auto" w:fill="auto"/>
            <w:vAlign w:val="center"/>
          </w:tcPr>
          <w:p w14:paraId="12F57B98" w14:textId="77777777" w:rsidR="00A25211" w:rsidRPr="00026AFA" w:rsidRDefault="00A25211" w:rsidP="00A25211">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11</w:t>
            </w:r>
          </w:p>
        </w:tc>
        <w:tc>
          <w:tcPr>
            <w:tcW w:w="900" w:type="dxa"/>
            <w:tcBorders>
              <w:top w:val="single" w:sz="8" w:space="0" w:color="auto"/>
              <w:left w:val="nil"/>
              <w:bottom w:val="single" w:sz="4" w:space="0" w:color="000000"/>
              <w:right w:val="single" w:sz="4" w:space="0" w:color="auto"/>
            </w:tcBorders>
            <w:shd w:val="clear" w:color="auto" w:fill="auto"/>
            <w:vAlign w:val="center"/>
          </w:tcPr>
          <w:p w14:paraId="6E933FDF" w14:textId="77777777" w:rsidR="00A25211" w:rsidRPr="00026AFA" w:rsidRDefault="00A25211" w:rsidP="00A25211">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w:t>
            </w:r>
          </w:p>
        </w:tc>
        <w:tc>
          <w:tcPr>
            <w:tcW w:w="990" w:type="dxa"/>
            <w:tcBorders>
              <w:top w:val="single" w:sz="8" w:space="0" w:color="auto"/>
              <w:left w:val="nil"/>
              <w:bottom w:val="single" w:sz="4" w:space="0" w:color="auto"/>
              <w:right w:val="single" w:sz="12" w:space="0" w:color="auto"/>
            </w:tcBorders>
            <w:shd w:val="clear" w:color="auto" w:fill="auto"/>
            <w:vAlign w:val="center"/>
          </w:tcPr>
          <w:p w14:paraId="22063D0F" w14:textId="77777777" w:rsidR="00A25211" w:rsidRPr="00026AFA" w:rsidRDefault="00A25211" w:rsidP="00A25211">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88</w:t>
            </w:r>
          </w:p>
        </w:tc>
        <w:tc>
          <w:tcPr>
            <w:tcW w:w="900" w:type="dxa"/>
            <w:tcBorders>
              <w:top w:val="single" w:sz="8" w:space="0" w:color="auto"/>
              <w:left w:val="single" w:sz="12" w:space="0" w:color="auto"/>
              <w:bottom w:val="single" w:sz="4" w:space="0" w:color="auto"/>
              <w:right w:val="single" w:sz="4" w:space="0" w:color="auto"/>
            </w:tcBorders>
            <w:shd w:val="clear" w:color="000000" w:fill="E2EFDA"/>
            <w:vAlign w:val="center"/>
          </w:tcPr>
          <w:p w14:paraId="6461236A" w14:textId="77777777" w:rsidR="00A25211" w:rsidRPr="00026AFA" w:rsidRDefault="00A25211" w:rsidP="00A25211">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96</w:t>
            </w:r>
          </w:p>
        </w:tc>
        <w:tc>
          <w:tcPr>
            <w:tcW w:w="900" w:type="dxa"/>
            <w:tcBorders>
              <w:top w:val="single" w:sz="8" w:space="0" w:color="auto"/>
              <w:left w:val="single" w:sz="4" w:space="0" w:color="auto"/>
              <w:bottom w:val="single" w:sz="4" w:space="0" w:color="auto"/>
              <w:right w:val="single" w:sz="4" w:space="0" w:color="auto"/>
            </w:tcBorders>
            <w:shd w:val="clear" w:color="000000" w:fill="FCE4D6"/>
            <w:vAlign w:val="center"/>
          </w:tcPr>
          <w:p w14:paraId="7D9897D5" w14:textId="77777777" w:rsidR="00A25211" w:rsidRPr="00026AFA" w:rsidRDefault="00A25211" w:rsidP="00A25211">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-8</w:t>
            </w:r>
          </w:p>
        </w:tc>
      </w:tr>
      <w:tr w:rsidR="00026AFA" w:rsidRPr="00026AFA" w14:paraId="11CF96E2" w14:textId="77777777" w:rsidTr="00026AFA">
        <w:trPr>
          <w:trHeight w:val="1275"/>
        </w:trPr>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0FBB0C2B"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29</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15CE921C" w14:textId="77777777" w:rsidR="00026AFA" w:rsidRPr="00026AFA" w:rsidRDefault="00026AFA" w:rsidP="00A25211">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704.19(d)(1)</w:t>
            </w:r>
          </w:p>
        </w:tc>
        <w:tc>
          <w:tcPr>
            <w:tcW w:w="4950" w:type="dxa"/>
            <w:tcBorders>
              <w:top w:val="single" w:sz="4" w:space="0" w:color="auto"/>
              <w:left w:val="nil"/>
              <w:bottom w:val="single" w:sz="4" w:space="0" w:color="auto"/>
              <w:right w:val="nil"/>
            </w:tcBorders>
            <w:shd w:val="clear" w:color="auto" w:fill="auto"/>
            <w:vAlign w:val="center"/>
            <w:hideMark/>
          </w:tcPr>
          <w:p w14:paraId="30C7F066"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Merger Related Disclosures.  With respect to any merger involving a Corporate CU that would result in a material increase in compensation for any senior executive officer or director of the merging corporate, the corporate must: (1) Describe the compensation arrangement in the merger plan documents submitted to NCUA for approval of the merger.</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15E43B0"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Reporting</w:t>
            </w:r>
          </w:p>
        </w:tc>
        <w:tc>
          <w:tcPr>
            <w:tcW w:w="900" w:type="dxa"/>
            <w:tcBorders>
              <w:top w:val="nil"/>
              <w:left w:val="single" w:sz="12" w:space="0" w:color="auto"/>
              <w:bottom w:val="single" w:sz="4" w:space="0" w:color="auto"/>
              <w:right w:val="single" w:sz="4" w:space="0" w:color="auto"/>
            </w:tcBorders>
            <w:shd w:val="clear" w:color="auto" w:fill="auto"/>
            <w:vAlign w:val="center"/>
            <w:hideMark/>
          </w:tcPr>
          <w:p w14:paraId="1857671F"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nil"/>
              <w:left w:val="nil"/>
              <w:bottom w:val="single" w:sz="4" w:space="0" w:color="auto"/>
              <w:right w:val="single" w:sz="4" w:space="0" w:color="000000"/>
            </w:tcBorders>
            <w:shd w:val="clear" w:color="auto" w:fill="auto"/>
            <w:vAlign w:val="center"/>
            <w:hideMark/>
          </w:tcPr>
          <w:p w14:paraId="6C1BBBD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auto"/>
              <w:right w:val="single" w:sz="4" w:space="0" w:color="000000"/>
            </w:tcBorders>
            <w:shd w:val="clear" w:color="auto" w:fill="auto"/>
            <w:vAlign w:val="center"/>
            <w:hideMark/>
          </w:tcPr>
          <w:p w14:paraId="7F033469"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38FE930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40</w:t>
            </w:r>
          </w:p>
        </w:tc>
        <w:tc>
          <w:tcPr>
            <w:tcW w:w="990" w:type="dxa"/>
            <w:tcBorders>
              <w:top w:val="nil"/>
              <w:left w:val="nil"/>
              <w:bottom w:val="single" w:sz="4" w:space="0" w:color="auto"/>
              <w:right w:val="single" w:sz="12" w:space="0" w:color="auto"/>
            </w:tcBorders>
            <w:shd w:val="clear" w:color="auto" w:fill="auto"/>
            <w:vAlign w:val="center"/>
            <w:hideMark/>
          </w:tcPr>
          <w:p w14:paraId="195A9F1A"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40</w:t>
            </w:r>
          </w:p>
        </w:tc>
        <w:tc>
          <w:tcPr>
            <w:tcW w:w="900" w:type="dxa"/>
            <w:tcBorders>
              <w:top w:val="nil"/>
              <w:left w:val="single" w:sz="12" w:space="0" w:color="auto"/>
              <w:bottom w:val="single" w:sz="4" w:space="0" w:color="auto"/>
              <w:right w:val="single" w:sz="4" w:space="0" w:color="auto"/>
            </w:tcBorders>
            <w:shd w:val="clear" w:color="000000" w:fill="E2EFDA"/>
            <w:vAlign w:val="center"/>
            <w:hideMark/>
          </w:tcPr>
          <w:p w14:paraId="44966716"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40</w:t>
            </w:r>
          </w:p>
        </w:tc>
        <w:tc>
          <w:tcPr>
            <w:tcW w:w="900" w:type="dxa"/>
            <w:tcBorders>
              <w:top w:val="nil"/>
              <w:left w:val="single" w:sz="4" w:space="0" w:color="auto"/>
              <w:bottom w:val="single" w:sz="4" w:space="0" w:color="auto"/>
              <w:right w:val="single" w:sz="4" w:space="0" w:color="auto"/>
            </w:tcBorders>
            <w:shd w:val="clear" w:color="000000" w:fill="FCE4D6"/>
            <w:vAlign w:val="center"/>
            <w:hideMark/>
          </w:tcPr>
          <w:p w14:paraId="58FD8B23"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0</w:t>
            </w:r>
          </w:p>
        </w:tc>
      </w:tr>
      <w:tr w:rsidR="00026AFA" w:rsidRPr="00026AFA" w14:paraId="15F6D6A5" w14:textId="77777777" w:rsidTr="00026AFA">
        <w:trPr>
          <w:trHeight w:val="1035"/>
        </w:trPr>
        <w:tc>
          <w:tcPr>
            <w:tcW w:w="429"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63DC156B" w14:textId="77777777" w:rsidR="00026AFA" w:rsidRPr="00026AFA" w:rsidRDefault="00026AFA" w:rsidP="00026AFA">
            <w:pPr>
              <w:spacing w:after="0" w:line="240" w:lineRule="auto"/>
              <w:jc w:val="center"/>
              <w:rPr>
                <w:rFonts w:ascii="Arial Narrow" w:eastAsia="Times New Roman" w:hAnsi="Arial Narrow" w:cs="Arial"/>
                <w:color w:val="000000"/>
                <w:sz w:val="18"/>
                <w:szCs w:val="18"/>
              </w:rPr>
            </w:pPr>
            <w:r w:rsidRPr="00026AFA">
              <w:rPr>
                <w:rFonts w:ascii="Arial Narrow" w:eastAsia="Times New Roman" w:hAnsi="Arial Narrow" w:cs="Arial"/>
                <w:color w:val="000000"/>
                <w:sz w:val="18"/>
                <w:szCs w:val="18"/>
              </w:rPr>
              <w:t>30</w:t>
            </w:r>
          </w:p>
        </w:tc>
        <w:tc>
          <w:tcPr>
            <w:tcW w:w="1371" w:type="dxa"/>
            <w:tcBorders>
              <w:top w:val="single" w:sz="4" w:space="0" w:color="auto"/>
              <w:left w:val="nil"/>
              <w:bottom w:val="single" w:sz="12" w:space="0" w:color="auto"/>
              <w:right w:val="single" w:sz="4" w:space="0" w:color="auto"/>
            </w:tcBorders>
            <w:shd w:val="clear" w:color="auto" w:fill="auto"/>
            <w:vAlign w:val="center"/>
            <w:hideMark/>
          </w:tcPr>
          <w:p w14:paraId="0D2EA85A" w14:textId="77777777" w:rsidR="00026AFA" w:rsidRPr="00026AFA" w:rsidRDefault="00026AFA" w:rsidP="00026AFA">
            <w:pPr>
              <w:spacing w:after="0" w:line="240" w:lineRule="auto"/>
              <w:rPr>
                <w:rFonts w:ascii="Arial" w:eastAsia="Times New Roman" w:hAnsi="Arial" w:cs="Arial"/>
                <w:color w:val="000000"/>
                <w:sz w:val="18"/>
                <w:szCs w:val="18"/>
              </w:rPr>
            </w:pPr>
            <w:r w:rsidRPr="00026AFA">
              <w:rPr>
                <w:rFonts w:ascii="Arial" w:eastAsia="Times New Roman" w:hAnsi="Arial" w:cs="Arial"/>
                <w:color w:val="000000"/>
                <w:sz w:val="18"/>
                <w:szCs w:val="18"/>
              </w:rPr>
              <w:t>704.19(d)(2)</w:t>
            </w:r>
          </w:p>
        </w:tc>
        <w:tc>
          <w:tcPr>
            <w:tcW w:w="4950" w:type="dxa"/>
            <w:tcBorders>
              <w:top w:val="single" w:sz="4" w:space="0" w:color="auto"/>
              <w:left w:val="nil"/>
              <w:bottom w:val="single" w:sz="12" w:space="0" w:color="auto"/>
              <w:right w:val="nil"/>
            </w:tcBorders>
            <w:shd w:val="clear" w:color="auto" w:fill="auto"/>
            <w:vAlign w:val="center"/>
            <w:hideMark/>
          </w:tcPr>
          <w:p w14:paraId="51FD4F8C" w14:textId="77777777" w:rsidR="00026AFA" w:rsidRPr="00026AFA" w:rsidRDefault="00026AFA" w:rsidP="00026AFA">
            <w:pPr>
              <w:spacing w:after="0" w:line="240" w:lineRule="auto"/>
              <w:rPr>
                <w:rFonts w:ascii="Arial Narrow" w:eastAsia="Times New Roman" w:hAnsi="Arial Narrow" w:cs="Calibri"/>
                <w:color w:val="000000"/>
                <w:sz w:val="20"/>
                <w:szCs w:val="20"/>
              </w:rPr>
            </w:pPr>
            <w:r w:rsidRPr="00026AFA">
              <w:rPr>
                <w:rFonts w:ascii="Arial Narrow" w:eastAsia="Times New Roman" w:hAnsi="Arial Narrow" w:cs="Calibri"/>
                <w:color w:val="000000"/>
                <w:sz w:val="20"/>
                <w:szCs w:val="20"/>
              </w:rPr>
              <w:t>Special rule for mergers. In the case of any federally chartered corporate CU, describe the compensation arrangement in the materials provided to the membership of the merging credit union before the member vote on approving the merger.</w:t>
            </w:r>
          </w:p>
        </w:tc>
        <w:tc>
          <w:tcPr>
            <w:tcW w:w="1080" w:type="dxa"/>
            <w:tcBorders>
              <w:top w:val="single" w:sz="4" w:space="0" w:color="auto"/>
              <w:left w:val="single" w:sz="8" w:space="0" w:color="auto"/>
              <w:bottom w:val="single" w:sz="12" w:space="0" w:color="auto"/>
              <w:right w:val="single" w:sz="4" w:space="0" w:color="auto"/>
            </w:tcBorders>
            <w:shd w:val="clear" w:color="auto" w:fill="auto"/>
            <w:vAlign w:val="center"/>
            <w:hideMark/>
          </w:tcPr>
          <w:p w14:paraId="7DE1994E" w14:textId="77777777" w:rsidR="00026AFA" w:rsidRPr="00026AFA" w:rsidRDefault="00026AFA" w:rsidP="00026AFA">
            <w:pPr>
              <w:spacing w:after="0" w:line="240" w:lineRule="auto"/>
              <w:rPr>
                <w:rFonts w:ascii="Arial Narrow" w:eastAsia="Times New Roman" w:hAnsi="Arial Narrow" w:cs="Calibri"/>
                <w:color w:val="000000"/>
                <w:sz w:val="18"/>
                <w:szCs w:val="18"/>
              </w:rPr>
            </w:pPr>
            <w:r w:rsidRPr="00026AFA">
              <w:rPr>
                <w:rFonts w:ascii="Arial Narrow" w:eastAsia="Times New Roman" w:hAnsi="Arial Narrow" w:cs="Calibri"/>
                <w:color w:val="000000"/>
                <w:sz w:val="18"/>
                <w:szCs w:val="18"/>
              </w:rPr>
              <w:t>Third-party disclosure</w:t>
            </w:r>
          </w:p>
        </w:tc>
        <w:tc>
          <w:tcPr>
            <w:tcW w:w="90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52C3314F"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single" w:sz="4" w:space="0" w:color="auto"/>
              <w:left w:val="nil"/>
              <w:bottom w:val="single" w:sz="12" w:space="0" w:color="auto"/>
              <w:right w:val="single" w:sz="4" w:space="0" w:color="000000"/>
            </w:tcBorders>
            <w:shd w:val="clear" w:color="auto" w:fill="auto"/>
            <w:noWrap/>
            <w:vAlign w:val="center"/>
            <w:hideMark/>
          </w:tcPr>
          <w:p w14:paraId="254773CD"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single" w:sz="4" w:space="0" w:color="auto"/>
              <w:left w:val="nil"/>
              <w:bottom w:val="single" w:sz="12" w:space="0" w:color="auto"/>
              <w:right w:val="single" w:sz="4" w:space="0" w:color="000000"/>
            </w:tcBorders>
            <w:shd w:val="clear" w:color="auto" w:fill="auto"/>
            <w:vAlign w:val="center"/>
            <w:hideMark/>
          </w:tcPr>
          <w:p w14:paraId="4132399E"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single" w:sz="4" w:space="0" w:color="auto"/>
              <w:left w:val="nil"/>
              <w:bottom w:val="single" w:sz="12" w:space="0" w:color="auto"/>
              <w:right w:val="single" w:sz="4" w:space="0" w:color="auto"/>
            </w:tcBorders>
            <w:shd w:val="clear" w:color="auto" w:fill="auto"/>
            <w:noWrap/>
            <w:vAlign w:val="center"/>
            <w:hideMark/>
          </w:tcPr>
          <w:p w14:paraId="3ED93A71"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90" w:type="dxa"/>
            <w:tcBorders>
              <w:top w:val="single" w:sz="4" w:space="0" w:color="auto"/>
              <w:left w:val="nil"/>
              <w:bottom w:val="single" w:sz="12" w:space="0" w:color="auto"/>
              <w:right w:val="single" w:sz="12" w:space="0" w:color="auto"/>
            </w:tcBorders>
            <w:shd w:val="clear" w:color="auto" w:fill="auto"/>
            <w:vAlign w:val="center"/>
            <w:hideMark/>
          </w:tcPr>
          <w:p w14:paraId="2EA3C4F0"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w:t>
            </w:r>
          </w:p>
        </w:tc>
        <w:tc>
          <w:tcPr>
            <w:tcW w:w="900" w:type="dxa"/>
            <w:tcBorders>
              <w:top w:val="single" w:sz="4" w:space="0" w:color="auto"/>
              <w:left w:val="single" w:sz="12" w:space="0" w:color="auto"/>
              <w:bottom w:val="single" w:sz="12" w:space="0" w:color="auto"/>
              <w:right w:val="single" w:sz="4" w:space="0" w:color="auto"/>
            </w:tcBorders>
            <w:shd w:val="clear" w:color="000000" w:fill="E2EFDA"/>
            <w:vAlign w:val="center"/>
            <w:hideMark/>
          </w:tcPr>
          <w:p w14:paraId="5BC6F464" w14:textId="77777777" w:rsidR="00026AFA" w:rsidRPr="00026AFA" w:rsidRDefault="007F610E" w:rsidP="007F610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900" w:type="dxa"/>
            <w:tcBorders>
              <w:top w:val="single" w:sz="4" w:space="0" w:color="auto"/>
              <w:left w:val="nil"/>
              <w:bottom w:val="single" w:sz="8" w:space="0" w:color="auto"/>
              <w:right w:val="single" w:sz="4" w:space="0" w:color="auto"/>
            </w:tcBorders>
            <w:shd w:val="clear" w:color="000000" w:fill="FCE4D6"/>
            <w:vAlign w:val="center"/>
            <w:hideMark/>
          </w:tcPr>
          <w:p w14:paraId="7A9A8BEC" w14:textId="77777777" w:rsidR="00026AFA" w:rsidRPr="00026AFA" w:rsidRDefault="007F610E" w:rsidP="007F610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w:t>
            </w:r>
          </w:p>
        </w:tc>
      </w:tr>
      <w:tr w:rsidR="00026AFA" w:rsidRPr="00026AFA" w14:paraId="381E513C" w14:textId="77777777" w:rsidTr="005E54E7">
        <w:trPr>
          <w:trHeight w:val="529"/>
        </w:trPr>
        <w:tc>
          <w:tcPr>
            <w:tcW w:w="429" w:type="dxa"/>
            <w:tcBorders>
              <w:top w:val="single" w:sz="12" w:space="0" w:color="auto"/>
              <w:left w:val="nil"/>
              <w:bottom w:val="nil"/>
              <w:right w:val="nil"/>
            </w:tcBorders>
            <w:shd w:val="clear" w:color="auto" w:fill="auto"/>
            <w:noWrap/>
            <w:vAlign w:val="center"/>
            <w:hideMark/>
          </w:tcPr>
          <w:p w14:paraId="39953FCC" w14:textId="77777777" w:rsidR="00026AFA" w:rsidRPr="00026AFA" w:rsidRDefault="00026AFA" w:rsidP="00026AFA">
            <w:pPr>
              <w:spacing w:after="0" w:line="240" w:lineRule="auto"/>
              <w:jc w:val="right"/>
              <w:rPr>
                <w:rFonts w:ascii="Arial Narrow" w:eastAsia="Times New Roman" w:hAnsi="Arial Narrow" w:cs="Arial"/>
                <w:color w:val="000000"/>
                <w:sz w:val="18"/>
                <w:szCs w:val="18"/>
              </w:rPr>
            </w:pPr>
          </w:p>
        </w:tc>
        <w:tc>
          <w:tcPr>
            <w:tcW w:w="7401" w:type="dxa"/>
            <w:gridSpan w:val="3"/>
            <w:tcBorders>
              <w:top w:val="single" w:sz="12" w:space="0" w:color="auto"/>
              <w:left w:val="single" w:sz="8" w:space="0" w:color="auto"/>
              <w:bottom w:val="single" w:sz="8" w:space="0" w:color="auto"/>
              <w:right w:val="single" w:sz="12" w:space="0" w:color="000000"/>
            </w:tcBorders>
            <w:shd w:val="clear" w:color="auto" w:fill="auto"/>
            <w:vAlign w:val="center"/>
            <w:hideMark/>
          </w:tcPr>
          <w:p w14:paraId="2DBD565E" w14:textId="6B3CE87E" w:rsidR="00026AFA" w:rsidRPr="00026AFA" w:rsidRDefault="005E54E7" w:rsidP="00241B9E">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TOTALS </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53A7252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11</w:t>
            </w:r>
          </w:p>
        </w:tc>
        <w:tc>
          <w:tcPr>
            <w:tcW w:w="990" w:type="dxa"/>
            <w:tcBorders>
              <w:top w:val="single" w:sz="12" w:space="0" w:color="auto"/>
              <w:left w:val="nil"/>
              <w:bottom w:val="single" w:sz="12" w:space="0" w:color="auto"/>
              <w:right w:val="single" w:sz="4" w:space="0" w:color="auto"/>
            </w:tcBorders>
            <w:shd w:val="clear" w:color="auto" w:fill="F2F2F2" w:themeFill="background1" w:themeFillShade="F2"/>
            <w:vAlign w:val="center"/>
          </w:tcPr>
          <w:p w14:paraId="4E48E3D8" w14:textId="77777777" w:rsidR="00026AFA" w:rsidRPr="00026AFA" w:rsidRDefault="00026AFA" w:rsidP="00026AFA">
            <w:pPr>
              <w:spacing w:after="0" w:line="240" w:lineRule="auto"/>
              <w:jc w:val="right"/>
              <w:rPr>
                <w:rFonts w:ascii="Arial" w:eastAsia="Times New Roman" w:hAnsi="Arial" w:cs="Arial"/>
                <w:color w:val="000000"/>
                <w:sz w:val="18"/>
                <w:szCs w:val="18"/>
              </w:rPr>
            </w:pP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5D59A26B"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207</w:t>
            </w:r>
          </w:p>
        </w:tc>
        <w:tc>
          <w:tcPr>
            <w:tcW w:w="900" w:type="dxa"/>
            <w:tcBorders>
              <w:top w:val="single" w:sz="12" w:space="0" w:color="auto"/>
              <w:left w:val="nil"/>
              <w:bottom w:val="single" w:sz="12" w:space="0" w:color="auto"/>
              <w:right w:val="single" w:sz="4" w:space="0" w:color="auto"/>
            </w:tcBorders>
            <w:shd w:val="clear" w:color="auto" w:fill="F2F2F2" w:themeFill="background1" w:themeFillShade="F2"/>
            <w:vAlign w:val="center"/>
          </w:tcPr>
          <w:p w14:paraId="52B8D19D" w14:textId="77777777" w:rsidR="00026AFA" w:rsidRPr="00026AFA" w:rsidRDefault="00026AFA" w:rsidP="00026AFA">
            <w:pPr>
              <w:spacing w:after="0" w:line="240" w:lineRule="auto"/>
              <w:jc w:val="right"/>
              <w:rPr>
                <w:rFonts w:ascii="Arial" w:eastAsia="Times New Roman" w:hAnsi="Arial" w:cs="Arial"/>
                <w:color w:val="000000"/>
                <w:sz w:val="18"/>
                <w:szCs w:val="18"/>
              </w:rPr>
            </w:pPr>
          </w:p>
        </w:tc>
        <w:tc>
          <w:tcPr>
            <w:tcW w:w="990" w:type="dxa"/>
            <w:tcBorders>
              <w:top w:val="single" w:sz="12" w:space="0" w:color="auto"/>
              <w:left w:val="nil"/>
              <w:bottom w:val="single" w:sz="12" w:space="0" w:color="auto"/>
              <w:right w:val="single" w:sz="12" w:space="0" w:color="auto"/>
            </w:tcBorders>
            <w:shd w:val="clear" w:color="auto" w:fill="auto"/>
            <w:vAlign w:val="center"/>
            <w:hideMark/>
          </w:tcPr>
          <w:p w14:paraId="174E5FB6" w14:textId="77777777" w:rsidR="00026AFA" w:rsidRPr="005E54E7" w:rsidRDefault="00026AFA" w:rsidP="00026AFA">
            <w:pPr>
              <w:spacing w:after="0" w:line="240" w:lineRule="auto"/>
              <w:jc w:val="right"/>
              <w:rPr>
                <w:rFonts w:ascii="Arial" w:eastAsia="Times New Roman" w:hAnsi="Arial" w:cs="Arial"/>
                <w:sz w:val="18"/>
                <w:szCs w:val="18"/>
              </w:rPr>
            </w:pPr>
            <w:r w:rsidRPr="005E54E7">
              <w:rPr>
                <w:rFonts w:ascii="Arial" w:eastAsia="Times New Roman" w:hAnsi="Arial" w:cs="Arial"/>
                <w:sz w:val="18"/>
                <w:szCs w:val="18"/>
              </w:rPr>
              <w:t>495</w:t>
            </w:r>
          </w:p>
        </w:tc>
        <w:tc>
          <w:tcPr>
            <w:tcW w:w="900" w:type="dxa"/>
            <w:tcBorders>
              <w:top w:val="single" w:sz="12" w:space="0" w:color="auto"/>
              <w:left w:val="single" w:sz="12" w:space="0" w:color="auto"/>
              <w:bottom w:val="single" w:sz="12" w:space="0" w:color="auto"/>
              <w:right w:val="single" w:sz="4" w:space="0" w:color="auto"/>
            </w:tcBorders>
            <w:shd w:val="clear" w:color="000000" w:fill="E2EFDA"/>
            <w:vAlign w:val="center"/>
            <w:hideMark/>
          </w:tcPr>
          <w:p w14:paraId="34BA7D45"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483</w:t>
            </w:r>
          </w:p>
        </w:tc>
        <w:tc>
          <w:tcPr>
            <w:tcW w:w="900" w:type="dxa"/>
            <w:tcBorders>
              <w:top w:val="single" w:sz="12" w:space="0" w:color="auto"/>
              <w:left w:val="nil"/>
              <w:bottom w:val="single" w:sz="12" w:space="0" w:color="auto"/>
              <w:right w:val="single" w:sz="4" w:space="0" w:color="auto"/>
            </w:tcBorders>
            <w:shd w:val="clear" w:color="000000" w:fill="FCE4D6"/>
            <w:vAlign w:val="center"/>
            <w:hideMark/>
          </w:tcPr>
          <w:p w14:paraId="716483B9" w14:textId="77777777" w:rsidR="00026AFA" w:rsidRPr="00026AFA" w:rsidRDefault="00026AFA" w:rsidP="00026AFA">
            <w:pPr>
              <w:spacing w:after="0" w:line="240" w:lineRule="auto"/>
              <w:jc w:val="right"/>
              <w:rPr>
                <w:rFonts w:ascii="Arial" w:eastAsia="Times New Roman" w:hAnsi="Arial" w:cs="Arial"/>
                <w:color w:val="000000"/>
                <w:sz w:val="18"/>
                <w:szCs w:val="18"/>
              </w:rPr>
            </w:pPr>
            <w:r w:rsidRPr="00026AFA">
              <w:rPr>
                <w:rFonts w:ascii="Arial" w:eastAsia="Times New Roman" w:hAnsi="Arial" w:cs="Arial"/>
                <w:color w:val="000000"/>
                <w:sz w:val="18"/>
                <w:szCs w:val="18"/>
              </w:rPr>
              <w:t>12.00</w:t>
            </w:r>
          </w:p>
        </w:tc>
      </w:tr>
    </w:tbl>
    <w:p w14:paraId="5D61F299" w14:textId="77777777" w:rsidR="00EC52D2" w:rsidRDefault="00EC52D2" w:rsidP="00EC52D2">
      <w:pPr>
        <w:spacing w:after="0" w:line="240" w:lineRule="auto"/>
        <w:rPr>
          <w:rFonts w:ascii="Times New Roman" w:hAnsi="Times New Roman" w:cs="Times New Roman"/>
          <w:sz w:val="24"/>
          <w:szCs w:val="24"/>
        </w:rPr>
      </w:pPr>
    </w:p>
    <w:p w14:paraId="1044F054" w14:textId="48ECF790" w:rsidR="005E54E7" w:rsidRDefault="005E54E7" w:rsidP="005E54E7">
      <w:pPr>
        <w:rPr>
          <w:rFonts w:ascii="Times New Roman" w:hAnsi="Times New Roman" w:cs="Times New Roman"/>
          <w:sz w:val="24"/>
          <w:szCs w:val="24"/>
        </w:rPr>
      </w:pPr>
    </w:p>
    <w:p w14:paraId="45E22B1A" w14:textId="77777777" w:rsidR="00EC52D2" w:rsidRPr="005E54E7" w:rsidRDefault="00EC52D2" w:rsidP="005E54E7">
      <w:pPr>
        <w:rPr>
          <w:rFonts w:ascii="Times New Roman" w:hAnsi="Times New Roman" w:cs="Times New Roman"/>
          <w:sz w:val="24"/>
          <w:szCs w:val="24"/>
        </w:rPr>
        <w:sectPr w:rsidR="00EC52D2" w:rsidRPr="005E54E7" w:rsidSect="00026AFA">
          <w:pgSz w:w="15840" w:h="12240" w:orient="landscape"/>
          <w:pgMar w:top="720" w:right="720" w:bottom="720" w:left="720" w:header="720" w:footer="720" w:gutter="0"/>
          <w:cols w:space="720"/>
          <w:docGrid w:linePitch="360"/>
        </w:sectPr>
      </w:pPr>
    </w:p>
    <w:p w14:paraId="36901703" w14:textId="24670B76" w:rsidR="00391B8B" w:rsidRPr="00391B8B" w:rsidRDefault="00A25211" w:rsidP="00391B8B">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u w:val="single"/>
        </w:rPr>
        <w:t>Usual and Customary Business Practices</w:t>
      </w:r>
      <w:r>
        <w:rPr>
          <w:rFonts w:ascii="Times New Roman" w:hAnsi="Times New Roman" w:cs="Times New Roman"/>
          <w:sz w:val="24"/>
          <w:szCs w:val="24"/>
        </w:rPr>
        <w:t xml:space="preserve">.  </w:t>
      </w:r>
      <w:r w:rsidR="00EC52D2" w:rsidRPr="00EC52D2">
        <w:rPr>
          <w:rFonts w:ascii="Times New Roman" w:hAnsi="Times New Roman" w:cs="Times New Roman"/>
          <w:sz w:val="24"/>
          <w:szCs w:val="24"/>
        </w:rPr>
        <w:t xml:space="preserve">Part 704’s requirements for a corporate to:  (a) develop and document written policies, plans, and procedures for all aspects of the corporate’s operations; and (b) review and update them as necessary are usual and customary regular business practices.  </w:t>
      </w:r>
      <w:r w:rsidR="00EC52D2" w:rsidRPr="00391B8B">
        <w:rPr>
          <w:rFonts w:ascii="Times New Roman" w:hAnsi="Times New Roman" w:cs="Times New Roman"/>
          <w:sz w:val="24"/>
          <w:szCs w:val="24"/>
        </w:rPr>
        <w:t xml:space="preserve">Therefore, there is no burden associated with the requirements in the following sections:  </w:t>
      </w:r>
    </w:p>
    <w:p w14:paraId="50CFAA40" w14:textId="77777777" w:rsidR="00EC52D2" w:rsidRDefault="00EC52D2" w:rsidP="00EC52D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19"/>
        <w:gridCol w:w="1531"/>
        <w:gridCol w:w="237"/>
        <w:gridCol w:w="1319"/>
        <w:gridCol w:w="1294"/>
        <w:gridCol w:w="236"/>
        <w:gridCol w:w="1352"/>
        <w:gridCol w:w="1284"/>
      </w:tblGrid>
      <w:tr w:rsidR="00D94072" w14:paraId="7202DEEB" w14:textId="77777777" w:rsidTr="00660131">
        <w:tc>
          <w:tcPr>
            <w:tcW w:w="1319" w:type="dxa"/>
            <w:vAlign w:val="center"/>
          </w:tcPr>
          <w:p w14:paraId="49C34320"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704.3(a)(2)</w:t>
            </w:r>
          </w:p>
        </w:tc>
        <w:tc>
          <w:tcPr>
            <w:tcW w:w="1531" w:type="dxa"/>
            <w:vAlign w:val="center"/>
          </w:tcPr>
          <w:p w14:paraId="62F2EF5A"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Record- keeping</w:t>
            </w:r>
          </w:p>
        </w:tc>
        <w:tc>
          <w:tcPr>
            <w:tcW w:w="237" w:type="dxa"/>
            <w:vMerge w:val="restart"/>
          </w:tcPr>
          <w:p w14:paraId="1CD52989" w14:textId="77777777" w:rsidR="00D94072" w:rsidRPr="00A436CE" w:rsidRDefault="00D94072" w:rsidP="00660131">
            <w:pPr>
              <w:rPr>
                <w:rFonts w:ascii="Arial" w:eastAsia="Times New Roman" w:hAnsi="Arial" w:cs="Arial"/>
                <w:color w:val="000000"/>
                <w:sz w:val="18"/>
                <w:szCs w:val="18"/>
              </w:rPr>
            </w:pPr>
          </w:p>
        </w:tc>
        <w:tc>
          <w:tcPr>
            <w:tcW w:w="1319" w:type="dxa"/>
            <w:vAlign w:val="center"/>
          </w:tcPr>
          <w:p w14:paraId="38A73E71"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703.3(c)(6)</w:t>
            </w:r>
          </w:p>
        </w:tc>
        <w:tc>
          <w:tcPr>
            <w:tcW w:w="1294" w:type="dxa"/>
            <w:vAlign w:val="center"/>
          </w:tcPr>
          <w:p w14:paraId="03134E72" w14:textId="77777777" w:rsidR="00D94072" w:rsidRPr="005E54E7" w:rsidRDefault="00D94072" w:rsidP="00660131">
            <w:pPr>
              <w:rPr>
                <w:rFonts w:ascii="Arial" w:eastAsia="Times New Roman" w:hAnsi="Arial" w:cs="Arial"/>
                <w:color w:val="000000"/>
                <w:sz w:val="18"/>
                <w:szCs w:val="18"/>
              </w:rPr>
            </w:pPr>
            <w:r w:rsidRPr="005E54E7">
              <w:rPr>
                <w:rFonts w:ascii="Arial" w:eastAsia="Times New Roman" w:hAnsi="Arial" w:cs="Arial"/>
                <w:color w:val="000000"/>
                <w:sz w:val="18"/>
                <w:szCs w:val="18"/>
              </w:rPr>
              <w:t>Third-party disclosure</w:t>
            </w:r>
          </w:p>
        </w:tc>
        <w:tc>
          <w:tcPr>
            <w:tcW w:w="236" w:type="dxa"/>
            <w:vMerge w:val="restart"/>
          </w:tcPr>
          <w:p w14:paraId="16B51347" w14:textId="77777777" w:rsidR="00D94072" w:rsidRPr="00A436CE" w:rsidRDefault="00D94072" w:rsidP="00660131">
            <w:pPr>
              <w:rPr>
                <w:rFonts w:ascii="Arial" w:eastAsia="Times New Roman" w:hAnsi="Arial" w:cs="Arial"/>
                <w:color w:val="000000"/>
                <w:sz w:val="18"/>
                <w:szCs w:val="18"/>
              </w:rPr>
            </w:pPr>
          </w:p>
        </w:tc>
        <w:tc>
          <w:tcPr>
            <w:tcW w:w="1352" w:type="dxa"/>
            <w:vAlign w:val="center"/>
          </w:tcPr>
          <w:p w14:paraId="3BB1568C"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704.9(a)</w:t>
            </w:r>
          </w:p>
        </w:tc>
        <w:tc>
          <w:tcPr>
            <w:tcW w:w="1284" w:type="dxa"/>
            <w:vAlign w:val="center"/>
          </w:tcPr>
          <w:p w14:paraId="1D521BD8"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Record- keeping</w:t>
            </w:r>
          </w:p>
        </w:tc>
      </w:tr>
      <w:tr w:rsidR="00D94072" w14:paraId="4EF1B715" w14:textId="77777777" w:rsidTr="00660131">
        <w:tc>
          <w:tcPr>
            <w:tcW w:w="1319" w:type="dxa"/>
            <w:vAlign w:val="center"/>
          </w:tcPr>
          <w:p w14:paraId="732ED913"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704.3(b)(2)</w:t>
            </w:r>
          </w:p>
        </w:tc>
        <w:tc>
          <w:tcPr>
            <w:tcW w:w="1531" w:type="dxa"/>
            <w:vAlign w:val="center"/>
          </w:tcPr>
          <w:p w14:paraId="674AA9E8"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Third-party disclosure</w:t>
            </w:r>
          </w:p>
        </w:tc>
        <w:tc>
          <w:tcPr>
            <w:tcW w:w="237" w:type="dxa"/>
            <w:vMerge/>
          </w:tcPr>
          <w:p w14:paraId="36651ACC" w14:textId="77777777" w:rsidR="00D94072" w:rsidRPr="00A436CE" w:rsidRDefault="00D94072" w:rsidP="00660131">
            <w:pPr>
              <w:rPr>
                <w:rFonts w:ascii="Arial" w:eastAsia="Times New Roman" w:hAnsi="Arial" w:cs="Arial"/>
                <w:color w:val="000000"/>
                <w:sz w:val="18"/>
                <w:szCs w:val="18"/>
              </w:rPr>
            </w:pPr>
          </w:p>
        </w:tc>
        <w:tc>
          <w:tcPr>
            <w:tcW w:w="1319" w:type="dxa"/>
            <w:vAlign w:val="center"/>
          </w:tcPr>
          <w:p w14:paraId="5FC1E511"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704.5 (e)(4)</w:t>
            </w:r>
          </w:p>
        </w:tc>
        <w:tc>
          <w:tcPr>
            <w:tcW w:w="1294" w:type="dxa"/>
            <w:vAlign w:val="center"/>
          </w:tcPr>
          <w:p w14:paraId="2C7D98AA"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Record- keeping</w:t>
            </w:r>
          </w:p>
        </w:tc>
        <w:tc>
          <w:tcPr>
            <w:tcW w:w="236" w:type="dxa"/>
            <w:vMerge/>
          </w:tcPr>
          <w:p w14:paraId="69568347" w14:textId="77777777" w:rsidR="00D94072" w:rsidRPr="00A436CE" w:rsidRDefault="00D94072" w:rsidP="00660131">
            <w:pPr>
              <w:rPr>
                <w:rFonts w:ascii="Arial" w:eastAsia="Times New Roman" w:hAnsi="Arial" w:cs="Arial"/>
                <w:color w:val="000000"/>
                <w:sz w:val="18"/>
                <w:szCs w:val="18"/>
              </w:rPr>
            </w:pPr>
          </w:p>
        </w:tc>
        <w:tc>
          <w:tcPr>
            <w:tcW w:w="1352" w:type="dxa"/>
            <w:vAlign w:val="center"/>
          </w:tcPr>
          <w:p w14:paraId="36F72C9C"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704.11(d)(2)</w:t>
            </w:r>
          </w:p>
        </w:tc>
        <w:tc>
          <w:tcPr>
            <w:tcW w:w="1284" w:type="dxa"/>
            <w:vAlign w:val="center"/>
          </w:tcPr>
          <w:p w14:paraId="43773324"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Record- keeping</w:t>
            </w:r>
          </w:p>
        </w:tc>
      </w:tr>
      <w:tr w:rsidR="00D94072" w14:paraId="50085A5D" w14:textId="77777777" w:rsidTr="00660131">
        <w:tc>
          <w:tcPr>
            <w:tcW w:w="1319" w:type="dxa"/>
            <w:vAlign w:val="center"/>
          </w:tcPr>
          <w:p w14:paraId="2A0973A7"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703.3(c)(1)</w:t>
            </w:r>
          </w:p>
        </w:tc>
        <w:tc>
          <w:tcPr>
            <w:tcW w:w="1531" w:type="dxa"/>
            <w:vAlign w:val="center"/>
          </w:tcPr>
          <w:p w14:paraId="47A68B09"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Third-party disclosure</w:t>
            </w:r>
          </w:p>
        </w:tc>
        <w:tc>
          <w:tcPr>
            <w:tcW w:w="237" w:type="dxa"/>
            <w:vMerge/>
          </w:tcPr>
          <w:p w14:paraId="5B30A90A" w14:textId="77777777" w:rsidR="00D94072" w:rsidRPr="00A436CE" w:rsidRDefault="00D94072" w:rsidP="00660131">
            <w:pPr>
              <w:rPr>
                <w:rFonts w:ascii="Arial" w:eastAsia="Times New Roman" w:hAnsi="Arial" w:cs="Arial"/>
                <w:color w:val="000000"/>
                <w:sz w:val="18"/>
                <w:szCs w:val="18"/>
              </w:rPr>
            </w:pPr>
          </w:p>
        </w:tc>
        <w:tc>
          <w:tcPr>
            <w:tcW w:w="1319" w:type="dxa"/>
            <w:vAlign w:val="center"/>
          </w:tcPr>
          <w:p w14:paraId="74D1DD7D"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704.6(f)(1)</w:t>
            </w:r>
          </w:p>
        </w:tc>
        <w:tc>
          <w:tcPr>
            <w:tcW w:w="1294" w:type="dxa"/>
            <w:vAlign w:val="center"/>
          </w:tcPr>
          <w:p w14:paraId="322B0417"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Record- keeping</w:t>
            </w:r>
          </w:p>
        </w:tc>
        <w:tc>
          <w:tcPr>
            <w:tcW w:w="236" w:type="dxa"/>
            <w:vMerge/>
          </w:tcPr>
          <w:p w14:paraId="3748AD9D" w14:textId="77777777" w:rsidR="00D94072" w:rsidRPr="00A436CE" w:rsidRDefault="00D94072" w:rsidP="00660131">
            <w:pPr>
              <w:rPr>
                <w:rFonts w:ascii="Arial" w:eastAsia="Times New Roman" w:hAnsi="Arial" w:cs="Arial"/>
                <w:color w:val="000000"/>
                <w:sz w:val="18"/>
                <w:szCs w:val="18"/>
              </w:rPr>
            </w:pPr>
          </w:p>
        </w:tc>
        <w:tc>
          <w:tcPr>
            <w:tcW w:w="1352" w:type="dxa"/>
            <w:vAlign w:val="center"/>
          </w:tcPr>
          <w:p w14:paraId="7A392FE8"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 xml:space="preserve">704.13(a) </w:t>
            </w:r>
          </w:p>
        </w:tc>
        <w:tc>
          <w:tcPr>
            <w:tcW w:w="1284" w:type="dxa"/>
            <w:vAlign w:val="center"/>
          </w:tcPr>
          <w:p w14:paraId="7EEFC93E"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Record- keeping</w:t>
            </w:r>
          </w:p>
        </w:tc>
      </w:tr>
      <w:tr w:rsidR="00D94072" w14:paraId="504CE3AC" w14:textId="77777777" w:rsidTr="00660131">
        <w:tc>
          <w:tcPr>
            <w:tcW w:w="1319" w:type="dxa"/>
            <w:vAlign w:val="center"/>
          </w:tcPr>
          <w:p w14:paraId="6B7F91F3"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703.3(c)(2)</w:t>
            </w:r>
          </w:p>
        </w:tc>
        <w:tc>
          <w:tcPr>
            <w:tcW w:w="1531" w:type="dxa"/>
            <w:vAlign w:val="center"/>
          </w:tcPr>
          <w:p w14:paraId="180F1443"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Reporting</w:t>
            </w:r>
          </w:p>
        </w:tc>
        <w:tc>
          <w:tcPr>
            <w:tcW w:w="237" w:type="dxa"/>
            <w:vMerge/>
          </w:tcPr>
          <w:p w14:paraId="158900EB" w14:textId="77777777" w:rsidR="00D94072" w:rsidRPr="00A436CE" w:rsidRDefault="00D94072" w:rsidP="00660131">
            <w:pPr>
              <w:rPr>
                <w:rFonts w:ascii="Arial" w:eastAsia="Times New Roman" w:hAnsi="Arial" w:cs="Arial"/>
                <w:color w:val="000000"/>
                <w:sz w:val="18"/>
                <w:szCs w:val="18"/>
              </w:rPr>
            </w:pPr>
          </w:p>
        </w:tc>
        <w:tc>
          <w:tcPr>
            <w:tcW w:w="1319" w:type="dxa"/>
            <w:vAlign w:val="center"/>
          </w:tcPr>
          <w:p w14:paraId="43F50226"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704.6(g)(2)</w:t>
            </w:r>
          </w:p>
        </w:tc>
        <w:tc>
          <w:tcPr>
            <w:tcW w:w="1294" w:type="dxa"/>
            <w:vAlign w:val="center"/>
          </w:tcPr>
          <w:p w14:paraId="29605049"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Record- keeping</w:t>
            </w:r>
          </w:p>
        </w:tc>
        <w:tc>
          <w:tcPr>
            <w:tcW w:w="236" w:type="dxa"/>
            <w:vMerge/>
          </w:tcPr>
          <w:p w14:paraId="6EF4CA3F" w14:textId="77777777" w:rsidR="00D94072" w:rsidRPr="00A436CE" w:rsidRDefault="00D94072" w:rsidP="00660131">
            <w:pPr>
              <w:rPr>
                <w:rFonts w:ascii="Arial" w:eastAsia="Times New Roman" w:hAnsi="Arial" w:cs="Arial"/>
                <w:color w:val="000000"/>
                <w:sz w:val="18"/>
                <w:szCs w:val="18"/>
              </w:rPr>
            </w:pPr>
          </w:p>
        </w:tc>
        <w:tc>
          <w:tcPr>
            <w:tcW w:w="1352" w:type="dxa"/>
            <w:vAlign w:val="center"/>
          </w:tcPr>
          <w:p w14:paraId="3FFFC8E6"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 xml:space="preserve">704.15(a)(1) </w:t>
            </w:r>
          </w:p>
        </w:tc>
        <w:tc>
          <w:tcPr>
            <w:tcW w:w="1284" w:type="dxa"/>
            <w:vAlign w:val="center"/>
          </w:tcPr>
          <w:p w14:paraId="52CAFCB1"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Reporting</w:t>
            </w:r>
          </w:p>
        </w:tc>
      </w:tr>
      <w:tr w:rsidR="00D94072" w14:paraId="0069C089" w14:textId="77777777" w:rsidTr="00660131">
        <w:tc>
          <w:tcPr>
            <w:tcW w:w="1319" w:type="dxa"/>
            <w:vAlign w:val="center"/>
          </w:tcPr>
          <w:p w14:paraId="30C7215D"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703.3(c)(5)</w:t>
            </w:r>
          </w:p>
        </w:tc>
        <w:tc>
          <w:tcPr>
            <w:tcW w:w="1531" w:type="dxa"/>
            <w:vAlign w:val="center"/>
          </w:tcPr>
          <w:p w14:paraId="6257CB7E"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Third-party disclosure</w:t>
            </w:r>
          </w:p>
        </w:tc>
        <w:tc>
          <w:tcPr>
            <w:tcW w:w="237" w:type="dxa"/>
            <w:vMerge/>
          </w:tcPr>
          <w:p w14:paraId="5D269164" w14:textId="77777777" w:rsidR="00D94072" w:rsidRPr="00A436CE" w:rsidRDefault="00D94072" w:rsidP="00660131">
            <w:pPr>
              <w:rPr>
                <w:rFonts w:ascii="Arial" w:eastAsia="Times New Roman" w:hAnsi="Arial" w:cs="Arial"/>
                <w:color w:val="000000"/>
                <w:sz w:val="18"/>
                <w:szCs w:val="18"/>
              </w:rPr>
            </w:pPr>
          </w:p>
        </w:tc>
        <w:tc>
          <w:tcPr>
            <w:tcW w:w="1319" w:type="dxa"/>
            <w:vAlign w:val="center"/>
          </w:tcPr>
          <w:p w14:paraId="2BA48365"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704.8(a)</w:t>
            </w:r>
          </w:p>
        </w:tc>
        <w:tc>
          <w:tcPr>
            <w:tcW w:w="1294" w:type="dxa"/>
            <w:vAlign w:val="center"/>
          </w:tcPr>
          <w:p w14:paraId="615179E7"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Record- keeping</w:t>
            </w:r>
          </w:p>
        </w:tc>
        <w:tc>
          <w:tcPr>
            <w:tcW w:w="236" w:type="dxa"/>
            <w:vMerge/>
          </w:tcPr>
          <w:p w14:paraId="0DBE8650" w14:textId="77777777" w:rsidR="00D94072" w:rsidRPr="00A436CE" w:rsidRDefault="00D94072" w:rsidP="00660131">
            <w:pPr>
              <w:rPr>
                <w:rFonts w:ascii="Arial" w:eastAsia="Times New Roman" w:hAnsi="Arial" w:cs="Arial"/>
                <w:color w:val="000000"/>
                <w:sz w:val="18"/>
                <w:szCs w:val="18"/>
              </w:rPr>
            </w:pPr>
          </w:p>
        </w:tc>
        <w:tc>
          <w:tcPr>
            <w:tcW w:w="1352" w:type="dxa"/>
            <w:vAlign w:val="center"/>
          </w:tcPr>
          <w:p w14:paraId="6133540C"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704.15(c)(3)</w:t>
            </w:r>
          </w:p>
        </w:tc>
        <w:tc>
          <w:tcPr>
            <w:tcW w:w="1284" w:type="dxa"/>
            <w:vAlign w:val="center"/>
          </w:tcPr>
          <w:p w14:paraId="092C37EA" w14:textId="77777777" w:rsidR="00D94072" w:rsidRPr="00A436CE" w:rsidRDefault="00D94072" w:rsidP="00660131">
            <w:pPr>
              <w:rPr>
                <w:rFonts w:ascii="Arial" w:eastAsia="Times New Roman" w:hAnsi="Arial" w:cs="Arial"/>
                <w:color w:val="000000"/>
                <w:sz w:val="18"/>
                <w:szCs w:val="18"/>
              </w:rPr>
            </w:pPr>
            <w:r w:rsidRPr="00A436CE">
              <w:rPr>
                <w:rFonts w:ascii="Arial" w:eastAsia="Times New Roman" w:hAnsi="Arial" w:cs="Arial"/>
                <w:color w:val="000000"/>
                <w:sz w:val="18"/>
                <w:szCs w:val="18"/>
              </w:rPr>
              <w:t>Reporting</w:t>
            </w:r>
          </w:p>
        </w:tc>
      </w:tr>
    </w:tbl>
    <w:p w14:paraId="740C07E8" w14:textId="77777777" w:rsidR="00D94072" w:rsidRDefault="00D94072" w:rsidP="00D94072">
      <w:pPr>
        <w:spacing w:after="0" w:line="240" w:lineRule="auto"/>
        <w:rPr>
          <w:rFonts w:ascii="Times New Roman" w:hAnsi="Times New Roman" w:cs="Times New Roman"/>
          <w:b/>
          <w:sz w:val="24"/>
          <w:szCs w:val="24"/>
        </w:rPr>
      </w:pPr>
    </w:p>
    <w:p w14:paraId="0C983BB5" w14:textId="0BD0CD6C"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13.</w:t>
      </w:r>
      <w:r w:rsidRPr="00EC52D2">
        <w:rPr>
          <w:rFonts w:ascii="Times New Roman" w:hAnsi="Times New Roman" w:cs="Times New Roman"/>
          <w:b/>
          <w:sz w:val="24"/>
          <w:szCs w:val="24"/>
        </w:rPr>
        <w:tab/>
        <w:t xml:space="preserve">Capital start-up </w:t>
      </w:r>
      <w:r w:rsidR="005E54E7">
        <w:rPr>
          <w:rFonts w:ascii="Times New Roman" w:hAnsi="Times New Roman" w:cs="Times New Roman"/>
          <w:b/>
          <w:sz w:val="24"/>
          <w:szCs w:val="24"/>
        </w:rPr>
        <w:t>or</w:t>
      </w:r>
      <w:r w:rsidRPr="00EC52D2">
        <w:rPr>
          <w:rFonts w:ascii="Times New Roman" w:hAnsi="Times New Roman" w:cs="Times New Roman"/>
          <w:b/>
          <w:sz w:val="24"/>
          <w:szCs w:val="24"/>
        </w:rPr>
        <w:t xml:space="preserve"> on-going operation and maintenance costs.</w:t>
      </w:r>
    </w:p>
    <w:p w14:paraId="2F2B1524" w14:textId="77777777" w:rsidR="003559A1" w:rsidRDefault="003559A1" w:rsidP="00EC52D2">
      <w:pPr>
        <w:pStyle w:val="ListParagraph"/>
        <w:suppressAutoHyphens/>
        <w:ind w:hanging="720"/>
      </w:pPr>
    </w:p>
    <w:p w14:paraId="22D6C864" w14:textId="77777777" w:rsidR="00EC52D2" w:rsidRPr="00EC52D2" w:rsidRDefault="00EC52D2" w:rsidP="00EC52D2">
      <w:pPr>
        <w:pStyle w:val="ListParagraph"/>
        <w:suppressAutoHyphens/>
        <w:ind w:hanging="720"/>
        <w:rPr>
          <w:b/>
        </w:rPr>
      </w:pPr>
      <w:r w:rsidRPr="00EC52D2">
        <w:tab/>
        <w:t>There are no capital or start-up costs.</w:t>
      </w:r>
    </w:p>
    <w:p w14:paraId="24D274A7" w14:textId="77777777" w:rsidR="00EC52D2" w:rsidRPr="00EC52D2" w:rsidRDefault="00EC52D2" w:rsidP="00EC52D2">
      <w:pPr>
        <w:pStyle w:val="ListParagraph"/>
        <w:tabs>
          <w:tab w:val="left" w:pos="720"/>
        </w:tabs>
        <w:ind w:left="0"/>
        <w:rPr>
          <w:b/>
        </w:rPr>
      </w:pPr>
    </w:p>
    <w:p w14:paraId="38D1F9B8"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14.</w:t>
      </w:r>
      <w:r w:rsidRPr="00EC52D2">
        <w:rPr>
          <w:rFonts w:ascii="Times New Roman" w:hAnsi="Times New Roman" w:cs="Times New Roman"/>
          <w:b/>
          <w:sz w:val="24"/>
          <w:szCs w:val="24"/>
        </w:rPr>
        <w:tab/>
        <w:t>Annualized costs to Federal government.</w:t>
      </w:r>
    </w:p>
    <w:p w14:paraId="7F6B8B0F" w14:textId="77777777" w:rsidR="003559A1" w:rsidRDefault="003559A1" w:rsidP="00EC52D2">
      <w:pPr>
        <w:suppressAutoHyphens/>
        <w:spacing w:after="0" w:line="240" w:lineRule="auto"/>
        <w:ind w:left="720" w:hanging="720"/>
        <w:rPr>
          <w:rFonts w:ascii="Times New Roman" w:hAnsi="Times New Roman" w:cs="Times New Roman"/>
          <w:sz w:val="24"/>
          <w:szCs w:val="24"/>
        </w:rPr>
      </w:pPr>
    </w:p>
    <w:p w14:paraId="5BC2BC41" w14:textId="77777777" w:rsidR="00EC52D2" w:rsidRPr="00EC52D2" w:rsidRDefault="00EC52D2" w:rsidP="00EC52D2">
      <w:pPr>
        <w:suppressAutoHyphens/>
        <w:spacing w:after="0" w:line="240" w:lineRule="auto"/>
        <w:ind w:left="720" w:hanging="720"/>
        <w:rPr>
          <w:rFonts w:ascii="Times New Roman" w:hAnsi="Times New Roman" w:cs="Times New Roman"/>
          <w:sz w:val="24"/>
          <w:szCs w:val="24"/>
        </w:rPr>
      </w:pPr>
      <w:r w:rsidRPr="00EC52D2">
        <w:rPr>
          <w:rFonts w:ascii="Times New Roman" w:hAnsi="Times New Roman" w:cs="Times New Roman"/>
          <w:sz w:val="24"/>
          <w:szCs w:val="24"/>
        </w:rPr>
        <w:tab/>
        <w:t xml:space="preserve">The majority of the costs to the federal government are routine costs related to the safety and soundness supervision of corporate credit unions.   </w:t>
      </w:r>
    </w:p>
    <w:p w14:paraId="58BCE28D" w14:textId="77777777" w:rsidR="00EC52D2" w:rsidRPr="00EC52D2" w:rsidRDefault="00EC52D2" w:rsidP="00EC52D2">
      <w:pPr>
        <w:tabs>
          <w:tab w:val="left" w:pos="720"/>
        </w:tabs>
        <w:suppressAutoHyphens/>
        <w:spacing w:after="0" w:line="240" w:lineRule="auto"/>
        <w:ind w:left="720" w:hanging="720"/>
        <w:rPr>
          <w:rFonts w:ascii="Times New Roman" w:hAnsi="Times New Roman" w:cs="Times New Roman"/>
          <w:sz w:val="24"/>
          <w:szCs w:val="24"/>
        </w:rPr>
      </w:pPr>
    </w:p>
    <w:p w14:paraId="614C2C5D"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15.</w:t>
      </w:r>
      <w:r w:rsidRPr="00EC52D2">
        <w:rPr>
          <w:rFonts w:ascii="Times New Roman" w:hAnsi="Times New Roman" w:cs="Times New Roman"/>
          <w:b/>
          <w:sz w:val="24"/>
          <w:szCs w:val="24"/>
        </w:rPr>
        <w:tab/>
        <w:t>Changes in burden.</w:t>
      </w:r>
    </w:p>
    <w:p w14:paraId="63509484" w14:textId="77777777" w:rsidR="00D94072" w:rsidRDefault="00D94072" w:rsidP="00EC52D2">
      <w:pPr>
        <w:spacing w:after="0" w:line="240" w:lineRule="auto"/>
        <w:rPr>
          <w:rFonts w:ascii="Times New Roman" w:hAnsi="Times New Roman" w:cs="Times New Roman"/>
          <w:sz w:val="24"/>
          <w:szCs w:val="24"/>
        </w:rPr>
      </w:pPr>
    </w:p>
    <w:p w14:paraId="255E7CB9" w14:textId="77777777" w:rsidR="00D94072" w:rsidRDefault="00D94072" w:rsidP="00EC52D2">
      <w:pPr>
        <w:tabs>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D94072">
        <w:rPr>
          <w:rFonts w:ascii="Times New Roman" w:hAnsi="Times New Roman" w:cs="Times New Roman"/>
          <w:sz w:val="24"/>
          <w:szCs w:val="24"/>
        </w:rPr>
        <w:t xml:space="preserve">There has been an adjustment in the number of respondents due to the decrease in the number of Corporate Credit Unions from 12 to 11 and the inclusion of information collection requirements that had been omitted on the previous submission.  These adjustments increase the total burden requested by </w:t>
      </w:r>
      <w:r w:rsidR="007F610E">
        <w:rPr>
          <w:rFonts w:ascii="Times New Roman" w:hAnsi="Times New Roman" w:cs="Times New Roman"/>
          <w:sz w:val="24"/>
          <w:szCs w:val="24"/>
        </w:rPr>
        <w:t>12</w:t>
      </w:r>
      <w:r w:rsidRPr="00D94072">
        <w:rPr>
          <w:rFonts w:ascii="Times New Roman" w:hAnsi="Times New Roman" w:cs="Times New Roman"/>
          <w:sz w:val="24"/>
          <w:szCs w:val="24"/>
        </w:rPr>
        <w:t xml:space="preserve"> hours, for a total of </w:t>
      </w:r>
      <w:r w:rsidR="007F610E">
        <w:rPr>
          <w:rFonts w:ascii="Times New Roman" w:hAnsi="Times New Roman" w:cs="Times New Roman"/>
          <w:sz w:val="24"/>
          <w:szCs w:val="24"/>
        </w:rPr>
        <w:t>495</w:t>
      </w:r>
      <w:r w:rsidRPr="00D94072">
        <w:rPr>
          <w:rFonts w:ascii="Times New Roman" w:hAnsi="Times New Roman" w:cs="Times New Roman"/>
          <w:sz w:val="24"/>
          <w:szCs w:val="24"/>
        </w:rPr>
        <w:t xml:space="preserve"> burden hours requested.</w:t>
      </w:r>
    </w:p>
    <w:p w14:paraId="04823A08" w14:textId="77777777" w:rsidR="00EC52D2" w:rsidRPr="00EC52D2" w:rsidRDefault="00EC52D2" w:rsidP="00EC52D2">
      <w:pPr>
        <w:spacing w:after="0" w:line="240" w:lineRule="auto"/>
        <w:rPr>
          <w:rFonts w:ascii="Times New Roman" w:hAnsi="Times New Roman" w:cs="Times New Roman"/>
          <w:sz w:val="24"/>
          <w:szCs w:val="24"/>
        </w:rPr>
      </w:pPr>
    </w:p>
    <w:p w14:paraId="12F8FEE7"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16.</w:t>
      </w:r>
      <w:r w:rsidRPr="00EC52D2">
        <w:rPr>
          <w:rFonts w:ascii="Times New Roman" w:hAnsi="Times New Roman" w:cs="Times New Roman"/>
          <w:b/>
          <w:sz w:val="24"/>
          <w:szCs w:val="24"/>
        </w:rPr>
        <w:tab/>
        <w:t>Information collection planned for statistical purposes.</w:t>
      </w:r>
    </w:p>
    <w:p w14:paraId="3FBBE84F" w14:textId="77777777" w:rsidR="003559A1" w:rsidRDefault="003559A1" w:rsidP="00EC52D2">
      <w:pPr>
        <w:pStyle w:val="ListParagraph"/>
        <w:ind w:left="0"/>
      </w:pPr>
    </w:p>
    <w:p w14:paraId="26CBE728" w14:textId="47BFF97C" w:rsidR="00EC52D2" w:rsidRPr="00EC52D2" w:rsidRDefault="00EC52D2" w:rsidP="00EC52D2">
      <w:pPr>
        <w:pStyle w:val="ListParagraph"/>
        <w:ind w:left="0"/>
        <w:rPr>
          <w:b/>
        </w:rPr>
      </w:pPr>
      <w:r w:rsidRPr="00EC52D2">
        <w:tab/>
        <w:t>NCUA will not publish the results.</w:t>
      </w:r>
    </w:p>
    <w:p w14:paraId="776FB5CE" w14:textId="77777777" w:rsidR="00EC52D2" w:rsidRPr="00EC52D2" w:rsidRDefault="00EC52D2" w:rsidP="005E54E7">
      <w:pPr>
        <w:suppressAutoHyphens/>
        <w:spacing w:after="0" w:line="240" w:lineRule="auto"/>
        <w:rPr>
          <w:rFonts w:ascii="Times New Roman" w:hAnsi="Times New Roman" w:cs="Times New Roman"/>
          <w:sz w:val="24"/>
          <w:szCs w:val="24"/>
        </w:rPr>
      </w:pPr>
    </w:p>
    <w:p w14:paraId="139E9C98"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17.</w:t>
      </w:r>
      <w:r w:rsidRPr="00EC52D2">
        <w:rPr>
          <w:rFonts w:ascii="Times New Roman" w:hAnsi="Times New Roman" w:cs="Times New Roman"/>
          <w:b/>
          <w:sz w:val="24"/>
          <w:szCs w:val="24"/>
        </w:rPr>
        <w:tab/>
        <w:t>Request non-display the expiration date of the OMB control number.</w:t>
      </w:r>
    </w:p>
    <w:p w14:paraId="22596FA1" w14:textId="77777777" w:rsidR="003559A1" w:rsidRDefault="003559A1" w:rsidP="00EC52D2">
      <w:pPr>
        <w:tabs>
          <w:tab w:val="left" w:pos="720"/>
        </w:tabs>
        <w:suppressAutoHyphens/>
        <w:spacing w:after="0" w:line="240" w:lineRule="auto"/>
        <w:ind w:left="720" w:hanging="720"/>
        <w:rPr>
          <w:rFonts w:ascii="Times New Roman" w:hAnsi="Times New Roman" w:cs="Times New Roman"/>
          <w:spacing w:val="-1"/>
          <w:sz w:val="24"/>
          <w:szCs w:val="24"/>
        </w:rPr>
      </w:pPr>
    </w:p>
    <w:p w14:paraId="5C1C2C5C" w14:textId="77777777" w:rsidR="00EC52D2" w:rsidRPr="00EC52D2" w:rsidRDefault="00EC52D2" w:rsidP="00EC52D2">
      <w:pPr>
        <w:tabs>
          <w:tab w:val="left" w:pos="720"/>
        </w:tabs>
        <w:suppressAutoHyphens/>
        <w:spacing w:after="0" w:line="240" w:lineRule="auto"/>
        <w:ind w:left="720" w:hanging="720"/>
        <w:rPr>
          <w:rFonts w:ascii="Times New Roman" w:hAnsi="Times New Roman" w:cs="Times New Roman"/>
          <w:sz w:val="24"/>
          <w:szCs w:val="24"/>
        </w:rPr>
      </w:pPr>
      <w:r w:rsidRPr="00EC52D2">
        <w:rPr>
          <w:rFonts w:ascii="Times New Roman" w:hAnsi="Times New Roman" w:cs="Times New Roman"/>
          <w:spacing w:val="-1"/>
          <w:sz w:val="24"/>
          <w:szCs w:val="24"/>
        </w:rPr>
        <w:tab/>
        <w:t>The OMB</w:t>
      </w:r>
      <w:r w:rsidRPr="00EC52D2">
        <w:rPr>
          <w:rFonts w:ascii="Times New Roman" w:hAnsi="Times New Roman" w:cs="Times New Roman"/>
          <w:sz w:val="24"/>
          <w:szCs w:val="24"/>
        </w:rPr>
        <w:t xml:space="preserve"> </w:t>
      </w:r>
      <w:r w:rsidRPr="00EC52D2">
        <w:rPr>
          <w:rFonts w:ascii="Times New Roman" w:hAnsi="Times New Roman" w:cs="Times New Roman"/>
          <w:spacing w:val="-1"/>
          <w:sz w:val="24"/>
          <w:szCs w:val="24"/>
        </w:rPr>
        <w:t>control</w:t>
      </w:r>
      <w:r w:rsidRPr="00EC52D2">
        <w:rPr>
          <w:rFonts w:ascii="Times New Roman" w:hAnsi="Times New Roman" w:cs="Times New Roman"/>
          <w:sz w:val="24"/>
          <w:szCs w:val="24"/>
        </w:rPr>
        <w:t xml:space="preserve"> number</w:t>
      </w:r>
      <w:r w:rsidRPr="00EC52D2">
        <w:rPr>
          <w:rFonts w:ascii="Times New Roman" w:hAnsi="Times New Roman" w:cs="Times New Roman"/>
          <w:spacing w:val="-1"/>
          <w:sz w:val="24"/>
          <w:szCs w:val="24"/>
        </w:rPr>
        <w:t xml:space="preserve"> and</w:t>
      </w:r>
      <w:r w:rsidRPr="00EC52D2">
        <w:rPr>
          <w:rFonts w:ascii="Times New Roman" w:hAnsi="Times New Roman" w:cs="Times New Roman"/>
          <w:sz w:val="24"/>
          <w:szCs w:val="24"/>
        </w:rPr>
        <w:t xml:space="preserve"> </w:t>
      </w:r>
      <w:r w:rsidRPr="00EC52D2">
        <w:rPr>
          <w:rFonts w:ascii="Times New Roman" w:hAnsi="Times New Roman" w:cs="Times New Roman"/>
          <w:spacing w:val="-1"/>
          <w:sz w:val="24"/>
          <w:szCs w:val="24"/>
        </w:rPr>
        <w:t>expiration</w:t>
      </w:r>
      <w:r w:rsidRPr="00EC52D2">
        <w:rPr>
          <w:rFonts w:ascii="Times New Roman" w:hAnsi="Times New Roman" w:cs="Times New Roman"/>
          <w:sz w:val="24"/>
          <w:szCs w:val="24"/>
        </w:rPr>
        <w:t xml:space="preserve"> </w:t>
      </w:r>
      <w:r w:rsidRPr="00EC52D2">
        <w:rPr>
          <w:rFonts w:ascii="Times New Roman" w:hAnsi="Times New Roman" w:cs="Times New Roman"/>
          <w:spacing w:val="-1"/>
          <w:sz w:val="24"/>
          <w:szCs w:val="24"/>
        </w:rPr>
        <w:t>date associated</w:t>
      </w:r>
      <w:r w:rsidRPr="00EC52D2">
        <w:rPr>
          <w:rFonts w:ascii="Times New Roman" w:hAnsi="Times New Roman" w:cs="Times New Roman"/>
          <w:sz w:val="24"/>
          <w:szCs w:val="24"/>
        </w:rPr>
        <w:t xml:space="preserve"> </w:t>
      </w:r>
      <w:r w:rsidRPr="00EC52D2">
        <w:rPr>
          <w:rFonts w:ascii="Times New Roman" w:hAnsi="Times New Roman" w:cs="Times New Roman"/>
          <w:spacing w:val="-1"/>
          <w:sz w:val="24"/>
          <w:szCs w:val="24"/>
        </w:rPr>
        <w:t>with</w:t>
      </w:r>
      <w:r w:rsidRPr="00EC52D2">
        <w:rPr>
          <w:rFonts w:ascii="Times New Roman" w:hAnsi="Times New Roman" w:cs="Times New Roman"/>
          <w:sz w:val="24"/>
          <w:szCs w:val="24"/>
        </w:rPr>
        <w:t xml:space="preserve"> this PRA</w:t>
      </w:r>
      <w:r w:rsidRPr="00EC52D2">
        <w:rPr>
          <w:rFonts w:ascii="Times New Roman" w:hAnsi="Times New Roman" w:cs="Times New Roman"/>
          <w:spacing w:val="-1"/>
          <w:sz w:val="24"/>
          <w:szCs w:val="24"/>
        </w:rPr>
        <w:t xml:space="preserve"> </w:t>
      </w:r>
      <w:r w:rsidRPr="00EC52D2">
        <w:rPr>
          <w:rFonts w:ascii="Times New Roman" w:hAnsi="Times New Roman" w:cs="Times New Roman"/>
          <w:sz w:val="24"/>
          <w:szCs w:val="24"/>
        </w:rPr>
        <w:t xml:space="preserve">submission </w:t>
      </w:r>
      <w:r w:rsidRPr="00EC52D2">
        <w:rPr>
          <w:rFonts w:ascii="Times New Roman" w:hAnsi="Times New Roman" w:cs="Times New Roman"/>
          <w:spacing w:val="-1"/>
          <w:sz w:val="24"/>
          <w:szCs w:val="24"/>
        </w:rPr>
        <w:t>will</w:t>
      </w:r>
      <w:r w:rsidRPr="00EC52D2">
        <w:rPr>
          <w:rFonts w:ascii="Times New Roman" w:hAnsi="Times New Roman" w:cs="Times New Roman"/>
          <w:spacing w:val="77"/>
          <w:sz w:val="24"/>
          <w:szCs w:val="24"/>
        </w:rPr>
        <w:t xml:space="preserve"> </w:t>
      </w:r>
      <w:r w:rsidRPr="00EC52D2">
        <w:rPr>
          <w:rFonts w:ascii="Times New Roman" w:hAnsi="Times New Roman" w:cs="Times New Roman"/>
          <w:sz w:val="24"/>
          <w:szCs w:val="24"/>
        </w:rPr>
        <w:t>be</w:t>
      </w:r>
      <w:r w:rsidRPr="00EC52D2">
        <w:rPr>
          <w:rFonts w:ascii="Times New Roman" w:hAnsi="Times New Roman" w:cs="Times New Roman"/>
          <w:spacing w:val="-1"/>
          <w:sz w:val="24"/>
          <w:szCs w:val="24"/>
        </w:rPr>
        <w:t xml:space="preserve"> displayed</w:t>
      </w:r>
      <w:r w:rsidRPr="00EC52D2">
        <w:rPr>
          <w:rFonts w:ascii="Times New Roman" w:hAnsi="Times New Roman" w:cs="Times New Roman"/>
          <w:sz w:val="24"/>
          <w:szCs w:val="24"/>
        </w:rPr>
        <w:t xml:space="preserve"> on the</w:t>
      </w:r>
      <w:r w:rsidRPr="00EC52D2">
        <w:rPr>
          <w:rFonts w:ascii="Times New Roman" w:hAnsi="Times New Roman" w:cs="Times New Roman"/>
          <w:spacing w:val="-1"/>
          <w:sz w:val="24"/>
          <w:szCs w:val="24"/>
        </w:rPr>
        <w:t xml:space="preserve"> Federal</w:t>
      </w:r>
      <w:r w:rsidRPr="00EC52D2">
        <w:rPr>
          <w:rFonts w:ascii="Times New Roman" w:hAnsi="Times New Roman" w:cs="Times New Roman"/>
          <w:sz w:val="24"/>
          <w:szCs w:val="24"/>
        </w:rPr>
        <w:t xml:space="preserve"> </w:t>
      </w:r>
      <w:r w:rsidRPr="00EC52D2">
        <w:rPr>
          <w:rFonts w:ascii="Times New Roman" w:hAnsi="Times New Roman" w:cs="Times New Roman"/>
          <w:spacing w:val="-1"/>
          <w:sz w:val="24"/>
          <w:szCs w:val="24"/>
        </w:rPr>
        <w:t>government’s</w:t>
      </w:r>
      <w:r w:rsidRPr="00EC52D2">
        <w:rPr>
          <w:rFonts w:ascii="Times New Roman" w:hAnsi="Times New Roman" w:cs="Times New Roman"/>
          <w:spacing w:val="2"/>
          <w:sz w:val="24"/>
          <w:szCs w:val="24"/>
        </w:rPr>
        <w:t xml:space="preserve"> </w:t>
      </w:r>
      <w:r w:rsidRPr="00EC52D2">
        <w:rPr>
          <w:rFonts w:ascii="Times New Roman" w:hAnsi="Times New Roman" w:cs="Times New Roman"/>
          <w:spacing w:val="-1"/>
          <w:sz w:val="24"/>
          <w:szCs w:val="24"/>
        </w:rPr>
        <w:t xml:space="preserve">electronic </w:t>
      </w:r>
      <w:r w:rsidRPr="00EC52D2">
        <w:rPr>
          <w:rFonts w:ascii="Times New Roman" w:hAnsi="Times New Roman" w:cs="Times New Roman"/>
          <w:sz w:val="24"/>
          <w:szCs w:val="24"/>
        </w:rPr>
        <w:t>PRA</w:t>
      </w:r>
      <w:r w:rsidRPr="00EC52D2">
        <w:rPr>
          <w:rFonts w:ascii="Times New Roman" w:hAnsi="Times New Roman" w:cs="Times New Roman"/>
          <w:spacing w:val="-1"/>
          <w:sz w:val="24"/>
          <w:szCs w:val="24"/>
        </w:rPr>
        <w:t xml:space="preserve"> docket</w:t>
      </w:r>
      <w:r w:rsidRPr="00EC52D2">
        <w:rPr>
          <w:rFonts w:ascii="Times New Roman" w:hAnsi="Times New Roman" w:cs="Times New Roman"/>
          <w:sz w:val="24"/>
          <w:szCs w:val="24"/>
        </w:rPr>
        <w:t xml:space="preserve"> </w:t>
      </w:r>
      <w:r w:rsidRPr="00EC52D2">
        <w:rPr>
          <w:rFonts w:ascii="Times New Roman" w:hAnsi="Times New Roman" w:cs="Times New Roman"/>
          <w:spacing w:val="-1"/>
          <w:sz w:val="24"/>
          <w:szCs w:val="24"/>
        </w:rPr>
        <w:t>at</w:t>
      </w:r>
      <w:r w:rsidRPr="00EC52D2">
        <w:rPr>
          <w:rFonts w:ascii="Times New Roman" w:hAnsi="Times New Roman" w:cs="Times New Roman"/>
          <w:sz w:val="24"/>
          <w:szCs w:val="24"/>
        </w:rPr>
        <w:t xml:space="preserve"> </w:t>
      </w:r>
      <w:hyperlink r:id="rId15" w:history="1">
        <w:r w:rsidRPr="00EC52D2">
          <w:rPr>
            <w:rStyle w:val="Hyperlink"/>
            <w:rFonts w:ascii="Times New Roman" w:hAnsi="Times New Roman" w:cs="Times New Roman"/>
            <w:spacing w:val="-1"/>
            <w:sz w:val="24"/>
            <w:szCs w:val="24"/>
          </w:rPr>
          <w:t>www.reginfo.gov</w:t>
        </w:r>
      </w:hyperlink>
      <w:r w:rsidRPr="00EC52D2">
        <w:rPr>
          <w:rFonts w:ascii="Times New Roman" w:hAnsi="Times New Roman" w:cs="Times New Roman"/>
          <w:spacing w:val="-1"/>
          <w:sz w:val="24"/>
          <w:szCs w:val="24"/>
        </w:rPr>
        <w:t xml:space="preserve">.  </w:t>
      </w:r>
    </w:p>
    <w:p w14:paraId="3FDE9A17" w14:textId="77777777" w:rsidR="00EC52D2" w:rsidRPr="00EC52D2" w:rsidRDefault="00EC52D2" w:rsidP="00EC52D2">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spacing w:after="0" w:line="240" w:lineRule="auto"/>
        <w:rPr>
          <w:rFonts w:ascii="Times New Roman" w:hAnsi="Times New Roman" w:cs="Times New Roman"/>
          <w:sz w:val="24"/>
          <w:szCs w:val="24"/>
        </w:rPr>
      </w:pPr>
    </w:p>
    <w:p w14:paraId="59CA47EF" w14:textId="77777777" w:rsidR="00EC52D2" w:rsidRPr="00EC52D2"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b/>
          <w:sz w:val="24"/>
          <w:szCs w:val="24"/>
        </w:rPr>
        <w:t>18.</w:t>
      </w:r>
      <w:r w:rsidRPr="00EC52D2">
        <w:rPr>
          <w:rFonts w:ascii="Times New Roman" w:hAnsi="Times New Roman" w:cs="Times New Roman"/>
          <w:b/>
          <w:sz w:val="24"/>
          <w:szCs w:val="24"/>
        </w:rPr>
        <w:tab/>
        <w:t>Exceptions to the Certification for Paperwork Reduction Act Submission.</w:t>
      </w:r>
    </w:p>
    <w:p w14:paraId="482E7213" w14:textId="77777777" w:rsidR="003559A1" w:rsidRDefault="003559A1" w:rsidP="00EC52D2">
      <w:pPr>
        <w:tabs>
          <w:tab w:val="left" w:pos="720"/>
        </w:tabs>
        <w:suppressAutoHyphens/>
        <w:spacing w:after="0" w:line="240" w:lineRule="auto"/>
        <w:ind w:left="720" w:hanging="720"/>
        <w:rPr>
          <w:rFonts w:ascii="Times New Roman" w:hAnsi="Times New Roman" w:cs="Times New Roman"/>
          <w:sz w:val="24"/>
          <w:szCs w:val="24"/>
        </w:rPr>
      </w:pPr>
    </w:p>
    <w:p w14:paraId="38DB17F2" w14:textId="77777777" w:rsidR="00EC52D2" w:rsidRPr="00EC52D2" w:rsidRDefault="00EC52D2" w:rsidP="00EC52D2">
      <w:pPr>
        <w:tabs>
          <w:tab w:val="left" w:pos="720"/>
        </w:tabs>
        <w:suppressAutoHyphens/>
        <w:spacing w:after="0" w:line="240" w:lineRule="auto"/>
        <w:ind w:left="720" w:hanging="720"/>
        <w:rPr>
          <w:rFonts w:ascii="Times New Roman" w:hAnsi="Times New Roman" w:cs="Times New Roman"/>
          <w:sz w:val="24"/>
          <w:szCs w:val="24"/>
        </w:rPr>
      </w:pPr>
      <w:r w:rsidRPr="00EC52D2">
        <w:rPr>
          <w:rFonts w:ascii="Times New Roman" w:hAnsi="Times New Roman" w:cs="Times New Roman"/>
          <w:sz w:val="24"/>
          <w:szCs w:val="24"/>
        </w:rPr>
        <w:tab/>
        <w:t xml:space="preserve">No exceptions have been requested.  This collection complies with the requirements in 5 CFR 1320.9. </w:t>
      </w:r>
    </w:p>
    <w:p w14:paraId="48327EF9" w14:textId="77777777" w:rsidR="00EC52D2" w:rsidRPr="00EC52D2" w:rsidRDefault="00EC52D2" w:rsidP="00EC52D2">
      <w:pPr>
        <w:tabs>
          <w:tab w:val="left" w:pos="-720"/>
          <w:tab w:val="left" w:pos="286"/>
          <w:tab w:val="left" w:pos="403"/>
        </w:tabs>
        <w:suppressAutoHyphens/>
        <w:spacing w:after="0" w:line="240" w:lineRule="auto"/>
        <w:rPr>
          <w:rFonts w:ascii="Times New Roman" w:hAnsi="Times New Roman" w:cs="Times New Roman"/>
          <w:sz w:val="24"/>
          <w:szCs w:val="24"/>
        </w:rPr>
      </w:pPr>
    </w:p>
    <w:p w14:paraId="543DEB0D" w14:textId="77777777" w:rsidR="00EC52D2" w:rsidRDefault="00EC52D2" w:rsidP="00EC52D2">
      <w:pPr>
        <w:tabs>
          <w:tab w:val="left" w:pos="-720"/>
          <w:tab w:val="left" w:pos="286"/>
          <w:tab w:val="left" w:pos="403"/>
        </w:tabs>
        <w:suppressAutoHyphens/>
        <w:spacing w:after="0" w:line="240" w:lineRule="auto"/>
        <w:rPr>
          <w:rFonts w:ascii="Times New Roman" w:hAnsi="Times New Roman" w:cs="Times New Roman"/>
          <w:sz w:val="24"/>
          <w:szCs w:val="24"/>
        </w:rPr>
      </w:pPr>
    </w:p>
    <w:p w14:paraId="52192CEA" w14:textId="77777777" w:rsidR="00EC52D2" w:rsidRPr="00EC52D2" w:rsidRDefault="00EC52D2" w:rsidP="00EC52D2">
      <w:pPr>
        <w:pStyle w:val="ListParagraph"/>
        <w:numPr>
          <w:ilvl w:val="0"/>
          <w:numId w:val="1"/>
        </w:numPr>
        <w:suppressAutoHyphens/>
        <w:ind w:left="720" w:hanging="720"/>
        <w:rPr>
          <w:b/>
          <w:caps/>
        </w:rPr>
      </w:pPr>
      <w:r w:rsidRPr="00EC52D2">
        <w:rPr>
          <w:b/>
          <w:caps/>
        </w:rPr>
        <w:t>Collections of Information Employing Statistical Methods</w:t>
      </w:r>
    </w:p>
    <w:p w14:paraId="78ECB4DA" w14:textId="77777777" w:rsidR="00EC52D2" w:rsidRPr="00EC52D2" w:rsidRDefault="00EC52D2" w:rsidP="00EC52D2">
      <w:pPr>
        <w:spacing w:after="0" w:line="240" w:lineRule="auto"/>
        <w:rPr>
          <w:rFonts w:ascii="Times New Roman" w:hAnsi="Times New Roman" w:cs="Times New Roman"/>
          <w:sz w:val="24"/>
          <w:szCs w:val="24"/>
        </w:rPr>
      </w:pPr>
    </w:p>
    <w:p w14:paraId="2BE30F06" w14:textId="77777777" w:rsidR="00EC52D2" w:rsidRPr="003559A1" w:rsidRDefault="00EC52D2" w:rsidP="00EC52D2">
      <w:pPr>
        <w:spacing w:after="0" w:line="240" w:lineRule="auto"/>
        <w:rPr>
          <w:rFonts w:ascii="Times New Roman" w:hAnsi="Times New Roman" w:cs="Times New Roman"/>
          <w:b/>
          <w:sz w:val="24"/>
          <w:szCs w:val="24"/>
        </w:rPr>
      </w:pPr>
      <w:r w:rsidRPr="00EC52D2">
        <w:rPr>
          <w:rFonts w:ascii="Times New Roman" w:hAnsi="Times New Roman" w:cs="Times New Roman"/>
          <w:sz w:val="24"/>
          <w:szCs w:val="24"/>
        </w:rPr>
        <w:t>This collection does not involve statistical methods.</w:t>
      </w:r>
    </w:p>
    <w:sectPr w:rsidR="00EC52D2" w:rsidRPr="003559A1" w:rsidSect="00EC52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BFA63" w14:textId="77777777" w:rsidR="00B327CD" w:rsidRDefault="00B327CD" w:rsidP="00EC52D2">
      <w:pPr>
        <w:spacing w:after="0" w:line="240" w:lineRule="auto"/>
      </w:pPr>
      <w:r>
        <w:separator/>
      </w:r>
    </w:p>
  </w:endnote>
  <w:endnote w:type="continuationSeparator" w:id="0">
    <w:p w14:paraId="5233DE6F" w14:textId="77777777" w:rsidR="00B327CD" w:rsidRDefault="00B327CD" w:rsidP="00EC5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FBDA6" w14:textId="77777777" w:rsidR="00366F00" w:rsidRDefault="00366F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488269"/>
      <w:docPartObj>
        <w:docPartGallery w:val="Page Numbers (Bottom of Page)"/>
        <w:docPartUnique/>
      </w:docPartObj>
    </w:sdtPr>
    <w:sdtEndPr>
      <w:rPr>
        <w:noProof/>
      </w:rPr>
    </w:sdtEndPr>
    <w:sdtContent>
      <w:p w14:paraId="4C29BE6E" w14:textId="23C478F7" w:rsidR="00B327CD" w:rsidRDefault="00B327CD" w:rsidP="007F610E">
        <w:pPr>
          <w:pStyle w:val="Footer"/>
          <w:tabs>
            <w:tab w:val="clear" w:pos="4680"/>
            <w:tab w:val="clear" w:pos="9360"/>
            <w:tab w:val="right" w:pos="14310"/>
          </w:tabs>
        </w:pPr>
        <w:r w:rsidRPr="000E4982">
          <w:rPr>
            <w:i/>
            <w:sz w:val="22"/>
            <w:szCs w:val="22"/>
          </w:rPr>
          <w:t xml:space="preserve">OMB No. 3133-0129; </w:t>
        </w:r>
        <w:r w:rsidR="00366F00">
          <w:rPr>
            <w:i/>
            <w:sz w:val="22"/>
            <w:szCs w:val="22"/>
          </w:rPr>
          <w:t>July</w:t>
        </w:r>
        <w:r w:rsidR="005E54E7">
          <w:rPr>
            <w:i/>
            <w:sz w:val="22"/>
            <w:szCs w:val="22"/>
          </w:rPr>
          <w:t xml:space="preserve"> 2019</w:t>
        </w:r>
        <w:r>
          <w:tab/>
        </w:r>
        <w:r>
          <w:fldChar w:fldCharType="begin"/>
        </w:r>
        <w:r>
          <w:instrText xml:space="preserve"> PAGE   \* MERGEFORMAT </w:instrText>
        </w:r>
        <w:r>
          <w:fldChar w:fldCharType="separate"/>
        </w:r>
        <w:r w:rsidR="008A115F">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09DEB" w14:textId="77777777" w:rsidR="00366F00" w:rsidRDefault="00366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C0A78" w14:textId="77777777" w:rsidR="00B327CD" w:rsidRDefault="00B327CD" w:rsidP="00EC52D2">
      <w:pPr>
        <w:spacing w:after="0" w:line="240" w:lineRule="auto"/>
      </w:pPr>
      <w:r>
        <w:separator/>
      </w:r>
    </w:p>
  </w:footnote>
  <w:footnote w:type="continuationSeparator" w:id="0">
    <w:p w14:paraId="567236B3" w14:textId="77777777" w:rsidR="00B327CD" w:rsidRDefault="00B327CD" w:rsidP="00EC52D2">
      <w:pPr>
        <w:spacing w:after="0" w:line="240" w:lineRule="auto"/>
      </w:pPr>
      <w:r>
        <w:continuationSeparator/>
      </w:r>
    </w:p>
  </w:footnote>
  <w:footnote w:id="1">
    <w:p w14:paraId="3F374DBC" w14:textId="77777777" w:rsidR="00B327CD" w:rsidRDefault="00B327CD" w:rsidP="00EC52D2">
      <w:pPr>
        <w:pStyle w:val="FootnoteText"/>
      </w:pPr>
      <w:r>
        <w:rPr>
          <w:rStyle w:val="FootnoteReference"/>
        </w:rPr>
        <w:footnoteRef/>
      </w:r>
      <w:r>
        <w:t xml:space="preserve"> A Corporate CUSO is defined as an entity that: (1) is at least partly owned by a corporate; (2) primarily serves credit unions; (3) restricts its services to those related to the normal course of business of credit unions and designated as permissible activities; and (4) is structured as a corporation, limited liability company, or limited partnership under state law.  12 CFR 704.11.  </w:t>
      </w:r>
    </w:p>
  </w:footnote>
  <w:footnote w:id="2">
    <w:p w14:paraId="7A04C92B" w14:textId="77777777" w:rsidR="00B327CD" w:rsidRDefault="00B327CD" w:rsidP="00EC52D2">
      <w:pPr>
        <w:pStyle w:val="FootnoteText"/>
      </w:pPr>
      <w:r>
        <w:rPr>
          <w:rStyle w:val="FootnoteReference"/>
        </w:rPr>
        <w:footnoteRef/>
      </w:r>
      <w:r>
        <w:t xml:space="preserve"> See 12 C.F.R. §741.6(a).  OMB Control No. 3133-0067.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A40BD" w14:textId="77777777" w:rsidR="00366F00" w:rsidRDefault="00366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5EEA8" w14:textId="77777777" w:rsidR="00366F00" w:rsidRDefault="00366F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60EBD" w14:textId="77777777" w:rsidR="00366F00" w:rsidRDefault="00366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3F42B56"/>
    <w:multiLevelType w:val="hybridMultilevel"/>
    <w:tmpl w:val="7F30B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5538"/>
    <w:multiLevelType w:val="hybridMultilevel"/>
    <w:tmpl w:val="DCDC6BB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B122F8F"/>
    <w:multiLevelType w:val="hybridMultilevel"/>
    <w:tmpl w:val="604A7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EA0061"/>
    <w:multiLevelType w:val="hybridMultilevel"/>
    <w:tmpl w:val="7D40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CFE4110"/>
    <w:multiLevelType w:val="hybridMultilevel"/>
    <w:tmpl w:val="8B827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4F0487"/>
    <w:multiLevelType w:val="hybridMultilevel"/>
    <w:tmpl w:val="E71001B0"/>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412705"/>
    <w:multiLevelType w:val="hybridMultilevel"/>
    <w:tmpl w:val="8EA6DBB0"/>
    <w:lvl w:ilvl="0" w:tplc="01685F96">
      <w:start w:val="1"/>
      <w:numFmt w:val="decimal"/>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4228A0"/>
    <w:multiLevelType w:val="hybridMultilevel"/>
    <w:tmpl w:val="16621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7"/>
  </w:num>
  <w:num w:numId="4">
    <w:abstractNumId w:val="10"/>
  </w:num>
  <w:num w:numId="5">
    <w:abstractNumId w:val="6"/>
  </w:num>
  <w:num w:numId="6">
    <w:abstractNumId w:val="5"/>
  </w:num>
  <w:num w:numId="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2"/>
  </w:num>
  <w:num w:numId="9">
    <w:abstractNumId w:val="3"/>
  </w:num>
  <w:num w:numId="10">
    <w:abstractNumId w:val="2"/>
  </w:num>
  <w:num w:numId="11">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FA"/>
    <w:rsid w:val="00026AFA"/>
    <w:rsid w:val="00241B9E"/>
    <w:rsid w:val="002D3E30"/>
    <w:rsid w:val="00345D0D"/>
    <w:rsid w:val="003559A1"/>
    <w:rsid w:val="00366F00"/>
    <w:rsid w:val="00391B8B"/>
    <w:rsid w:val="00410674"/>
    <w:rsid w:val="004E0A15"/>
    <w:rsid w:val="00534129"/>
    <w:rsid w:val="005A5900"/>
    <w:rsid w:val="005E54E7"/>
    <w:rsid w:val="00660131"/>
    <w:rsid w:val="007F610E"/>
    <w:rsid w:val="008A115F"/>
    <w:rsid w:val="00A25211"/>
    <w:rsid w:val="00A51F04"/>
    <w:rsid w:val="00A77BF3"/>
    <w:rsid w:val="00B327CD"/>
    <w:rsid w:val="00C37286"/>
    <w:rsid w:val="00D356E5"/>
    <w:rsid w:val="00D94072"/>
    <w:rsid w:val="00E12019"/>
    <w:rsid w:val="00EC52D2"/>
    <w:rsid w:val="00F34B38"/>
    <w:rsid w:val="00FD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2D2"/>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EC52D2"/>
    <w:rPr>
      <w:sz w:val="16"/>
      <w:szCs w:val="16"/>
    </w:rPr>
  </w:style>
  <w:style w:type="paragraph" w:styleId="CommentText">
    <w:name w:val="annotation text"/>
    <w:basedOn w:val="Normal"/>
    <w:link w:val="CommentTextChar"/>
    <w:uiPriority w:val="99"/>
    <w:semiHidden/>
    <w:unhideWhenUsed/>
    <w:rsid w:val="00EC52D2"/>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customStyle="1" w:styleId="CommentTextChar">
    <w:name w:val="Comment Text Char"/>
    <w:basedOn w:val="DefaultParagraphFont"/>
    <w:link w:val="CommentText"/>
    <w:uiPriority w:val="99"/>
    <w:semiHidden/>
    <w:rsid w:val="00EC52D2"/>
    <w:rPr>
      <w:rFonts w:ascii="CG Times" w:eastAsia="Times New Roman" w:hAnsi="CG Times" w:cs="Times New Roman"/>
      <w:sz w:val="20"/>
      <w:szCs w:val="20"/>
    </w:rPr>
  </w:style>
  <w:style w:type="paragraph" w:styleId="Footer">
    <w:name w:val="footer"/>
    <w:basedOn w:val="Normal"/>
    <w:link w:val="FooterChar"/>
    <w:uiPriority w:val="99"/>
    <w:unhideWhenUsed/>
    <w:rsid w:val="00EC52D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C52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C52D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C52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C52D2"/>
    <w:rPr>
      <w:vertAlign w:val="superscript"/>
    </w:rPr>
  </w:style>
  <w:style w:type="paragraph" w:customStyle="1" w:styleId="Body1">
    <w:name w:val="Body 1"/>
    <w:autoRedefine/>
    <w:rsid w:val="00EC52D2"/>
    <w:pPr>
      <w:spacing w:after="0" w:line="240" w:lineRule="auto"/>
      <w:outlineLvl w:val="0"/>
    </w:pPr>
    <w:rPr>
      <w:rFonts w:ascii="Times New Roman" w:eastAsia="Helvetica" w:hAnsi="Times New Roman" w:cs="Times New Roman"/>
      <w:color w:val="000000"/>
      <w:sz w:val="24"/>
      <w:szCs w:val="24"/>
    </w:rPr>
  </w:style>
  <w:style w:type="paragraph" w:styleId="BodyTextIndent2">
    <w:name w:val="Body Text Indent 2"/>
    <w:basedOn w:val="Normal"/>
    <w:link w:val="BodyTextIndent2Char"/>
    <w:uiPriority w:val="99"/>
    <w:unhideWhenUsed/>
    <w:rsid w:val="00EC52D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C52D2"/>
    <w:rPr>
      <w:rFonts w:ascii="Times New Roman" w:eastAsia="Times New Roman" w:hAnsi="Times New Roman" w:cs="Times New Roman"/>
      <w:sz w:val="24"/>
      <w:szCs w:val="24"/>
    </w:rPr>
  </w:style>
  <w:style w:type="paragraph" w:customStyle="1" w:styleId="Level1">
    <w:name w:val="Level 1"/>
    <w:basedOn w:val="Normal"/>
    <w:rsid w:val="00EC52D2"/>
    <w:pPr>
      <w:widowControl w:val="0"/>
      <w:numPr>
        <w:numId w:val="7"/>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paragraph" w:customStyle="1" w:styleId="Level2">
    <w:name w:val="Level 2"/>
    <w:basedOn w:val="Normal"/>
    <w:rsid w:val="00EC52D2"/>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5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52D2"/>
    <w:pPr>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52D2"/>
    <w:rPr>
      <w:rFonts w:ascii="CG Times" w:eastAsia="Times New Roman" w:hAnsi="CG Times" w:cs="Times New Roman"/>
      <w:b/>
      <w:bCs/>
      <w:sz w:val="20"/>
      <w:szCs w:val="20"/>
    </w:rPr>
  </w:style>
  <w:style w:type="character" w:styleId="Hyperlink">
    <w:name w:val="Hyperlink"/>
    <w:basedOn w:val="DefaultParagraphFont"/>
    <w:rsid w:val="00EC52D2"/>
    <w:rPr>
      <w:color w:val="0000FF"/>
      <w:u w:val="single"/>
    </w:rPr>
  </w:style>
  <w:style w:type="table" w:styleId="TableGrid">
    <w:name w:val="Table Grid"/>
    <w:basedOn w:val="TableNormal"/>
    <w:uiPriority w:val="39"/>
    <w:rsid w:val="00D9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1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2D2"/>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EC52D2"/>
    <w:rPr>
      <w:sz w:val="16"/>
      <w:szCs w:val="16"/>
    </w:rPr>
  </w:style>
  <w:style w:type="paragraph" w:styleId="CommentText">
    <w:name w:val="annotation text"/>
    <w:basedOn w:val="Normal"/>
    <w:link w:val="CommentTextChar"/>
    <w:uiPriority w:val="99"/>
    <w:semiHidden/>
    <w:unhideWhenUsed/>
    <w:rsid w:val="00EC52D2"/>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customStyle="1" w:styleId="CommentTextChar">
    <w:name w:val="Comment Text Char"/>
    <w:basedOn w:val="DefaultParagraphFont"/>
    <w:link w:val="CommentText"/>
    <w:uiPriority w:val="99"/>
    <w:semiHidden/>
    <w:rsid w:val="00EC52D2"/>
    <w:rPr>
      <w:rFonts w:ascii="CG Times" w:eastAsia="Times New Roman" w:hAnsi="CG Times" w:cs="Times New Roman"/>
      <w:sz w:val="20"/>
      <w:szCs w:val="20"/>
    </w:rPr>
  </w:style>
  <w:style w:type="paragraph" w:styleId="Footer">
    <w:name w:val="footer"/>
    <w:basedOn w:val="Normal"/>
    <w:link w:val="FooterChar"/>
    <w:uiPriority w:val="99"/>
    <w:unhideWhenUsed/>
    <w:rsid w:val="00EC52D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C52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C52D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C52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C52D2"/>
    <w:rPr>
      <w:vertAlign w:val="superscript"/>
    </w:rPr>
  </w:style>
  <w:style w:type="paragraph" w:customStyle="1" w:styleId="Body1">
    <w:name w:val="Body 1"/>
    <w:autoRedefine/>
    <w:rsid w:val="00EC52D2"/>
    <w:pPr>
      <w:spacing w:after="0" w:line="240" w:lineRule="auto"/>
      <w:outlineLvl w:val="0"/>
    </w:pPr>
    <w:rPr>
      <w:rFonts w:ascii="Times New Roman" w:eastAsia="Helvetica" w:hAnsi="Times New Roman" w:cs="Times New Roman"/>
      <w:color w:val="000000"/>
      <w:sz w:val="24"/>
      <w:szCs w:val="24"/>
    </w:rPr>
  </w:style>
  <w:style w:type="paragraph" w:styleId="BodyTextIndent2">
    <w:name w:val="Body Text Indent 2"/>
    <w:basedOn w:val="Normal"/>
    <w:link w:val="BodyTextIndent2Char"/>
    <w:uiPriority w:val="99"/>
    <w:unhideWhenUsed/>
    <w:rsid w:val="00EC52D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C52D2"/>
    <w:rPr>
      <w:rFonts w:ascii="Times New Roman" w:eastAsia="Times New Roman" w:hAnsi="Times New Roman" w:cs="Times New Roman"/>
      <w:sz w:val="24"/>
      <w:szCs w:val="24"/>
    </w:rPr>
  </w:style>
  <w:style w:type="paragraph" w:customStyle="1" w:styleId="Level1">
    <w:name w:val="Level 1"/>
    <w:basedOn w:val="Normal"/>
    <w:rsid w:val="00EC52D2"/>
    <w:pPr>
      <w:widowControl w:val="0"/>
      <w:numPr>
        <w:numId w:val="7"/>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paragraph" w:customStyle="1" w:styleId="Level2">
    <w:name w:val="Level 2"/>
    <w:basedOn w:val="Normal"/>
    <w:rsid w:val="00EC52D2"/>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5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52D2"/>
    <w:pPr>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52D2"/>
    <w:rPr>
      <w:rFonts w:ascii="CG Times" w:eastAsia="Times New Roman" w:hAnsi="CG Times" w:cs="Times New Roman"/>
      <w:b/>
      <w:bCs/>
      <w:sz w:val="20"/>
      <w:szCs w:val="20"/>
    </w:rPr>
  </w:style>
  <w:style w:type="character" w:styleId="Hyperlink">
    <w:name w:val="Hyperlink"/>
    <w:basedOn w:val="DefaultParagraphFont"/>
    <w:rsid w:val="00EC52D2"/>
    <w:rPr>
      <w:color w:val="0000FF"/>
      <w:u w:val="single"/>
    </w:rPr>
  </w:style>
  <w:style w:type="table" w:styleId="TableGrid">
    <w:name w:val="Table Grid"/>
    <w:basedOn w:val="TableNormal"/>
    <w:uiPriority w:val="39"/>
    <w:rsid w:val="00D9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12285">
      <w:bodyDiv w:val="1"/>
      <w:marLeft w:val="0"/>
      <w:marRight w:val="0"/>
      <w:marTop w:val="0"/>
      <w:marBottom w:val="0"/>
      <w:divBdr>
        <w:top w:val="none" w:sz="0" w:space="0" w:color="auto"/>
        <w:left w:val="none" w:sz="0" w:space="0" w:color="auto"/>
        <w:bottom w:val="none" w:sz="0" w:space="0" w:color="auto"/>
        <w:right w:val="none" w:sz="0" w:space="0" w:color="auto"/>
      </w:divBdr>
    </w:div>
    <w:div w:id="192525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eginfo.gov"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8C41-A6AE-42B5-87E9-B2405E0B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2019-06-04T17:05:00Z</cp:lastPrinted>
  <dcterms:created xsi:type="dcterms:W3CDTF">2019-07-01T18:58:00Z</dcterms:created>
  <dcterms:modified xsi:type="dcterms:W3CDTF">2019-07-01T18:58:00Z</dcterms:modified>
</cp:coreProperties>
</file>