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738BD" w14:textId="77777777" w:rsidR="00C950BE" w:rsidRPr="00F1537F" w:rsidRDefault="00C950BE" w:rsidP="00C950BE">
      <w:pPr>
        <w:spacing w:after="0" w:line="240" w:lineRule="auto"/>
        <w:jc w:val="center"/>
        <w:rPr>
          <w:rFonts w:ascii="Times New Roman" w:hAnsi="Times New Roman"/>
          <w:sz w:val="24"/>
          <w:szCs w:val="24"/>
        </w:rPr>
      </w:pPr>
      <w:bookmarkStart w:id="0" w:name="_GoBack"/>
      <w:bookmarkEnd w:id="0"/>
      <w:r w:rsidRPr="00F1537F">
        <w:rPr>
          <w:rFonts w:ascii="Times New Roman" w:hAnsi="Times New Roman"/>
          <w:sz w:val="24"/>
          <w:szCs w:val="24"/>
        </w:rPr>
        <w:t>Supporting Statement</w:t>
      </w:r>
      <w:r>
        <w:rPr>
          <w:rFonts w:ascii="Times New Roman" w:hAnsi="Times New Roman"/>
          <w:sz w:val="24"/>
          <w:szCs w:val="24"/>
        </w:rPr>
        <w:t xml:space="preserve"> for</w:t>
      </w:r>
    </w:p>
    <w:p w14:paraId="6A98B7F9" w14:textId="77777777" w:rsidR="00C950BE" w:rsidRDefault="00C950BE" w:rsidP="00C950BE">
      <w:pPr>
        <w:spacing w:after="0" w:line="240" w:lineRule="auto"/>
        <w:jc w:val="center"/>
        <w:rPr>
          <w:rFonts w:ascii="Times New Roman" w:hAnsi="Times New Roman"/>
          <w:b/>
          <w:sz w:val="24"/>
          <w:szCs w:val="24"/>
        </w:rPr>
      </w:pPr>
      <w:r w:rsidRPr="00F1537F">
        <w:rPr>
          <w:rFonts w:ascii="Times New Roman" w:hAnsi="Times New Roman"/>
          <w:b/>
          <w:sz w:val="24"/>
          <w:szCs w:val="24"/>
        </w:rPr>
        <w:t xml:space="preserve">FERC-505 </w:t>
      </w:r>
    </w:p>
    <w:p w14:paraId="7FD6BB79" w14:textId="77777777" w:rsidR="00C950BE" w:rsidRPr="00F1537F" w:rsidRDefault="00C950BE" w:rsidP="00C950BE">
      <w:pPr>
        <w:spacing w:after="0" w:line="240" w:lineRule="auto"/>
        <w:jc w:val="center"/>
        <w:rPr>
          <w:rFonts w:ascii="Times New Roman" w:hAnsi="Times New Roman"/>
          <w:sz w:val="24"/>
          <w:szCs w:val="24"/>
        </w:rPr>
      </w:pPr>
      <w:r>
        <w:rPr>
          <w:rFonts w:ascii="Times New Roman" w:hAnsi="Times New Roman"/>
          <w:b/>
          <w:sz w:val="24"/>
          <w:szCs w:val="24"/>
        </w:rPr>
        <w:t>As Modified by the Final Rule in Docket No. RM19-13-000</w:t>
      </w:r>
    </w:p>
    <w:p w14:paraId="6BE30000" w14:textId="77777777" w:rsidR="00C950BE" w:rsidRPr="00F1537F" w:rsidRDefault="00C950BE" w:rsidP="00C950BE">
      <w:pPr>
        <w:spacing w:after="0" w:line="240" w:lineRule="auto"/>
        <w:rPr>
          <w:rFonts w:ascii="Times New Roman" w:hAnsi="Times New Roman"/>
          <w:b/>
          <w:sz w:val="24"/>
          <w:szCs w:val="24"/>
        </w:rPr>
      </w:pPr>
    </w:p>
    <w:p w14:paraId="7E83E154" w14:textId="243F95F1" w:rsidR="00C950BE" w:rsidRDefault="00C950BE" w:rsidP="00C950BE">
      <w:pPr>
        <w:spacing w:after="0" w:line="240" w:lineRule="auto"/>
        <w:rPr>
          <w:rFonts w:ascii="Times New Roman" w:hAnsi="Times New Roman"/>
          <w:sz w:val="24"/>
          <w:szCs w:val="24"/>
        </w:rPr>
      </w:pPr>
      <w:r w:rsidRPr="00F1537F">
        <w:rPr>
          <w:rFonts w:ascii="Times New Roman" w:hAnsi="Times New Roman"/>
          <w:sz w:val="24"/>
          <w:szCs w:val="24"/>
        </w:rPr>
        <w:t xml:space="preserve">The Federal </w:t>
      </w:r>
      <w:r w:rsidRPr="007E7453">
        <w:rPr>
          <w:rFonts w:ascii="Times New Roman" w:hAnsi="Times New Roman"/>
          <w:sz w:val="24"/>
          <w:szCs w:val="24"/>
        </w:rPr>
        <w:t xml:space="preserve">Energy Regulatory Commission (Commission or FERC) requests the Office of Management and Budget (OMB) approve </w:t>
      </w:r>
      <w:r w:rsidRPr="0003147A">
        <w:rPr>
          <w:rFonts w:ascii="Times New Roman" w:hAnsi="Times New Roman"/>
          <w:sz w:val="24"/>
          <w:szCs w:val="24"/>
        </w:rPr>
        <w:t>for three years</w:t>
      </w:r>
      <w:r w:rsidRPr="007E7453">
        <w:rPr>
          <w:rFonts w:ascii="Times New Roman" w:hAnsi="Times New Roman"/>
          <w:sz w:val="24"/>
          <w:szCs w:val="24"/>
        </w:rPr>
        <w:t xml:space="preserve"> the modifications due to the Final Rule (Commission </w:t>
      </w:r>
      <w:r w:rsidRPr="0003147A">
        <w:rPr>
          <w:rFonts w:ascii="Times New Roman" w:hAnsi="Times New Roman"/>
          <w:sz w:val="24"/>
          <w:szCs w:val="24"/>
        </w:rPr>
        <w:t xml:space="preserve">Order No. </w:t>
      </w:r>
      <w:r>
        <w:rPr>
          <w:rFonts w:ascii="Times New Roman" w:hAnsi="Times New Roman"/>
          <w:sz w:val="24"/>
          <w:szCs w:val="24"/>
        </w:rPr>
        <w:t>857, issued 2/22/2019</w:t>
      </w:r>
      <w:r w:rsidRPr="0003147A">
        <w:rPr>
          <w:rFonts w:ascii="Times New Roman" w:hAnsi="Times New Roman"/>
          <w:sz w:val="24"/>
          <w:szCs w:val="24"/>
        </w:rPr>
        <w:t>)</w:t>
      </w:r>
      <w:r w:rsidRPr="007E7453">
        <w:rPr>
          <w:rFonts w:ascii="Times New Roman" w:hAnsi="Times New Roman"/>
          <w:sz w:val="24"/>
          <w:szCs w:val="24"/>
        </w:rPr>
        <w:t xml:space="preserve"> in</w:t>
      </w:r>
      <w:r>
        <w:rPr>
          <w:rFonts w:ascii="Times New Roman" w:hAnsi="Times New Roman"/>
          <w:sz w:val="24"/>
          <w:szCs w:val="24"/>
        </w:rPr>
        <w:t xml:space="preserve"> Docket No. RM19-13</w:t>
      </w:r>
      <w:r w:rsidR="00C661D4">
        <w:rPr>
          <w:rFonts w:ascii="Times New Roman" w:hAnsi="Times New Roman"/>
          <w:sz w:val="24"/>
          <w:szCs w:val="24"/>
        </w:rPr>
        <w:t>-000</w:t>
      </w:r>
      <w:r>
        <w:rPr>
          <w:rFonts w:ascii="Times New Roman" w:hAnsi="Times New Roman"/>
          <w:sz w:val="24"/>
          <w:szCs w:val="24"/>
        </w:rPr>
        <w:t>.</w:t>
      </w:r>
      <w:r w:rsidRPr="0083512E">
        <w:rPr>
          <w:rStyle w:val="FootnoteReference"/>
          <w:rFonts w:ascii="Times New Roman" w:hAnsi="Times New Roman"/>
          <w:b/>
          <w:sz w:val="24"/>
          <w:szCs w:val="24"/>
          <w:vertAlign w:val="superscript"/>
        </w:rPr>
        <w:footnoteReference w:id="1"/>
      </w:r>
      <w:r>
        <w:rPr>
          <w:rFonts w:ascii="Times New Roman" w:hAnsi="Times New Roman"/>
          <w:sz w:val="24"/>
          <w:szCs w:val="24"/>
        </w:rPr>
        <w:t xml:space="preserve">  </w:t>
      </w:r>
    </w:p>
    <w:p w14:paraId="246851EC" w14:textId="77777777" w:rsidR="00C950BE" w:rsidRDefault="00C950BE" w:rsidP="00C950BE">
      <w:pPr>
        <w:spacing w:after="0" w:line="240" w:lineRule="auto"/>
        <w:rPr>
          <w:rFonts w:ascii="Times New Roman" w:hAnsi="Times New Roman"/>
          <w:sz w:val="24"/>
          <w:szCs w:val="24"/>
        </w:rPr>
      </w:pPr>
    </w:p>
    <w:p w14:paraId="511B8EB2" w14:textId="77777777" w:rsidR="00C950BE" w:rsidRDefault="00C950BE" w:rsidP="00C950BE">
      <w:pPr>
        <w:spacing w:after="0" w:line="240" w:lineRule="auto"/>
        <w:rPr>
          <w:rFonts w:ascii="Times New Roman" w:hAnsi="Times New Roman"/>
          <w:sz w:val="24"/>
          <w:szCs w:val="24"/>
        </w:rPr>
      </w:pPr>
      <w:r>
        <w:rPr>
          <w:rFonts w:ascii="Times New Roman" w:hAnsi="Times New Roman"/>
          <w:sz w:val="24"/>
          <w:szCs w:val="24"/>
        </w:rPr>
        <w:t>The Final Rule implements changes to the FERC-505 information collection (</w:t>
      </w:r>
      <w:r w:rsidRPr="002953E1">
        <w:rPr>
          <w:rFonts w:ascii="Times New Roman" w:hAnsi="Times New Roman"/>
          <w:sz w:val="24"/>
          <w:szCs w:val="24"/>
        </w:rPr>
        <w:t>Small Hydropower Projects and Conduit Facilities including License/Relicense, Exemption, and Qualifying Conduit Facility Determinatio</w:t>
      </w:r>
      <w:r>
        <w:rPr>
          <w:rFonts w:ascii="Times New Roman" w:hAnsi="Times New Roman"/>
          <w:sz w:val="24"/>
          <w:szCs w:val="24"/>
        </w:rPr>
        <w:t>n).</w:t>
      </w:r>
    </w:p>
    <w:p w14:paraId="293E12D7" w14:textId="77777777" w:rsidR="005E346C" w:rsidRDefault="00113A16" w:rsidP="007E7C82">
      <w:pPr>
        <w:spacing w:line="240" w:lineRule="auto"/>
      </w:pPr>
    </w:p>
    <w:p w14:paraId="4D658338" w14:textId="77777777" w:rsidR="00C950BE" w:rsidRPr="00EB790F" w:rsidRDefault="00C950BE" w:rsidP="007C37E8">
      <w:pPr>
        <w:pStyle w:val="ListParagraph"/>
        <w:numPr>
          <w:ilvl w:val="0"/>
          <w:numId w:val="1"/>
        </w:numPr>
        <w:spacing w:after="0" w:line="240" w:lineRule="auto"/>
        <w:ind w:left="360"/>
        <w:rPr>
          <w:rFonts w:ascii="Times New Roman" w:hAnsi="Times New Roman"/>
          <w:b/>
          <w:sz w:val="24"/>
          <w:szCs w:val="24"/>
        </w:rPr>
      </w:pPr>
      <w:r w:rsidRPr="00EB790F">
        <w:rPr>
          <w:rFonts w:ascii="Times New Roman" w:hAnsi="Times New Roman"/>
          <w:b/>
          <w:sz w:val="24"/>
          <w:szCs w:val="24"/>
        </w:rPr>
        <w:t xml:space="preserve">CIRCUMSTANCES THAT MAKE THE COLLECTION OF INFORMATION NECESSARY </w:t>
      </w:r>
    </w:p>
    <w:p w14:paraId="4A67CF43" w14:textId="77777777" w:rsidR="00C950BE" w:rsidRDefault="00C950BE">
      <w:pPr>
        <w:spacing w:after="0" w:line="240" w:lineRule="auto"/>
        <w:rPr>
          <w:rFonts w:ascii="Times New Roman" w:hAnsi="Times New Roman"/>
          <w:sz w:val="24"/>
          <w:szCs w:val="24"/>
        </w:rPr>
      </w:pPr>
    </w:p>
    <w:p w14:paraId="0B8727F7" w14:textId="77777777" w:rsidR="00C950BE" w:rsidRDefault="00C950BE" w:rsidP="007E7C82">
      <w:pPr>
        <w:spacing w:line="240" w:lineRule="auto"/>
        <w:rPr>
          <w:rFonts w:ascii="Times New Roman" w:hAnsi="Times New Roman"/>
          <w:sz w:val="24"/>
          <w:szCs w:val="24"/>
        </w:rPr>
      </w:pPr>
      <w:r w:rsidRPr="00F1537F">
        <w:rPr>
          <w:rFonts w:ascii="Times New Roman" w:hAnsi="Times New Roman"/>
          <w:sz w:val="24"/>
          <w:szCs w:val="24"/>
        </w:rPr>
        <w:t>The Commission regulates non</w:t>
      </w:r>
      <w:r>
        <w:rPr>
          <w:rFonts w:ascii="Times New Roman" w:hAnsi="Times New Roman"/>
          <w:sz w:val="24"/>
          <w:szCs w:val="24"/>
        </w:rPr>
        <w:t>-</w:t>
      </w:r>
      <w:r w:rsidRPr="00F1537F">
        <w:rPr>
          <w:rFonts w:ascii="Times New Roman" w:hAnsi="Times New Roman"/>
          <w:sz w:val="24"/>
          <w:szCs w:val="24"/>
        </w:rPr>
        <w:t>federal hydropower projects on navigable waters and federal lands pursuant to the Federal Power Act (FPA).</w:t>
      </w:r>
      <w:r w:rsidRPr="00F1537F">
        <w:rPr>
          <w:rStyle w:val="FootnoteReference"/>
          <w:rFonts w:ascii="Times New Roman" w:hAnsi="Times New Roman"/>
          <w:b/>
          <w:sz w:val="24"/>
          <w:szCs w:val="24"/>
          <w:vertAlign w:val="superscript"/>
        </w:rPr>
        <w:footnoteReference w:id="2"/>
      </w:r>
      <w:r>
        <w:rPr>
          <w:rFonts w:ascii="Times New Roman" w:hAnsi="Times New Roman"/>
          <w:sz w:val="24"/>
          <w:szCs w:val="24"/>
        </w:rPr>
        <w:t xml:space="preserve">  </w:t>
      </w:r>
    </w:p>
    <w:p w14:paraId="0609BA6D" w14:textId="66EC2B3D" w:rsidR="00F6289B" w:rsidRDefault="00C950BE" w:rsidP="007E7C82">
      <w:pPr>
        <w:spacing w:line="240" w:lineRule="auto"/>
        <w:rPr>
          <w:rFonts w:ascii="Times New Roman" w:hAnsi="Times New Roman"/>
          <w:sz w:val="24"/>
          <w:szCs w:val="24"/>
        </w:rPr>
      </w:pPr>
      <w:r>
        <w:rPr>
          <w:rFonts w:ascii="Times New Roman" w:hAnsi="Times New Roman"/>
          <w:sz w:val="24"/>
          <w:szCs w:val="24"/>
        </w:rPr>
        <w:t>Section 4(e) of the FPA authorizes the Commission to issue licenses to construct, operate, and maintain dams, water conduits, reservoirs, power houses, transmission lines, or other project works for the development, transmission, and utilization of power under the Commission’s jurisdiction.</w:t>
      </w:r>
      <w:r w:rsidRPr="00C950BE">
        <w:rPr>
          <w:rStyle w:val="FootnoteReference"/>
          <w:rFonts w:ascii="Times New Roman" w:hAnsi="Times New Roman"/>
          <w:b/>
          <w:sz w:val="24"/>
          <w:szCs w:val="24"/>
          <w:vertAlign w:val="superscript"/>
        </w:rPr>
        <w:footnoteReference w:id="3"/>
      </w:r>
      <w:r>
        <w:rPr>
          <w:rFonts w:ascii="Times New Roman" w:hAnsi="Times New Roman"/>
          <w:sz w:val="24"/>
          <w:szCs w:val="24"/>
        </w:rPr>
        <w:t xml:space="preserve">  </w:t>
      </w:r>
      <w:r w:rsidR="00F6289B">
        <w:rPr>
          <w:rFonts w:ascii="Times New Roman" w:hAnsi="Times New Roman"/>
          <w:sz w:val="24"/>
          <w:szCs w:val="24"/>
        </w:rPr>
        <w:t xml:space="preserve">Section 30 of the FPA allows qualifying conduit hydropower facilities to be exempted from </w:t>
      </w:r>
      <w:r w:rsidR="00AA2742">
        <w:rPr>
          <w:rFonts w:ascii="Times New Roman" w:hAnsi="Times New Roman"/>
          <w:sz w:val="24"/>
          <w:szCs w:val="24"/>
        </w:rPr>
        <w:t>the</w:t>
      </w:r>
      <w:r w:rsidR="00B12AED">
        <w:rPr>
          <w:rFonts w:ascii="Times New Roman" w:hAnsi="Times New Roman"/>
          <w:sz w:val="24"/>
          <w:szCs w:val="24"/>
        </w:rPr>
        <w:t xml:space="preserve"> licensing requirements of the </w:t>
      </w:r>
      <w:r w:rsidR="00F6289B">
        <w:rPr>
          <w:rFonts w:ascii="Times New Roman" w:hAnsi="Times New Roman"/>
          <w:sz w:val="24"/>
          <w:szCs w:val="24"/>
        </w:rPr>
        <w:t>FPA.</w:t>
      </w:r>
      <w:r w:rsidR="00F6289B" w:rsidRPr="00C950BE">
        <w:rPr>
          <w:rStyle w:val="FootnoteReference"/>
          <w:rFonts w:ascii="Times New Roman" w:hAnsi="Times New Roman"/>
          <w:b/>
          <w:sz w:val="24"/>
          <w:szCs w:val="24"/>
          <w:vertAlign w:val="superscript"/>
        </w:rPr>
        <w:footnoteReference w:id="4"/>
      </w:r>
    </w:p>
    <w:p w14:paraId="4DF15D80" w14:textId="7C31122F" w:rsidR="00C950BE" w:rsidRDefault="00F6289B" w:rsidP="007E7C82">
      <w:pPr>
        <w:spacing w:line="240" w:lineRule="auto"/>
        <w:rPr>
          <w:rFonts w:ascii="Times New Roman" w:hAnsi="Times New Roman"/>
          <w:sz w:val="24"/>
          <w:szCs w:val="24"/>
        </w:rPr>
      </w:pPr>
      <w:r>
        <w:rPr>
          <w:rFonts w:ascii="Times New Roman" w:hAnsi="Times New Roman"/>
          <w:sz w:val="24"/>
          <w:szCs w:val="24"/>
        </w:rPr>
        <w:t xml:space="preserve">The America’s Water Infrastructure Act of 2018 (Water Infrastructure Act or Act) </w:t>
      </w:r>
      <w:r w:rsidR="00AA2742">
        <w:rPr>
          <w:rFonts w:ascii="Times New Roman" w:hAnsi="Times New Roman"/>
          <w:sz w:val="24"/>
          <w:szCs w:val="24"/>
        </w:rPr>
        <w:t xml:space="preserve">increased </w:t>
      </w:r>
      <w:r>
        <w:rPr>
          <w:rFonts w:ascii="Times New Roman" w:hAnsi="Times New Roman"/>
          <w:sz w:val="24"/>
          <w:szCs w:val="24"/>
        </w:rPr>
        <w:t>the maximum installed capacity of qualifying conduit hydropower facilities from five megawatts (MW) to 40 MW,</w:t>
      </w:r>
      <w:r w:rsidRPr="00293E64">
        <w:rPr>
          <w:rStyle w:val="FootnoteReference"/>
          <w:rFonts w:ascii="Times New Roman" w:hAnsi="Times New Roman"/>
          <w:b/>
          <w:sz w:val="24"/>
          <w:szCs w:val="24"/>
          <w:vertAlign w:val="superscript"/>
        </w:rPr>
        <w:footnoteReference w:id="5"/>
      </w:r>
      <w:r>
        <w:rPr>
          <w:rFonts w:ascii="Times New Roman" w:hAnsi="Times New Roman"/>
          <w:sz w:val="24"/>
          <w:szCs w:val="24"/>
        </w:rPr>
        <w:t xml:space="preserve"> and the Commission is upd</w:t>
      </w:r>
      <w:r w:rsidR="00B41A05">
        <w:rPr>
          <w:rFonts w:ascii="Times New Roman" w:hAnsi="Times New Roman"/>
          <w:sz w:val="24"/>
          <w:szCs w:val="24"/>
        </w:rPr>
        <w:t>ating its regulations in RM19-13-000</w:t>
      </w:r>
      <w:r w:rsidRPr="00293E64">
        <w:rPr>
          <w:rStyle w:val="FootnoteReference"/>
          <w:rFonts w:ascii="Times New Roman" w:hAnsi="Times New Roman"/>
          <w:b/>
          <w:sz w:val="24"/>
          <w:szCs w:val="24"/>
          <w:vertAlign w:val="superscript"/>
        </w:rPr>
        <w:footnoteReference w:id="6"/>
      </w:r>
      <w:r w:rsidR="00B41A05">
        <w:rPr>
          <w:rFonts w:ascii="Times New Roman" w:hAnsi="Times New Roman"/>
          <w:sz w:val="24"/>
          <w:szCs w:val="24"/>
        </w:rPr>
        <w:t xml:space="preserve"> to conform them to the Act.</w:t>
      </w:r>
      <w:r w:rsidRPr="00293E64">
        <w:rPr>
          <w:rFonts w:ascii="Times New Roman" w:hAnsi="Times New Roman"/>
          <w:b/>
          <w:sz w:val="24"/>
          <w:szCs w:val="24"/>
          <w:vertAlign w:val="superscript"/>
        </w:rPr>
        <w:t xml:space="preserve"> </w:t>
      </w:r>
      <w:r w:rsidR="00B41A05">
        <w:rPr>
          <w:rFonts w:ascii="Times New Roman" w:hAnsi="Times New Roman"/>
          <w:sz w:val="24"/>
          <w:szCs w:val="24"/>
        </w:rPr>
        <w:t xml:space="preserve"> FERC-</w:t>
      </w:r>
      <w:r>
        <w:rPr>
          <w:rFonts w:ascii="Times New Roman" w:hAnsi="Times New Roman"/>
          <w:sz w:val="24"/>
          <w:szCs w:val="24"/>
        </w:rPr>
        <w:t xml:space="preserve">505 includes qualifying conduit hydropower </w:t>
      </w:r>
      <w:r w:rsidR="00AA2742">
        <w:rPr>
          <w:rFonts w:ascii="Times New Roman" w:hAnsi="Times New Roman"/>
          <w:sz w:val="24"/>
          <w:szCs w:val="24"/>
        </w:rPr>
        <w:t>facility applications</w:t>
      </w:r>
      <w:r w:rsidR="00B41A05">
        <w:rPr>
          <w:rFonts w:ascii="Times New Roman" w:hAnsi="Times New Roman"/>
          <w:sz w:val="24"/>
          <w:szCs w:val="24"/>
        </w:rPr>
        <w:t xml:space="preserve">; </w:t>
      </w:r>
      <w:r>
        <w:rPr>
          <w:rFonts w:ascii="Times New Roman" w:hAnsi="Times New Roman"/>
          <w:sz w:val="24"/>
          <w:szCs w:val="24"/>
        </w:rPr>
        <w:t>thus</w:t>
      </w:r>
      <w:r w:rsidR="00B41A05">
        <w:rPr>
          <w:rFonts w:ascii="Times New Roman" w:hAnsi="Times New Roman"/>
          <w:sz w:val="24"/>
          <w:szCs w:val="24"/>
        </w:rPr>
        <w:t>,</w:t>
      </w:r>
      <w:r w:rsidR="007E7C82">
        <w:rPr>
          <w:rFonts w:ascii="Times New Roman" w:hAnsi="Times New Roman"/>
          <w:sz w:val="24"/>
          <w:szCs w:val="24"/>
        </w:rPr>
        <w:t xml:space="preserve"> the change</w:t>
      </w:r>
      <w:r>
        <w:rPr>
          <w:rFonts w:ascii="Times New Roman" w:hAnsi="Times New Roman"/>
          <w:sz w:val="24"/>
          <w:szCs w:val="24"/>
        </w:rPr>
        <w:t xml:space="preserve"> to the Commission’s regulations regardi</w:t>
      </w:r>
      <w:r w:rsidR="00B41A05">
        <w:rPr>
          <w:rFonts w:ascii="Times New Roman" w:hAnsi="Times New Roman"/>
          <w:sz w:val="24"/>
          <w:szCs w:val="24"/>
        </w:rPr>
        <w:t>ng these facilities necessitate</w:t>
      </w:r>
      <w:r w:rsidR="007E7C82">
        <w:rPr>
          <w:rFonts w:ascii="Times New Roman" w:hAnsi="Times New Roman"/>
          <w:sz w:val="24"/>
          <w:szCs w:val="24"/>
        </w:rPr>
        <w:t>s</w:t>
      </w:r>
      <w:r>
        <w:rPr>
          <w:rFonts w:ascii="Times New Roman" w:hAnsi="Times New Roman"/>
          <w:sz w:val="24"/>
          <w:szCs w:val="24"/>
        </w:rPr>
        <w:t xml:space="preserve"> a new collection </w:t>
      </w:r>
      <w:r w:rsidR="00293E64">
        <w:rPr>
          <w:rFonts w:ascii="Times New Roman" w:hAnsi="Times New Roman"/>
          <w:sz w:val="24"/>
          <w:szCs w:val="24"/>
        </w:rPr>
        <w:t>of</w:t>
      </w:r>
      <w:r>
        <w:rPr>
          <w:rFonts w:ascii="Times New Roman" w:hAnsi="Times New Roman"/>
          <w:sz w:val="24"/>
          <w:szCs w:val="24"/>
        </w:rPr>
        <w:t xml:space="preserve"> information pertaining to qualifying conduit hydropower facilities</w:t>
      </w:r>
      <w:r w:rsidR="00B41A05">
        <w:rPr>
          <w:rFonts w:ascii="Times New Roman" w:hAnsi="Times New Roman"/>
          <w:sz w:val="24"/>
          <w:szCs w:val="24"/>
        </w:rPr>
        <w:t xml:space="preserve"> between five MW and 40 MW</w:t>
      </w:r>
      <w:r>
        <w:rPr>
          <w:rFonts w:ascii="Times New Roman" w:hAnsi="Times New Roman"/>
          <w:sz w:val="24"/>
          <w:szCs w:val="24"/>
        </w:rPr>
        <w:t xml:space="preserve">. </w:t>
      </w:r>
    </w:p>
    <w:p w14:paraId="3F9CCCEB" w14:textId="77777777" w:rsidR="00196016" w:rsidRPr="00160A5D" w:rsidRDefault="00196016" w:rsidP="007C37E8">
      <w:pPr>
        <w:spacing w:after="0" w:line="240" w:lineRule="auto"/>
        <w:rPr>
          <w:rFonts w:ascii="Times New Roman" w:hAnsi="Times New Roman"/>
          <w:b/>
          <w:sz w:val="24"/>
          <w:szCs w:val="24"/>
          <w:u w:val="single"/>
        </w:rPr>
      </w:pPr>
      <w:r w:rsidRPr="00160A5D">
        <w:rPr>
          <w:rFonts w:ascii="Times New Roman" w:hAnsi="Times New Roman"/>
          <w:b/>
          <w:sz w:val="24"/>
          <w:szCs w:val="24"/>
          <w:u w:val="single"/>
        </w:rPr>
        <w:t>FERC-505 (overview)</w:t>
      </w:r>
    </w:p>
    <w:p w14:paraId="7D6E2FE7" w14:textId="77777777" w:rsidR="00196016" w:rsidRDefault="00196016">
      <w:pPr>
        <w:spacing w:after="0" w:line="240" w:lineRule="auto"/>
        <w:rPr>
          <w:rFonts w:ascii="Times New Roman" w:hAnsi="Times New Roman"/>
          <w:sz w:val="24"/>
          <w:szCs w:val="24"/>
        </w:rPr>
      </w:pPr>
      <w:r w:rsidRPr="00F1537F">
        <w:rPr>
          <w:rFonts w:ascii="Times New Roman" w:hAnsi="Times New Roman"/>
          <w:sz w:val="24"/>
          <w:szCs w:val="24"/>
        </w:rPr>
        <w:t xml:space="preserve">FERC-505 is an application for a small hydropower project license or relicense, exemption, or determination of a qualifying conduit hydropower facility. </w:t>
      </w:r>
    </w:p>
    <w:p w14:paraId="0730BDA3" w14:textId="77777777" w:rsidR="00196016" w:rsidRPr="00196016" w:rsidRDefault="00196016">
      <w:pPr>
        <w:spacing w:after="0" w:line="240" w:lineRule="auto"/>
        <w:rPr>
          <w:rFonts w:ascii="Times New Roman" w:hAnsi="Times New Roman"/>
          <w:sz w:val="24"/>
          <w:szCs w:val="24"/>
        </w:rPr>
      </w:pPr>
    </w:p>
    <w:p w14:paraId="73E7CE7C" w14:textId="77777777" w:rsidR="00196016" w:rsidRPr="00160A5D" w:rsidRDefault="00196016">
      <w:pPr>
        <w:spacing w:after="0" w:line="240" w:lineRule="auto"/>
        <w:rPr>
          <w:rFonts w:ascii="Times New Roman" w:hAnsi="Times New Roman"/>
          <w:b/>
          <w:sz w:val="24"/>
          <w:szCs w:val="24"/>
        </w:rPr>
      </w:pPr>
      <w:r w:rsidRPr="00160A5D">
        <w:rPr>
          <w:rFonts w:ascii="Times New Roman" w:hAnsi="Times New Roman"/>
          <w:b/>
          <w:sz w:val="24"/>
          <w:szCs w:val="24"/>
        </w:rPr>
        <w:t>Qualifying Conduit Hydropower Facilities</w:t>
      </w:r>
    </w:p>
    <w:p w14:paraId="1EE954B3" w14:textId="2404DA5F" w:rsidR="00196016" w:rsidRDefault="00196016">
      <w:pPr>
        <w:spacing w:after="0" w:line="240" w:lineRule="auto"/>
        <w:rPr>
          <w:rFonts w:ascii="Times New Roman" w:hAnsi="Times New Roman"/>
          <w:sz w:val="24"/>
          <w:szCs w:val="24"/>
        </w:rPr>
      </w:pPr>
      <w:r w:rsidRPr="00F1537F">
        <w:rPr>
          <w:rFonts w:ascii="Times New Roman" w:hAnsi="Times New Roman"/>
          <w:sz w:val="24"/>
          <w:szCs w:val="24"/>
        </w:rPr>
        <w:t>The Hydropower</w:t>
      </w:r>
      <w:r>
        <w:rPr>
          <w:rFonts w:ascii="Times New Roman" w:hAnsi="Times New Roman"/>
          <w:sz w:val="24"/>
          <w:szCs w:val="24"/>
        </w:rPr>
        <w:t xml:space="preserve"> Regulatory</w:t>
      </w:r>
      <w:r w:rsidRPr="00F1537F">
        <w:rPr>
          <w:rFonts w:ascii="Times New Roman" w:hAnsi="Times New Roman"/>
          <w:sz w:val="24"/>
          <w:szCs w:val="24"/>
        </w:rPr>
        <w:t xml:space="preserve"> Efficiency Act</w:t>
      </w:r>
      <w:r>
        <w:rPr>
          <w:rFonts w:ascii="Times New Roman" w:hAnsi="Times New Roman"/>
          <w:sz w:val="24"/>
          <w:szCs w:val="24"/>
        </w:rPr>
        <w:t xml:space="preserve"> of 2013 </w:t>
      </w:r>
      <w:r w:rsidR="00931259">
        <w:rPr>
          <w:rFonts w:ascii="Times New Roman" w:hAnsi="Times New Roman"/>
          <w:sz w:val="24"/>
          <w:szCs w:val="24"/>
        </w:rPr>
        <w:t xml:space="preserve">amended section 30 of the FPA, which </w:t>
      </w:r>
      <w:r w:rsidRPr="00F1537F">
        <w:rPr>
          <w:rFonts w:ascii="Times New Roman" w:hAnsi="Times New Roman"/>
          <w:sz w:val="24"/>
          <w:szCs w:val="24"/>
        </w:rPr>
        <w:t xml:space="preserve">created a subset of conduit exemptions, called “qualifying conduit hydropower facilities,” which </w:t>
      </w:r>
      <w:r w:rsidRPr="00F1537F">
        <w:rPr>
          <w:rFonts w:ascii="Times New Roman" w:hAnsi="Times New Roman"/>
          <w:sz w:val="24"/>
          <w:szCs w:val="24"/>
        </w:rPr>
        <w:lastRenderedPageBreak/>
        <w:t>are not required to be licensed under Part I of the FPA.</w:t>
      </w:r>
      <w:r w:rsidR="00D610F3" w:rsidRPr="00D610F3">
        <w:rPr>
          <w:rStyle w:val="FootnoteReference"/>
          <w:rFonts w:ascii="Times New Roman" w:hAnsi="Times New Roman"/>
          <w:b/>
          <w:sz w:val="24"/>
          <w:szCs w:val="24"/>
          <w:vertAlign w:val="superscript"/>
        </w:rPr>
        <w:footnoteReference w:id="7"/>
      </w:r>
      <w:r w:rsidRPr="00D610F3">
        <w:rPr>
          <w:rFonts w:ascii="Times New Roman" w:hAnsi="Times New Roman"/>
          <w:b/>
          <w:sz w:val="24"/>
          <w:szCs w:val="24"/>
          <w:vertAlign w:val="superscript"/>
        </w:rPr>
        <w:t xml:space="preserve"> </w:t>
      </w:r>
      <w:r w:rsidRPr="00F1537F">
        <w:rPr>
          <w:rFonts w:ascii="Times New Roman" w:hAnsi="Times New Roman"/>
          <w:sz w:val="24"/>
          <w:szCs w:val="24"/>
        </w:rPr>
        <w:t xml:space="preserve"> </w:t>
      </w:r>
      <w:r w:rsidR="00931259">
        <w:rPr>
          <w:rFonts w:ascii="Times New Roman" w:hAnsi="Times New Roman"/>
          <w:sz w:val="24"/>
          <w:szCs w:val="24"/>
        </w:rPr>
        <w:t>Section 30 includes the</w:t>
      </w:r>
      <w:r>
        <w:rPr>
          <w:rFonts w:ascii="Times New Roman" w:hAnsi="Times New Roman"/>
          <w:sz w:val="24"/>
          <w:szCs w:val="24"/>
        </w:rPr>
        <w:t xml:space="preserve"> following criteria to determine whether a facility qualifies as a</w:t>
      </w:r>
      <w:r w:rsidRPr="00F1537F">
        <w:rPr>
          <w:rFonts w:ascii="Times New Roman" w:hAnsi="Times New Roman"/>
          <w:sz w:val="24"/>
          <w:szCs w:val="24"/>
        </w:rPr>
        <w:t xml:space="preserve"> qualifying conduit hydropower facility:</w:t>
      </w:r>
    </w:p>
    <w:p w14:paraId="78630EFF" w14:textId="77777777" w:rsidR="00196016" w:rsidRDefault="00196016">
      <w:pPr>
        <w:pStyle w:val="ListParagraph"/>
        <w:numPr>
          <w:ilvl w:val="0"/>
          <w:numId w:val="2"/>
        </w:numPr>
        <w:spacing w:after="0" w:line="240" w:lineRule="auto"/>
        <w:rPr>
          <w:rFonts w:ascii="Times New Roman" w:hAnsi="Times New Roman"/>
          <w:sz w:val="24"/>
          <w:szCs w:val="24"/>
        </w:rPr>
      </w:pPr>
      <w:r w:rsidRPr="00160A5D">
        <w:rPr>
          <w:rFonts w:ascii="Times New Roman" w:hAnsi="Times New Roman"/>
          <w:sz w:val="24"/>
          <w:szCs w:val="24"/>
        </w:rPr>
        <w:t>the facility would be constructed, operated, or maintained for the generation of electric power using only the hydroelectric potential of a non-federally owned conduit</w:t>
      </w:r>
      <w:r>
        <w:rPr>
          <w:rFonts w:ascii="Times New Roman" w:hAnsi="Times New Roman"/>
          <w:sz w:val="24"/>
          <w:szCs w:val="24"/>
        </w:rPr>
        <w:t>;</w:t>
      </w:r>
    </w:p>
    <w:p w14:paraId="0B4340C7" w14:textId="77777777" w:rsidR="00196016" w:rsidRDefault="00196016">
      <w:pPr>
        <w:pStyle w:val="ListParagraph"/>
        <w:numPr>
          <w:ilvl w:val="0"/>
          <w:numId w:val="2"/>
        </w:numPr>
        <w:spacing w:after="0" w:line="240" w:lineRule="auto"/>
        <w:rPr>
          <w:rFonts w:ascii="Times New Roman" w:hAnsi="Times New Roman"/>
          <w:sz w:val="24"/>
          <w:szCs w:val="24"/>
        </w:rPr>
      </w:pPr>
      <w:r w:rsidRPr="00160A5D">
        <w:rPr>
          <w:rFonts w:ascii="Times New Roman" w:hAnsi="Times New Roman"/>
          <w:sz w:val="24"/>
          <w:szCs w:val="24"/>
        </w:rPr>
        <w:t xml:space="preserve">the facility would have a total installed capacity that does not exceed </w:t>
      </w:r>
      <w:r>
        <w:rPr>
          <w:rFonts w:ascii="Times New Roman" w:hAnsi="Times New Roman"/>
          <w:sz w:val="24"/>
          <w:szCs w:val="24"/>
        </w:rPr>
        <w:t>five</w:t>
      </w:r>
      <w:r w:rsidRPr="00160A5D">
        <w:rPr>
          <w:rFonts w:ascii="Times New Roman" w:hAnsi="Times New Roman"/>
          <w:sz w:val="24"/>
          <w:szCs w:val="24"/>
        </w:rPr>
        <w:t> </w:t>
      </w:r>
      <w:r>
        <w:rPr>
          <w:rFonts w:ascii="Times New Roman" w:hAnsi="Times New Roman"/>
          <w:sz w:val="24"/>
          <w:szCs w:val="24"/>
        </w:rPr>
        <w:t>megawatts (</w:t>
      </w:r>
      <w:r w:rsidRPr="00160A5D">
        <w:rPr>
          <w:rFonts w:ascii="Times New Roman" w:hAnsi="Times New Roman"/>
          <w:sz w:val="24"/>
          <w:szCs w:val="24"/>
        </w:rPr>
        <w:t>MW</w:t>
      </w:r>
      <w:r>
        <w:rPr>
          <w:rFonts w:ascii="Times New Roman" w:hAnsi="Times New Roman"/>
          <w:sz w:val="24"/>
          <w:szCs w:val="24"/>
        </w:rPr>
        <w:t>)</w:t>
      </w:r>
      <w:r w:rsidRPr="00160A5D">
        <w:rPr>
          <w:rFonts w:ascii="Times New Roman" w:hAnsi="Times New Roman"/>
          <w:sz w:val="24"/>
          <w:szCs w:val="24"/>
        </w:rPr>
        <w:t>;</w:t>
      </w:r>
      <w:r w:rsidRPr="0083512E">
        <w:rPr>
          <w:rStyle w:val="FootnoteReference"/>
          <w:rFonts w:ascii="Times New Roman" w:hAnsi="Times New Roman"/>
          <w:b/>
          <w:sz w:val="24"/>
          <w:szCs w:val="24"/>
          <w:vertAlign w:val="superscript"/>
        </w:rPr>
        <w:footnoteReference w:id="8"/>
      </w:r>
      <w:r w:rsidRPr="00160A5D">
        <w:rPr>
          <w:rFonts w:ascii="Times New Roman" w:hAnsi="Times New Roman"/>
          <w:sz w:val="24"/>
          <w:szCs w:val="24"/>
        </w:rPr>
        <w:t xml:space="preserve"> and </w:t>
      </w:r>
    </w:p>
    <w:p w14:paraId="2E18DAC0" w14:textId="77777777" w:rsidR="00196016" w:rsidRPr="00160A5D" w:rsidRDefault="00196016">
      <w:pPr>
        <w:pStyle w:val="ListParagraph"/>
        <w:numPr>
          <w:ilvl w:val="0"/>
          <w:numId w:val="2"/>
        </w:numPr>
        <w:spacing w:after="0" w:line="240" w:lineRule="auto"/>
        <w:rPr>
          <w:rFonts w:ascii="Times New Roman" w:hAnsi="Times New Roman"/>
          <w:sz w:val="24"/>
          <w:szCs w:val="24"/>
        </w:rPr>
      </w:pPr>
      <w:r w:rsidRPr="00160A5D">
        <w:rPr>
          <w:rFonts w:ascii="Times New Roman" w:hAnsi="Times New Roman"/>
          <w:sz w:val="24"/>
          <w:szCs w:val="24"/>
        </w:rPr>
        <w:t xml:space="preserve">the facility is not licensed under, or exempted from, the license requirements in Part I of the FPA on or before the date of enactment of the Hydropower Efficiency Act (i.e. August 9, 2013).  </w:t>
      </w:r>
    </w:p>
    <w:p w14:paraId="0A8CC408" w14:textId="77777777" w:rsidR="00196016" w:rsidRPr="00196016" w:rsidRDefault="00196016">
      <w:pPr>
        <w:spacing w:after="0" w:line="240" w:lineRule="auto"/>
        <w:rPr>
          <w:rFonts w:ascii="Times New Roman" w:hAnsi="Times New Roman"/>
          <w:sz w:val="24"/>
          <w:szCs w:val="24"/>
        </w:rPr>
      </w:pPr>
    </w:p>
    <w:p w14:paraId="554916EF" w14:textId="77777777" w:rsidR="00196016" w:rsidRDefault="00196016">
      <w:pPr>
        <w:pStyle w:val="ListParagraph"/>
        <w:numPr>
          <w:ilvl w:val="0"/>
          <w:numId w:val="1"/>
        </w:numPr>
        <w:spacing w:after="0" w:line="240" w:lineRule="auto"/>
        <w:ind w:left="360"/>
        <w:rPr>
          <w:rFonts w:ascii="Times New Roman" w:hAnsi="Times New Roman"/>
          <w:b/>
          <w:sz w:val="24"/>
          <w:szCs w:val="24"/>
        </w:rPr>
      </w:pPr>
      <w:r w:rsidRPr="00F1537F">
        <w:rPr>
          <w:rFonts w:ascii="Times New Roman" w:hAnsi="Times New Roman"/>
          <w:b/>
          <w:sz w:val="24"/>
          <w:szCs w:val="24"/>
        </w:rPr>
        <w:t>HOW, BY WHOM, AND FOR WHAT PURPOSE THE INFORMATION IS TO BE USED AND THE CONSEQUENCES OF NOT COLLECTING THE INFORMATION</w:t>
      </w:r>
    </w:p>
    <w:p w14:paraId="7001B938" w14:textId="77777777" w:rsidR="00D610F3" w:rsidRPr="00D610F3" w:rsidRDefault="00D610F3">
      <w:pPr>
        <w:pStyle w:val="ListParagraph"/>
        <w:spacing w:after="0" w:line="240" w:lineRule="auto"/>
        <w:ind w:left="360"/>
        <w:rPr>
          <w:rFonts w:ascii="Times New Roman" w:hAnsi="Times New Roman"/>
          <w:b/>
          <w:sz w:val="24"/>
          <w:szCs w:val="24"/>
        </w:rPr>
      </w:pPr>
    </w:p>
    <w:p w14:paraId="0D2B96DA" w14:textId="22288FC1" w:rsidR="0000703B" w:rsidRDefault="002505EE" w:rsidP="00106A25">
      <w:pPr>
        <w:spacing w:after="0" w:line="240" w:lineRule="auto"/>
        <w:rPr>
          <w:rFonts w:ascii="Times New Roman" w:hAnsi="Times New Roman"/>
          <w:sz w:val="24"/>
          <w:szCs w:val="24"/>
        </w:rPr>
      </w:pPr>
      <w:r w:rsidRPr="00F1537F">
        <w:rPr>
          <w:rFonts w:ascii="Times New Roman" w:hAnsi="Times New Roman"/>
          <w:sz w:val="24"/>
          <w:szCs w:val="24"/>
        </w:rPr>
        <w:t>To obtain a determination that a project is a qualifying conduit hydropower facility, an entity must file with the Commission a notice of its intent to construct the facility that demonstrates the facility meets the qualifying criteria.</w:t>
      </w:r>
      <w:r w:rsidRPr="00D610F3">
        <w:rPr>
          <w:rStyle w:val="FootnoteReference"/>
          <w:rFonts w:ascii="Times New Roman" w:hAnsi="Times New Roman"/>
          <w:b/>
          <w:sz w:val="24"/>
          <w:szCs w:val="24"/>
          <w:vertAlign w:val="superscript"/>
        </w:rPr>
        <w:footnoteReference w:id="9"/>
      </w:r>
      <w:r w:rsidRPr="00D610F3">
        <w:rPr>
          <w:rFonts w:ascii="Times New Roman" w:hAnsi="Times New Roman"/>
          <w:b/>
          <w:sz w:val="24"/>
          <w:szCs w:val="24"/>
          <w:vertAlign w:val="superscript"/>
        </w:rPr>
        <w:t xml:space="preserve"> </w:t>
      </w:r>
      <w:r>
        <w:rPr>
          <w:rFonts w:ascii="Times New Roman" w:hAnsi="Times New Roman"/>
          <w:sz w:val="24"/>
          <w:szCs w:val="24"/>
        </w:rPr>
        <w:t xml:space="preserve"> The notice of intent is used by the Commission to determine </w:t>
      </w:r>
      <w:r w:rsidR="0000703B">
        <w:rPr>
          <w:rFonts w:ascii="Times New Roman" w:hAnsi="Times New Roman"/>
          <w:sz w:val="24"/>
          <w:szCs w:val="24"/>
        </w:rPr>
        <w:t xml:space="preserve">whether an entity meets the criteria </w:t>
      </w:r>
      <w:r w:rsidR="00D610F3">
        <w:rPr>
          <w:rFonts w:ascii="Times New Roman" w:hAnsi="Times New Roman"/>
          <w:sz w:val="24"/>
          <w:szCs w:val="24"/>
        </w:rPr>
        <w:t xml:space="preserve">of a </w:t>
      </w:r>
      <w:r w:rsidR="0000703B">
        <w:rPr>
          <w:rFonts w:ascii="Times New Roman" w:hAnsi="Times New Roman"/>
          <w:sz w:val="24"/>
          <w:szCs w:val="24"/>
        </w:rPr>
        <w:t xml:space="preserve">qualifying conduit hydropower facility. </w:t>
      </w:r>
      <w:r w:rsidR="00B41A05">
        <w:rPr>
          <w:rFonts w:ascii="Times New Roman" w:hAnsi="Times New Roman"/>
          <w:sz w:val="24"/>
          <w:szCs w:val="24"/>
        </w:rPr>
        <w:t xml:space="preserve"> </w:t>
      </w:r>
      <w:r w:rsidR="0000703B">
        <w:rPr>
          <w:rFonts w:ascii="Times New Roman" w:hAnsi="Times New Roman"/>
          <w:sz w:val="24"/>
          <w:szCs w:val="24"/>
        </w:rPr>
        <w:t xml:space="preserve">If the Commission did not collect the data from the notice, then there would not be a qualifying conduit hydropower facility program, as the Commission would have no way of determining whether an entity meets the relevant criteria. </w:t>
      </w:r>
      <w:r w:rsidR="00F6289B">
        <w:rPr>
          <w:rFonts w:ascii="Times New Roman" w:hAnsi="Times New Roman"/>
          <w:sz w:val="24"/>
          <w:szCs w:val="24"/>
        </w:rPr>
        <w:t xml:space="preserve"> Therefore, an entity that may be eligible as a qualifying conduit hydropower facility, and thus eligible to operate without Commission </w:t>
      </w:r>
      <w:r w:rsidR="00931259">
        <w:rPr>
          <w:rFonts w:ascii="Times New Roman" w:hAnsi="Times New Roman"/>
          <w:sz w:val="24"/>
          <w:szCs w:val="24"/>
        </w:rPr>
        <w:t>regulation</w:t>
      </w:r>
      <w:r w:rsidR="00F6289B">
        <w:rPr>
          <w:rFonts w:ascii="Times New Roman" w:hAnsi="Times New Roman"/>
          <w:sz w:val="24"/>
          <w:szCs w:val="24"/>
        </w:rPr>
        <w:t>, would have to obtain a license</w:t>
      </w:r>
      <w:r w:rsidR="00106A25">
        <w:rPr>
          <w:rFonts w:ascii="Times New Roman" w:hAnsi="Times New Roman"/>
          <w:sz w:val="24"/>
          <w:szCs w:val="24"/>
        </w:rPr>
        <w:t xml:space="preserve"> or exemption</w:t>
      </w:r>
      <w:r w:rsidR="00F6289B">
        <w:rPr>
          <w:rFonts w:ascii="Times New Roman" w:hAnsi="Times New Roman"/>
          <w:sz w:val="24"/>
          <w:szCs w:val="24"/>
        </w:rPr>
        <w:t xml:space="preserve"> from the Commission</w:t>
      </w:r>
      <w:r w:rsidR="00293E64">
        <w:rPr>
          <w:rFonts w:ascii="Times New Roman" w:hAnsi="Times New Roman"/>
          <w:sz w:val="24"/>
          <w:szCs w:val="24"/>
        </w:rPr>
        <w:t xml:space="preserve"> </w:t>
      </w:r>
      <w:r w:rsidR="00F6289B">
        <w:rPr>
          <w:rFonts w:ascii="Times New Roman" w:hAnsi="Times New Roman"/>
          <w:sz w:val="24"/>
          <w:szCs w:val="24"/>
        </w:rPr>
        <w:t xml:space="preserve">in order to operate.  </w:t>
      </w:r>
    </w:p>
    <w:p w14:paraId="5C46E643" w14:textId="77777777" w:rsidR="0000703B" w:rsidRDefault="0000703B">
      <w:pPr>
        <w:spacing w:after="0" w:line="240" w:lineRule="auto"/>
        <w:rPr>
          <w:rFonts w:ascii="Times New Roman" w:hAnsi="Times New Roman"/>
          <w:sz w:val="24"/>
          <w:szCs w:val="24"/>
        </w:rPr>
      </w:pPr>
    </w:p>
    <w:p w14:paraId="26FC739B" w14:textId="3EE86690" w:rsidR="001D5A88" w:rsidRPr="004B311B" w:rsidRDefault="00872641" w:rsidP="007E7C82">
      <w:pPr>
        <w:spacing w:line="240" w:lineRule="auto"/>
        <w:rPr>
          <w:rFonts w:ascii="Times New Roman" w:hAnsi="Times New Roman"/>
          <w:sz w:val="24"/>
          <w:szCs w:val="24"/>
        </w:rPr>
      </w:pPr>
      <w:r>
        <w:rPr>
          <w:rFonts w:ascii="Times New Roman" w:hAnsi="Times New Roman"/>
          <w:sz w:val="24"/>
          <w:szCs w:val="24"/>
        </w:rPr>
        <w:t xml:space="preserve">A separate entity </w:t>
      </w:r>
      <w:r w:rsidR="00F6289B">
        <w:rPr>
          <w:rFonts w:ascii="Times New Roman" w:hAnsi="Times New Roman"/>
          <w:sz w:val="24"/>
          <w:szCs w:val="24"/>
        </w:rPr>
        <w:t>may</w:t>
      </w:r>
      <w:r>
        <w:rPr>
          <w:rFonts w:ascii="Times New Roman" w:hAnsi="Times New Roman"/>
          <w:sz w:val="24"/>
          <w:szCs w:val="24"/>
        </w:rPr>
        <w:t xml:space="preserve"> contest whether a facility meets the qualifying criteria by filing with the Commission a comment</w:t>
      </w:r>
      <w:r w:rsidR="00931259">
        <w:rPr>
          <w:rFonts w:ascii="Times New Roman" w:hAnsi="Times New Roman"/>
          <w:sz w:val="24"/>
          <w:szCs w:val="24"/>
        </w:rPr>
        <w:t>, within the comment period,</w:t>
      </w:r>
      <w:r>
        <w:rPr>
          <w:rFonts w:ascii="Times New Roman" w:hAnsi="Times New Roman"/>
          <w:sz w:val="24"/>
          <w:szCs w:val="24"/>
        </w:rPr>
        <w:t xml:space="preserve"> contesting the facility’s qualifying status</w:t>
      </w:r>
      <w:r w:rsidR="00931259">
        <w:rPr>
          <w:rFonts w:ascii="Times New Roman" w:hAnsi="Times New Roman"/>
          <w:sz w:val="24"/>
          <w:szCs w:val="24"/>
        </w:rPr>
        <w:t>.</w:t>
      </w:r>
      <w:r w:rsidR="00D610F3" w:rsidRPr="00D610F3">
        <w:rPr>
          <w:rStyle w:val="FootnoteReference"/>
          <w:rFonts w:ascii="Times New Roman" w:hAnsi="Times New Roman"/>
          <w:b/>
          <w:sz w:val="24"/>
          <w:szCs w:val="24"/>
          <w:vertAlign w:val="superscript"/>
        </w:rPr>
        <w:footnoteReference w:id="10"/>
      </w:r>
      <w:r>
        <w:rPr>
          <w:rFonts w:ascii="Times New Roman" w:hAnsi="Times New Roman"/>
          <w:sz w:val="24"/>
          <w:szCs w:val="24"/>
        </w:rPr>
        <w:t xml:space="preserve"> </w:t>
      </w:r>
      <w:r w:rsidR="008479B3">
        <w:rPr>
          <w:rFonts w:ascii="Times New Roman" w:hAnsi="Times New Roman"/>
          <w:sz w:val="24"/>
          <w:szCs w:val="24"/>
        </w:rPr>
        <w:t xml:space="preserve"> </w:t>
      </w:r>
      <w:r>
        <w:rPr>
          <w:rFonts w:ascii="Times New Roman" w:hAnsi="Times New Roman"/>
          <w:sz w:val="24"/>
          <w:szCs w:val="24"/>
        </w:rPr>
        <w:t xml:space="preserve">A comment </w:t>
      </w:r>
      <w:r w:rsidR="00931259">
        <w:rPr>
          <w:rFonts w:ascii="Times New Roman" w:hAnsi="Times New Roman"/>
          <w:sz w:val="24"/>
          <w:szCs w:val="24"/>
        </w:rPr>
        <w:t xml:space="preserve">in opposition to the notice of intent </w:t>
      </w:r>
      <w:r w:rsidR="00AA3ED3">
        <w:rPr>
          <w:rFonts w:ascii="Times New Roman" w:hAnsi="Times New Roman"/>
          <w:sz w:val="24"/>
          <w:szCs w:val="24"/>
        </w:rPr>
        <w:t>provides the public with an opportunity to contest whether a facility meets the statutory requirements</w:t>
      </w:r>
      <w:r w:rsidR="00D610F3">
        <w:rPr>
          <w:rFonts w:ascii="Times New Roman" w:hAnsi="Times New Roman"/>
          <w:sz w:val="24"/>
          <w:szCs w:val="24"/>
        </w:rPr>
        <w:t xml:space="preserve">. </w:t>
      </w:r>
    </w:p>
    <w:p w14:paraId="3DEBBDED" w14:textId="77777777" w:rsidR="004B311B" w:rsidRPr="00F1537F" w:rsidRDefault="004B311B" w:rsidP="007C37E8">
      <w:pPr>
        <w:pStyle w:val="ListParagraph"/>
        <w:numPr>
          <w:ilvl w:val="0"/>
          <w:numId w:val="1"/>
        </w:numPr>
        <w:spacing w:after="0" w:line="240" w:lineRule="auto"/>
        <w:ind w:left="360"/>
        <w:rPr>
          <w:rFonts w:ascii="Times New Roman" w:hAnsi="Times New Roman"/>
          <w:b/>
          <w:sz w:val="24"/>
          <w:szCs w:val="24"/>
        </w:rPr>
      </w:pPr>
      <w:r w:rsidRPr="00F1537F">
        <w:rPr>
          <w:rFonts w:ascii="Times New Roman" w:hAnsi="Times New Roman"/>
          <w:b/>
          <w:sz w:val="24"/>
          <w:szCs w:val="24"/>
        </w:rPr>
        <w:t>DESCRIBE ANY CONSIDERATION OF THE USE OF IMPROVED INFORMATION TECHNOLOGY TO REDUCE THE BURDEN AND TECHNICAL OR LEGAL OBSTACLES TO REDUCING BURDEN</w:t>
      </w:r>
    </w:p>
    <w:p w14:paraId="17E204EB" w14:textId="401AAEB2" w:rsidR="004B311B" w:rsidRDefault="004B311B" w:rsidP="007E7C82">
      <w:pPr>
        <w:spacing w:after="0" w:line="240" w:lineRule="auto"/>
        <w:rPr>
          <w:rFonts w:ascii="Times New Roman" w:hAnsi="Times New Roman"/>
          <w:sz w:val="24"/>
          <w:szCs w:val="24"/>
        </w:rPr>
      </w:pPr>
    </w:p>
    <w:p w14:paraId="54E35A5A" w14:textId="57BA43E5" w:rsidR="00196016" w:rsidRDefault="004B311B" w:rsidP="007E7C82">
      <w:pPr>
        <w:spacing w:line="240" w:lineRule="auto"/>
        <w:rPr>
          <w:rFonts w:ascii="Times New Roman" w:hAnsi="Times New Roman"/>
          <w:sz w:val="24"/>
          <w:szCs w:val="24"/>
        </w:rPr>
      </w:pPr>
      <w:r>
        <w:rPr>
          <w:rFonts w:ascii="Times New Roman" w:hAnsi="Times New Roman"/>
          <w:sz w:val="24"/>
          <w:szCs w:val="24"/>
        </w:rPr>
        <w:t>The Commission</w:t>
      </w:r>
      <w:r w:rsidRPr="00F1537F">
        <w:rPr>
          <w:rFonts w:ascii="Times New Roman" w:hAnsi="Times New Roman"/>
          <w:sz w:val="24"/>
          <w:szCs w:val="24"/>
        </w:rPr>
        <w:t xml:space="preserve"> continually considers the use of improved information technology to reduce burden in the filing requirements for submission of information.</w:t>
      </w:r>
      <w:r>
        <w:rPr>
          <w:rFonts w:ascii="Times New Roman" w:hAnsi="Times New Roman"/>
          <w:sz w:val="24"/>
          <w:szCs w:val="24"/>
        </w:rPr>
        <w:t xml:space="preserve">  This Fina</w:t>
      </w:r>
      <w:r w:rsidR="00BA21FA">
        <w:rPr>
          <w:rFonts w:ascii="Times New Roman" w:hAnsi="Times New Roman"/>
          <w:sz w:val="24"/>
          <w:szCs w:val="24"/>
        </w:rPr>
        <w:t xml:space="preserve">l Rule is increasing the maximum installed capacity for </w:t>
      </w:r>
      <w:r>
        <w:rPr>
          <w:rFonts w:ascii="Times New Roman" w:hAnsi="Times New Roman"/>
          <w:sz w:val="24"/>
          <w:szCs w:val="24"/>
        </w:rPr>
        <w:t>qualifying conduit hydroelectric facilities</w:t>
      </w:r>
      <w:r w:rsidR="00BA21FA">
        <w:rPr>
          <w:rFonts w:ascii="Times New Roman" w:hAnsi="Times New Roman"/>
          <w:sz w:val="24"/>
          <w:szCs w:val="24"/>
        </w:rPr>
        <w:t xml:space="preserve">.  </w:t>
      </w:r>
      <w:r>
        <w:rPr>
          <w:rFonts w:ascii="Times New Roman" w:hAnsi="Times New Roman"/>
          <w:sz w:val="24"/>
          <w:szCs w:val="24"/>
        </w:rPr>
        <w:t>T</w:t>
      </w:r>
      <w:r w:rsidRPr="00F1537F">
        <w:rPr>
          <w:rFonts w:ascii="Times New Roman" w:hAnsi="Times New Roman"/>
          <w:sz w:val="24"/>
          <w:szCs w:val="24"/>
        </w:rPr>
        <w:t xml:space="preserve">he Commission </w:t>
      </w:r>
      <w:r>
        <w:rPr>
          <w:rFonts w:ascii="Times New Roman" w:hAnsi="Times New Roman"/>
          <w:sz w:val="24"/>
          <w:szCs w:val="24"/>
        </w:rPr>
        <w:t>allows</w:t>
      </w:r>
      <w:r w:rsidRPr="00F1537F">
        <w:rPr>
          <w:rFonts w:ascii="Times New Roman" w:hAnsi="Times New Roman"/>
          <w:sz w:val="24"/>
          <w:szCs w:val="24"/>
        </w:rPr>
        <w:t xml:space="preserve"> </w:t>
      </w:r>
      <w:r>
        <w:rPr>
          <w:rFonts w:ascii="Times New Roman" w:hAnsi="Times New Roman"/>
          <w:sz w:val="24"/>
          <w:szCs w:val="24"/>
        </w:rPr>
        <w:t xml:space="preserve">eFiling for the FERC-505 </w:t>
      </w:r>
      <w:r w:rsidRPr="00F1537F">
        <w:rPr>
          <w:rFonts w:ascii="Times New Roman" w:hAnsi="Times New Roman"/>
          <w:sz w:val="24"/>
          <w:szCs w:val="24"/>
        </w:rPr>
        <w:t>application</w:t>
      </w:r>
      <w:r>
        <w:rPr>
          <w:rFonts w:ascii="Times New Roman" w:hAnsi="Times New Roman"/>
          <w:sz w:val="24"/>
          <w:szCs w:val="24"/>
        </w:rPr>
        <w:t>s</w:t>
      </w:r>
      <w:r w:rsidR="00293E64">
        <w:rPr>
          <w:rFonts w:ascii="Times New Roman" w:hAnsi="Times New Roman"/>
          <w:sz w:val="24"/>
          <w:szCs w:val="24"/>
        </w:rPr>
        <w:t>, including notices of intent for qualifying conduit hydropower facilities</w:t>
      </w:r>
      <w:r w:rsidRPr="00F1537F">
        <w:rPr>
          <w:rFonts w:ascii="Times New Roman" w:hAnsi="Times New Roman"/>
          <w:sz w:val="24"/>
          <w:szCs w:val="24"/>
        </w:rPr>
        <w:t>.</w:t>
      </w:r>
      <w:r>
        <w:rPr>
          <w:rFonts w:ascii="Times New Roman" w:hAnsi="Times New Roman"/>
          <w:sz w:val="24"/>
          <w:szCs w:val="24"/>
        </w:rPr>
        <w:t xml:space="preserve">  </w:t>
      </w:r>
    </w:p>
    <w:p w14:paraId="310E0444" w14:textId="77777777" w:rsidR="004B311B" w:rsidRPr="00F1537F" w:rsidRDefault="004B311B" w:rsidP="007C37E8">
      <w:pPr>
        <w:pStyle w:val="ListParagraph"/>
        <w:numPr>
          <w:ilvl w:val="0"/>
          <w:numId w:val="1"/>
        </w:numPr>
        <w:spacing w:after="0" w:line="240" w:lineRule="auto"/>
        <w:ind w:left="360"/>
        <w:rPr>
          <w:rFonts w:ascii="Times New Roman" w:hAnsi="Times New Roman"/>
          <w:b/>
          <w:sz w:val="24"/>
          <w:szCs w:val="24"/>
        </w:rPr>
      </w:pPr>
      <w:r w:rsidRPr="00F1537F">
        <w:rPr>
          <w:rFonts w:ascii="Times New Roman" w:hAnsi="Times New Roman"/>
          <w:b/>
          <w:sz w:val="24"/>
          <w:szCs w:val="24"/>
        </w:rPr>
        <w:lastRenderedPageBreak/>
        <w:t>DESCRIBE EFFORTS TO IDENTIFY DUPLICATION AND SHOW SPECIFICALLY WHY ANY SIMILAR INFORMATION ALREADY AVAILABLE CANNOT BE USED OR MODIFIED FOR USE FOR THE PURPOSE(S) DESCRIBED IN INSTRUCTION NO. 2</w:t>
      </w:r>
    </w:p>
    <w:p w14:paraId="01C668D1" w14:textId="77777777" w:rsidR="004B311B" w:rsidRPr="00F1537F" w:rsidRDefault="004B311B">
      <w:pPr>
        <w:spacing w:after="0" w:line="240" w:lineRule="auto"/>
        <w:ind w:left="360" w:hanging="360"/>
        <w:rPr>
          <w:rFonts w:ascii="Times New Roman" w:hAnsi="Times New Roman"/>
          <w:sz w:val="24"/>
          <w:szCs w:val="24"/>
        </w:rPr>
      </w:pPr>
    </w:p>
    <w:p w14:paraId="33AFD1AC" w14:textId="77777777" w:rsidR="004B311B" w:rsidRDefault="004B311B">
      <w:pPr>
        <w:spacing w:after="0" w:line="240" w:lineRule="auto"/>
        <w:rPr>
          <w:rFonts w:ascii="Times New Roman" w:hAnsi="Times New Roman"/>
          <w:sz w:val="24"/>
          <w:szCs w:val="24"/>
        </w:rPr>
      </w:pPr>
      <w:r w:rsidRPr="00F1537F">
        <w:rPr>
          <w:rFonts w:ascii="Times New Roman" w:hAnsi="Times New Roman"/>
          <w:sz w:val="24"/>
          <w:szCs w:val="24"/>
        </w:rPr>
        <w:t xml:space="preserve">The Commission periodically reviews filing requirements concurrent with OMB review or as the Commission deems necessary to eliminate duplicative filing and to minimize the filing burden.  </w:t>
      </w:r>
    </w:p>
    <w:p w14:paraId="7B0B92B8" w14:textId="77777777" w:rsidR="004B311B" w:rsidRDefault="004B311B">
      <w:pPr>
        <w:spacing w:after="0" w:line="240" w:lineRule="auto"/>
        <w:rPr>
          <w:rFonts w:ascii="Times New Roman" w:hAnsi="Times New Roman"/>
          <w:sz w:val="24"/>
          <w:szCs w:val="24"/>
        </w:rPr>
      </w:pPr>
    </w:p>
    <w:p w14:paraId="06088885" w14:textId="5285A6F3" w:rsidR="004B311B" w:rsidRPr="00F1537F" w:rsidRDefault="004B311B">
      <w:pPr>
        <w:spacing w:after="0" w:line="240" w:lineRule="auto"/>
        <w:rPr>
          <w:rFonts w:ascii="Times New Roman" w:hAnsi="Times New Roman"/>
          <w:sz w:val="24"/>
          <w:szCs w:val="24"/>
        </w:rPr>
      </w:pPr>
      <w:r w:rsidRPr="00F1537F">
        <w:rPr>
          <w:rFonts w:ascii="Times New Roman" w:hAnsi="Times New Roman"/>
          <w:sz w:val="24"/>
          <w:szCs w:val="24"/>
        </w:rPr>
        <w:t>No similar information is available</w:t>
      </w:r>
      <w:r>
        <w:rPr>
          <w:rFonts w:ascii="Times New Roman" w:hAnsi="Times New Roman"/>
          <w:sz w:val="24"/>
          <w:szCs w:val="24"/>
        </w:rPr>
        <w:t xml:space="preserve"> for the FERC-505.  The FERC-505</w:t>
      </w:r>
      <w:r w:rsidRPr="00F1537F">
        <w:rPr>
          <w:rFonts w:ascii="Times New Roman" w:hAnsi="Times New Roman"/>
          <w:sz w:val="24"/>
          <w:szCs w:val="24"/>
        </w:rPr>
        <w:t xml:space="preserve"> </w:t>
      </w:r>
      <w:r>
        <w:rPr>
          <w:rFonts w:ascii="Times New Roman" w:hAnsi="Times New Roman"/>
          <w:sz w:val="24"/>
          <w:szCs w:val="24"/>
        </w:rPr>
        <w:t>is</w:t>
      </w:r>
      <w:r w:rsidRPr="00F1537F">
        <w:rPr>
          <w:rFonts w:ascii="Times New Roman" w:hAnsi="Times New Roman"/>
          <w:sz w:val="24"/>
          <w:szCs w:val="24"/>
        </w:rPr>
        <w:t xml:space="preserve"> </w:t>
      </w:r>
      <w:r>
        <w:rPr>
          <w:rFonts w:ascii="Times New Roman" w:hAnsi="Times New Roman"/>
          <w:sz w:val="24"/>
          <w:szCs w:val="24"/>
        </w:rPr>
        <w:t xml:space="preserve">a </w:t>
      </w:r>
      <w:r w:rsidRPr="00F1537F">
        <w:rPr>
          <w:rFonts w:ascii="Times New Roman" w:hAnsi="Times New Roman"/>
          <w:sz w:val="24"/>
          <w:szCs w:val="24"/>
        </w:rPr>
        <w:t xml:space="preserve">case-specific application for a benefit (e.g., license or </w:t>
      </w:r>
      <w:r w:rsidR="00293E64">
        <w:rPr>
          <w:rFonts w:ascii="Times New Roman" w:hAnsi="Times New Roman"/>
          <w:sz w:val="24"/>
          <w:szCs w:val="24"/>
        </w:rPr>
        <w:t>exemption</w:t>
      </w:r>
      <w:r w:rsidRPr="00F1537F">
        <w:rPr>
          <w:rFonts w:ascii="Times New Roman" w:hAnsi="Times New Roman"/>
          <w:sz w:val="24"/>
          <w:szCs w:val="24"/>
        </w:rPr>
        <w:t xml:space="preserve">) and </w:t>
      </w:r>
      <w:r>
        <w:rPr>
          <w:rFonts w:ascii="Times New Roman" w:hAnsi="Times New Roman"/>
          <w:sz w:val="24"/>
          <w:szCs w:val="24"/>
        </w:rPr>
        <w:t>is</w:t>
      </w:r>
      <w:r w:rsidRPr="00F1537F">
        <w:rPr>
          <w:rFonts w:ascii="Times New Roman" w:hAnsi="Times New Roman"/>
          <w:sz w:val="24"/>
          <w:szCs w:val="24"/>
        </w:rPr>
        <w:t xml:space="preserve"> unique to the applicant and the site for which the filing is made.</w:t>
      </w:r>
    </w:p>
    <w:p w14:paraId="106A0A8B" w14:textId="77777777" w:rsidR="004B311B" w:rsidRDefault="004B311B" w:rsidP="007E7C82">
      <w:pPr>
        <w:spacing w:line="240" w:lineRule="auto"/>
      </w:pPr>
    </w:p>
    <w:p w14:paraId="4F234120" w14:textId="77777777" w:rsidR="004B311B" w:rsidRPr="00F1537F" w:rsidRDefault="004B311B" w:rsidP="007C37E8">
      <w:pPr>
        <w:pStyle w:val="ListParagraph"/>
        <w:numPr>
          <w:ilvl w:val="0"/>
          <w:numId w:val="1"/>
        </w:numPr>
        <w:spacing w:after="0" w:line="240" w:lineRule="auto"/>
        <w:ind w:left="360"/>
        <w:rPr>
          <w:rFonts w:ascii="Times New Roman" w:hAnsi="Times New Roman"/>
          <w:b/>
          <w:sz w:val="24"/>
          <w:szCs w:val="24"/>
        </w:rPr>
      </w:pPr>
      <w:r w:rsidRPr="00F1537F">
        <w:rPr>
          <w:rFonts w:ascii="Times New Roman" w:hAnsi="Times New Roman"/>
          <w:b/>
          <w:sz w:val="24"/>
          <w:szCs w:val="24"/>
        </w:rPr>
        <w:t>METHODS USED TO MINIMIZE THE BURDEN IN COLLECTION OF INFORMATION INVOLVING SMALL ENTITIES</w:t>
      </w:r>
    </w:p>
    <w:p w14:paraId="16863F2C" w14:textId="77777777" w:rsidR="004B311B" w:rsidRDefault="004B311B">
      <w:pPr>
        <w:spacing w:after="0" w:line="240" w:lineRule="auto"/>
        <w:rPr>
          <w:rFonts w:ascii="Times New Roman" w:hAnsi="Times New Roman"/>
          <w:b/>
          <w:sz w:val="24"/>
          <w:szCs w:val="24"/>
        </w:rPr>
      </w:pPr>
    </w:p>
    <w:p w14:paraId="37322698" w14:textId="091F9CDC" w:rsidR="004B311B" w:rsidRPr="00F1537F" w:rsidRDefault="004B311B">
      <w:pPr>
        <w:spacing w:after="0" w:line="240" w:lineRule="auto"/>
        <w:rPr>
          <w:rFonts w:ascii="Times New Roman" w:hAnsi="Times New Roman"/>
          <w:sz w:val="24"/>
          <w:szCs w:val="24"/>
        </w:rPr>
      </w:pPr>
      <w:r w:rsidRPr="00F1537F">
        <w:rPr>
          <w:rFonts w:ascii="Times New Roman" w:hAnsi="Times New Roman"/>
          <w:sz w:val="24"/>
          <w:szCs w:val="24"/>
        </w:rPr>
        <w:t>The FERC-505 reporting requirements are the basic filing requirements pertaining to all applications for a small hydropower project license/relicense</w:t>
      </w:r>
      <w:r>
        <w:rPr>
          <w:rFonts w:ascii="Times New Roman" w:hAnsi="Times New Roman"/>
          <w:sz w:val="24"/>
          <w:szCs w:val="24"/>
        </w:rPr>
        <w:t>s</w:t>
      </w:r>
      <w:r w:rsidRPr="00F1537F">
        <w:rPr>
          <w:rFonts w:ascii="Times New Roman" w:hAnsi="Times New Roman"/>
          <w:sz w:val="24"/>
          <w:szCs w:val="24"/>
        </w:rPr>
        <w:t>, exemption</w:t>
      </w:r>
      <w:r>
        <w:rPr>
          <w:rFonts w:ascii="Times New Roman" w:hAnsi="Times New Roman"/>
          <w:sz w:val="24"/>
          <w:szCs w:val="24"/>
        </w:rPr>
        <w:t>s</w:t>
      </w:r>
      <w:r w:rsidRPr="00F1537F">
        <w:rPr>
          <w:rFonts w:ascii="Times New Roman" w:hAnsi="Times New Roman"/>
          <w:sz w:val="24"/>
          <w:szCs w:val="24"/>
        </w:rPr>
        <w:t>, or determination</w:t>
      </w:r>
      <w:r>
        <w:rPr>
          <w:rFonts w:ascii="Times New Roman" w:hAnsi="Times New Roman"/>
          <w:sz w:val="24"/>
          <w:szCs w:val="24"/>
        </w:rPr>
        <w:t>s</w:t>
      </w:r>
      <w:r w:rsidRPr="00F1537F">
        <w:rPr>
          <w:rFonts w:ascii="Times New Roman" w:hAnsi="Times New Roman"/>
          <w:sz w:val="24"/>
          <w:szCs w:val="24"/>
        </w:rPr>
        <w:t xml:space="preserve"> of a qualifying conduit hydropower facility.  The Commission sets forth distinct filing requirements for small hydropower projects.  Small entities have streamlined filing requirements.  The Commission is able to expedite the process for small, low-impact hydropower projects in the following ways:</w:t>
      </w:r>
    </w:p>
    <w:p w14:paraId="19FF641F" w14:textId="77777777" w:rsidR="004B311B" w:rsidRPr="00F1537F" w:rsidRDefault="004B311B">
      <w:pPr>
        <w:numPr>
          <w:ilvl w:val="0"/>
          <w:numId w:val="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wai</w:t>
      </w:r>
      <w:r w:rsidRPr="00F1537F">
        <w:rPr>
          <w:rFonts w:ascii="Times New Roman" w:eastAsia="Times New Roman" w:hAnsi="Times New Roman"/>
          <w:sz w:val="24"/>
          <w:szCs w:val="24"/>
        </w:rPr>
        <w:t>ve</w:t>
      </w:r>
      <w:r>
        <w:rPr>
          <w:rFonts w:ascii="Times New Roman" w:eastAsia="Times New Roman" w:hAnsi="Times New Roman"/>
          <w:sz w:val="24"/>
          <w:szCs w:val="24"/>
        </w:rPr>
        <w:t>r of</w:t>
      </w:r>
      <w:r w:rsidRPr="00F1537F">
        <w:rPr>
          <w:rFonts w:ascii="Times New Roman" w:eastAsia="Times New Roman" w:hAnsi="Times New Roman"/>
          <w:sz w:val="24"/>
          <w:szCs w:val="24"/>
        </w:rPr>
        <w:t xml:space="preserve"> some pre-filing consultation requirements (with resource agency cooperation); </w:t>
      </w:r>
    </w:p>
    <w:p w14:paraId="75B0B700" w14:textId="77777777" w:rsidR="004B311B" w:rsidRPr="00F1537F" w:rsidRDefault="004B311B">
      <w:pPr>
        <w:numPr>
          <w:ilvl w:val="0"/>
          <w:numId w:val="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concurrent</w:t>
      </w:r>
      <w:r w:rsidRPr="00F1537F">
        <w:rPr>
          <w:rFonts w:ascii="Times New Roman" w:eastAsia="Times New Roman" w:hAnsi="Times New Roman"/>
          <w:sz w:val="24"/>
          <w:szCs w:val="24"/>
        </w:rPr>
        <w:t xml:space="preserve"> environmental scoping </w:t>
      </w:r>
      <w:r>
        <w:rPr>
          <w:rFonts w:ascii="Times New Roman" w:eastAsia="Times New Roman" w:hAnsi="Times New Roman"/>
          <w:sz w:val="24"/>
          <w:szCs w:val="24"/>
        </w:rPr>
        <w:t>and</w:t>
      </w:r>
      <w:r w:rsidRPr="00F1537F">
        <w:rPr>
          <w:rFonts w:ascii="Times New Roman" w:eastAsia="Times New Roman" w:hAnsi="Times New Roman"/>
          <w:sz w:val="24"/>
          <w:szCs w:val="24"/>
        </w:rPr>
        <w:t xml:space="preserve"> pre-filing consultation; </w:t>
      </w:r>
    </w:p>
    <w:p w14:paraId="17696E9E" w14:textId="77777777" w:rsidR="004B311B" w:rsidRPr="00F1537F" w:rsidRDefault="004B311B">
      <w:pPr>
        <w:numPr>
          <w:ilvl w:val="0"/>
          <w:numId w:val="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streamlined</w:t>
      </w:r>
      <w:r w:rsidRPr="00F1537F">
        <w:rPr>
          <w:rFonts w:ascii="Times New Roman" w:eastAsia="Times New Roman" w:hAnsi="Times New Roman"/>
          <w:sz w:val="24"/>
          <w:szCs w:val="24"/>
        </w:rPr>
        <w:t xml:space="preserve"> public notic</w:t>
      </w:r>
      <w:r>
        <w:rPr>
          <w:rFonts w:ascii="Times New Roman" w:eastAsia="Times New Roman" w:hAnsi="Times New Roman"/>
          <w:sz w:val="24"/>
          <w:szCs w:val="24"/>
        </w:rPr>
        <w:t>e</w:t>
      </w:r>
      <w:r w:rsidRPr="00F1537F">
        <w:rPr>
          <w:rFonts w:ascii="Times New Roman" w:eastAsia="Times New Roman" w:hAnsi="Times New Roman"/>
          <w:sz w:val="24"/>
          <w:szCs w:val="24"/>
        </w:rPr>
        <w:t xml:space="preserve"> requirements; </w:t>
      </w:r>
    </w:p>
    <w:p w14:paraId="42C5615D" w14:textId="77777777" w:rsidR="004B311B" w:rsidRPr="00F1537F" w:rsidRDefault="004B311B">
      <w:pPr>
        <w:numPr>
          <w:ilvl w:val="0"/>
          <w:numId w:val="3"/>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shorten</w:t>
      </w:r>
      <w:r>
        <w:rPr>
          <w:rFonts w:ascii="Times New Roman" w:eastAsia="Times New Roman" w:hAnsi="Times New Roman"/>
          <w:sz w:val="24"/>
          <w:szCs w:val="24"/>
        </w:rPr>
        <w:t>ed</w:t>
      </w:r>
      <w:r w:rsidRPr="00F1537F">
        <w:rPr>
          <w:rFonts w:ascii="Times New Roman" w:eastAsia="Times New Roman" w:hAnsi="Times New Roman"/>
          <w:sz w:val="24"/>
          <w:szCs w:val="24"/>
        </w:rPr>
        <w:t xml:space="preserve"> comment periods; </w:t>
      </w:r>
    </w:p>
    <w:p w14:paraId="29350EF1" w14:textId="77777777" w:rsidR="004B311B" w:rsidRPr="00F1537F" w:rsidRDefault="004B311B">
      <w:pPr>
        <w:numPr>
          <w:ilvl w:val="0"/>
          <w:numId w:val="3"/>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coordinat</w:t>
      </w:r>
      <w:r>
        <w:rPr>
          <w:rFonts w:ascii="Times New Roman" w:eastAsia="Times New Roman" w:hAnsi="Times New Roman"/>
          <w:sz w:val="24"/>
          <w:szCs w:val="24"/>
        </w:rPr>
        <w:t>ion</w:t>
      </w:r>
      <w:r w:rsidRPr="00F1537F">
        <w:rPr>
          <w:rFonts w:ascii="Times New Roman" w:eastAsia="Times New Roman" w:hAnsi="Times New Roman"/>
          <w:sz w:val="24"/>
          <w:szCs w:val="24"/>
        </w:rPr>
        <w:t xml:space="preserve"> with resource agencies to obtain their final terms and conditions before</w:t>
      </w:r>
      <w:r>
        <w:rPr>
          <w:rFonts w:ascii="Times New Roman" w:eastAsia="Times New Roman" w:hAnsi="Times New Roman"/>
          <w:sz w:val="24"/>
          <w:szCs w:val="24"/>
        </w:rPr>
        <w:t xml:space="preserve"> Commission staff issues</w:t>
      </w:r>
      <w:r w:rsidRPr="00F1537F">
        <w:rPr>
          <w:rFonts w:ascii="Times New Roman" w:eastAsia="Times New Roman" w:hAnsi="Times New Roman"/>
          <w:sz w:val="24"/>
          <w:szCs w:val="24"/>
        </w:rPr>
        <w:t xml:space="preserve"> an environmental assessment, instead of the customary preliminary and final versions; </w:t>
      </w:r>
    </w:p>
    <w:p w14:paraId="738B0B70" w14:textId="77777777" w:rsidR="004B311B" w:rsidRPr="00F1537F" w:rsidRDefault="004B311B">
      <w:pPr>
        <w:numPr>
          <w:ilvl w:val="0"/>
          <w:numId w:val="3"/>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use</w:t>
      </w:r>
      <w:r>
        <w:rPr>
          <w:rFonts w:ascii="Times New Roman" w:eastAsia="Times New Roman" w:hAnsi="Times New Roman"/>
          <w:sz w:val="24"/>
          <w:szCs w:val="24"/>
        </w:rPr>
        <w:t xml:space="preserve"> of</w:t>
      </w:r>
      <w:r w:rsidRPr="00F1537F">
        <w:rPr>
          <w:rFonts w:ascii="Times New Roman" w:eastAsia="Times New Roman" w:hAnsi="Times New Roman"/>
          <w:sz w:val="24"/>
          <w:szCs w:val="24"/>
        </w:rPr>
        <w:t xml:space="preserve"> a single environmental document (as opposed to using draft and final documents); and </w:t>
      </w:r>
    </w:p>
    <w:p w14:paraId="3842CA5D" w14:textId="77777777" w:rsidR="004B311B" w:rsidRPr="00F1537F" w:rsidRDefault="004B311B">
      <w:pPr>
        <w:numPr>
          <w:ilvl w:val="0"/>
          <w:numId w:val="3"/>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issu</w:t>
      </w:r>
      <w:r>
        <w:rPr>
          <w:rFonts w:ascii="Times New Roman" w:eastAsia="Times New Roman" w:hAnsi="Times New Roman"/>
          <w:sz w:val="24"/>
          <w:szCs w:val="24"/>
        </w:rPr>
        <w:t>ance of</w:t>
      </w:r>
      <w:r w:rsidRPr="00F1537F">
        <w:rPr>
          <w:rFonts w:ascii="Times New Roman" w:eastAsia="Times New Roman" w:hAnsi="Times New Roman"/>
          <w:sz w:val="24"/>
          <w:szCs w:val="24"/>
        </w:rPr>
        <w:t xml:space="preserve"> the order on the same day as the environmental assessment.</w:t>
      </w:r>
    </w:p>
    <w:p w14:paraId="755A233B" w14:textId="77777777" w:rsidR="004B311B" w:rsidRDefault="004B311B">
      <w:pPr>
        <w:spacing w:before="100" w:beforeAutospacing="1" w:after="0" w:line="240" w:lineRule="auto"/>
        <w:rPr>
          <w:rFonts w:ascii="Times New Roman" w:eastAsia="Times New Roman" w:hAnsi="Times New Roman"/>
          <w:sz w:val="24"/>
          <w:szCs w:val="24"/>
        </w:rPr>
      </w:pPr>
      <w:r w:rsidRPr="00F1537F">
        <w:rPr>
          <w:rFonts w:ascii="Times New Roman" w:eastAsia="Times New Roman" w:hAnsi="Times New Roman"/>
          <w:sz w:val="24"/>
          <w:szCs w:val="24"/>
        </w:rPr>
        <w:t xml:space="preserve">In addition, the Commission reduces the reporting requirements for the duration of small, low-impact hydropower projects.  Exemptions are granted in perpetuity, and qualifying conduit hydropower facilities may operate without Commission oversight. </w:t>
      </w:r>
    </w:p>
    <w:p w14:paraId="1E067949" w14:textId="77777777" w:rsidR="004B311B" w:rsidRDefault="004B311B">
      <w:pPr>
        <w:spacing w:before="100" w:beforeAutospacing="1" w:after="0" w:line="240" w:lineRule="auto"/>
        <w:rPr>
          <w:rFonts w:ascii="Times New Roman" w:eastAsia="Times New Roman" w:hAnsi="Times New Roman"/>
          <w:sz w:val="24"/>
          <w:szCs w:val="24"/>
        </w:rPr>
      </w:pPr>
    </w:p>
    <w:p w14:paraId="796799E4" w14:textId="77777777" w:rsidR="004B311B" w:rsidRDefault="004B311B">
      <w:pPr>
        <w:pStyle w:val="ListParagraph"/>
        <w:numPr>
          <w:ilvl w:val="0"/>
          <w:numId w:val="1"/>
        </w:numPr>
        <w:spacing w:after="0" w:line="240" w:lineRule="auto"/>
        <w:ind w:left="360"/>
        <w:rPr>
          <w:rFonts w:ascii="Times New Roman" w:hAnsi="Times New Roman"/>
          <w:b/>
          <w:sz w:val="24"/>
          <w:szCs w:val="24"/>
        </w:rPr>
      </w:pPr>
      <w:r w:rsidRPr="00F1537F">
        <w:rPr>
          <w:rFonts w:ascii="Times New Roman" w:hAnsi="Times New Roman"/>
          <w:b/>
          <w:sz w:val="24"/>
          <w:szCs w:val="24"/>
        </w:rPr>
        <w:t>CONSEQUENCE TO FEDERAL PROGRAM IF COLLECTION WERE CONDUCTED LESS FREQUENTLY</w:t>
      </w:r>
    </w:p>
    <w:p w14:paraId="34FD243A" w14:textId="77777777" w:rsidR="00106A25" w:rsidRPr="00F1537F" w:rsidRDefault="00106A25" w:rsidP="007E7C82">
      <w:pPr>
        <w:pStyle w:val="ListParagraph"/>
        <w:spacing w:after="0" w:line="240" w:lineRule="auto"/>
        <w:ind w:left="360"/>
        <w:rPr>
          <w:rFonts w:ascii="Times New Roman" w:hAnsi="Times New Roman"/>
          <w:b/>
          <w:sz w:val="24"/>
          <w:szCs w:val="24"/>
        </w:rPr>
      </w:pPr>
    </w:p>
    <w:p w14:paraId="1687BEC2" w14:textId="17DDE86D" w:rsidR="004B311B" w:rsidRDefault="005E1E57" w:rsidP="007E7C82">
      <w:pPr>
        <w:spacing w:after="0" w:line="240" w:lineRule="auto"/>
        <w:rPr>
          <w:rFonts w:ascii="Times New Roman" w:hAnsi="Times New Roman"/>
          <w:sz w:val="24"/>
          <w:szCs w:val="24"/>
        </w:rPr>
      </w:pPr>
      <w:r>
        <w:rPr>
          <w:rFonts w:ascii="Times New Roman" w:hAnsi="Times New Roman"/>
          <w:sz w:val="24"/>
          <w:szCs w:val="24"/>
        </w:rPr>
        <w:t>If the information were</w:t>
      </w:r>
      <w:r w:rsidR="00BA21FA">
        <w:rPr>
          <w:rFonts w:ascii="Times New Roman" w:hAnsi="Times New Roman"/>
          <w:sz w:val="24"/>
          <w:szCs w:val="24"/>
        </w:rPr>
        <w:t xml:space="preserve"> collected less frequently,</w:t>
      </w:r>
      <w:r>
        <w:rPr>
          <w:rFonts w:ascii="Times New Roman" w:hAnsi="Times New Roman"/>
          <w:sz w:val="24"/>
          <w:szCs w:val="24"/>
        </w:rPr>
        <w:t xml:space="preserve"> </w:t>
      </w:r>
      <w:r w:rsidR="00EE6746">
        <w:rPr>
          <w:rFonts w:ascii="Times New Roman" w:hAnsi="Times New Roman"/>
          <w:sz w:val="24"/>
          <w:szCs w:val="24"/>
        </w:rPr>
        <w:t>the Commission would not be able to fulfill the requirements of the FPA in determining whether facilities meet the</w:t>
      </w:r>
      <w:r>
        <w:rPr>
          <w:rFonts w:ascii="Times New Roman" w:hAnsi="Times New Roman"/>
          <w:sz w:val="24"/>
          <w:szCs w:val="24"/>
        </w:rPr>
        <w:t xml:space="preserve"> qualifying conduit </w:t>
      </w:r>
      <w:r w:rsidR="00EE6746">
        <w:rPr>
          <w:rFonts w:ascii="Times New Roman" w:hAnsi="Times New Roman"/>
          <w:sz w:val="24"/>
          <w:szCs w:val="24"/>
        </w:rPr>
        <w:t>hydropower criteria</w:t>
      </w:r>
      <w:r w:rsidR="00EC5E29">
        <w:rPr>
          <w:rFonts w:ascii="Times New Roman" w:hAnsi="Times New Roman"/>
          <w:sz w:val="24"/>
          <w:szCs w:val="24"/>
        </w:rPr>
        <w:t>,</w:t>
      </w:r>
      <w:r w:rsidR="00EE6746">
        <w:rPr>
          <w:rFonts w:ascii="Times New Roman" w:hAnsi="Times New Roman"/>
          <w:sz w:val="24"/>
          <w:szCs w:val="24"/>
        </w:rPr>
        <w:t xml:space="preserve"> and </w:t>
      </w:r>
      <w:r w:rsidR="00EC5E29">
        <w:rPr>
          <w:rFonts w:ascii="Times New Roman" w:hAnsi="Times New Roman"/>
          <w:sz w:val="24"/>
          <w:szCs w:val="24"/>
        </w:rPr>
        <w:t xml:space="preserve">thus facilities that </w:t>
      </w:r>
      <w:r w:rsidR="00EE6746">
        <w:rPr>
          <w:rFonts w:ascii="Times New Roman" w:hAnsi="Times New Roman"/>
          <w:sz w:val="24"/>
          <w:szCs w:val="24"/>
        </w:rPr>
        <w:t xml:space="preserve">may </w:t>
      </w:r>
      <w:r w:rsidR="00EC5E29">
        <w:rPr>
          <w:rFonts w:ascii="Times New Roman" w:hAnsi="Times New Roman"/>
          <w:sz w:val="24"/>
          <w:szCs w:val="24"/>
        </w:rPr>
        <w:t>be eligible to</w:t>
      </w:r>
      <w:r w:rsidR="00EE6746">
        <w:rPr>
          <w:rFonts w:ascii="Times New Roman" w:hAnsi="Times New Roman"/>
          <w:sz w:val="24"/>
          <w:szCs w:val="24"/>
        </w:rPr>
        <w:t xml:space="preserve"> operate without Commission oversight</w:t>
      </w:r>
      <w:r w:rsidR="00EC5E29">
        <w:rPr>
          <w:rFonts w:ascii="Times New Roman" w:hAnsi="Times New Roman"/>
          <w:sz w:val="24"/>
          <w:szCs w:val="24"/>
        </w:rPr>
        <w:t xml:space="preserve"> would have to obtain a lice</w:t>
      </w:r>
      <w:r w:rsidR="00EC5E29" w:rsidRPr="00106A25">
        <w:rPr>
          <w:rFonts w:ascii="Times New Roman" w:hAnsi="Times New Roman"/>
          <w:sz w:val="24"/>
          <w:szCs w:val="24"/>
        </w:rPr>
        <w:t xml:space="preserve">nse </w:t>
      </w:r>
      <w:r w:rsidR="00EC5E29" w:rsidRPr="007E7C82">
        <w:rPr>
          <w:rFonts w:ascii="Times New Roman" w:hAnsi="Times New Roman"/>
          <w:sz w:val="24"/>
          <w:szCs w:val="24"/>
        </w:rPr>
        <w:t xml:space="preserve">or </w:t>
      </w:r>
      <w:r w:rsidR="00BA21FA" w:rsidRPr="007E7C82">
        <w:rPr>
          <w:rFonts w:ascii="Times New Roman" w:hAnsi="Times New Roman"/>
          <w:sz w:val="24"/>
          <w:szCs w:val="24"/>
        </w:rPr>
        <w:t>an</w:t>
      </w:r>
      <w:r w:rsidR="00EC5E29" w:rsidRPr="007E7C82">
        <w:rPr>
          <w:rFonts w:ascii="Times New Roman" w:hAnsi="Times New Roman"/>
          <w:sz w:val="24"/>
          <w:szCs w:val="24"/>
        </w:rPr>
        <w:t xml:space="preserve"> exemption</w:t>
      </w:r>
      <w:r w:rsidR="00EC5E29" w:rsidRPr="00106A25">
        <w:rPr>
          <w:rFonts w:ascii="Times New Roman" w:hAnsi="Times New Roman"/>
          <w:sz w:val="24"/>
          <w:szCs w:val="24"/>
        </w:rPr>
        <w:t xml:space="preserve"> f</w:t>
      </w:r>
      <w:r w:rsidR="00EC5E29">
        <w:rPr>
          <w:rFonts w:ascii="Times New Roman" w:hAnsi="Times New Roman"/>
          <w:sz w:val="24"/>
          <w:szCs w:val="24"/>
        </w:rPr>
        <w:t>rom the Commission in order to operate</w:t>
      </w:r>
      <w:r w:rsidR="00EE6746">
        <w:rPr>
          <w:rFonts w:ascii="Times New Roman" w:hAnsi="Times New Roman"/>
          <w:sz w:val="24"/>
          <w:szCs w:val="24"/>
        </w:rPr>
        <w:t xml:space="preserve">.  </w:t>
      </w:r>
    </w:p>
    <w:p w14:paraId="70ADE6ED" w14:textId="77777777" w:rsidR="005E1E57" w:rsidRDefault="005E1E57" w:rsidP="007E7C82">
      <w:pPr>
        <w:spacing w:after="0" w:line="240" w:lineRule="auto"/>
        <w:rPr>
          <w:rFonts w:ascii="Times New Roman" w:hAnsi="Times New Roman"/>
          <w:sz w:val="24"/>
          <w:szCs w:val="24"/>
        </w:rPr>
      </w:pPr>
    </w:p>
    <w:p w14:paraId="5A80F2C1" w14:textId="77777777" w:rsidR="005E1E57" w:rsidRPr="00F1537F" w:rsidRDefault="005E1E57" w:rsidP="00106A25">
      <w:pPr>
        <w:pStyle w:val="ListParagraph"/>
        <w:numPr>
          <w:ilvl w:val="0"/>
          <w:numId w:val="1"/>
        </w:numPr>
        <w:spacing w:after="0" w:line="240" w:lineRule="auto"/>
        <w:ind w:left="360"/>
        <w:rPr>
          <w:rFonts w:ascii="Times New Roman" w:hAnsi="Times New Roman"/>
          <w:b/>
          <w:sz w:val="24"/>
          <w:szCs w:val="24"/>
        </w:rPr>
      </w:pPr>
      <w:r w:rsidRPr="00F1537F">
        <w:rPr>
          <w:rFonts w:ascii="Times New Roman" w:hAnsi="Times New Roman"/>
          <w:b/>
          <w:sz w:val="24"/>
          <w:szCs w:val="24"/>
        </w:rPr>
        <w:t>EXPLAIN ANY SPECIAL CIRCUMSTANCES RELATING TO THE INFORMATION COLLECTION</w:t>
      </w:r>
    </w:p>
    <w:p w14:paraId="1FEDBC3E" w14:textId="77777777" w:rsidR="005E1E57" w:rsidRPr="00F1537F" w:rsidRDefault="005E1E57">
      <w:pPr>
        <w:spacing w:after="0" w:line="240" w:lineRule="auto"/>
        <w:rPr>
          <w:rFonts w:ascii="Times New Roman" w:hAnsi="Times New Roman"/>
          <w:sz w:val="24"/>
          <w:szCs w:val="24"/>
        </w:rPr>
      </w:pPr>
    </w:p>
    <w:p w14:paraId="7E5B6019" w14:textId="77777777" w:rsidR="005E1E57" w:rsidRDefault="005E1E57">
      <w:pPr>
        <w:spacing w:after="0" w:line="240" w:lineRule="auto"/>
        <w:rPr>
          <w:rFonts w:ascii="Times New Roman" w:hAnsi="Times New Roman"/>
          <w:sz w:val="24"/>
          <w:szCs w:val="24"/>
        </w:rPr>
      </w:pPr>
      <w:r w:rsidRPr="00F1537F">
        <w:rPr>
          <w:rFonts w:ascii="Times New Roman" w:hAnsi="Times New Roman"/>
          <w:sz w:val="24"/>
          <w:szCs w:val="24"/>
        </w:rPr>
        <w:t>There are no special circumstances related to this information collection.</w:t>
      </w:r>
    </w:p>
    <w:p w14:paraId="1282AD86" w14:textId="77777777" w:rsidR="005E1E57" w:rsidRPr="00F1537F" w:rsidRDefault="005E1E57">
      <w:pPr>
        <w:spacing w:after="0" w:line="240" w:lineRule="auto"/>
        <w:rPr>
          <w:rFonts w:ascii="Times New Roman" w:hAnsi="Times New Roman"/>
          <w:b/>
          <w:sz w:val="24"/>
          <w:szCs w:val="24"/>
        </w:rPr>
      </w:pPr>
    </w:p>
    <w:p w14:paraId="3A47ACB2" w14:textId="77777777" w:rsidR="005E1E57" w:rsidRPr="00F1537F" w:rsidRDefault="005E1E57">
      <w:pPr>
        <w:pStyle w:val="ListParagraph"/>
        <w:numPr>
          <w:ilvl w:val="0"/>
          <w:numId w:val="1"/>
        </w:numPr>
        <w:spacing w:after="0" w:line="240" w:lineRule="auto"/>
        <w:ind w:left="360"/>
        <w:rPr>
          <w:rFonts w:ascii="Times New Roman" w:hAnsi="Times New Roman"/>
          <w:b/>
          <w:sz w:val="24"/>
          <w:szCs w:val="24"/>
        </w:rPr>
      </w:pPr>
      <w:r w:rsidRPr="00F1537F">
        <w:rPr>
          <w:rFonts w:ascii="Times New Roman" w:hAnsi="Times New Roman"/>
          <w:b/>
          <w:sz w:val="24"/>
          <w:szCs w:val="24"/>
        </w:rPr>
        <w:t>DESCRIBE EFFORTS TO CONSULT OUTSIDE THE AGENCY: SUMMARIZE PUBLIC COMMENTS AND THE AGENCY’S RESPONSE</w:t>
      </w:r>
    </w:p>
    <w:p w14:paraId="6AB8F949" w14:textId="77777777" w:rsidR="005E1E57" w:rsidRPr="00F1537F" w:rsidRDefault="005E1E57">
      <w:pPr>
        <w:spacing w:after="0" w:line="240" w:lineRule="auto"/>
        <w:rPr>
          <w:rFonts w:ascii="Times New Roman" w:hAnsi="Times New Roman"/>
          <w:sz w:val="24"/>
          <w:szCs w:val="24"/>
        </w:rPr>
      </w:pPr>
    </w:p>
    <w:p w14:paraId="55405071" w14:textId="242FCB75" w:rsidR="005E1E57" w:rsidRDefault="005E1E57">
      <w:pPr>
        <w:pStyle w:val="ListParagraph"/>
        <w:spacing w:after="0" w:line="240" w:lineRule="auto"/>
        <w:ind w:left="0"/>
        <w:rPr>
          <w:rFonts w:ascii="Times New Roman" w:hAnsi="Times New Roman"/>
          <w:sz w:val="24"/>
          <w:szCs w:val="24"/>
        </w:rPr>
      </w:pPr>
      <w:r w:rsidRPr="00913164">
        <w:rPr>
          <w:rFonts w:ascii="Times New Roman" w:hAnsi="Times New Roman"/>
          <w:sz w:val="24"/>
          <w:szCs w:val="24"/>
        </w:rPr>
        <w:t>Each</w:t>
      </w:r>
      <w:r>
        <w:rPr>
          <w:rFonts w:ascii="Times New Roman" w:hAnsi="Times New Roman"/>
          <w:sz w:val="24"/>
          <w:szCs w:val="24"/>
        </w:rPr>
        <w:t xml:space="preserve"> Commission</w:t>
      </w:r>
      <w:r w:rsidRPr="00913164">
        <w:rPr>
          <w:rFonts w:ascii="Times New Roman" w:hAnsi="Times New Roman"/>
          <w:sz w:val="24"/>
          <w:szCs w:val="24"/>
        </w:rPr>
        <w:t xml:space="preserve"> rulemaking (both proposed and final rules) is published in the Federal Register thereby providing public utilities and licensees, state commissions, Federal agencies, and other interested parties an opportunity to submit data, vi</w:t>
      </w:r>
      <w:r w:rsidRPr="006128B2">
        <w:rPr>
          <w:rFonts w:ascii="Times New Roman" w:hAnsi="Times New Roman"/>
          <w:sz w:val="24"/>
          <w:szCs w:val="24"/>
        </w:rPr>
        <w:t>ews, comments or suggestions concerning the proposed collections of data.</w:t>
      </w:r>
      <w:r>
        <w:rPr>
          <w:rFonts w:ascii="Times New Roman" w:hAnsi="Times New Roman"/>
          <w:sz w:val="24"/>
          <w:szCs w:val="24"/>
        </w:rPr>
        <w:t xml:space="preserve">  </w:t>
      </w:r>
      <w:r w:rsidRPr="006128B2">
        <w:rPr>
          <w:rFonts w:ascii="Times New Roman" w:hAnsi="Times New Roman"/>
          <w:sz w:val="24"/>
          <w:szCs w:val="24"/>
        </w:rPr>
        <w:t xml:space="preserve">The </w:t>
      </w:r>
      <w:r>
        <w:rPr>
          <w:rFonts w:ascii="Times New Roman" w:hAnsi="Times New Roman"/>
          <w:sz w:val="24"/>
          <w:szCs w:val="24"/>
        </w:rPr>
        <w:t>Final Rule</w:t>
      </w:r>
      <w:r w:rsidRPr="006128B2">
        <w:rPr>
          <w:rFonts w:ascii="Times New Roman" w:hAnsi="Times New Roman"/>
          <w:sz w:val="24"/>
          <w:szCs w:val="24"/>
        </w:rPr>
        <w:t xml:space="preserve"> </w:t>
      </w:r>
      <w:r>
        <w:rPr>
          <w:rFonts w:ascii="Times New Roman" w:hAnsi="Times New Roman"/>
          <w:sz w:val="24"/>
          <w:szCs w:val="24"/>
        </w:rPr>
        <w:t>(issued 2/22/2019) was</w:t>
      </w:r>
      <w:r w:rsidRPr="006128B2">
        <w:rPr>
          <w:rFonts w:ascii="Times New Roman" w:hAnsi="Times New Roman"/>
          <w:sz w:val="24"/>
          <w:szCs w:val="24"/>
        </w:rPr>
        <w:t xml:space="preserve"> published in the Federal Register</w:t>
      </w:r>
      <w:r>
        <w:rPr>
          <w:rFonts w:ascii="Times New Roman" w:hAnsi="Times New Roman"/>
          <w:sz w:val="24"/>
          <w:szCs w:val="24"/>
        </w:rPr>
        <w:t xml:space="preserve"> on 3/6/2019.</w:t>
      </w:r>
      <w:r w:rsidRPr="0083512E">
        <w:rPr>
          <w:rStyle w:val="FootnoteReference"/>
          <w:rFonts w:ascii="Times New Roman" w:hAnsi="Times New Roman"/>
          <w:b/>
          <w:sz w:val="24"/>
          <w:szCs w:val="24"/>
          <w:vertAlign w:val="superscript"/>
        </w:rPr>
        <w:footnoteReference w:id="11"/>
      </w:r>
    </w:p>
    <w:p w14:paraId="1F5AE09C" w14:textId="77777777" w:rsidR="005E1E57" w:rsidRDefault="005E1E57">
      <w:pPr>
        <w:pStyle w:val="ListParagraph"/>
        <w:spacing w:after="0" w:line="240" w:lineRule="auto"/>
        <w:ind w:left="0"/>
        <w:rPr>
          <w:rFonts w:ascii="Times New Roman" w:hAnsi="Times New Roman"/>
          <w:sz w:val="24"/>
          <w:szCs w:val="24"/>
        </w:rPr>
      </w:pPr>
    </w:p>
    <w:p w14:paraId="7C67872D" w14:textId="77777777" w:rsidR="005E1E57" w:rsidRPr="00F1537F" w:rsidRDefault="005E1E57">
      <w:pPr>
        <w:pStyle w:val="ListParagraph"/>
        <w:numPr>
          <w:ilvl w:val="0"/>
          <w:numId w:val="1"/>
        </w:numPr>
        <w:spacing w:after="0" w:line="240" w:lineRule="auto"/>
        <w:ind w:left="360"/>
        <w:rPr>
          <w:rFonts w:ascii="Times New Roman" w:hAnsi="Times New Roman"/>
          <w:b/>
          <w:sz w:val="24"/>
          <w:szCs w:val="24"/>
        </w:rPr>
      </w:pPr>
      <w:r w:rsidRPr="00F1537F">
        <w:rPr>
          <w:rFonts w:ascii="Times New Roman" w:hAnsi="Times New Roman"/>
          <w:b/>
          <w:sz w:val="24"/>
          <w:szCs w:val="24"/>
        </w:rPr>
        <w:t>EXPLAIN ANY PAYMENT OR GIFTS TO RESPONDENTS</w:t>
      </w:r>
    </w:p>
    <w:p w14:paraId="2AB9C6A1" w14:textId="77777777" w:rsidR="005E1E57" w:rsidRPr="00F1537F" w:rsidRDefault="005E1E57">
      <w:pPr>
        <w:spacing w:after="0" w:line="240" w:lineRule="auto"/>
        <w:rPr>
          <w:rFonts w:ascii="Times New Roman" w:hAnsi="Times New Roman"/>
          <w:sz w:val="24"/>
          <w:szCs w:val="24"/>
        </w:rPr>
      </w:pPr>
    </w:p>
    <w:p w14:paraId="3405DCF0" w14:textId="77777777" w:rsidR="005E1E57" w:rsidRPr="00F1537F" w:rsidRDefault="005E1E57">
      <w:pPr>
        <w:spacing w:after="0" w:line="240" w:lineRule="auto"/>
        <w:rPr>
          <w:rFonts w:ascii="Times New Roman" w:hAnsi="Times New Roman"/>
          <w:sz w:val="24"/>
          <w:szCs w:val="24"/>
        </w:rPr>
      </w:pPr>
      <w:r w:rsidRPr="00F1537F">
        <w:rPr>
          <w:rFonts w:ascii="Times New Roman" w:hAnsi="Times New Roman"/>
          <w:sz w:val="24"/>
          <w:szCs w:val="24"/>
        </w:rPr>
        <w:t>There are no payments or gifts to respondents.</w:t>
      </w:r>
    </w:p>
    <w:p w14:paraId="5FF9C3D8" w14:textId="77777777" w:rsidR="005E1E57" w:rsidRPr="00F1537F" w:rsidRDefault="005E1E57">
      <w:pPr>
        <w:spacing w:after="0" w:line="240" w:lineRule="auto"/>
        <w:rPr>
          <w:rFonts w:ascii="Times New Roman" w:hAnsi="Times New Roman"/>
          <w:sz w:val="24"/>
          <w:szCs w:val="24"/>
        </w:rPr>
      </w:pPr>
    </w:p>
    <w:p w14:paraId="0BDB1B73" w14:textId="77777777" w:rsidR="005E1E57" w:rsidRPr="00F1537F" w:rsidRDefault="005E1E57">
      <w:pPr>
        <w:pStyle w:val="ListParagraph"/>
        <w:numPr>
          <w:ilvl w:val="0"/>
          <w:numId w:val="1"/>
        </w:numPr>
        <w:spacing w:after="0" w:line="240" w:lineRule="auto"/>
        <w:ind w:left="360"/>
        <w:rPr>
          <w:rFonts w:ascii="Times New Roman" w:hAnsi="Times New Roman"/>
          <w:b/>
          <w:sz w:val="24"/>
          <w:szCs w:val="24"/>
        </w:rPr>
      </w:pPr>
      <w:r w:rsidRPr="00F1537F">
        <w:rPr>
          <w:rFonts w:ascii="Times New Roman" w:hAnsi="Times New Roman"/>
          <w:b/>
          <w:sz w:val="24"/>
          <w:szCs w:val="24"/>
        </w:rPr>
        <w:t>DESCRIBE ANY ASSURANCE OF CONFIDENTIALITY PROVIDED TO RESPONDENTS</w:t>
      </w:r>
    </w:p>
    <w:p w14:paraId="6FB8C66B" w14:textId="77777777" w:rsidR="005E1E57" w:rsidRPr="00F1537F" w:rsidRDefault="005E1E57">
      <w:pPr>
        <w:spacing w:after="0" w:line="240" w:lineRule="auto"/>
        <w:rPr>
          <w:rFonts w:ascii="Times New Roman" w:hAnsi="Times New Roman"/>
          <w:sz w:val="24"/>
          <w:szCs w:val="24"/>
        </w:rPr>
      </w:pPr>
    </w:p>
    <w:p w14:paraId="1EA0E731" w14:textId="77777777" w:rsidR="005E1E57" w:rsidRPr="00F1537F" w:rsidRDefault="005E1E57">
      <w:pPr>
        <w:spacing w:after="0" w:line="240" w:lineRule="auto"/>
        <w:rPr>
          <w:rFonts w:ascii="Times New Roman" w:hAnsi="Times New Roman"/>
          <w:sz w:val="24"/>
          <w:szCs w:val="24"/>
        </w:rPr>
      </w:pPr>
      <w:r w:rsidRPr="00F1537F">
        <w:rPr>
          <w:rFonts w:ascii="Times New Roman" w:hAnsi="Times New Roman"/>
          <w:sz w:val="24"/>
          <w:szCs w:val="24"/>
        </w:rPr>
        <w:t>The Commission does not consider the information collected in filings to be confidential.  However, the Commission will consider specific requests for confidential treatment (e.g. Critical Energy/Electric Infrastructure Information [CEII] or non-public) to the extent permitted by law.</w:t>
      </w:r>
      <w:r w:rsidRPr="00F1537F">
        <w:rPr>
          <w:rFonts w:ascii="Times New Roman" w:hAnsi="Times New Roman"/>
          <w:b/>
          <w:sz w:val="24"/>
          <w:szCs w:val="24"/>
          <w:vertAlign w:val="superscript"/>
        </w:rPr>
        <w:footnoteReference w:id="12"/>
      </w:r>
      <w:r w:rsidRPr="00F1537F">
        <w:rPr>
          <w:rFonts w:ascii="Times New Roman" w:hAnsi="Times New Roman"/>
          <w:sz w:val="24"/>
          <w:szCs w:val="24"/>
        </w:rPr>
        <w:t xml:space="preserve">  The Commission will review each request for confidential treatment on a case-by-case basis. </w:t>
      </w:r>
    </w:p>
    <w:p w14:paraId="1DD20112" w14:textId="77777777" w:rsidR="005E1E57" w:rsidRPr="00F1537F" w:rsidRDefault="005E1E57">
      <w:pPr>
        <w:spacing w:after="0" w:line="240" w:lineRule="auto"/>
        <w:rPr>
          <w:rFonts w:ascii="Times New Roman" w:hAnsi="Times New Roman"/>
          <w:sz w:val="24"/>
          <w:szCs w:val="24"/>
        </w:rPr>
      </w:pPr>
    </w:p>
    <w:p w14:paraId="1C7FC0D8" w14:textId="77777777" w:rsidR="005E1E57" w:rsidRPr="00F1537F" w:rsidRDefault="005E1E57">
      <w:pPr>
        <w:pStyle w:val="ListParagraph"/>
        <w:numPr>
          <w:ilvl w:val="0"/>
          <w:numId w:val="1"/>
        </w:numPr>
        <w:spacing w:after="0" w:line="240" w:lineRule="auto"/>
        <w:ind w:left="360"/>
        <w:rPr>
          <w:rFonts w:ascii="Times New Roman" w:hAnsi="Times New Roman"/>
          <w:b/>
          <w:sz w:val="24"/>
          <w:szCs w:val="24"/>
        </w:rPr>
      </w:pPr>
      <w:r w:rsidRPr="00F1537F">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14:paraId="6C15E5E0" w14:textId="77777777" w:rsidR="005E1E57" w:rsidRPr="00F1537F" w:rsidRDefault="005E1E57">
      <w:pPr>
        <w:spacing w:after="0" w:line="240" w:lineRule="auto"/>
        <w:rPr>
          <w:rFonts w:ascii="Times New Roman" w:hAnsi="Times New Roman"/>
          <w:sz w:val="24"/>
          <w:szCs w:val="24"/>
        </w:rPr>
      </w:pPr>
    </w:p>
    <w:p w14:paraId="1F20A030" w14:textId="77777777" w:rsidR="005E1E57" w:rsidRDefault="005E1E57">
      <w:pPr>
        <w:spacing w:after="0" w:line="240" w:lineRule="auto"/>
        <w:rPr>
          <w:rFonts w:ascii="Times New Roman" w:hAnsi="Times New Roman"/>
          <w:sz w:val="24"/>
          <w:szCs w:val="24"/>
        </w:rPr>
      </w:pPr>
      <w:r w:rsidRPr="00F1537F">
        <w:rPr>
          <w:rFonts w:ascii="Times New Roman" w:hAnsi="Times New Roman"/>
          <w:sz w:val="24"/>
          <w:szCs w:val="24"/>
        </w:rPr>
        <w:t xml:space="preserve">There are no questions of a sensitive nature. </w:t>
      </w:r>
    </w:p>
    <w:p w14:paraId="41AE14CC" w14:textId="77777777" w:rsidR="005E1E57" w:rsidRPr="00F1537F" w:rsidRDefault="005E1E57">
      <w:pPr>
        <w:spacing w:after="0" w:line="240" w:lineRule="auto"/>
        <w:rPr>
          <w:rFonts w:ascii="Times New Roman" w:hAnsi="Times New Roman"/>
          <w:sz w:val="24"/>
          <w:szCs w:val="24"/>
        </w:rPr>
      </w:pPr>
    </w:p>
    <w:p w14:paraId="4E60BB43" w14:textId="77777777" w:rsidR="005E1E57" w:rsidRPr="00F1537F" w:rsidRDefault="005E1E57">
      <w:pPr>
        <w:pStyle w:val="ListParagraph"/>
        <w:numPr>
          <w:ilvl w:val="0"/>
          <w:numId w:val="1"/>
        </w:numPr>
        <w:spacing w:after="0" w:line="240" w:lineRule="auto"/>
        <w:ind w:left="360"/>
        <w:rPr>
          <w:rFonts w:ascii="Times New Roman" w:hAnsi="Times New Roman"/>
          <w:sz w:val="24"/>
          <w:szCs w:val="24"/>
        </w:rPr>
      </w:pPr>
      <w:r w:rsidRPr="00F1537F">
        <w:rPr>
          <w:rFonts w:ascii="Times New Roman" w:hAnsi="Times New Roman"/>
          <w:b/>
          <w:sz w:val="24"/>
          <w:szCs w:val="24"/>
        </w:rPr>
        <w:t>ESTIMATED BURDEN OF COLLECTION OF INFORMATION</w:t>
      </w:r>
    </w:p>
    <w:p w14:paraId="6FFCDB6B" w14:textId="77777777" w:rsidR="005E1E57" w:rsidRDefault="005E1E57">
      <w:pPr>
        <w:spacing w:after="0" w:line="240" w:lineRule="auto"/>
        <w:rPr>
          <w:rFonts w:ascii="Times New Roman" w:hAnsi="Times New Roman"/>
          <w:sz w:val="24"/>
          <w:szCs w:val="24"/>
        </w:rPr>
      </w:pPr>
      <w:r w:rsidRPr="00F1537F">
        <w:rPr>
          <w:rFonts w:ascii="Times New Roman" w:hAnsi="Times New Roman"/>
          <w:sz w:val="24"/>
          <w:szCs w:val="24"/>
        </w:rPr>
        <w:t xml:space="preserve"> </w:t>
      </w:r>
    </w:p>
    <w:p w14:paraId="26C1BD35" w14:textId="718450A6" w:rsidR="00A22C60" w:rsidRDefault="005E1E57">
      <w:pPr>
        <w:spacing w:after="0" w:line="240" w:lineRule="auto"/>
        <w:rPr>
          <w:rFonts w:ascii="Times New Roman" w:hAnsi="Times New Roman"/>
          <w:sz w:val="24"/>
          <w:szCs w:val="24"/>
        </w:rPr>
      </w:pPr>
      <w:r w:rsidRPr="00AD2C01">
        <w:rPr>
          <w:rFonts w:ascii="Times New Roman" w:hAnsi="Times New Roman"/>
          <w:sz w:val="24"/>
          <w:szCs w:val="24"/>
        </w:rPr>
        <w:t xml:space="preserve">The estimated changes to the burden and cost of the information collections affected by this </w:t>
      </w:r>
      <w:r>
        <w:rPr>
          <w:rFonts w:ascii="Times New Roman" w:hAnsi="Times New Roman"/>
          <w:sz w:val="24"/>
          <w:szCs w:val="24"/>
        </w:rPr>
        <w:t>Final rule</w:t>
      </w:r>
      <w:r w:rsidRPr="00AD2C01">
        <w:rPr>
          <w:rFonts w:ascii="Times New Roman" w:hAnsi="Times New Roman"/>
          <w:sz w:val="24"/>
          <w:szCs w:val="24"/>
        </w:rPr>
        <w:t xml:space="preserve"> follow.  </w:t>
      </w:r>
    </w:p>
    <w:p w14:paraId="7C16EB8F" w14:textId="77777777" w:rsidR="00A22C60" w:rsidRDefault="00A22C60">
      <w:pPr>
        <w:spacing w:after="0" w:line="240" w:lineRule="auto"/>
        <w:rPr>
          <w:rFonts w:ascii="Times New Roman" w:hAnsi="Times New Roman"/>
          <w:sz w:val="24"/>
          <w:szCs w:val="24"/>
        </w:rPr>
      </w:pPr>
    </w:p>
    <w:p w14:paraId="1657C583" w14:textId="77777777" w:rsidR="00A22C60" w:rsidRDefault="00A22C60">
      <w:pPr>
        <w:spacing w:after="0" w:line="240" w:lineRule="auto"/>
        <w:rPr>
          <w:rFonts w:ascii="Times New Roman" w:hAnsi="Times New Roman"/>
          <w:sz w:val="24"/>
          <w:szCs w:val="24"/>
        </w:rPr>
      </w:pPr>
    </w:p>
    <w:p w14:paraId="4040F01B" w14:textId="77777777" w:rsidR="00A22C60" w:rsidRDefault="00A22C60">
      <w:pPr>
        <w:spacing w:after="0" w:line="240" w:lineRule="auto"/>
        <w:rPr>
          <w:rFonts w:ascii="Times New Roman" w:hAnsi="Times New Roman"/>
          <w:sz w:val="24"/>
          <w:szCs w:val="24"/>
        </w:rPr>
      </w:pPr>
    </w:p>
    <w:p w14:paraId="42D2D1F7" w14:textId="77777777" w:rsidR="005E1E57" w:rsidRDefault="005E1E57" w:rsidP="005E1E57">
      <w:pPr>
        <w:spacing w:after="0" w:line="240" w:lineRule="auto"/>
        <w:rPr>
          <w:rFonts w:ascii="Times New Roman" w:hAnsi="Times New Roman"/>
          <w:sz w:val="24"/>
          <w:szCs w:val="24"/>
        </w:rPr>
      </w:pPr>
    </w:p>
    <w:tbl>
      <w:tblPr>
        <w:tblW w:w="98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383"/>
        <w:gridCol w:w="1523"/>
        <w:gridCol w:w="1430"/>
        <w:gridCol w:w="1313"/>
        <w:gridCol w:w="1337"/>
        <w:gridCol w:w="1313"/>
        <w:gridCol w:w="1546"/>
      </w:tblGrid>
      <w:tr w:rsidR="005E1E57" w:rsidRPr="001524B0" w14:paraId="6C90C3D7" w14:textId="77777777" w:rsidTr="00C661D4">
        <w:trPr>
          <w:cantSplit/>
          <w:trHeight w:val="268"/>
        </w:trPr>
        <w:tc>
          <w:tcPr>
            <w:tcW w:w="984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DC1CE" w14:textId="77777777" w:rsidR="005E1E57" w:rsidRPr="001524B0" w:rsidRDefault="005E1E57" w:rsidP="00C661D4">
            <w:pPr>
              <w:spacing w:after="0" w:line="240" w:lineRule="auto"/>
              <w:jc w:val="center"/>
              <w:rPr>
                <w:rFonts w:ascii="Times New Roman" w:hAnsi="Times New Roman"/>
                <w:b/>
                <w:sz w:val="24"/>
                <w:szCs w:val="24"/>
              </w:rPr>
            </w:pPr>
            <w:r w:rsidRPr="001524B0">
              <w:rPr>
                <w:rFonts w:ascii="Times New Roman" w:hAnsi="Times New Roman"/>
                <w:b/>
                <w:sz w:val="24"/>
                <w:szCs w:val="24"/>
              </w:rPr>
              <w:t>Annual Changes Proposed by the Final Rule in Docket No. RM19-13-000</w:t>
            </w:r>
          </w:p>
        </w:tc>
      </w:tr>
      <w:tr w:rsidR="005E1E57" w:rsidRPr="001524B0" w14:paraId="038E21D2" w14:textId="77777777" w:rsidTr="0083512E">
        <w:tblPrEx>
          <w:tblCellMar>
            <w:left w:w="108" w:type="dxa"/>
            <w:right w:w="108" w:type="dxa"/>
          </w:tblCellMar>
        </w:tblPrEx>
        <w:trPr>
          <w:cantSplit/>
          <w:trHeight w:val="2150"/>
        </w:trPr>
        <w:tc>
          <w:tcPr>
            <w:tcW w:w="1528" w:type="dxa"/>
            <w:shd w:val="clear" w:color="auto" w:fill="D9D9D9"/>
          </w:tcPr>
          <w:p w14:paraId="08B5FE4E" w14:textId="77777777" w:rsidR="005E1E57" w:rsidRPr="001524B0" w:rsidRDefault="005E1E57" w:rsidP="0083512E">
            <w:pPr>
              <w:spacing w:after="0" w:line="240" w:lineRule="auto"/>
              <w:rPr>
                <w:rFonts w:ascii="Times New Roman" w:hAnsi="Times New Roman"/>
                <w:b/>
                <w:sz w:val="24"/>
                <w:szCs w:val="24"/>
              </w:rPr>
            </w:pPr>
          </w:p>
        </w:tc>
        <w:tc>
          <w:tcPr>
            <w:tcW w:w="1455" w:type="dxa"/>
            <w:shd w:val="clear" w:color="auto" w:fill="D9D9D9"/>
            <w:vAlign w:val="bottom"/>
          </w:tcPr>
          <w:p w14:paraId="48E998BA" w14:textId="77777777" w:rsidR="005E1E57" w:rsidRPr="001524B0" w:rsidRDefault="005E1E57" w:rsidP="0083512E">
            <w:pPr>
              <w:spacing w:after="0" w:line="240" w:lineRule="auto"/>
              <w:rPr>
                <w:rFonts w:ascii="Times New Roman" w:hAnsi="Times New Roman"/>
                <w:b/>
                <w:sz w:val="24"/>
                <w:szCs w:val="24"/>
              </w:rPr>
            </w:pPr>
            <w:r w:rsidRPr="001524B0">
              <w:rPr>
                <w:rFonts w:ascii="Times New Roman" w:hAnsi="Times New Roman"/>
                <w:b/>
                <w:sz w:val="24"/>
                <w:szCs w:val="24"/>
              </w:rPr>
              <w:t>Number of Respondents</w:t>
            </w:r>
            <w:r w:rsidRPr="001524B0">
              <w:rPr>
                <w:rFonts w:ascii="Times New Roman" w:hAnsi="Times New Roman"/>
                <w:b/>
                <w:sz w:val="24"/>
                <w:szCs w:val="24"/>
              </w:rPr>
              <w:br/>
              <w:t>(1)</w:t>
            </w:r>
          </w:p>
        </w:tc>
        <w:tc>
          <w:tcPr>
            <w:tcW w:w="1378" w:type="dxa"/>
            <w:shd w:val="clear" w:color="auto" w:fill="D9D9D9"/>
            <w:vAlign w:val="bottom"/>
          </w:tcPr>
          <w:p w14:paraId="4494FFB8" w14:textId="77777777" w:rsidR="005E1E57" w:rsidRPr="001524B0" w:rsidRDefault="005E1E57" w:rsidP="0083512E">
            <w:pPr>
              <w:spacing w:after="0" w:line="240" w:lineRule="auto"/>
              <w:rPr>
                <w:rFonts w:ascii="Times New Roman" w:hAnsi="Times New Roman"/>
                <w:b/>
                <w:sz w:val="24"/>
                <w:szCs w:val="24"/>
              </w:rPr>
            </w:pPr>
            <w:r w:rsidRPr="001524B0">
              <w:rPr>
                <w:rFonts w:ascii="Times New Roman" w:hAnsi="Times New Roman"/>
                <w:b/>
                <w:sz w:val="24"/>
                <w:szCs w:val="24"/>
              </w:rPr>
              <w:t>Annual Number of Responses per Respondent</w:t>
            </w:r>
          </w:p>
          <w:p w14:paraId="2323221E" w14:textId="77777777" w:rsidR="005E1E57" w:rsidRPr="001524B0" w:rsidRDefault="005E1E57" w:rsidP="0083512E">
            <w:pPr>
              <w:spacing w:after="0" w:line="240" w:lineRule="auto"/>
              <w:rPr>
                <w:rFonts w:ascii="Times New Roman" w:hAnsi="Times New Roman"/>
                <w:b/>
                <w:sz w:val="24"/>
                <w:szCs w:val="24"/>
              </w:rPr>
            </w:pPr>
            <w:r w:rsidRPr="001524B0">
              <w:rPr>
                <w:rFonts w:ascii="Times New Roman" w:hAnsi="Times New Roman"/>
                <w:b/>
                <w:sz w:val="24"/>
                <w:szCs w:val="24"/>
              </w:rPr>
              <w:t>(2)</w:t>
            </w:r>
          </w:p>
        </w:tc>
        <w:tc>
          <w:tcPr>
            <w:tcW w:w="1291" w:type="dxa"/>
            <w:shd w:val="clear" w:color="auto" w:fill="D9D9D9"/>
            <w:vAlign w:val="bottom"/>
          </w:tcPr>
          <w:p w14:paraId="15E09E6F" w14:textId="77777777" w:rsidR="005E1E57" w:rsidRPr="001524B0" w:rsidRDefault="005E1E57" w:rsidP="0083512E">
            <w:pPr>
              <w:spacing w:after="0" w:line="240" w:lineRule="auto"/>
              <w:rPr>
                <w:rFonts w:ascii="Times New Roman" w:hAnsi="Times New Roman"/>
                <w:b/>
                <w:sz w:val="24"/>
                <w:szCs w:val="24"/>
              </w:rPr>
            </w:pPr>
            <w:r w:rsidRPr="001524B0">
              <w:rPr>
                <w:rFonts w:ascii="Times New Roman" w:hAnsi="Times New Roman"/>
                <w:b/>
                <w:sz w:val="24"/>
                <w:szCs w:val="24"/>
              </w:rPr>
              <w:t>Total Number of Responses (1)*(2)=(3)</w:t>
            </w:r>
          </w:p>
        </w:tc>
        <w:tc>
          <w:tcPr>
            <w:tcW w:w="1226" w:type="dxa"/>
            <w:shd w:val="clear" w:color="auto" w:fill="D9D9D9"/>
            <w:vAlign w:val="bottom"/>
          </w:tcPr>
          <w:p w14:paraId="652AD161" w14:textId="77777777" w:rsidR="005E1E57" w:rsidRPr="001524B0" w:rsidRDefault="005E1E57" w:rsidP="0083512E">
            <w:pPr>
              <w:spacing w:after="0" w:line="240" w:lineRule="auto"/>
              <w:rPr>
                <w:rFonts w:ascii="Times New Roman" w:hAnsi="Times New Roman"/>
                <w:b/>
                <w:sz w:val="24"/>
                <w:szCs w:val="24"/>
              </w:rPr>
            </w:pPr>
            <w:r w:rsidRPr="001524B0">
              <w:rPr>
                <w:rFonts w:ascii="Times New Roman" w:hAnsi="Times New Roman"/>
                <w:b/>
                <w:sz w:val="24"/>
                <w:szCs w:val="24"/>
              </w:rPr>
              <w:t>Average Burden &amp; Cost Per Response</w:t>
            </w:r>
            <w:r w:rsidRPr="001524B0">
              <w:rPr>
                <w:rFonts w:ascii="Times New Roman" w:hAnsi="Times New Roman"/>
                <w:b/>
                <w:sz w:val="24"/>
                <w:szCs w:val="24"/>
                <w:vertAlign w:val="superscript"/>
              </w:rPr>
              <w:footnoteReference w:id="13"/>
            </w:r>
          </w:p>
          <w:p w14:paraId="36AF53E6" w14:textId="77777777" w:rsidR="005E1E57" w:rsidRPr="001524B0" w:rsidRDefault="005E1E57" w:rsidP="0083512E">
            <w:pPr>
              <w:spacing w:after="0" w:line="240" w:lineRule="auto"/>
              <w:rPr>
                <w:rFonts w:ascii="Times New Roman" w:hAnsi="Times New Roman"/>
                <w:b/>
                <w:sz w:val="24"/>
                <w:szCs w:val="24"/>
              </w:rPr>
            </w:pPr>
            <w:r w:rsidRPr="001524B0">
              <w:rPr>
                <w:rFonts w:ascii="Times New Roman" w:hAnsi="Times New Roman"/>
                <w:b/>
                <w:sz w:val="24"/>
                <w:szCs w:val="24"/>
              </w:rPr>
              <w:t>(4)</w:t>
            </w:r>
          </w:p>
        </w:tc>
        <w:tc>
          <w:tcPr>
            <w:tcW w:w="1254" w:type="dxa"/>
            <w:shd w:val="clear" w:color="auto" w:fill="D9D9D9"/>
            <w:vAlign w:val="bottom"/>
          </w:tcPr>
          <w:p w14:paraId="7F327A57" w14:textId="77777777" w:rsidR="005E1E57" w:rsidRPr="001524B0" w:rsidRDefault="005E1E57" w:rsidP="0083512E">
            <w:pPr>
              <w:spacing w:after="0" w:line="240" w:lineRule="auto"/>
              <w:rPr>
                <w:rFonts w:ascii="Times New Roman" w:hAnsi="Times New Roman"/>
                <w:b/>
                <w:sz w:val="24"/>
                <w:szCs w:val="24"/>
              </w:rPr>
            </w:pPr>
            <w:r w:rsidRPr="001524B0">
              <w:rPr>
                <w:rFonts w:ascii="Times New Roman" w:hAnsi="Times New Roman"/>
                <w:b/>
                <w:sz w:val="24"/>
                <w:szCs w:val="24"/>
              </w:rPr>
              <w:t>Total Annual Burden Hours &amp; Total Annual Cost</w:t>
            </w:r>
          </w:p>
          <w:p w14:paraId="4E8C4900" w14:textId="77777777" w:rsidR="005E1E57" w:rsidRPr="001524B0" w:rsidRDefault="005E1E57" w:rsidP="0083512E">
            <w:pPr>
              <w:spacing w:after="0" w:line="240" w:lineRule="auto"/>
              <w:rPr>
                <w:rFonts w:ascii="Times New Roman" w:hAnsi="Times New Roman"/>
                <w:b/>
                <w:sz w:val="24"/>
                <w:szCs w:val="24"/>
              </w:rPr>
            </w:pPr>
            <w:r w:rsidRPr="001524B0">
              <w:rPr>
                <w:rFonts w:ascii="Times New Roman" w:hAnsi="Times New Roman"/>
                <w:b/>
                <w:sz w:val="24"/>
                <w:szCs w:val="24"/>
              </w:rPr>
              <w:t>(3)*(4)=(5)</w:t>
            </w:r>
          </w:p>
        </w:tc>
        <w:tc>
          <w:tcPr>
            <w:tcW w:w="1710" w:type="dxa"/>
            <w:shd w:val="clear" w:color="auto" w:fill="D9D9D9"/>
            <w:vAlign w:val="bottom"/>
          </w:tcPr>
          <w:p w14:paraId="76D96654" w14:textId="77777777" w:rsidR="005E1E57" w:rsidRPr="001524B0" w:rsidRDefault="005E1E57" w:rsidP="0083512E">
            <w:pPr>
              <w:spacing w:after="0" w:line="240" w:lineRule="auto"/>
              <w:rPr>
                <w:rFonts w:ascii="Times New Roman" w:hAnsi="Times New Roman"/>
                <w:b/>
                <w:sz w:val="24"/>
                <w:szCs w:val="24"/>
              </w:rPr>
            </w:pPr>
            <w:r w:rsidRPr="001524B0">
              <w:rPr>
                <w:rFonts w:ascii="Times New Roman" w:hAnsi="Times New Roman"/>
                <w:b/>
                <w:sz w:val="24"/>
                <w:szCs w:val="24"/>
              </w:rPr>
              <w:t>Cost per Respondent</w:t>
            </w:r>
          </w:p>
          <w:p w14:paraId="0D37A2D9" w14:textId="77777777" w:rsidR="005E1E57" w:rsidRPr="001524B0" w:rsidRDefault="005E1E57" w:rsidP="0083512E">
            <w:pPr>
              <w:spacing w:after="0" w:line="240" w:lineRule="auto"/>
              <w:rPr>
                <w:rFonts w:ascii="Times New Roman" w:hAnsi="Times New Roman"/>
                <w:b/>
                <w:sz w:val="24"/>
                <w:szCs w:val="24"/>
              </w:rPr>
            </w:pPr>
            <w:r w:rsidRPr="001524B0">
              <w:rPr>
                <w:rFonts w:ascii="Times New Roman" w:hAnsi="Times New Roman"/>
                <w:b/>
                <w:sz w:val="24"/>
                <w:szCs w:val="24"/>
              </w:rPr>
              <w:t xml:space="preserve"> ($)</w:t>
            </w:r>
          </w:p>
          <w:p w14:paraId="2A6F1BE6" w14:textId="77777777" w:rsidR="005E1E57" w:rsidRPr="001524B0" w:rsidRDefault="005E1E57" w:rsidP="0083512E">
            <w:pPr>
              <w:spacing w:after="0" w:line="240" w:lineRule="auto"/>
              <w:rPr>
                <w:rFonts w:ascii="Times New Roman" w:hAnsi="Times New Roman"/>
                <w:b/>
                <w:sz w:val="24"/>
                <w:szCs w:val="24"/>
              </w:rPr>
            </w:pPr>
            <w:r w:rsidRPr="001524B0">
              <w:rPr>
                <w:rFonts w:ascii="Times New Roman" w:hAnsi="Times New Roman"/>
                <w:b/>
                <w:sz w:val="24"/>
                <w:szCs w:val="24"/>
              </w:rPr>
              <w:t>(5)÷(1)</w:t>
            </w:r>
          </w:p>
        </w:tc>
      </w:tr>
      <w:tr w:rsidR="005E1E57" w:rsidRPr="001524B0" w14:paraId="36F42421" w14:textId="77777777" w:rsidTr="0083512E">
        <w:tblPrEx>
          <w:tblCellMar>
            <w:left w:w="108" w:type="dxa"/>
            <w:right w:w="108" w:type="dxa"/>
          </w:tblCellMar>
        </w:tblPrEx>
        <w:trPr>
          <w:cantSplit/>
          <w:trHeight w:val="794"/>
        </w:trPr>
        <w:tc>
          <w:tcPr>
            <w:tcW w:w="1528" w:type="dxa"/>
            <w:vAlign w:val="center"/>
          </w:tcPr>
          <w:p w14:paraId="7EB431E7" w14:textId="77777777" w:rsidR="005E1E57" w:rsidRPr="001524B0" w:rsidRDefault="005E1E57" w:rsidP="0083512E">
            <w:pPr>
              <w:spacing w:after="0" w:line="240" w:lineRule="auto"/>
              <w:rPr>
                <w:rFonts w:ascii="Times New Roman" w:hAnsi="Times New Roman"/>
                <w:sz w:val="24"/>
                <w:szCs w:val="24"/>
              </w:rPr>
            </w:pPr>
            <w:r w:rsidRPr="001524B0">
              <w:rPr>
                <w:rFonts w:ascii="Times New Roman" w:hAnsi="Times New Roman"/>
                <w:sz w:val="24"/>
                <w:szCs w:val="24"/>
              </w:rPr>
              <w:t>FERC-505</w:t>
            </w:r>
          </w:p>
          <w:p w14:paraId="61EB6918" w14:textId="77777777" w:rsidR="005E1E57" w:rsidRPr="001524B0" w:rsidRDefault="005E1E57" w:rsidP="0083512E">
            <w:pPr>
              <w:spacing w:after="0" w:line="240" w:lineRule="auto"/>
              <w:rPr>
                <w:rFonts w:ascii="Times New Roman" w:hAnsi="Times New Roman"/>
                <w:sz w:val="24"/>
                <w:szCs w:val="24"/>
              </w:rPr>
            </w:pPr>
            <w:r w:rsidRPr="001524B0">
              <w:rPr>
                <w:rFonts w:ascii="Times New Roman" w:hAnsi="Times New Roman"/>
                <w:sz w:val="24"/>
                <w:szCs w:val="24"/>
              </w:rPr>
              <w:t>(reduction)</w:t>
            </w:r>
          </w:p>
        </w:tc>
        <w:tc>
          <w:tcPr>
            <w:tcW w:w="1455" w:type="dxa"/>
            <w:vAlign w:val="center"/>
          </w:tcPr>
          <w:p w14:paraId="1F2BB96D" w14:textId="77777777" w:rsidR="005E1E57" w:rsidRPr="001524B0" w:rsidRDefault="005E1E57" w:rsidP="0083512E">
            <w:pPr>
              <w:spacing w:after="0" w:line="240" w:lineRule="auto"/>
              <w:rPr>
                <w:rFonts w:ascii="Times New Roman" w:hAnsi="Times New Roman"/>
                <w:sz w:val="24"/>
                <w:szCs w:val="24"/>
              </w:rPr>
            </w:pPr>
            <w:r w:rsidRPr="001524B0">
              <w:rPr>
                <w:rFonts w:ascii="Times New Roman" w:hAnsi="Times New Roman"/>
                <w:sz w:val="24"/>
                <w:szCs w:val="24"/>
              </w:rPr>
              <w:t>1</w:t>
            </w:r>
            <w:r w:rsidRPr="001524B0">
              <w:rPr>
                <w:rFonts w:ascii="Times New Roman" w:hAnsi="Times New Roman"/>
                <w:b/>
                <w:sz w:val="24"/>
                <w:szCs w:val="24"/>
                <w:vertAlign w:val="superscript"/>
              </w:rPr>
              <w:footnoteReference w:id="14"/>
            </w:r>
          </w:p>
        </w:tc>
        <w:tc>
          <w:tcPr>
            <w:tcW w:w="1378" w:type="dxa"/>
            <w:vAlign w:val="center"/>
          </w:tcPr>
          <w:p w14:paraId="6B75602A" w14:textId="77777777" w:rsidR="005E1E57" w:rsidRPr="001524B0" w:rsidRDefault="005E1E57" w:rsidP="0083512E">
            <w:pPr>
              <w:spacing w:after="0" w:line="240" w:lineRule="auto"/>
              <w:rPr>
                <w:rFonts w:ascii="Times New Roman" w:hAnsi="Times New Roman"/>
                <w:sz w:val="24"/>
                <w:szCs w:val="24"/>
              </w:rPr>
            </w:pPr>
            <w:r w:rsidRPr="001524B0">
              <w:rPr>
                <w:rFonts w:ascii="Times New Roman" w:hAnsi="Times New Roman"/>
                <w:sz w:val="24"/>
                <w:szCs w:val="24"/>
              </w:rPr>
              <w:t>1</w:t>
            </w:r>
          </w:p>
        </w:tc>
        <w:tc>
          <w:tcPr>
            <w:tcW w:w="1291" w:type="dxa"/>
            <w:vAlign w:val="center"/>
          </w:tcPr>
          <w:p w14:paraId="10F715BC" w14:textId="77777777" w:rsidR="005E1E57" w:rsidRPr="001524B0" w:rsidRDefault="005E1E57" w:rsidP="0083512E">
            <w:pPr>
              <w:spacing w:after="0" w:line="240" w:lineRule="auto"/>
              <w:rPr>
                <w:rFonts w:ascii="Times New Roman" w:hAnsi="Times New Roman"/>
                <w:sz w:val="24"/>
                <w:szCs w:val="24"/>
              </w:rPr>
            </w:pPr>
            <w:r w:rsidRPr="001524B0">
              <w:rPr>
                <w:rFonts w:ascii="Times New Roman" w:hAnsi="Times New Roman"/>
                <w:sz w:val="24"/>
                <w:szCs w:val="24"/>
              </w:rPr>
              <w:t>1</w:t>
            </w:r>
          </w:p>
        </w:tc>
        <w:tc>
          <w:tcPr>
            <w:tcW w:w="1226" w:type="dxa"/>
            <w:vAlign w:val="center"/>
          </w:tcPr>
          <w:p w14:paraId="7209851E" w14:textId="77777777" w:rsidR="005E1E57" w:rsidRPr="001524B0" w:rsidRDefault="005E1E57" w:rsidP="0083512E">
            <w:pPr>
              <w:spacing w:after="0" w:line="240" w:lineRule="auto"/>
              <w:rPr>
                <w:rFonts w:ascii="Times New Roman" w:hAnsi="Times New Roman"/>
                <w:sz w:val="24"/>
                <w:szCs w:val="24"/>
              </w:rPr>
            </w:pPr>
            <w:r w:rsidRPr="001524B0">
              <w:rPr>
                <w:rFonts w:ascii="Times New Roman" w:hAnsi="Times New Roman"/>
                <w:sz w:val="24"/>
                <w:szCs w:val="24"/>
              </w:rPr>
              <w:t>30 hrs.;</w:t>
            </w:r>
          </w:p>
          <w:p w14:paraId="7244B619" w14:textId="77777777" w:rsidR="005E1E57" w:rsidRPr="001524B0" w:rsidRDefault="005E1E57" w:rsidP="0083512E">
            <w:pPr>
              <w:spacing w:after="0" w:line="240" w:lineRule="auto"/>
              <w:rPr>
                <w:rFonts w:ascii="Times New Roman" w:hAnsi="Times New Roman"/>
                <w:sz w:val="24"/>
                <w:szCs w:val="24"/>
              </w:rPr>
            </w:pPr>
            <w:r w:rsidRPr="001524B0">
              <w:rPr>
                <w:rFonts w:ascii="Times New Roman" w:hAnsi="Times New Roman"/>
                <w:sz w:val="24"/>
                <w:szCs w:val="24"/>
              </w:rPr>
              <w:t>$2,370</w:t>
            </w:r>
          </w:p>
          <w:p w14:paraId="510AD3FE" w14:textId="77777777" w:rsidR="005E1E57" w:rsidRPr="001524B0" w:rsidRDefault="005E1E57" w:rsidP="0083512E">
            <w:pPr>
              <w:spacing w:after="0" w:line="240" w:lineRule="auto"/>
              <w:rPr>
                <w:rFonts w:ascii="Times New Roman" w:hAnsi="Times New Roman"/>
                <w:sz w:val="24"/>
                <w:szCs w:val="24"/>
              </w:rPr>
            </w:pPr>
            <w:r w:rsidRPr="001524B0">
              <w:rPr>
                <w:rFonts w:ascii="Times New Roman" w:hAnsi="Times New Roman"/>
                <w:sz w:val="24"/>
                <w:szCs w:val="24"/>
              </w:rPr>
              <w:t>(reduction)</w:t>
            </w:r>
          </w:p>
        </w:tc>
        <w:tc>
          <w:tcPr>
            <w:tcW w:w="1254" w:type="dxa"/>
            <w:vAlign w:val="center"/>
          </w:tcPr>
          <w:p w14:paraId="27739B4E" w14:textId="77777777" w:rsidR="005E1E57" w:rsidRPr="001524B0" w:rsidRDefault="005E1E57" w:rsidP="0083512E">
            <w:pPr>
              <w:spacing w:after="0" w:line="240" w:lineRule="auto"/>
              <w:rPr>
                <w:rFonts w:ascii="Times New Roman" w:hAnsi="Times New Roman"/>
                <w:sz w:val="24"/>
                <w:szCs w:val="24"/>
              </w:rPr>
            </w:pPr>
            <w:r w:rsidRPr="001524B0">
              <w:rPr>
                <w:rFonts w:ascii="Times New Roman" w:hAnsi="Times New Roman"/>
                <w:sz w:val="24"/>
                <w:szCs w:val="24"/>
              </w:rPr>
              <w:t>30 hrs.;</w:t>
            </w:r>
          </w:p>
          <w:p w14:paraId="1919C59F" w14:textId="77777777" w:rsidR="005E1E57" w:rsidRPr="001524B0" w:rsidRDefault="005E1E57" w:rsidP="0083512E">
            <w:pPr>
              <w:spacing w:after="0" w:line="240" w:lineRule="auto"/>
              <w:rPr>
                <w:rFonts w:ascii="Times New Roman" w:hAnsi="Times New Roman"/>
                <w:sz w:val="24"/>
                <w:szCs w:val="24"/>
              </w:rPr>
            </w:pPr>
            <w:r w:rsidRPr="001524B0">
              <w:rPr>
                <w:rFonts w:ascii="Times New Roman" w:hAnsi="Times New Roman"/>
                <w:sz w:val="24"/>
                <w:szCs w:val="24"/>
              </w:rPr>
              <w:t>$2,370</w:t>
            </w:r>
          </w:p>
          <w:p w14:paraId="0CBF26C7" w14:textId="77777777" w:rsidR="005E1E57" w:rsidRPr="001524B0" w:rsidRDefault="005E1E57" w:rsidP="0083512E">
            <w:pPr>
              <w:spacing w:after="0" w:line="240" w:lineRule="auto"/>
              <w:rPr>
                <w:rFonts w:ascii="Times New Roman" w:hAnsi="Times New Roman"/>
                <w:sz w:val="24"/>
                <w:szCs w:val="24"/>
              </w:rPr>
            </w:pPr>
            <w:r w:rsidRPr="001524B0">
              <w:rPr>
                <w:rFonts w:ascii="Times New Roman" w:hAnsi="Times New Roman"/>
                <w:sz w:val="24"/>
                <w:szCs w:val="24"/>
              </w:rPr>
              <w:t>(reduction)</w:t>
            </w:r>
          </w:p>
        </w:tc>
        <w:tc>
          <w:tcPr>
            <w:tcW w:w="1710" w:type="dxa"/>
            <w:vAlign w:val="center"/>
          </w:tcPr>
          <w:p w14:paraId="1C3F54BF" w14:textId="77777777" w:rsidR="005E1E57" w:rsidRPr="001524B0" w:rsidRDefault="005E1E57" w:rsidP="0083512E">
            <w:pPr>
              <w:spacing w:after="0" w:line="240" w:lineRule="auto"/>
              <w:rPr>
                <w:rFonts w:ascii="Times New Roman" w:hAnsi="Times New Roman"/>
                <w:sz w:val="24"/>
                <w:szCs w:val="24"/>
              </w:rPr>
            </w:pPr>
            <w:r w:rsidRPr="001524B0">
              <w:rPr>
                <w:rFonts w:ascii="Times New Roman" w:hAnsi="Times New Roman"/>
                <w:sz w:val="24"/>
                <w:szCs w:val="24"/>
              </w:rPr>
              <w:t>$2,370</w:t>
            </w:r>
          </w:p>
          <w:p w14:paraId="44A2DC8F" w14:textId="77777777" w:rsidR="005E1E57" w:rsidRPr="001524B0" w:rsidRDefault="005E1E57" w:rsidP="0083512E">
            <w:pPr>
              <w:spacing w:after="0" w:line="240" w:lineRule="auto"/>
              <w:rPr>
                <w:rFonts w:ascii="Times New Roman" w:hAnsi="Times New Roman"/>
                <w:sz w:val="24"/>
                <w:szCs w:val="24"/>
              </w:rPr>
            </w:pPr>
            <w:r w:rsidRPr="001524B0">
              <w:rPr>
                <w:rFonts w:ascii="Times New Roman" w:hAnsi="Times New Roman"/>
                <w:sz w:val="24"/>
                <w:szCs w:val="24"/>
              </w:rPr>
              <w:t>(reduction)</w:t>
            </w:r>
          </w:p>
        </w:tc>
      </w:tr>
    </w:tbl>
    <w:p w14:paraId="4F1AD915" w14:textId="77777777" w:rsidR="005E1E57" w:rsidRDefault="005E1E57" w:rsidP="005E1E57">
      <w:pPr>
        <w:spacing w:after="0" w:line="240" w:lineRule="auto"/>
        <w:rPr>
          <w:rFonts w:ascii="Times New Roman" w:hAnsi="Times New Roman"/>
          <w:sz w:val="24"/>
          <w:szCs w:val="24"/>
        </w:rPr>
      </w:pPr>
    </w:p>
    <w:p w14:paraId="2379087E" w14:textId="77777777" w:rsidR="005E1E57" w:rsidRPr="00F1537F" w:rsidRDefault="005E1E57" w:rsidP="005E1E57">
      <w:pPr>
        <w:spacing w:after="0" w:line="240" w:lineRule="auto"/>
        <w:rPr>
          <w:rFonts w:ascii="Times New Roman" w:hAnsi="Times New Roman"/>
          <w:b/>
          <w:sz w:val="24"/>
          <w:szCs w:val="24"/>
        </w:rPr>
      </w:pPr>
      <w:r w:rsidRPr="00F1537F">
        <w:rPr>
          <w:rFonts w:ascii="Times New Roman" w:hAnsi="Times New Roman"/>
          <w:b/>
          <w:sz w:val="24"/>
          <w:szCs w:val="24"/>
        </w:rPr>
        <w:t xml:space="preserve">13.   ESTIMATE OF THE TOTAL ANNUAL COST BURDEN TO RESPONDENTS </w:t>
      </w:r>
    </w:p>
    <w:p w14:paraId="75479F90" w14:textId="77777777" w:rsidR="005E1E57" w:rsidRPr="00F1537F" w:rsidRDefault="005E1E57" w:rsidP="005E1E57">
      <w:pPr>
        <w:spacing w:after="0" w:line="240" w:lineRule="auto"/>
        <w:rPr>
          <w:rFonts w:ascii="Times New Roman" w:hAnsi="Times New Roman"/>
          <w:sz w:val="24"/>
          <w:szCs w:val="24"/>
        </w:rPr>
      </w:pPr>
    </w:p>
    <w:p w14:paraId="57C156B1" w14:textId="77777777" w:rsidR="005E1E57" w:rsidRPr="00F1537F" w:rsidRDefault="005E1E57" w:rsidP="005E1E57">
      <w:pPr>
        <w:spacing w:after="0" w:line="240" w:lineRule="auto"/>
        <w:rPr>
          <w:rFonts w:ascii="Times New Roman" w:hAnsi="Times New Roman"/>
          <w:sz w:val="24"/>
          <w:szCs w:val="24"/>
        </w:rPr>
      </w:pPr>
      <w:r w:rsidRPr="00F1537F">
        <w:rPr>
          <w:rFonts w:ascii="Times New Roman" w:hAnsi="Times New Roman"/>
          <w:sz w:val="24"/>
          <w:szCs w:val="24"/>
        </w:rPr>
        <w:t>There are no start-up or other non-labor costs.</w:t>
      </w:r>
    </w:p>
    <w:p w14:paraId="2F27960D" w14:textId="77777777" w:rsidR="005E1E57" w:rsidRPr="00F1537F" w:rsidRDefault="005E1E57" w:rsidP="005E1E57">
      <w:pPr>
        <w:spacing w:after="0" w:line="240" w:lineRule="auto"/>
        <w:rPr>
          <w:rFonts w:ascii="Times New Roman" w:hAnsi="Times New Roman"/>
          <w:sz w:val="24"/>
          <w:szCs w:val="24"/>
        </w:rPr>
      </w:pPr>
    </w:p>
    <w:p w14:paraId="1CB42AB8" w14:textId="77777777" w:rsidR="005E1E57" w:rsidRPr="00F1537F" w:rsidRDefault="005E1E57" w:rsidP="005E1E57">
      <w:pPr>
        <w:spacing w:after="0" w:line="240" w:lineRule="auto"/>
        <w:ind w:left="720"/>
        <w:rPr>
          <w:rFonts w:ascii="Times New Roman" w:hAnsi="Times New Roman"/>
          <w:sz w:val="24"/>
          <w:szCs w:val="24"/>
        </w:rPr>
      </w:pPr>
      <w:r w:rsidRPr="00F1537F">
        <w:rPr>
          <w:rFonts w:ascii="Times New Roman" w:hAnsi="Times New Roman"/>
          <w:sz w:val="24"/>
          <w:szCs w:val="24"/>
        </w:rPr>
        <w:t>Total Capital and Start-up cost: $0</w:t>
      </w:r>
    </w:p>
    <w:p w14:paraId="46D79EF3" w14:textId="77777777" w:rsidR="005E1E57" w:rsidRPr="00F1537F" w:rsidRDefault="005E1E57" w:rsidP="005E1E57">
      <w:pPr>
        <w:spacing w:after="0" w:line="240" w:lineRule="auto"/>
        <w:ind w:left="720"/>
        <w:rPr>
          <w:rFonts w:ascii="Times New Roman" w:hAnsi="Times New Roman"/>
          <w:sz w:val="24"/>
          <w:szCs w:val="24"/>
        </w:rPr>
      </w:pPr>
      <w:r w:rsidRPr="00F1537F">
        <w:rPr>
          <w:rFonts w:ascii="Times New Roman" w:hAnsi="Times New Roman"/>
          <w:sz w:val="24"/>
          <w:szCs w:val="24"/>
        </w:rPr>
        <w:t>Total Operation, Maintenance, and Purchase of Services: $0</w:t>
      </w:r>
    </w:p>
    <w:p w14:paraId="58F99C67" w14:textId="77777777" w:rsidR="005E1E57" w:rsidRPr="00F1537F" w:rsidRDefault="005E1E57" w:rsidP="005E1E57">
      <w:pPr>
        <w:spacing w:after="0" w:line="240" w:lineRule="auto"/>
        <w:rPr>
          <w:rFonts w:ascii="Times New Roman" w:hAnsi="Times New Roman"/>
          <w:sz w:val="24"/>
          <w:szCs w:val="24"/>
        </w:rPr>
      </w:pPr>
    </w:p>
    <w:p w14:paraId="7AF20A3C" w14:textId="77777777" w:rsidR="005E1E57" w:rsidRPr="00F1537F" w:rsidRDefault="005E1E57" w:rsidP="005E1E57">
      <w:pPr>
        <w:spacing w:after="0" w:line="240" w:lineRule="auto"/>
        <w:rPr>
          <w:rFonts w:ascii="Times New Roman" w:hAnsi="Times New Roman"/>
          <w:sz w:val="24"/>
          <w:szCs w:val="24"/>
        </w:rPr>
      </w:pPr>
      <w:r w:rsidRPr="00F1537F">
        <w:rPr>
          <w:rFonts w:ascii="Times New Roman" w:hAnsi="Times New Roman"/>
          <w:sz w:val="24"/>
          <w:szCs w:val="24"/>
        </w:rPr>
        <w:t>All of the costs in the information collection</w:t>
      </w:r>
      <w:r>
        <w:rPr>
          <w:rFonts w:ascii="Times New Roman" w:hAnsi="Times New Roman"/>
          <w:sz w:val="24"/>
          <w:szCs w:val="24"/>
        </w:rPr>
        <w:t>s</w:t>
      </w:r>
      <w:r w:rsidRPr="00F1537F">
        <w:rPr>
          <w:rFonts w:ascii="Times New Roman" w:hAnsi="Times New Roman"/>
          <w:sz w:val="24"/>
          <w:szCs w:val="24"/>
        </w:rPr>
        <w:t xml:space="preserve"> are associated with burden hours (labor) and </w:t>
      </w:r>
      <w:r>
        <w:rPr>
          <w:rFonts w:ascii="Times New Roman" w:hAnsi="Times New Roman"/>
          <w:sz w:val="24"/>
          <w:szCs w:val="24"/>
        </w:rPr>
        <w:t>discussed</w:t>
      </w:r>
      <w:r w:rsidRPr="00F1537F">
        <w:rPr>
          <w:rFonts w:ascii="Times New Roman" w:hAnsi="Times New Roman"/>
          <w:sz w:val="24"/>
          <w:szCs w:val="24"/>
        </w:rPr>
        <w:t xml:space="preserve"> in Questions #12 and #15.</w:t>
      </w:r>
    </w:p>
    <w:p w14:paraId="327F9270" w14:textId="77777777" w:rsidR="005E1E57" w:rsidRPr="00F1537F" w:rsidRDefault="005E1E57" w:rsidP="005E1E57">
      <w:pPr>
        <w:spacing w:after="0" w:line="240" w:lineRule="auto"/>
        <w:rPr>
          <w:rFonts w:ascii="Times New Roman" w:hAnsi="Times New Roman"/>
          <w:sz w:val="24"/>
          <w:szCs w:val="24"/>
        </w:rPr>
      </w:pPr>
    </w:p>
    <w:p w14:paraId="6321A93A" w14:textId="77777777" w:rsidR="005E1E57" w:rsidRPr="00F1537F" w:rsidRDefault="005E1E57" w:rsidP="005E1E57">
      <w:pPr>
        <w:pStyle w:val="ListParagraph"/>
        <w:spacing w:after="0" w:line="240" w:lineRule="auto"/>
        <w:ind w:left="0"/>
        <w:rPr>
          <w:rFonts w:ascii="Times New Roman" w:hAnsi="Times New Roman"/>
          <w:sz w:val="24"/>
          <w:szCs w:val="24"/>
        </w:rPr>
      </w:pPr>
      <w:r w:rsidRPr="00F1537F">
        <w:rPr>
          <w:rFonts w:ascii="Times New Roman" w:hAnsi="Times New Roman"/>
          <w:b/>
          <w:sz w:val="24"/>
          <w:szCs w:val="24"/>
        </w:rPr>
        <w:t xml:space="preserve">14.    ESTIMATED ANNUALIZED COST TO FEDERAL GOVERNMENT   </w:t>
      </w:r>
    </w:p>
    <w:p w14:paraId="1D660E68" w14:textId="77777777" w:rsidR="005E1E57" w:rsidRPr="00F1537F" w:rsidRDefault="005E1E57" w:rsidP="005E1E57">
      <w:pPr>
        <w:pStyle w:val="ListParagraph"/>
        <w:spacing w:after="0" w:line="240" w:lineRule="auto"/>
        <w:ind w:left="0"/>
        <w:rPr>
          <w:rFonts w:ascii="Times New Roman" w:hAnsi="Times New Roman"/>
          <w:sz w:val="24"/>
          <w:szCs w:val="24"/>
        </w:rPr>
      </w:pPr>
    </w:p>
    <w:p w14:paraId="6F437AAE" w14:textId="517AA71E" w:rsidR="005E1E57" w:rsidRPr="00244BC9" w:rsidRDefault="005E1E57" w:rsidP="005E1E57">
      <w:pPr>
        <w:spacing w:after="0" w:line="240" w:lineRule="auto"/>
        <w:rPr>
          <w:rFonts w:ascii="Times New Roman" w:hAnsi="Times New Roman"/>
          <w:sz w:val="24"/>
          <w:szCs w:val="24"/>
        </w:rPr>
      </w:pPr>
      <w:r w:rsidRPr="00247EBC">
        <w:rPr>
          <w:rFonts w:ascii="Times New Roman" w:hAnsi="Times New Roman"/>
          <w:sz w:val="24"/>
          <w:szCs w:val="24"/>
        </w:rPr>
        <w:t xml:space="preserve">The </w:t>
      </w:r>
      <w:r w:rsidRPr="00244BC9">
        <w:rPr>
          <w:rFonts w:ascii="Times New Roman" w:hAnsi="Times New Roman"/>
          <w:sz w:val="24"/>
          <w:szCs w:val="24"/>
        </w:rPr>
        <w:t xml:space="preserve">estimate of the cost for </w:t>
      </w:r>
      <w:r w:rsidR="00C661D4">
        <w:rPr>
          <w:rFonts w:ascii="Times New Roman" w:hAnsi="Times New Roman"/>
          <w:sz w:val="24"/>
          <w:szCs w:val="24"/>
        </w:rPr>
        <w:t>“</w:t>
      </w:r>
      <w:r w:rsidRPr="00244BC9">
        <w:rPr>
          <w:rFonts w:ascii="Times New Roman" w:hAnsi="Times New Roman"/>
          <w:sz w:val="24"/>
          <w:szCs w:val="24"/>
        </w:rPr>
        <w:t>analysis and processing of filings</w:t>
      </w:r>
      <w:r w:rsidR="00C661D4">
        <w:rPr>
          <w:rFonts w:ascii="Times New Roman" w:hAnsi="Times New Roman"/>
          <w:sz w:val="24"/>
          <w:szCs w:val="24"/>
        </w:rPr>
        <w:t>”</w:t>
      </w:r>
      <w:r w:rsidRPr="0083512E">
        <w:rPr>
          <w:rStyle w:val="FootnoteReference"/>
          <w:rFonts w:ascii="Times New Roman" w:hAnsi="Times New Roman"/>
          <w:b/>
          <w:sz w:val="24"/>
          <w:szCs w:val="24"/>
          <w:vertAlign w:val="superscript"/>
        </w:rPr>
        <w:footnoteReference w:id="15"/>
      </w:r>
      <w:r w:rsidRPr="00247EBC">
        <w:rPr>
          <w:rFonts w:ascii="Times New Roman" w:hAnsi="Times New Roman"/>
          <w:sz w:val="24"/>
          <w:szCs w:val="24"/>
          <w:vertAlign w:val="superscript"/>
        </w:rPr>
        <w:t xml:space="preserve"> </w:t>
      </w:r>
      <w:r w:rsidRPr="00244BC9">
        <w:rPr>
          <w:rFonts w:ascii="Times New Roman" w:hAnsi="Times New Roman"/>
          <w:sz w:val="24"/>
          <w:szCs w:val="24"/>
        </w:rPr>
        <w:t>is based on salaries and benefits for professional and clerical support.  This estimated cost represents staff analysis, decision-making, and review of any actual filings submitted in response to the information collection.</w:t>
      </w:r>
      <w:r w:rsidRPr="00247EBC">
        <w:rPr>
          <w:rFonts w:ascii="Times New Roman" w:hAnsi="Times New Roman"/>
          <w:sz w:val="24"/>
          <w:szCs w:val="24"/>
        </w:rPr>
        <w:t xml:space="preserve"> </w:t>
      </w:r>
      <w:r>
        <w:rPr>
          <w:rFonts w:ascii="Times New Roman" w:hAnsi="Times New Roman"/>
          <w:sz w:val="24"/>
          <w:szCs w:val="24"/>
        </w:rPr>
        <w:t xml:space="preserve"> The estimates for the ‘analysis and processing of filings’ are for the entire  FERC-505, not simply for the areas affected by, or additions due to, the Final Rule in RM19-13</w:t>
      </w:r>
      <w:r w:rsidR="00C661D4">
        <w:rPr>
          <w:rFonts w:ascii="Times New Roman" w:hAnsi="Times New Roman"/>
          <w:sz w:val="24"/>
          <w:szCs w:val="24"/>
        </w:rPr>
        <w:t>-000</w:t>
      </w:r>
      <w:r>
        <w:rPr>
          <w:rFonts w:ascii="Times New Roman" w:hAnsi="Times New Roman"/>
          <w:sz w:val="24"/>
          <w:szCs w:val="24"/>
        </w:rPr>
        <w:t>.</w:t>
      </w:r>
    </w:p>
    <w:p w14:paraId="0AC64952" w14:textId="77777777" w:rsidR="005E1E57" w:rsidRPr="00244BC9" w:rsidRDefault="005E1E57" w:rsidP="005E1E57">
      <w:pPr>
        <w:spacing w:after="0" w:line="240" w:lineRule="auto"/>
        <w:rPr>
          <w:rFonts w:ascii="Times New Roman" w:hAnsi="Times New Roman"/>
          <w:sz w:val="24"/>
          <w:szCs w:val="24"/>
        </w:rPr>
      </w:pPr>
    </w:p>
    <w:p w14:paraId="73F775AD" w14:textId="77777777" w:rsidR="005E1E57" w:rsidRPr="00244BC9" w:rsidRDefault="005E1E57" w:rsidP="005E1E57">
      <w:pPr>
        <w:spacing w:after="0" w:line="240" w:lineRule="auto"/>
        <w:rPr>
          <w:rFonts w:ascii="Times New Roman" w:hAnsi="Times New Roman"/>
          <w:sz w:val="24"/>
          <w:szCs w:val="24"/>
        </w:rPr>
      </w:pPr>
      <w:r w:rsidRPr="00244BC9">
        <w:rPr>
          <w:rFonts w:ascii="Times New Roman" w:hAnsi="Times New Roman"/>
          <w:sz w:val="24"/>
          <w:szCs w:val="24"/>
        </w:rPr>
        <w:t>The Paperwork Reduction Act (PRA) Administrative Cost</w:t>
      </w:r>
      <w:r w:rsidRPr="0083512E">
        <w:rPr>
          <w:rStyle w:val="FootnoteReference"/>
          <w:rFonts w:ascii="Times New Roman" w:hAnsi="Times New Roman"/>
          <w:b/>
          <w:sz w:val="24"/>
          <w:szCs w:val="24"/>
          <w:vertAlign w:val="superscript"/>
        </w:rPr>
        <w:footnoteReference w:id="16"/>
      </w:r>
      <w:r w:rsidRPr="00244BC9">
        <w:rPr>
          <w:rFonts w:ascii="Times New Roman" w:hAnsi="Times New Roman"/>
          <w:sz w:val="24"/>
          <w:szCs w:val="24"/>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776A5219" w14:textId="77777777" w:rsidR="005E1E57" w:rsidRDefault="005E1E57" w:rsidP="005E1E57">
      <w:pPr>
        <w:spacing w:after="0" w:line="240" w:lineRule="auto"/>
        <w:rPr>
          <w:rFonts w:ascii="Times New Roman" w:hAnsi="Times New Roman"/>
          <w:sz w:val="24"/>
          <w:szCs w:val="24"/>
        </w:rPr>
      </w:pPr>
    </w:p>
    <w:p w14:paraId="44DC8AC8" w14:textId="77777777" w:rsidR="005E1E57" w:rsidRDefault="005E1E57" w:rsidP="005E1E57">
      <w:pPr>
        <w:spacing w:after="0" w:line="240" w:lineRule="auto"/>
        <w:rPr>
          <w:rFonts w:ascii="Times New Roman" w:hAnsi="Times New Roman"/>
          <w:sz w:val="24"/>
          <w:szCs w:val="24"/>
        </w:rPr>
      </w:pPr>
      <w:r w:rsidRPr="00F1537F">
        <w:rPr>
          <w:rFonts w:ascii="Times New Roman" w:hAnsi="Times New Roman"/>
          <w:sz w:val="24"/>
          <w:szCs w:val="24"/>
        </w:rPr>
        <w:t>The estimated annualized cost to the Federal Government</w:t>
      </w:r>
      <w:r>
        <w:rPr>
          <w:rFonts w:ascii="Times New Roman" w:hAnsi="Times New Roman"/>
          <w:sz w:val="24"/>
          <w:szCs w:val="24"/>
        </w:rPr>
        <w:t xml:space="preserve"> follows.</w:t>
      </w:r>
      <w:r w:rsidRPr="00F1537F">
        <w:rPr>
          <w:rFonts w:ascii="Times New Roman" w:hAnsi="Times New Roman"/>
          <w:sz w:val="24"/>
          <w:szCs w:val="24"/>
        </w:rPr>
        <w:t xml:space="preserve"> </w:t>
      </w:r>
      <w:r>
        <w:rPr>
          <w:rFonts w:ascii="Times New Roman" w:hAnsi="Times New Roman"/>
          <w:sz w:val="24"/>
          <w:szCs w:val="24"/>
        </w:rPr>
        <w:t xml:space="preserve"> </w:t>
      </w:r>
    </w:p>
    <w:p w14:paraId="5BC504AE" w14:textId="77777777" w:rsidR="005E1E57" w:rsidRPr="00F1537F" w:rsidRDefault="005E1E57" w:rsidP="005E1E57">
      <w:pPr>
        <w:spacing w:after="0" w:line="240" w:lineRule="auto"/>
        <w:rPr>
          <w:rFonts w:ascii="Times New Roman" w:hAnsi="Times New Roman"/>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65"/>
        <w:gridCol w:w="2880"/>
        <w:gridCol w:w="3420"/>
      </w:tblGrid>
      <w:tr w:rsidR="005E1E57" w:rsidRPr="00F1537F" w14:paraId="1994BB16" w14:textId="77777777" w:rsidTr="0083512E">
        <w:tc>
          <w:tcPr>
            <w:tcW w:w="2965" w:type="dxa"/>
            <w:shd w:val="clear" w:color="auto" w:fill="D9D9D9" w:themeFill="background1" w:themeFillShade="D9"/>
            <w:vAlign w:val="bottom"/>
          </w:tcPr>
          <w:p w14:paraId="305161E0" w14:textId="77777777" w:rsidR="005E1E57" w:rsidRPr="00F1537F" w:rsidRDefault="005E1E57" w:rsidP="0083512E">
            <w:pPr>
              <w:spacing w:after="0" w:line="240" w:lineRule="auto"/>
              <w:jc w:val="center"/>
              <w:rPr>
                <w:rFonts w:ascii="Times New Roman" w:hAnsi="Times New Roman"/>
                <w:sz w:val="24"/>
                <w:szCs w:val="24"/>
              </w:rPr>
            </w:pPr>
            <w:r w:rsidRPr="00F1537F">
              <w:rPr>
                <w:rFonts w:ascii="Times New Roman" w:hAnsi="Times New Roman"/>
                <w:b/>
                <w:sz w:val="24"/>
                <w:szCs w:val="24"/>
              </w:rPr>
              <w:t>FERC-505</w:t>
            </w:r>
          </w:p>
        </w:tc>
        <w:tc>
          <w:tcPr>
            <w:tcW w:w="2880" w:type="dxa"/>
            <w:shd w:val="clear" w:color="auto" w:fill="D9D9D9"/>
            <w:vAlign w:val="bottom"/>
          </w:tcPr>
          <w:p w14:paraId="3D249FF9" w14:textId="77777777" w:rsidR="005E1E57" w:rsidRPr="00F1537F" w:rsidRDefault="005E1E57" w:rsidP="0083512E">
            <w:pPr>
              <w:spacing w:after="0" w:line="240" w:lineRule="auto"/>
              <w:jc w:val="center"/>
              <w:rPr>
                <w:rFonts w:ascii="Times New Roman" w:hAnsi="Times New Roman"/>
                <w:b/>
                <w:sz w:val="24"/>
                <w:szCs w:val="24"/>
              </w:rPr>
            </w:pPr>
            <w:r w:rsidRPr="00F1537F">
              <w:rPr>
                <w:rFonts w:ascii="Times New Roman" w:hAnsi="Times New Roman"/>
                <w:b/>
                <w:sz w:val="24"/>
                <w:szCs w:val="24"/>
              </w:rPr>
              <w:t>Number of Employees (FTEs)</w:t>
            </w:r>
          </w:p>
        </w:tc>
        <w:tc>
          <w:tcPr>
            <w:tcW w:w="3420" w:type="dxa"/>
            <w:shd w:val="clear" w:color="auto" w:fill="D9D9D9"/>
            <w:vAlign w:val="bottom"/>
          </w:tcPr>
          <w:p w14:paraId="4119E5E1" w14:textId="77777777" w:rsidR="005E1E57" w:rsidRPr="00F1537F" w:rsidRDefault="005E1E57" w:rsidP="0083512E">
            <w:pPr>
              <w:spacing w:after="0" w:line="240" w:lineRule="auto"/>
              <w:jc w:val="center"/>
              <w:rPr>
                <w:rFonts w:ascii="Times New Roman" w:hAnsi="Times New Roman"/>
                <w:b/>
                <w:sz w:val="24"/>
                <w:szCs w:val="24"/>
              </w:rPr>
            </w:pPr>
            <w:r w:rsidRPr="00F1537F">
              <w:rPr>
                <w:rFonts w:ascii="Times New Roman" w:hAnsi="Times New Roman"/>
                <w:b/>
                <w:sz w:val="24"/>
                <w:szCs w:val="24"/>
              </w:rPr>
              <w:t>Estimated Annual Federal Cost (rounded)</w:t>
            </w:r>
          </w:p>
        </w:tc>
      </w:tr>
      <w:tr w:rsidR="005E1E57" w:rsidRPr="00030D70" w14:paraId="42BF747F" w14:textId="77777777" w:rsidTr="0083512E">
        <w:tc>
          <w:tcPr>
            <w:tcW w:w="2965" w:type="dxa"/>
            <w:shd w:val="clear" w:color="auto" w:fill="FFFFFF"/>
            <w:vAlign w:val="bottom"/>
          </w:tcPr>
          <w:p w14:paraId="79DA065E" w14:textId="77777777" w:rsidR="005E1E57" w:rsidRPr="00030D70" w:rsidRDefault="005E1E57" w:rsidP="0083512E">
            <w:pPr>
              <w:spacing w:after="0" w:line="240" w:lineRule="auto"/>
              <w:rPr>
                <w:rFonts w:ascii="Times New Roman" w:hAnsi="Times New Roman"/>
                <w:sz w:val="24"/>
                <w:szCs w:val="24"/>
              </w:rPr>
            </w:pPr>
            <w:r w:rsidRPr="00030D70">
              <w:rPr>
                <w:rFonts w:ascii="Times New Roman" w:hAnsi="Times New Roman"/>
                <w:sz w:val="24"/>
                <w:szCs w:val="24"/>
              </w:rPr>
              <w:t>Analysis and Processing of filings</w:t>
            </w:r>
          </w:p>
        </w:tc>
        <w:tc>
          <w:tcPr>
            <w:tcW w:w="2880" w:type="dxa"/>
            <w:shd w:val="clear" w:color="auto" w:fill="FFFFFF"/>
            <w:vAlign w:val="center"/>
          </w:tcPr>
          <w:p w14:paraId="3C333A03" w14:textId="77777777" w:rsidR="005E1E57" w:rsidRPr="00030D70" w:rsidRDefault="005E1E57" w:rsidP="0083512E">
            <w:pPr>
              <w:spacing w:after="0" w:line="240" w:lineRule="auto"/>
              <w:jc w:val="right"/>
              <w:rPr>
                <w:rFonts w:ascii="Times New Roman" w:hAnsi="Times New Roman"/>
                <w:sz w:val="24"/>
                <w:szCs w:val="24"/>
              </w:rPr>
            </w:pPr>
            <w:r w:rsidRPr="00030D70">
              <w:rPr>
                <w:rFonts w:ascii="Times New Roman" w:hAnsi="Times New Roman"/>
                <w:sz w:val="24"/>
                <w:szCs w:val="24"/>
              </w:rPr>
              <w:t>8.5</w:t>
            </w:r>
          </w:p>
        </w:tc>
        <w:tc>
          <w:tcPr>
            <w:tcW w:w="3420" w:type="dxa"/>
            <w:shd w:val="clear" w:color="auto" w:fill="FFFFFF"/>
            <w:vAlign w:val="center"/>
          </w:tcPr>
          <w:p w14:paraId="1445544B" w14:textId="77777777" w:rsidR="005E1E57" w:rsidRPr="00030D70" w:rsidRDefault="005E1E57" w:rsidP="0083512E">
            <w:pPr>
              <w:spacing w:after="0" w:line="240" w:lineRule="auto"/>
              <w:jc w:val="right"/>
              <w:rPr>
                <w:rFonts w:ascii="Times New Roman" w:hAnsi="Times New Roman"/>
                <w:sz w:val="24"/>
                <w:szCs w:val="24"/>
              </w:rPr>
            </w:pPr>
            <w:r w:rsidRPr="00030D70">
              <w:rPr>
                <w:rFonts w:ascii="Times New Roman" w:hAnsi="Times New Roman"/>
                <w:sz w:val="24"/>
                <w:szCs w:val="24"/>
              </w:rPr>
              <w:t>$1,</w:t>
            </w:r>
            <w:r>
              <w:rPr>
                <w:rFonts w:ascii="Times New Roman" w:hAnsi="Times New Roman"/>
                <w:sz w:val="24"/>
                <w:szCs w:val="24"/>
              </w:rPr>
              <w:t>400,970</w:t>
            </w:r>
          </w:p>
        </w:tc>
      </w:tr>
      <w:tr w:rsidR="005E1E57" w:rsidRPr="00D53FDE" w14:paraId="5E5682B3" w14:textId="77777777" w:rsidTr="0083512E">
        <w:tc>
          <w:tcPr>
            <w:tcW w:w="2965" w:type="dxa"/>
            <w:shd w:val="clear" w:color="auto" w:fill="FFFFFF"/>
            <w:vAlign w:val="bottom"/>
          </w:tcPr>
          <w:p w14:paraId="45E50F44" w14:textId="77777777" w:rsidR="005E1E57" w:rsidRPr="00030D70" w:rsidRDefault="005E1E57" w:rsidP="0083512E">
            <w:pPr>
              <w:spacing w:line="240" w:lineRule="auto"/>
              <w:rPr>
                <w:rFonts w:ascii="Times New Roman" w:hAnsi="Times New Roman"/>
                <w:sz w:val="24"/>
                <w:szCs w:val="24"/>
              </w:rPr>
            </w:pPr>
            <w:r w:rsidRPr="00030D70">
              <w:rPr>
                <w:rFonts w:ascii="Times New Roman" w:hAnsi="Times New Roman"/>
                <w:sz w:val="24"/>
                <w:szCs w:val="24"/>
              </w:rPr>
              <w:t>PRA Administrative Cost</w:t>
            </w:r>
            <w:r w:rsidRPr="00030D70">
              <w:rPr>
                <w:rFonts w:ascii="Times New Roman" w:hAnsi="Times New Roman"/>
                <w:b/>
                <w:sz w:val="24"/>
                <w:szCs w:val="24"/>
              </w:rPr>
              <w:t xml:space="preserve"> </w:t>
            </w:r>
          </w:p>
        </w:tc>
        <w:tc>
          <w:tcPr>
            <w:tcW w:w="2880" w:type="dxa"/>
            <w:shd w:val="clear" w:color="auto" w:fill="FFFFFF"/>
            <w:vAlign w:val="center"/>
          </w:tcPr>
          <w:p w14:paraId="7F878974" w14:textId="77777777" w:rsidR="005E1E57" w:rsidRPr="00030D70" w:rsidRDefault="005E1E57" w:rsidP="0083512E">
            <w:pPr>
              <w:spacing w:after="0" w:line="240" w:lineRule="auto"/>
              <w:jc w:val="right"/>
              <w:rPr>
                <w:rFonts w:ascii="Times New Roman" w:hAnsi="Times New Roman"/>
                <w:sz w:val="24"/>
                <w:szCs w:val="24"/>
              </w:rPr>
            </w:pPr>
          </w:p>
        </w:tc>
        <w:tc>
          <w:tcPr>
            <w:tcW w:w="3420" w:type="dxa"/>
            <w:shd w:val="clear" w:color="auto" w:fill="auto"/>
            <w:vAlign w:val="center"/>
          </w:tcPr>
          <w:p w14:paraId="0DB11A9C" w14:textId="77777777" w:rsidR="005E1E57" w:rsidRPr="00D53FDE" w:rsidRDefault="005E1E57" w:rsidP="0083512E">
            <w:pPr>
              <w:spacing w:after="0" w:line="240" w:lineRule="auto"/>
              <w:jc w:val="right"/>
              <w:rPr>
                <w:rFonts w:ascii="Times New Roman" w:hAnsi="Times New Roman"/>
                <w:sz w:val="24"/>
                <w:szCs w:val="24"/>
              </w:rPr>
            </w:pPr>
            <w:r w:rsidRPr="00D53FDE">
              <w:rPr>
                <w:rFonts w:ascii="Times New Roman" w:hAnsi="Times New Roman"/>
                <w:sz w:val="24"/>
                <w:szCs w:val="24"/>
              </w:rPr>
              <w:t>$4,931</w:t>
            </w:r>
          </w:p>
        </w:tc>
      </w:tr>
      <w:tr w:rsidR="005E1E57" w:rsidRPr="00D53FDE" w14:paraId="2BCA6AC0" w14:textId="77777777" w:rsidTr="0083512E">
        <w:tc>
          <w:tcPr>
            <w:tcW w:w="2965" w:type="dxa"/>
            <w:shd w:val="clear" w:color="auto" w:fill="FFFFFF"/>
            <w:vAlign w:val="bottom"/>
          </w:tcPr>
          <w:p w14:paraId="37E0F76D" w14:textId="77777777" w:rsidR="005E1E57" w:rsidRPr="00030D70" w:rsidRDefault="005E1E57" w:rsidP="0083512E">
            <w:pPr>
              <w:spacing w:after="0" w:line="240" w:lineRule="auto"/>
              <w:rPr>
                <w:rFonts w:ascii="Times New Roman" w:hAnsi="Times New Roman"/>
                <w:b/>
                <w:sz w:val="24"/>
                <w:szCs w:val="24"/>
              </w:rPr>
            </w:pPr>
            <w:r w:rsidRPr="00030D70">
              <w:rPr>
                <w:rFonts w:ascii="Times New Roman" w:hAnsi="Times New Roman"/>
                <w:b/>
                <w:sz w:val="24"/>
                <w:szCs w:val="24"/>
              </w:rPr>
              <w:t xml:space="preserve">Total for FERC-505 </w:t>
            </w:r>
          </w:p>
        </w:tc>
        <w:tc>
          <w:tcPr>
            <w:tcW w:w="2880" w:type="dxa"/>
            <w:shd w:val="clear" w:color="auto" w:fill="FFFFFF"/>
            <w:vAlign w:val="center"/>
          </w:tcPr>
          <w:p w14:paraId="4C80E7BD" w14:textId="77777777" w:rsidR="005E1E57" w:rsidRPr="00030D70" w:rsidRDefault="005E1E57" w:rsidP="0083512E">
            <w:pPr>
              <w:spacing w:after="0" w:line="240" w:lineRule="auto"/>
              <w:jc w:val="right"/>
              <w:rPr>
                <w:rFonts w:ascii="Times New Roman" w:hAnsi="Times New Roman"/>
                <w:sz w:val="24"/>
                <w:szCs w:val="24"/>
              </w:rPr>
            </w:pPr>
          </w:p>
        </w:tc>
        <w:tc>
          <w:tcPr>
            <w:tcW w:w="3420" w:type="dxa"/>
            <w:shd w:val="clear" w:color="auto" w:fill="auto"/>
            <w:vAlign w:val="center"/>
          </w:tcPr>
          <w:p w14:paraId="08472105" w14:textId="77777777" w:rsidR="005E1E57" w:rsidRPr="00D53FDE" w:rsidRDefault="005E1E57" w:rsidP="0083512E">
            <w:pPr>
              <w:spacing w:after="0" w:line="240" w:lineRule="auto"/>
              <w:jc w:val="right"/>
              <w:rPr>
                <w:rFonts w:ascii="Times New Roman" w:hAnsi="Times New Roman"/>
                <w:sz w:val="24"/>
                <w:szCs w:val="24"/>
              </w:rPr>
            </w:pPr>
            <w:r w:rsidRPr="00D53FDE">
              <w:rPr>
                <w:rFonts w:ascii="Times New Roman" w:hAnsi="Times New Roman"/>
                <w:sz w:val="24"/>
                <w:szCs w:val="24"/>
              </w:rPr>
              <w:t>$1,405,901</w:t>
            </w:r>
          </w:p>
        </w:tc>
      </w:tr>
    </w:tbl>
    <w:p w14:paraId="0F6E087E" w14:textId="77777777" w:rsidR="005E1E57" w:rsidRDefault="005E1E57" w:rsidP="005E1E57">
      <w:pPr>
        <w:spacing w:after="0" w:line="240" w:lineRule="auto"/>
        <w:rPr>
          <w:rFonts w:ascii="Times New Roman" w:hAnsi="Times New Roman"/>
          <w:sz w:val="24"/>
          <w:szCs w:val="24"/>
        </w:rPr>
      </w:pPr>
    </w:p>
    <w:p w14:paraId="0B487ADB" w14:textId="77777777" w:rsidR="005E1E57" w:rsidRPr="00030D70" w:rsidRDefault="005E1E57" w:rsidP="005E1E57">
      <w:pPr>
        <w:spacing w:after="0" w:line="240" w:lineRule="auto"/>
        <w:rPr>
          <w:rFonts w:ascii="Times New Roman" w:hAnsi="Times New Roman"/>
          <w:sz w:val="24"/>
          <w:szCs w:val="24"/>
        </w:rPr>
      </w:pPr>
    </w:p>
    <w:p w14:paraId="769DD60F" w14:textId="77777777" w:rsidR="005E1E57" w:rsidRPr="00F1537F" w:rsidRDefault="005E1E57" w:rsidP="005E1E57">
      <w:pPr>
        <w:spacing w:after="0" w:line="240" w:lineRule="auto"/>
        <w:rPr>
          <w:rFonts w:ascii="Times New Roman" w:hAnsi="Times New Roman"/>
          <w:b/>
          <w:sz w:val="24"/>
          <w:szCs w:val="24"/>
        </w:rPr>
      </w:pPr>
      <w:r w:rsidRPr="00030D70">
        <w:rPr>
          <w:rFonts w:ascii="Times New Roman" w:hAnsi="Times New Roman"/>
          <w:b/>
          <w:sz w:val="24"/>
          <w:szCs w:val="24"/>
        </w:rPr>
        <w:t>15. REASONS FOR CHANGES IN BURDEN INCLUDING THE NEED FOR ANY</w:t>
      </w:r>
      <w:r w:rsidRPr="00F1537F">
        <w:rPr>
          <w:rFonts w:ascii="Times New Roman" w:hAnsi="Times New Roman"/>
          <w:b/>
          <w:sz w:val="24"/>
          <w:szCs w:val="24"/>
        </w:rPr>
        <w:t xml:space="preserve"> INCREASE</w:t>
      </w:r>
    </w:p>
    <w:p w14:paraId="2029E7A0" w14:textId="77777777" w:rsidR="005E1E57" w:rsidRDefault="005E1E57" w:rsidP="005E1E57">
      <w:pPr>
        <w:spacing w:after="0" w:line="240" w:lineRule="auto"/>
        <w:rPr>
          <w:rFonts w:ascii="Times New Roman" w:hAnsi="Times New Roman"/>
          <w:sz w:val="24"/>
          <w:szCs w:val="24"/>
        </w:rPr>
      </w:pPr>
    </w:p>
    <w:p w14:paraId="02A7A771" w14:textId="70B0F253" w:rsidR="005E1E57" w:rsidRPr="00160A5D" w:rsidRDefault="005E1E57" w:rsidP="005E1E57">
      <w:pPr>
        <w:spacing w:after="0" w:line="240" w:lineRule="auto"/>
        <w:rPr>
          <w:rFonts w:ascii="Times New Roman" w:hAnsi="Times New Roman"/>
          <w:sz w:val="24"/>
          <w:szCs w:val="24"/>
        </w:rPr>
      </w:pPr>
      <w:bookmarkStart w:id="1" w:name="_bmk1"/>
      <w:r w:rsidRPr="00160A5D">
        <w:rPr>
          <w:rFonts w:ascii="Times New Roman" w:hAnsi="Times New Roman"/>
          <w:sz w:val="24"/>
          <w:szCs w:val="24"/>
        </w:rPr>
        <w:t>The Commission is conforming its regulations to</w:t>
      </w:r>
      <w:r w:rsidR="00EE6746">
        <w:rPr>
          <w:rFonts w:ascii="Times New Roman" w:hAnsi="Times New Roman"/>
          <w:sz w:val="24"/>
          <w:szCs w:val="24"/>
        </w:rPr>
        <w:t xml:space="preserve"> the Water Infrastructure Act. The </w:t>
      </w:r>
      <w:r w:rsidR="00EC5E29">
        <w:rPr>
          <w:rFonts w:ascii="Times New Roman" w:hAnsi="Times New Roman"/>
          <w:sz w:val="24"/>
          <w:szCs w:val="24"/>
        </w:rPr>
        <w:t>revision</w:t>
      </w:r>
      <w:r w:rsidR="00EE6746">
        <w:rPr>
          <w:rFonts w:ascii="Times New Roman" w:hAnsi="Times New Roman"/>
          <w:sz w:val="24"/>
          <w:szCs w:val="24"/>
        </w:rPr>
        <w:t xml:space="preserve"> </w:t>
      </w:r>
      <w:r w:rsidR="00EC5E29">
        <w:rPr>
          <w:rFonts w:ascii="Times New Roman" w:hAnsi="Times New Roman"/>
          <w:sz w:val="24"/>
          <w:szCs w:val="24"/>
        </w:rPr>
        <w:t xml:space="preserve">increasing the installed capacity for </w:t>
      </w:r>
      <w:r w:rsidR="00EE6746">
        <w:rPr>
          <w:rFonts w:ascii="Times New Roman" w:hAnsi="Times New Roman"/>
          <w:sz w:val="24"/>
          <w:szCs w:val="24"/>
        </w:rPr>
        <w:t xml:space="preserve">qualifying conduit hydropower facilities </w:t>
      </w:r>
      <w:r>
        <w:rPr>
          <w:rFonts w:ascii="Times New Roman" w:hAnsi="Times New Roman"/>
          <w:sz w:val="24"/>
          <w:szCs w:val="24"/>
        </w:rPr>
        <w:t xml:space="preserve">will cause entities with qualifying conduit applications to incur less burden than before the </w:t>
      </w:r>
      <w:r w:rsidR="00EE6746">
        <w:rPr>
          <w:rFonts w:ascii="Times New Roman" w:hAnsi="Times New Roman"/>
          <w:sz w:val="24"/>
          <w:szCs w:val="24"/>
        </w:rPr>
        <w:t>Act</w:t>
      </w:r>
      <w:r w:rsidR="00EC5E29">
        <w:rPr>
          <w:rFonts w:ascii="Times New Roman" w:hAnsi="Times New Roman"/>
          <w:sz w:val="24"/>
          <w:szCs w:val="24"/>
        </w:rPr>
        <w:t xml:space="preserve">, because more facilities may be considered qualifying and thus eligible to operate without a license </w:t>
      </w:r>
      <w:r w:rsidR="00BA21FA" w:rsidRPr="007E7C82">
        <w:rPr>
          <w:rFonts w:ascii="Times New Roman" w:hAnsi="Times New Roman"/>
          <w:sz w:val="24"/>
          <w:szCs w:val="24"/>
        </w:rPr>
        <w:t>or an</w:t>
      </w:r>
      <w:r w:rsidR="00EC5E29" w:rsidRPr="007E7C82">
        <w:rPr>
          <w:rFonts w:ascii="Times New Roman" w:hAnsi="Times New Roman"/>
          <w:sz w:val="24"/>
          <w:szCs w:val="24"/>
        </w:rPr>
        <w:t xml:space="preserve"> exemption</w:t>
      </w:r>
      <w:r w:rsidR="00EE6746" w:rsidRPr="007E7C82">
        <w:rPr>
          <w:rFonts w:ascii="Times New Roman" w:hAnsi="Times New Roman"/>
          <w:sz w:val="24"/>
          <w:szCs w:val="24"/>
        </w:rPr>
        <w:t>.</w:t>
      </w:r>
      <w:r>
        <w:rPr>
          <w:rFonts w:ascii="Times New Roman" w:hAnsi="Times New Roman"/>
          <w:sz w:val="24"/>
          <w:szCs w:val="24"/>
        </w:rPr>
        <w:t xml:space="preserve">  Overall, Commission staff estimates a reduction of one response and 30 hours of burden annually.</w:t>
      </w:r>
    </w:p>
    <w:p w14:paraId="74CF4402" w14:textId="77777777" w:rsidR="005E1E57" w:rsidRDefault="005E1E57" w:rsidP="005E1E57">
      <w:pPr>
        <w:spacing w:after="0" w:line="240" w:lineRule="auto"/>
        <w:rPr>
          <w:rFonts w:ascii="Times New Roman" w:hAnsi="Times New Roman"/>
          <w:b/>
          <w:bCs/>
          <w:sz w:val="24"/>
          <w:szCs w:val="24"/>
          <w:u w:val="single"/>
        </w:rPr>
      </w:pPr>
    </w:p>
    <w:p w14:paraId="4E70F624" w14:textId="77777777" w:rsidR="005E1E57" w:rsidRPr="00C731FD" w:rsidRDefault="005E1E57" w:rsidP="005E1E57">
      <w:pPr>
        <w:spacing w:after="0" w:line="240" w:lineRule="auto"/>
        <w:rPr>
          <w:rFonts w:ascii="Times New Roman" w:hAnsi="Times New Roman"/>
          <w:bCs/>
          <w:sz w:val="24"/>
          <w:szCs w:val="24"/>
        </w:rPr>
      </w:pPr>
      <w:r w:rsidRPr="00C731FD">
        <w:rPr>
          <w:rFonts w:ascii="Times New Roman" w:hAnsi="Times New Roman"/>
          <w:bCs/>
          <w:sz w:val="24"/>
          <w:szCs w:val="24"/>
        </w:rPr>
        <w:t xml:space="preserve">The following tables show </w:t>
      </w:r>
      <w:r>
        <w:rPr>
          <w:rFonts w:ascii="Times New Roman" w:hAnsi="Times New Roman"/>
          <w:bCs/>
          <w:sz w:val="24"/>
          <w:szCs w:val="24"/>
        </w:rPr>
        <w:t xml:space="preserve">the </w:t>
      </w:r>
      <w:r w:rsidRPr="00C731FD">
        <w:rPr>
          <w:rFonts w:ascii="Times New Roman" w:hAnsi="Times New Roman"/>
          <w:bCs/>
          <w:sz w:val="24"/>
          <w:szCs w:val="24"/>
        </w:rPr>
        <w:t>changes and are based on ROCIS (and reginfo.gov) metadata.</w:t>
      </w:r>
    </w:p>
    <w:bookmarkEnd w:id="1"/>
    <w:p w14:paraId="5E9FA5C2" w14:textId="77777777" w:rsidR="005E1E57" w:rsidRDefault="005E1E57" w:rsidP="005E1E57">
      <w:pPr>
        <w:spacing w:after="0" w:line="240" w:lineRule="auto"/>
        <w:rPr>
          <w:rFonts w:ascii="Times New Roman" w:hAnsi="Times New Roman"/>
          <w:b/>
          <w:sz w:val="24"/>
          <w:szCs w:val="24"/>
        </w:rPr>
      </w:pPr>
    </w:p>
    <w:p w14:paraId="2DA6E5C9" w14:textId="77777777" w:rsidR="005E1E57" w:rsidRPr="00ED6497" w:rsidRDefault="005E1E57" w:rsidP="005E1E57">
      <w:pPr>
        <w:spacing w:after="0" w:line="240" w:lineRule="auto"/>
        <w:rPr>
          <w:rFonts w:ascii="Times New Roman" w:hAnsi="Times New Roman"/>
          <w:b/>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5E1E57" w:rsidRPr="00F1537F" w14:paraId="16C6E705" w14:textId="77777777" w:rsidTr="0083512E">
        <w:trPr>
          <w:trHeight w:val="870"/>
        </w:trPr>
        <w:tc>
          <w:tcPr>
            <w:tcW w:w="2679" w:type="dxa"/>
            <w:shd w:val="clear" w:color="auto" w:fill="D9D9D9"/>
            <w:vAlign w:val="bottom"/>
          </w:tcPr>
          <w:p w14:paraId="76CA0F7B" w14:textId="77777777" w:rsidR="005E1E57" w:rsidRPr="00F1537F" w:rsidRDefault="005E1E57" w:rsidP="0083512E">
            <w:pPr>
              <w:spacing w:after="0" w:line="240" w:lineRule="auto"/>
              <w:jc w:val="center"/>
              <w:rPr>
                <w:rFonts w:ascii="Times New Roman" w:hAnsi="Times New Roman"/>
                <w:b/>
                <w:sz w:val="24"/>
                <w:szCs w:val="24"/>
              </w:rPr>
            </w:pPr>
            <w:r w:rsidRPr="00F1537F">
              <w:rPr>
                <w:rFonts w:ascii="Times New Roman" w:hAnsi="Times New Roman"/>
                <w:b/>
                <w:sz w:val="24"/>
                <w:szCs w:val="24"/>
              </w:rPr>
              <w:t>FERC-505</w:t>
            </w:r>
          </w:p>
        </w:tc>
        <w:tc>
          <w:tcPr>
            <w:tcW w:w="1461" w:type="dxa"/>
            <w:shd w:val="clear" w:color="auto" w:fill="D9D9D9"/>
            <w:vAlign w:val="bottom"/>
          </w:tcPr>
          <w:p w14:paraId="40C0DC1E" w14:textId="77777777" w:rsidR="005E1E57" w:rsidRPr="00F1537F" w:rsidRDefault="005E1E57" w:rsidP="0083512E">
            <w:pPr>
              <w:spacing w:after="0" w:line="240" w:lineRule="auto"/>
              <w:jc w:val="center"/>
              <w:rPr>
                <w:rFonts w:ascii="Times New Roman" w:hAnsi="Times New Roman"/>
                <w:b/>
                <w:sz w:val="24"/>
                <w:szCs w:val="24"/>
              </w:rPr>
            </w:pPr>
            <w:r w:rsidRPr="00F1537F">
              <w:rPr>
                <w:rFonts w:ascii="Times New Roman" w:hAnsi="Times New Roman"/>
                <w:b/>
                <w:sz w:val="24"/>
                <w:szCs w:val="24"/>
              </w:rPr>
              <w:t>Total Request</w:t>
            </w:r>
          </w:p>
        </w:tc>
        <w:tc>
          <w:tcPr>
            <w:tcW w:w="1620" w:type="dxa"/>
            <w:shd w:val="clear" w:color="auto" w:fill="D9D9D9"/>
            <w:vAlign w:val="bottom"/>
          </w:tcPr>
          <w:p w14:paraId="41C93D3F" w14:textId="77777777" w:rsidR="005E1E57" w:rsidRPr="00F1537F" w:rsidRDefault="005E1E57" w:rsidP="0083512E">
            <w:pPr>
              <w:spacing w:after="0" w:line="240" w:lineRule="auto"/>
              <w:jc w:val="center"/>
              <w:rPr>
                <w:rFonts w:ascii="Times New Roman" w:hAnsi="Times New Roman"/>
                <w:b/>
                <w:sz w:val="24"/>
                <w:szCs w:val="24"/>
              </w:rPr>
            </w:pPr>
            <w:r w:rsidRPr="00F1537F">
              <w:rPr>
                <w:rFonts w:ascii="Times New Roman" w:hAnsi="Times New Roman"/>
                <w:b/>
                <w:sz w:val="24"/>
                <w:szCs w:val="24"/>
              </w:rPr>
              <w:t>Previously Approved</w:t>
            </w:r>
          </w:p>
        </w:tc>
        <w:tc>
          <w:tcPr>
            <w:tcW w:w="1800" w:type="dxa"/>
            <w:shd w:val="clear" w:color="auto" w:fill="D9D9D9"/>
            <w:vAlign w:val="bottom"/>
          </w:tcPr>
          <w:p w14:paraId="603F6543" w14:textId="77777777" w:rsidR="005E1E57" w:rsidRPr="00F1537F" w:rsidRDefault="005E1E57" w:rsidP="0083512E">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Adjustment in Estimate</w:t>
            </w:r>
          </w:p>
        </w:tc>
        <w:tc>
          <w:tcPr>
            <w:tcW w:w="1800" w:type="dxa"/>
            <w:shd w:val="clear" w:color="auto" w:fill="D9D9D9"/>
            <w:vAlign w:val="bottom"/>
          </w:tcPr>
          <w:p w14:paraId="7B1CB133" w14:textId="77777777" w:rsidR="005E1E57" w:rsidRPr="00F1537F" w:rsidRDefault="005E1E57" w:rsidP="0083512E">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Agency Discretion</w:t>
            </w:r>
          </w:p>
        </w:tc>
      </w:tr>
      <w:tr w:rsidR="005E1E57" w:rsidRPr="00F1537F" w14:paraId="64F009A2" w14:textId="77777777" w:rsidTr="0083512E">
        <w:trPr>
          <w:trHeight w:val="746"/>
        </w:trPr>
        <w:tc>
          <w:tcPr>
            <w:tcW w:w="2679" w:type="dxa"/>
            <w:shd w:val="clear" w:color="auto" w:fill="auto"/>
            <w:vAlign w:val="bottom"/>
          </w:tcPr>
          <w:p w14:paraId="67995719" w14:textId="77777777" w:rsidR="005E1E57" w:rsidRPr="00F1537F" w:rsidRDefault="005E1E57" w:rsidP="0083512E">
            <w:pPr>
              <w:spacing w:line="240" w:lineRule="auto"/>
              <w:jc w:val="center"/>
              <w:rPr>
                <w:rFonts w:ascii="Times New Roman" w:hAnsi="Times New Roman"/>
                <w:sz w:val="24"/>
                <w:szCs w:val="24"/>
              </w:rPr>
            </w:pPr>
            <w:r w:rsidRPr="00F1537F">
              <w:rPr>
                <w:rFonts w:ascii="Times New Roman" w:hAnsi="Times New Roman"/>
                <w:sz w:val="24"/>
                <w:szCs w:val="24"/>
              </w:rPr>
              <w:t>Annual Number of Responses</w:t>
            </w:r>
          </w:p>
        </w:tc>
        <w:tc>
          <w:tcPr>
            <w:tcW w:w="1461" w:type="dxa"/>
            <w:shd w:val="clear" w:color="auto" w:fill="auto"/>
            <w:vAlign w:val="bottom"/>
          </w:tcPr>
          <w:p w14:paraId="00AF4156" w14:textId="77777777" w:rsidR="005E1E57" w:rsidRPr="007445A8" w:rsidRDefault="005E1E57" w:rsidP="0083512E">
            <w:pPr>
              <w:spacing w:after="0" w:line="240" w:lineRule="auto"/>
              <w:jc w:val="right"/>
              <w:rPr>
                <w:rFonts w:ascii="Times New Roman" w:hAnsi="Times New Roman"/>
                <w:sz w:val="24"/>
                <w:szCs w:val="24"/>
              </w:rPr>
            </w:pPr>
            <w:r>
              <w:rPr>
                <w:rFonts w:ascii="Times New Roman" w:hAnsi="Times New Roman"/>
                <w:sz w:val="24"/>
                <w:szCs w:val="24"/>
              </w:rPr>
              <w:t>319</w:t>
            </w:r>
          </w:p>
        </w:tc>
        <w:tc>
          <w:tcPr>
            <w:tcW w:w="1620" w:type="dxa"/>
            <w:shd w:val="clear" w:color="auto" w:fill="auto"/>
            <w:vAlign w:val="bottom"/>
          </w:tcPr>
          <w:p w14:paraId="5E6A3F41" w14:textId="77777777" w:rsidR="005E1E57" w:rsidRPr="007445A8" w:rsidRDefault="005E1E57" w:rsidP="0083512E">
            <w:pPr>
              <w:spacing w:after="0" w:line="240" w:lineRule="auto"/>
              <w:jc w:val="right"/>
              <w:rPr>
                <w:rFonts w:ascii="Times New Roman" w:hAnsi="Times New Roman"/>
                <w:sz w:val="24"/>
                <w:szCs w:val="24"/>
              </w:rPr>
            </w:pPr>
            <w:r>
              <w:rPr>
                <w:rFonts w:ascii="Times New Roman" w:hAnsi="Times New Roman"/>
                <w:sz w:val="24"/>
                <w:szCs w:val="24"/>
              </w:rPr>
              <w:t>320</w:t>
            </w:r>
          </w:p>
        </w:tc>
        <w:tc>
          <w:tcPr>
            <w:tcW w:w="1800" w:type="dxa"/>
            <w:shd w:val="clear" w:color="auto" w:fill="auto"/>
            <w:vAlign w:val="bottom"/>
          </w:tcPr>
          <w:p w14:paraId="2D09979A" w14:textId="77777777" w:rsidR="005E1E57" w:rsidRPr="007445A8" w:rsidRDefault="005E1E57" w:rsidP="0083512E">
            <w:pPr>
              <w:spacing w:after="0" w:line="240" w:lineRule="auto"/>
              <w:jc w:val="right"/>
              <w:rPr>
                <w:rFonts w:ascii="Times New Roman" w:hAnsi="Times New Roman"/>
                <w:sz w:val="24"/>
                <w:szCs w:val="24"/>
              </w:rPr>
            </w:pPr>
          </w:p>
        </w:tc>
        <w:tc>
          <w:tcPr>
            <w:tcW w:w="1800" w:type="dxa"/>
            <w:shd w:val="clear" w:color="auto" w:fill="auto"/>
            <w:vAlign w:val="bottom"/>
          </w:tcPr>
          <w:p w14:paraId="6409BEF8" w14:textId="77777777" w:rsidR="005E1E57" w:rsidRPr="00F1537F" w:rsidRDefault="005E1E57" w:rsidP="0083512E">
            <w:pPr>
              <w:spacing w:after="0" w:line="240" w:lineRule="auto"/>
              <w:jc w:val="right"/>
              <w:rPr>
                <w:rFonts w:ascii="Times New Roman" w:hAnsi="Times New Roman"/>
                <w:sz w:val="24"/>
                <w:szCs w:val="24"/>
              </w:rPr>
            </w:pPr>
            <w:r>
              <w:rPr>
                <w:rFonts w:ascii="Times New Roman" w:hAnsi="Times New Roman"/>
                <w:sz w:val="24"/>
                <w:szCs w:val="24"/>
              </w:rPr>
              <w:t>-1</w:t>
            </w:r>
          </w:p>
        </w:tc>
      </w:tr>
      <w:tr w:rsidR="005E1E57" w:rsidRPr="00F1537F" w14:paraId="402E2FF8" w14:textId="77777777" w:rsidTr="0083512E">
        <w:trPr>
          <w:trHeight w:val="602"/>
        </w:trPr>
        <w:tc>
          <w:tcPr>
            <w:tcW w:w="2679" w:type="dxa"/>
            <w:shd w:val="clear" w:color="auto" w:fill="auto"/>
            <w:vAlign w:val="bottom"/>
          </w:tcPr>
          <w:p w14:paraId="67AE6803" w14:textId="77777777" w:rsidR="005E1E57" w:rsidRPr="00F1537F" w:rsidRDefault="005E1E57" w:rsidP="0083512E">
            <w:pPr>
              <w:spacing w:line="240" w:lineRule="auto"/>
              <w:jc w:val="center"/>
              <w:rPr>
                <w:rFonts w:ascii="Times New Roman" w:hAnsi="Times New Roman"/>
                <w:sz w:val="24"/>
                <w:szCs w:val="24"/>
              </w:rPr>
            </w:pPr>
            <w:r w:rsidRPr="00F1537F">
              <w:rPr>
                <w:rFonts w:ascii="Times New Roman" w:hAnsi="Times New Roman"/>
                <w:sz w:val="24"/>
                <w:szCs w:val="24"/>
              </w:rPr>
              <w:t>Annual Time Burden (Hr.)</w:t>
            </w:r>
          </w:p>
        </w:tc>
        <w:tc>
          <w:tcPr>
            <w:tcW w:w="1461" w:type="dxa"/>
            <w:shd w:val="clear" w:color="auto" w:fill="auto"/>
            <w:vAlign w:val="bottom"/>
          </w:tcPr>
          <w:p w14:paraId="28D924F7" w14:textId="77777777" w:rsidR="005E1E57" w:rsidRPr="007445A8" w:rsidRDefault="005E1E57" w:rsidP="0083512E">
            <w:pPr>
              <w:spacing w:after="0" w:line="240" w:lineRule="auto"/>
              <w:jc w:val="right"/>
              <w:rPr>
                <w:rFonts w:ascii="Times New Roman" w:hAnsi="Times New Roman"/>
                <w:sz w:val="24"/>
                <w:szCs w:val="24"/>
              </w:rPr>
            </w:pPr>
            <w:r>
              <w:rPr>
                <w:rFonts w:ascii="Times New Roman" w:hAnsi="Times New Roman"/>
                <w:sz w:val="24"/>
                <w:szCs w:val="24"/>
              </w:rPr>
              <w:t>24,435</w:t>
            </w:r>
          </w:p>
        </w:tc>
        <w:tc>
          <w:tcPr>
            <w:tcW w:w="1620" w:type="dxa"/>
            <w:shd w:val="clear" w:color="auto" w:fill="auto"/>
            <w:vAlign w:val="bottom"/>
          </w:tcPr>
          <w:p w14:paraId="2D6BE475" w14:textId="77777777" w:rsidR="005E1E57" w:rsidRPr="007445A8" w:rsidRDefault="005E1E57" w:rsidP="0083512E">
            <w:pPr>
              <w:spacing w:after="0" w:line="240" w:lineRule="auto"/>
              <w:jc w:val="right"/>
              <w:rPr>
                <w:rFonts w:ascii="Times New Roman" w:hAnsi="Times New Roman"/>
                <w:b/>
                <w:sz w:val="24"/>
                <w:szCs w:val="24"/>
              </w:rPr>
            </w:pPr>
            <w:r>
              <w:rPr>
                <w:rFonts w:ascii="Times New Roman" w:hAnsi="Times New Roman"/>
                <w:sz w:val="24"/>
                <w:szCs w:val="24"/>
              </w:rPr>
              <w:t>24,465</w:t>
            </w:r>
          </w:p>
        </w:tc>
        <w:tc>
          <w:tcPr>
            <w:tcW w:w="1800" w:type="dxa"/>
            <w:shd w:val="clear" w:color="auto" w:fill="auto"/>
            <w:vAlign w:val="bottom"/>
          </w:tcPr>
          <w:p w14:paraId="1F283658" w14:textId="77777777" w:rsidR="005E1E57" w:rsidRPr="007445A8" w:rsidRDefault="005E1E57" w:rsidP="0083512E">
            <w:pPr>
              <w:spacing w:after="0" w:line="240" w:lineRule="auto"/>
              <w:jc w:val="right"/>
              <w:rPr>
                <w:rFonts w:ascii="Times New Roman" w:hAnsi="Times New Roman"/>
                <w:sz w:val="24"/>
                <w:szCs w:val="24"/>
              </w:rPr>
            </w:pPr>
          </w:p>
        </w:tc>
        <w:tc>
          <w:tcPr>
            <w:tcW w:w="1800" w:type="dxa"/>
            <w:shd w:val="clear" w:color="auto" w:fill="auto"/>
            <w:vAlign w:val="bottom"/>
          </w:tcPr>
          <w:p w14:paraId="64B99FA4" w14:textId="77777777" w:rsidR="005E1E57" w:rsidRPr="00F1537F" w:rsidRDefault="005E1E57" w:rsidP="0083512E">
            <w:pPr>
              <w:spacing w:after="0" w:line="240" w:lineRule="auto"/>
              <w:jc w:val="right"/>
              <w:rPr>
                <w:rFonts w:ascii="Times New Roman" w:hAnsi="Times New Roman"/>
                <w:sz w:val="24"/>
                <w:szCs w:val="24"/>
              </w:rPr>
            </w:pPr>
            <w:r>
              <w:rPr>
                <w:rFonts w:ascii="Times New Roman" w:hAnsi="Times New Roman"/>
                <w:sz w:val="24"/>
                <w:szCs w:val="24"/>
              </w:rPr>
              <w:t>-30</w:t>
            </w:r>
          </w:p>
        </w:tc>
      </w:tr>
      <w:tr w:rsidR="005E1E57" w:rsidRPr="00F1537F" w14:paraId="5D54058C" w14:textId="77777777" w:rsidTr="0083512E">
        <w:trPr>
          <w:trHeight w:val="467"/>
        </w:trPr>
        <w:tc>
          <w:tcPr>
            <w:tcW w:w="2679" w:type="dxa"/>
            <w:shd w:val="clear" w:color="auto" w:fill="auto"/>
            <w:vAlign w:val="bottom"/>
          </w:tcPr>
          <w:p w14:paraId="46F30B52" w14:textId="77777777" w:rsidR="005E1E57" w:rsidRPr="00F1537F" w:rsidRDefault="005E1E57" w:rsidP="0083512E">
            <w:pPr>
              <w:spacing w:line="240" w:lineRule="auto"/>
              <w:jc w:val="center"/>
              <w:rPr>
                <w:rFonts w:ascii="Times New Roman" w:hAnsi="Times New Roman"/>
                <w:sz w:val="24"/>
                <w:szCs w:val="24"/>
              </w:rPr>
            </w:pPr>
            <w:r w:rsidRPr="00F1537F">
              <w:rPr>
                <w:rFonts w:ascii="Times New Roman" w:hAnsi="Times New Roman"/>
                <w:sz w:val="24"/>
                <w:szCs w:val="24"/>
              </w:rPr>
              <w:t>Annual Cost Burden ($)</w:t>
            </w:r>
          </w:p>
        </w:tc>
        <w:tc>
          <w:tcPr>
            <w:tcW w:w="1461" w:type="dxa"/>
            <w:shd w:val="clear" w:color="auto" w:fill="auto"/>
            <w:vAlign w:val="bottom"/>
          </w:tcPr>
          <w:p w14:paraId="7506148A" w14:textId="77777777" w:rsidR="005E1E57" w:rsidRPr="00F1537F" w:rsidRDefault="005E1E57" w:rsidP="0083512E">
            <w:pPr>
              <w:spacing w:after="0" w:line="240" w:lineRule="auto"/>
              <w:jc w:val="right"/>
              <w:rPr>
                <w:rFonts w:ascii="Times New Roman" w:hAnsi="Times New Roman"/>
                <w:sz w:val="24"/>
                <w:szCs w:val="24"/>
              </w:rPr>
            </w:pPr>
            <w:r w:rsidRPr="00F1537F">
              <w:rPr>
                <w:rFonts w:ascii="Times New Roman" w:hAnsi="Times New Roman"/>
                <w:sz w:val="24"/>
                <w:szCs w:val="24"/>
              </w:rPr>
              <w:t>$ 0</w:t>
            </w:r>
          </w:p>
        </w:tc>
        <w:tc>
          <w:tcPr>
            <w:tcW w:w="1620" w:type="dxa"/>
            <w:shd w:val="clear" w:color="auto" w:fill="auto"/>
            <w:vAlign w:val="bottom"/>
          </w:tcPr>
          <w:p w14:paraId="054EE47A" w14:textId="77777777" w:rsidR="005E1E57" w:rsidRPr="00F1537F" w:rsidRDefault="005E1E57" w:rsidP="0083512E">
            <w:pPr>
              <w:spacing w:after="0"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3E9FD6FD" w14:textId="77777777" w:rsidR="005E1E57" w:rsidRPr="00F1537F" w:rsidRDefault="005E1E57" w:rsidP="0083512E">
            <w:pPr>
              <w:spacing w:after="0"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15078A5E" w14:textId="77777777" w:rsidR="005E1E57" w:rsidRPr="00F1537F" w:rsidRDefault="005E1E57" w:rsidP="0083512E">
            <w:pPr>
              <w:spacing w:after="0" w:line="240" w:lineRule="auto"/>
              <w:jc w:val="right"/>
              <w:rPr>
                <w:rFonts w:ascii="Times New Roman" w:hAnsi="Times New Roman"/>
                <w:sz w:val="24"/>
                <w:szCs w:val="24"/>
              </w:rPr>
            </w:pPr>
            <w:r w:rsidRPr="00F1537F">
              <w:rPr>
                <w:rFonts w:ascii="Times New Roman" w:hAnsi="Times New Roman"/>
                <w:sz w:val="24"/>
                <w:szCs w:val="24"/>
              </w:rPr>
              <w:t>$ 0</w:t>
            </w:r>
          </w:p>
        </w:tc>
      </w:tr>
    </w:tbl>
    <w:p w14:paraId="7B65BE0C" w14:textId="77777777" w:rsidR="005E1E57" w:rsidRPr="00F1537F" w:rsidRDefault="005E1E57" w:rsidP="005E1E57">
      <w:pPr>
        <w:spacing w:after="0" w:line="240" w:lineRule="auto"/>
        <w:rPr>
          <w:rFonts w:ascii="Times New Roman" w:hAnsi="Times New Roman"/>
          <w:sz w:val="24"/>
          <w:szCs w:val="24"/>
        </w:rPr>
      </w:pPr>
    </w:p>
    <w:p w14:paraId="0938CBAC" w14:textId="77777777" w:rsidR="005E1E57" w:rsidRPr="00F1537F" w:rsidRDefault="005E1E57" w:rsidP="005E1E57">
      <w:pPr>
        <w:spacing w:after="0" w:line="240" w:lineRule="auto"/>
        <w:rPr>
          <w:rFonts w:ascii="Times New Roman" w:hAnsi="Times New Roman"/>
          <w:b/>
          <w:sz w:val="24"/>
          <w:szCs w:val="24"/>
        </w:rPr>
      </w:pPr>
      <w:r w:rsidRPr="00F1537F">
        <w:rPr>
          <w:rFonts w:ascii="Times New Roman" w:hAnsi="Times New Roman"/>
          <w:b/>
          <w:sz w:val="24"/>
          <w:szCs w:val="24"/>
        </w:rPr>
        <w:t>16. TIME SCHEDULE FOR PUBLICATION OF DATA</w:t>
      </w:r>
    </w:p>
    <w:p w14:paraId="62EA3BF5" w14:textId="77777777" w:rsidR="005E1E57" w:rsidRPr="00F1537F" w:rsidRDefault="005E1E57" w:rsidP="005E1E57">
      <w:pPr>
        <w:spacing w:after="0" w:line="240" w:lineRule="auto"/>
        <w:rPr>
          <w:rFonts w:ascii="Times New Roman" w:hAnsi="Times New Roman"/>
          <w:sz w:val="24"/>
          <w:szCs w:val="24"/>
        </w:rPr>
      </w:pPr>
    </w:p>
    <w:p w14:paraId="4F0B01DE" w14:textId="77777777" w:rsidR="005E1E57" w:rsidRPr="00F1537F" w:rsidRDefault="005E1E57" w:rsidP="005E1E57">
      <w:pPr>
        <w:spacing w:after="0" w:line="240" w:lineRule="auto"/>
        <w:rPr>
          <w:rFonts w:ascii="Times New Roman" w:hAnsi="Times New Roman"/>
          <w:sz w:val="24"/>
          <w:szCs w:val="24"/>
        </w:rPr>
      </w:pPr>
      <w:r w:rsidRPr="00F1537F">
        <w:rPr>
          <w:rFonts w:ascii="Times New Roman" w:hAnsi="Times New Roman"/>
          <w:sz w:val="24"/>
          <w:szCs w:val="24"/>
        </w:rPr>
        <w:t xml:space="preserve">There is no publication of </w:t>
      </w:r>
      <w:r>
        <w:rPr>
          <w:rFonts w:ascii="Times New Roman" w:hAnsi="Times New Roman"/>
          <w:sz w:val="24"/>
          <w:szCs w:val="24"/>
        </w:rPr>
        <w:t>data</w:t>
      </w:r>
      <w:r w:rsidRPr="00F1537F">
        <w:rPr>
          <w:rFonts w:ascii="Times New Roman" w:hAnsi="Times New Roman"/>
          <w:sz w:val="24"/>
          <w:szCs w:val="24"/>
        </w:rPr>
        <w:t xml:space="preserve">. </w:t>
      </w:r>
    </w:p>
    <w:p w14:paraId="74536FA5" w14:textId="77777777" w:rsidR="005E1E57" w:rsidRPr="00F1537F" w:rsidRDefault="005E1E57" w:rsidP="005E1E57">
      <w:pPr>
        <w:spacing w:after="0" w:line="240" w:lineRule="auto"/>
        <w:rPr>
          <w:rFonts w:ascii="Times New Roman" w:hAnsi="Times New Roman"/>
          <w:sz w:val="24"/>
          <w:szCs w:val="24"/>
        </w:rPr>
      </w:pPr>
    </w:p>
    <w:p w14:paraId="3FEF1084" w14:textId="77777777" w:rsidR="005E1E57" w:rsidRPr="00F1537F" w:rsidRDefault="005E1E57" w:rsidP="005E1E57">
      <w:pPr>
        <w:spacing w:after="0" w:line="240" w:lineRule="auto"/>
        <w:rPr>
          <w:rFonts w:ascii="Times New Roman" w:hAnsi="Times New Roman"/>
          <w:b/>
          <w:sz w:val="24"/>
          <w:szCs w:val="24"/>
        </w:rPr>
      </w:pPr>
      <w:r w:rsidRPr="00F1537F">
        <w:rPr>
          <w:rFonts w:ascii="Times New Roman" w:hAnsi="Times New Roman"/>
          <w:b/>
          <w:sz w:val="24"/>
          <w:szCs w:val="24"/>
        </w:rPr>
        <w:t>17. DISPLAY OF EXPIRATION DATE</w:t>
      </w:r>
    </w:p>
    <w:p w14:paraId="5159704B" w14:textId="77777777" w:rsidR="005E1E57" w:rsidRPr="00F1537F" w:rsidRDefault="005E1E57" w:rsidP="005E1E57">
      <w:pPr>
        <w:spacing w:after="0" w:line="240" w:lineRule="auto"/>
        <w:rPr>
          <w:rFonts w:ascii="Times New Roman" w:hAnsi="Times New Roman"/>
          <w:sz w:val="24"/>
          <w:szCs w:val="24"/>
        </w:rPr>
      </w:pPr>
    </w:p>
    <w:p w14:paraId="6F35CD00" w14:textId="77777777" w:rsidR="005E1E57" w:rsidRPr="00F1537F" w:rsidRDefault="005E1E57" w:rsidP="005E1E57">
      <w:pPr>
        <w:spacing w:after="0" w:line="240" w:lineRule="auto"/>
        <w:rPr>
          <w:rFonts w:ascii="Times New Roman" w:hAnsi="Times New Roman"/>
          <w:sz w:val="24"/>
          <w:szCs w:val="24"/>
        </w:rPr>
      </w:pPr>
      <w:r w:rsidRPr="00F1537F">
        <w:rPr>
          <w:rFonts w:ascii="Times New Roman" w:eastAsia="Times New Roman" w:hAnsi="Times New Roman"/>
          <w:sz w:val="24"/>
          <w:szCs w:val="24"/>
        </w:rPr>
        <w:t xml:space="preserve"> </w:t>
      </w:r>
      <w:r w:rsidRPr="00F1537F">
        <w:rPr>
          <w:rFonts w:ascii="Times New Roman" w:hAnsi="Times New Roman"/>
          <w:sz w:val="24"/>
          <w:szCs w:val="24"/>
        </w:rPr>
        <w:t xml:space="preserve">The expiration dates are posted on ferc.gov at </w:t>
      </w:r>
      <w:hyperlink r:id="rId14" w:history="1">
        <w:r w:rsidRPr="00F1537F">
          <w:rPr>
            <w:rStyle w:val="Hyperlink"/>
            <w:rFonts w:ascii="Times New Roman" w:hAnsi="Times New Roman"/>
            <w:sz w:val="24"/>
            <w:szCs w:val="24"/>
          </w:rPr>
          <w:t>http://www.ferc.gov/docs-filing/info-collections.asp</w:t>
        </w:r>
      </w:hyperlink>
      <w:r w:rsidRPr="00F1537F">
        <w:rPr>
          <w:rFonts w:ascii="Times New Roman" w:hAnsi="Times New Roman"/>
          <w:sz w:val="24"/>
          <w:szCs w:val="24"/>
        </w:rPr>
        <w:t xml:space="preserve">  </w:t>
      </w:r>
    </w:p>
    <w:p w14:paraId="7E067E72" w14:textId="77777777" w:rsidR="005E1E57" w:rsidRPr="00F1537F" w:rsidRDefault="005E1E57" w:rsidP="005E1E57">
      <w:pPr>
        <w:spacing w:after="0" w:line="240" w:lineRule="auto"/>
        <w:rPr>
          <w:rFonts w:ascii="Times New Roman" w:hAnsi="Times New Roman"/>
          <w:sz w:val="24"/>
          <w:szCs w:val="24"/>
        </w:rPr>
      </w:pPr>
    </w:p>
    <w:p w14:paraId="5A2DC895" w14:textId="77777777" w:rsidR="005E1E57" w:rsidRPr="00F1537F" w:rsidRDefault="005E1E57" w:rsidP="005E1E57">
      <w:pPr>
        <w:spacing w:after="0" w:line="240" w:lineRule="auto"/>
        <w:rPr>
          <w:rFonts w:ascii="Times New Roman" w:hAnsi="Times New Roman"/>
          <w:b/>
          <w:sz w:val="24"/>
          <w:szCs w:val="24"/>
        </w:rPr>
      </w:pPr>
      <w:r w:rsidRPr="00F1537F">
        <w:rPr>
          <w:rFonts w:ascii="Times New Roman" w:hAnsi="Times New Roman"/>
          <w:b/>
          <w:sz w:val="24"/>
          <w:szCs w:val="24"/>
        </w:rPr>
        <w:t>18.  EXCEPTIONS TO THE CERTIFICATION STATEMENT</w:t>
      </w:r>
    </w:p>
    <w:p w14:paraId="2974EEFF" w14:textId="77777777" w:rsidR="005E1E57" w:rsidRPr="00F1537F" w:rsidRDefault="005E1E57" w:rsidP="005E1E57">
      <w:pPr>
        <w:spacing w:after="0" w:line="240" w:lineRule="auto"/>
        <w:rPr>
          <w:rFonts w:ascii="Times New Roman" w:hAnsi="Times New Roman"/>
          <w:b/>
          <w:sz w:val="24"/>
          <w:szCs w:val="24"/>
        </w:rPr>
      </w:pPr>
    </w:p>
    <w:p w14:paraId="06017193" w14:textId="77777777" w:rsidR="005E1E57" w:rsidRPr="00F1537F" w:rsidRDefault="005E1E57" w:rsidP="005E1E57">
      <w:pPr>
        <w:spacing w:after="160" w:line="240" w:lineRule="auto"/>
        <w:rPr>
          <w:rFonts w:ascii="Times New Roman" w:hAnsi="Times New Roman"/>
          <w:sz w:val="24"/>
          <w:szCs w:val="24"/>
        </w:rPr>
      </w:pPr>
      <w:r w:rsidRPr="00F1537F">
        <w:rPr>
          <w:rFonts w:ascii="Times New Roman" w:hAnsi="Times New Roman"/>
          <w:sz w:val="24"/>
          <w:szCs w:val="24"/>
        </w:rPr>
        <w:t xml:space="preserve"> There are no exception</w:t>
      </w:r>
      <w:r>
        <w:rPr>
          <w:rFonts w:ascii="Times New Roman" w:hAnsi="Times New Roman"/>
          <w:sz w:val="24"/>
          <w:szCs w:val="24"/>
        </w:rPr>
        <w:t>s</w:t>
      </w:r>
      <w:r w:rsidRPr="00F1537F">
        <w:rPr>
          <w:rFonts w:ascii="Times New Roman" w:hAnsi="Times New Roman"/>
          <w:sz w:val="24"/>
          <w:szCs w:val="24"/>
        </w:rPr>
        <w:t xml:space="preserve">. </w:t>
      </w:r>
      <w:r w:rsidRPr="00F1537F">
        <w:rPr>
          <w:rFonts w:ascii="Times New Roman" w:hAnsi="Times New Roman"/>
          <w:sz w:val="24"/>
          <w:szCs w:val="24"/>
        </w:rPr>
        <w:br w:type="page"/>
      </w:r>
    </w:p>
    <w:p w14:paraId="006ECC14" w14:textId="77777777" w:rsidR="005E1E57" w:rsidRPr="00F1537F" w:rsidRDefault="005E1E57" w:rsidP="005E1E57">
      <w:pPr>
        <w:spacing w:after="0" w:line="240" w:lineRule="auto"/>
        <w:jc w:val="right"/>
        <w:rPr>
          <w:rFonts w:ascii="Times New Roman" w:hAnsi="Times New Roman"/>
          <w:sz w:val="24"/>
          <w:szCs w:val="24"/>
        </w:rPr>
      </w:pPr>
      <w:r w:rsidRPr="00F1537F">
        <w:rPr>
          <w:rFonts w:ascii="Times New Roman" w:eastAsia="Times New Roman" w:hAnsi="Times New Roman"/>
          <w:b/>
          <w:sz w:val="24"/>
          <w:szCs w:val="24"/>
        </w:rPr>
        <w:t>Attachment A</w:t>
      </w:r>
    </w:p>
    <w:p w14:paraId="3597CD2B" w14:textId="77777777" w:rsidR="005E1E57" w:rsidRDefault="005E1E57" w:rsidP="005E1E57">
      <w:pPr>
        <w:spacing w:after="0" w:line="240" w:lineRule="auto"/>
        <w:rPr>
          <w:rFonts w:ascii="Times New Roman" w:hAnsi="Times New Roman"/>
          <w:sz w:val="24"/>
          <w:szCs w:val="24"/>
        </w:rPr>
      </w:pPr>
    </w:p>
    <w:p w14:paraId="1BA6C36A" w14:textId="77777777" w:rsidR="005E1E57" w:rsidRDefault="005E1E57" w:rsidP="005E1E57">
      <w:pPr>
        <w:spacing w:after="0" w:line="240" w:lineRule="auto"/>
        <w:rPr>
          <w:rFonts w:ascii="Times New Roman" w:hAnsi="Times New Roman"/>
          <w:sz w:val="24"/>
          <w:szCs w:val="24"/>
        </w:rPr>
      </w:pPr>
      <w:r w:rsidRPr="006E5D79">
        <w:rPr>
          <w:rFonts w:ascii="Times New Roman" w:hAnsi="Times New Roman"/>
          <w:b/>
          <w:sz w:val="24"/>
          <w:szCs w:val="24"/>
        </w:rPr>
        <w:t>FERC-505</w:t>
      </w:r>
      <w:r w:rsidRPr="00F1537F">
        <w:rPr>
          <w:rFonts w:ascii="Times New Roman" w:hAnsi="Times New Roman"/>
          <w:sz w:val="24"/>
          <w:szCs w:val="24"/>
        </w:rPr>
        <w:t xml:space="preserve"> has information collection requirements described in the following sections in 18 C</w:t>
      </w:r>
      <w:r>
        <w:rPr>
          <w:rFonts w:ascii="Times New Roman" w:hAnsi="Times New Roman"/>
          <w:sz w:val="24"/>
          <w:szCs w:val="24"/>
        </w:rPr>
        <w:t>.F.R.:</w:t>
      </w:r>
    </w:p>
    <w:p w14:paraId="67A381D0" w14:textId="77777777" w:rsidR="005E1E57" w:rsidRPr="00F1537F" w:rsidRDefault="005E1E57" w:rsidP="005E1E57">
      <w:pPr>
        <w:spacing w:after="0" w:line="240" w:lineRule="auto"/>
        <w:rPr>
          <w:rFonts w:ascii="Times New Roman" w:hAnsi="Times New Roman"/>
          <w:sz w:val="24"/>
          <w:szCs w:val="24"/>
        </w:rPr>
      </w:pPr>
    </w:p>
    <w:p w14:paraId="06B7ED45"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2.19</w:t>
      </w:r>
    </w:p>
    <w:p w14:paraId="59162856"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4.32</w:t>
      </w:r>
    </w:p>
    <w:p w14:paraId="421654E4"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4.35</w:t>
      </w:r>
    </w:p>
    <w:p w14:paraId="6DC38D03"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4.36 (b) and (c)</w:t>
      </w:r>
    </w:p>
    <w:p w14:paraId="0205924C"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4.61</w:t>
      </w:r>
    </w:p>
    <w:p w14:paraId="2ACA17CC"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4.71</w:t>
      </w:r>
    </w:p>
    <w:p w14:paraId="25FFAAB4"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4.93</w:t>
      </w:r>
    </w:p>
    <w:p w14:paraId="5C4491B5"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4.107</w:t>
      </w:r>
    </w:p>
    <w:p w14:paraId="4D96B02F"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4.108</w:t>
      </w:r>
    </w:p>
    <w:p w14:paraId="28F1D657"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4.201</w:t>
      </w:r>
    </w:p>
    <w:p w14:paraId="60B88439"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4.202</w:t>
      </w:r>
    </w:p>
    <w:p w14:paraId="21B55686"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4.400</w:t>
      </w:r>
    </w:p>
    <w:p w14:paraId="44C52806"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4.401</w:t>
      </w:r>
    </w:p>
    <w:p w14:paraId="5A9D43BF"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Part 5</w:t>
      </w:r>
    </w:p>
    <w:p w14:paraId="5E3CE0DC"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8.1</w:t>
      </w:r>
    </w:p>
    <w:p w14:paraId="608B3608"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8.2</w:t>
      </w:r>
    </w:p>
    <w:p w14:paraId="57A4B024"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16.1</w:t>
      </w:r>
    </w:p>
    <w:p w14:paraId="640629BF"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16.6</w:t>
      </w:r>
    </w:p>
    <w:p w14:paraId="5B7C67F7"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16.7</w:t>
      </w:r>
    </w:p>
    <w:p w14:paraId="4EAD57EE"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16.8</w:t>
      </w:r>
    </w:p>
    <w:p w14:paraId="6B132032"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16.9</w:t>
      </w:r>
    </w:p>
    <w:p w14:paraId="57C71D17"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16.10</w:t>
      </w:r>
    </w:p>
    <w:p w14:paraId="0CB3F02C"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16.11</w:t>
      </w:r>
    </w:p>
    <w:p w14:paraId="6E118247"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16.12</w:t>
      </w:r>
    </w:p>
    <w:p w14:paraId="30BFC3C6"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16.14</w:t>
      </w:r>
    </w:p>
    <w:p w14:paraId="47C63EA6"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16.19</w:t>
      </w:r>
    </w:p>
    <w:p w14:paraId="1B5E373B"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16.20</w:t>
      </w:r>
    </w:p>
    <w:p w14:paraId="08798C82"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16.22</w:t>
      </w:r>
    </w:p>
    <w:p w14:paraId="3A1001F0"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292.203</w:t>
      </w:r>
    </w:p>
    <w:p w14:paraId="13271C32" w14:textId="77777777" w:rsidR="005E1E57" w:rsidRPr="00F1537F" w:rsidRDefault="005E1E57" w:rsidP="005E1E57">
      <w:pPr>
        <w:numPr>
          <w:ilvl w:val="0"/>
          <w:numId w:val="4"/>
        </w:numPr>
        <w:spacing w:after="0" w:line="240" w:lineRule="auto"/>
        <w:rPr>
          <w:rFonts w:ascii="Times New Roman" w:hAnsi="Times New Roman"/>
          <w:sz w:val="24"/>
          <w:szCs w:val="24"/>
        </w:rPr>
      </w:pPr>
      <w:r w:rsidRPr="00F1537F">
        <w:rPr>
          <w:rFonts w:ascii="Times New Roman" w:hAnsi="Times New Roman"/>
          <w:sz w:val="24"/>
          <w:szCs w:val="24"/>
        </w:rPr>
        <w:t>292.208</w:t>
      </w:r>
    </w:p>
    <w:p w14:paraId="5E7172FE" w14:textId="77777777" w:rsidR="005E1E57" w:rsidRPr="005E1E57" w:rsidRDefault="005E1E57" w:rsidP="005E1E57">
      <w:pPr>
        <w:spacing w:before="100" w:beforeAutospacing="1" w:after="0" w:line="240" w:lineRule="auto"/>
        <w:rPr>
          <w:rFonts w:ascii="Times New Roman" w:hAnsi="Times New Roman"/>
          <w:sz w:val="24"/>
          <w:szCs w:val="24"/>
        </w:rPr>
      </w:pPr>
    </w:p>
    <w:sectPr w:rsidR="005E1E57" w:rsidRPr="005E1E57">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F1779" w14:textId="77777777" w:rsidR="007A2CCB" w:rsidRDefault="007A2CCB" w:rsidP="00C950BE">
      <w:pPr>
        <w:spacing w:after="0" w:line="240" w:lineRule="auto"/>
      </w:pPr>
      <w:r>
        <w:separator/>
      </w:r>
    </w:p>
  </w:endnote>
  <w:endnote w:type="continuationSeparator" w:id="0">
    <w:p w14:paraId="77FE86EF" w14:textId="77777777" w:rsidR="007A2CCB" w:rsidRDefault="007A2CCB" w:rsidP="00C9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D3964" w14:textId="77777777" w:rsidR="007A2CCB" w:rsidRDefault="007A2CCB" w:rsidP="00C950BE">
      <w:pPr>
        <w:spacing w:after="0" w:line="240" w:lineRule="auto"/>
      </w:pPr>
      <w:r>
        <w:separator/>
      </w:r>
    </w:p>
  </w:footnote>
  <w:footnote w:type="continuationSeparator" w:id="0">
    <w:p w14:paraId="1A91A20E" w14:textId="77777777" w:rsidR="007A2CCB" w:rsidRDefault="007A2CCB" w:rsidP="00C950BE">
      <w:pPr>
        <w:spacing w:after="0" w:line="240" w:lineRule="auto"/>
      </w:pPr>
      <w:r>
        <w:continuationSeparator/>
      </w:r>
    </w:p>
  </w:footnote>
  <w:footnote w:id="1">
    <w:p w14:paraId="498FE08E" w14:textId="74C07CC4" w:rsidR="00C950BE" w:rsidRPr="00160A5D" w:rsidRDefault="00C950BE" w:rsidP="00C950BE">
      <w:pPr>
        <w:pStyle w:val="FootnoteText"/>
      </w:pPr>
      <w:r w:rsidRPr="00160A5D">
        <w:rPr>
          <w:rStyle w:val="FootnoteReference"/>
          <w:vertAlign w:val="superscript"/>
        </w:rPr>
        <w:footnoteRef/>
      </w:r>
      <w:r w:rsidRPr="00160A5D">
        <w:t xml:space="preserve"> The Final Rule is posted on FERC’s eLibrary </w:t>
      </w:r>
      <w:hyperlink r:id="rId1" w:history="1">
        <w:r w:rsidRPr="00160A5D">
          <w:rPr>
            <w:rStyle w:val="Hyperlink"/>
            <w:rFonts w:eastAsia="Calibri"/>
          </w:rPr>
          <w:t>here</w:t>
        </w:r>
      </w:hyperlink>
      <w:r w:rsidRPr="00160A5D">
        <w:t xml:space="preserve"> and published in the Federal Register on </w:t>
      </w:r>
      <w:r w:rsidR="00C661D4">
        <w:t>2/22</w:t>
      </w:r>
      <w:r>
        <w:t>/2019 at 84 FR 7988</w:t>
      </w:r>
      <w:r w:rsidRPr="00160A5D">
        <w:t>.</w:t>
      </w:r>
    </w:p>
  </w:footnote>
  <w:footnote w:id="2">
    <w:p w14:paraId="2FA67C68" w14:textId="77777777" w:rsidR="00C950BE" w:rsidRPr="00160A5D" w:rsidRDefault="00C950BE" w:rsidP="00C950BE">
      <w:pPr>
        <w:pStyle w:val="FootnoteText"/>
      </w:pPr>
      <w:r w:rsidRPr="00160A5D">
        <w:rPr>
          <w:rStyle w:val="FootnoteReference"/>
          <w:vertAlign w:val="superscript"/>
        </w:rPr>
        <w:footnoteRef/>
      </w:r>
      <w:r w:rsidRPr="00160A5D">
        <w:t xml:space="preserve"> 16 U.S.C. §§</w:t>
      </w:r>
      <w:r>
        <w:t xml:space="preserve"> </w:t>
      </w:r>
      <w:r w:rsidRPr="00160A5D">
        <w:t>791a-825r (2012).</w:t>
      </w:r>
    </w:p>
  </w:footnote>
  <w:footnote w:id="3">
    <w:p w14:paraId="20FF6CF0" w14:textId="77777777" w:rsidR="00C950BE" w:rsidRDefault="00C950BE">
      <w:pPr>
        <w:pStyle w:val="FootnoteText"/>
      </w:pPr>
      <w:r w:rsidRPr="00C950BE">
        <w:rPr>
          <w:rStyle w:val="FootnoteReference"/>
          <w:vertAlign w:val="superscript"/>
        </w:rPr>
        <w:footnoteRef/>
      </w:r>
      <w:r w:rsidRPr="00C950BE">
        <w:rPr>
          <w:vertAlign w:val="superscript"/>
        </w:rPr>
        <w:t xml:space="preserve"> </w:t>
      </w:r>
      <w:r>
        <w:rPr>
          <w:i/>
        </w:rPr>
        <w:t xml:space="preserve">Id. </w:t>
      </w:r>
      <w:r>
        <w:t xml:space="preserve">§ 797(e).  </w:t>
      </w:r>
    </w:p>
  </w:footnote>
  <w:footnote w:id="4">
    <w:p w14:paraId="7666AEB7" w14:textId="77777777" w:rsidR="00F6289B" w:rsidRDefault="00F6289B" w:rsidP="00F6289B">
      <w:pPr>
        <w:pStyle w:val="FootnoteText"/>
      </w:pPr>
      <w:r w:rsidRPr="00D610F3">
        <w:rPr>
          <w:rStyle w:val="FootnoteReference"/>
          <w:vertAlign w:val="superscript"/>
        </w:rPr>
        <w:footnoteRef/>
      </w:r>
      <w:r>
        <w:t xml:space="preserve"> </w:t>
      </w:r>
      <w:r>
        <w:rPr>
          <w:i/>
        </w:rPr>
        <w:t xml:space="preserve">Id. </w:t>
      </w:r>
      <w:r w:rsidRPr="0083512E">
        <w:t>§ 823a.</w:t>
      </w:r>
      <w:r>
        <w:rPr>
          <w:i/>
        </w:rPr>
        <w:t xml:space="preserve">  </w:t>
      </w:r>
    </w:p>
  </w:footnote>
  <w:footnote w:id="5">
    <w:p w14:paraId="7BCA99E2" w14:textId="3345DF93" w:rsidR="00F6289B" w:rsidRDefault="00F6289B">
      <w:pPr>
        <w:pStyle w:val="FootnoteText"/>
      </w:pPr>
      <w:r w:rsidRPr="00293E64">
        <w:rPr>
          <w:rStyle w:val="FootnoteReference"/>
          <w:vertAlign w:val="superscript"/>
        </w:rPr>
        <w:footnoteRef/>
      </w:r>
      <w:r w:rsidRPr="00293E64">
        <w:rPr>
          <w:vertAlign w:val="superscript"/>
        </w:rPr>
        <w:t xml:space="preserve"> </w:t>
      </w:r>
      <w:r w:rsidR="00293E64">
        <w:t xml:space="preserve">Pub. L. No. 115-270, § 3001, 132 Stat. 3765, 3862 (2018).  </w:t>
      </w:r>
    </w:p>
  </w:footnote>
  <w:footnote w:id="6">
    <w:p w14:paraId="64D31D3D" w14:textId="7BFB00A2" w:rsidR="00F6289B" w:rsidRPr="00293E64" w:rsidRDefault="00F6289B">
      <w:pPr>
        <w:pStyle w:val="FootnoteText"/>
      </w:pPr>
      <w:r w:rsidRPr="00293E64">
        <w:rPr>
          <w:rStyle w:val="FootnoteReference"/>
          <w:vertAlign w:val="superscript"/>
        </w:rPr>
        <w:footnoteRef/>
      </w:r>
      <w:r w:rsidRPr="00293E64">
        <w:rPr>
          <w:vertAlign w:val="superscript"/>
        </w:rPr>
        <w:t xml:space="preserve"> </w:t>
      </w:r>
      <w:r w:rsidR="00293E64">
        <w:rPr>
          <w:i/>
        </w:rPr>
        <w:t>Final Rule</w:t>
      </w:r>
      <w:r w:rsidR="00293E64">
        <w:t xml:space="preserve">, Order No. 857, 84 FR 7988, 166 FERC ¶ 61,143 (2019).  </w:t>
      </w:r>
    </w:p>
  </w:footnote>
  <w:footnote w:id="7">
    <w:p w14:paraId="69602901" w14:textId="77777777" w:rsidR="00D610F3" w:rsidRDefault="00D610F3">
      <w:pPr>
        <w:pStyle w:val="FootnoteText"/>
      </w:pPr>
      <w:r w:rsidRPr="00D610F3">
        <w:rPr>
          <w:rStyle w:val="FootnoteReference"/>
          <w:vertAlign w:val="superscript"/>
        </w:rPr>
        <w:footnoteRef/>
      </w:r>
      <w:r w:rsidRPr="00D610F3">
        <w:rPr>
          <w:vertAlign w:val="superscript"/>
        </w:rPr>
        <w:t xml:space="preserve"> </w:t>
      </w:r>
      <w:r>
        <w:t xml:space="preserve">Pub. L. No. 113 23, § 4, 127 Stat. 493, 494 (2013).  </w:t>
      </w:r>
    </w:p>
  </w:footnote>
  <w:footnote w:id="8">
    <w:p w14:paraId="29120BA5" w14:textId="77777777" w:rsidR="00196016" w:rsidRPr="001C0C97" w:rsidRDefault="00196016" w:rsidP="00196016">
      <w:pPr>
        <w:pStyle w:val="FootnoteText"/>
      </w:pPr>
      <w:r w:rsidRPr="0083512E">
        <w:rPr>
          <w:rStyle w:val="FootnoteReference"/>
          <w:vertAlign w:val="superscript"/>
        </w:rPr>
        <w:footnoteRef/>
      </w:r>
      <w:r w:rsidRPr="0083512E">
        <w:rPr>
          <w:vertAlign w:val="superscript"/>
        </w:rPr>
        <w:t xml:space="preserve"> </w:t>
      </w:r>
      <w:r>
        <w:t xml:space="preserve">Although the Hydropower Efficiency Act of 2013 established a maximum installed capacity of five MW for qualifying conduit hydropower facilities, the Water Infrastructure Act increased the installed capacity to 40 MW for such facilities.  </w:t>
      </w:r>
    </w:p>
  </w:footnote>
  <w:footnote w:id="9">
    <w:p w14:paraId="34558239" w14:textId="77777777" w:rsidR="002505EE" w:rsidRDefault="002505EE">
      <w:pPr>
        <w:pStyle w:val="FootnoteText"/>
      </w:pPr>
      <w:r w:rsidRPr="0000703B">
        <w:rPr>
          <w:rStyle w:val="FootnoteReference"/>
          <w:vertAlign w:val="superscript"/>
        </w:rPr>
        <w:footnoteRef/>
      </w:r>
      <w:r>
        <w:t xml:space="preserve"> 16 U.S.C. </w:t>
      </w:r>
      <w:r w:rsidR="0000703B">
        <w:t xml:space="preserve">§ 823a(a)(2)(C).  </w:t>
      </w:r>
    </w:p>
  </w:footnote>
  <w:footnote w:id="10">
    <w:p w14:paraId="4F7190E9" w14:textId="77777777" w:rsidR="00D610F3" w:rsidRPr="00D610F3" w:rsidRDefault="00D610F3">
      <w:pPr>
        <w:pStyle w:val="FootnoteText"/>
        <w:rPr>
          <w:i/>
        </w:rPr>
      </w:pPr>
      <w:r w:rsidRPr="00D610F3">
        <w:rPr>
          <w:rStyle w:val="FootnoteReference"/>
          <w:vertAlign w:val="superscript"/>
        </w:rPr>
        <w:footnoteRef/>
      </w:r>
      <w:r w:rsidRPr="00D610F3">
        <w:rPr>
          <w:vertAlign w:val="superscript"/>
        </w:rPr>
        <w:t xml:space="preserve"> </w:t>
      </w:r>
      <w:r>
        <w:rPr>
          <w:i/>
        </w:rPr>
        <w:t xml:space="preserve">Id. </w:t>
      </w:r>
    </w:p>
  </w:footnote>
  <w:footnote w:id="11">
    <w:p w14:paraId="52D10A11" w14:textId="77777777" w:rsidR="005E1E57" w:rsidRPr="00160A5D" w:rsidRDefault="005E1E57" w:rsidP="005E1E57">
      <w:pPr>
        <w:pStyle w:val="FootnoteText"/>
      </w:pPr>
      <w:r w:rsidRPr="00160A5D">
        <w:rPr>
          <w:rStyle w:val="FootnoteReference"/>
          <w:vertAlign w:val="superscript"/>
        </w:rPr>
        <w:footnoteRef/>
      </w:r>
      <w:r w:rsidRPr="00160A5D">
        <w:t xml:space="preserve"> 84 FR </w:t>
      </w:r>
      <w:r>
        <w:t>7988</w:t>
      </w:r>
    </w:p>
  </w:footnote>
  <w:footnote w:id="12">
    <w:p w14:paraId="387C1CB2" w14:textId="355844AE" w:rsidR="005E1E57" w:rsidRPr="00160A5D" w:rsidRDefault="005E1E57" w:rsidP="005E1E57">
      <w:pPr>
        <w:pStyle w:val="FootnoteText"/>
      </w:pPr>
      <w:r w:rsidRPr="00160A5D">
        <w:rPr>
          <w:rStyle w:val="FootnoteReference"/>
          <w:vertAlign w:val="superscript"/>
        </w:rPr>
        <w:footnoteRef/>
      </w:r>
      <w:r w:rsidRPr="00160A5D">
        <w:t xml:space="preserve"> 18 C.F.R. § 388.112</w:t>
      </w:r>
      <w:r w:rsidR="00CB797E">
        <w:t xml:space="preserve"> (2018)</w:t>
      </w:r>
      <w:r w:rsidRPr="00160A5D">
        <w:t xml:space="preserve">.  More information on the CEII definition, program and requirements is posted at </w:t>
      </w:r>
      <w:hyperlink r:id="rId2" w:history="1">
        <w:r w:rsidRPr="00160A5D">
          <w:rPr>
            <w:rStyle w:val="Hyperlink"/>
            <w:rFonts w:eastAsia="Calibri"/>
          </w:rPr>
          <w:t>http://www.ferc.gov/legal/ceii-foia/ceii.asp</w:t>
        </w:r>
      </w:hyperlink>
      <w:r w:rsidRPr="00160A5D">
        <w:t xml:space="preserve">. </w:t>
      </w:r>
    </w:p>
  </w:footnote>
  <w:footnote w:id="13">
    <w:p w14:paraId="0C65AF6F" w14:textId="77777777" w:rsidR="005E1E57" w:rsidRPr="00160A5D" w:rsidRDefault="005E1E57" w:rsidP="005E1E57">
      <w:pPr>
        <w:pStyle w:val="FootnoteText"/>
      </w:pPr>
      <w:r w:rsidRPr="0083512E">
        <w:rPr>
          <w:rStyle w:val="FootnoteReference"/>
          <w:vertAlign w:val="superscript"/>
        </w:rPr>
        <w:footnoteRef/>
      </w:r>
      <w:r w:rsidRPr="0083512E">
        <w:rPr>
          <w:vertAlign w:val="superscript"/>
        </w:rPr>
        <w:t xml:space="preserve"> </w:t>
      </w:r>
      <w:r w:rsidRPr="00160A5D">
        <w:t xml:space="preserve">The estimates for cost per response are derived using the following formula: Average Burden Hours per Response * $79.00/hour = Average cost/response.  The figure is the 2018 FERC average hourly cost (for wages and benefits) of $79.00 (and an average annual salary </w:t>
      </w:r>
      <w:r>
        <w:t xml:space="preserve">and benefits </w:t>
      </w:r>
      <w:r w:rsidRPr="00160A5D">
        <w:t>of $164,820/year).  Commission staff is using the FERC average salary and benefits cost, because we consider any reporting requirements completed in response to the FERC-505 to be compensated at rates similar to the work of FERC employees.</w:t>
      </w:r>
    </w:p>
  </w:footnote>
  <w:footnote w:id="14">
    <w:p w14:paraId="3407F5D7" w14:textId="77777777" w:rsidR="005E1E57" w:rsidRPr="00160A5D" w:rsidRDefault="005E1E57" w:rsidP="005E1E57">
      <w:pPr>
        <w:pStyle w:val="FootnoteText"/>
      </w:pPr>
      <w:r w:rsidRPr="0083512E">
        <w:rPr>
          <w:rStyle w:val="FootnoteReference"/>
          <w:vertAlign w:val="superscript"/>
        </w:rPr>
        <w:footnoteRef/>
      </w:r>
      <w:r w:rsidRPr="0083512E">
        <w:rPr>
          <w:vertAlign w:val="superscript"/>
        </w:rPr>
        <w:t xml:space="preserve"> </w:t>
      </w:r>
      <w:r w:rsidRPr="00160A5D">
        <w:t xml:space="preserve">Based on applications we have received since 2013 for conduit hydropower facilities with an installed capacity between five and 40 MW that would now meet the qualifying conduit hydropower facilities criteria, we anticipate one respondent per year.  </w:t>
      </w:r>
    </w:p>
  </w:footnote>
  <w:footnote w:id="15">
    <w:p w14:paraId="306EFBA5" w14:textId="77777777" w:rsidR="005E1E57" w:rsidRPr="00160A5D" w:rsidRDefault="005E1E57" w:rsidP="005E1E57">
      <w:pPr>
        <w:pStyle w:val="FootnoteText"/>
      </w:pPr>
      <w:r w:rsidRPr="00160A5D">
        <w:rPr>
          <w:rStyle w:val="FootnoteReference"/>
          <w:vertAlign w:val="superscript"/>
        </w:rPr>
        <w:footnoteRef/>
      </w:r>
      <w:r w:rsidRPr="00160A5D">
        <w:rPr>
          <w:vertAlign w:val="superscript"/>
        </w:rPr>
        <w:t xml:space="preserve"> </w:t>
      </w:r>
      <w:r w:rsidRPr="00160A5D">
        <w:t>The estimate uses the FERC’s FY 2018 average annual salary plus benefits of one FERC FTE (full-time equivalent [$164,820 per year or $79.00 per hour]).  (These estimates were updated in May 2018.)</w:t>
      </w:r>
    </w:p>
  </w:footnote>
  <w:footnote w:id="16">
    <w:p w14:paraId="2CB8A7CF" w14:textId="77777777" w:rsidR="005E1E57" w:rsidRPr="00160A5D" w:rsidRDefault="005E1E57" w:rsidP="005E1E57">
      <w:pPr>
        <w:pStyle w:val="FootnoteText"/>
      </w:pPr>
      <w:r w:rsidRPr="00160A5D">
        <w:rPr>
          <w:rStyle w:val="FootnoteReference"/>
          <w:vertAlign w:val="superscript"/>
        </w:rPr>
        <w:footnoteRef/>
      </w:r>
      <w:r w:rsidRPr="00160A5D">
        <w:t xml:space="preserve"> This estimate was updated May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ACA9B" w14:textId="752E90FA" w:rsidR="00C661D4" w:rsidRPr="00C661D4" w:rsidRDefault="00C661D4">
    <w:pPr>
      <w:pStyle w:val="Header"/>
      <w:rPr>
        <w:rFonts w:ascii="Times New Roman" w:hAnsi="Times New Roman"/>
        <w:sz w:val="24"/>
        <w:szCs w:val="24"/>
      </w:rPr>
    </w:pPr>
    <w:r w:rsidRPr="00C661D4">
      <w:rPr>
        <w:rFonts w:ascii="Times New Roman" w:hAnsi="Times New Roman"/>
        <w:sz w:val="24"/>
        <w:szCs w:val="24"/>
      </w:rPr>
      <w:t>FERC-505 (OMB Control No. 1902-0115)</w:t>
    </w:r>
  </w:p>
  <w:p w14:paraId="342B1E1A" w14:textId="1F8C0B31" w:rsidR="00C661D4" w:rsidRPr="00C661D4" w:rsidRDefault="00C661D4">
    <w:pPr>
      <w:pStyle w:val="Header"/>
      <w:rPr>
        <w:rFonts w:ascii="Times New Roman" w:hAnsi="Times New Roman"/>
        <w:sz w:val="24"/>
        <w:szCs w:val="24"/>
      </w:rPr>
    </w:pPr>
    <w:r w:rsidRPr="00C661D4">
      <w:rPr>
        <w:rFonts w:ascii="Times New Roman" w:hAnsi="Times New Roman"/>
        <w:sz w:val="24"/>
        <w:szCs w:val="24"/>
      </w:rPr>
      <w:t>Final Rule (issued 2/22/2019) in Docket No. RM19-13-000</w:t>
    </w:r>
  </w:p>
  <w:p w14:paraId="3A9C76F3" w14:textId="4A42E9E3" w:rsidR="00C661D4" w:rsidRPr="00C661D4" w:rsidRDefault="00C661D4">
    <w:pPr>
      <w:pStyle w:val="Header"/>
      <w:rPr>
        <w:rFonts w:ascii="Times New Roman" w:hAnsi="Times New Roman"/>
        <w:sz w:val="24"/>
        <w:szCs w:val="24"/>
      </w:rPr>
    </w:pPr>
    <w:r w:rsidRPr="00C661D4">
      <w:rPr>
        <w:rFonts w:ascii="Times New Roman" w:hAnsi="Times New Roman"/>
        <w:sz w:val="24"/>
        <w:szCs w:val="24"/>
      </w:rPr>
      <w:t>RIN: 1902-AF62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26F08"/>
    <w:multiLevelType w:val="hybridMultilevel"/>
    <w:tmpl w:val="C3DA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3C7DBB"/>
    <w:multiLevelType w:val="hybridMultilevel"/>
    <w:tmpl w:val="D23E4348"/>
    <w:lvl w:ilvl="0" w:tplc="A828B1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0BE"/>
    <w:rsid w:val="0000703B"/>
    <w:rsid w:val="000E108F"/>
    <w:rsid w:val="00106A25"/>
    <w:rsid w:val="00113A16"/>
    <w:rsid w:val="00196016"/>
    <w:rsid w:val="001D5A88"/>
    <w:rsid w:val="002505EE"/>
    <w:rsid w:val="00293E64"/>
    <w:rsid w:val="002D49CA"/>
    <w:rsid w:val="004B311B"/>
    <w:rsid w:val="005E1E57"/>
    <w:rsid w:val="00653A8F"/>
    <w:rsid w:val="006C23B9"/>
    <w:rsid w:val="006D25F6"/>
    <w:rsid w:val="006D6392"/>
    <w:rsid w:val="007311B0"/>
    <w:rsid w:val="007875BA"/>
    <w:rsid w:val="007A2CCB"/>
    <w:rsid w:val="007C37E8"/>
    <w:rsid w:val="007E7C82"/>
    <w:rsid w:val="008479B3"/>
    <w:rsid w:val="00872641"/>
    <w:rsid w:val="008F3DBB"/>
    <w:rsid w:val="00931259"/>
    <w:rsid w:val="00947E58"/>
    <w:rsid w:val="009D7FAD"/>
    <w:rsid w:val="00A22C60"/>
    <w:rsid w:val="00A53920"/>
    <w:rsid w:val="00AA2742"/>
    <w:rsid w:val="00AA3ED3"/>
    <w:rsid w:val="00B12AED"/>
    <w:rsid w:val="00B41A05"/>
    <w:rsid w:val="00B547BA"/>
    <w:rsid w:val="00BA21FA"/>
    <w:rsid w:val="00C661D4"/>
    <w:rsid w:val="00C950BE"/>
    <w:rsid w:val="00CB797E"/>
    <w:rsid w:val="00D610F3"/>
    <w:rsid w:val="00E128C0"/>
    <w:rsid w:val="00EA54B5"/>
    <w:rsid w:val="00EB0C03"/>
    <w:rsid w:val="00EC5E29"/>
    <w:rsid w:val="00EE6746"/>
    <w:rsid w:val="00F6289B"/>
    <w:rsid w:val="00F65AD1"/>
    <w:rsid w:val="00F83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96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0B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C950BE"/>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C950BE"/>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C950BE"/>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C950BE"/>
    <w:rPr>
      <w:rFonts w:ascii="Times New Roman" w:eastAsia="Times New Roman" w:hAnsi="Times New Roman" w:cs="Times New Roman"/>
      <w:sz w:val="20"/>
      <w:szCs w:val="20"/>
    </w:rPr>
  </w:style>
  <w:style w:type="character" w:styleId="Hyperlink">
    <w:name w:val="Hyperlink"/>
    <w:uiPriority w:val="99"/>
    <w:unhideWhenUsed/>
    <w:rsid w:val="00C950BE"/>
    <w:rPr>
      <w:color w:val="0000FF"/>
      <w:u w:val="single"/>
    </w:rPr>
  </w:style>
  <w:style w:type="character" w:styleId="CommentReference">
    <w:name w:val="annotation reference"/>
    <w:basedOn w:val="DefaultParagraphFont"/>
    <w:uiPriority w:val="99"/>
    <w:semiHidden/>
    <w:unhideWhenUsed/>
    <w:rsid w:val="00C950BE"/>
    <w:rPr>
      <w:sz w:val="16"/>
      <w:szCs w:val="16"/>
    </w:rPr>
  </w:style>
  <w:style w:type="paragraph" w:styleId="CommentText">
    <w:name w:val="annotation text"/>
    <w:basedOn w:val="Normal"/>
    <w:link w:val="CommentTextChar"/>
    <w:uiPriority w:val="99"/>
    <w:semiHidden/>
    <w:unhideWhenUsed/>
    <w:rsid w:val="00C950BE"/>
    <w:pPr>
      <w:spacing w:line="240" w:lineRule="auto"/>
    </w:pPr>
    <w:rPr>
      <w:sz w:val="20"/>
      <w:szCs w:val="20"/>
    </w:rPr>
  </w:style>
  <w:style w:type="character" w:customStyle="1" w:styleId="CommentTextChar">
    <w:name w:val="Comment Text Char"/>
    <w:basedOn w:val="DefaultParagraphFont"/>
    <w:link w:val="CommentText"/>
    <w:uiPriority w:val="99"/>
    <w:semiHidden/>
    <w:rsid w:val="00C950B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95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0BE"/>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C950BE"/>
    <w:rPr>
      <w:b/>
      <w:bCs/>
    </w:rPr>
  </w:style>
  <w:style w:type="character" w:customStyle="1" w:styleId="CommentSubjectChar">
    <w:name w:val="Comment Subject Char"/>
    <w:basedOn w:val="CommentTextChar"/>
    <w:link w:val="CommentSubject"/>
    <w:uiPriority w:val="99"/>
    <w:semiHidden/>
    <w:rsid w:val="00C950BE"/>
    <w:rPr>
      <w:rFonts w:ascii="Calibri" w:eastAsia="Calibri" w:hAnsi="Calibri" w:cs="Times New Roman"/>
      <w:b/>
      <w:bCs/>
      <w:sz w:val="20"/>
      <w:szCs w:val="20"/>
    </w:rPr>
  </w:style>
  <w:style w:type="paragraph" w:styleId="ListParagraph">
    <w:name w:val="List Paragraph"/>
    <w:basedOn w:val="Normal"/>
    <w:uiPriority w:val="34"/>
    <w:qFormat/>
    <w:rsid w:val="00C950BE"/>
    <w:pPr>
      <w:ind w:left="720"/>
      <w:contextualSpacing/>
    </w:pPr>
  </w:style>
  <w:style w:type="paragraph" w:styleId="Revision">
    <w:name w:val="Revision"/>
    <w:hidden/>
    <w:uiPriority w:val="99"/>
    <w:semiHidden/>
    <w:rsid w:val="00AA3ED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66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1D4"/>
    <w:rPr>
      <w:rFonts w:ascii="Calibri" w:eastAsia="Calibri" w:hAnsi="Calibri" w:cs="Times New Roman"/>
    </w:rPr>
  </w:style>
  <w:style w:type="paragraph" w:styleId="Footer">
    <w:name w:val="footer"/>
    <w:basedOn w:val="Normal"/>
    <w:link w:val="FooterChar"/>
    <w:uiPriority w:val="99"/>
    <w:unhideWhenUsed/>
    <w:rsid w:val="00C66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1D4"/>
    <w:rPr>
      <w:rFonts w:ascii="Calibri" w:eastAsia="Calibri" w:hAnsi="Calibri" w:cs="Times New Roman"/>
    </w:rPr>
  </w:style>
  <w:style w:type="character" w:styleId="FollowedHyperlink">
    <w:name w:val="FollowedHyperlink"/>
    <w:basedOn w:val="DefaultParagraphFont"/>
    <w:uiPriority w:val="99"/>
    <w:semiHidden/>
    <w:unhideWhenUsed/>
    <w:rsid w:val="00C661D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0B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C950BE"/>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C950BE"/>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C950BE"/>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C950BE"/>
    <w:rPr>
      <w:rFonts w:ascii="Times New Roman" w:eastAsia="Times New Roman" w:hAnsi="Times New Roman" w:cs="Times New Roman"/>
      <w:sz w:val="20"/>
      <w:szCs w:val="20"/>
    </w:rPr>
  </w:style>
  <w:style w:type="character" w:styleId="Hyperlink">
    <w:name w:val="Hyperlink"/>
    <w:uiPriority w:val="99"/>
    <w:unhideWhenUsed/>
    <w:rsid w:val="00C950BE"/>
    <w:rPr>
      <w:color w:val="0000FF"/>
      <w:u w:val="single"/>
    </w:rPr>
  </w:style>
  <w:style w:type="character" w:styleId="CommentReference">
    <w:name w:val="annotation reference"/>
    <w:basedOn w:val="DefaultParagraphFont"/>
    <w:uiPriority w:val="99"/>
    <w:semiHidden/>
    <w:unhideWhenUsed/>
    <w:rsid w:val="00C950BE"/>
    <w:rPr>
      <w:sz w:val="16"/>
      <w:szCs w:val="16"/>
    </w:rPr>
  </w:style>
  <w:style w:type="paragraph" w:styleId="CommentText">
    <w:name w:val="annotation text"/>
    <w:basedOn w:val="Normal"/>
    <w:link w:val="CommentTextChar"/>
    <w:uiPriority w:val="99"/>
    <w:semiHidden/>
    <w:unhideWhenUsed/>
    <w:rsid w:val="00C950BE"/>
    <w:pPr>
      <w:spacing w:line="240" w:lineRule="auto"/>
    </w:pPr>
    <w:rPr>
      <w:sz w:val="20"/>
      <w:szCs w:val="20"/>
    </w:rPr>
  </w:style>
  <w:style w:type="character" w:customStyle="1" w:styleId="CommentTextChar">
    <w:name w:val="Comment Text Char"/>
    <w:basedOn w:val="DefaultParagraphFont"/>
    <w:link w:val="CommentText"/>
    <w:uiPriority w:val="99"/>
    <w:semiHidden/>
    <w:rsid w:val="00C950B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95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0BE"/>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C950BE"/>
    <w:rPr>
      <w:b/>
      <w:bCs/>
    </w:rPr>
  </w:style>
  <w:style w:type="character" w:customStyle="1" w:styleId="CommentSubjectChar">
    <w:name w:val="Comment Subject Char"/>
    <w:basedOn w:val="CommentTextChar"/>
    <w:link w:val="CommentSubject"/>
    <w:uiPriority w:val="99"/>
    <w:semiHidden/>
    <w:rsid w:val="00C950BE"/>
    <w:rPr>
      <w:rFonts w:ascii="Calibri" w:eastAsia="Calibri" w:hAnsi="Calibri" w:cs="Times New Roman"/>
      <w:b/>
      <w:bCs/>
      <w:sz w:val="20"/>
      <w:szCs w:val="20"/>
    </w:rPr>
  </w:style>
  <w:style w:type="paragraph" w:styleId="ListParagraph">
    <w:name w:val="List Paragraph"/>
    <w:basedOn w:val="Normal"/>
    <w:uiPriority w:val="34"/>
    <w:qFormat/>
    <w:rsid w:val="00C950BE"/>
    <w:pPr>
      <w:ind w:left="720"/>
      <w:contextualSpacing/>
    </w:pPr>
  </w:style>
  <w:style w:type="paragraph" w:styleId="Revision">
    <w:name w:val="Revision"/>
    <w:hidden/>
    <w:uiPriority w:val="99"/>
    <w:semiHidden/>
    <w:rsid w:val="00AA3ED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66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1D4"/>
    <w:rPr>
      <w:rFonts w:ascii="Calibri" w:eastAsia="Calibri" w:hAnsi="Calibri" w:cs="Times New Roman"/>
    </w:rPr>
  </w:style>
  <w:style w:type="paragraph" w:styleId="Footer">
    <w:name w:val="footer"/>
    <w:basedOn w:val="Normal"/>
    <w:link w:val="FooterChar"/>
    <w:uiPriority w:val="99"/>
    <w:unhideWhenUsed/>
    <w:rsid w:val="00C66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1D4"/>
    <w:rPr>
      <w:rFonts w:ascii="Calibri" w:eastAsia="Calibri" w:hAnsi="Calibri" w:cs="Times New Roman"/>
    </w:rPr>
  </w:style>
  <w:style w:type="character" w:styleId="FollowedHyperlink">
    <w:name w:val="FollowedHyperlink"/>
    <w:basedOn w:val="DefaultParagraphFont"/>
    <w:uiPriority w:val="99"/>
    <w:semiHidden/>
    <w:unhideWhenUsed/>
    <w:rsid w:val="00C661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erc.gov/legal/ceii-foia/ceii.asp" TargetMode="External"/><Relationship Id="rId1" Type="http://schemas.openxmlformats.org/officeDocument/2006/relationships/hyperlink" Target="https://elibrary-backup.ferc.gov/idmws/common/OpenNat.asp?fileID=15166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505</_x0031__x002e__x0020_Collection_x0020_Number>
    <Date xmlns="d6eefc7d-9817-4fa6-84d5-3bc009be21b8">2019-03-12T00:00:00-04:00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RM19-13-</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B0009-AD30-4562-8D6D-F6AA23D6ED4E}">
  <ds:schemaRefs>
    <ds:schemaRef ds:uri="Microsoft.SharePoint.Taxonomy.ContentTypeSync"/>
  </ds:schemaRefs>
</ds:datastoreItem>
</file>

<file path=customXml/itemProps2.xml><?xml version="1.0" encoding="utf-8"?>
<ds:datastoreItem xmlns:ds="http://schemas.openxmlformats.org/officeDocument/2006/customXml" ds:itemID="{3221E578-D59A-4F04-B7F8-4EA321BC8468}">
  <ds:schemaRefs>
    <ds:schemaRef ds:uri="http://schemas.microsoft.com/office/2006/metadata/customXsn"/>
  </ds:schemaRefs>
</ds:datastoreItem>
</file>

<file path=customXml/itemProps3.xml><?xml version="1.0" encoding="utf-8"?>
<ds:datastoreItem xmlns:ds="http://schemas.openxmlformats.org/officeDocument/2006/customXml" ds:itemID="{3F269B26-2A17-45C5-8F7B-890889143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3BFCB8-7A54-4061-BB0D-D8F886E17899}">
  <ds:schemaRefs>
    <ds:schemaRef ds:uri="http://purl.org/dc/elements/1.1/"/>
    <ds:schemaRef ds:uri="http://www.w3.org/XML/1998/namespace"/>
    <ds:schemaRef ds:uri="http://purl.org/dc/dcmitype/"/>
    <ds:schemaRef ds:uri="d6eefc7d-9817-4fa6-84d5-3bc009be21b8"/>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13A0CC58-FA31-42E4-9D52-5067612738EF}">
  <ds:schemaRefs>
    <ds:schemaRef ds:uri="http://schemas.microsoft.com/sharepoint/v3/contenttype/forms"/>
  </ds:schemaRefs>
</ds:datastoreItem>
</file>

<file path=customXml/itemProps6.xml><?xml version="1.0" encoding="utf-8"?>
<ds:datastoreItem xmlns:ds="http://schemas.openxmlformats.org/officeDocument/2006/customXml" ds:itemID="{8F10C332-93EE-4CBC-9E43-F0ECFF81F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RM19-13-000 Final Rule supporting statement</dc:title>
  <dc:subject/>
  <dc:creator>Haley McLoud</dc:creator>
  <cp:keywords/>
  <dc:description/>
  <cp:lastModifiedBy>SYSTEM</cp:lastModifiedBy>
  <cp:revision>2</cp:revision>
  <dcterms:created xsi:type="dcterms:W3CDTF">2019-03-12T15:59:00Z</dcterms:created>
  <dcterms:modified xsi:type="dcterms:W3CDTF">2019-03-12T15:59:00Z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