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56BF8" w14:textId="77777777" w:rsidR="00E14C63" w:rsidRPr="00B51BB8" w:rsidRDefault="00D350A8" w:rsidP="002A4142">
      <w:pPr>
        <w:tabs>
          <w:tab w:val="left" w:pos="3320"/>
        </w:tabs>
        <w:spacing w:after="0" w:line="240" w:lineRule="auto"/>
        <w:jc w:val="center"/>
        <w:rPr>
          <w:rFonts w:ascii="Times New Roman" w:hAnsi="Times New Roman" w:cs="Times New Roman"/>
          <w:sz w:val="24"/>
          <w:szCs w:val="24"/>
        </w:rPr>
      </w:pPr>
      <w:bookmarkStart w:id="0" w:name="_GoBack"/>
      <w:bookmarkEnd w:id="0"/>
      <w:r w:rsidRPr="00B51BB8">
        <w:rPr>
          <w:rFonts w:ascii="Times New Roman" w:hAnsi="Times New Roman" w:cs="Times New Roman"/>
          <w:sz w:val="24"/>
          <w:szCs w:val="24"/>
        </w:rPr>
        <w:t>Supporting Statement for</w:t>
      </w:r>
    </w:p>
    <w:p w14:paraId="27ABE0D6" w14:textId="6C71C6F2" w:rsidR="002A4142" w:rsidRPr="00B51BB8" w:rsidRDefault="00797852" w:rsidP="002A4142">
      <w:pPr>
        <w:spacing w:after="0"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FERC-725R</w:t>
      </w:r>
      <w:r w:rsidR="00612E67" w:rsidRPr="00FC6722">
        <w:rPr>
          <w:rFonts w:ascii="Times New Roman" w:hAnsi="Times New Roman" w:cs="Times New Roman"/>
          <w:b/>
          <w:sz w:val="24"/>
          <w:szCs w:val="24"/>
        </w:rPr>
        <w:t xml:space="preserve"> </w:t>
      </w:r>
      <w:r w:rsidR="00612E67" w:rsidRPr="00B51BB8">
        <w:rPr>
          <w:rFonts w:ascii="Times New Roman" w:hAnsi="Times New Roman" w:cs="Times New Roman"/>
          <w:b/>
          <w:sz w:val="24"/>
          <w:szCs w:val="24"/>
        </w:rPr>
        <w:t>(Mandatory Reliability Standards: BAL Reliability Standards)</w:t>
      </w:r>
      <w:r w:rsidR="004723F3">
        <w:rPr>
          <w:rFonts w:ascii="Times New Roman" w:hAnsi="Times New Roman" w:cs="Times New Roman"/>
          <w:b/>
          <w:sz w:val="24"/>
          <w:szCs w:val="24"/>
        </w:rPr>
        <w:t>,</w:t>
      </w:r>
    </w:p>
    <w:p w14:paraId="07DD401F" w14:textId="28D3521D" w:rsidR="00D350A8" w:rsidRPr="00B51BB8" w:rsidRDefault="00717A1C" w:rsidP="002A4142">
      <w:pPr>
        <w:spacing w:after="0" w:line="240" w:lineRule="auto"/>
        <w:ind w:right="-180"/>
        <w:jc w:val="center"/>
        <w:rPr>
          <w:rFonts w:ascii="Times New Roman" w:hAnsi="Times New Roman" w:cs="Times New Roman"/>
          <w:b/>
          <w:sz w:val="24"/>
          <w:szCs w:val="24"/>
        </w:rPr>
      </w:pPr>
      <w:r w:rsidRPr="00B51BB8">
        <w:rPr>
          <w:rFonts w:ascii="Times New Roman" w:hAnsi="Times New Roman" w:cs="Times New Roman"/>
          <w:b/>
          <w:sz w:val="24"/>
          <w:szCs w:val="24"/>
        </w:rPr>
        <w:t xml:space="preserve">as modified by </w:t>
      </w:r>
      <w:r w:rsidR="00612E67" w:rsidRPr="00B51BB8">
        <w:rPr>
          <w:rFonts w:ascii="Times New Roman" w:hAnsi="Times New Roman" w:cs="Times New Roman"/>
          <w:b/>
          <w:sz w:val="24"/>
          <w:szCs w:val="24"/>
        </w:rPr>
        <w:t xml:space="preserve">the </w:t>
      </w:r>
      <w:r w:rsidR="00CB52C6">
        <w:rPr>
          <w:rFonts w:ascii="Times New Roman" w:hAnsi="Times New Roman" w:cs="Times New Roman"/>
          <w:b/>
          <w:sz w:val="24"/>
          <w:szCs w:val="24"/>
        </w:rPr>
        <w:t>Order</w:t>
      </w:r>
      <w:r w:rsidR="00612E67" w:rsidRPr="00B51BB8">
        <w:rPr>
          <w:rFonts w:ascii="Times New Roman" w:hAnsi="Times New Roman" w:cs="Times New Roman"/>
          <w:b/>
          <w:sz w:val="24"/>
          <w:szCs w:val="24"/>
        </w:rPr>
        <w:t xml:space="preserve"> in Docket </w:t>
      </w:r>
      <w:r w:rsidR="00CB52C6">
        <w:rPr>
          <w:rFonts w:ascii="Times New Roman" w:hAnsi="Times New Roman" w:cs="Times New Roman"/>
          <w:b/>
          <w:sz w:val="24"/>
          <w:szCs w:val="24"/>
        </w:rPr>
        <w:t>No. RD18-7</w:t>
      </w:r>
    </w:p>
    <w:p w14:paraId="4DF19896" w14:textId="77777777" w:rsidR="002A4142" w:rsidRPr="00B51BB8" w:rsidRDefault="002A4142" w:rsidP="002A4142">
      <w:pPr>
        <w:spacing w:after="0" w:line="240" w:lineRule="auto"/>
        <w:ind w:right="-180"/>
        <w:jc w:val="center"/>
        <w:rPr>
          <w:rFonts w:ascii="Times New Roman" w:hAnsi="Times New Roman" w:cs="Times New Roman"/>
          <w:b/>
          <w:sz w:val="24"/>
          <w:szCs w:val="24"/>
        </w:rPr>
      </w:pPr>
    </w:p>
    <w:p w14:paraId="5D174BE0" w14:textId="23E168B6" w:rsidR="00835E0A" w:rsidRDefault="00D350A8" w:rsidP="002A4142">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 Federal Energy Regulatory Commission (Commission or FERC) requests that the Office of Management and Budget (OMB) review and approve </w:t>
      </w:r>
      <w:r w:rsidR="00797852">
        <w:rPr>
          <w:rFonts w:ascii="Times New Roman" w:hAnsi="Times New Roman" w:cs="Times New Roman"/>
          <w:sz w:val="24"/>
          <w:szCs w:val="24"/>
        </w:rPr>
        <w:t>FERC-725R</w:t>
      </w:r>
      <w:r w:rsidR="00612E67" w:rsidRPr="00B51BB8">
        <w:rPr>
          <w:rFonts w:ascii="Times New Roman" w:hAnsi="Times New Roman" w:cs="Times New Roman"/>
          <w:sz w:val="24"/>
          <w:szCs w:val="24"/>
        </w:rPr>
        <w:t xml:space="preserve"> (Mandatory Reliability Standards: BAL Reliability Standards)</w:t>
      </w:r>
      <w:r w:rsidR="00606999" w:rsidRPr="00B51BB8">
        <w:rPr>
          <w:rFonts w:ascii="Times New Roman" w:hAnsi="Times New Roman" w:cs="Times New Roman"/>
          <w:sz w:val="24"/>
          <w:szCs w:val="24"/>
        </w:rPr>
        <w:t xml:space="preserve">, as </w:t>
      </w:r>
      <w:r w:rsidR="003C4B09">
        <w:rPr>
          <w:rFonts w:ascii="Times New Roman" w:hAnsi="Times New Roman" w:cs="Times New Roman"/>
          <w:sz w:val="24"/>
          <w:szCs w:val="24"/>
        </w:rPr>
        <w:t>discussed in Docket No. RD18-7.</w:t>
      </w:r>
      <w:r w:rsidR="00606999" w:rsidRPr="000F0C7B">
        <w:rPr>
          <w:rStyle w:val="FootnoteReference"/>
          <w:rFonts w:ascii="Times New Roman" w:hAnsi="Times New Roman" w:cs="Times New Roman"/>
          <w:sz w:val="24"/>
          <w:szCs w:val="24"/>
          <w:vertAlign w:val="superscript"/>
        </w:rPr>
        <w:footnoteReference w:id="2"/>
      </w:r>
      <w:r w:rsidR="000F0C7B">
        <w:rPr>
          <w:rFonts w:ascii="Times New Roman" w:hAnsi="Times New Roman" w:cs="Times New Roman"/>
          <w:sz w:val="24"/>
          <w:szCs w:val="24"/>
          <w:vertAlign w:val="superscript"/>
        </w:rPr>
        <w:t xml:space="preserve">  </w:t>
      </w:r>
      <w:r w:rsidR="000F0C7B" w:rsidRPr="000F0C7B">
        <w:rPr>
          <w:rFonts w:ascii="Times New Roman" w:hAnsi="Times New Roman" w:cs="Times New Roman"/>
          <w:sz w:val="24"/>
          <w:szCs w:val="24"/>
        </w:rPr>
        <w:t xml:space="preserve">The communications (and related burden) are already covered under FERC-725R, and the additional information is de minimis.  Therefore the Commission is not </w:t>
      </w:r>
      <w:r w:rsidR="00183B70">
        <w:rPr>
          <w:rFonts w:ascii="Times New Roman" w:hAnsi="Times New Roman" w:cs="Times New Roman"/>
          <w:sz w:val="24"/>
          <w:szCs w:val="24"/>
        </w:rPr>
        <w:t xml:space="preserve">making a program change to </w:t>
      </w:r>
      <w:r w:rsidR="00183B70" w:rsidRPr="000F0C7B">
        <w:rPr>
          <w:rFonts w:ascii="Times New Roman" w:hAnsi="Times New Roman" w:cs="Times New Roman"/>
          <w:sz w:val="24"/>
          <w:szCs w:val="24"/>
        </w:rPr>
        <w:t xml:space="preserve"> </w:t>
      </w:r>
      <w:r w:rsidR="000F0C7B" w:rsidRPr="000F0C7B">
        <w:rPr>
          <w:rFonts w:ascii="Times New Roman" w:hAnsi="Times New Roman" w:cs="Times New Roman"/>
          <w:sz w:val="24"/>
          <w:szCs w:val="24"/>
        </w:rPr>
        <w:t>the burden estimate</w:t>
      </w:r>
      <w:r w:rsidR="00183B70">
        <w:rPr>
          <w:rFonts w:ascii="Times New Roman" w:hAnsi="Times New Roman" w:cs="Times New Roman"/>
          <w:sz w:val="24"/>
          <w:szCs w:val="24"/>
        </w:rPr>
        <w:t xml:space="preserve">.  </w:t>
      </w:r>
      <w:r w:rsidR="00B139FB">
        <w:rPr>
          <w:rFonts w:ascii="Times New Roman" w:hAnsi="Times New Roman" w:cs="Times New Roman"/>
          <w:sz w:val="24"/>
          <w:szCs w:val="24"/>
        </w:rPr>
        <w:t>(</w:t>
      </w:r>
      <w:r w:rsidR="00183B70">
        <w:rPr>
          <w:rFonts w:ascii="Times New Roman" w:hAnsi="Times New Roman" w:cs="Times New Roman"/>
          <w:sz w:val="24"/>
          <w:szCs w:val="24"/>
        </w:rPr>
        <w:t>We are making a</w:t>
      </w:r>
      <w:r w:rsidR="00B139FB">
        <w:rPr>
          <w:rFonts w:ascii="Times New Roman" w:hAnsi="Times New Roman" w:cs="Times New Roman"/>
          <w:sz w:val="24"/>
          <w:szCs w:val="24"/>
        </w:rPr>
        <w:t xml:space="preserve">n adjustment </w:t>
      </w:r>
      <w:r w:rsidR="00183B70">
        <w:rPr>
          <w:rFonts w:ascii="Times New Roman" w:hAnsi="Times New Roman" w:cs="Times New Roman"/>
          <w:sz w:val="24"/>
          <w:szCs w:val="24"/>
        </w:rPr>
        <w:t xml:space="preserve">to the number of respondents </w:t>
      </w:r>
      <w:r w:rsidR="00B139FB">
        <w:rPr>
          <w:rFonts w:ascii="Times New Roman" w:hAnsi="Times New Roman" w:cs="Times New Roman"/>
          <w:sz w:val="24"/>
          <w:szCs w:val="24"/>
        </w:rPr>
        <w:t>based on updated figures</w:t>
      </w:r>
      <w:r w:rsidR="00183B70">
        <w:rPr>
          <w:rFonts w:ascii="Times New Roman" w:hAnsi="Times New Roman" w:cs="Times New Roman"/>
          <w:sz w:val="24"/>
          <w:szCs w:val="24"/>
        </w:rPr>
        <w:t>.</w:t>
      </w:r>
      <w:r w:rsidR="00B139FB" w:rsidRPr="00491CF6">
        <w:rPr>
          <w:rStyle w:val="FootnoteReference"/>
          <w:rFonts w:ascii="Times New Roman" w:hAnsi="Times New Roman" w:cs="Times New Roman"/>
          <w:sz w:val="24"/>
          <w:szCs w:val="24"/>
          <w:vertAlign w:val="superscript"/>
        </w:rPr>
        <w:footnoteReference w:id="3"/>
      </w:r>
      <w:r w:rsidR="00B139FB">
        <w:rPr>
          <w:rFonts w:ascii="Times New Roman" w:hAnsi="Times New Roman" w:cs="Times New Roman"/>
          <w:sz w:val="24"/>
          <w:szCs w:val="24"/>
        </w:rPr>
        <w:t xml:space="preserve">) </w:t>
      </w:r>
      <w:r w:rsidR="00183B70">
        <w:rPr>
          <w:rFonts w:ascii="Times New Roman" w:hAnsi="Times New Roman" w:cs="Times New Roman"/>
          <w:sz w:val="24"/>
          <w:szCs w:val="24"/>
        </w:rPr>
        <w:t xml:space="preserve"> The Commission</w:t>
      </w:r>
      <w:r w:rsidR="00183B70" w:rsidRPr="000F0C7B">
        <w:rPr>
          <w:rFonts w:ascii="Times New Roman" w:hAnsi="Times New Roman" w:cs="Times New Roman"/>
          <w:sz w:val="24"/>
          <w:szCs w:val="24"/>
        </w:rPr>
        <w:t xml:space="preserve"> </w:t>
      </w:r>
      <w:r w:rsidR="000F0C7B" w:rsidRPr="000F0C7B">
        <w:rPr>
          <w:rFonts w:ascii="Times New Roman" w:hAnsi="Times New Roman" w:cs="Times New Roman"/>
          <w:sz w:val="24"/>
          <w:szCs w:val="24"/>
        </w:rPr>
        <w:t>is submitting this to OMB as a non-material or non-substantive change to a currently approved collection.</w:t>
      </w:r>
    </w:p>
    <w:p w14:paraId="77550DE5" w14:textId="77777777" w:rsidR="000F0C7B" w:rsidRDefault="000F0C7B" w:rsidP="002A4142">
      <w:pPr>
        <w:spacing w:after="0" w:line="240" w:lineRule="auto"/>
        <w:rPr>
          <w:rFonts w:ascii="Times New Roman" w:hAnsi="Times New Roman" w:cs="Times New Roman"/>
          <w:sz w:val="24"/>
          <w:szCs w:val="24"/>
        </w:rPr>
      </w:pPr>
    </w:p>
    <w:p w14:paraId="2FBF2E7D" w14:textId="77777777" w:rsidR="002A4142" w:rsidRPr="00B51BB8" w:rsidRDefault="002A4142" w:rsidP="002A4142">
      <w:pPr>
        <w:spacing w:after="0" w:line="240" w:lineRule="auto"/>
        <w:rPr>
          <w:rFonts w:ascii="Times New Roman" w:hAnsi="Times New Roman" w:cs="Times New Roman"/>
          <w:b/>
          <w:sz w:val="24"/>
          <w:szCs w:val="24"/>
        </w:rPr>
      </w:pPr>
    </w:p>
    <w:p w14:paraId="54673EE3"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4"/>
          <w:szCs w:val="24"/>
        </w:rPr>
      </w:pPr>
      <w:r w:rsidRPr="00B51BB8">
        <w:rPr>
          <w:rFonts w:ascii="Times New Roman" w:hAnsi="Times New Roman" w:cs="Times New Roman"/>
          <w:b/>
          <w:bCs/>
          <w:sz w:val="24"/>
          <w:szCs w:val="24"/>
        </w:rPr>
        <w:t>CIRCUMSTANCES THAT MAKE THE COLLECTION OF INFORMATION NECESSARY</w:t>
      </w:r>
    </w:p>
    <w:p w14:paraId="17E45D43" w14:textId="77777777" w:rsidR="00C4205B" w:rsidRPr="00B51BB8" w:rsidRDefault="00C4205B" w:rsidP="005E2448">
      <w:pPr>
        <w:widowControl w:val="0"/>
        <w:autoSpaceDE w:val="0"/>
        <w:autoSpaceDN w:val="0"/>
        <w:adjustRightInd w:val="0"/>
        <w:spacing w:after="0" w:line="240" w:lineRule="auto"/>
        <w:ind w:left="360"/>
        <w:rPr>
          <w:rFonts w:ascii="Times New Roman" w:hAnsi="Times New Roman" w:cs="Times New Roman"/>
          <w:b/>
          <w:bCs/>
          <w:sz w:val="24"/>
          <w:szCs w:val="24"/>
        </w:rPr>
      </w:pPr>
    </w:p>
    <w:p w14:paraId="2CE985A5" w14:textId="62E512FF" w:rsidR="005515AF" w:rsidRPr="005515AF" w:rsidRDefault="005515AF" w:rsidP="003C4B09">
      <w:pPr>
        <w:widowControl w:val="0"/>
        <w:autoSpaceDE w:val="0"/>
        <w:autoSpaceDN w:val="0"/>
        <w:adjustRightInd w:val="0"/>
        <w:spacing w:after="0" w:line="240" w:lineRule="auto"/>
        <w:rPr>
          <w:rFonts w:ascii="Times New Roman" w:hAnsi="Times New Roman" w:cs="Times New Roman"/>
          <w:sz w:val="24"/>
          <w:szCs w:val="24"/>
        </w:rPr>
      </w:pPr>
      <w:r w:rsidRPr="005515AF">
        <w:rPr>
          <w:rFonts w:ascii="Times New Roman" w:hAnsi="Times New Roman" w:cs="Times New Roman"/>
          <w:sz w:val="24"/>
          <w:szCs w:val="24"/>
        </w:rPr>
        <w:t xml:space="preserve">On August 8, 2005, The Electricity Modernization Act of 2005, which is Title XII of the Energy Policy Act of 2005 (EPAct 2005), was enacted into law.   EPAct 2005 added a new section 215 to the Federal Power Act (FPA), which requires a Commission-certified Electric Reliability Organization (ERO) to develop mandatory and enforceable Reliability Standards, subject to Commission review and approval.  Once approved, the Reliability Standards may be enforced by the ERO, subject to Commission oversight, or by the Commission independently. </w:t>
      </w:r>
    </w:p>
    <w:p w14:paraId="15B8D31A" w14:textId="77777777" w:rsidR="005515AF" w:rsidRPr="005515AF" w:rsidRDefault="005515AF" w:rsidP="003C4B09">
      <w:pPr>
        <w:widowControl w:val="0"/>
        <w:autoSpaceDE w:val="0"/>
        <w:autoSpaceDN w:val="0"/>
        <w:adjustRightInd w:val="0"/>
        <w:spacing w:after="0" w:line="240" w:lineRule="auto"/>
        <w:rPr>
          <w:rFonts w:ascii="Times New Roman" w:hAnsi="Times New Roman" w:cs="Times New Roman"/>
          <w:sz w:val="24"/>
          <w:szCs w:val="24"/>
        </w:rPr>
      </w:pPr>
    </w:p>
    <w:p w14:paraId="6E873CD9" w14:textId="77777777" w:rsidR="005515AF" w:rsidRPr="005515AF" w:rsidRDefault="005515AF" w:rsidP="003C4B09">
      <w:pPr>
        <w:widowControl w:val="0"/>
        <w:autoSpaceDE w:val="0"/>
        <w:autoSpaceDN w:val="0"/>
        <w:adjustRightInd w:val="0"/>
        <w:spacing w:after="0" w:line="240" w:lineRule="auto"/>
        <w:rPr>
          <w:rFonts w:ascii="Times New Roman" w:hAnsi="Times New Roman" w:cs="Times New Roman"/>
          <w:sz w:val="24"/>
          <w:szCs w:val="24"/>
        </w:rPr>
      </w:pPr>
      <w:r w:rsidRPr="005515AF">
        <w:rPr>
          <w:rFonts w:ascii="Times New Roman" w:hAnsi="Times New Roman" w:cs="Times New Roman"/>
          <w:sz w:val="24"/>
          <w:szCs w:val="24"/>
        </w:rPr>
        <w:t xml:space="preserve">Section 215 of the FPA requires a Commission-certified ERO to develop mandatory and enforceable Reliability Standards, subject to Commission review and approval.   Once approved, the Reliability Standards may be enforced by the ERO subject to Commission oversight or by the Commission independently.   In 2006, the Commission certified NERC (now called the North American Electric Reliability Corporation) as the ERO pursuant to section 215 of the FPA. </w:t>
      </w:r>
    </w:p>
    <w:p w14:paraId="553637B5" w14:textId="77777777" w:rsidR="005515AF" w:rsidRPr="005515AF" w:rsidRDefault="005515AF" w:rsidP="005515AF">
      <w:pPr>
        <w:widowControl w:val="0"/>
        <w:autoSpaceDE w:val="0"/>
        <w:autoSpaceDN w:val="0"/>
        <w:adjustRightInd w:val="0"/>
        <w:spacing w:after="0" w:line="240" w:lineRule="auto"/>
        <w:ind w:left="360"/>
        <w:rPr>
          <w:rFonts w:ascii="Times New Roman" w:hAnsi="Times New Roman" w:cs="Times New Roman"/>
          <w:sz w:val="24"/>
          <w:szCs w:val="24"/>
        </w:rPr>
      </w:pPr>
    </w:p>
    <w:p w14:paraId="26018CA0" w14:textId="7CDDF250" w:rsidR="005515AF" w:rsidRDefault="005515AF" w:rsidP="005515AF">
      <w:pPr>
        <w:spacing w:after="0" w:line="240" w:lineRule="auto"/>
        <w:rPr>
          <w:rFonts w:ascii="Times New Roman" w:hAnsi="Times New Roman" w:cs="Times New Roman"/>
          <w:sz w:val="24"/>
          <w:szCs w:val="24"/>
        </w:rPr>
      </w:pPr>
      <w:r w:rsidRPr="005515AF">
        <w:rPr>
          <w:rFonts w:ascii="Times New Roman" w:hAnsi="Times New Roman" w:cs="Times New Roman"/>
          <w:sz w:val="24"/>
          <w:szCs w:val="24"/>
        </w:rPr>
        <w:t>On March 16, 2007 (pursuant to section 215(d) of the FPA), the Commission issued Order No. 693, approving 83 of the 107 initial Reliability Standards filed by NERC.  In the intervening years, numerous changes have been made to update, eliminate, or establish various Reliability Standards</w:t>
      </w:r>
      <w:r w:rsidR="001F257C">
        <w:rPr>
          <w:rFonts w:ascii="Times New Roman" w:hAnsi="Times New Roman" w:cs="Times New Roman"/>
          <w:sz w:val="24"/>
          <w:szCs w:val="24"/>
        </w:rPr>
        <w:t>.</w:t>
      </w:r>
    </w:p>
    <w:p w14:paraId="1AED8803" w14:textId="587C8112" w:rsidR="00B51BB8" w:rsidRPr="00B51BB8" w:rsidRDefault="00B51BB8" w:rsidP="002A4142">
      <w:pPr>
        <w:spacing w:after="0" w:line="240" w:lineRule="auto"/>
        <w:rPr>
          <w:rFonts w:ascii="Times New Roman" w:hAnsi="Times New Roman" w:cs="Times New Roman"/>
          <w:sz w:val="24"/>
          <w:szCs w:val="24"/>
        </w:rPr>
      </w:pPr>
    </w:p>
    <w:p w14:paraId="2587A559"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4"/>
          <w:szCs w:val="24"/>
        </w:rPr>
      </w:pPr>
      <w:r w:rsidRPr="00B51BB8">
        <w:rPr>
          <w:rFonts w:ascii="Times New Roman" w:hAnsi="Times New Roman" w:cs="Times New Roman"/>
          <w:b/>
          <w:bCs/>
          <w:sz w:val="24"/>
          <w:szCs w:val="24"/>
        </w:rPr>
        <w:t>HOW, BY WHOM, AND FOR WHAT PURPOSE THE INFORMATION IS TO BE USED AND THE CONSEQUENCES OF NOT COLLECTING THE INFORMATION</w:t>
      </w:r>
    </w:p>
    <w:p w14:paraId="5FDEFB08" w14:textId="77777777" w:rsidR="004A1428" w:rsidRPr="00B51BB8" w:rsidRDefault="004A1428" w:rsidP="005E2448">
      <w:pPr>
        <w:widowControl w:val="0"/>
        <w:autoSpaceDE w:val="0"/>
        <w:autoSpaceDN w:val="0"/>
        <w:adjustRightInd w:val="0"/>
        <w:spacing w:after="0" w:line="240" w:lineRule="auto"/>
        <w:ind w:left="360"/>
        <w:rPr>
          <w:rFonts w:ascii="Times New Roman" w:hAnsi="Times New Roman" w:cs="Times New Roman"/>
          <w:b/>
          <w:bCs/>
          <w:sz w:val="24"/>
          <w:szCs w:val="24"/>
        </w:rPr>
      </w:pPr>
    </w:p>
    <w:p w14:paraId="1C1E97B5" w14:textId="72DBABB9" w:rsidR="000F233D" w:rsidRDefault="002143E7" w:rsidP="000F0C7B">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2143E7">
        <w:rPr>
          <w:rFonts w:ascii="Times New Roman" w:hAnsi="Times New Roman" w:cs="Times New Roman"/>
          <w:sz w:val="24"/>
          <w:szCs w:val="24"/>
        </w:rPr>
        <w:t>he North American Electric Reliability Corporation (</w:t>
      </w:r>
      <w:r w:rsidRPr="00757251">
        <w:rPr>
          <w:rFonts w:ascii="Times New Roman" w:hAnsi="Times New Roman" w:cs="Times New Roman"/>
          <w:sz w:val="24"/>
          <w:szCs w:val="24"/>
        </w:rPr>
        <w:t>NERC) submitt</w:t>
      </w:r>
      <w:r w:rsidRPr="00B35625">
        <w:rPr>
          <w:rFonts w:ascii="Times New Roman" w:hAnsi="Times New Roman" w:cs="Times New Roman"/>
          <w:sz w:val="24"/>
          <w:szCs w:val="24"/>
        </w:rPr>
        <w:t>ed a Petition</w:t>
      </w:r>
      <w:r w:rsidRPr="00B35625">
        <w:rPr>
          <w:rStyle w:val="FootnoteReference"/>
          <w:rFonts w:ascii="Times New Roman" w:hAnsi="Times New Roman" w:cs="Times New Roman"/>
          <w:sz w:val="24"/>
          <w:szCs w:val="24"/>
          <w:vertAlign w:val="superscript"/>
        </w:rPr>
        <w:footnoteReference w:id="4"/>
      </w:r>
      <w:r w:rsidRPr="00B35625">
        <w:rPr>
          <w:rFonts w:ascii="Times New Roman" w:hAnsi="Times New Roman" w:cs="Times New Roman"/>
          <w:sz w:val="24"/>
          <w:szCs w:val="24"/>
          <w:vertAlign w:val="superscript"/>
        </w:rPr>
        <w:t xml:space="preserve"> </w:t>
      </w:r>
      <w:r w:rsidRPr="00757251">
        <w:rPr>
          <w:rFonts w:ascii="Times New Roman" w:hAnsi="Times New Roman" w:cs="Times New Roman"/>
          <w:sz w:val="24"/>
          <w:szCs w:val="24"/>
        </w:rPr>
        <w:t>to the Co</w:t>
      </w:r>
      <w:r w:rsidRPr="00B35625">
        <w:rPr>
          <w:rFonts w:ascii="Times New Roman" w:hAnsi="Times New Roman" w:cs="Times New Roman"/>
          <w:sz w:val="24"/>
          <w:szCs w:val="24"/>
        </w:rPr>
        <w:t>mmission dated August 17, 2018. The Petition says in part</w:t>
      </w:r>
      <w:r w:rsidR="00C73F9E" w:rsidRPr="00B35625">
        <w:rPr>
          <w:rFonts w:ascii="Times New Roman" w:hAnsi="Times New Roman" w:cs="Times New Roman"/>
          <w:sz w:val="24"/>
          <w:szCs w:val="24"/>
        </w:rPr>
        <w:t xml:space="preserve"> [footnotes omitted]</w:t>
      </w:r>
      <w:r w:rsidRPr="00B35625">
        <w:rPr>
          <w:rFonts w:ascii="Times New Roman" w:hAnsi="Times New Roman" w:cs="Times New Roman"/>
          <w:sz w:val="24"/>
          <w:szCs w:val="24"/>
        </w:rPr>
        <w:t>:</w:t>
      </w:r>
    </w:p>
    <w:p w14:paraId="05C4E913" w14:textId="77777777" w:rsidR="002143E7" w:rsidRDefault="002143E7" w:rsidP="000F0C7B">
      <w:pPr>
        <w:spacing w:after="0" w:line="240" w:lineRule="auto"/>
        <w:rPr>
          <w:rFonts w:ascii="Times New Roman" w:hAnsi="Times New Roman" w:cs="Times New Roman"/>
          <w:sz w:val="24"/>
          <w:szCs w:val="24"/>
        </w:rPr>
      </w:pPr>
    </w:p>
    <w:p w14:paraId="549879D9" w14:textId="77777777" w:rsidR="002143E7" w:rsidRDefault="002143E7" w:rsidP="00B3562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Pr="002143E7">
        <w:rPr>
          <w:rFonts w:ascii="Times New Roman" w:hAnsi="Times New Roman" w:cs="Times New Roman"/>
          <w:sz w:val="24"/>
          <w:szCs w:val="24"/>
        </w:rPr>
        <w:t>Reliable operation of the Bulk Power System depends on the ability of responsible</w:t>
      </w:r>
      <w:r>
        <w:rPr>
          <w:rFonts w:ascii="Times New Roman" w:hAnsi="Times New Roman" w:cs="Times New Roman"/>
          <w:sz w:val="24"/>
          <w:szCs w:val="24"/>
        </w:rPr>
        <w:t xml:space="preserve"> </w:t>
      </w:r>
      <w:r w:rsidRPr="002143E7">
        <w:rPr>
          <w:rFonts w:ascii="Times New Roman" w:hAnsi="Times New Roman" w:cs="Times New Roman"/>
          <w:sz w:val="24"/>
          <w:szCs w:val="24"/>
        </w:rPr>
        <w:t>entities to balance resources and demand and to recover from a system contingency through</w:t>
      </w:r>
      <w:r>
        <w:rPr>
          <w:rFonts w:ascii="Times New Roman" w:hAnsi="Times New Roman" w:cs="Times New Roman"/>
          <w:sz w:val="24"/>
          <w:szCs w:val="24"/>
        </w:rPr>
        <w:t xml:space="preserve"> </w:t>
      </w:r>
      <w:r w:rsidRPr="002143E7">
        <w:rPr>
          <w:rFonts w:ascii="Times New Roman" w:hAnsi="Times New Roman" w:cs="Times New Roman"/>
          <w:sz w:val="24"/>
          <w:szCs w:val="24"/>
        </w:rPr>
        <w:t>frequency restoration and the deployment of reserves necessary to replace lost capacity and</w:t>
      </w:r>
      <w:r>
        <w:rPr>
          <w:rFonts w:ascii="Times New Roman" w:hAnsi="Times New Roman" w:cs="Times New Roman"/>
          <w:sz w:val="24"/>
          <w:szCs w:val="24"/>
        </w:rPr>
        <w:t xml:space="preserve"> </w:t>
      </w:r>
      <w:r w:rsidRPr="002143E7">
        <w:rPr>
          <w:rFonts w:ascii="Times New Roman" w:hAnsi="Times New Roman" w:cs="Times New Roman"/>
          <w:sz w:val="24"/>
          <w:szCs w:val="24"/>
        </w:rPr>
        <w:t>energy. Reliability Standard BAL-002-3 is designed to ensure that “the Balancing Authority</w:t>
      </w:r>
      <w:r>
        <w:rPr>
          <w:rFonts w:ascii="Times New Roman" w:hAnsi="Times New Roman" w:cs="Times New Roman"/>
          <w:sz w:val="24"/>
          <w:szCs w:val="24"/>
        </w:rPr>
        <w:t xml:space="preserve"> </w:t>
      </w:r>
      <w:r w:rsidRPr="002143E7">
        <w:rPr>
          <w:rFonts w:ascii="Times New Roman" w:hAnsi="Times New Roman" w:cs="Times New Roman"/>
          <w:sz w:val="24"/>
          <w:szCs w:val="24"/>
        </w:rPr>
        <w:t>[(“BA”)] or Reserve Sharing Group [(“RSG”)] balances resources and demand and returns the</w:t>
      </w:r>
      <w:r>
        <w:rPr>
          <w:rFonts w:ascii="Times New Roman" w:hAnsi="Times New Roman" w:cs="Times New Roman"/>
          <w:sz w:val="24"/>
          <w:szCs w:val="24"/>
        </w:rPr>
        <w:t xml:space="preserve"> </w:t>
      </w:r>
      <w:r w:rsidRPr="002143E7">
        <w:rPr>
          <w:rFonts w:ascii="Times New Roman" w:hAnsi="Times New Roman" w:cs="Times New Roman"/>
          <w:sz w:val="24"/>
          <w:szCs w:val="24"/>
        </w:rPr>
        <w:t>[BA]’s or [RSG]’s Area Control Error [(“ACE”)] to defined values (subject to applicable limits)</w:t>
      </w:r>
      <w:r>
        <w:rPr>
          <w:rFonts w:ascii="Times New Roman" w:hAnsi="Times New Roman" w:cs="Times New Roman"/>
          <w:sz w:val="24"/>
          <w:szCs w:val="24"/>
        </w:rPr>
        <w:t xml:space="preserve"> </w:t>
      </w:r>
      <w:r w:rsidRPr="002143E7">
        <w:rPr>
          <w:rFonts w:ascii="Times New Roman" w:hAnsi="Times New Roman" w:cs="Times New Roman"/>
          <w:sz w:val="24"/>
          <w:szCs w:val="24"/>
        </w:rPr>
        <w:t>following a Reportable Balancing Contingency Event.” To support this goal, Requirement R1</w:t>
      </w:r>
      <w:r>
        <w:rPr>
          <w:rFonts w:ascii="Times New Roman" w:hAnsi="Times New Roman" w:cs="Times New Roman"/>
          <w:sz w:val="24"/>
          <w:szCs w:val="24"/>
        </w:rPr>
        <w:t xml:space="preserve"> </w:t>
      </w:r>
      <w:r w:rsidRPr="002143E7">
        <w:rPr>
          <w:rFonts w:ascii="Times New Roman" w:hAnsi="Times New Roman" w:cs="Times New Roman"/>
          <w:sz w:val="24"/>
          <w:szCs w:val="24"/>
        </w:rPr>
        <w:t>mandates certain actions upon a Reportable Balancing Contingency Event to (i) return Reporting</w:t>
      </w:r>
      <w:r>
        <w:rPr>
          <w:rFonts w:ascii="Times New Roman" w:hAnsi="Times New Roman" w:cs="Times New Roman"/>
          <w:sz w:val="24"/>
          <w:szCs w:val="24"/>
        </w:rPr>
        <w:t xml:space="preserve"> </w:t>
      </w:r>
      <w:r w:rsidRPr="002143E7">
        <w:rPr>
          <w:rFonts w:ascii="Times New Roman" w:hAnsi="Times New Roman" w:cs="Times New Roman"/>
          <w:sz w:val="24"/>
          <w:szCs w:val="24"/>
        </w:rPr>
        <w:t>ACE to defined values within the Contingency Event Recovery Period; (ii) document Reportable</w:t>
      </w:r>
      <w:r>
        <w:rPr>
          <w:rFonts w:ascii="Times New Roman" w:hAnsi="Times New Roman" w:cs="Times New Roman"/>
          <w:sz w:val="24"/>
          <w:szCs w:val="24"/>
        </w:rPr>
        <w:t xml:space="preserve"> </w:t>
      </w:r>
      <w:r w:rsidRPr="002143E7">
        <w:rPr>
          <w:rFonts w:ascii="Times New Roman" w:hAnsi="Times New Roman" w:cs="Times New Roman"/>
          <w:sz w:val="24"/>
          <w:szCs w:val="24"/>
        </w:rPr>
        <w:t>Balancing Contingency Events; and (iii) deploy Contingency Reserves. Within this rubric,</w:t>
      </w:r>
      <w:r>
        <w:rPr>
          <w:rFonts w:ascii="Times New Roman" w:hAnsi="Times New Roman" w:cs="Times New Roman"/>
          <w:sz w:val="24"/>
          <w:szCs w:val="24"/>
        </w:rPr>
        <w:t xml:space="preserve"> </w:t>
      </w:r>
      <w:r w:rsidRPr="002143E7">
        <w:rPr>
          <w:rFonts w:ascii="Times New Roman" w:hAnsi="Times New Roman" w:cs="Times New Roman"/>
          <w:sz w:val="24"/>
          <w:szCs w:val="24"/>
        </w:rPr>
        <w:t>Requirement R1 Part 1.3 provides a limited exemption from the BA’s or RSG’s obligation to</w:t>
      </w:r>
      <w:r>
        <w:rPr>
          <w:rFonts w:ascii="Times New Roman" w:hAnsi="Times New Roman" w:cs="Times New Roman"/>
          <w:sz w:val="24"/>
          <w:szCs w:val="24"/>
        </w:rPr>
        <w:t xml:space="preserve"> </w:t>
      </w:r>
      <w:r w:rsidRPr="002143E7">
        <w:rPr>
          <w:rFonts w:ascii="Times New Roman" w:hAnsi="Times New Roman" w:cs="Times New Roman"/>
          <w:sz w:val="24"/>
          <w:szCs w:val="24"/>
        </w:rPr>
        <w:t>restore Reporting ACE within the Contingency Event Recovery Period if the entity is recovering</w:t>
      </w:r>
      <w:r>
        <w:rPr>
          <w:rFonts w:ascii="Times New Roman" w:hAnsi="Times New Roman" w:cs="Times New Roman"/>
          <w:sz w:val="24"/>
          <w:szCs w:val="24"/>
        </w:rPr>
        <w:t xml:space="preserve"> </w:t>
      </w:r>
      <w:r w:rsidRPr="002143E7">
        <w:rPr>
          <w:rFonts w:ascii="Times New Roman" w:hAnsi="Times New Roman" w:cs="Times New Roman"/>
          <w:sz w:val="24"/>
          <w:szCs w:val="24"/>
        </w:rPr>
        <w:t>from an emergency event under NERC Emergency Preparedness and Operations (“EOP’)</w:t>
      </w:r>
      <w:r>
        <w:rPr>
          <w:rFonts w:ascii="Times New Roman" w:hAnsi="Times New Roman" w:cs="Times New Roman"/>
          <w:sz w:val="24"/>
          <w:szCs w:val="24"/>
        </w:rPr>
        <w:t xml:space="preserve"> </w:t>
      </w:r>
      <w:r w:rsidRPr="002143E7">
        <w:rPr>
          <w:rFonts w:ascii="Times New Roman" w:hAnsi="Times New Roman" w:cs="Times New Roman"/>
          <w:sz w:val="24"/>
          <w:szCs w:val="24"/>
        </w:rPr>
        <w:t>Reliability Standards and meets certain other qualifications.</w:t>
      </w:r>
      <w:r>
        <w:rPr>
          <w:rFonts w:ascii="Times New Roman" w:hAnsi="Times New Roman" w:cs="Times New Roman"/>
          <w:sz w:val="24"/>
          <w:szCs w:val="24"/>
        </w:rPr>
        <w:t xml:space="preserve">  </w:t>
      </w:r>
    </w:p>
    <w:p w14:paraId="5689920E" w14:textId="77777777" w:rsidR="008042BF" w:rsidRDefault="008042BF" w:rsidP="00B35625">
      <w:pPr>
        <w:spacing w:after="0" w:line="240" w:lineRule="auto"/>
        <w:ind w:left="720"/>
        <w:rPr>
          <w:rFonts w:ascii="Times New Roman" w:hAnsi="Times New Roman" w:cs="Times New Roman"/>
          <w:sz w:val="24"/>
          <w:szCs w:val="24"/>
        </w:rPr>
      </w:pPr>
    </w:p>
    <w:p w14:paraId="194BA3A2" w14:textId="5C31D963" w:rsidR="008042BF" w:rsidRPr="00C9693F" w:rsidRDefault="002143E7" w:rsidP="00B3562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r w:rsidRPr="002143E7">
        <w:rPr>
          <w:rFonts w:ascii="Times New Roman" w:hAnsi="Times New Roman" w:cs="Times New Roman"/>
          <w:sz w:val="24"/>
          <w:szCs w:val="24"/>
        </w:rPr>
        <w:t>In Order No. 835, the Commission approved Reliability Standard BAL-002-2 while</w:t>
      </w:r>
      <w:r>
        <w:rPr>
          <w:rFonts w:ascii="Times New Roman" w:hAnsi="Times New Roman" w:cs="Times New Roman"/>
          <w:sz w:val="24"/>
          <w:szCs w:val="24"/>
        </w:rPr>
        <w:t xml:space="preserve"> </w:t>
      </w:r>
      <w:r w:rsidRPr="002143E7">
        <w:rPr>
          <w:rFonts w:ascii="Times New Roman" w:hAnsi="Times New Roman" w:cs="Times New Roman"/>
          <w:sz w:val="24"/>
          <w:szCs w:val="24"/>
        </w:rPr>
        <w:t>highlighting the “need to address the underlying concern . . . that a balancing authority that is</w:t>
      </w:r>
      <w:r>
        <w:rPr>
          <w:rFonts w:ascii="Times New Roman" w:hAnsi="Times New Roman" w:cs="Times New Roman"/>
          <w:sz w:val="24"/>
          <w:szCs w:val="24"/>
        </w:rPr>
        <w:t xml:space="preserve"> </w:t>
      </w:r>
      <w:r w:rsidRPr="002143E7">
        <w:rPr>
          <w:rFonts w:ascii="Times New Roman" w:hAnsi="Times New Roman" w:cs="Times New Roman"/>
          <w:sz w:val="24"/>
          <w:szCs w:val="24"/>
        </w:rPr>
        <w:t xml:space="preserve">operating out-of-balance </w:t>
      </w:r>
      <w:r w:rsidRPr="00C9693F">
        <w:rPr>
          <w:rFonts w:ascii="Times New Roman" w:hAnsi="Times New Roman" w:cs="Times New Roman"/>
          <w:sz w:val="24"/>
          <w:szCs w:val="24"/>
        </w:rPr>
        <w:t>for an extended period of time is ‘leaning on the system’ . . . .” Accordingly, the Commission directed NERC to revise the standard to require an entity seeking to avail itself of the exemption in Requirement R1.3 “to obtain an extension of the 15-minute ACE recovery period by informing the reliability coordinator [(“RC”)]of the circumstances and providing it with an ACE recovery plan and target time period.”</w:t>
      </w:r>
      <w:r w:rsidR="00407EA2" w:rsidRPr="00C9693F">
        <w:rPr>
          <w:rStyle w:val="FootnoteReference"/>
          <w:rFonts w:ascii="Times New Roman" w:hAnsi="Times New Roman" w:cs="Times New Roman"/>
          <w:sz w:val="24"/>
          <w:szCs w:val="24"/>
          <w:vertAlign w:val="superscript"/>
        </w:rPr>
        <w:footnoteReference w:id="5"/>
      </w:r>
    </w:p>
    <w:p w14:paraId="05AF8C59" w14:textId="05D141D1" w:rsidR="002143E7" w:rsidRPr="00C9693F" w:rsidRDefault="002143E7" w:rsidP="008619AB">
      <w:pPr>
        <w:spacing w:after="0" w:line="240" w:lineRule="auto"/>
        <w:ind w:left="720"/>
        <w:rPr>
          <w:rFonts w:ascii="Times New Roman" w:hAnsi="Times New Roman" w:cs="Times New Roman"/>
          <w:sz w:val="24"/>
          <w:szCs w:val="24"/>
        </w:rPr>
      </w:pPr>
      <w:r w:rsidRPr="00C9693F">
        <w:rPr>
          <w:rFonts w:ascii="Times New Roman" w:hAnsi="Times New Roman" w:cs="Times New Roman"/>
          <w:sz w:val="24"/>
          <w:szCs w:val="24"/>
        </w:rPr>
        <w:t xml:space="preserve">  </w:t>
      </w:r>
    </w:p>
    <w:p w14:paraId="0A9E13E8" w14:textId="00E8457C" w:rsidR="002143E7" w:rsidRDefault="002143E7" w:rsidP="008619AB">
      <w:pPr>
        <w:spacing w:after="0" w:line="240" w:lineRule="auto"/>
        <w:ind w:left="720"/>
        <w:rPr>
          <w:rFonts w:ascii="Times New Roman" w:hAnsi="Times New Roman" w:cs="Times New Roman"/>
          <w:sz w:val="24"/>
          <w:szCs w:val="24"/>
        </w:rPr>
      </w:pPr>
      <w:r w:rsidRPr="00C9693F">
        <w:rPr>
          <w:rFonts w:ascii="Times New Roman" w:hAnsi="Times New Roman" w:cs="Times New Roman"/>
          <w:sz w:val="24"/>
          <w:szCs w:val="24"/>
        </w:rPr>
        <w:tab/>
        <w:t>In response to Order No. 835, NERC established Project 2017-06 to develop revisions to Reliability Standard BAL-002-2 to implement the Commission’s directive. The standard drafting team’s (“SDT’s”) proposed modifications also intend to clarify that communication with the RC should proceed</w:t>
      </w:r>
      <w:r w:rsidRPr="002143E7">
        <w:rPr>
          <w:rFonts w:ascii="Times New Roman" w:hAnsi="Times New Roman" w:cs="Times New Roman"/>
          <w:sz w:val="24"/>
          <w:szCs w:val="24"/>
        </w:rPr>
        <w:t xml:space="preserve"> in accordance with Energy Emergency Alert procedures within the EOP</w:t>
      </w:r>
      <w:r>
        <w:rPr>
          <w:rFonts w:ascii="Times New Roman" w:hAnsi="Times New Roman" w:cs="Times New Roman"/>
          <w:sz w:val="24"/>
          <w:szCs w:val="24"/>
        </w:rPr>
        <w:t xml:space="preserve"> </w:t>
      </w:r>
      <w:r w:rsidRPr="002143E7">
        <w:rPr>
          <w:rFonts w:ascii="Times New Roman" w:hAnsi="Times New Roman" w:cs="Times New Roman"/>
          <w:sz w:val="24"/>
          <w:szCs w:val="24"/>
        </w:rPr>
        <w:t>Reliability Standards. The proposed modifications would ensure that Reliability Standard BAL-002-3 addresses the Commission’s concern in a manner that coordinates with emergency</w:t>
      </w:r>
      <w:r>
        <w:rPr>
          <w:rFonts w:ascii="Times New Roman" w:hAnsi="Times New Roman" w:cs="Times New Roman"/>
          <w:sz w:val="24"/>
          <w:szCs w:val="24"/>
        </w:rPr>
        <w:t xml:space="preserve"> </w:t>
      </w:r>
      <w:r w:rsidRPr="002143E7">
        <w:rPr>
          <w:rFonts w:ascii="Times New Roman" w:hAnsi="Times New Roman" w:cs="Times New Roman"/>
          <w:sz w:val="24"/>
          <w:szCs w:val="24"/>
        </w:rPr>
        <w:t>procedures in other Reliability Standards. NERC respectfully requests that the Commission</w:t>
      </w:r>
      <w:r>
        <w:rPr>
          <w:rFonts w:ascii="Times New Roman" w:hAnsi="Times New Roman" w:cs="Times New Roman"/>
          <w:sz w:val="24"/>
          <w:szCs w:val="24"/>
        </w:rPr>
        <w:t xml:space="preserve"> </w:t>
      </w:r>
      <w:r w:rsidRPr="002143E7">
        <w:rPr>
          <w:rFonts w:ascii="Times New Roman" w:hAnsi="Times New Roman" w:cs="Times New Roman"/>
          <w:sz w:val="24"/>
          <w:szCs w:val="24"/>
        </w:rPr>
        <w:t>approve proposed Reliability Standard BAL-002-3 and the associated Implementation Plan as</w:t>
      </w:r>
      <w:r>
        <w:rPr>
          <w:rFonts w:ascii="Times New Roman" w:hAnsi="Times New Roman" w:cs="Times New Roman"/>
          <w:sz w:val="24"/>
          <w:szCs w:val="24"/>
        </w:rPr>
        <w:t xml:space="preserve"> </w:t>
      </w:r>
      <w:r w:rsidRPr="002143E7">
        <w:rPr>
          <w:rFonts w:ascii="Times New Roman" w:hAnsi="Times New Roman" w:cs="Times New Roman"/>
          <w:sz w:val="24"/>
          <w:szCs w:val="24"/>
        </w:rPr>
        <w:t>just, reasonable, not unduly discriminatory or preferential, and in the public interest.</w:t>
      </w:r>
      <w:r>
        <w:rPr>
          <w:rFonts w:ascii="Times New Roman" w:hAnsi="Times New Roman" w:cs="Times New Roman"/>
          <w:sz w:val="24"/>
          <w:szCs w:val="24"/>
        </w:rPr>
        <w:t>”</w:t>
      </w:r>
    </w:p>
    <w:p w14:paraId="16DCFA86" w14:textId="77777777" w:rsidR="002143E7" w:rsidRDefault="002143E7" w:rsidP="002143E7">
      <w:pPr>
        <w:spacing w:after="0" w:line="240" w:lineRule="auto"/>
        <w:rPr>
          <w:rFonts w:ascii="Times New Roman" w:hAnsi="Times New Roman" w:cs="Times New Roman"/>
          <w:sz w:val="24"/>
          <w:szCs w:val="24"/>
        </w:rPr>
      </w:pPr>
    </w:p>
    <w:p w14:paraId="7E07C478" w14:textId="49FC61F8" w:rsidR="000F0C7B" w:rsidRDefault="000F0C7B" w:rsidP="000F0C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0F233D">
        <w:rPr>
          <w:rFonts w:ascii="Times New Roman" w:hAnsi="Times New Roman" w:cs="Times New Roman"/>
          <w:sz w:val="24"/>
          <w:szCs w:val="24"/>
        </w:rPr>
        <w:t xml:space="preserve">FERC </w:t>
      </w:r>
      <w:r>
        <w:rPr>
          <w:rFonts w:ascii="Times New Roman" w:hAnsi="Times New Roman" w:cs="Times New Roman"/>
          <w:sz w:val="24"/>
          <w:szCs w:val="24"/>
        </w:rPr>
        <w:t>Delegated Letter Order</w:t>
      </w:r>
      <w:r w:rsidR="001C5A9B">
        <w:rPr>
          <w:rFonts w:ascii="Times New Roman" w:hAnsi="Times New Roman" w:cs="Times New Roman"/>
          <w:sz w:val="24"/>
          <w:szCs w:val="24"/>
        </w:rPr>
        <w:t>,</w:t>
      </w:r>
      <w:r w:rsidRPr="000F233D">
        <w:rPr>
          <w:rStyle w:val="FootnoteReference"/>
          <w:rFonts w:ascii="Times New Roman" w:hAnsi="Times New Roman" w:cs="Times New Roman"/>
          <w:sz w:val="24"/>
          <w:szCs w:val="24"/>
          <w:vertAlign w:val="superscript"/>
        </w:rPr>
        <w:footnoteReference w:id="6"/>
      </w:r>
      <w:r>
        <w:rPr>
          <w:rFonts w:ascii="Times New Roman" w:hAnsi="Times New Roman" w:cs="Times New Roman"/>
          <w:sz w:val="24"/>
          <w:szCs w:val="24"/>
        </w:rPr>
        <w:t xml:space="preserve"> issued 9/25/2018</w:t>
      </w:r>
      <w:r w:rsidR="001C5A9B">
        <w:rPr>
          <w:rFonts w:ascii="Times New Roman" w:hAnsi="Times New Roman" w:cs="Times New Roman"/>
          <w:sz w:val="24"/>
          <w:szCs w:val="24"/>
        </w:rPr>
        <w:t>,</w:t>
      </w:r>
      <w:r>
        <w:rPr>
          <w:rFonts w:ascii="Times New Roman" w:hAnsi="Times New Roman" w:cs="Times New Roman"/>
          <w:sz w:val="24"/>
          <w:szCs w:val="24"/>
        </w:rPr>
        <w:t xml:space="preserve"> </w:t>
      </w:r>
      <w:r w:rsidR="002143E7">
        <w:rPr>
          <w:rFonts w:ascii="Times New Roman" w:hAnsi="Times New Roman" w:cs="Times New Roman"/>
          <w:sz w:val="24"/>
          <w:szCs w:val="24"/>
        </w:rPr>
        <w:t xml:space="preserve">approving the request </w:t>
      </w:r>
      <w:r w:rsidR="008042BF">
        <w:rPr>
          <w:rFonts w:ascii="Times New Roman" w:hAnsi="Times New Roman" w:cs="Times New Roman"/>
          <w:sz w:val="24"/>
          <w:szCs w:val="24"/>
        </w:rPr>
        <w:t xml:space="preserve">includes </w:t>
      </w:r>
      <w:r w:rsidR="000F233D">
        <w:rPr>
          <w:rFonts w:ascii="Times New Roman" w:hAnsi="Times New Roman" w:cs="Times New Roman"/>
          <w:sz w:val="24"/>
          <w:szCs w:val="24"/>
        </w:rPr>
        <w:t>the following.</w:t>
      </w:r>
    </w:p>
    <w:p w14:paraId="57F782CF" w14:textId="064B165D" w:rsidR="000F0C7B" w:rsidRDefault="000F233D" w:rsidP="000F233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“O</w:t>
      </w:r>
      <w:r w:rsidR="000F0C7B" w:rsidRPr="000F0C7B">
        <w:rPr>
          <w:rFonts w:ascii="Times New Roman" w:hAnsi="Times New Roman" w:cs="Times New Roman"/>
          <w:sz w:val="24"/>
          <w:szCs w:val="24"/>
        </w:rPr>
        <w:t xml:space="preserve">n August 17, 2018, the North American Electric Reliability Corporation (NERC) filed a petition seeking approval of proposed Reliability Standard BAL-002-3 (Disturbance Control Standard—Contingency Reserve for Recovery from a Balancing Contingency Event) and the retirement of currently-effective Reliability Standard BAL-002-2.  NERC submitted proposed Reliability Standard BAL-002-3 in response to the Commission’s directive in Order No. 835 to develop modifications to Reliability Standard BAL-002-2, Requirement R1 to require balancing authorities or reserve sharing groups:  (1) to notify the reliability coordinator of the conditions set forth in Requirement R1, Part 1.3.1 preventing it from complying with the 15-minute ACE recovery period; and (2) to provide the reliability coordinator with its ACE recovery plan, including a target recovery time. </w:t>
      </w:r>
    </w:p>
    <w:p w14:paraId="09A59ECB" w14:textId="77777777" w:rsidR="000F233D" w:rsidRPr="000F0C7B" w:rsidRDefault="000F233D" w:rsidP="000F233D">
      <w:pPr>
        <w:spacing w:after="0" w:line="240" w:lineRule="auto"/>
        <w:ind w:left="720"/>
        <w:rPr>
          <w:rFonts w:ascii="Times New Roman" w:hAnsi="Times New Roman" w:cs="Times New Roman"/>
          <w:sz w:val="24"/>
          <w:szCs w:val="24"/>
        </w:rPr>
      </w:pPr>
    </w:p>
    <w:p w14:paraId="31568A13" w14:textId="64F945CC" w:rsidR="008B5C52" w:rsidRDefault="000F0C7B" w:rsidP="000F233D">
      <w:pPr>
        <w:spacing w:after="0" w:line="240" w:lineRule="auto"/>
        <w:ind w:left="720"/>
        <w:rPr>
          <w:rFonts w:ascii="Times New Roman" w:hAnsi="Times New Roman" w:cs="Times New Roman"/>
          <w:sz w:val="24"/>
          <w:szCs w:val="24"/>
        </w:rPr>
      </w:pPr>
      <w:r w:rsidRPr="000F0C7B">
        <w:rPr>
          <w:rFonts w:ascii="Times New Roman" w:hAnsi="Times New Roman" w:cs="Times New Roman"/>
          <w:sz w:val="24"/>
          <w:szCs w:val="24"/>
        </w:rPr>
        <w:t>NERC’s filing was noticed on August 17, 2018, with interventions, comments and protests due on or before September 10, 2018.  No comments were received.</w:t>
      </w:r>
      <w:r>
        <w:rPr>
          <w:rFonts w:ascii="Times New Roman" w:hAnsi="Times New Roman" w:cs="Times New Roman"/>
          <w:sz w:val="24"/>
          <w:szCs w:val="24"/>
        </w:rPr>
        <w:t>”</w:t>
      </w:r>
    </w:p>
    <w:p w14:paraId="598AE0CD" w14:textId="77777777" w:rsidR="00DF1C8D" w:rsidRPr="00B51BB8" w:rsidRDefault="00DF1C8D" w:rsidP="002A4142">
      <w:pPr>
        <w:spacing w:after="0" w:line="240" w:lineRule="auto"/>
        <w:rPr>
          <w:rFonts w:ascii="Times New Roman" w:hAnsi="Times New Roman" w:cs="Times New Roman"/>
          <w:sz w:val="24"/>
          <w:szCs w:val="24"/>
        </w:rPr>
      </w:pPr>
    </w:p>
    <w:p w14:paraId="3FDEF35C"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4"/>
          <w:szCs w:val="24"/>
        </w:rPr>
      </w:pPr>
      <w:r w:rsidRPr="00B51BB8">
        <w:rPr>
          <w:rFonts w:ascii="Times New Roman" w:hAnsi="Times New Roman" w:cs="Times New Roman"/>
          <w:b/>
          <w:bCs/>
          <w:sz w:val="24"/>
          <w:szCs w:val="24"/>
        </w:rPr>
        <w:t>DESCRIBE ANY CONSIDERATION OF THE USE OF IMPROVED TECHNOLOGY TO REDUCE BURDEN AND TECHNICAL OR LEGAL OBSTACLES TO REDUCING BURDEN.</w:t>
      </w:r>
    </w:p>
    <w:p w14:paraId="672AF6EC" w14:textId="77777777" w:rsidR="004A1428" w:rsidRPr="00B51BB8" w:rsidRDefault="004A1428" w:rsidP="005E2448">
      <w:pPr>
        <w:widowControl w:val="0"/>
        <w:autoSpaceDE w:val="0"/>
        <w:autoSpaceDN w:val="0"/>
        <w:adjustRightInd w:val="0"/>
        <w:spacing w:after="0" w:line="240" w:lineRule="auto"/>
        <w:ind w:left="360"/>
        <w:rPr>
          <w:rFonts w:ascii="Times New Roman" w:hAnsi="Times New Roman" w:cs="Times New Roman"/>
          <w:b/>
          <w:bCs/>
          <w:sz w:val="24"/>
          <w:szCs w:val="24"/>
        </w:rPr>
      </w:pPr>
    </w:p>
    <w:p w14:paraId="764FA827" w14:textId="77777777" w:rsidR="00055683" w:rsidRPr="00B51BB8" w:rsidRDefault="00DF1C8D" w:rsidP="002A4142">
      <w:pPr>
        <w:spacing w:after="0" w:line="240" w:lineRule="auto"/>
        <w:rPr>
          <w:rFonts w:ascii="Times New Roman" w:hAnsi="Times New Roman" w:cs="Times New Roman"/>
          <w:sz w:val="24"/>
          <w:szCs w:val="24"/>
        </w:rPr>
      </w:pPr>
      <w:r w:rsidRPr="00DF1C8D">
        <w:rPr>
          <w:rFonts w:ascii="Times New Roman" w:hAnsi="Times New Roman" w:cs="Times New Roman"/>
          <w:sz w:val="24"/>
          <w:szCs w:val="24"/>
        </w:rPr>
        <w:t>The use of current or improved technology and the medium are not covered in Reliability Standards, and are therefore left to the discretion of each respondent. 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w:t>
      </w:r>
      <w:r>
        <w:rPr>
          <w:rFonts w:ascii="Times New Roman" w:hAnsi="Times New Roman" w:cs="Times New Roman"/>
          <w:sz w:val="24"/>
          <w:szCs w:val="24"/>
        </w:rPr>
        <w:t>ssword-protected user interface</w:t>
      </w:r>
      <w:r w:rsidR="0012731F" w:rsidRPr="00B51BB8">
        <w:rPr>
          <w:rFonts w:ascii="Times New Roman" w:hAnsi="Times New Roman" w:cs="Times New Roman"/>
          <w:sz w:val="24"/>
          <w:szCs w:val="24"/>
        </w:rPr>
        <w:t xml:space="preserve">.  </w:t>
      </w:r>
    </w:p>
    <w:p w14:paraId="68F2DA00" w14:textId="77777777" w:rsidR="00042D80" w:rsidRPr="00B51BB8" w:rsidRDefault="00042D80" w:rsidP="002A4142">
      <w:pPr>
        <w:spacing w:after="0" w:line="240" w:lineRule="auto"/>
        <w:rPr>
          <w:rFonts w:ascii="Times New Roman" w:hAnsi="Times New Roman" w:cs="Times New Roman"/>
          <w:b/>
          <w:bCs/>
          <w:sz w:val="24"/>
          <w:szCs w:val="24"/>
        </w:rPr>
      </w:pPr>
    </w:p>
    <w:p w14:paraId="47A21953"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DESCRIBE EFFORTS TO IDENTIFY DUPLICATION AND SHOW SPECIFICALLY WHY ANY SIMILAR INFORMATION ALREADY AVAILABLE CANNOT BE USED OR MODIFIED FOR USE FOR THE PURPOSE(S) DESCRIBED IN INSTRUCTION NO. 2</w:t>
      </w:r>
    </w:p>
    <w:p w14:paraId="30B27180" w14:textId="77777777" w:rsidR="00C4205B" w:rsidRDefault="00C4205B" w:rsidP="002A4142">
      <w:pPr>
        <w:spacing w:after="0" w:line="240" w:lineRule="auto"/>
        <w:rPr>
          <w:rFonts w:ascii="Times New Roman" w:hAnsi="Times New Roman" w:cs="Times New Roman"/>
          <w:sz w:val="24"/>
          <w:szCs w:val="24"/>
        </w:rPr>
      </w:pPr>
    </w:p>
    <w:p w14:paraId="4AD3C24E" w14:textId="3D485113" w:rsidR="00757251" w:rsidRPr="00B51BB8" w:rsidRDefault="00757251" w:rsidP="002A4142">
      <w:pPr>
        <w:spacing w:after="0" w:line="240" w:lineRule="auto"/>
        <w:rPr>
          <w:rFonts w:ascii="Times New Roman" w:hAnsi="Times New Roman" w:cs="Times New Roman"/>
          <w:sz w:val="24"/>
          <w:szCs w:val="24"/>
        </w:rPr>
      </w:pPr>
      <w:r>
        <w:rPr>
          <w:rFonts w:ascii="Times New Roman" w:hAnsi="Times New Roman" w:cs="Times New Roman"/>
          <w:sz w:val="24"/>
          <w:szCs w:val="24"/>
        </w:rPr>
        <w:t>There is no similar information available.</w:t>
      </w:r>
    </w:p>
    <w:p w14:paraId="3A1BDA48" w14:textId="77777777" w:rsidR="00F64A6F" w:rsidRPr="00B51BB8" w:rsidRDefault="00F64A6F" w:rsidP="002A4142">
      <w:pPr>
        <w:spacing w:after="0" w:line="240" w:lineRule="auto"/>
        <w:rPr>
          <w:rFonts w:ascii="Times New Roman" w:hAnsi="Times New Roman" w:cs="Times New Roman"/>
          <w:sz w:val="24"/>
          <w:szCs w:val="24"/>
        </w:rPr>
      </w:pPr>
    </w:p>
    <w:p w14:paraId="5991DBEA"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METHODS USED TO MINIMIZE BURDEN IN COLLECTION OF INFORMATION INVOLVING SMALL ENTITIES</w:t>
      </w:r>
    </w:p>
    <w:p w14:paraId="4BAE7F17" w14:textId="77777777" w:rsidR="00C4205B" w:rsidRPr="00B51BB8" w:rsidRDefault="00C4205B" w:rsidP="002A4142">
      <w:pPr>
        <w:spacing w:after="0" w:line="240" w:lineRule="auto"/>
        <w:rPr>
          <w:rFonts w:ascii="Times New Roman" w:hAnsi="Times New Roman" w:cs="Times New Roman"/>
          <w:b/>
          <w:bCs/>
          <w:sz w:val="24"/>
          <w:szCs w:val="24"/>
        </w:rPr>
      </w:pPr>
    </w:p>
    <w:p w14:paraId="5ABF12AE" w14:textId="77777777" w:rsidR="00581276" w:rsidRDefault="00757251" w:rsidP="00DF1C8D">
      <w:pPr>
        <w:spacing w:after="0" w:line="240" w:lineRule="auto"/>
        <w:rPr>
          <w:rFonts w:ascii="Times New Roman" w:hAnsi="Times New Roman" w:cs="Times New Roman"/>
          <w:bCs/>
          <w:sz w:val="24"/>
          <w:szCs w:val="24"/>
        </w:rPr>
      </w:pPr>
      <w:r w:rsidRPr="00757251">
        <w:rPr>
          <w:rFonts w:ascii="Times New Roman" w:hAnsi="Times New Roman" w:cs="Times New Roman"/>
          <w:bCs/>
          <w:sz w:val="24"/>
          <w:szCs w:val="24"/>
        </w:rPr>
        <w:t xml:space="preserve">FERC considers the impact to be </w:t>
      </w:r>
      <w:r>
        <w:rPr>
          <w:rFonts w:ascii="Times New Roman" w:hAnsi="Times New Roman" w:cs="Times New Roman"/>
          <w:bCs/>
          <w:sz w:val="24"/>
          <w:szCs w:val="24"/>
        </w:rPr>
        <w:t>de minimis</w:t>
      </w:r>
      <w:r w:rsidRPr="00757251">
        <w:rPr>
          <w:rFonts w:ascii="Times New Roman" w:hAnsi="Times New Roman" w:cs="Times New Roman"/>
          <w:bCs/>
          <w:sz w:val="24"/>
          <w:szCs w:val="24"/>
        </w:rPr>
        <w:t xml:space="preserve">.  </w:t>
      </w:r>
    </w:p>
    <w:p w14:paraId="7D00A748" w14:textId="77777777" w:rsidR="00581276" w:rsidRDefault="00581276" w:rsidP="00DF1C8D">
      <w:pPr>
        <w:spacing w:after="0" w:line="240" w:lineRule="auto"/>
        <w:rPr>
          <w:rFonts w:ascii="Times New Roman" w:hAnsi="Times New Roman" w:cs="Times New Roman"/>
          <w:bCs/>
          <w:sz w:val="24"/>
          <w:szCs w:val="24"/>
        </w:rPr>
      </w:pPr>
    </w:p>
    <w:p w14:paraId="13DF92C2" w14:textId="6F3C727A" w:rsidR="00DF1C8D" w:rsidRDefault="00757251" w:rsidP="00DF1C8D">
      <w:pPr>
        <w:spacing w:after="0" w:line="240" w:lineRule="auto"/>
        <w:rPr>
          <w:rFonts w:ascii="Times New Roman" w:hAnsi="Times New Roman" w:cs="Times New Roman"/>
          <w:bCs/>
          <w:sz w:val="24"/>
          <w:szCs w:val="24"/>
        </w:rPr>
      </w:pPr>
      <w:r w:rsidRPr="00757251">
        <w:rPr>
          <w:rFonts w:ascii="Times New Roman" w:hAnsi="Times New Roman" w:cs="Times New Roman"/>
          <w:bCs/>
          <w:sz w:val="24"/>
          <w:szCs w:val="24"/>
        </w:rPr>
        <w:t>In general, small entities may reduce their burden by taking part in a joint registration organization or a coordinated functional registration.  These options allow a small entity to share the compliance burden with other entities and, thus, to minimize their own compliance burden. Detailed information regarding these options is available in NERC’s Rule of Procedure at Sections 507 and 508 .</w:t>
      </w:r>
    </w:p>
    <w:p w14:paraId="0FA90926" w14:textId="77777777" w:rsidR="00757251" w:rsidRPr="00B51BB8" w:rsidRDefault="00757251" w:rsidP="00DF1C8D">
      <w:pPr>
        <w:spacing w:after="0" w:line="240" w:lineRule="auto"/>
        <w:rPr>
          <w:rFonts w:ascii="Times New Roman" w:hAnsi="Times New Roman" w:cs="Times New Roman"/>
          <w:bCs/>
          <w:sz w:val="24"/>
          <w:szCs w:val="24"/>
        </w:rPr>
      </w:pPr>
    </w:p>
    <w:p w14:paraId="030DDA99"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sz w:val="24"/>
          <w:szCs w:val="24"/>
        </w:rPr>
        <w:t>CONSEQUENCE TO FEDERAL PROGRAM IF COLLECTION WERE CONDUCTED LESS FREQUENTLY</w:t>
      </w:r>
    </w:p>
    <w:p w14:paraId="4587C2F3" w14:textId="77777777" w:rsidR="00C4205B" w:rsidRDefault="00C4205B" w:rsidP="005E2448">
      <w:pPr>
        <w:pStyle w:val="FERCparanumber"/>
        <w:widowControl/>
        <w:numPr>
          <w:ilvl w:val="0"/>
          <w:numId w:val="0"/>
        </w:numPr>
        <w:tabs>
          <w:tab w:val="left" w:pos="720"/>
        </w:tabs>
        <w:rPr>
          <w:rFonts w:ascii="Times New Roman" w:hAnsi="Times New Roman" w:cs="Times New Roman"/>
        </w:rPr>
      </w:pPr>
    </w:p>
    <w:p w14:paraId="1087634E" w14:textId="7CDB99D2" w:rsidR="00757251" w:rsidRPr="00B51BB8" w:rsidRDefault="00757251" w:rsidP="005E2448">
      <w:pPr>
        <w:pStyle w:val="FERCparanumber"/>
        <w:widowControl/>
        <w:numPr>
          <w:ilvl w:val="0"/>
          <w:numId w:val="0"/>
        </w:numPr>
        <w:tabs>
          <w:tab w:val="left" w:pos="720"/>
        </w:tabs>
        <w:rPr>
          <w:rFonts w:ascii="Times New Roman" w:hAnsi="Times New Roman" w:cs="Times New Roman"/>
        </w:rPr>
      </w:pPr>
      <w:r w:rsidRPr="00757251">
        <w:rPr>
          <w:rFonts w:ascii="Times New Roman" w:hAnsi="Times New Roman" w:cs="Times New Roman"/>
        </w:rPr>
        <w:t>If the requirements of this standard (and its associated information collection requirements) were performed less frequently, NERC would not be provided the necessary information to appropriately maintain reserves nor adequately define events that predicate action under the BAL-002-</w:t>
      </w:r>
      <w:r>
        <w:rPr>
          <w:rFonts w:ascii="Times New Roman" w:hAnsi="Times New Roman" w:cs="Times New Roman"/>
        </w:rPr>
        <w:t>3</w:t>
      </w:r>
      <w:r w:rsidRPr="00757251">
        <w:rPr>
          <w:rFonts w:ascii="Times New Roman" w:hAnsi="Times New Roman" w:cs="Times New Roman"/>
        </w:rPr>
        <w:t xml:space="preserve"> Reliability Standard.  Without this data, NERC would not be able to ensure that interconnection frequency is maintained within predefined limits to improve reliability.</w:t>
      </w:r>
    </w:p>
    <w:p w14:paraId="5A597F29" w14:textId="77777777" w:rsidR="006C0F0B" w:rsidRPr="00B51BB8" w:rsidRDefault="006C0F0B" w:rsidP="002A4142">
      <w:pPr>
        <w:spacing w:after="0" w:line="240" w:lineRule="auto"/>
        <w:rPr>
          <w:rFonts w:ascii="Times New Roman" w:hAnsi="Times New Roman" w:cs="Times New Roman"/>
          <w:sz w:val="24"/>
          <w:szCs w:val="24"/>
        </w:rPr>
      </w:pPr>
    </w:p>
    <w:p w14:paraId="36702F99"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EXPLAIN ANY SPECIAL CIRCUMSTANCES RELATING TO THE INFORMATION COLLECTION</w:t>
      </w:r>
    </w:p>
    <w:p w14:paraId="08DEC30C" w14:textId="77777777" w:rsidR="00C4205B" w:rsidRPr="00B51BB8" w:rsidRDefault="00C4205B" w:rsidP="002A4142">
      <w:pPr>
        <w:spacing w:after="0" w:line="240" w:lineRule="auto"/>
        <w:rPr>
          <w:rFonts w:ascii="Times New Roman" w:hAnsi="Times New Roman" w:cs="Times New Roman"/>
          <w:b/>
          <w:bCs/>
          <w:sz w:val="24"/>
          <w:szCs w:val="24"/>
        </w:rPr>
      </w:pPr>
    </w:p>
    <w:p w14:paraId="64ED5B41" w14:textId="0B5A02D6" w:rsidR="00115F24" w:rsidRDefault="003C4B09" w:rsidP="002A4142">
      <w:pPr>
        <w:spacing w:after="0" w:line="240" w:lineRule="auto"/>
        <w:rPr>
          <w:rFonts w:ascii="Times New Roman" w:eastAsia="Calibri" w:hAnsi="Times New Roman" w:cs="Times New Roman"/>
          <w:sz w:val="24"/>
          <w:szCs w:val="24"/>
        </w:rPr>
      </w:pPr>
      <w:r w:rsidRPr="00757251">
        <w:rPr>
          <w:rFonts w:ascii="Times New Roman" w:eastAsia="Calibri" w:hAnsi="Times New Roman" w:cs="Times New Roman"/>
          <w:sz w:val="24"/>
          <w:szCs w:val="24"/>
        </w:rPr>
        <w:t>There are</w:t>
      </w:r>
      <w:r w:rsidR="00CB0831" w:rsidRPr="00CB0831">
        <w:rPr>
          <w:rFonts w:ascii="Times New Roman" w:eastAsia="Calibri" w:hAnsi="Times New Roman" w:cs="Times New Roman"/>
          <w:sz w:val="24"/>
          <w:szCs w:val="24"/>
        </w:rPr>
        <w:t xml:space="preserve"> no special circumstances</w:t>
      </w:r>
      <w:r w:rsidR="00581276">
        <w:rPr>
          <w:rFonts w:ascii="Times New Roman" w:eastAsia="Calibri" w:hAnsi="Times New Roman" w:cs="Times New Roman"/>
          <w:sz w:val="24"/>
          <w:szCs w:val="24"/>
        </w:rPr>
        <w:t>, unless an enetity is found to be non-compliant (as highlighted below in the excerpt from the standard in NERC’s Petition</w:t>
      </w:r>
      <w:r w:rsidR="008619AB">
        <w:rPr>
          <w:rFonts w:ascii="Times New Roman" w:eastAsia="Calibri" w:hAnsi="Times New Roman" w:cs="Times New Roman"/>
          <w:sz w:val="24"/>
          <w:szCs w:val="24"/>
        </w:rPr>
        <w:t xml:space="preserve"> </w:t>
      </w:r>
      <w:r w:rsidR="00581276">
        <w:rPr>
          <w:rFonts w:ascii="Times New Roman" w:eastAsia="Calibri" w:hAnsi="Times New Roman" w:cs="Times New Roman"/>
          <w:sz w:val="24"/>
          <w:szCs w:val="24"/>
        </w:rPr>
        <w:t>(highlighting added)</w:t>
      </w:r>
      <w:r w:rsidR="00CB0831" w:rsidRPr="00CB0831">
        <w:rPr>
          <w:rFonts w:ascii="Times New Roman" w:eastAsia="Calibri" w:hAnsi="Times New Roman" w:cs="Times New Roman"/>
          <w:sz w:val="24"/>
          <w:szCs w:val="24"/>
        </w:rPr>
        <w:t xml:space="preserve">.  </w:t>
      </w:r>
    </w:p>
    <w:p w14:paraId="1D1E63D4" w14:textId="77777777" w:rsidR="00581276" w:rsidRDefault="00581276" w:rsidP="002A4142">
      <w:pPr>
        <w:spacing w:after="0" w:line="240" w:lineRule="auto"/>
        <w:rPr>
          <w:rFonts w:ascii="Times New Roman" w:eastAsia="Calibri" w:hAnsi="Times New Roman" w:cs="Times New Roman"/>
          <w:sz w:val="24"/>
          <w:szCs w:val="24"/>
        </w:rPr>
      </w:pPr>
    </w:p>
    <w:p w14:paraId="3EF0343A" w14:textId="6EF7A5CE" w:rsidR="00581276" w:rsidRPr="008619AB" w:rsidRDefault="00581276" w:rsidP="008619AB">
      <w:pPr>
        <w:autoSpaceDE w:val="0"/>
        <w:autoSpaceDN w:val="0"/>
        <w:adjustRightInd w:val="0"/>
        <w:spacing w:after="0" w:line="240" w:lineRule="auto"/>
        <w:ind w:left="720"/>
        <w:rPr>
          <w:rFonts w:ascii="Times New Roman" w:hAnsi="Times New Roman" w:cs="Times New Roman"/>
          <w:b/>
          <w:bCs/>
          <w:sz w:val="24"/>
          <w:szCs w:val="24"/>
        </w:rPr>
      </w:pPr>
      <w:r w:rsidRPr="008619AB">
        <w:rPr>
          <w:rFonts w:ascii="Times New Roman" w:hAnsi="Times New Roman" w:cs="Times New Roman"/>
          <w:b/>
          <w:bCs/>
          <w:sz w:val="24"/>
          <w:szCs w:val="24"/>
        </w:rPr>
        <w:t>“1.2. Evidence Retention</w:t>
      </w:r>
    </w:p>
    <w:p w14:paraId="20107905" w14:textId="77777777" w:rsidR="00581276" w:rsidRPr="008619AB" w:rsidRDefault="00581276" w:rsidP="008619AB">
      <w:pPr>
        <w:autoSpaceDE w:val="0"/>
        <w:autoSpaceDN w:val="0"/>
        <w:adjustRightInd w:val="0"/>
        <w:spacing w:after="0" w:line="240" w:lineRule="auto"/>
        <w:ind w:left="720"/>
        <w:rPr>
          <w:rFonts w:ascii="Times New Roman" w:hAnsi="Times New Roman" w:cs="Times New Roman"/>
          <w:sz w:val="24"/>
          <w:szCs w:val="24"/>
        </w:rPr>
      </w:pPr>
      <w:r w:rsidRPr="008619AB">
        <w:rPr>
          <w:rFonts w:ascii="Times New Roman" w:hAnsi="Times New Roman" w:cs="Times New Roman"/>
          <w:sz w:val="24"/>
          <w:szCs w:val="24"/>
        </w:rPr>
        <w:t>The following evidence retention period(s) identify the period of time an entity</w:t>
      </w:r>
    </w:p>
    <w:p w14:paraId="32FF8A3C" w14:textId="77777777" w:rsidR="00581276" w:rsidRPr="008619AB" w:rsidRDefault="00581276" w:rsidP="008619AB">
      <w:pPr>
        <w:autoSpaceDE w:val="0"/>
        <w:autoSpaceDN w:val="0"/>
        <w:adjustRightInd w:val="0"/>
        <w:spacing w:after="0" w:line="240" w:lineRule="auto"/>
        <w:ind w:left="720"/>
        <w:rPr>
          <w:rFonts w:ascii="Times New Roman" w:hAnsi="Times New Roman" w:cs="Times New Roman"/>
          <w:sz w:val="24"/>
          <w:szCs w:val="24"/>
        </w:rPr>
      </w:pPr>
      <w:r w:rsidRPr="008619AB">
        <w:rPr>
          <w:rFonts w:ascii="Times New Roman" w:hAnsi="Times New Roman" w:cs="Times New Roman"/>
          <w:sz w:val="24"/>
          <w:szCs w:val="24"/>
        </w:rPr>
        <w:t>is required to retain specific evidence to demonstrate compliance. For instances</w:t>
      </w:r>
    </w:p>
    <w:p w14:paraId="1066FC56" w14:textId="77777777" w:rsidR="00581276" w:rsidRPr="008619AB" w:rsidRDefault="00581276" w:rsidP="008619AB">
      <w:pPr>
        <w:autoSpaceDE w:val="0"/>
        <w:autoSpaceDN w:val="0"/>
        <w:adjustRightInd w:val="0"/>
        <w:spacing w:after="0" w:line="240" w:lineRule="auto"/>
        <w:ind w:left="720"/>
        <w:rPr>
          <w:rFonts w:ascii="Times New Roman" w:hAnsi="Times New Roman" w:cs="Times New Roman"/>
          <w:sz w:val="24"/>
          <w:szCs w:val="24"/>
        </w:rPr>
      </w:pPr>
      <w:r w:rsidRPr="008619AB">
        <w:rPr>
          <w:rFonts w:ascii="Times New Roman" w:hAnsi="Times New Roman" w:cs="Times New Roman"/>
          <w:sz w:val="24"/>
          <w:szCs w:val="24"/>
        </w:rPr>
        <w:t>where the evidence retention period specified below is shorter than the time</w:t>
      </w:r>
    </w:p>
    <w:p w14:paraId="59EB2F3B" w14:textId="77777777" w:rsidR="00581276" w:rsidRPr="008619AB" w:rsidRDefault="00581276" w:rsidP="008619AB">
      <w:pPr>
        <w:autoSpaceDE w:val="0"/>
        <w:autoSpaceDN w:val="0"/>
        <w:adjustRightInd w:val="0"/>
        <w:spacing w:after="0" w:line="240" w:lineRule="auto"/>
        <w:ind w:left="720"/>
        <w:rPr>
          <w:rFonts w:ascii="Times New Roman" w:hAnsi="Times New Roman" w:cs="Times New Roman"/>
          <w:sz w:val="24"/>
          <w:szCs w:val="24"/>
        </w:rPr>
      </w:pPr>
      <w:r w:rsidRPr="008619AB">
        <w:rPr>
          <w:rFonts w:ascii="Times New Roman" w:hAnsi="Times New Roman" w:cs="Times New Roman"/>
          <w:sz w:val="24"/>
          <w:szCs w:val="24"/>
        </w:rPr>
        <w:t>since the last audit, the Compliance Enforcement Authority may ask an entity to</w:t>
      </w:r>
    </w:p>
    <w:p w14:paraId="2E7FC8EB" w14:textId="77777777" w:rsidR="00581276" w:rsidRPr="008619AB" w:rsidRDefault="00581276" w:rsidP="008619AB">
      <w:pPr>
        <w:autoSpaceDE w:val="0"/>
        <w:autoSpaceDN w:val="0"/>
        <w:adjustRightInd w:val="0"/>
        <w:spacing w:after="0" w:line="240" w:lineRule="auto"/>
        <w:ind w:left="720"/>
        <w:rPr>
          <w:rFonts w:ascii="Times New Roman" w:hAnsi="Times New Roman" w:cs="Times New Roman"/>
          <w:sz w:val="24"/>
          <w:szCs w:val="24"/>
        </w:rPr>
      </w:pPr>
      <w:r w:rsidRPr="008619AB">
        <w:rPr>
          <w:rFonts w:ascii="Times New Roman" w:hAnsi="Times New Roman" w:cs="Times New Roman"/>
          <w:sz w:val="24"/>
          <w:szCs w:val="24"/>
        </w:rPr>
        <w:t>provide other evidence to show that it was compliant for the full-time period</w:t>
      </w:r>
    </w:p>
    <w:p w14:paraId="774BBB15" w14:textId="77777777" w:rsidR="00581276" w:rsidRPr="008619AB" w:rsidRDefault="00581276" w:rsidP="008619AB">
      <w:pPr>
        <w:autoSpaceDE w:val="0"/>
        <w:autoSpaceDN w:val="0"/>
        <w:adjustRightInd w:val="0"/>
        <w:spacing w:after="0" w:line="240" w:lineRule="auto"/>
        <w:ind w:left="720"/>
        <w:rPr>
          <w:rFonts w:ascii="Times New Roman" w:hAnsi="Times New Roman" w:cs="Times New Roman"/>
          <w:sz w:val="24"/>
          <w:szCs w:val="24"/>
        </w:rPr>
      </w:pPr>
      <w:r w:rsidRPr="008619AB">
        <w:rPr>
          <w:rFonts w:ascii="Times New Roman" w:hAnsi="Times New Roman" w:cs="Times New Roman"/>
          <w:sz w:val="24"/>
          <w:szCs w:val="24"/>
        </w:rPr>
        <w:t>since the last audit.</w:t>
      </w:r>
    </w:p>
    <w:p w14:paraId="2F54FB0F" w14:textId="77777777" w:rsidR="00581276" w:rsidRPr="008619AB" w:rsidRDefault="00581276" w:rsidP="008619AB">
      <w:pPr>
        <w:autoSpaceDE w:val="0"/>
        <w:autoSpaceDN w:val="0"/>
        <w:adjustRightInd w:val="0"/>
        <w:spacing w:after="0" w:line="240" w:lineRule="auto"/>
        <w:ind w:left="720"/>
        <w:rPr>
          <w:rFonts w:ascii="Times New Roman" w:hAnsi="Times New Roman" w:cs="Times New Roman"/>
          <w:sz w:val="24"/>
          <w:szCs w:val="24"/>
        </w:rPr>
      </w:pPr>
      <w:r w:rsidRPr="008619AB">
        <w:rPr>
          <w:rFonts w:ascii="Times New Roman" w:hAnsi="Times New Roman" w:cs="Times New Roman"/>
          <w:sz w:val="24"/>
          <w:szCs w:val="24"/>
        </w:rPr>
        <w:t>The Responsible Entity shall retain data or evidence to show compliance for the</w:t>
      </w:r>
    </w:p>
    <w:p w14:paraId="6A302D9D" w14:textId="77777777" w:rsidR="00581276" w:rsidRPr="008619AB" w:rsidRDefault="00581276" w:rsidP="008619AB">
      <w:pPr>
        <w:autoSpaceDE w:val="0"/>
        <w:autoSpaceDN w:val="0"/>
        <w:adjustRightInd w:val="0"/>
        <w:spacing w:after="0" w:line="240" w:lineRule="auto"/>
        <w:ind w:left="720"/>
        <w:rPr>
          <w:rFonts w:ascii="Times New Roman" w:hAnsi="Times New Roman" w:cs="Times New Roman"/>
          <w:sz w:val="24"/>
          <w:szCs w:val="24"/>
        </w:rPr>
      </w:pPr>
      <w:r w:rsidRPr="008619AB">
        <w:rPr>
          <w:rFonts w:ascii="Times New Roman" w:hAnsi="Times New Roman" w:cs="Times New Roman"/>
          <w:sz w:val="24"/>
          <w:szCs w:val="24"/>
        </w:rPr>
        <w:t>current year, plus three previous calendar years, unless directed by its</w:t>
      </w:r>
    </w:p>
    <w:p w14:paraId="5552BE98" w14:textId="77777777" w:rsidR="00581276" w:rsidRPr="008619AB" w:rsidRDefault="00581276" w:rsidP="008619AB">
      <w:pPr>
        <w:autoSpaceDE w:val="0"/>
        <w:autoSpaceDN w:val="0"/>
        <w:adjustRightInd w:val="0"/>
        <w:spacing w:after="0" w:line="240" w:lineRule="auto"/>
        <w:ind w:left="720"/>
        <w:rPr>
          <w:rFonts w:ascii="Times New Roman" w:hAnsi="Times New Roman" w:cs="Times New Roman"/>
          <w:sz w:val="24"/>
          <w:szCs w:val="24"/>
        </w:rPr>
      </w:pPr>
      <w:r w:rsidRPr="008619AB">
        <w:rPr>
          <w:rFonts w:ascii="Times New Roman" w:hAnsi="Times New Roman" w:cs="Times New Roman"/>
          <w:sz w:val="24"/>
          <w:szCs w:val="24"/>
        </w:rPr>
        <w:t>Compliance Enforcement Authority to retain specific evidence for a longer</w:t>
      </w:r>
    </w:p>
    <w:p w14:paraId="6266AFE6" w14:textId="77777777" w:rsidR="00581276" w:rsidRPr="008619AB" w:rsidRDefault="00581276" w:rsidP="008619AB">
      <w:pPr>
        <w:autoSpaceDE w:val="0"/>
        <w:autoSpaceDN w:val="0"/>
        <w:adjustRightInd w:val="0"/>
        <w:spacing w:after="0" w:line="240" w:lineRule="auto"/>
        <w:ind w:left="720"/>
        <w:rPr>
          <w:rFonts w:ascii="Times New Roman" w:hAnsi="Times New Roman" w:cs="Times New Roman"/>
          <w:sz w:val="24"/>
          <w:szCs w:val="24"/>
        </w:rPr>
      </w:pPr>
      <w:r w:rsidRPr="008619AB">
        <w:rPr>
          <w:rFonts w:ascii="Times New Roman" w:hAnsi="Times New Roman" w:cs="Times New Roman"/>
          <w:sz w:val="24"/>
          <w:szCs w:val="24"/>
        </w:rPr>
        <w:t>period of time as part of an investigation.</w:t>
      </w:r>
    </w:p>
    <w:p w14:paraId="22DD007D" w14:textId="77777777" w:rsidR="00581276" w:rsidRPr="008619AB" w:rsidRDefault="00581276" w:rsidP="008619AB">
      <w:pPr>
        <w:autoSpaceDE w:val="0"/>
        <w:autoSpaceDN w:val="0"/>
        <w:adjustRightInd w:val="0"/>
        <w:spacing w:after="0" w:line="240" w:lineRule="auto"/>
        <w:ind w:left="720"/>
        <w:rPr>
          <w:rFonts w:ascii="Times New Roman" w:hAnsi="Times New Roman" w:cs="Times New Roman"/>
          <w:sz w:val="24"/>
          <w:szCs w:val="24"/>
          <w:highlight w:val="yellow"/>
        </w:rPr>
      </w:pPr>
      <w:r w:rsidRPr="008619AB">
        <w:rPr>
          <w:rFonts w:ascii="Times New Roman" w:hAnsi="Times New Roman" w:cs="Times New Roman"/>
          <w:sz w:val="24"/>
          <w:szCs w:val="24"/>
          <w:highlight w:val="yellow"/>
        </w:rPr>
        <w:t>If a Responsible Entity is found noncompliant, it shall keep information related</w:t>
      </w:r>
    </w:p>
    <w:p w14:paraId="136878DB" w14:textId="77777777" w:rsidR="00581276" w:rsidRPr="008619AB" w:rsidRDefault="00581276" w:rsidP="008619AB">
      <w:pPr>
        <w:autoSpaceDE w:val="0"/>
        <w:autoSpaceDN w:val="0"/>
        <w:adjustRightInd w:val="0"/>
        <w:spacing w:after="0" w:line="240" w:lineRule="auto"/>
        <w:ind w:left="720"/>
        <w:rPr>
          <w:rFonts w:ascii="Times New Roman" w:hAnsi="Times New Roman" w:cs="Times New Roman"/>
          <w:sz w:val="24"/>
          <w:szCs w:val="24"/>
          <w:highlight w:val="yellow"/>
        </w:rPr>
      </w:pPr>
      <w:r w:rsidRPr="008619AB">
        <w:rPr>
          <w:rFonts w:ascii="Times New Roman" w:hAnsi="Times New Roman" w:cs="Times New Roman"/>
          <w:sz w:val="24"/>
          <w:szCs w:val="24"/>
          <w:highlight w:val="yellow"/>
        </w:rPr>
        <w:t>to the noncompliance until found compliant, or for the time period specified</w:t>
      </w:r>
    </w:p>
    <w:p w14:paraId="29F11AF0" w14:textId="77777777" w:rsidR="00581276" w:rsidRPr="008619AB" w:rsidRDefault="00581276" w:rsidP="008619AB">
      <w:pPr>
        <w:autoSpaceDE w:val="0"/>
        <w:autoSpaceDN w:val="0"/>
        <w:adjustRightInd w:val="0"/>
        <w:spacing w:after="0" w:line="240" w:lineRule="auto"/>
        <w:ind w:left="720"/>
        <w:rPr>
          <w:rFonts w:ascii="Times New Roman" w:hAnsi="Times New Roman" w:cs="Times New Roman"/>
          <w:sz w:val="24"/>
          <w:szCs w:val="24"/>
        </w:rPr>
      </w:pPr>
      <w:r w:rsidRPr="008619AB">
        <w:rPr>
          <w:rFonts w:ascii="Times New Roman" w:hAnsi="Times New Roman" w:cs="Times New Roman"/>
          <w:sz w:val="24"/>
          <w:szCs w:val="24"/>
          <w:highlight w:val="yellow"/>
        </w:rPr>
        <w:t>above, whichever is longer.</w:t>
      </w:r>
    </w:p>
    <w:p w14:paraId="21A33791" w14:textId="77777777" w:rsidR="00581276" w:rsidRPr="008619AB" w:rsidRDefault="00581276" w:rsidP="008619AB">
      <w:pPr>
        <w:autoSpaceDE w:val="0"/>
        <w:autoSpaceDN w:val="0"/>
        <w:adjustRightInd w:val="0"/>
        <w:spacing w:after="0" w:line="240" w:lineRule="auto"/>
        <w:ind w:left="720"/>
        <w:rPr>
          <w:rFonts w:ascii="Times New Roman" w:hAnsi="Times New Roman" w:cs="Times New Roman"/>
          <w:sz w:val="24"/>
          <w:szCs w:val="24"/>
        </w:rPr>
      </w:pPr>
      <w:r w:rsidRPr="008619AB">
        <w:rPr>
          <w:rFonts w:ascii="Times New Roman" w:hAnsi="Times New Roman" w:cs="Times New Roman"/>
          <w:sz w:val="24"/>
          <w:szCs w:val="24"/>
        </w:rPr>
        <w:t>The Compliance Enforcement Authority shall keep the last audit records and all</w:t>
      </w:r>
    </w:p>
    <w:p w14:paraId="7919F259" w14:textId="797DFE53" w:rsidR="00581276" w:rsidRPr="008619AB" w:rsidRDefault="00581276" w:rsidP="008619AB">
      <w:pPr>
        <w:spacing w:after="0" w:line="240" w:lineRule="auto"/>
        <w:ind w:left="720"/>
        <w:rPr>
          <w:rFonts w:ascii="Times New Roman" w:eastAsia="Calibri" w:hAnsi="Times New Roman" w:cs="Times New Roman"/>
          <w:sz w:val="24"/>
          <w:szCs w:val="24"/>
        </w:rPr>
      </w:pPr>
      <w:r w:rsidRPr="008619AB">
        <w:rPr>
          <w:rFonts w:ascii="Times New Roman" w:hAnsi="Times New Roman" w:cs="Times New Roman"/>
          <w:sz w:val="24"/>
          <w:szCs w:val="24"/>
        </w:rPr>
        <w:t>subsequent requested and submitted records.”</w:t>
      </w:r>
    </w:p>
    <w:p w14:paraId="2F2E2073" w14:textId="35ED4B84" w:rsidR="006C0F0B" w:rsidRPr="00B51BB8" w:rsidRDefault="006C0F0B" w:rsidP="002A4142">
      <w:pPr>
        <w:spacing w:after="0" w:line="240" w:lineRule="auto"/>
        <w:rPr>
          <w:rFonts w:ascii="Times New Roman" w:hAnsi="Times New Roman" w:cs="Times New Roman"/>
          <w:sz w:val="24"/>
          <w:szCs w:val="24"/>
        </w:rPr>
      </w:pPr>
    </w:p>
    <w:p w14:paraId="179F99BF"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DESCRIBE EFFORTS TO CONSULT OUTSIDE THE AGENCY: SUMMARIZE PUBLIC COMMENTS AND THE AGENCY'S RESPONSE TO THESE COMMENTS</w:t>
      </w:r>
    </w:p>
    <w:p w14:paraId="60D9FBAE" w14:textId="77777777" w:rsidR="00C4205B" w:rsidRPr="00B51BB8" w:rsidRDefault="00C4205B" w:rsidP="002A4142">
      <w:pPr>
        <w:spacing w:after="0" w:line="240" w:lineRule="auto"/>
        <w:rPr>
          <w:rFonts w:ascii="Times New Roman" w:hAnsi="Times New Roman" w:cs="Times New Roman"/>
          <w:b/>
          <w:bCs/>
          <w:sz w:val="24"/>
          <w:szCs w:val="24"/>
        </w:rPr>
      </w:pPr>
    </w:p>
    <w:p w14:paraId="2AE1012D" w14:textId="477F6C61" w:rsidR="00886690" w:rsidRDefault="008619AB" w:rsidP="002A4142">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w:t>
      </w:r>
      <w:r w:rsidR="00886690">
        <w:rPr>
          <w:rFonts w:ascii="Times New Roman" w:hAnsi="Times New Roman" w:cs="Times New Roman"/>
          <w:bCs/>
          <w:sz w:val="24"/>
          <w:szCs w:val="24"/>
        </w:rPr>
        <w:t>Commission issued a notice</w:t>
      </w:r>
      <w:r w:rsidR="00886690" w:rsidRPr="006D6849">
        <w:rPr>
          <w:rStyle w:val="FootnoteReference"/>
          <w:rFonts w:ascii="Times New Roman" w:hAnsi="Times New Roman" w:cs="Times New Roman"/>
          <w:bCs/>
          <w:sz w:val="24"/>
          <w:szCs w:val="24"/>
          <w:vertAlign w:val="superscript"/>
        </w:rPr>
        <w:footnoteReference w:id="7"/>
      </w:r>
      <w:r w:rsidR="00886690" w:rsidRPr="006D6849">
        <w:rPr>
          <w:rFonts w:ascii="Times New Roman" w:hAnsi="Times New Roman" w:cs="Times New Roman"/>
          <w:bCs/>
          <w:sz w:val="24"/>
          <w:szCs w:val="24"/>
          <w:vertAlign w:val="superscript"/>
        </w:rPr>
        <w:t xml:space="preserve"> </w:t>
      </w:r>
      <w:r w:rsidR="00886690">
        <w:rPr>
          <w:rFonts w:ascii="Times New Roman" w:hAnsi="Times New Roman" w:cs="Times New Roman"/>
          <w:bCs/>
          <w:sz w:val="24"/>
          <w:szCs w:val="24"/>
        </w:rPr>
        <w:t xml:space="preserve">about the filing of the </w:t>
      </w:r>
      <w:r>
        <w:rPr>
          <w:rFonts w:ascii="Times New Roman" w:hAnsi="Times New Roman" w:cs="Times New Roman"/>
          <w:bCs/>
          <w:sz w:val="24"/>
          <w:szCs w:val="24"/>
        </w:rPr>
        <w:t>NERC Pe</w:t>
      </w:r>
      <w:r w:rsidR="00886690">
        <w:rPr>
          <w:rFonts w:ascii="Times New Roman" w:hAnsi="Times New Roman" w:cs="Times New Roman"/>
          <w:bCs/>
          <w:sz w:val="24"/>
          <w:szCs w:val="24"/>
        </w:rPr>
        <w:t>tition</w:t>
      </w:r>
      <w:r w:rsidR="00886690" w:rsidRPr="00886690">
        <w:rPr>
          <w:rFonts w:ascii="Times New Roman" w:hAnsi="Times New Roman" w:cs="Times New Roman"/>
          <w:bCs/>
          <w:sz w:val="24"/>
          <w:szCs w:val="24"/>
        </w:rPr>
        <w:t xml:space="preserve"> </w:t>
      </w:r>
      <w:r w:rsidR="00886690">
        <w:rPr>
          <w:rFonts w:ascii="Times New Roman" w:hAnsi="Times New Roman" w:cs="Times New Roman"/>
          <w:bCs/>
          <w:sz w:val="24"/>
          <w:szCs w:val="24"/>
        </w:rPr>
        <w:t xml:space="preserve">and </w:t>
      </w:r>
      <w:r w:rsidR="00886690" w:rsidRPr="0006079C">
        <w:rPr>
          <w:rFonts w:ascii="Times New Roman" w:hAnsi="Times New Roman" w:cs="Times New Roman"/>
          <w:bCs/>
          <w:sz w:val="24"/>
          <w:szCs w:val="24"/>
        </w:rPr>
        <w:t>provid</w:t>
      </w:r>
      <w:r w:rsidR="00886690">
        <w:rPr>
          <w:rFonts w:ascii="Times New Roman" w:hAnsi="Times New Roman" w:cs="Times New Roman"/>
          <w:bCs/>
          <w:sz w:val="24"/>
          <w:szCs w:val="24"/>
        </w:rPr>
        <w:t>ed</w:t>
      </w:r>
      <w:r w:rsidR="00886690" w:rsidRPr="0006079C">
        <w:rPr>
          <w:rFonts w:ascii="Times New Roman" w:hAnsi="Times New Roman" w:cs="Times New Roman"/>
          <w:bCs/>
          <w:sz w:val="24"/>
          <w:szCs w:val="24"/>
        </w:rPr>
        <w:t xml:space="preserve"> an opportunity for public comment</w:t>
      </w:r>
      <w:r w:rsidR="00886690">
        <w:rPr>
          <w:rFonts w:ascii="Times New Roman" w:hAnsi="Times New Roman" w:cs="Times New Roman"/>
          <w:bCs/>
          <w:sz w:val="24"/>
          <w:szCs w:val="24"/>
        </w:rPr>
        <w:t xml:space="preserve">; no comments were received.  </w:t>
      </w:r>
    </w:p>
    <w:p w14:paraId="5C54FBB8" w14:textId="77777777" w:rsidR="00886690" w:rsidRDefault="00886690" w:rsidP="002A4142">
      <w:pPr>
        <w:spacing w:after="0" w:line="240" w:lineRule="auto"/>
        <w:rPr>
          <w:rFonts w:ascii="Times New Roman" w:hAnsi="Times New Roman" w:cs="Times New Roman"/>
          <w:bCs/>
          <w:sz w:val="24"/>
          <w:szCs w:val="24"/>
        </w:rPr>
      </w:pPr>
    </w:p>
    <w:p w14:paraId="259928C1" w14:textId="4349A294" w:rsidR="00B63F5D" w:rsidRDefault="00886690" w:rsidP="002A4142">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the Commission published in the Federal Register a separate Paperwork Reduction Act notice (83 FR </w:t>
      </w:r>
      <w:r w:rsidRPr="00886690">
        <w:rPr>
          <w:rFonts w:ascii="Times New Roman" w:hAnsi="Times New Roman" w:cs="Times New Roman"/>
          <w:bCs/>
          <w:sz w:val="24"/>
          <w:szCs w:val="24"/>
        </w:rPr>
        <w:t>50652</w:t>
      </w:r>
      <w:r>
        <w:rPr>
          <w:rFonts w:ascii="Times New Roman" w:hAnsi="Times New Roman" w:cs="Times New Roman"/>
          <w:bCs/>
          <w:sz w:val="24"/>
          <w:szCs w:val="24"/>
        </w:rPr>
        <w:t>, 10/9/2018)</w:t>
      </w:r>
      <w:r w:rsidRPr="00886690" w:rsidDel="00886690">
        <w:rPr>
          <w:rFonts w:ascii="Times New Roman" w:hAnsi="Times New Roman" w:cs="Times New Roman"/>
          <w:bCs/>
          <w:sz w:val="24"/>
          <w:szCs w:val="24"/>
        </w:rPr>
        <w:t xml:space="preserve"> </w:t>
      </w:r>
      <w:r w:rsidR="00CB0831" w:rsidRPr="00CB0831">
        <w:rPr>
          <w:rFonts w:ascii="Times New Roman" w:hAnsi="Times New Roman" w:cs="Times New Roman"/>
          <w:bCs/>
          <w:sz w:val="24"/>
          <w:szCs w:val="24"/>
        </w:rPr>
        <w:t xml:space="preserve"> providing public utilities and licensees, state commissions, Federal agencies, and other interested parties an</w:t>
      </w:r>
      <w:r>
        <w:rPr>
          <w:rFonts w:ascii="Times New Roman" w:hAnsi="Times New Roman" w:cs="Times New Roman"/>
          <w:bCs/>
          <w:sz w:val="24"/>
          <w:szCs w:val="24"/>
        </w:rPr>
        <w:t>other</w:t>
      </w:r>
      <w:r w:rsidR="00CB0831" w:rsidRPr="00CB0831">
        <w:rPr>
          <w:rFonts w:ascii="Times New Roman" w:hAnsi="Times New Roman" w:cs="Times New Roman"/>
          <w:bCs/>
          <w:sz w:val="24"/>
          <w:szCs w:val="24"/>
        </w:rPr>
        <w:t xml:space="preserve"> opportunity to submit data, views, comments or suggestions concerning the proposed</w:t>
      </w:r>
      <w:r w:rsidR="001755B4">
        <w:rPr>
          <w:rFonts w:ascii="Times New Roman" w:hAnsi="Times New Roman" w:cs="Times New Roman"/>
          <w:bCs/>
          <w:sz w:val="24"/>
          <w:szCs w:val="24"/>
        </w:rPr>
        <w:t xml:space="preserve"> collections of data.</w:t>
      </w:r>
      <w:r>
        <w:rPr>
          <w:rFonts w:ascii="Times New Roman" w:hAnsi="Times New Roman" w:cs="Times New Roman"/>
          <w:bCs/>
          <w:sz w:val="24"/>
          <w:szCs w:val="24"/>
        </w:rPr>
        <w:t xml:space="preserve">  No comments were received.</w:t>
      </w:r>
    </w:p>
    <w:p w14:paraId="07CD4428" w14:textId="5D8DB3C2" w:rsidR="009F219E" w:rsidRDefault="009F219E" w:rsidP="002A4142">
      <w:pPr>
        <w:spacing w:after="0" w:line="240" w:lineRule="auto"/>
        <w:rPr>
          <w:rFonts w:ascii="Times New Roman" w:hAnsi="Times New Roman" w:cs="Times New Roman"/>
          <w:bCs/>
          <w:sz w:val="24"/>
          <w:szCs w:val="24"/>
        </w:rPr>
      </w:pPr>
    </w:p>
    <w:p w14:paraId="50941F9D" w14:textId="671892CC" w:rsidR="009F219E" w:rsidRDefault="009F219E" w:rsidP="002A4142">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30-day PRA notice is being published in the Federal Register on 3/11/2019.</w:t>
      </w:r>
    </w:p>
    <w:p w14:paraId="10F63F3F" w14:textId="77777777" w:rsidR="006C0F0B" w:rsidRPr="00B51BB8" w:rsidRDefault="006C0F0B" w:rsidP="002A4142">
      <w:pPr>
        <w:spacing w:after="0" w:line="240" w:lineRule="auto"/>
        <w:ind w:firstLine="360"/>
        <w:rPr>
          <w:rFonts w:ascii="Times New Roman" w:hAnsi="Times New Roman" w:cs="Times New Roman"/>
          <w:sz w:val="24"/>
          <w:szCs w:val="24"/>
        </w:rPr>
      </w:pPr>
    </w:p>
    <w:p w14:paraId="51E51154" w14:textId="77777777" w:rsidR="00C4205B" w:rsidRPr="00B51BB8" w:rsidRDefault="00C4205B" w:rsidP="00F64A6F">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EXPLAIN ANY PAYMENT OR GIFTS TO RESPONDENTS</w:t>
      </w:r>
    </w:p>
    <w:p w14:paraId="5BD69B41" w14:textId="77777777" w:rsidR="00C4205B" w:rsidRPr="00B51BB8" w:rsidRDefault="00C4205B" w:rsidP="00F26A37">
      <w:pPr>
        <w:spacing w:after="0" w:line="240" w:lineRule="auto"/>
        <w:rPr>
          <w:rFonts w:ascii="Times New Roman" w:hAnsi="Times New Roman" w:cs="Times New Roman"/>
          <w:b/>
          <w:bCs/>
          <w:sz w:val="24"/>
          <w:szCs w:val="24"/>
        </w:rPr>
      </w:pPr>
    </w:p>
    <w:p w14:paraId="530F015A" w14:textId="77777777" w:rsidR="00C4205B" w:rsidRPr="00B51BB8" w:rsidRDefault="00C4205B" w:rsidP="00F26A3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No payments or gifts have been made to respondents.</w:t>
      </w:r>
    </w:p>
    <w:p w14:paraId="01B3B363" w14:textId="77777777" w:rsidR="00391060" w:rsidRPr="00B51BB8" w:rsidRDefault="00391060" w:rsidP="00F26A37">
      <w:pPr>
        <w:spacing w:after="0" w:line="240" w:lineRule="auto"/>
        <w:rPr>
          <w:rFonts w:ascii="Times New Roman" w:hAnsi="Times New Roman" w:cs="Times New Roman"/>
          <w:sz w:val="24"/>
          <w:szCs w:val="24"/>
        </w:rPr>
      </w:pPr>
    </w:p>
    <w:p w14:paraId="65F5A0B3"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DESCRIBE ANY ASSURANCE OF CONFIDENTIALITY PROVIDED TO RESPONDENTS</w:t>
      </w:r>
    </w:p>
    <w:p w14:paraId="1B22D4AA" w14:textId="77777777" w:rsidR="00C4205B" w:rsidRPr="00B51BB8" w:rsidRDefault="00C4205B" w:rsidP="00F26A37">
      <w:pPr>
        <w:spacing w:after="0" w:line="240" w:lineRule="auto"/>
        <w:rPr>
          <w:rFonts w:ascii="Times New Roman" w:hAnsi="Times New Roman" w:cs="Times New Roman"/>
          <w:b/>
          <w:bCs/>
          <w:sz w:val="24"/>
          <w:szCs w:val="24"/>
        </w:rPr>
      </w:pPr>
    </w:p>
    <w:p w14:paraId="22453BE0" w14:textId="77777777" w:rsidR="00F14924" w:rsidRPr="00B51BB8" w:rsidRDefault="00F14924" w:rsidP="002A4142">
      <w:pPr>
        <w:spacing w:line="240" w:lineRule="auto"/>
        <w:rPr>
          <w:rFonts w:ascii="Times New Roman" w:hAnsi="Times New Roman" w:cs="Times New Roman"/>
          <w:bCs/>
          <w:sz w:val="24"/>
          <w:szCs w:val="24"/>
        </w:rPr>
      </w:pPr>
      <w:r w:rsidRPr="00B51BB8">
        <w:rPr>
          <w:rFonts w:ascii="Times New Roman" w:hAnsi="Times New Roman" w:cs="Times New Roman"/>
          <w:bCs/>
          <w:sz w:val="24"/>
          <w:szCs w:val="24"/>
        </w:rPr>
        <w:t>According to the NERC Rules of Procedure</w:t>
      </w:r>
      <w:r w:rsidRPr="00B51BB8">
        <w:rPr>
          <w:rFonts w:ascii="Times New Roman" w:hAnsi="Times New Roman" w:cs="Times New Roman"/>
          <w:bCs/>
          <w:sz w:val="24"/>
          <w:szCs w:val="24"/>
          <w:vertAlign w:val="superscript"/>
        </w:rPr>
        <w:footnoteReference w:id="8"/>
      </w:r>
      <w:r w:rsidRPr="00B51BB8">
        <w:rPr>
          <w:rFonts w:ascii="Times New Roman" w:hAnsi="Times New Roman" w:cs="Times New Roman"/>
          <w:bCs/>
          <w:sz w:val="24"/>
          <w:szCs w:val="24"/>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5516CA1A" w14:textId="77777777" w:rsidR="00F14924" w:rsidRPr="00B51BB8" w:rsidRDefault="00F14924" w:rsidP="002A4142">
      <w:pPr>
        <w:spacing w:after="0" w:line="240" w:lineRule="auto"/>
        <w:rPr>
          <w:rFonts w:ascii="Times New Roman" w:hAnsi="Times New Roman" w:cs="Times New Roman"/>
          <w:bCs/>
          <w:sz w:val="24"/>
          <w:szCs w:val="24"/>
        </w:rPr>
      </w:pPr>
      <w:r w:rsidRPr="00B51BB8">
        <w:rPr>
          <w:rFonts w:ascii="Times New Roman" w:hAnsi="Times New Roman" w:cs="Times New Roman"/>
          <w:bCs/>
          <w:sz w:val="24"/>
          <w:szCs w:val="24"/>
        </w:rPr>
        <w:t>Responding entities do not submit the information collected due to the Reliability Standards to FERC.  Rather, they submit the information to NERC, the region</w:t>
      </w:r>
      <w:r w:rsidR="00522521" w:rsidRPr="00B51BB8">
        <w:rPr>
          <w:rFonts w:ascii="Times New Roman" w:hAnsi="Times New Roman" w:cs="Times New Roman"/>
          <w:bCs/>
          <w:sz w:val="24"/>
          <w:szCs w:val="24"/>
        </w:rPr>
        <w:t>al entitie</w:t>
      </w:r>
      <w:r w:rsidRPr="00B51BB8">
        <w:rPr>
          <w:rFonts w:ascii="Times New Roman" w:hAnsi="Times New Roman" w:cs="Times New Roman"/>
          <w:bCs/>
          <w:sz w:val="24"/>
          <w:szCs w:val="24"/>
        </w:rPr>
        <w:t>s, or maintain it internally.  Since there are no submissions made to FERC, FERC provides no specific provisions in ord</w:t>
      </w:r>
      <w:r w:rsidR="00115F24">
        <w:rPr>
          <w:rFonts w:ascii="Times New Roman" w:hAnsi="Times New Roman" w:cs="Times New Roman"/>
          <w:bCs/>
          <w:sz w:val="24"/>
          <w:szCs w:val="24"/>
        </w:rPr>
        <w:t>er to protect confidentiality.</w:t>
      </w:r>
    </w:p>
    <w:p w14:paraId="66543D75" w14:textId="77777777" w:rsidR="00C4205B" w:rsidRPr="00B51BB8" w:rsidRDefault="00C4205B" w:rsidP="002A4142">
      <w:pPr>
        <w:spacing w:after="0" w:line="240" w:lineRule="auto"/>
        <w:ind w:firstLine="720"/>
        <w:rPr>
          <w:rFonts w:ascii="Times New Roman" w:hAnsi="Times New Roman" w:cs="Times New Roman"/>
          <w:sz w:val="24"/>
          <w:szCs w:val="24"/>
        </w:rPr>
      </w:pPr>
    </w:p>
    <w:p w14:paraId="48C68E91" w14:textId="77777777" w:rsidR="00C4205B" w:rsidRDefault="00C4205B" w:rsidP="002A4142">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PROVIDE ADDITIONAL JUSTIFICATION FOR ANY QUESTIONS OF A SENSITIVE NATURE</w:t>
      </w:r>
      <w:r w:rsidR="00E0001D" w:rsidRPr="00B51BB8">
        <w:rPr>
          <w:rFonts w:ascii="Times New Roman" w:hAnsi="Times New Roman" w:cs="Times New Roman"/>
          <w:b/>
          <w:bCs/>
          <w:sz w:val="24"/>
          <w:szCs w:val="24"/>
        </w:rPr>
        <w:t>, SUCH AS SEXUAL BEHAVIOR AND ATTITUDES, RELIGIOUS BELIEFS, AND OTHER MATTERS THAT ARE COMMONLY CONSIDERED PRIVATE</w:t>
      </w:r>
    </w:p>
    <w:p w14:paraId="04581B15" w14:textId="77777777" w:rsidR="00115F24" w:rsidRPr="00115F24" w:rsidRDefault="00115F24" w:rsidP="00115F24">
      <w:pPr>
        <w:widowControl w:val="0"/>
        <w:autoSpaceDE w:val="0"/>
        <w:autoSpaceDN w:val="0"/>
        <w:adjustRightInd w:val="0"/>
        <w:spacing w:after="0" w:line="240" w:lineRule="auto"/>
        <w:ind w:left="360"/>
        <w:rPr>
          <w:rFonts w:ascii="Times New Roman" w:hAnsi="Times New Roman" w:cs="Times New Roman"/>
          <w:sz w:val="24"/>
          <w:szCs w:val="24"/>
        </w:rPr>
      </w:pPr>
    </w:p>
    <w:p w14:paraId="4313B644" w14:textId="72CFD30B" w:rsidR="003C19D0" w:rsidRPr="00115F24" w:rsidRDefault="00503BD5" w:rsidP="002A4142">
      <w:pPr>
        <w:spacing w:line="240" w:lineRule="auto"/>
        <w:rPr>
          <w:rFonts w:ascii="Times New Roman" w:hAnsi="Times New Roman" w:cs="Times New Roman"/>
          <w:sz w:val="24"/>
          <w:szCs w:val="24"/>
        </w:rPr>
      </w:pPr>
      <w:r>
        <w:rPr>
          <w:rFonts w:ascii="Times New Roman" w:hAnsi="Times New Roman" w:cs="Times New Roman"/>
          <w:sz w:val="24"/>
          <w:szCs w:val="24"/>
        </w:rPr>
        <w:t>The</w:t>
      </w:r>
      <w:r w:rsidR="00F14924" w:rsidRPr="00B51BB8">
        <w:rPr>
          <w:rFonts w:ascii="Times New Roman" w:hAnsi="Times New Roman" w:cs="Times New Roman"/>
          <w:sz w:val="24"/>
          <w:szCs w:val="24"/>
        </w:rPr>
        <w:t xml:space="preserve"> collection do</w:t>
      </w:r>
      <w:r w:rsidR="006D6849">
        <w:rPr>
          <w:rFonts w:ascii="Times New Roman" w:hAnsi="Times New Roman" w:cs="Times New Roman"/>
          <w:sz w:val="24"/>
          <w:szCs w:val="24"/>
        </w:rPr>
        <w:t>es</w:t>
      </w:r>
      <w:r w:rsidR="00F14924" w:rsidRPr="00B51BB8">
        <w:rPr>
          <w:rFonts w:ascii="Times New Roman" w:hAnsi="Times New Roman" w:cs="Times New Roman"/>
          <w:sz w:val="24"/>
          <w:szCs w:val="24"/>
        </w:rPr>
        <w:t xml:space="preserve"> not contain any qu</w:t>
      </w:r>
      <w:r w:rsidR="00115F24">
        <w:rPr>
          <w:rFonts w:ascii="Times New Roman" w:hAnsi="Times New Roman" w:cs="Times New Roman"/>
          <w:sz w:val="24"/>
          <w:szCs w:val="24"/>
        </w:rPr>
        <w:t>estions of a sensitive nature.</w:t>
      </w:r>
    </w:p>
    <w:p w14:paraId="66442D09"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ESTIMATED BURDEN OF COLLECTION OF INFORMATION</w:t>
      </w:r>
    </w:p>
    <w:p w14:paraId="6080A668" w14:textId="77777777" w:rsidR="00FC11BA" w:rsidRDefault="00FC11BA" w:rsidP="005E2448">
      <w:pPr>
        <w:widowControl w:val="0"/>
        <w:autoSpaceDE w:val="0"/>
        <w:autoSpaceDN w:val="0"/>
        <w:adjustRightInd w:val="0"/>
        <w:spacing w:after="0" w:line="240" w:lineRule="auto"/>
        <w:ind w:left="360"/>
        <w:rPr>
          <w:rFonts w:ascii="Times New Roman" w:hAnsi="Times New Roman" w:cs="Times New Roman"/>
          <w:sz w:val="24"/>
          <w:szCs w:val="24"/>
        </w:rPr>
      </w:pPr>
    </w:p>
    <w:p w14:paraId="39E6DB61" w14:textId="2580596E" w:rsidR="003E3866" w:rsidRDefault="00E75CFB" w:rsidP="003E386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Component </w:t>
      </w:r>
      <w:r w:rsidR="003811CE">
        <w:rPr>
          <w:rFonts w:ascii="Times New Roman" w:hAnsi="Times New Roman" w:cs="Times New Roman"/>
          <w:b/>
          <w:sz w:val="24"/>
          <w:szCs w:val="24"/>
        </w:rPr>
        <w:t xml:space="preserve">Affected by Docket No. RD18-7.  </w:t>
      </w:r>
      <w:r w:rsidR="003E3866">
        <w:rPr>
          <w:rFonts w:ascii="Times New Roman" w:hAnsi="Times New Roman" w:cs="Times New Roman"/>
          <w:sz w:val="24"/>
          <w:szCs w:val="24"/>
        </w:rPr>
        <w:t>The only IC affected (adjustment in estimate) by the order in Docket RD18-7 is labelled ‘</w:t>
      </w:r>
      <w:r w:rsidR="003E3866" w:rsidRPr="009D3108">
        <w:rPr>
          <w:rFonts w:ascii="Times New Roman" w:hAnsi="Times New Roman" w:cs="Times New Roman"/>
          <w:sz w:val="24"/>
          <w:szCs w:val="24"/>
        </w:rPr>
        <w:t>BAL -002-3 (from RD18-7) [updating BAL-002-2 from RM16-7 Final Rule</w:t>
      </w:r>
      <w:r w:rsidR="003E3866">
        <w:rPr>
          <w:rFonts w:ascii="Times New Roman" w:hAnsi="Times New Roman" w:cs="Times New Roman"/>
          <w:sz w:val="24"/>
          <w:szCs w:val="24"/>
        </w:rPr>
        <w:t>’</w:t>
      </w:r>
      <w:r w:rsidR="003E3866" w:rsidRPr="009D3108">
        <w:rPr>
          <w:rFonts w:ascii="Times New Roman" w:hAnsi="Times New Roman" w:cs="Times New Roman"/>
          <w:sz w:val="24"/>
          <w:szCs w:val="24"/>
        </w:rPr>
        <w:t>]</w:t>
      </w:r>
      <w:r w:rsidR="003E3866">
        <w:rPr>
          <w:rFonts w:ascii="Times New Roman" w:hAnsi="Times New Roman" w:cs="Times New Roman"/>
          <w:sz w:val="24"/>
          <w:szCs w:val="24"/>
        </w:rPr>
        <w:t>.  The other ICs are unchanged.</w:t>
      </w:r>
    </w:p>
    <w:p w14:paraId="4BF4057C" w14:textId="77777777" w:rsidR="003E3866" w:rsidRDefault="003E3866" w:rsidP="003E3866">
      <w:pPr>
        <w:widowControl w:val="0"/>
        <w:autoSpaceDE w:val="0"/>
        <w:autoSpaceDN w:val="0"/>
        <w:adjustRightInd w:val="0"/>
        <w:spacing w:after="0" w:line="240" w:lineRule="auto"/>
        <w:rPr>
          <w:rFonts w:ascii="Times New Roman" w:hAnsi="Times New Roman" w:cs="Times New Roman"/>
          <w:sz w:val="24"/>
          <w:szCs w:val="24"/>
        </w:rPr>
      </w:pPr>
      <w:r w:rsidRPr="00C10A4D" w:rsidDel="00183B70">
        <w:rPr>
          <w:rFonts w:ascii="Times New Roman" w:hAnsi="Times New Roman" w:cs="Times New Roman"/>
          <w:sz w:val="24"/>
          <w:szCs w:val="24"/>
        </w:rPr>
        <w:t xml:space="preserve"> </w:t>
      </w:r>
    </w:p>
    <w:p w14:paraId="645DDE99" w14:textId="15961799" w:rsidR="00C10A4D" w:rsidRDefault="00183B70" w:rsidP="003E386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r</w:t>
      </w:r>
      <w:r w:rsidR="00C10A4D" w:rsidRPr="00C10A4D">
        <w:rPr>
          <w:rFonts w:ascii="Times New Roman" w:hAnsi="Times New Roman" w:cs="Times New Roman"/>
          <w:sz w:val="24"/>
          <w:szCs w:val="24"/>
        </w:rPr>
        <w:t>espondents</w:t>
      </w:r>
      <w:r>
        <w:rPr>
          <w:rFonts w:ascii="Times New Roman" w:hAnsi="Times New Roman" w:cs="Times New Roman"/>
          <w:sz w:val="24"/>
          <w:szCs w:val="24"/>
        </w:rPr>
        <w:t xml:space="preserve"> are</w:t>
      </w:r>
      <w:r w:rsidR="00C10A4D" w:rsidRPr="00C10A4D">
        <w:rPr>
          <w:rFonts w:ascii="Times New Roman" w:hAnsi="Times New Roman" w:cs="Times New Roman"/>
          <w:sz w:val="24"/>
          <w:szCs w:val="24"/>
        </w:rPr>
        <w:t xml:space="preserve"> Balancing authorities and reserve sharing groups</w:t>
      </w:r>
      <w:r>
        <w:rPr>
          <w:rFonts w:ascii="Times New Roman" w:hAnsi="Times New Roman" w:cs="Times New Roman"/>
          <w:sz w:val="24"/>
          <w:szCs w:val="24"/>
        </w:rPr>
        <w:t>.</w:t>
      </w:r>
    </w:p>
    <w:p w14:paraId="7FFE9B41" w14:textId="77777777" w:rsidR="00183B70" w:rsidRPr="00C10A4D" w:rsidRDefault="00183B70" w:rsidP="00C10A4D">
      <w:pPr>
        <w:widowControl w:val="0"/>
        <w:autoSpaceDE w:val="0"/>
        <w:autoSpaceDN w:val="0"/>
        <w:adjustRightInd w:val="0"/>
        <w:spacing w:after="0" w:line="240" w:lineRule="auto"/>
        <w:rPr>
          <w:rFonts w:ascii="Times New Roman" w:hAnsi="Times New Roman" w:cs="Times New Roman"/>
          <w:sz w:val="24"/>
          <w:szCs w:val="24"/>
        </w:rPr>
      </w:pPr>
    </w:p>
    <w:p w14:paraId="063D6EA4" w14:textId="3A13F384" w:rsidR="00C10A4D" w:rsidRDefault="00C10A4D" w:rsidP="00C10A4D">
      <w:pPr>
        <w:widowControl w:val="0"/>
        <w:autoSpaceDE w:val="0"/>
        <w:autoSpaceDN w:val="0"/>
        <w:adjustRightInd w:val="0"/>
        <w:spacing w:after="0" w:line="240" w:lineRule="auto"/>
        <w:rPr>
          <w:rFonts w:ascii="Times New Roman" w:hAnsi="Times New Roman" w:cs="Times New Roman"/>
          <w:sz w:val="24"/>
          <w:szCs w:val="24"/>
        </w:rPr>
      </w:pPr>
      <w:r w:rsidRPr="00C10A4D">
        <w:rPr>
          <w:rFonts w:ascii="Times New Roman" w:hAnsi="Times New Roman" w:cs="Times New Roman"/>
          <w:sz w:val="24"/>
          <w:szCs w:val="24"/>
        </w:rPr>
        <w:t xml:space="preserve">According to the NERC Compliance Registry as of 8/24/2018, there are 99 balancing authorities in the United States. </w:t>
      </w:r>
      <w:r w:rsidR="00183B70">
        <w:rPr>
          <w:rFonts w:ascii="Times New Roman" w:hAnsi="Times New Roman" w:cs="Times New Roman"/>
          <w:sz w:val="24"/>
          <w:szCs w:val="24"/>
        </w:rPr>
        <w:t>[This is a reduction of 6 (from 105) based on current information and normal fluctuations in the industry..  It will be shown as an adjustment decrease of 6 respondents and adjustment decrease of 72 hours.]</w:t>
      </w:r>
      <w:r w:rsidRPr="00C10A4D">
        <w:rPr>
          <w:rFonts w:ascii="Times New Roman" w:hAnsi="Times New Roman" w:cs="Times New Roman"/>
          <w:sz w:val="24"/>
          <w:szCs w:val="24"/>
        </w:rPr>
        <w:t xml:space="preserve"> The Commission bases individual burden estimates on the time needed for balancing authorities to develop tools needed to facilitate reporting that are required in the Reliability Standard.  These burden estimates are consistent with estimates for similar tasks in other Commission-approved Reliability Standards.</w:t>
      </w:r>
    </w:p>
    <w:p w14:paraId="04D207CE" w14:textId="77777777" w:rsidR="00C10A4D" w:rsidRDefault="00C10A4D" w:rsidP="00C10A4D">
      <w:pPr>
        <w:widowControl w:val="0"/>
        <w:autoSpaceDE w:val="0"/>
        <w:autoSpaceDN w:val="0"/>
        <w:adjustRightInd w:val="0"/>
        <w:spacing w:after="0" w:line="240" w:lineRule="auto"/>
        <w:rPr>
          <w:rFonts w:ascii="Times New Roman" w:hAnsi="Times New Roman" w:cs="Times New Roman"/>
          <w:sz w:val="24"/>
          <w:szCs w:val="24"/>
        </w:rPr>
      </w:pPr>
    </w:p>
    <w:tbl>
      <w:tblPr>
        <w:tblW w:w="103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1632"/>
        <w:gridCol w:w="1531"/>
        <w:gridCol w:w="1404"/>
        <w:gridCol w:w="1427"/>
        <w:gridCol w:w="1404"/>
        <w:gridCol w:w="1531"/>
      </w:tblGrid>
      <w:tr w:rsidR="00C10A4D" w:rsidRPr="00491CF6" w14:paraId="0574D8FB" w14:textId="77777777" w:rsidTr="003D4DC1">
        <w:tc>
          <w:tcPr>
            <w:tcW w:w="10327" w:type="dxa"/>
            <w:gridSpan w:val="7"/>
            <w:tcBorders>
              <w:bottom w:val="single" w:sz="4" w:space="0" w:color="auto"/>
            </w:tcBorders>
            <w:shd w:val="clear" w:color="auto" w:fill="D9D9D9"/>
          </w:tcPr>
          <w:p w14:paraId="1D09364D" w14:textId="77634BA4" w:rsidR="00C10A4D" w:rsidRPr="00491CF6" w:rsidRDefault="00C10A4D" w:rsidP="00491CF6">
            <w:pPr>
              <w:widowControl w:val="0"/>
              <w:autoSpaceDE w:val="0"/>
              <w:autoSpaceDN w:val="0"/>
              <w:adjustRightInd w:val="0"/>
              <w:spacing w:after="0" w:line="240" w:lineRule="auto"/>
              <w:jc w:val="center"/>
              <w:rPr>
                <w:rFonts w:ascii="Times New Roman" w:eastAsia="Calibri" w:hAnsi="Times New Roman" w:cs="Times New Roman"/>
                <w:b/>
              </w:rPr>
            </w:pPr>
            <w:r w:rsidRPr="00491CF6">
              <w:rPr>
                <w:rFonts w:ascii="Times New Roman" w:eastAsia="Calibri" w:hAnsi="Times New Roman" w:cs="Times New Roman"/>
                <w:b/>
              </w:rPr>
              <w:t xml:space="preserve">FERC-725R, </w:t>
            </w:r>
            <w:r w:rsidR="00E854FA">
              <w:rPr>
                <w:rFonts w:ascii="Times New Roman" w:eastAsia="Calibri" w:hAnsi="Times New Roman" w:cs="Times New Roman"/>
                <w:b/>
              </w:rPr>
              <w:t xml:space="preserve">Reliability Standard </w:t>
            </w:r>
            <w:r w:rsidRPr="00491CF6">
              <w:rPr>
                <w:rFonts w:ascii="Times New Roman" w:eastAsia="Calibri" w:hAnsi="Times New Roman" w:cs="Times New Roman"/>
                <w:b/>
              </w:rPr>
              <w:t>BAL-002-</w:t>
            </w:r>
            <w:r w:rsidR="00183B70" w:rsidRPr="00491CF6">
              <w:rPr>
                <w:rFonts w:ascii="Times New Roman" w:eastAsia="Calibri" w:hAnsi="Times New Roman" w:cs="Times New Roman"/>
                <w:b/>
              </w:rPr>
              <w:t>3</w:t>
            </w:r>
            <w:r w:rsidR="00E854FA">
              <w:rPr>
                <w:rFonts w:ascii="Times New Roman" w:eastAsia="Calibri" w:hAnsi="Times New Roman" w:cs="Times New Roman"/>
                <w:b/>
              </w:rPr>
              <w:t>, as approved in Docket No. RD18-7</w:t>
            </w:r>
            <w:r w:rsidRPr="00491CF6">
              <w:rPr>
                <w:rFonts w:ascii="Times New Roman" w:hAnsi="Times New Roman" w:cs="Times New Roman"/>
                <w:b/>
                <w:vertAlign w:val="superscript"/>
              </w:rPr>
              <w:footnoteReference w:id="9"/>
            </w:r>
            <w:r w:rsidRPr="00491CF6">
              <w:rPr>
                <w:rFonts w:ascii="Times New Roman" w:eastAsia="Calibri" w:hAnsi="Times New Roman" w:cs="Times New Roman"/>
                <w:b/>
                <w:vertAlign w:val="superscript"/>
              </w:rPr>
              <w:t xml:space="preserve">, </w:t>
            </w:r>
            <w:r w:rsidRPr="00491CF6">
              <w:rPr>
                <w:rStyle w:val="FootnoteReference"/>
                <w:rFonts w:ascii="Times New Roman" w:eastAsia="Calibri" w:hAnsi="Times New Roman" w:cs="Times New Roman"/>
                <w:vertAlign w:val="superscript"/>
              </w:rPr>
              <w:footnoteReference w:id="10"/>
            </w:r>
          </w:p>
        </w:tc>
      </w:tr>
      <w:tr w:rsidR="00C10A4D" w:rsidRPr="00491CF6" w14:paraId="061AEDBA" w14:textId="77777777" w:rsidTr="003D4DC1">
        <w:tc>
          <w:tcPr>
            <w:tcW w:w="1398" w:type="dxa"/>
            <w:shd w:val="clear" w:color="auto" w:fill="D9D9D9"/>
          </w:tcPr>
          <w:p w14:paraId="6EB4C0B7" w14:textId="77777777" w:rsidR="00C10A4D" w:rsidRPr="00491CF6" w:rsidRDefault="00C10A4D" w:rsidP="00491CF6">
            <w:pPr>
              <w:widowControl w:val="0"/>
              <w:autoSpaceDE w:val="0"/>
              <w:autoSpaceDN w:val="0"/>
              <w:adjustRightInd w:val="0"/>
              <w:spacing w:after="0" w:line="240" w:lineRule="auto"/>
              <w:jc w:val="center"/>
              <w:rPr>
                <w:rFonts w:ascii="Times New Roman" w:eastAsia="Calibri" w:hAnsi="Times New Roman" w:cs="Times New Roman"/>
                <w:b/>
              </w:rPr>
            </w:pPr>
          </w:p>
        </w:tc>
        <w:tc>
          <w:tcPr>
            <w:tcW w:w="1632" w:type="dxa"/>
            <w:shd w:val="clear" w:color="auto" w:fill="D9D9D9"/>
            <w:vAlign w:val="bottom"/>
          </w:tcPr>
          <w:p w14:paraId="27521AC7" w14:textId="77777777" w:rsidR="00C10A4D" w:rsidRPr="00491CF6" w:rsidRDefault="00C10A4D" w:rsidP="00491CF6">
            <w:pPr>
              <w:widowControl w:val="0"/>
              <w:autoSpaceDE w:val="0"/>
              <w:autoSpaceDN w:val="0"/>
              <w:adjustRightInd w:val="0"/>
              <w:spacing w:after="0" w:line="240" w:lineRule="auto"/>
              <w:jc w:val="center"/>
              <w:rPr>
                <w:rFonts w:ascii="Times New Roman" w:eastAsia="Calibri" w:hAnsi="Times New Roman" w:cs="Times New Roman"/>
                <w:b/>
              </w:rPr>
            </w:pPr>
            <w:r w:rsidRPr="00491CF6">
              <w:rPr>
                <w:rFonts w:ascii="Times New Roman" w:eastAsia="Calibri" w:hAnsi="Times New Roman" w:cs="Times New Roman"/>
                <w:b/>
              </w:rPr>
              <w:t>Number of Respondents</w:t>
            </w:r>
            <w:r w:rsidRPr="00491CF6">
              <w:rPr>
                <w:rFonts w:ascii="Times New Roman" w:eastAsia="Calibri" w:hAnsi="Times New Roman" w:cs="Times New Roman"/>
                <w:b/>
              </w:rPr>
              <w:br/>
              <w:t>(1)</w:t>
            </w:r>
          </w:p>
        </w:tc>
        <w:tc>
          <w:tcPr>
            <w:tcW w:w="1531" w:type="dxa"/>
            <w:shd w:val="clear" w:color="auto" w:fill="D9D9D9"/>
            <w:vAlign w:val="bottom"/>
          </w:tcPr>
          <w:p w14:paraId="13DA0628" w14:textId="77777777" w:rsidR="00C10A4D" w:rsidRPr="00491CF6" w:rsidRDefault="00C10A4D" w:rsidP="00491CF6">
            <w:pPr>
              <w:widowControl w:val="0"/>
              <w:autoSpaceDE w:val="0"/>
              <w:autoSpaceDN w:val="0"/>
              <w:adjustRightInd w:val="0"/>
              <w:spacing w:after="0" w:line="240" w:lineRule="auto"/>
              <w:jc w:val="center"/>
              <w:rPr>
                <w:rFonts w:ascii="Times New Roman" w:eastAsia="Calibri" w:hAnsi="Times New Roman" w:cs="Times New Roman"/>
                <w:b/>
              </w:rPr>
            </w:pPr>
            <w:r w:rsidRPr="00491CF6">
              <w:rPr>
                <w:rFonts w:ascii="Times New Roman" w:eastAsia="Calibri" w:hAnsi="Times New Roman" w:cs="Times New Roman"/>
                <w:b/>
              </w:rPr>
              <w:t>Annual Number of Responses per Respondent</w:t>
            </w:r>
          </w:p>
          <w:p w14:paraId="2E2AF969" w14:textId="77777777" w:rsidR="00C10A4D" w:rsidRPr="00491CF6" w:rsidRDefault="00C10A4D" w:rsidP="00491CF6">
            <w:pPr>
              <w:widowControl w:val="0"/>
              <w:autoSpaceDE w:val="0"/>
              <w:autoSpaceDN w:val="0"/>
              <w:adjustRightInd w:val="0"/>
              <w:spacing w:after="0" w:line="240" w:lineRule="auto"/>
              <w:jc w:val="center"/>
              <w:rPr>
                <w:rFonts w:ascii="Times New Roman" w:eastAsia="Calibri" w:hAnsi="Times New Roman" w:cs="Times New Roman"/>
                <w:b/>
              </w:rPr>
            </w:pPr>
            <w:r w:rsidRPr="00491CF6">
              <w:rPr>
                <w:rFonts w:ascii="Times New Roman" w:eastAsia="Calibri" w:hAnsi="Times New Roman" w:cs="Times New Roman"/>
                <w:b/>
              </w:rPr>
              <w:t>(2)</w:t>
            </w:r>
          </w:p>
        </w:tc>
        <w:tc>
          <w:tcPr>
            <w:tcW w:w="1404" w:type="dxa"/>
            <w:shd w:val="clear" w:color="auto" w:fill="D9D9D9"/>
            <w:vAlign w:val="bottom"/>
          </w:tcPr>
          <w:p w14:paraId="41AEF28F" w14:textId="77777777" w:rsidR="00C10A4D" w:rsidRPr="00491CF6" w:rsidRDefault="00C10A4D" w:rsidP="00491CF6">
            <w:pPr>
              <w:widowControl w:val="0"/>
              <w:autoSpaceDE w:val="0"/>
              <w:autoSpaceDN w:val="0"/>
              <w:adjustRightInd w:val="0"/>
              <w:spacing w:after="0" w:line="240" w:lineRule="auto"/>
              <w:jc w:val="center"/>
              <w:rPr>
                <w:rFonts w:ascii="Times New Roman" w:eastAsia="Calibri" w:hAnsi="Times New Roman" w:cs="Times New Roman"/>
                <w:b/>
              </w:rPr>
            </w:pPr>
            <w:r w:rsidRPr="00491CF6">
              <w:rPr>
                <w:rFonts w:ascii="Times New Roman" w:eastAsia="Calibri" w:hAnsi="Times New Roman" w:cs="Times New Roman"/>
                <w:b/>
              </w:rPr>
              <w:t>Total Number of Responses (1)*(2)=(3)</w:t>
            </w:r>
          </w:p>
        </w:tc>
        <w:tc>
          <w:tcPr>
            <w:tcW w:w="1427" w:type="dxa"/>
            <w:shd w:val="clear" w:color="auto" w:fill="D9D9D9"/>
            <w:vAlign w:val="bottom"/>
          </w:tcPr>
          <w:p w14:paraId="6F9C2160" w14:textId="77777777" w:rsidR="00C10A4D" w:rsidRPr="00491CF6" w:rsidRDefault="00C10A4D" w:rsidP="00491CF6">
            <w:pPr>
              <w:widowControl w:val="0"/>
              <w:autoSpaceDE w:val="0"/>
              <w:autoSpaceDN w:val="0"/>
              <w:adjustRightInd w:val="0"/>
              <w:spacing w:after="0" w:line="240" w:lineRule="auto"/>
              <w:jc w:val="center"/>
              <w:rPr>
                <w:rFonts w:ascii="Times New Roman" w:eastAsia="Calibri" w:hAnsi="Times New Roman" w:cs="Times New Roman"/>
                <w:b/>
              </w:rPr>
            </w:pPr>
            <w:r w:rsidRPr="00491CF6">
              <w:rPr>
                <w:rFonts w:ascii="Times New Roman" w:eastAsia="Calibri" w:hAnsi="Times New Roman" w:cs="Times New Roman"/>
                <w:b/>
              </w:rPr>
              <w:t>Average Burden Hours &amp; Cost Per Response ($)</w:t>
            </w:r>
          </w:p>
          <w:p w14:paraId="53B96060" w14:textId="77777777" w:rsidR="00C10A4D" w:rsidRPr="00491CF6" w:rsidRDefault="00C10A4D" w:rsidP="00491CF6">
            <w:pPr>
              <w:widowControl w:val="0"/>
              <w:autoSpaceDE w:val="0"/>
              <w:autoSpaceDN w:val="0"/>
              <w:adjustRightInd w:val="0"/>
              <w:spacing w:after="0" w:line="240" w:lineRule="auto"/>
              <w:jc w:val="center"/>
              <w:rPr>
                <w:rFonts w:ascii="Times New Roman" w:eastAsia="Calibri" w:hAnsi="Times New Roman" w:cs="Times New Roman"/>
                <w:b/>
              </w:rPr>
            </w:pPr>
            <w:r w:rsidRPr="00491CF6">
              <w:rPr>
                <w:rFonts w:ascii="Times New Roman" w:eastAsia="Calibri" w:hAnsi="Times New Roman" w:cs="Times New Roman"/>
                <w:b/>
              </w:rPr>
              <w:t>(4)</w:t>
            </w:r>
          </w:p>
        </w:tc>
        <w:tc>
          <w:tcPr>
            <w:tcW w:w="1404" w:type="dxa"/>
            <w:shd w:val="clear" w:color="auto" w:fill="D9D9D9"/>
            <w:vAlign w:val="bottom"/>
          </w:tcPr>
          <w:p w14:paraId="09B33080" w14:textId="77777777" w:rsidR="00C10A4D" w:rsidRPr="00491CF6" w:rsidRDefault="00C10A4D" w:rsidP="00491CF6">
            <w:pPr>
              <w:widowControl w:val="0"/>
              <w:autoSpaceDE w:val="0"/>
              <w:autoSpaceDN w:val="0"/>
              <w:adjustRightInd w:val="0"/>
              <w:spacing w:after="0" w:line="240" w:lineRule="auto"/>
              <w:jc w:val="center"/>
              <w:rPr>
                <w:rFonts w:ascii="Times New Roman" w:eastAsia="Calibri" w:hAnsi="Times New Roman" w:cs="Times New Roman"/>
                <w:b/>
              </w:rPr>
            </w:pPr>
            <w:r w:rsidRPr="00491CF6">
              <w:rPr>
                <w:rFonts w:ascii="Times New Roman" w:eastAsia="Calibri" w:hAnsi="Times New Roman" w:cs="Times New Roman"/>
                <w:b/>
              </w:rPr>
              <w:t>Total Annual Burden Hours &amp; Total Annual Cost ($) (rounded)</w:t>
            </w:r>
          </w:p>
          <w:p w14:paraId="3A584803" w14:textId="77777777" w:rsidR="00C10A4D" w:rsidRPr="00491CF6" w:rsidRDefault="00C10A4D" w:rsidP="00491CF6">
            <w:pPr>
              <w:widowControl w:val="0"/>
              <w:autoSpaceDE w:val="0"/>
              <w:autoSpaceDN w:val="0"/>
              <w:adjustRightInd w:val="0"/>
              <w:spacing w:after="0" w:line="240" w:lineRule="auto"/>
              <w:jc w:val="center"/>
              <w:rPr>
                <w:rFonts w:ascii="Times New Roman" w:eastAsia="Calibri" w:hAnsi="Times New Roman" w:cs="Times New Roman"/>
                <w:b/>
              </w:rPr>
            </w:pPr>
            <w:r w:rsidRPr="00491CF6">
              <w:rPr>
                <w:rFonts w:ascii="Times New Roman" w:eastAsia="Calibri" w:hAnsi="Times New Roman" w:cs="Times New Roman"/>
                <w:b/>
              </w:rPr>
              <w:t>(3)*(4)=(5)</w:t>
            </w:r>
          </w:p>
        </w:tc>
        <w:tc>
          <w:tcPr>
            <w:tcW w:w="1531" w:type="dxa"/>
            <w:shd w:val="clear" w:color="auto" w:fill="D9D9D9"/>
            <w:vAlign w:val="bottom"/>
          </w:tcPr>
          <w:p w14:paraId="67CF66B1" w14:textId="77777777" w:rsidR="00C10A4D" w:rsidRPr="00491CF6" w:rsidRDefault="00C10A4D" w:rsidP="00491CF6">
            <w:pPr>
              <w:widowControl w:val="0"/>
              <w:autoSpaceDE w:val="0"/>
              <w:autoSpaceDN w:val="0"/>
              <w:adjustRightInd w:val="0"/>
              <w:spacing w:after="0" w:line="240" w:lineRule="auto"/>
              <w:jc w:val="center"/>
              <w:rPr>
                <w:rFonts w:ascii="Times New Roman" w:eastAsia="Calibri" w:hAnsi="Times New Roman" w:cs="Times New Roman"/>
                <w:b/>
              </w:rPr>
            </w:pPr>
            <w:r w:rsidRPr="00491CF6">
              <w:rPr>
                <w:rFonts w:ascii="Times New Roman" w:eastAsia="Calibri" w:hAnsi="Times New Roman" w:cs="Times New Roman"/>
                <w:b/>
              </w:rPr>
              <w:t>Cost per Respondent</w:t>
            </w:r>
          </w:p>
          <w:p w14:paraId="1AA378B5" w14:textId="77777777" w:rsidR="00C10A4D" w:rsidRPr="00491CF6" w:rsidRDefault="00C10A4D" w:rsidP="00491CF6">
            <w:pPr>
              <w:widowControl w:val="0"/>
              <w:autoSpaceDE w:val="0"/>
              <w:autoSpaceDN w:val="0"/>
              <w:adjustRightInd w:val="0"/>
              <w:spacing w:after="0" w:line="240" w:lineRule="auto"/>
              <w:jc w:val="center"/>
              <w:rPr>
                <w:rFonts w:ascii="Times New Roman" w:eastAsia="Calibri" w:hAnsi="Times New Roman" w:cs="Times New Roman"/>
                <w:b/>
              </w:rPr>
            </w:pPr>
            <w:r w:rsidRPr="00491CF6">
              <w:rPr>
                <w:rFonts w:ascii="Times New Roman" w:eastAsia="Calibri" w:hAnsi="Times New Roman" w:cs="Times New Roman"/>
                <w:b/>
              </w:rPr>
              <w:t xml:space="preserve"> ($)</w:t>
            </w:r>
          </w:p>
          <w:p w14:paraId="0C5A7A85" w14:textId="77777777" w:rsidR="00C10A4D" w:rsidRPr="00491CF6" w:rsidRDefault="00C10A4D" w:rsidP="00491CF6">
            <w:pPr>
              <w:widowControl w:val="0"/>
              <w:autoSpaceDE w:val="0"/>
              <w:autoSpaceDN w:val="0"/>
              <w:adjustRightInd w:val="0"/>
              <w:spacing w:after="0" w:line="240" w:lineRule="auto"/>
              <w:jc w:val="center"/>
              <w:rPr>
                <w:rFonts w:ascii="Times New Roman" w:eastAsia="Calibri" w:hAnsi="Times New Roman" w:cs="Times New Roman"/>
                <w:b/>
              </w:rPr>
            </w:pPr>
            <w:r w:rsidRPr="00491CF6">
              <w:rPr>
                <w:rFonts w:ascii="Times New Roman" w:eastAsia="Calibri" w:hAnsi="Times New Roman" w:cs="Times New Roman"/>
                <w:b/>
              </w:rPr>
              <w:t>(5)÷(1)</w:t>
            </w:r>
          </w:p>
        </w:tc>
      </w:tr>
      <w:tr w:rsidR="00C10A4D" w:rsidRPr="00491CF6" w14:paraId="7B6AE311" w14:textId="77777777" w:rsidTr="00491CF6">
        <w:tc>
          <w:tcPr>
            <w:tcW w:w="1398" w:type="dxa"/>
          </w:tcPr>
          <w:p w14:paraId="521EAEE4" w14:textId="77777777" w:rsidR="00C10A4D" w:rsidRPr="00491CF6" w:rsidRDefault="00C10A4D" w:rsidP="00491CF6">
            <w:pPr>
              <w:widowControl w:val="0"/>
              <w:autoSpaceDE w:val="0"/>
              <w:autoSpaceDN w:val="0"/>
              <w:adjustRightInd w:val="0"/>
              <w:spacing w:after="0" w:line="240" w:lineRule="auto"/>
              <w:rPr>
                <w:rFonts w:ascii="Times New Roman" w:eastAsia="Calibri" w:hAnsi="Times New Roman" w:cs="Times New Roman"/>
              </w:rPr>
            </w:pPr>
            <w:r w:rsidRPr="00491CF6">
              <w:rPr>
                <w:rFonts w:ascii="Times New Roman" w:eastAsia="Calibri" w:hAnsi="Times New Roman" w:cs="Times New Roman"/>
              </w:rPr>
              <w:t>BA</w:t>
            </w:r>
            <w:bookmarkStart w:id="1" w:name="_Ref402532668"/>
            <w:r w:rsidRPr="00491CF6">
              <w:rPr>
                <w:rFonts w:ascii="Times New Roman" w:eastAsia="Calibri" w:hAnsi="Times New Roman" w:cs="Times New Roman"/>
              </w:rPr>
              <w:t>/RSG:</w:t>
            </w:r>
            <w:r w:rsidRPr="00491CF6">
              <w:rPr>
                <w:rFonts w:ascii="Times New Roman" w:eastAsia="Calibri" w:hAnsi="Times New Roman" w:cs="Times New Roman"/>
                <w:vertAlign w:val="superscript"/>
              </w:rPr>
              <w:footnoteReference w:id="11"/>
            </w:r>
            <w:bookmarkEnd w:id="1"/>
            <w:r w:rsidRPr="00491CF6">
              <w:rPr>
                <w:rFonts w:ascii="Times New Roman" w:eastAsia="Calibri" w:hAnsi="Times New Roman" w:cs="Times New Roman"/>
              </w:rPr>
              <w:t xml:space="preserve"> Develop and Maintain annually, Operating Process and Operating Plans</w:t>
            </w:r>
          </w:p>
        </w:tc>
        <w:tc>
          <w:tcPr>
            <w:tcW w:w="1632" w:type="dxa"/>
            <w:vAlign w:val="bottom"/>
          </w:tcPr>
          <w:p w14:paraId="6C563623" w14:textId="6D3C263C" w:rsidR="00C10A4D" w:rsidRPr="00491CF6" w:rsidRDefault="00C10A4D" w:rsidP="00491CF6">
            <w:pPr>
              <w:widowControl w:val="0"/>
              <w:autoSpaceDE w:val="0"/>
              <w:autoSpaceDN w:val="0"/>
              <w:adjustRightInd w:val="0"/>
              <w:spacing w:after="0" w:line="240" w:lineRule="auto"/>
              <w:jc w:val="right"/>
              <w:rPr>
                <w:rFonts w:ascii="Times New Roman" w:eastAsia="Calibri" w:hAnsi="Times New Roman" w:cs="Times New Roman"/>
              </w:rPr>
            </w:pPr>
            <w:r w:rsidRPr="00491CF6">
              <w:rPr>
                <w:rFonts w:ascii="Times New Roman" w:eastAsia="Calibri" w:hAnsi="Times New Roman" w:cs="Times New Roman"/>
              </w:rPr>
              <w:t>99</w:t>
            </w:r>
          </w:p>
        </w:tc>
        <w:tc>
          <w:tcPr>
            <w:tcW w:w="1531" w:type="dxa"/>
            <w:vAlign w:val="bottom"/>
          </w:tcPr>
          <w:p w14:paraId="4267DF9D" w14:textId="77777777" w:rsidR="00C10A4D" w:rsidRPr="00491CF6" w:rsidRDefault="00C10A4D" w:rsidP="00491CF6">
            <w:pPr>
              <w:widowControl w:val="0"/>
              <w:autoSpaceDE w:val="0"/>
              <w:autoSpaceDN w:val="0"/>
              <w:adjustRightInd w:val="0"/>
              <w:spacing w:after="0" w:line="240" w:lineRule="auto"/>
              <w:jc w:val="right"/>
              <w:rPr>
                <w:rFonts w:ascii="Times New Roman" w:eastAsia="Calibri" w:hAnsi="Times New Roman" w:cs="Times New Roman"/>
              </w:rPr>
            </w:pPr>
            <w:r w:rsidRPr="00491CF6">
              <w:rPr>
                <w:rFonts w:ascii="Times New Roman" w:eastAsia="Calibri" w:hAnsi="Times New Roman" w:cs="Times New Roman"/>
              </w:rPr>
              <w:t>1</w:t>
            </w:r>
          </w:p>
        </w:tc>
        <w:tc>
          <w:tcPr>
            <w:tcW w:w="1404" w:type="dxa"/>
            <w:vAlign w:val="bottom"/>
          </w:tcPr>
          <w:p w14:paraId="25FA7077" w14:textId="77777777" w:rsidR="00C10A4D" w:rsidRPr="00491CF6" w:rsidRDefault="00C10A4D" w:rsidP="00491CF6">
            <w:pPr>
              <w:widowControl w:val="0"/>
              <w:autoSpaceDE w:val="0"/>
              <w:autoSpaceDN w:val="0"/>
              <w:adjustRightInd w:val="0"/>
              <w:spacing w:after="0" w:line="240" w:lineRule="auto"/>
              <w:jc w:val="right"/>
              <w:rPr>
                <w:rFonts w:ascii="Times New Roman" w:eastAsia="Calibri" w:hAnsi="Times New Roman" w:cs="Times New Roman"/>
              </w:rPr>
            </w:pPr>
            <w:r w:rsidRPr="00491CF6">
              <w:rPr>
                <w:rFonts w:ascii="Times New Roman" w:eastAsia="Calibri" w:hAnsi="Times New Roman" w:cs="Times New Roman"/>
              </w:rPr>
              <w:t>99</w:t>
            </w:r>
          </w:p>
        </w:tc>
        <w:tc>
          <w:tcPr>
            <w:tcW w:w="1427" w:type="dxa"/>
            <w:vAlign w:val="bottom"/>
          </w:tcPr>
          <w:p w14:paraId="457ED561" w14:textId="3AED00C9" w:rsidR="00C10A4D" w:rsidRPr="00491CF6" w:rsidRDefault="00C10A4D" w:rsidP="00491CF6">
            <w:pPr>
              <w:widowControl w:val="0"/>
              <w:autoSpaceDE w:val="0"/>
              <w:autoSpaceDN w:val="0"/>
              <w:adjustRightInd w:val="0"/>
              <w:spacing w:after="0" w:line="240" w:lineRule="auto"/>
              <w:jc w:val="right"/>
              <w:rPr>
                <w:rFonts w:ascii="Times New Roman" w:eastAsia="Calibri" w:hAnsi="Times New Roman" w:cs="Times New Roman"/>
              </w:rPr>
            </w:pPr>
            <w:r w:rsidRPr="00491CF6">
              <w:rPr>
                <w:rFonts w:ascii="Times New Roman" w:eastAsia="Calibri" w:hAnsi="Times New Roman" w:cs="Times New Roman"/>
              </w:rPr>
              <w:t>8</w:t>
            </w:r>
            <w:r w:rsidRPr="00491CF6">
              <w:rPr>
                <w:rFonts w:ascii="Times New Roman" w:eastAsia="Calibri" w:hAnsi="Times New Roman" w:cs="Times New Roman"/>
                <w:vertAlign w:val="superscript"/>
              </w:rPr>
              <w:footnoteReference w:id="12"/>
            </w:r>
            <w:r w:rsidRPr="00491CF6">
              <w:rPr>
                <w:rFonts w:ascii="Times New Roman" w:eastAsia="Calibri" w:hAnsi="Times New Roman" w:cs="Times New Roman"/>
              </w:rPr>
              <w:t xml:space="preserve">  hrs.;</w:t>
            </w:r>
            <w:r w:rsidR="00D24D9C">
              <w:rPr>
                <w:rFonts w:ascii="Times New Roman" w:eastAsia="Calibri" w:hAnsi="Times New Roman" w:cs="Times New Roman"/>
              </w:rPr>
              <w:t xml:space="preserve"> </w:t>
            </w:r>
            <w:r w:rsidRPr="00491CF6">
              <w:rPr>
                <w:rFonts w:ascii="Times New Roman" w:eastAsia="Calibri" w:hAnsi="Times New Roman" w:cs="Times New Roman"/>
              </w:rPr>
              <w:t>$842.32</w:t>
            </w:r>
          </w:p>
        </w:tc>
        <w:tc>
          <w:tcPr>
            <w:tcW w:w="1404" w:type="dxa"/>
            <w:vAlign w:val="bottom"/>
          </w:tcPr>
          <w:p w14:paraId="2DCCD10B" w14:textId="77777777" w:rsidR="00C10A4D" w:rsidRPr="00491CF6" w:rsidRDefault="00C10A4D" w:rsidP="00491CF6">
            <w:pPr>
              <w:widowControl w:val="0"/>
              <w:autoSpaceDE w:val="0"/>
              <w:autoSpaceDN w:val="0"/>
              <w:adjustRightInd w:val="0"/>
              <w:spacing w:after="0" w:line="240" w:lineRule="auto"/>
              <w:jc w:val="right"/>
              <w:rPr>
                <w:rFonts w:ascii="Times New Roman" w:eastAsia="Calibri" w:hAnsi="Times New Roman" w:cs="Times New Roman"/>
              </w:rPr>
            </w:pPr>
            <w:r w:rsidRPr="00491CF6">
              <w:rPr>
                <w:rFonts w:ascii="Times New Roman" w:eastAsia="Calibri" w:hAnsi="Times New Roman" w:cs="Times New Roman"/>
              </w:rPr>
              <w:t>792 hrs.; $83,390</w:t>
            </w:r>
          </w:p>
        </w:tc>
        <w:tc>
          <w:tcPr>
            <w:tcW w:w="1531" w:type="dxa"/>
            <w:vAlign w:val="bottom"/>
          </w:tcPr>
          <w:p w14:paraId="2CDED3AA" w14:textId="431B3172" w:rsidR="00C10A4D" w:rsidRPr="00491CF6" w:rsidRDefault="00C10A4D" w:rsidP="00491CF6">
            <w:pPr>
              <w:widowControl w:val="0"/>
              <w:autoSpaceDE w:val="0"/>
              <w:autoSpaceDN w:val="0"/>
              <w:adjustRightInd w:val="0"/>
              <w:spacing w:after="0" w:line="240" w:lineRule="auto"/>
              <w:jc w:val="right"/>
              <w:rPr>
                <w:rFonts w:ascii="Times New Roman" w:eastAsia="Calibri" w:hAnsi="Times New Roman" w:cs="Times New Roman"/>
              </w:rPr>
            </w:pPr>
            <w:r w:rsidRPr="00491CF6">
              <w:rPr>
                <w:rFonts w:ascii="Times New Roman" w:eastAsia="Calibri" w:hAnsi="Times New Roman" w:cs="Times New Roman"/>
              </w:rPr>
              <w:t>$842.32</w:t>
            </w:r>
            <w:r w:rsidR="00D24D9C">
              <w:rPr>
                <w:rFonts w:ascii="Times New Roman" w:eastAsia="Calibri" w:hAnsi="Times New Roman" w:cs="Times New Roman"/>
              </w:rPr>
              <w:t xml:space="preserve"> </w:t>
            </w:r>
          </w:p>
        </w:tc>
      </w:tr>
      <w:tr w:rsidR="00C10A4D" w:rsidRPr="00491CF6" w14:paraId="49809379" w14:textId="77777777" w:rsidTr="00491CF6">
        <w:tc>
          <w:tcPr>
            <w:tcW w:w="1398" w:type="dxa"/>
          </w:tcPr>
          <w:p w14:paraId="4E95F9DD" w14:textId="77777777" w:rsidR="00C10A4D" w:rsidRPr="00491CF6" w:rsidRDefault="00C10A4D" w:rsidP="00491CF6">
            <w:pPr>
              <w:widowControl w:val="0"/>
              <w:autoSpaceDE w:val="0"/>
              <w:autoSpaceDN w:val="0"/>
              <w:adjustRightInd w:val="0"/>
              <w:spacing w:after="0" w:line="240" w:lineRule="auto"/>
              <w:rPr>
                <w:rFonts w:ascii="Times New Roman" w:eastAsia="Calibri" w:hAnsi="Times New Roman" w:cs="Times New Roman"/>
              </w:rPr>
            </w:pPr>
            <w:r w:rsidRPr="00491CF6">
              <w:rPr>
                <w:rFonts w:ascii="Times New Roman" w:eastAsia="Calibri" w:hAnsi="Times New Roman" w:cs="Times New Roman"/>
              </w:rPr>
              <w:t>BA/RSG</w:t>
            </w:r>
            <w:r w:rsidRPr="00491CF6">
              <w:rPr>
                <w:rFonts w:ascii="Times New Roman" w:eastAsia="Calibri" w:hAnsi="Times New Roman" w:cs="Times New Roman"/>
                <w:vertAlign w:val="superscript"/>
              </w:rPr>
              <w:t>:</w:t>
            </w:r>
            <w:r w:rsidRPr="00491CF6">
              <w:rPr>
                <w:rFonts w:ascii="Times New Roman" w:eastAsia="Calibri" w:hAnsi="Times New Roman" w:cs="Times New Roman"/>
              </w:rPr>
              <w:t xml:space="preserve"> Record Retention</w:t>
            </w:r>
          </w:p>
        </w:tc>
        <w:tc>
          <w:tcPr>
            <w:tcW w:w="1632" w:type="dxa"/>
            <w:vAlign w:val="bottom"/>
          </w:tcPr>
          <w:p w14:paraId="6A9F6255" w14:textId="77777777" w:rsidR="00C10A4D" w:rsidRPr="00491CF6" w:rsidRDefault="00C10A4D" w:rsidP="00491CF6">
            <w:pPr>
              <w:widowControl w:val="0"/>
              <w:autoSpaceDE w:val="0"/>
              <w:autoSpaceDN w:val="0"/>
              <w:adjustRightInd w:val="0"/>
              <w:spacing w:after="0" w:line="240" w:lineRule="auto"/>
              <w:jc w:val="right"/>
              <w:rPr>
                <w:rFonts w:ascii="Times New Roman" w:eastAsia="Calibri" w:hAnsi="Times New Roman" w:cs="Times New Roman"/>
              </w:rPr>
            </w:pPr>
            <w:r w:rsidRPr="00491CF6">
              <w:rPr>
                <w:rFonts w:ascii="Times New Roman" w:eastAsia="Calibri" w:hAnsi="Times New Roman" w:cs="Times New Roman"/>
              </w:rPr>
              <w:t>99</w:t>
            </w:r>
          </w:p>
        </w:tc>
        <w:tc>
          <w:tcPr>
            <w:tcW w:w="1531" w:type="dxa"/>
            <w:vAlign w:val="bottom"/>
          </w:tcPr>
          <w:p w14:paraId="7F8C48EB" w14:textId="77777777" w:rsidR="00C10A4D" w:rsidRPr="00491CF6" w:rsidRDefault="00C10A4D" w:rsidP="00491CF6">
            <w:pPr>
              <w:widowControl w:val="0"/>
              <w:autoSpaceDE w:val="0"/>
              <w:autoSpaceDN w:val="0"/>
              <w:adjustRightInd w:val="0"/>
              <w:spacing w:after="0" w:line="240" w:lineRule="auto"/>
              <w:jc w:val="right"/>
              <w:rPr>
                <w:rFonts w:ascii="Times New Roman" w:eastAsia="Calibri" w:hAnsi="Times New Roman" w:cs="Times New Roman"/>
              </w:rPr>
            </w:pPr>
            <w:r w:rsidRPr="00491CF6">
              <w:rPr>
                <w:rFonts w:ascii="Times New Roman" w:eastAsia="Calibri" w:hAnsi="Times New Roman" w:cs="Times New Roman"/>
              </w:rPr>
              <w:t>1</w:t>
            </w:r>
          </w:p>
        </w:tc>
        <w:tc>
          <w:tcPr>
            <w:tcW w:w="1404" w:type="dxa"/>
            <w:vAlign w:val="bottom"/>
          </w:tcPr>
          <w:p w14:paraId="43D64ABE" w14:textId="77777777" w:rsidR="00C10A4D" w:rsidRPr="00491CF6" w:rsidRDefault="00C10A4D" w:rsidP="00491CF6">
            <w:pPr>
              <w:widowControl w:val="0"/>
              <w:autoSpaceDE w:val="0"/>
              <w:autoSpaceDN w:val="0"/>
              <w:adjustRightInd w:val="0"/>
              <w:spacing w:after="0" w:line="240" w:lineRule="auto"/>
              <w:jc w:val="right"/>
              <w:rPr>
                <w:rFonts w:ascii="Times New Roman" w:eastAsia="Calibri" w:hAnsi="Times New Roman" w:cs="Times New Roman"/>
              </w:rPr>
            </w:pPr>
            <w:r w:rsidRPr="00491CF6">
              <w:rPr>
                <w:rFonts w:ascii="Times New Roman" w:eastAsia="Calibri" w:hAnsi="Times New Roman" w:cs="Times New Roman"/>
              </w:rPr>
              <w:t>99</w:t>
            </w:r>
          </w:p>
        </w:tc>
        <w:tc>
          <w:tcPr>
            <w:tcW w:w="1427" w:type="dxa"/>
            <w:vAlign w:val="bottom"/>
          </w:tcPr>
          <w:p w14:paraId="4AEE008F" w14:textId="3E7DEF13" w:rsidR="00C10A4D" w:rsidRPr="00491CF6" w:rsidRDefault="00C10A4D" w:rsidP="00491CF6">
            <w:pPr>
              <w:widowControl w:val="0"/>
              <w:autoSpaceDE w:val="0"/>
              <w:autoSpaceDN w:val="0"/>
              <w:adjustRightInd w:val="0"/>
              <w:spacing w:after="0" w:line="240" w:lineRule="auto"/>
              <w:jc w:val="right"/>
              <w:rPr>
                <w:rFonts w:ascii="Times New Roman" w:eastAsia="Calibri" w:hAnsi="Times New Roman" w:cs="Times New Roman"/>
              </w:rPr>
            </w:pPr>
            <w:r w:rsidRPr="00491CF6">
              <w:rPr>
                <w:rFonts w:ascii="Times New Roman" w:eastAsia="Calibri" w:hAnsi="Times New Roman" w:cs="Times New Roman"/>
              </w:rPr>
              <w:t>4 hrs.;</w:t>
            </w:r>
            <w:r w:rsidR="00D24D9C">
              <w:rPr>
                <w:rFonts w:ascii="Times New Roman" w:eastAsia="Calibri" w:hAnsi="Times New Roman" w:cs="Times New Roman"/>
              </w:rPr>
              <w:t xml:space="preserve"> </w:t>
            </w:r>
            <w:r w:rsidRPr="00491CF6">
              <w:rPr>
                <w:rFonts w:ascii="Times New Roman" w:eastAsia="Calibri" w:hAnsi="Times New Roman" w:cs="Times New Roman"/>
              </w:rPr>
              <w:t>$158.72</w:t>
            </w:r>
          </w:p>
        </w:tc>
        <w:tc>
          <w:tcPr>
            <w:tcW w:w="1404" w:type="dxa"/>
            <w:vAlign w:val="bottom"/>
          </w:tcPr>
          <w:p w14:paraId="279842FF" w14:textId="77777777" w:rsidR="00C10A4D" w:rsidRPr="00491CF6" w:rsidRDefault="00C10A4D" w:rsidP="00491CF6">
            <w:pPr>
              <w:widowControl w:val="0"/>
              <w:autoSpaceDE w:val="0"/>
              <w:autoSpaceDN w:val="0"/>
              <w:adjustRightInd w:val="0"/>
              <w:spacing w:after="0" w:line="240" w:lineRule="auto"/>
              <w:jc w:val="right"/>
              <w:rPr>
                <w:rFonts w:ascii="Times New Roman" w:eastAsia="Calibri" w:hAnsi="Times New Roman" w:cs="Times New Roman"/>
              </w:rPr>
            </w:pPr>
            <w:r w:rsidRPr="00491CF6">
              <w:rPr>
                <w:rFonts w:ascii="Times New Roman" w:eastAsia="Calibri" w:hAnsi="Times New Roman" w:cs="Times New Roman"/>
              </w:rPr>
              <w:t>396 hrs.; $15,713</w:t>
            </w:r>
          </w:p>
        </w:tc>
        <w:tc>
          <w:tcPr>
            <w:tcW w:w="1531" w:type="dxa"/>
            <w:vAlign w:val="bottom"/>
          </w:tcPr>
          <w:p w14:paraId="174EEA56" w14:textId="77777777" w:rsidR="00C10A4D" w:rsidRPr="00491CF6" w:rsidRDefault="00C10A4D" w:rsidP="00491CF6">
            <w:pPr>
              <w:widowControl w:val="0"/>
              <w:autoSpaceDE w:val="0"/>
              <w:autoSpaceDN w:val="0"/>
              <w:adjustRightInd w:val="0"/>
              <w:spacing w:after="0" w:line="240" w:lineRule="auto"/>
              <w:jc w:val="right"/>
              <w:rPr>
                <w:rFonts w:ascii="Times New Roman" w:eastAsia="Calibri" w:hAnsi="Times New Roman" w:cs="Times New Roman"/>
              </w:rPr>
            </w:pPr>
            <w:r w:rsidRPr="00491CF6">
              <w:rPr>
                <w:rFonts w:ascii="Times New Roman" w:eastAsia="Calibri" w:hAnsi="Times New Roman" w:cs="Times New Roman"/>
              </w:rPr>
              <w:t>$158.72</w:t>
            </w:r>
          </w:p>
        </w:tc>
      </w:tr>
      <w:tr w:rsidR="00C10A4D" w:rsidRPr="00491CF6" w14:paraId="5E5433E1" w14:textId="77777777" w:rsidTr="00491CF6">
        <w:trPr>
          <w:trHeight w:val="485"/>
        </w:trPr>
        <w:tc>
          <w:tcPr>
            <w:tcW w:w="1398" w:type="dxa"/>
            <w:tcBorders>
              <w:bottom w:val="single" w:sz="4" w:space="0" w:color="auto"/>
            </w:tcBorders>
          </w:tcPr>
          <w:p w14:paraId="64A66591" w14:textId="77777777" w:rsidR="00C10A4D" w:rsidRPr="00491CF6" w:rsidRDefault="00C10A4D" w:rsidP="00491CF6">
            <w:pPr>
              <w:widowControl w:val="0"/>
              <w:autoSpaceDE w:val="0"/>
              <w:autoSpaceDN w:val="0"/>
              <w:adjustRightInd w:val="0"/>
              <w:spacing w:after="0" w:line="240" w:lineRule="auto"/>
              <w:rPr>
                <w:rFonts w:ascii="Times New Roman" w:eastAsia="Calibri" w:hAnsi="Times New Roman" w:cs="Times New Roman"/>
                <w:b/>
              </w:rPr>
            </w:pPr>
            <w:r w:rsidRPr="00491CF6">
              <w:rPr>
                <w:rFonts w:ascii="Times New Roman" w:eastAsia="Calibri" w:hAnsi="Times New Roman" w:cs="Times New Roman"/>
                <w:b/>
              </w:rPr>
              <w:t>TOTAL</w:t>
            </w:r>
          </w:p>
        </w:tc>
        <w:tc>
          <w:tcPr>
            <w:tcW w:w="3163" w:type="dxa"/>
            <w:gridSpan w:val="2"/>
            <w:tcBorders>
              <w:bottom w:val="single" w:sz="4" w:space="0" w:color="auto"/>
            </w:tcBorders>
            <w:shd w:val="clear" w:color="auto" w:fill="D9D9D9"/>
            <w:vAlign w:val="bottom"/>
          </w:tcPr>
          <w:p w14:paraId="5E9358FF" w14:textId="77777777" w:rsidR="00C10A4D" w:rsidRPr="00491CF6" w:rsidRDefault="00C10A4D" w:rsidP="00491CF6">
            <w:pPr>
              <w:widowControl w:val="0"/>
              <w:autoSpaceDE w:val="0"/>
              <w:autoSpaceDN w:val="0"/>
              <w:adjustRightInd w:val="0"/>
              <w:spacing w:after="0" w:line="240" w:lineRule="auto"/>
              <w:jc w:val="right"/>
              <w:rPr>
                <w:rFonts w:ascii="Times New Roman" w:eastAsia="Calibri" w:hAnsi="Times New Roman" w:cs="Times New Roman"/>
              </w:rPr>
            </w:pPr>
          </w:p>
        </w:tc>
        <w:tc>
          <w:tcPr>
            <w:tcW w:w="1404" w:type="dxa"/>
            <w:tcBorders>
              <w:bottom w:val="single" w:sz="4" w:space="0" w:color="auto"/>
            </w:tcBorders>
            <w:shd w:val="clear" w:color="auto" w:fill="auto"/>
            <w:vAlign w:val="bottom"/>
          </w:tcPr>
          <w:p w14:paraId="55CA0900" w14:textId="77777777" w:rsidR="00C10A4D" w:rsidRPr="00491CF6" w:rsidRDefault="00C10A4D" w:rsidP="00491CF6">
            <w:pPr>
              <w:widowControl w:val="0"/>
              <w:autoSpaceDE w:val="0"/>
              <w:autoSpaceDN w:val="0"/>
              <w:adjustRightInd w:val="0"/>
              <w:spacing w:after="0" w:line="240" w:lineRule="auto"/>
              <w:jc w:val="right"/>
              <w:rPr>
                <w:rFonts w:ascii="Times New Roman" w:eastAsia="Calibri" w:hAnsi="Times New Roman" w:cs="Times New Roman"/>
                <w:b/>
              </w:rPr>
            </w:pPr>
            <w:r w:rsidRPr="00491CF6">
              <w:rPr>
                <w:rFonts w:ascii="Times New Roman" w:eastAsia="Calibri" w:hAnsi="Times New Roman" w:cs="Times New Roman"/>
                <w:b/>
              </w:rPr>
              <w:t>198</w:t>
            </w:r>
          </w:p>
        </w:tc>
        <w:tc>
          <w:tcPr>
            <w:tcW w:w="1427" w:type="dxa"/>
            <w:tcBorders>
              <w:bottom w:val="single" w:sz="4" w:space="0" w:color="auto"/>
            </w:tcBorders>
            <w:shd w:val="clear" w:color="auto" w:fill="D9D9D9"/>
            <w:vAlign w:val="bottom"/>
          </w:tcPr>
          <w:p w14:paraId="42C82116" w14:textId="77777777" w:rsidR="00C10A4D" w:rsidRPr="00491CF6" w:rsidRDefault="00C10A4D" w:rsidP="00491CF6">
            <w:pPr>
              <w:widowControl w:val="0"/>
              <w:autoSpaceDE w:val="0"/>
              <w:autoSpaceDN w:val="0"/>
              <w:adjustRightInd w:val="0"/>
              <w:spacing w:after="0" w:line="240" w:lineRule="auto"/>
              <w:jc w:val="right"/>
              <w:rPr>
                <w:rFonts w:ascii="Times New Roman" w:eastAsia="Calibri" w:hAnsi="Times New Roman" w:cs="Times New Roman"/>
              </w:rPr>
            </w:pPr>
          </w:p>
        </w:tc>
        <w:tc>
          <w:tcPr>
            <w:tcW w:w="1404" w:type="dxa"/>
            <w:tcBorders>
              <w:bottom w:val="single" w:sz="4" w:space="0" w:color="auto"/>
            </w:tcBorders>
            <w:vAlign w:val="bottom"/>
          </w:tcPr>
          <w:p w14:paraId="12AA2BE7" w14:textId="77777777" w:rsidR="00C10A4D" w:rsidRPr="00491CF6" w:rsidRDefault="00C10A4D" w:rsidP="00491CF6">
            <w:pPr>
              <w:widowControl w:val="0"/>
              <w:autoSpaceDE w:val="0"/>
              <w:autoSpaceDN w:val="0"/>
              <w:adjustRightInd w:val="0"/>
              <w:spacing w:after="0" w:line="240" w:lineRule="auto"/>
              <w:jc w:val="right"/>
              <w:rPr>
                <w:rFonts w:ascii="Times New Roman" w:eastAsia="Calibri" w:hAnsi="Times New Roman" w:cs="Times New Roman"/>
                <w:b/>
              </w:rPr>
            </w:pPr>
            <w:r w:rsidRPr="00491CF6">
              <w:rPr>
                <w:rFonts w:ascii="Times New Roman" w:eastAsia="Calibri" w:hAnsi="Times New Roman" w:cs="Times New Roman"/>
                <w:b/>
              </w:rPr>
              <w:t>1,188 hrs.; $99,103</w:t>
            </w:r>
          </w:p>
        </w:tc>
        <w:tc>
          <w:tcPr>
            <w:tcW w:w="1531" w:type="dxa"/>
            <w:tcBorders>
              <w:bottom w:val="single" w:sz="4" w:space="0" w:color="auto"/>
            </w:tcBorders>
            <w:shd w:val="clear" w:color="auto" w:fill="BFBFBF"/>
            <w:vAlign w:val="bottom"/>
          </w:tcPr>
          <w:p w14:paraId="2562E767" w14:textId="77777777" w:rsidR="00C10A4D" w:rsidRPr="00491CF6" w:rsidRDefault="00C10A4D" w:rsidP="00491CF6">
            <w:pPr>
              <w:widowControl w:val="0"/>
              <w:autoSpaceDE w:val="0"/>
              <w:autoSpaceDN w:val="0"/>
              <w:adjustRightInd w:val="0"/>
              <w:spacing w:after="0" w:line="240" w:lineRule="auto"/>
              <w:jc w:val="right"/>
              <w:rPr>
                <w:rFonts w:ascii="Times New Roman" w:eastAsia="Calibri" w:hAnsi="Times New Roman" w:cs="Times New Roman"/>
                <w:b/>
              </w:rPr>
            </w:pPr>
          </w:p>
        </w:tc>
      </w:tr>
    </w:tbl>
    <w:p w14:paraId="08821B5E" w14:textId="77777777" w:rsidR="00C10A4D" w:rsidRDefault="00C10A4D" w:rsidP="00C10A4D">
      <w:pPr>
        <w:widowControl w:val="0"/>
        <w:autoSpaceDE w:val="0"/>
        <w:autoSpaceDN w:val="0"/>
        <w:adjustRightInd w:val="0"/>
        <w:spacing w:after="0" w:line="240" w:lineRule="auto"/>
        <w:rPr>
          <w:rFonts w:ascii="Times New Roman" w:hAnsi="Times New Roman" w:cs="Times New Roman"/>
          <w:sz w:val="24"/>
          <w:szCs w:val="24"/>
        </w:rPr>
      </w:pPr>
    </w:p>
    <w:p w14:paraId="6F0988F8" w14:textId="7A5CE5CD" w:rsidR="003C4B09" w:rsidRDefault="003C4B09" w:rsidP="003C4B0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w:t>
      </w:r>
      <w:r w:rsidR="006D6849">
        <w:rPr>
          <w:rFonts w:ascii="Times New Roman" w:hAnsi="Times New Roman" w:cs="Times New Roman"/>
          <w:sz w:val="24"/>
          <w:szCs w:val="24"/>
        </w:rPr>
        <w:t>only de minimis</w:t>
      </w:r>
      <w:r>
        <w:rPr>
          <w:rFonts w:ascii="Times New Roman" w:hAnsi="Times New Roman" w:cs="Times New Roman"/>
          <w:sz w:val="24"/>
          <w:szCs w:val="24"/>
        </w:rPr>
        <w:t xml:space="preserve"> changes to the FERC-725R; this is a submittal for non-material or non-substantive change to the collection.</w:t>
      </w:r>
    </w:p>
    <w:p w14:paraId="35319C00" w14:textId="77777777" w:rsidR="003C4B09" w:rsidRDefault="003C4B09" w:rsidP="003C4B09">
      <w:pPr>
        <w:widowControl w:val="0"/>
        <w:autoSpaceDE w:val="0"/>
        <w:autoSpaceDN w:val="0"/>
        <w:adjustRightInd w:val="0"/>
        <w:spacing w:after="0" w:line="240" w:lineRule="auto"/>
        <w:rPr>
          <w:rFonts w:ascii="Times New Roman" w:hAnsi="Times New Roman" w:cs="Times New Roman"/>
          <w:sz w:val="24"/>
          <w:szCs w:val="24"/>
        </w:rPr>
      </w:pPr>
    </w:p>
    <w:p w14:paraId="28450C26" w14:textId="267521FB" w:rsidR="003C4B09" w:rsidRDefault="00E75CFB" w:rsidP="003C4B0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Component</w:t>
      </w:r>
      <w:r w:rsidR="003811CE">
        <w:rPr>
          <w:rFonts w:ascii="Times New Roman" w:hAnsi="Times New Roman" w:cs="Times New Roman"/>
          <w:b/>
          <w:sz w:val="24"/>
          <w:szCs w:val="24"/>
        </w:rPr>
        <w:t>s Not Affected by Docket No. RD1</w:t>
      </w:r>
      <w:r>
        <w:rPr>
          <w:rFonts w:ascii="Times New Roman" w:hAnsi="Times New Roman" w:cs="Times New Roman"/>
          <w:b/>
          <w:sz w:val="24"/>
          <w:szCs w:val="24"/>
        </w:rPr>
        <w:t>8</w:t>
      </w:r>
      <w:r w:rsidR="003811CE">
        <w:rPr>
          <w:rFonts w:ascii="Times New Roman" w:hAnsi="Times New Roman" w:cs="Times New Roman"/>
          <w:b/>
          <w:sz w:val="24"/>
          <w:szCs w:val="24"/>
        </w:rPr>
        <w:t xml:space="preserve">-7.  </w:t>
      </w:r>
      <w:r w:rsidR="003C4B09">
        <w:rPr>
          <w:rFonts w:ascii="Times New Roman" w:hAnsi="Times New Roman" w:cs="Times New Roman"/>
          <w:sz w:val="24"/>
          <w:szCs w:val="24"/>
        </w:rPr>
        <w:t>The existing inventory figures follow</w:t>
      </w:r>
      <w:r w:rsidR="00491CF6">
        <w:rPr>
          <w:rFonts w:ascii="Times New Roman" w:hAnsi="Times New Roman" w:cs="Times New Roman"/>
          <w:sz w:val="24"/>
          <w:szCs w:val="24"/>
        </w:rPr>
        <w:t xml:space="preserve"> for the parts of FERC-725R not affected by Docket No. RD18-7</w:t>
      </w:r>
      <w:r w:rsidR="003C4B09">
        <w:rPr>
          <w:rFonts w:ascii="Times New Roman" w:hAnsi="Times New Roman" w:cs="Times New Roman"/>
          <w:sz w:val="24"/>
          <w:szCs w:val="24"/>
        </w:rPr>
        <w:t>.</w:t>
      </w:r>
    </w:p>
    <w:p w14:paraId="62C5B5A6" w14:textId="77777777" w:rsidR="003C4B09" w:rsidRPr="00B51BB8" w:rsidRDefault="003C4B09" w:rsidP="005E2448">
      <w:pPr>
        <w:widowControl w:val="0"/>
        <w:autoSpaceDE w:val="0"/>
        <w:autoSpaceDN w:val="0"/>
        <w:adjustRightInd w:val="0"/>
        <w:spacing w:after="0" w:line="240" w:lineRule="auto"/>
        <w:ind w:left="360"/>
        <w:rPr>
          <w:rFonts w:ascii="Times New Roman" w:hAnsi="Times New Roman" w:cs="Times New Roman"/>
          <w:sz w:val="24"/>
          <w:szCs w:val="24"/>
        </w:rPr>
      </w:pPr>
    </w:p>
    <w:tbl>
      <w:tblPr>
        <w:tblW w:w="104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30"/>
        <w:gridCol w:w="1530"/>
        <w:gridCol w:w="1710"/>
        <w:gridCol w:w="1530"/>
        <w:gridCol w:w="2178"/>
      </w:tblGrid>
      <w:tr w:rsidR="00F61F08" w:rsidRPr="00CB0831" w14:paraId="511F2611" w14:textId="77777777" w:rsidTr="00F80FC4">
        <w:trPr>
          <w:cantSplit/>
          <w:trHeight w:val="58"/>
          <w:tblHeader/>
        </w:trPr>
        <w:tc>
          <w:tcPr>
            <w:tcW w:w="10458" w:type="dxa"/>
            <w:gridSpan w:val="6"/>
            <w:shd w:val="clear" w:color="auto" w:fill="D9D9D9" w:themeFill="background1" w:themeFillShade="D9"/>
          </w:tcPr>
          <w:p w14:paraId="7B2EE549" w14:textId="2709308A" w:rsidR="00F61F08" w:rsidRPr="00F80FC4" w:rsidRDefault="00D24D9C" w:rsidP="00F80FC4">
            <w:pPr>
              <w:keepNext/>
              <w:widowControl w:val="0"/>
              <w:autoSpaceDE w:val="0"/>
              <w:autoSpaceDN w:val="0"/>
              <w:adjustRightInd w:val="0"/>
              <w:spacing w:after="120" w:line="240" w:lineRule="auto"/>
              <w:jc w:val="center"/>
              <w:rPr>
                <w:rFonts w:ascii="Times New Roman" w:eastAsia="Times New Roman" w:hAnsi="Times New Roman" w:cs="Times New Roman"/>
                <w:b/>
                <w:i/>
                <w:sz w:val="24"/>
                <w:szCs w:val="24"/>
              </w:rPr>
            </w:pPr>
            <w:r>
              <w:rPr>
                <w:rFonts w:ascii="Times New Roman" w:hAnsi="Times New Roman" w:cs="Times New Roman"/>
                <w:b/>
                <w:sz w:val="24"/>
                <w:szCs w:val="24"/>
              </w:rPr>
              <w:t xml:space="preserve">Components of </w:t>
            </w:r>
            <w:r w:rsidR="00F61F08">
              <w:rPr>
                <w:rFonts w:ascii="Times New Roman" w:hAnsi="Times New Roman" w:cs="Times New Roman"/>
                <w:b/>
                <w:sz w:val="24"/>
                <w:szCs w:val="24"/>
              </w:rPr>
              <w:t>FERC-725R</w:t>
            </w:r>
            <w:r w:rsidR="00F61F08" w:rsidRPr="00C9693F">
              <w:rPr>
                <w:rFonts w:ascii="Times New Roman" w:hAnsi="Times New Roman" w:cs="Times New Roman"/>
                <w:b/>
                <w:sz w:val="24"/>
                <w:szCs w:val="24"/>
              </w:rPr>
              <w:t>,</w:t>
            </w:r>
            <w:r w:rsidR="00491CF6" w:rsidRPr="00C9693F">
              <w:rPr>
                <w:rFonts w:ascii="Times New Roman" w:hAnsi="Times New Roman" w:cs="Times New Roman"/>
                <w:b/>
                <w:sz w:val="24"/>
                <w:szCs w:val="24"/>
              </w:rPr>
              <w:t xml:space="preserve"> </w:t>
            </w:r>
            <w:r w:rsidRPr="00C9693F">
              <w:rPr>
                <w:rFonts w:ascii="Times New Roman" w:hAnsi="Times New Roman" w:cs="Times New Roman"/>
                <w:b/>
                <w:sz w:val="24"/>
                <w:szCs w:val="24"/>
              </w:rPr>
              <w:t>Not Affected by Docket No.</w:t>
            </w:r>
            <w:r w:rsidR="00F61F08" w:rsidRPr="00C9693F">
              <w:rPr>
                <w:rFonts w:ascii="Times New Roman" w:hAnsi="Times New Roman" w:cs="Times New Roman"/>
                <w:b/>
                <w:sz w:val="24"/>
                <w:szCs w:val="24"/>
              </w:rPr>
              <w:t xml:space="preserve"> RD18-7</w:t>
            </w:r>
          </w:p>
        </w:tc>
      </w:tr>
      <w:tr w:rsidR="00F80FC4" w:rsidRPr="00CB0831" w14:paraId="1707F647" w14:textId="77777777" w:rsidTr="00F80FC4">
        <w:trPr>
          <w:cantSplit/>
          <w:trHeight w:val="1187"/>
          <w:tblHeader/>
        </w:trPr>
        <w:tc>
          <w:tcPr>
            <w:tcW w:w="1980" w:type="dxa"/>
            <w:shd w:val="clear" w:color="auto" w:fill="D9D9D9" w:themeFill="background1" w:themeFillShade="D9"/>
            <w:vAlign w:val="bottom"/>
          </w:tcPr>
          <w:p w14:paraId="6424B5B7" w14:textId="32144E7C" w:rsidR="00F61F08" w:rsidRDefault="00F61F08" w:rsidP="00F80FC4">
            <w:pPr>
              <w:keepNext/>
              <w:widowControl w:val="0"/>
              <w:autoSpaceDE w:val="0"/>
              <w:autoSpaceDN w:val="0"/>
              <w:adjustRightInd w:val="0"/>
              <w:spacing w:after="0" w:line="240" w:lineRule="auto"/>
              <w:ind w:lef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IC</w:t>
            </w:r>
          </w:p>
        </w:tc>
        <w:tc>
          <w:tcPr>
            <w:tcW w:w="1530" w:type="dxa"/>
            <w:shd w:val="clear" w:color="auto" w:fill="D9D9D9" w:themeFill="background1" w:themeFillShade="D9"/>
            <w:vAlign w:val="bottom"/>
          </w:tcPr>
          <w:p w14:paraId="51F7CECA" w14:textId="6E2045CE" w:rsidR="00F61F08" w:rsidRPr="00CB0831" w:rsidRDefault="00F61F08" w:rsidP="00F80FC4">
            <w:pPr>
              <w:keepNext/>
              <w:widowControl w:val="0"/>
              <w:autoSpaceDE w:val="0"/>
              <w:autoSpaceDN w:val="0"/>
              <w:adjustRightInd w:val="0"/>
              <w:spacing w:after="120" w:line="240" w:lineRule="auto"/>
              <w:ind w:left="-108"/>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Number and Type of Respondents</w:t>
            </w:r>
          </w:p>
          <w:p w14:paraId="452979A8" w14:textId="2AC50D47" w:rsidR="00F61F08" w:rsidRPr="00CB0831" w:rsidRDefault="00F61F08" w:rsidP="00F80FC4">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 xml:space="preserve"> (1)</w:t>
            </w:r>
          </w:p>
        </w:tc>
        <w:tc>
          <w:tcPr>
            <w:tcW w:w="1530" w:type="dxa"/>
            <w:shd w:val="clear" w:color="auto" w:fill="D9D9D9" w:themeFill="background1" w:themeFillShade="D9"/>
            <w:vAlign w:val="bottom"/>
          </w:tcPr>
          <w:p w14:paraId="2FC6CA9F" w14:textId="77777777" w:rsidR="00F61F08" w:rsidRPr="00CB0831" w:rsidRDefault="00F61F08" w:rsidP="00F80FC4">
            <w:pPr>
              <w:keepNext/>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Number of Responses per Respondent</w:t>
            </w:r>
          </w:p>
          <w:p w14:paraId="632D01DD" w14:textId="7857FF7D" w:rsidR="00F61F08" w:rsidRPr="00CB0831" w:rsidRDefault="00F61F08" w:rsidP="00F80FC4">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 xml:space="preserve"> (2)</w:t>
            </w:r>
          </w:p>
        </w:tc>
        <w:tc>
          <w:tcPr>
            <w:tcW w:w="1710" w:type="dxa"/>
            <w:shd w:val="clear" w:color="auto" w:fill="D9D9D9" w:themeFill="background1" w:themeFillShade="D9"/>
            <w:vAlign w:val="bottom"/>
          </w:tcPr>
          <w:p w14:paraId="4CBF100F" w14:textId="77777777" w:rsidR="00F61F08" w:rsidRPr="00CB0831" w:rsidRDefault="00F61F08" w:rsidP="00F80FC4">
            <w:pPr>
              <w:keepNext/>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Total Number of Responses</w:t>
            </w:r>
          </w:p>
          <w:p w14:paraId="50AD6156" w14:textId="58D7E265" w:rsidR="00F61F08" w:rsidRPr="00CB0831" w:rsidRDefault="00F61F08" w:rsidP="00F80FC4">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(1)×(2)=(3)</w:t>
            </w:r>
          </w:p>
        </w:tc>
        <w:tc>
          <w:tcPr>
            <w:tcW w:w="1530" w:type="dxa"/>
            <w:shd w:val="clear" w:color="auto" w:fill="D9D9D9" w:themeFill="background1" w:themeFillShade="D9"/>
            <w:vAlign w:val="bottom"/>
          </w:tcPr>
          <w:p w14:paraId="2E770A91" w14:textId="097F6DD0" w:rsidR="00F61F08" w:rsidRPr="00CB0831" w:rsidRDefault="00F61F08" w:rsidP="00F80FC4">
            <w:pPr>
              <w:keepNext/>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Average Burden Hours per Response</w:t>
            </w:r>
          </w:p>
          <w:p w14:paraId="267C0938" w14:textId="27DD24AF" w:rsidR="00F61F08" w:rsidRPr="00CB0831" w:rsidRDefault="00F61F08" w:rsidP="00F80FC4">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 xml:space="preserve"> (4)</w:t>
            </w:r>
          </w:p>
        </w:tc>
        <w:tc>
          <w:tcPr>
            <w:tcW w:w="2178" w:type="dxa"/>
            <w:shd w:val="clear" w:color="auto" w:fill="D9D9D9" w:themeFill="background1" w:themeFillShade="D9"/>
            <w:vAlign w:val="bottom"/>
          </w:tcPr>
          <w:p w14:paraId="2A43A25F" w14:textId="34A835FC" w:rsidR="00F61F08" w:rsidRPr="00CB0831" w:rsidRDefault="00F61F08" w:rsidP="00326FE5">
            <w:pPr>
              <w:keepNext/>
              <w:widowControl w:val="0"/>
              <w:autoSpaceDE w:val="0"/>
              <w:autoSpaceDN w:val="0"/>
              <w:adjustRightInd w:val="0"/>
              <w:spacing w:after="0" w:line="240" w:lineRule="auto"/>
              <w:ind w:right="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r w:rsidRPr="00CB0831">
              <w:rPr>
                <w:rFonts w:ascii="Times New Roman" w:eastAsia="Times New Roman" w:hAnsi="Times New Roman" w:cs="Times New Roman"/>
                <w:b/>
                <w:sz w:val="24"/>
                <w:szCs w:val="24"/>
              </w:rPr>
              <w:t xml:space="preserve">Annual Burden Hours </w:t>
            </w:r>
          </w:p>
          <w:p w14:paraId="7F7A6F2C" w14:textId="7FB8F208" w:rsidR="00F61F08" w:rsidRPr="00CB0831" w:rsidRDefault="00F61F08" w:rsidP="0079402D">
            <w:pPr>
              <w:keepNext/>
              <w:widowControl w:val="0"/>
              <w:autoSpaceDE w:val="0"/>
              <w:autoSpaceDN w:val="0"/>
              <w:adjustRightInd w:val="0"/>
              <w:spacing w:after="120" w:line="240" w:lineRule="auto"/>
              <w:ind w:right="162"/>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(3)×(4)=(5)</w:t>
            </w:r>
          </w:p>
        </w:tc>
      </w:tr>
      <w:tr w:rsidR="00F80FC4" w:rsidRPr="00CB0831" w14:paraId="165EEC37" w14:textId="77777777" w:rsidTr="00F80FC4">
        <w:trPr>
          <w:cantSplit/>
          <w:trHeight w:val="576"/>
        </w:trPr>
        <w:tc>
          <w:tcPr>
            <w:tcW w:w="1980" w:type="dxa"/>
          </w:tcPr>
          <w:p w14:paraId="2CDD9E10" w14:textId="16070FE9" w:rsidR="00F61F08" w:rsidRDefault="00F61F08" w:rsidP="00B35625">
            <w:pPr>
              <w:widowControl w:val="0"/>
              <w:autoSpaceDE w:val="0"/>
              <w:autoSpaceDN w:val="0"/>
              <w:adjustRightInd w:val="0"/>
              <w:spacing w:after="0" w:line="240" w:lineRule="auto"/>
              <w:rPr>
                <w:rFonts w:ascii="Times New Roman" w:eastAsia="Times New Roman" w:hAnsi="Times New Roman" w:cs="Times New Roman"/>
                <w:sz w:val="24"/>
                <w:szCs w:val="24"/>
              </w:rPr>
            </w:pPr>
            <w:r w:rsidRPr="00F61F08">
              <w:rPr>
                <w:rFonts w:ascii="Times New Roman" w:eastAsia="Times New Roman" w:hAnsi="Times New Roman" w:cs="Times New Roman"/>
                <w:sz w:val="24"/>
                <w:szCs w:val="24"/>
              </w:rPr>
              <w:t>RM13-11 Final Rule (and retirement of BAL-004 in RD17-1)</w:t>
            </w:r>
          </w:p>
        </w:tc>
        <w:tc>
          <w:tcPr>
            <w:tcW w:w="1530" w:type="dxa"/>
            <w:shd w:val="clear" w:color="auto" w:fill="auto"/>
            <w:vAlign w:val="bottom"/>
          </w:tcPr>
          <w:p w14:paraId="32C8EC15" w14:textId="69B6789D" w:rsidR="00F61F08" w:rsidRPr="00CB0831" w:rsidDel="00757224" w:rsidRDefault="00F61F08" w:rsidP="00F80FC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F61F08">
              <w:rPr>
                <w:rFonts w:ascii="Times New Roman" w:eastAsia="Times New Roman" w:hAnsi="Times New Roman" w:cs="Times New Roman"/>
                <w:sz w:val="24"/>
                <w:szCs w:val="24"/>
              </w:rPr>
              <w:t>No change</w:t>
            </w:r>
          </w:p>
        </w:tc>
        <w:tc>
          <w:tcPr>
            <w:tcW w:w="1530" w:type="dxa"/>
            <w:shd w:val="clear" w:color="auto" w:fill="auto"/>
            <w:vAlign w:val="bottom"/>
          </w:tcPr>
          <w:p w14:paraId="6115B001" w14:textId="430B93DF" w:rsidR="00F61F08" w:rsidRDefault="00F61F08" w:rsidP="00F80FC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No change</w:t>
            </w:r>
          </w:p>
        </w:tc>
        <w:tc>
          <w:tcPr>
            <w:tcW w:w="1710" w:type="dxa"/>
            <w:vAlign w:val="bottom"/>
          </w:tcPr>
          <w:p w14:paraId="180DF00E" w14:textId="73E15368" w:rsidR="00F61F08" w:rsidRDefault="00F61F08" w:rsidP="00F80FC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3586 (No change)</w:t>
            </w:r>
          </w:p>
        </w:tc>
        <w:tc>
          <w:tcPr>
            <w:tcW w:w="1530" w:type="dxa"/>
            <w:shd w:val="clear" w:color="auto" w:fill="auto"/>
            <w:vAlign w:val="bottom"/>
          </w:tcPr>
          <w:p w14:paraId="69BF0CD2" w14:textId="25DCC1F9" w:rsidR="00F61F08" w:rsidRPr="00CB0831" w:rsidRDefault="00F61F08" w:rsidP="00F80FC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No change</w:t>
            </w:r>
          </w:p>
        </w:tc>
        <w:tc>
          <w:tcPr>
            <w:tcW w:w="2178" w:type="dxa"/>
            <w:shd w:val="clear" w:color="auto" w:fill="auto"/>
            <w:vAlign w:val="bottom"/>
          </w:tcPr>
          <w:p w14:paraId="615BB5EB" w14:textId="3A7048CF" w:rsidR="00F61F08" w:rsidRDefault="00F61F08" w:rsidP="00D55136">
            <w:pPr>
              <w:widowControl w:val="0"/>
              <w:autoSpaceDE w:val="0"/>
              <w:autoSpaceDN w:val="0"/>
              <w:adjustRightInd w:val="0"/>
              <w:spacing w:after="0" w:line="240" w:lineRule="auto"/>
              <w:ind w:right="162"/>
              <w:jc w:val="right"/>
              <w:rPr>
                <w:rFonts w:ascii="Times New Roman" w:eastAsia="Times New Roman" w:hAnsi="Times New Roman" w:cs="Times New Roman"/>
                <w:sz w:val="24"/>
                <w:szCs w:val="24"/>
              </w:rPr>
            </w:pPr>
            <w:r w:rsidRPr="00F61F08">
              <w:rPr>
                <w:rFonts w:ascii="Times New Roman" w:eastAsia="Times New Roman" w:hAnsi="Times New Roman" w:cs="Times New Roman"/>
                <w:sz w:val="24"/>
                <w:szCs w:val="24"/>
              </w:rPr>
              <w:t>29</w:t>
            </w:r>
            <w:r>
              <w:rPr>
                <w:rFonts w:ascii="Times New Roman" w:eastAsia="Times New Roman" w:hAnsi="Times New Roman" w:cs="Times New Roman"/>
                <w:sz w:val="24"/>
                <w:szCs w:val="24"/>
              </w:rPr>
              <w:t>,</w:t>
            </w:r>
            <w:r w:rsidRPr="00F61F08">
              <w:rPr>
                <w:rFonts w:ascii="Times New Roman" w:eastAsia="Times New Roman" w:hAnsi="Times New Roman" w:cs="Times New Roman"/>
                <w:sz w:val="24"/>
                <w:szCs w:val="24"/>
              </w:rPr>
              <w:t>502 hrs.</w:t>
            </w:r>
            <w:r>
              <w:rPr>
                <w:rFonts w:ascii="Times New Roman" w:eastAsia="Times New Roman" w:hAnsi="Times New Roman" w:cs="Times New Roman"/>
                <w:sz w:val="24"/>
                <w:szCs w:val="24"/>
              </w:rPr>
              <w:t xml:space="preserve"> (No change)</w:t>
            </w:r>
          </w:p>
        </w:tc>
      </w:tr>
      <w:tr w:rsidR="00F80FC4" w:rsidRPr="00CB0831" w14:paraId="4CFDE15C" w14:textId="77777777" w:rsidTr="00F80FC4">
        <w:trPr>
          <w:cantSplit/>
          <w:trHeight w:val="576"/>
        </w:trPr>
        <w:tc>
          <w:tcPr>
            <w:tcW w:w="1980" w:type="dxa"/>
          </w:tcPr>
          <w:p w14:paraId="3FBFBA72" w14:textId="18E995C4" w:rsidR="00F61F08" w:rsidRDefault="00F61F08" w:rsidP="00B35625">
            <w:pPr>
              <w:widowControl w:val="0"/>
              <w:autoSpaceDE w:val="0"/>
              <w:autoSpaceDN w:val="0"/>
              <w:adjustRightInd w:val="0"/>
              <w:spacing w:after="0" w:line="240" w:lineRule="auto"/>
              <w:rPr>
                <w:rFonts w:ascii="Times New Roman" w:eastAsia="Times New Roman" w:hAnsi="Times New Roman" w:cs="Times New Roman"/>
                <w:sz w:val="24"/>
                <w:szCs w:val="24"/>
              </w:rPr>
            </w:pPr>
            <w:r w:rsidRPr="00F61F08">
              <w:rPr>
                <w:rFonts w:ascii="Times New Roman" w:eastAsia="Times New Roman" w:hAnsi="Times New Roman" w:cs="Times New Roman"/>
                <w:sz w:val="24"/>
                <w:szCs w:val="24"/>
              </w:rPr>
              <w:t>RM14-10 Final Rule</w:t>
            </w:r>
          </w:p>
        </w:tc>
        <w:tc>
          <w:tcPr>
            <w:tcW w:w="1530" w:type="dxa"/>
            <w:shd w:val="clear" w:color="auto" w:fill="auto"/>
            <w:vAlign w:val="bottom"/>
          </w:tcPr>
          <w:p w14:paraId="1FCE45DF" w14:textId="02FED78C" w:rsidR="00F61F08" w:rsidRDefault="00F61F08" w:rsidP="00F80FC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F61F08">
              <w:rPr>
                <w:rFonts w:ascii="Times New Roman" w:eastAsia="Times New Roman" w:hAnsi="Times New Roman" w:cs="Times New Roman"/>
                <w:sz w:val="24"/>
                <w:szCs w:val="24"/>
              </w:rPr>
              <w:t>No change</w:t>
            </w:r>
          </w:p>
        </w:tc>
        <w:tc>
          <w:tcPr>
            <w:tcW w:w="1530" w:type="dxa"/>
            <w:shd w:val="clear" w:color="auto" w:fill="auto"/>
            <w:vAlign w:val="bottom"/>
          </w:tcPr>
          <w:p w14:paraId="475B3A94" w14:textId="0407EE1B" w:rsidR="00F61F08" w:rsidRDefault="00F61F08" w:rsidP="00F80FC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No change</w:t>
            </w:r>
          </w:p>
        </w:tc>
        <w:tc>
          <w:tcPr>
            <w:tcW w:w="1710" w:type="dxa"/>
            <w:vAlign w:val="bottom"/>
          </w:tcPr>
          <w:p w14:paraId="11E30CF2" w14:textId="3D33DD97" w:rsidR="00F61F08" w:rsidRDefault="00F80FC4" w:rsidP="00F80FC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106 (</w:t>
            </w:r>
            <w:r w:rsidR="00F61F08">
              <w:rPr>
                <w:rFonts w:ascii="Times New Roman" w:eastAsia="Times New Roman" w:hAnsi="Times New Roman" w:cs="Times New Roman"/>
                <w:sz w:val="24"/>
                <w:szCs w:val="24"/>
              </w:rPr>
              <w:t>No change</w:t>
            </w:r>
            <w:r>
              <w:rPr>
                <w:rFonts w:ascii="Times New Roman" w:eastAsia="Times New Roman" w:hAnsi="Times New Roman" w:cs="Times New Roman"/>
                <w:sz w:val="24"/>
                <w:szCs w:val="24"/>
              </w:rPr>
              <w:t>)</w:t>
            </w:r>
          </w:p>
        </w:tc>
        <w:tc>
          <w:tcPr>
            <w:tcW w:w="1530" w:type="dxa"/>
            <w:shd w:val="clear" w:color="auto" w:fill="auto"/>
            <w:vAlign w:val="bottom"/>
          </w:tcPr>
          <w:p w14:paraId="4E7456D6" w14:textId="0393C1E7" w:rsidR="00F61F08" w:rsidRPr="00CB0831" w:rsidRDefault="00F61F08" w:rsidP="00F80FC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No change</w:t>
            </w:r>
          </w:p>
        </w:tc>
        <w:tc>
          <w:tcPr>
            <w:tcW w:w="2178" w:type="dxa"/>
            <w:shd w:val="clear" w:color="auto" w:fill="auto"/>
            <w:vAlign w:val="bottom"/>
          </w:tcPr>
          <w:p w14:paraId="60342F0D" w14:textId="0EC30352" w:rsidR="00F61F08" w:rsidRDefault="00F80FC4" w:rsidP="00D55136">
            <w:pPr>
              <w:widowControl w:val="0"/>
              <w:tabs>
                <w:tab w:val="left" w:pos="900"/>
              </w:tabs>
              <w:autoSpaceDE w:val="0"/>
              <w:autoSpaceDN w:val="0"/>
              <w:adjustRightInd w:val="0"/>
              <w:spacing w:after="0" w:line="240" w:lineRule="auto"/>
              <w:ind w:right="162"/>
              <w:jc w:val="right"/>
              <w:rPr>
                <w:rFonts w:ascii="Times New Roman" w:eastAsia="Times New Roman" w:hAnsi="Times New Roman" w:cs="Times New Roman"/>
                <w:sz w:val="24"/>
                <w:szCs w:val="24"/>
              </w:rPr>
            </w:pPr>
            <w:r w:rsidRPr="00F80FC4">
              <w:rPr>
                <w:rFonts w:ascii="Times New Roman" w:eastAsia="Times New Roman" w:hAnsi="Times New Roman" w:cs="Times New Roman"/>
                <w:sz w:val="24"/>
                <w:szCs w:val="24"/>
              </w:rPr>
              <w:t xml:space="preserve">1272 </w:t>
            </w:r>
            <w:r>
              <w:rPr>
                <w:rFonts w:ascii="Times New Roman" w:eastAsia="Times New Roman" w:hAnsi="Times New Roman" w:cs="Times New Roman"/>
                <w:sz w:val="24"/>
                <w:szCs w:val="24"/>
              </w:rPr>
              <w:t>hrs. (</w:t>
            </w:r>
            <w:r w:rsidR="00F61F08">
              <w:rPr>
                <w:rFonts w:ascii="Times New Roman" w:eastAsia="Times New Roman" w:hAnsi="Times New Roman" w:cs="Times New Roman"/>
                <w:sz w:val="24"/>
                <w:szCs w:val="24"/>
              </w:rPr>
              <w:t>No change</w:t>
            </w:r>
            <w:r>
              <w:rPr>
                <w:rFonts w:ascii="Times New Roman" w:eastAsia="Times New Roman" w:hAnsi="Times New Roman" w:cs="Times New Roman"/>
                <w:sz w:val="24"/>
                <w:szCs w:val="24"/>
              </w:rPr>
              <w:t>)</w:t>
            </w:r>
          </w:p>
        </w:tc>
      </w:tr>
      <w:tr w:rsidR="00F80FC4" w:rsidRPr="00CB0831" w14:paraId="0CE15408" w14:textId="77777777" w:rsidTr="00F80FC4">
        <w:trPr>
          <w:cantSplit/>
          <w:trHeight w:val="576"/>
        </w:trPr>
        <w:tc>
          <w:tcPr>
            <w:tcW w:w="1980" w:type="dxa"/>
          </w:tcPr>
          <w:p w14:paraId="008C2DC1" w14:textId="2DC85D3C" w:rsidR="00F61F08" w:rsidRDefault="00D55136" w:rsidP="00B35625">
            <w:pPr>
              <w:widowControl w:val="0"/>
              <w:autoSpaceDE w:val="0"/>
              <w:autoSpaceDN w:val="0"/>
              <w:adjustRightInd w:val="0"/>
              <w:spacing w:after="0" w:line="240" w:lineRule="auto"/>
              <w:rPr>
                <w:rFonts w:ascii="Times New Roman" w:eastAsia="Times New Roman" w:hAnsi="Times New Roman" w:cs="Times New Roman"/>
                <w:sz w:val="24"/>
                <w:szCs w:val="24"/>
              </w:rPr>
            </w:pPr>
            <w:r w:rsidRPr="00D55136">
              <w:rPr>
                <w:rFonts w:ascii="Times New Roman" w:eastAsia="Times New Roman" w:hAnsi="Times New Roman" w:cs="Times New Roman"/>
                <w:sz w:val="24"/>
                <w:szCs w:val="24"/>
              </w:rPr>
              <w:t>RM16-13 Final Rule (BAL-005-1)</w:t>
            </w:r>
          </w:p>
        </w:tc>
        <w:tc>
          <w:tcPr>
            <w:tcW w:w="1530" w:type="dxa"/>
            <w:shd w:val="clear" w:color="auto" w:fill="auto"/>
            <w:vAlign w:val="bottom"/>
          </w:tcPr>
          <w:p w14:paraId="0B7D1652" w14:textId="462E0D98" w:rsidR="00F61F08" w:rsidRDefault="00D55136" w:rsidP="00F80FC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D55136">
              <w:rPr>
                <w:rFonts w:ascii="Times New Roman" w:eastAsia="Times New Roman" w:hAnsi="Times New Roman" w:cs="Times New Roman"/>
                <w:sz w:val="24"/>
                <w:szCs w:val="24"/>
              </w:rPr>
              <w:t>No change</w:t>
            </w:r>
          </w:p>
        </w:tc>
        <w:tc>
          <w:tcPr>
            <w:tcW w:w="1530" w:type="dxa"/>
            <w:shd w:val="clear" w:color="auto" w:fill="auto"/>
            <w:vAlign w:val="bottom"/>
          </w:tcPr>
          <w:p w14:paraId="58CE0A2D" w14:textId="28F078F7" w:rsidR="00F61F08" w:rsidRDefault="00F61F08" w:rsidP="00F80FC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No change</w:t>
            </w:r>
          </w:p>
        </w:tc>
        <w:tc>
          <w:tcPr>
            <w:tcW w:w="1710" w:type="dxa"/>
            <w:vAlign w:val="bottom"/>
          </w:tcPr>
          <w:p w14:paraId="73694EA1" w14:textId="2E5BC98D" w:rsidR="00F61F08" w:rsidRDefault="00D55136" w:rsidP="00F80FC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 (</w:t>
            </w:r>
            <w:r w:rsidR="00F61F08">
              <w:rPr>
                <w:rFonts w:ascii="Times New Roman" w:eastAsia="Times New Roman" w:hAnsi="Times New Roman" w:cs="Times New Roman"/>
                <w:sz w:val="24"/>
                <w:szCs w:val="24"/>
              </w:rPr>
              <w:t>No change</w:t>
            </w:r>
            <w:r>
              <w:rPr>
                <w:rFonts w:ascii="Times New Roman" w:eastAsia="Times New Roman" w:hAnsi="Times New Roman" w:cs="Times New Roman"/>
                <w:sz w:val="24"/>
                <w:szCs w:val="24"/>
              </w:rPr>
              <w:t>)</w:t>
            </w:r>
          </w:p>
        </w:tc>
        <w:tc>
          <w:tcPr>
            <w:tcW w:w="1530" w:type="dxa"/>
            <w:shd w:val="clear" w:color="auto" w:fill="auto"/>
            <w:vAlign w:val="bottom"/>
          </w:tcPr>
          <w:p w14:paraId="29FA75CB" w14:textId="1865D45C" w:rsidR="00F61F08" w:rsidRPr="00CB0831" w:rsidRDefault="00F61F08" w:rsidP="00F80FC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No change</w:t>
            </w:r>
          </w:p>
        </w:tc>
        <w:tc>
          <w:tcPr>
            <w:tcW w:w="2178" w:type="dxa"/>
            <w:shd w:val="clear" w:color="auto" w:fill="auto"/>
            <w:vAlign w:val="bottom"/>
          </w:tcPr>
          <w:p w14:paraId="0885B79A" w14:textId="6E0F38A4" w:rsidR="00F61F08" w:rsidRDefault="00D55136" w:rsidP="00D55136">
            <w:pPr>
              <w:widowControl w:val="0"/>
              <w:tabs>
                <w:tab w:val="left" w:pos="900"/>
              </w:tabs>
              <w:autoSpaceDE w:val="0"/>
              <w:autoSpaceDN w:val="0"/>
              <w:adjustRightInd w:val="0"/>
              <w:spacing w:after="0" w:line="240" w:lineRule="auto"/>
              <w:ind w:right="16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 hrs. (</w:t>
            </w:r>
            <w:r w:rsidR="00F61F08">
              <w:rPr>
                <w:rFonts w:ascii="Times New Roman" w:eastAsia="Times New Roman" w:hAnsi="Times New Roman" w:cs="Times New Roman"/>
                <w:sz w:val="24"/>
                <w:szCs w:val="24"/>
              </w:rPr>
              <w:t>No change</w:t>
            </w:r>
            <w:r>
              <w:rPr>
                <w:rFonts w:ascii="Times New Roman" w:eastAsia="Times New Roman" w:hAnsi="Times New Roman" w:cs="Times New Roman"/>
                <w:sz w:val="24"/>
                <w:szCs w:val="24"/>
              </w:rPr>
              <w:t>)</w:t>
            </w:r>
          </w:p>
        </w:tc>
      </w:tr>
    </w:tbl>
    <w:p w14:paraId="116F4074" w14:textId="5F87F2B5" w:rsidR="00C4205B" w:rsidRPr="00B51BB8" w:rsidRDefault="00C4205B" w:rsidP="00A83705">
      <w:pPr>
        <w:pStyle w:val="FERCparanumber"/>
        <w:widowControl/>
        <w:numPr>
          <w:ilvl w:val="0"/>
          <w:numId w:val="0"/>
        </w:numPr>
        <w:tabs>
          <w:tab w:val="left" w:pos="720"/>
        </w:tabs>
        <w:rPr>
          <w:rFonts w:ascii="Times New Roman" w:hAnsi="Times New Roman" w:cs="Times New Roman"/>
        </w:rPr>
      </w:pPr>
    </w:p>
    <w:p w14:paraId="7408662C" w14:textId="77777777" w:rsidR="00C4205B" w:rsidRPr="00B51BB8" w:rsidRDefault="00C4205B" w:rsidP="005E2448">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ESTIMATE OF THE TOTAL ANNUAL COST BURDEN TO RESPONDENTS</w:t>
      </w:r>
    </w:p>
    <w:p w14:paraId="0144A37E" w14:textId="77777777" w:rsidR="002359F6" w:rsidRPr="00B51BB8" w:rsidRDefault="002359F6" w:rsidP="002A4142">
      <w:pPr>
        <w:spacing w:after="0" w:line="240" w:lineRule="auto"/>
        <w:rPr>
          <w:rFonts w:ascii="Times New Roman" w:hAnsi="Times New Roman" w:cs="Times New Roman"/>
          <w:sz w:val="24"/>
          <w:szCs w:val="24"/>
        </w:rPr>
      </w:pPr>
    </w:p>
    <w:p w14:paraId="4140D5D7" w14:textId="297EAC1E" w:rsidR="002359F6" w:rsidRPr="00B51BB8" w:rsidRDefault="002359F6" w:rsidP="002A4142">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There are no start-up or other non-labor costs.</w:t>
      </w:r>
      <w:bookmarkStart w:id="2" w:name="_Ref500412215"/>
      <w:r w:rsidR="003C4B09" w:rsidRPr="00954D7E" w:rsidDel="003C4B09">
        <w:rPr>
          <w:rStyle w:val="FootnoteReference"/>
          <w:rFonts w:ascii="Times New Roman" w:hAnsi="Times New Roman" w:cs="Times New Roman"/>
          <w:sz w:val="24"/>
          <w:szCs w:val="24"/>
          <w:vertAlign w:val="superscript"/>
        </w:rPr>
        <w:t xml:space="preserve"> </w:t>
      </w:r>
      <w:bookmarkEnd w:id="2"/>
    </w:p>
    <w:p w14:paraId="6F58745E" w14:textId="77777777" w:rsidR="002359F6" w:rsidRPr="00B51BB8" w:rsidRDefault="002359F6" w:rsidP="0079402D">
      <w:pPr>
        <w:spacing w:after="0" w:line="240" w:lineRule="auto"/>
        <w:ind w:right="-720"/>
        <w:rPr>
          <w:rFonts w:ascii="Times New Roman" w:hAnsi="Times New Roman" w:cs="Times New Roman"/>
          <w:sz w:val="24"/>
          <w:szCs w:val="24"/>
        </w:rPr>
      </w:pPr>
    </w:p>
    <w:p w14:paraId="2F752898" w14:textId="77777777" w:rsidR="002359F6" w:rsidRPr="00B51BB8" w:rsidRDefault="002359F6" w:rsidP="002A4142">
      <w:pPr>
        <w:spacing w:after="0" w:line="240" w:lineRule="auto"/>
        <w:ind w:firstLine="720"/>
        <w:rPr>
          <w:rFonts w:ascii="Times New Roman" w:hAnsi="Times New Roman" w:cs="Times New Roman"/>
          <w:sz w:val="24"/>
          <w:szCs w:val="24"/>
        </w:rPr>
      </w:pPr>
      <w:r w:rsidRPr="00B51BB8">
        <w:rPr>
          <w:rFonts w:ascii="Times New Roman" w:hAnsi="Times New Roman" w:cs="Times New Roman"/>
          <w:sz w:val="24"/>
          <w:szCs w:val="24"/>
        </w:rPr>
        <w:t>Total Capital and Start-up cost: $0</w:t>
      </w:r>
    </w:p>
    <w:p w14:paraId="3CA31F2B" w14:textId="77777777" w:rsidR="002359F6" w:rsidRPr="00B51BB8" w:rsidRDefault="002359F6" w:rsidP="002A4142">
      <w:pPr>
        <w:spacing w:after="0" w:line="240" w:lineRule="auto"/>
        <w:ind w:left="720"/>
        <w:rPr>
          <w:rFonts w:ascii="Times New Roman" w:hAnsi="Times New Roman" w:cs="Times New Roman"/>
          <w:sz w:val="24"/>
          <w:szCs w:val="24"/>
        </w:rPr>
      </w:pPr>
      <w:r w:rsidRPr="00B51BB8">
        <w:rPr>
          <w:rFonts w:ascii="Times New Roman" w:hAnsi="Times New Roman" w:cs="Times New Roman"/>
          <w:sz w:val="24"/>
          <w:szCs w:val="24"/>
        </w:rPr>
        <w:t>Total Operation, Maintenance, and Purchase of Services: $0</w:t>
      </w:r>
    </w:p>
    <w:p w14:paraId="58EF8731" w14:textId="77777777" w:rsidR="002359F6" w:rsidRPr="00B51BB8" w:rsidRDefault="002359F6" w:rsidP="002A4142">
      <w:pPr>
        <w:spacing w:after="0" w:line="240" w:lineRule="auto"/>
        <w:rPr>
          <w:rFonts w:ascii="Times New Roman" w:hAnsi="Times New Roman" w:cs="Times New Roman"/>
          <w:sz w:val="24"/>
          <w:szCs w:val="24"/>
        </w:rPr>
      </w:pPr>
    </w:p>
    <w:p w14:paraId="78224315" w14:textId="75D13633" w:rsidR="002359F6" w:rsidRPr="00B51BB8" w:rsidRDefault="009922B2" w:rsidP="002A41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of the costs </w:t>
      </w:r>
      <w:r w:rsidR="002359F6" w:rsidRPr="00B51BB8">
        <w:rPr>
          <w:rFonts w:ascii="Times New Roman" w:hAnsi="Times New Roman" w:cs="Times New Roman"/>
          <w:sz w:val="24"/>
          <w:szCs w:val="24"/>
        </w:rPr>
        <w:t xml:space="preserve">are associated with burden hours (labor) and described in Questions #12 and #15 in this supporting statement. </w:t>
      </w:r>
    </w:p>
    <w:p w14:paraId="55746621" w14:textId="77777777" w:rsidR="003C19D0" w:rsidRPr="00B51BB8" w:rsidRDefault="003C19D0" w:rsidP="00954D7E">
      <w:pPr>
        <w:spacing w:after="0" w:line="240" w:lineRule="auto"/>
        <w:rPr>
          <w:rFonts w:ascii="Times New Roman" w:hAnsi="Times New Roman" w:cs="Times New Roman"/>
          <w:sz w:val="24"/>
          <w:szCs w:val="24"/>
        </w:rPr>
      </w:pPr>
    </w:p>
    <w:p w14:paraId="6D7ED03C"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ESTIMATED ANNUALIZED COST TO FEDERAL GOVERNMENT</w:t>
      </w:r>
    </w:p>
    <w:p w14:paraId="35077C3E" w14:textId="77777777" w:rsidR="00C4205B" w:rsidRPr="00B51BB8" w:rsidRDefault="00C4205B" w:rsidP="0007783F">
      <w:pPr>
        <w:spacing w:after="0" w:line="240" w:lineRule="auto"/>
        <w:rPr>
          <w:rFonts w:ascii="Times New Roman" w:hAnsi="Times New Roman" w:cs="Times New Roman"/>
          <w:b/>
          <w:bCs/>
          <w:sz w:val="24"/>
          <w:szCs w:val="24"/>
        </w:rPr>
      </w:pPr>
    </w:p>
    <w:p w14:paraId="41A2AE2C" w14:textId="181DA555" w:rsidR="00BA2E0E" w:rsidRDefault="00BA2E0E" w:rsidP="00BA2E0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Regional Entities and NERC do most of the data processing, monitoring and compliance work for Reliability Standards.  Any involvement by the Commission is covered under the FERC-725 collection (OMB Control No. 1902-0225) and is not part of this request or package.  </w:t>
      </w:r>
    </w:p>
    <w:p w14:paraId="1B2682AE" w14:textId="77777777" w:rsidR="00BA2E0E" w:rsidRDefault="00BA2E0E" w:rsidP="0007783F">
      <w:pPr>
        <w:spacing w:after="0" w:line="240" w:lineRule="auto"/>
        <w:rPr>
          <w:rFonts w:ascii="Times New Roman" w:hAnsi="Times New Roman" w:cs="Times New Roman"/>
          <w:sz w:val="24"/>
          <w:szCs w:val="24"/>
        </w:rPr>
      </w:pPr>
    </w:p>
    <w:p w14:paraId="19583A65" w14:textId="2614A56D" w:rsidR="002359F6" w:rsidRDefault="00BA2E0E" w:rsidP="0007783F">
      <w:pPr>
        <w:spacing w:after="0" w:line="240" w:lineRule="auto"/>
        <w:rPr>
          <w:rFonts w:ascii="Times New Roman" w:hAnsi="Times New Roman" w:cs="Times New Roman"/>
          <w:sz w:val="24"/>
          <w:szCs w:val="24"/>
        </w:rPr>
      </w:pPr>
      <w:r w:rsidRPr="00BA2E0E">
        <w:rPr>
          <w:rFonts w:ascii="Times New Roman" w:hAnsi="Times New Roman" w:cs="Times New Roman"/>
          <w:sz w:val="24"/>
          <w:szCs w:val="24"/>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12461808" w14:textId="77777777" w:rsidR="00BA2E0E" w:rsidRPr="00B51BB8" w:rsidRDefault="00BA2E0E" w:rsidP="0007783F">
      <w:pPr>
        <w:spacing w:after="0" w:line="240" w:lineRule="auto"/>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9922B2" w:rsidRPr="00B51BB8" w14:paraId="286DB52A" w14:textId="77777777" w:rsidTr="00C55457">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2F32332B" w14:textId="23118AF4" w:rsidR="009922B2" w:rsidRPr="00B51BB8" w:rsidRDefault="00797852" w:rsidP="00C55457">
            <w:pPr>
              <w:spacing w:after="0" w:line="240" w:lineRule="auto"/>
              <w:rPr>
                <w:rFonts w:ascii="Times New Roman" w:hAnsi="Times New Roman" w:cs="Times New Roman"/>
                <w:b/>
                <w:sz w:val="24"/>
                <w:szCs w:val="24"/>
              </w:rPr>
            </w:pPr>
            <w:r>
              <w:rPr>
                <w:rFonts w:ascii="Times New Roman" w:hAnsi="Times New Roman" w:cs="Times New Roman"/>
                <w:b/>
                <w:sz w:val="24"/>
                <w:szCs w:val="24"/>
              </w:rPr>
              <w:t>FERC-725R</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33E1D156" w14:textId="77777777" w:rsidR="009922B2" w:rsidRPr="00B51BB8" w:rsidRDefault="009922B2" w:rsidP="00C55457">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7928AC7A" w14:textId="77777777" w:rsidR="009922B2" w:rsidRPr="00B51BB8" w:rsidRDefault="009922B2" w:rsidP="00C55457">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Estimated Annual Federal Cost</w:t>
            </w:r>
          </w:p>
        </w:tc>
      </w:tr>
      <w:tr w:rsidR="009922B2" w:rsidRPr="00B51BB8" w14:paraId="678FD3DB" w14:textId="77777777" w:rsidTr="00C55457">
        <w:tc>
          <w:tcPr>
            <w:tcW w:w="3182" w:type="dxa"/>
            <w:tcBorders>
              <w:top w:val="single" w:sz="4" w:space="0" w:color="auto"/>
              <w:left w:val="single" w:sz="4" w:space="0" w:color="auto"/>
              <w:bottom w:val="single" w:sz="4" w:space="0" w:color="auto"/>
              <w:right w:val="single" w:sz="4" w:space="0" w:color="auto"/>
            </w:tcBorders>
            <w:hideMark/>
          </w:tcPr>
          <w:p w14:paraId="13CBD504" w14:textId="77777777" w:rsidR="009922B2" w:rsidRPr="00B51BB8" w:rsidRDefault="009922B2" w:rsidP="00C5545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0DB7BC3E" w14:textId="77777777" w:rsidR="009922B2" w:rsidRPr="00B51BB8" w:rsidRDefault="009922B2" w:rsidP="00C55457">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5CBD5C6E" w14:textId="77777777" w:rsidR="009922B2" w:rsidRPr="00B51BB8" w:rsidRDefault="009922B2" w:rsidP="00C55457">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r>
      <w:tr w:rsidR="009922B2" w:rsidRPr="00B51BB8" w14:paraId="1935C1FE" w14:textId="77777777" w:rsidTr="00C55457">
        <w:tc>
          <w:tcPr>
            <w:tcW w:w="3182" w:type="dxa"/>
            <w:tcBorders>
              <w:top w:val="single" w:sz="4" w:space="0" w:color="auto"/>
              <w:left w:val="single" w:sz="4" w:space="0" w:color="auto"/>
              <w:bottom w:val="single" w:sz="4" w:space="0" w:color="auto"/>
              <w:right w:val="single" w:sz="4" w:space="0" w:color="auto"/>
            </w:tcBorders>
            <w:hideMark/>
          </w:tcPr>
          <w:p w14:paraId="13BF67FB" w14:textId="10C9E659" w:rsidR="009922B2" w:rsidRPr="00B51BB8" w:rsidRDefault="009922B2">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Paperwork Reduction Act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04BF7B" w14:textId="77777777" w:rsidR="009922B2" w:rsidRPr="00B51BB8" w:rsidRDefault="009922B2" w:rsidP="00C55457">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1E32AD79" w14:textId="444D8026" w:rsidR="009922B2" w:rsidRPr="00B51BB8" w:rsidRDefault="00EF4E3E" w:rsidP="000E1B9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0E1B92">
              <w:rPr>
                <w:rFonts w:ascii="Times New Roman" w:hAnsi="Times New Roman" w:cs="Times New Roman"/>
                <w:sz w:val="24"/>
                <w:szCs w:val="24"/>
              </w:rPr>
              <w:t>4,931</w:t>
            </w:r>
          </w:p>
        </w:tc>
      </w:tr>
      <w:tr w:rsidR="009922B2" w:rsidRPr="00B51BB8" w14:paraId="7DB1F3A0" w14:textId="77777777" w:rsidTr="00C55457">
        <w:tc>
          <w:tcPr>
            <w:tcW w:w="3182" w:type="dxa"/>
            <w:tcBorders>
              <w:top w:val="single" w:sz="4" w:space="0" w:color="auto"/>
              <w:left w:val="single" w:sz="4" w:space="0" w:color="auto"/>
              <w:bottom w:val="single" w:sz="4" w:space="0" w:color="auto"/>
              <w:right w:val="single" w:sz="4" w:space="0" w:color="auto"/>
            </w:tcBorders>
            <w:hideMark/>
          </w:tcPr>
          <w:p w14:paraId="3E5FE83E" w14:textId="77777777" w:rsidR="009922B2" w:rsidRPr="00B51BB8" w:rsidRDefault="009922B2" w:rsidP="00C55457">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D6A7E" w14:textId="77777777" w:rsidR="009922B2" w:rsidRPr="00B51BB8" w:rsidRDefault="009922B2" w:rsidP="00C55457">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1ACB20B1" w14:textId="310B452A" w:rsidR="009922B2" w:rsidRPr="00B51BB8" w:rsidRDefault="00EF4E3E" w:rsidP="000E1B9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0E1B92">
              <w:rPr>
                <w:rFonts w:ascii="Times New Roman" w:hAnsi="Times New Roman" w:cs="Times New Roman"/>
                <w:sz w:val="24"/>
                <w:szCs w:val="24"/>
              </w:rPr>
              <w:t>4,931</w:t>
            </w:r>
          </w:p>
        </w:tc>
      </w:tr>
    </w:tbl>
    <w:p w14:paraId="2EDC3ABC" w14:textId="77777777" w:rsidR="009922B2" w:rsidRPr="00B51BB8" w:rsidRDefault="009922B2" w:rsidP="00BA2E0E">
      <w:pPr>
        <w:spacing w:after="0" w:line="240" w:lineRule="auto"/>
        <w:rPr>
          <w:rFonts w:ascii="Times New Roman" w:hAnsi="Times New Roman" w:cs="Times New Roman"/>
          <w:sz w:val="24"/>
          <w:szCs w:val="24"/>
        </w:rPr>
      </w:pPr>
    </w:p>
    <w:p w14:paraId="51C610A4" w14:textId="77777777" w:rsidR="00C4205B" w:rsidRPr="009922B2"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REASONS FOR CHANGES IN BURDEN INCLUDING THE NEED FOR ANY INCREASE</w:t>
      </w:r>
    </w:p>
    <w:p w14:paraId="36795552" w14:textId="77777777" w:rsidR="009922B2" w:rsidRPr="00B51BB8" w:rsidRDefault="009922B2" w:rsidP="00BA2E0E">
      <w:pPr>
        <w:widowControl w:val="0"/>
        <w:autoSpaceDE w:val="0"/>
        <w:autoSpaceDN w:val="0"/>
        <w:adjustRightInd w:val="0"/>
        <w:spacing w:after="0" w:line="240" w:lineRule="auto"/>
        <w:rPr>
          <w:rFonts w:ascii="Times New Roman" w:hAnsi="Times New Roman" w:cs="Times New Roman"/>
          <w:sz w:val="24"/>
          <w:szCs w:val="24"/>
        </w:rPr>
      </w:pPr>
    </w:p>
    <w:p w14:paraId="5557DE91" w14:textId="335FA677" w:rsidR="0080068D" w:rsidRDefault="000E1B92" w:rsidP="00BA2E0E">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reporting and recordkeeping requirements </w:t>
      </w:r>
      <w:r w:rsidR="0080068D">
        <w:rPr>
          <w:rFonts w:ascii="Times New Roman" w:hAnsi="Times New Roman" w:cs="Times New Roman"/>
          <w:bCs/>
          <w:sz w:val="24"/>
          <w:szCs w:val="24"/>
        </w:rPr>
        <w:t xml:space="preserve">(and corresponding burden per response) </w:t>
      </w:r>
      <w:r>
        <w:rPr>
          <w:rFonts w:ascii="Times New Roman" w:hAnsi="Times New Roman" w:cs="Times New Roman"/>
          <w:bCs/>
          <w:sz w:val="24"/>
          <w:szCs w:val="24"/>
        </w:rPr>
        <w:t xml:space="preserve">are not changing due to Docket No. RD18-7.  </w:t>
      </w:r>
      <w:r w:rsidR="0080068D">
        <w:rPr>
          <w:rFonts w:ascii="Times New Roman" w:hAnsi="Times New Roman" w:cs="Times New Roman"/>
          <w:bCs/>
          <w:sz w:val="24"/>
          <w:szCs w:val="24"/>
        </w:rPr>
        <w:t xml:space="preserve">However we are adjusting </w:t>
      </w:r>
      <w:r w:rsidR="003811CE">
        <w:rPr>
          <w:rFonts w:ascii="Times New Roman" w:hAnsi="Times New Roman" w:cs="Times New Roman"/>
          <w:bCs/>
          <w:sz w:val="24"/>
          <w:szCs w:val="24"/>
        </w:rPr>
        <w:t xml:space="preserve">(‘adjustment in estimate’) </w:t>
      </w:r>
      <w:r w:rsidR="0080068D">
        <w:rPr>
          <w:rFonts w:ascii="Times New Roman" w:hAnsi="Times New Roman" w:cs="Times New Roman"/>
          <w:bCs/>
          <w:sz w:val="24"/>
          <w:szCs w:val="24"/>
        </w:rPr>
        <w:t>the number of respondents to reflect normal fluctuations in industry (e.g., companies merging or splitting, or entering or leaving the industry).  The decrease of 6 respondents reduces responses by 12 and burden hours by 72.</w:t>
      </w:r>
    </w:p>
    <w:p w14:paraId="1F34C178" w14:textId="77777777" w:rsidR="0080068D" w:rsidRDefault="0080068D" w:rsidP="00BA2E0E">
      <w:pPr>
        <w:spacing w:after="0" w:line="240" w:lineRule="auto"/>
        <w:rPr>
          <w:rFonts w:ascii="Times New Roman" w:hAnsi="Times New Roman" w:cs="Times New Roman"/>
          <w:bCs/>
          <w:sz w:val="24"/>
          <w:szCs w:val="24"/>
        </w:rPr>
      </w:pPr>
    </w:p>
    <w:p w14:paraId="70F0B801" w14:textId="270252F1" w:rsidR="00C4205B" w:rsidRDefault="000E1B92" w:rsidP="00BA2E0E">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This submittal is for a non-material or non-substantive change.  </w:t>
      </w:r>
      <w:r w:rsidR="00AF29FC" w:rsidRPr="00B51BB8">
        <w:rPr>
          <w:rFonts w:ascii="Times New Roman" w:hAnsi="Times New Roman" w:cs="Times New Roman"/>
          <w:bCs/>
          <w:sz w:val="24"/>
          <w:szCs w:val="24"/>
        </w:rPr>
        <w:t>A summary of the current OMB-approved inventory follows.</w:t>
      </w:r>
    </w:p>
    <w:p w14:paraId="7DC9BAE0" w14:textId="77777777" w:rsidR="00BA2E0E" w:rsidRPr="002025A8" w:rsidRDefault="00BA2E0E" w:rsidP="00BA2E0E">
      <w:pPr>
        <w:spacing w:after="0" w:line="240" w:lineRule="auto"/>
        <w:rPr>
          <w:rFonts w:ascii="Times New Roman" w:hAnsi="Times New Roman" w:cs="Times New Roman"/>
          <w:bCs/>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2025A8" w:rsidRPr="002025A8" w14:paraId="627CBF77" w14:textId="77777777" w:rsidTr="001301E0">
        <w:trPr>
          <w:trHeight w:val="295"/>
        </w:trPr>
        <w:tc>
          <w:tcPr>
            <w:tcW w:w="2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6B4856" w14:textId="11DDD783" w:rsidR="002025A8" w:rsidRPr="002025A8" w:rsidRDefault="00797852" w:rsidP="001301E0">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FERC-725R</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327D555" w14:textId="57FA4310" w:rsidR="002025A8" w:rsidRPr="002025A8" w:rsidRDefault="002025A8" w:rsidP="001301E0">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DDF793A" w14:textId="3D30874F" w:rsidR="002025A8" w:rsidRPr="002025A8" w:rsidRDefault="002025A8" w:rsidP="001301E0">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13A847A" w14:textId="77777777" w:rsidR="002025A8" w:rsidRPr="002025A8" w:rsidRDefault="002025A8" w:rsidP="001301E0">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FD03B39" w14:textId="3B4E3191" w:rsidR="002025A8" w:rsidRPr="002025A8" w:rsidRDefault="002025A8" w:rsidP="001301E0">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Change Due to Agency Discretion</w:t>
            </w:r>
          </w:p>
        </w:tc>
      </w:tr>
      <w:tr w:rsidR="002025A8" w:rsidRPr="002025A8" w14:paraId="53E84786" w14:textId="77777777" w:rsidTr="00847F18">
        <w:trPr>
          <w:trHeight w:val="269"/>
        </w:trPr>
        <w:tc>
          <w:tcPr>
            <w:tcW w:w="2679" w:type="dxa"/>
            <w:tcBorders>
              <w:top w:val="single" w:sz="4" w:space="0" w:color="auto"/>
              <w:left w:val="single" w:sz="4" w:space="0" w:color="auto"/>
              <w:bottom w:val="single" w:sz="4" w:space="0" w:color="auto"/>
              <w:right w:val="single" w:sz="4" w:space="0" w:color="auto"/>
            </w:tcBorders>
            <w:shd w:val="clear" w:color="auto" w:fill="FFFFFF" w:themeFill="background1"/>
          </w:tcPr>
          <w:p w14:paraId="66CA1630" w14:textId="77777777" w:rsidR="002025A8" w:rsidRPr="002025A8" w:rsidRDefault="002025A8" w:rsidP="001301E0">
            <w:pPr>
              <w:spacing w:after="0" w:line="240" w:lineRule="auto"/>
              <w:jc w:val="center"/>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Annual Number of Responses</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C22718" w14:textId="0AA947B0" w:rsidR="002025A8" w:rsidRPr="002025A8" w:rsidRDefault="0080068D"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3,989</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062C6FE" w14:textId="082885E3" w:rsidR="002025A8" w:rsidRPr="002025A8" w:rsidRDefault="00BA2E0E" w:rsidP="00847F18">
            <w:pPr>
              <w:spacing w:after="0" w:line="240" w:lineRule="auto"/>
              <w:jc w:val="right"/>
              <w:rPr>
                <w:rFonts w:ascii="Times New Roman" w:eastAsia="Calibri" w:hAnsi="Times New Roman" w:cs="Times New Roman"/>
                <w:bCs/>
                <w:sz w:val="24"/>
                <w:szCs w:val="24"/>
              </w:rPr>
            </w:pPr>
            <w:r w:rsidRPr="00BA2E0E">
              <w:rPr>
                <w:rFonts w:ascii="Times New Roman" w:eastAsia="Calibri" w:hAnsi="Times New Roman" w:cs="Times New Roman"/>
                <w:bCs/>
                <w:sz w:val="24"/>
                <w:szCs w:val="24"/>
              </w:rPr>
              <w:t>4,001</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78E11B" w14:textId="1B2FE383" w:rsidR="002025A8" w:rsidRPr="002025A8" w:rsidRDefault="0080068D"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06092B0" w14:textId="7B5F0465" w:rsidR="002025A8" w:rsidRPr="002025A8" w:rsidRDefault="00BA2E0E"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r>
      <w:tr w:rsidR="002025A8" w:rsidRPr="002025A8" w14:paraId="6903DE66" w14:textId="77777777" w:rsidTr="00C55457">
        <w:trPr>
          <w:trHeight w:val="295"/>
        </w:trPr>
        <w:tc>
          <w:tcPr>
            <w:tcW w:w="2679" w:type="dxa"/>
            <w:tcBorders>
              <w:top w:val="single" w:sz="4" w:space="0" w:color="auto"/>
              <w:left w:val="single" w:sz="4" w:space="0" w:color="auto"/>
              <w:bottom w:val="single" w:sz="4" w:space="0" w:color="auto"/>
              <w:right w:val="single" w:sz="4" w:space="0" w:color="auto"/>
            </w:tcBorders>
            <w:shd w:val="clear" w:color="auto" w:fill="FFFFFF" w:themeFill="background1"/>
          </w:tcPr>
          <w:p w14:paraId="110CB480" w14:textId="5E6EB01B" w:rsidR="002025A8" w:rsidRPr="002025A8" w:rsidRDefault="00847F18" w:rsidP="00BA2E0E">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Annual Time Burden</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F755DA8" w14:textId="1737D163" w:rsidR="002025A8" w:rsidRPr="002025A8" w:rsidRDefault="00797852" w:rsidP="0080068D">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32,</w:t>
            </w:r>
            <w:r w:rsidR="0080068D">
              <w:rPr>
                <w:rFonts w:ascii="Times New Roman" w:eastAsia="Calibri" w:hAnsi="Times New Roman" w:cs="Times New Roman"/>
                <w:bCs/>
                <w:sz w:val="24"/>
                <w:szCs w:val="24"/>
              </w:rPr>
              <w:t>061</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96B0A0" w14:textId="6B21B909" w:rsidR="002025A8" w:rsidRPr="002025A8" w:rsidRDefault="00BA2E0E" w:rsidP="00847F18">
            <w:pPr>
              <w:spacing w:after="0" w:line="240" w:lineRule="auto"/>
              <w:jc w:val="right"/>
              <w:rPr>
                <w:rFonts w:ascii="Times New Roman" w:eastAsia="Calibri" w:hAnsi="Times New Roman" w:cs="Times New Roman"/>
                <w:bCs/>
                <w:sz w:val="24"/>
                <w:szCs w:val="24"/>
              </w:rPr>
            </w:pPr>
            <w:r w:rsidRPr="00BA2E0E">
              <w:rPr>
                <w:rFonts w:ascii="Times New Roman" w:eastAsia="Calibri" w:hAnsi="Times New Roman" w:cs="Times New Roman"/>
                <w:bCs/>
                <w:sz w:val="24"/>
                <w:szCs w:val="24"/>
              </w:rPr>
              <w:t>32,133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02C59C" w14:textId="536890AA" w:rsidR="002025A8" w:rsidRPr="002025A8" w:rsidRDefault="0080068D" w:rsidP="0080068D">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-72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63E98E" w14:textId="38401759" w:rsidR="002025A8" w:rsidRPr="002025A8" w:rsidRDefault="00BA2E0E"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r>
      <w:tr w:rsidR="002025A8" w:rsidRPr="002025A8" w14:paraId="4AFB2A51" w14:textId="77777777" w:rsidTr="00847F18">
        <w:trPr>
          <w:trHeight w:val="161"/>
        </w:trPr>
        <w:tc>
          <w:tcPr>
            <w:tcW w:w="2679" w:type="dxa"/>
            <w:tcBorders>
              <w:top w:val="single" w:sz="4" w:space="0" w:color="auto"/>
              <w:left w:val="single" w:sz="4" w:space="0" w:color="auto"/>
              <w:bottom w:val="single" w:sz="4" w:space="0" w:color="auto"/>
              <w:right w:val="single" w:sz="4" w:space="0" w:color="auto"/>
            </w:tcBorders>
            <w:shd w:val="clear" w:color="auto" w:fill="FFFFFF" w:themeFill="background1"/>
          </w:tcPr>
          <w:p w14:paraId="5477EBE2" w14:textId="77777777" w:rsidR="002025A8" w:rsidRPr="002025A8" w:rsidRDefault="002025A8" w:rsidP="001301E0">
            <w:pPr>
              <w:spacing w:after="0" w:line="240" w:lineRule="auto"/>
              <w:jc w:val="center"/>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Annual Cost Burden ($)</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A12E79" w14:textId="77777777" w:rsidR="002025A8" w:rsidRPr="002025A8" w:rsidRDefault="002025A8" w:rsidP="00847F18">
            <w:pPr>
              <w:spacing w:after="0" w:line="240" w:lineRule="auto"/>
              <w:jc w:val="right"/>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$0</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80849E" w14:textId="77777777" w:rsidR="002025A8" w:rsidRPr="002025A8" w:rsidRDefault="00847F18"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2025A8" w:rsidRPr="002025A8">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6C5EC3" w14:textId="77777777" w:rsidR="002025A8" w:rsidRPr="002025A8" w:rsidRDefault="00847F18"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2025A8" w:rsidRPr="002025A8">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7C55F9" w14:textId="77777777" w:rsidR="002025A8" w:rsidRPr="002025A8" w:rsidRDefault="002025A8" w:rsidP="00847F18">
            <w:pPr>
              <w:spacing w:after="0" w:line="240" w:lineRule="auto"/>
              <w:jc w:val="right"/>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$0</w:t>
            </w:r>
          </w:p>
        </w:tc>
      </w:tr>
    </w:tbl>
    <w:p w14:paraId="20933EBE" w14:textId="77777777" w:rsidR="00275760" w:rsidRPr="00B51BB8" w:rsidRDefault="00275760" w:rsidP="002A4142">
      <w:pPr>
        <w:spacing w:line="240" w:lineRule="auto"/>
        <w:rPr>
          <w:rFonts w:ascii="Times New Roman" w:hAnsi="Times New Roman" w:cs="Times New Roman"/>
          <w:sz w:val="24"/>
          <w:szCs w:val="24"/>
        </w:rPr>
      </w:pPr>
    </w:p>
    <w:p w14:paraId="4BDAC648"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TIME SCHEDULE FOR THE PUBLICATION OF DATA</w:t>
      </w:r>
    </w:p>
    <w:p w14:paraId="22F58808" w14:textId="77777777" w:rsidR="00C4205B" w:rsidRPr="00B51BB8" w:rsidRDefault="00C4205B" w:rsidP="00485D08">
      <w:pPr>
        <w:spacing w:after="0" w:line="240" w:lineRule="auto"/>
        <w:rPr>
          <w:rFonts w:ascii="Times New Roman" w:hAnsi="Times New Roman" w:cs="Times New Roman"/>
          <w:b/>
          <w:bCs/>
          <w:sz w:val="24"/>
          <w:szCs w:val="24"/>
        </w:rPr>
      </w:pPr>
    </w:p>
    <w:p w14:paraId="40706682" w14:textId="77777777" w:rsidR="00042D80" w:rsidRPr="00B51BB8" w:rsidRDefault="004F3F84" w:rsidP="005768DB">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There are no tabulating, statistical or tabulating analysis or publication plans for the collection of information. </w:t>
      </w:r>
    </w:p>
    <w:p w14:paraId="33196DA2" w14:textId="77777777" w:rsidR="00C4205B" w:rsidRPr="00B51BB8" w:rsidRDefault="00C4205B" w:rsidP="002A4142">
      <w:pPr>
        <w:spacing w:after="0" w:line="240" w:lineRule="auto"/>
        <w:rPr>
          <w:rFonts w:ascii="Times New Roman" w:hAnsi="Times New Roman" w:cs="Times New Roman"/>
          <w:sz w:val="24"/>
          <w:szCs w:val="24"/>
        </w:rPr>
      </w:pPr>
    </w:p>
    <w:p w14:paraId="718FA29C"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DISPLAY OF THE EXPIRATION DATE</w:t>
      </w:r>
    </w:p>
    <w:p w14:paraId="2E5E34CE" w14:textId="77777777" w:rsidR="00C4205B" w:rsidRPr="00B51BB8" w:rsidRDefault="00C4205B" w:rsidP="00485D08">
      <w:pPr>
        <w:spacing w:after="0" w:line="240" w:lineRule="auto"/>
        <w:rPr>
          <w:rFonts w:ascii="Times New Roman" w:hAnsi="Times New Roman" w:cs="Times New Roman"/>
          <w:b/>
          <w:bCs/>
          <w:sz w:val="24"/>
          <w:szCs w:val="24"/>
        </w:rPr>
      </w:pPr>
    </w:p>
    <w:p w14:paraId="6F1C9FAB" w14:textId="77777777" w:rsidR="00C4205B" w:rsidRDefault="008D20D4" w:rsidP="00485D08">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 expiration date is displayed in a table posted on ferc.gov at </w:t>
      </w:r>
      <w:hyperlink r:id="rId14" w:history="1">
        <w:r w:rsidRPr="00B51BB8">
          <w:rPr>
            <w:rStyle w:val="Hyperlink"/>
            <w:rFonts w:ascii="Times New Roman" w:hAnsi="Times New Roman" w:cs="Times New Roman"/>
            <w:sz w:val="24"/>
            <w:szCs w:val="24"/>
          </w:rPr>
          <w:t>http://www.ferc.gov/docs-filing/info-collections.asp</w:t>
        </w:r>
      </w:hyperlink>
      <w:r w:rsidRPr="00B51BB8">
        <w:rPr>
          <w:rFonts w:ascii="Times New Roman" w:hAnsi="Times New Roman" w:cs="Times New Roman"/>
          <w:sz w:val="24"/>
          <w:szCs w:val="24"/>
        </w:rPr>
        <w:t>.</w:t>
      </w:r>
    </w:p>
    <w:p w14:paraId="79AA615E" w14:textId="77777777" w:rsidR="000E1B92" w:rsidRPr="00B51BB8" w:rsidRDefault="000E1B92" w:rsidP="00485D08">
      <w:pPr>
        <w:spacing w:after="0" w:line="240" w:lineRule="auto"/>
        <w:rPr>
          <w:rFonts w:ascii="Times New Roman" w:hAnsi="Times New Roman" w:cs="Times New Roman"/>
          <w:sz w:val="24"/>
          <w:szCs w:val="24"/>
        </w:rPr>
      </w:pPr>
    </w:p>
    <w:p w14:paraId="340AD57C"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EXCEPTIONS TO THE CERTIFICATION STATEMENT</w:t>
      </w:r>
    </w:p>
    <w:p w14:paraId="1EACBAD5" w14:textId="77777777" w:rsidR="00C4205B" w:rsidRPr="00B51BB8" w:rsidRDefault="00C4205B" w:rsidP="00485D08">
      <w:pPr>
        <w:spacing w:after="0" w:line="240" w:lineRule="auto"/>
        <w:rPr>
          <w:rFonts w:ascii="Times New Roman" w:hAnsi="Times New Roman" w:cs="Times New Roman"/>
          <w:sz w:val="24"/>
          <w:szCs w:val="24"/>
        </w:rPr>
      </w:pPr>
    </w:p>
    <w:p w14:paraId="63884D7A" w14:textId="77777777" w:rsidR="00D350A8" w:rsidRPr="007A560D" w:rsidRDefault="004F3F84" w:rsidP="007A560D">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w:t>
      </w:r>
      <w:r w:rsidR="009766A2" w:rsidRPr="00B51BB8">
        <w:rPr>
          <w:rFonts w:ascii="Times New Roman" w:hAnsi="Times New Roman" w:cs="Times New Roman"/>
          <w:sz w:val="24"/>
          <w:szCs w:val="24"/>
        </w:rPr>
        <w:t>re are no exceptions.</w:t>
      </w:r>
    </w:p>
    <w:sectPr w:rsidR="00D350A8" w:rsidRPr="007A560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C9B8A" w14:textId="77777777" w:rsidR="0082151E" w:rsidRDefault="0082151E" w:rsidP="00D350A8">
      <w:pPr>
        <w:spacing w:after="0" w:line="240" w:lineRule="auto"/>
      </w:pPr>
      <w:r>
        <w:separator/>
      </w:r>
    </w:p>
  </w:endnote>
  <w:endnote w:type="continuationSeparator" w:id="0">
    <w:p w14:paraId="6245A307" w14:textId="77777777" w:rsidR="0082151E" w:rsidRDefault="0082151E" w:rsidP="00D350A8">
      <w:pPr>
        <w:spacing w:after="0" w:line="240" w:lineRule="auto"/>
      </w:pPr>
      <w:r>
        <w:continuationSeparator/>
      </w:r>
    </w:p>
  </w:endnote>
  <w:endnote w:type="continuationNotice" w:id="1">
    <w:p w14:paraId="33047416" w14:textId="77777777" w:rsidR="0082151E" w:rsidRDefault="008215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793893"/>
      <w:docPartObj>
        <w:docPartGallery w:val="Page Numbers (Bottom of Page)"/>
        <w:docPartUnique/>
      </w:docPartObj>
    </w:sdtPr>
    <w:sdtEndPr>
      <w:rPr>
        <w:noProof/>
      </w:rPr>
    </w:sdtEndPr>
    <w:sdtContent>
      <w:p w14:paraId="4A302353" w14:textId="77777777" w:rsidR="00C55457" w:rsidRDefault="00C55457">
        <w:pPr>
          <w:pStyle w:val="Footer"/>
          <w:jc w:val="right"/>
        </w:pPr>
        <w:r>
          <w:fldChar w:fldCharType="begin"/>
        </w:r>
        <w:r>
          <w:instrText xml:space="preserve"> PAGE   \* MERGEFORMAT </w:instrText>
        </w:r>
        <w:r>
          <w:fldChar w:fldCharType="separate"/>
        </w:r>
        <w:r w:rsidR="009B0F4D">
          <w:rPr>
            <w:noProof/>
          </w:rPr>
          <w:t>1</w:t>
        </w:r>
        <w:r>
          <w:rPr>
            <w:noProof/>
          </w:rPr>
          <w:fldChar w:fldCharType="end"/>
        </w:r>
      </w:p>
    </w:sdtContent>
  </w:sdt>
  <w:p w14:paraId="33C80DF4" w14:textId="77777777" w:rsidR="00C55457" w:rsidRDefault="00C554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7BC0A" w14:textId="77777777" w:rsidR="0082151E" w:rsidRDefault="0082151E" w:rsidP="00D350A8">
      <w:pPr>
        <w:spacing w:after="0" w:line="240" w:lineRule="auto"/>
      </w:pPr>
      <w:r>
        <w:separator/>
      </w:r>
    </w:p>
  </w:footnote>
  <w:footnote w:type="continuationSeparator" w:id="0">
    <w:p w14:paraId="67EB642A" w14:textId="77777777" w:rsidR="0082151E" w:rsidRDefault="0082151E" w:rsidP="00D350A8">
      <w:pPr>
        <w:spacing w:after="0" w:line="240" w:lineRule="auto"/>
      </w:pPr>
      <w:r>
        <w:continuationSeparator/>
      </w:r>
    </w:p>
  </w:footnote>
  <w:footnote w:type="continuationNotice" w:id="1">
    <w:p w14:paraId="4B0DA1DC" w14:textId="77777777" w:rsidR="0082151E" w:rsidRDefault="0082151E">
      <w:pPr>
        <w:spacing w:after="0" w:line="240" w:lineRule="auto"/>
      </w:pPr>
    </w:p>
  </w:footnote>
  <w:footnote w:id="2">
    <w:p w14:paraId="2AEF7177" w14:textId="675B9215" w:rsidR="0077604E" w:rsidRPr="00C9693F" w:rsidRDefault="00C55457">
      <w:pPr>
        <w:pStyle w:val="FootnoteText"/>
        <w:rPr>
          <w:sz w:val="24"/>
          <w:szCs w:val="24"/>
        </w:rPr>
      </w:pPr>
      <w:r w:rsidRPr="00C9693F">
        <w:rPr>
          <w:rStyle w:val="FootnoteReference"/>
          <w:sz w:val="24"/>
          <w:szCs w:val="24"/>
        </w:rPr>
        <w:footnoteRef/>
      </w:r>
      <w:r w:rsidRPr="00C9693F">
        <w:rPr>
          <w:sz w:val="24"/>
          <w:szCs w:val="24"/>
        </w:rPr>
        <w:t xml:space="preserve"> </w:t>
      </w:r>
      <w:r w:rsidR="0077604E" w:rsidRPr="00C9693F">
        <w:rPr>
          <w:sz w:val="24"/>
          <w:szCs w:val="24"/>
        </w:rPr>
        <w:t xml:space="preserve">The Final Rule (Order 835, issued 1/19/2017) is available at </w:t>
      </w:r>
      <w:hyperlink r:id="rId1" w:history="1">
        <w:r w:rsidR="0077604E" w:rsidRPr="00C9693F">
          <w:rPr>
            <w:rStyle w:val="Hyperlink"/>
            <w:sz w:val="24"/>
            <w:szCs w:val="24"/>
          </w:rPr>
          <w:t>https://elibrary.ferc.gov/idmws/common/OpenNat.asp?fileID=14469204</w:t>
        </w:r>
      </w:hyperlink>
      <w:r w:rsidR="00B139FB" w:rsidRPr="00C9693F">
        <w:rPr>
          <w:sz w:val="24"/>
          <w:szCs w:val="24"/>
        </w:rPr>
        <w:t xml:space="preserve">. </w:t>
      </w:r>
      <w:r w:rsidR="00183B70" w:rsidRPr="00C9693F">
        <w:rPr>
          <w:sz w:val="24"/>
          <w:szCs w:val="24"/>
        </w:rPr>
        <w:t xml:space="preserve"> Order 835</w:t>
      </w:r>
      <w:r w:rsidR="00B139FB" w:rsidRPr="00C9693F">
        <w:rPr>
          <w:sz w:val="24"/>
          <w:szCs w:val="24"/>
        </w:rPr>
        <w:t xml:space="preserve"> established the version of the Reliability Standard (BAL-002-2) </w:t>
      </w:r>
      <w:r w:rsidR="00183B70" w:rsidRPr="00C9693F">
        <w:rPr>
          <w:sz w:val="24"/>
          <w:szCs w:val="24"/>
        </w:rPr>
        <w:t xml:space="preserve">which is </w:t>
      </w:r>
      <w:r w:rsidR="00B139FB" w:rsidRPr="00C9693F">
        <w:rPr>
          <w:sz w:val="24"/>
          <w:szCs w:val="24"/>
        </w:rPr>
        <w:t>being replaced by the new version of the standard BAL-002-3</w:t>
      </w:r>
      <w:r w:rsidR="00183B70" w:rsidRPr="00C9693F">
        <w:rPr>
          <w:sz w:val="24"/>
          <w:szCs w:val="24"/>
        </w:rPr>
        <w:t>,</w:t>
      </w:r>
      <w:r w:rsidR="00B139FB" w:rsidRPr="00C9693F">
        <w:rPr>
          <w:sz w:val="24"/>
          <w:szCs w:val="24"/>
        </w:rPr>
        <w:t xml:space="preserve"> appproved in </w:t>
      </w:r>
      <w:r w:rsidR="003831D3" w:rsidRPr="00C9693F">
        <w:rPr>
          <w:sz w:val="24"/>
          <w:szCs w:val="24"/>
        </w:rPr>
        <w:t xml:space="preserve">Docket No. </w:t>
      </w:r>
      <w:r w:rsidR="00B139FB" w:rsidRPr="00C9693F">
        <w:rPr>
          <w:sz w:val="24"/>
          <w:szCs w:val="24"/>
        </w:rPr>
        <w:t>RD18-7.</w:t>
      </w:r>
    </w:p>
  </w:footnote>
  <w:footnote w:id="3">
    <w:p w14:paraId="0DE2580D" w14:textId="4D52546B" w:rsidR="00B139FB" w:rsidRDefault="00B139FB">
      <w:pPr>
        <w:pStyle w:val="FootnoteText"/>
      </w:pPr>
      <w:r w:rsidRPr="00C9693F">
        <w:rPr>
          <w:rStyle w:val="FootnoteReference"/>
          <w:sz w:val="24"/>
          <w:szCs w:val="24"/>
        </w:rPr>
        <w:footnoteRef/>
      </w:r>
      <w:r w:rsidRPr="00C9693F">
        <w:rPr>
          <w:sz w:val="24"/>
          <w:szCs w:val="24"/>
        </w:rPr>
        <w:t xml:space="preserve"> The number of entities is decreasing to 99 (from 10</w:t>
      </w:r>
      <w:r w:rsidR="003831D3" w:rsidRPr="00C9693F">
        <w:rPr>
          <w:sz w:val="24"/>
          <w:szCs w:val="24"/>
        </w:rPr>
        <w:t>5)</w:t>
      </w:r>
      <w:r w:rsidR="00491CF6">
        <w:rPr>
          <w:sz w:val="24"/>
          <w:szCs w:val="24"/>
        </w:rPr>
        <w:t xml:space="preserve"> for BAL-002-3</w:t>
      </w:r>
      <w:r w:rsidRPr="00C9693F">
        <w:rPr>
          <w:sz w:val="24"/>
          <w:szCs w:val="24"/>
        </w:rPr>
        <w:t>.  The change is due to normal fluctuations in industry (e.g., companies merging or splitting, or entering or exiting the field).</w:t>
      </w:r>
    </w:p>
  </w:footnote>
  <w:footnote w:id="4">
    <w:p w14:paraId="324104DC" w14:textId="288F03E4" w:rsidR="002143E7" w:rsidRPr="00C9693F" w:rsidRDefault="002143E7">
      <w:pPr>
        <w:pStyle w:val="FootnoteText"/>
        <w:rPr>
          <w:sz w:val="24"/>
          <w:szCs w:val="24"/>
        </w:rPr>
      </w:pPr>
      <w:r w:rsidRPr="00C9693F">
        <w:rPr>
          <w:rStyle w:val="FootnoteReference"/>
          <w:sz w:val="24"/>
          <w:szCs w:val="24"/>
        </w:rPr>
        <w:footnoteRef/>
      </w:r>
      <w:r w:rsidRPr="00C9693F">
        <w:rPr>
          <w:sz w:val="24"/>
          <w:szCs w:val="24"/>
        </w:rPr>
        <w:t xml:space="preserve"> The Petition is available at </w:t>
      </w:r>
      <w:hyperlink r:id="rId2" w:history="1">
        <w:r w:rsidRPr="00C9693F">
          <w:rPr>
            <w:rStyle w:val="Hyperlink"/>
            <w:sz w:val="24"/>
            <w:szCs w:val="24"/>
          </w:rPr>
          <w:t>https://elibrary.ferc.gov/idmws/common/OpenNat.asp?fileID=15053916</w:t>
        </w:r>
      </w:hyperlink>
      <w:r w:rsidRPr="00C9693F">
        <w:rPr>
          <w:sz w:val="24"/>
          <w:szCs w:val="24"/>
        </w:rPr>
        <w:t xml:space="preserve"> .</w:t>
      </w:r>
    </w:p>
  </w:footnote>
  <w:footnote w:id="5">
    <w:p w14:paraId="7F6D9A9B" w14:textId="0107D726" w:rsidR="00407EA2" w:rsidRPr="00C9693F" w:rsidRDefault="00407EA2">
      <w:pPr>
        <w:pStyle w:val="FootnoteText"/>
        <w:rPr>
          <w:sz w:val="24"/>
          <w:szCs w:val="24"/>
        </w:rPr>
      </w:pPr>
      <w:r w:rsidRPr="00C9693F">
        <w:rPr>
          <w:rStyle w:val="FootnoteReference"/>
          <w:sz w:val="24"/>
          <w:szCs w:val="24"/>
        </w:rPr>
        <w:footnoteRef/>
      </w:r>
      <w:r w:rsidRPr="00C9693F">
        <w:rPr>
          <w:sz w:val="24"/>
          <w:szCs w:val="24"/>
        </w:rPr>
        <w:t xml:space="preserve"> Order No. 835 at P37.</w:t>
      </w:r>
    </w:p>
  </w:footnote>
  <w:footnote w:id="6">
    <w:p w14:paraId="3EE87345" w14:textId="29B20662" w:rsidR="000F0C7B" w:rsidRDefault="000F0C7B">
      <w:pPr>
        <w:pStyle w:val="FootnoteText"/>
      </w:pPr>
      <w:r w:rsidRPr="00C9693F">
        <w:rPr>
          <w:rStyle w:val="FootnoteReference"/>
          <w:sz w:val="24"/>
          <w:szCs w:val="24"/>
        </w:rPr>
        <w:footnoteRef/>
      </w:r>
      <w:r w:rsidRPr="00C9693F">
        <w:rPr>
          <w:sz w:val="24"/>
          <w:szCs w:val="24"/>
        </w:rPr>
        <w:t xml:space="preserve"> </w:t>
      </w:r>
      <w:r w:rsidR="000F233D" w:rsidRPr="00C9693F">
        <w:rPr>
          <w:sz w:val="24"/>
          <w:szCs w:val="24"/>
        </w:rPr>
        <w:t xml:space="preserve">The Delegated Letter Order is posted in FERC’s eLibrary at </w:t>
      </w:r>
      <w:hyperlink r:id="rId3" w:history="1">
        <w:r w:rsidR="000F233D" w:rsidRPr="00C9693F">
          <w:rPr>
            <w:rStyle w:val="Hyperlink"/>
            <w:sz w:val="24"/>
            <w:szCs w:val="24"/>
          </w:rPr>
          <w:t>https://elibrary.ferc.gov/idmws/common/OpenNat.asp?fileID=15053916</w:t>
        </w:r>
      </w:hyperlink>
      <w:r w:rsidR="000F233D" w:rsidRPr="00C9693F">
        <w:rPr>
          <w:sz w:val="24"/>
          <w:szCs w:val="24"/>
        </w:rPr>
        <w:t xml:space="preserve"> .</w:t>
      </w:r>
    </w:p>
  </w:footnote>
  <w:footnote w:id="7">
    <w:p w14:paraId="3807098B" w14:textId="28FDC7A6" w:rsidR="00886690" w:rsidRPr="00C9693F" w:rsidRDefault="00886690">
      <w:pPr>
        <w:pStyle w:val="FootnoteText"/>
        <w:rPr>
          <w:sz w:val="24"/>
          <w:szCs w:val="24"/>
        </w:rPr>
      </w:pPr>
      <w:r w:rsidRPr="00C9693F">
        <w:rPr>
          <w:rStyle w:val="FootnoteReference"/>
          <w:sz w:val="24"/>
          <w:szCs w:val="24"/>
        </w:rPr>
        <w:footnoteRef/>
      </w:r>
      <w:r w:rsidRPr="00C9693F">
        <w:rPr>
          <w:sz w:val="24"/>
          <w:szCs w:val="24"/>
        </w:rPr>
        <w:t xml:space="preserve"> </w:t>
      </w:r>
      <w:hyperlink r:id="rId4" w:history="1">
        <w:r w:rsidRPr="00C9693F">
          <w:rPr>
            <w:rStyle w:val="Hyperlink"/>
            <w:sz w:val="24"/>
            <w:szCs w:val="24"/>
          </w:rPr>
          <w:t>https://elibrary.ferc.gov/idmws/common/OpenNat.asp?fileID=15000839</w:t>
        </w:r>
      </w:hyperlink>
      <w:r w:rsidRPr="00C9693F">
        <w:rPr>
          <w:sz w:val="24"/>
          <w:szCs w:val="24"/>
        </w:rPr>
        <w:t xml:space="preserve"> </w:t>
      </w:r>
    </w:p>
  </w:footnote>
  <w:footnote w:id="8">
    <w:p w14:paraId="50BEFF31" w14:textId="77777777" w:rsidR="00C55457" w:rsidRPr="00C9693F" w:rsidRDefault="00C55457" w:rsidP="00F14924">
      <w:pPr>
        <w:pStyle w:val="FootnoteText"/>
        <w:rPr>
          <w:sz w:val="24"/>
          <w:szCs w:val="24"/>
        </w:rPr>
      </w:pPr>
      <w:r w:rsidRPr="00C9693F">
        <w:rPr>
          <w:rStyle w:val="FootnoteReference"/>
          <w:sz w:val="24"/>
          <w:szCs w:val="24"/>
        </w:rPr>
        <w:footnoteRef/>
      </w:r>
      <w:r w:rsidRPr="00C9693F">
        <w:rPr>
          <w:sz w:val="24"/>
          <w:szCs w:val="24"/>
        </w:rPr>
        <w:t xml:space="preserve"> Section 1502, Paragraph 2, available at NERCs website</w:t>
      </w:r>
    </w:p>
  </w:footnote>
  <w:footnote w:id="9">
    <w:p w14:paraId="5F573A4B" w14:textId="3F0026B1" w:rsidR="00C10A4D" w:rsidRPr="00352ECF" w:rsidRDefault="00C10A4D" w:rsidP="00C10A4D">
      <w:pPr>
        <w:pStyle w:val="FootnoteText"/>
        <w:rPr>
          <w:sz w:val="26"/>
          <w:szCs w:val="26"/>
        </w:rPr>
      </w:pPr>
      <w:r w:rsidRPr="00D72C2D">
        <w:rPr>
          <w:rStyle w:val="FootnoteReference"/>
        </w:rPr>
        <w:footnoteRef/>
      </w:r>
      <w:r w:rsidRPr="00D72C2D">
        <w:rPr>
          <w:sz w:val="26"/>
          <w:szCs w:val="26"/>
        </w:rPr>
        <w:t xml:space="preserve"> Reliability Standard BAL-002-</w:t>
      </w:r>
      <w:r w:rsidR="009D3108">
        <w:rPr>
          <w:sz w:val="26"/>
          <w:szCs w:val="26"/>
        </w:rPr>
        <w:t>3</w:t>
      </w:r>
      <w:r w:rsidRPr="00D72C2D">
        <w:rPr>
          <w:sz w:val="26"/>
          <w:szCs w:val="26"/>
        </w:rPr>
        <w:t xml:space="preserve"> applies to balancing authorities and reserve sharing groups.  However, the burden associated with the balancing authorities complying with Requirements R1and R3 is not included in this table because that burden doesn’t change and the Commission already accounted for it under Commission-approved </w:t>
      </w:r>
      <w:r w:rsidRPr="00352ECF">
        <w:rPr>
          <w:sz w:val="26"/>
          <w:szCs w:val="26"/>
        </w:rPr>
        <w:t>Reliability Standard BAL-002-1.</w:t>
      </w:r>
    </w:p>
  </w:footnote>
  <w:footnote w:id="10">
    <w:p w14:paraId="30643D3E" w14:textId="77777777" w:rsidR="00C10A4D" w:rsidRPr="00352ECF" w:rsidRDefault="00C10A4D" w:rsidP="00C10A4D">
      <w:pPr>
        <w:pStyle w:val="FootnoteText"/>
        <w:rPr>
          <w:sz w:val="26"/>
          <w:szCs w:val="26"/>
        </w:rPr>
      </w:pPr>
      <w:r w:rsidRPr="00352ECF">
        <w:rPr>
          <w:rStyle w:val="FootnoteReference"/>
        </w:rPr>
        <w:footnoteRef/>
      </w:r>
      <w:r w:rsidRPr="00352ECF">
        <w:t xml:space="preserve"> </w:t>
      </w:r>
      <w:r w:rsidRPr="00352ECF">
        <w:rPr>
          <w:sz w:val="26"/>
          <w:szCs w:val="26"/>
        </w:rPr>
        <w:t xml:space="preserve">The estimated hourly cost (wages plus benefits) is based on Bureau of Labor Statistics (BLS) information (available at </w:t>
      </w:r>
      <w:hyperlink r:id="rId5" w:history="1">
        <w:r w:rsidRPr="00352ECF">
          <w:rPr>
            <w:sz w:val="26"/>
            <w:szCs w:val="26"/>
          </w:rPr>
          <w:t>http://www.bls.gov/oes/current/naics2_22.htm</w:t>
        </w:r>
      </w:hyperlink>
      <w:r w:rsidRPr="00352ECF">
        <w:rPr>
          <w:sz w:val="26"/>
          <w:szCs w:val="26"/>
        </w:rPr>
        <w:t xml:space="preserve"> and, for benefits, </w:t>
      </w:r>
      <w:hyperlink r:id="rId6" w:history="1">
        <w:r w:rsidRPr="00352ECF">
          <w:rPr>
            <w:rStyle w:val="Hyperlink"/>
            <w:sz w:val="26"/>
            <w:szCs w:val="26"/>
          </w:rPr>
          <w:t>https://www.bls.gov/news.release/ecec.nr0.htm</w:t>
        </w:r>
      </w:hyperlink>
      <w:r w:rsidRPr="00352ECF">
        <w:rPr>
          <w:sz w:val="26"/>
          <w:szCs w:val="26"/>
        </w:rPr>
        <w:t xml:space="preserve"> ). </w:t>
      </w:r>
    </w:p>
    <w:p w14:paraId="108E3FE1" w14:textId="77777777" w:rsidR="00C10A4D" w:rsidRPr="00352ECF" w:rsidRDefault="00C10A4D" w:rsidP="00C10A4D">
      <w:pPr>
        <w:pStyle w:val="FootnoteText"/>
        <w:rPr>
          <w:sz w:val="26"/>
          <w:szCs w:val="26"/>
        </w:rPr>
      </w:pPr>
      <w:r w:rsidRPr="00352ECF">
        <w:rPr>
          <w:sz w:val="26"/>
          <w:szCs w:val="26"/>
        </w:rPr>
        <w:t>The hourly cost (wages plus benefits) for developing and maintaining operating process and plans is $105.29 and is an average for an electrical engineer (Occupation code 17-2071, $66.90/hour) and Legal (Occupation code 23-0000, $</w:t>
      </w:r>
      <w:r w:rsidRPr="00352ECF">
        <w:t xml:space="preserve"> </w:t>
      </w:r>
      <w:r w:rsidRPr="00352ECF">
        <w:rPr>
          <w:sz w:val="26"/>
          <w:szCs w:val="26"/>
        </w:rPr>
        <w:t>$143.68).</w:t>
      </w:r>
    </w:p>
    <w:p w14:paraId="3C3551BC" w14:textId="77777777" w:rsidR="00C10A4D" w:rsidRDefault="00C10A4D" w:rsidP="00C10A4D">
      <w:pPr>
        <w:pStyle w:val="FootnoteText"/>
      </w:pPr>
      <w:r w:rsidRPr="00352ECF">
        <w:rPr>
          <w:sz w:val="26"/>
          <w:szCs w:val="26"/>
        </w:rPr>
        <w:t>The hourly cost (wages plus benefits) for record retention is $39.68 for information and record clerks (Occupation code 43-4199).</w:t>
      </w:r>
    </w:p>
  </w:footnote>
  <w:footnote w:id="11">
    <w:p w14:paraId="648D7F92" w14:textId="77777777" w:rsidR="00C10A4D" w:rsidRPr="00D72C2D" w:rsidRDefault="00C10A4D" w:rsidP="00C10A4D">
      <w:pPr>
        <w:pStyle w:val="FootnoteText"/>
        <w:rPr>
          <w:sz w:val="26"/>
          <w:szCs w:val="26"/>
        </w:rPr>
      </w:pPr>
      <w:r w:rsidRPr="00D72C2D">
        <w:rPr>
          <w:rStyle w:val="FootnoteReference"/>
        </w:rPr>
        <w:footnoteRef/>
      </w:r>
      <w:r w:rsidRPr="00D72C2D">
        <w:rPr>
          <w:sz w:val="26"/>
          <w:szCs w:val="26"/>
        </w:rPr>
        <w:t xml:space="preserve"> BA=Balancing Authority; RSG=Reserve Sharing Group.</w:t>
      </w:r>
    </w:p>
  </w:footnote>
  <w:footnote w:id="12">
    <w:p w14:paraId="236401EC" w14:textId="77777777" w:rsidR="00C10A4D" w:rsidRPr="00D72C2D" w:rsidRDefault="00C10A4D" w:rsidP="00C10A4D">
      <w:pPr>
        <w:pStyle w:val="FootnoteText"/>
        <w:rPr>
          <w:sz w:val="26"/>
          <w:szCs w:val="26"/>
        </w:rPr>
      </w:pPr>
      <w:r w:rsidRPr="00D72C2D">
        <w:rPr>
          <w:rStyle w:val="FootnoteReference"/>
        </w:rPr>
        <w:footnoteRef/>
      </w:r>
      <w:r w:rsidRPr="00D72C2D">
        <w:rPr>
          <w:sz w:val="26"/>
          <w:szCs w:val="26"/>
        </w:rPr>
        <w:t xml:space="preserve"> This figure of 8 hours/response is an average of the hourly burden per response for Years 1-3.  Year 1 burden: 12 hours per response; Years 2-3</w:t>
      </w:r>
      <w:r>
        <w:rPr>
          <w:sz w:val="26"/>
          <w:szCs w:val="26"/>
        </w:rPr>
        <w:t>, each</w:t>
      </w:r>
      <w:r w:rsidRPr="00D72C2D">
        <w:rPr>
          <w:sz w:val="26"/>
          <w:szCs w:val="26"/>
        </w:rPr>
        <w:t xml:space="preserve">: 6 hours/response. </w:t>
      </w:r>
      <w:r>
        <w:rPr>
          <w:sz w:val="26"/>
          <w:szCs w:val="26"/>
        </w:rPr>
        <w:t xml:space="preserve">The average annual burden for Years 1-3 is </w:t>
      </w:r>
      <w:r w:rsidRPr="00D72C2D">
        <w:rPr>
          <w:sz w:val="26"/>
          <w:szCs w:val="26"/>
        </w:rPr>
        <w:t xml:space="preserve">8 hours/response </w:t>
      </w:r>
      <w:r>
        <w:rPr>
          <w:sz w:val="26"/>
          <w:szCs w:val="26"/>
        </w:rPr>
        <w:t>(or [</w:t>
      </w:r>
      <w:r w:rsidRPr="00D72C2D">
        <w:rPr>
          <w:sz w:val="26"/>
          <w:szCs w:val="26"/>
        </w:rPr>
        <w:t xml:space="preserve">12 hours + 6 hours + 6 hours </w:t>
      </w:r>
      <w:r>
        <w:rPr>
          <w:sz w:val="26"/>
          <w:szCs w:val="26"/>
        </w:rPr>
        <w:t>]</w:t>
      </w:r>
      <w:r w:rsidRPr="00D72C2D">
        <w:rPr>
          <w:sz w:val="26"/>
          <w:szCs w:val="26"/>
        </w:rPr>
        <w:t xml:space="preserve"> ÷ 3</w:t>
      </w:r>
      <w:r>
        <w:rPr>
          <w:sz w:val="26"/>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FA464" w14:textId="170EAA96" w:rsidR="00C55457" w:rsidRPr="00B51BB8" w:rsidRDefault="00C55457" w:rsidP="002A4142">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FERC-725R</w:t>
    </w:r>
    <w:r w:rsidRPr="00B51BB8">
      <w:rPr>
        <w:rFonts w:ascii="Times New Roman" w:hAnsi="Times New Roman" w:cs="Times New Roman"/>
        <w:sz w:val="24"/>
        <w:szCs w:val="24"/>
      </w:rPr>
      <w:t xml:space="preserve"> (OMB Control No. </w:t>
    </w:r>
    <w:r>
      <w:rPr>
        <w:rFonts w:ascii="Times New Roman" w:hAnsi="Times New Roman" w:cs="Times New Roman"/>
        <w:sz w:val="24"/>
        <w:szCs w:val="24"/>
      </w:rPr>
      <w:t>1902-0268</w:t>
    </w:r>
    <w:r w:rsidRPr="00B51BB8">
      <w:rPr>
        <w:rFonts w:ascii="Times New Roman" w:hAnsi="Times New Roman" w:cs="Times New Roman"/>
        <w:sz w:val="24"/>
        <w:szCs w:val="24"/>
      </w:rPr>
      <w:t xml:space="preserve">) </w:t>
    </w:r>
  </w:p>
  <w:p w14:paraId="06829268" w14:textId="1BB6ABF0" w:rsidR="00C55457" w:rsidRDefault="00C55457" w:rsidP="002A4142">
    <w:pPr>
      <w:pStyle w:val="Header"/>
      <w:rPr>
        <w:rFonts w:ascii="Times New Roman" w:hAnsi="Times New Roman" w:cs="Times New Roman"/>
        <w:bCs/>
        <w:sz w:val="24"/>
        <w:szCs w:val="24"/>
      </w:rPr>
    </w:pPr>
    <w:r>
      <w:rPr>
        <w:rFonts w:ascii="Times New Roman" w:hAnsi="Times New Roman" w:cs="Times New Roman"/>
        <w:bCs/>
        <w:sz w:val="24"/>
        <w:szCs w:val="24"/>
      </w:rPr>
      <w:t xml:space="preserve">Order </w:t>
    </w:r>
    <w:r w:rsidR="00CB52C6">
      <w:rPr>
        <w:rFonts w:ascii="Times New Roman" w:hAnsi="Times New Roman" w:cs="Times New Roman"/>
        <w:bCs/>
        <w:sz w:val="24"/>
        <w:szCs w:val="24"/>
      </w:rPr>
      <w:t>(</w:t>
    </w:r>
    <w:r w:rsidRPr="00B51BB8">
      <w:rPr>
        <w:rFonts w:ascii="Times New Roman" w:hAnsi="Times New Roman" w:cs="Times New Roman"/>
        <w:bCs/>
        <w:sz w:val="24"/>
        <w:szCs w:val="24"/>
      </w:rPr>
      <w:t xml:space="preserve">issued </w:t>
    </w:r>
    <w:r w:rsidR="00CB52C6">
      <w:rPr>
        <w:rFonts w:ascii="Times New Roman" w:hAnsi="Times New Roman" w:cs="Times New Roman"/>
        <w:bCs/>
        <w:sz w:val="24"/>
        <w:szCs w:val="24"/>
      </w:rPr>
      <w:t>9/25/2018</w:t>
    </w:r>
    <w:r w:rsidRPr="00B51BB8">
      <w:rPr>
        <w:rFonts w:ascii="Times New Roman" w:hAnsi="Times New Roman" w:cs="Times New Roman"/>
        <w:bCs/>
        <w:sz w:val="24"/>
        <w:szCs w:val="24"/>
      </w:rPr>
      <w:t xml:space="preserve">) in Docket </w:t>
    </w:r>
    <w:r w:rsidR="00CB52C6">
      <w:rPr>
        <w:rFonts w:ascii="Times New Roman" w:hAnsi="Times New Roman" w:cs="Times New Roman"/>
        <w:bCs/>
        <w:sz w:val="24"/>
        <w:szCs w:val="24"/>
      </w:rPr>
      <w:t>No. RD18-7</w:t>
    </w:r>
  </w:p>
  <w:p w14:paraId="1CE0015B" w14:textId="0DE8A829" w:rsidR="00C55457" w:rsidRPr="00B51BB8" w:rsidRDefault="00C55457" w:rsidP="002A4142">
    <w:pPr>
      <w:pStyle w:val="Header"/>
      <w:rPr>
        <w:rFonts w:ascii="Times New Roman" w:hAnsi="Times New Roman" w:cs="Times New Roman"/>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F65"/>
    <w:multiLevelType w:val="hybridMultilevel"/>
    <w:tmpl w:val="57BE72F6"/>
    <w:lvl w:ilvl="0" w:tplc="D0FE2956">
      <w:start w:val="1"/>
      <w:numFmt w:val="decimal"/>
      <w:lvlText w:val="%1."/>
      <w:lvlJc w:val="left"/>
      <w:pPr>
        <w:tabs>
          <w:tab w:val="num" w:pos="1080"/>
        </w:tabs>
        <w:ind w:left="1080" w:hanging="360"/>
      </w:pPr>
      <w:rPr>
        <w:b w:val="0"/>
        <w:sz w:val="26"/>
        <w:szCs w:val="26"/>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37AB6004"/>
    <w:multiLevelType w:val="hybridMultilevel"/>
    <w:tmpl w:val="7114AC3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
    <w:nsid w:val="453C6417"/>
    <w:multiLevelType w:val="hybridMultilevel"/>
    <w:tmpl w:val="0226C6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5B076510"/>
    <w:multiLevelType w:val="hybridMultilevel"/>
    <w:tmpl w:val="C63C7E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62866F36"/>
    <w:multiLevelType w:val="hybridMultilevel"/>
    <w:tmpl w:val="6632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4E4DD3"/>
    <w:multiLevelType w:val="hybridMultilevel"/>
    <w:tmpl w:val="BC188756"/>
    <w:lvl w:ilvl="0" w:tplc="54D83ADA">
      <w:start w:val="1"/>
      <w:numFmt w:val="decimal"/>
      <w:lvlText w:val="%1."/>
      <w:lvlJc w:val="left"/>
      <w:pPr>
        <w:tabs>
          <w:tab w:val="num" w:pos="810"/>
        </w:tabs>
        <w:ind w:left="90" w:firstLine="0"/>
      </w:pPr>
      <w:rPr>
        <w:rFonts w:hint="default"/>
        <w:b w:val="0"/>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 w:numId="6">
    <w:abstractNumId w:val="1"/>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0A8"/>
    <w:rsid w:val="000027B8"/>
    <w:rsid w:val="00005289"/>
    <w:rsid w:val="000151A0"/>
    <w:rsid w:val="00017D46"/>
    <w:rsid w:val="000302F1"/>
    <w:rsid w:val="0004133D"/>
    <w:rsid w:val="000428A5"/>
    <w:rsid w:val="00042D80"/>
    <w:rsid w:val="00050740"/>
    <w:rsid w:val="00053805"/>
    <w:rsid w:val="00055683"/>
    <w:rsid w:val="000723A8"/>
    <w:rsid w:val="000728C5"/>
    <w:rsid w:val="0007589B"/>
    <w:rsid w:val="0007783F"/>
    <w:rsid w:val="00087336"/>
    <w:rsid w:val="00094D36"/>
    <w:rsid w:val="000E1B92"/>
    <w:rsid w:val="000E2BD1"/>
    <w:rsid w:val="000E5E73"/>
    <w:rsid w:val="000F0C7B"/>
    <w:rsid w:val="000F233D"/>
    <w:rsid w:val="000F341C"/>
    <w:rsid w:val="00100229"/>
    <w:rsid w:val="00100D18"/>
    <w:rsid w:val="00102F1A"/>
    <w:rsid w:val="001062F8"/>
    <w:rsid w:val="00115F24"/>
    <w:rsid w:val="0012731F"/>
    <w:rsid w:val="001301E0"/>
    <w:rsid w:val="00131470"/>
    <w:rsid w:val="0014705F"/>
    <w:rsid w:val="00150D8D"/>
    <w:rsid w:val="00155323"/>
    <w:rsid w:val="0015640F"/>
    <w:rsid w:val="001755B4"/>
    <w:rsid w:val="00183B70"/>
    <w:rsid w:val="00191849"/>
    <w:rsid w:val="001967A9"/>
    <w:rsid w:val="001976E0"/>
    <w:rsid w:val="001A03C2"/>
    <w:rsid w:val="001A2058"/>
    <w:rsid w:val="001C5A9B"/>
    <w:rsid w:val="001C7456"/>
    <w:rsid w:val="001D7EB6"/>
    <w:rsid w:val="001F1D83"/>
    <w:rsid w:val="001F257C"/>
    <w:rsid w:val="002025A8"/>
    <w:rsid w:val="00205EE8"/>
    <w:rsid w:val="00213195"/>
    <w:rsid w:val="002143E7"/>
    <w:rsid w:val="002329FB"/>
    <w:rsid w:val="002359F6"/>
    <w:rsid w:val="002370E2"/>
    <w:rsid w:val="00240C3A"/>
    <w:rsid w:val="0024309E"/>
    <w:rsid w:val="0024485B"/>
    <w:rsid w:val="00257FBE"/>
    <w:rsid w:val="00263D1F"/>
    <w:rsid w:val="00270184"/>
    <w:rsid w:val="00271EC6"/>
    <w:rsid w:val="00275760"/>
    <w:rsid w:val="0029048F"/>
    <w:rsid w:val="00290ACC"/>
    <w:rsid w:val="00291A94"/>
    <w:rsid w:val="002A4142"/>
    <w:rsid w:val="002A45D0"/>
    <w:rsid w:val="002A5BA5"/>
    <w:rsid w:val="002A7EF0"/>
    <w:rsid w:val="002B3B00"/>
    <w:rsid w:val="002C4849"/>
    <w:rsid w:val="002C70B7"/>
    <w:rsid w:val="002D4CD4"/>
    <w:rsid w:val="002E0A22"/>
    <w:rsid w:val="002F3DB9"/>
    <w:rsid w:val="00314EBE"/>
    <w:rsid w:val="00315F04"/>
    <w:rsid w:val="00326FE5"/>
    <w:rsid w:val="00332A43"/>
    <w:rsid w:val="003542FD"/>
    <w:rsid w:val="0035608B"/>
    <w:rsid w:val="00360F81"/>
    <w:rsid w:val="00361094"/>
    <w:rsid w:val="003745F7"/>
    <w:rsid w:val="003771D0"/>
    <w:rsid w:val="003811CE"/>
    <w:rsid w:val="003831D3"/>
    <w:rsid w:val="00391060"/>
    <w:rsid w:val="003976CA"/>
    <w:rsid w:val="003A536E"/>
    <w:rsid w:val="003B6534"/>
    <w:rsid w:val="003C19D0"/>
    <w:rsid w:val="003C4B09"/>
    <w:rsid w:val="003D09FB"/>
    <w:rsid w:val="003D162A"/>
    <w:rsid w:val="003E3866"/>
    <w:rsid w:val="003E599C"/>
    <w:rsid w:val="003F77BD"/>
    <w:rsid w:val="00401B62"/>
    <w:rsid w:val="0040637D"/>
    <w:rsid w:val="00407EA2"/>
    <w:rsid w:val="004137F1"/>
    <w:rsid w:val="00416DFC"/>
    <w:rsid w:val="00420176"/>
    <w:rsid w:val="00452265"/>
    <w:rsid w:val="004678E6"/>
    <w:rsid w:val="004723F3"/>
    <w:rsid w:val="00485D08"/>
    <w:rsid w:val="00491CF6"/>
    <w:rsid w:val="004A1428"/>
    <w:rsid w:val="004B18AB"/>
    <w:rsid w:val="004B624E"/>
    <w:rsid w:val="004C0226"/>
    <w:rsid w:val="004C0981"/>
    <w:rsid w:val="004C334C"/>
    <w:rsid w:val="004C510E"/>
    <w:rsid w:val="004E6159"/>
    <w:rsid w:val="004F3F84"/>
    <w:rsid w:val="00501F21"/>
    <w:rsid w:val="00503BD5"/>
    <w:rsid w:val="00506164"/>
    <w:rsid w:val="00511A94"/>
    <w:rsid w:val="00516258"/>
    <w:rsid w:val="00522521"/>
    <w:rsid w:val="00523280"/>
    <w:rsid w:val="00526F2F"/>
    <w:rsid w:val="00527AE1"/>
    <w:rsid w:val="00531E9C"/>
    <w:rsid w:val="005368DE"/>
    <w:rsid w:val="00543FCE"/>
    <w:rsid w:val="005515AF"/>
    <w:rsid w:val="00555094"/>
    <w:rsid w:val="005558F8"/>
    <w:rsid w:val="005575ED"/>
    <w:rsid w:val="00565F74"/>
    <w:rsid w:val="005768DB"/>
    <w:rsid w:val="005774B1"/>
    <w:rsid w:val="00581276"/>
    <w:rsid w:val="00581E3E"/>
    <w:rsid w:val="00582804"/>
    <w:rsid w:val="005853F1"/>
    <w:rsid w:val="005908AC"/>
    <w:rsid w:val="00597658"/>
    <w:rsid w:val="005A779D"/>
    <w:rsid w:val="005B253C"/>
    <w:rsid w:val="005B2D2D"/>
    <w:rsid w:val="005B3351"/>
    <w:rsid w:val="005C0FD7"/>
    <w:rsid w:val="005C28A8"/>
    <w:rsid w:val="005C297F"/>
    <w:rsid w:val="005C2C89"/>
    <w:rsid w:val="005C429E"/>
    <w:rsid w:val="005D017F"/>
    <w:rsid w:val="005D054F"/>
    <w:rsid w:val="005D4423"/>
    <w:rsid w:val="005D4947"/>
    <w:rsid w:val="005D6E4D"/>
    <w:rsid w:val="005E2448"/>
    <w:rsid w:val="005F447E"/>
    <w:rsid w:val="00602096"/>
    <w:rsid w:val="00606999"/>
    <w:rsid w:val="00612E67"/>
    <w:rsid w:val="0061754A"/>
    <w:rsid w:val="00637613"/>
    <w:rsid w:val="00642D33"/>
    <w:rsid w:val="006524CA"/>
    <w:rsid w:val="006564E7"/>
    <w:rsid w:val="0065657B"/>
    <w:rsid w:val="0067059B"/>
    <w:rsid w:val="00675E52"/>
    <w:rsid w:val="00684FC0"/>
    <w:rsid w:val="006870C9"/>
    <w:rsid w:val="0069654D"/>
    <w:rsid w:val="006A32B8"/>
    <w:rsid w:val="006A7418"/>
    <w:rsid w:val="006A76FD"/>
    <w:rsid w:val="006B0E50"/>
    <w:rsid w:val="006B5EEB"/>
    <w:rsid w:val="006C0F0B"/>
    <w:rsid w:val="006D6849"/>
    <w:rsid w:val="006F04F8"/>
    <w:rsid w:val="006F1615"/>
    <w:rsid w:val="006F199F"/>
    <w:rsid w:val="00703213"/>
    <w:rsid w:val="0070345D"/>
    <w:rsid w:val="00707A85"/>
    <w:rsid w:val="00717A1C"/>
    <w:rsid w:val="00732818"/>
    <w:rsid w:val="00734A9C"/>
    <w:rsid w:val="00737581"/>
    <w:rsid w:val="0074093F"/>
    <w:rsid w:val="00757224"/>
    <w:rsid w:val="00757251"/>
    <w:rsid w:val="0076316B"/>
    <w:rsid w:val="00765358"/>
    <w:rsid w:val="0077604E"/>
    <w:rsid w:val="0078329B"/>
    <w:rsid w:val="00793598"/>
    <w:rsid w:val="0079402D"/>
    <w:rsid w:val="00794A5A"/>
    <w:rsid w:val="00797852"/>
    <w:rsid w:val="00797AAC"/>
    <w:rsid w:val="007A2FB5"/>
    <w:rsid w:val="007A560D"/>
    <w:rsid w:val="007A6365"/>
    <w:rsid w:val="007B7CCA"/>
    <w:rsid w:val="007C39D3"/>
    <w:rsid w:val="007D29A0"/>
    <w:rsid w:val="007E67E9"/>
    <w:rsid w:val="007E757F"/>
    <w:rsid w:val="007F1EC9"/>
    <w:rsid w:val="0080068D"/>
    <w:rsid w:val="00800E3F"/>
    <w:rsid w:val="00803E7C"/>
    <w:rsid w:val="008042BF"/>
    <w:rsid w:val="00810BF9"/>
    <w:rsid w:val="00812AE2"/>
    <w:rsid w:val="00812D76"/>
    <w:rsid w:val="00814779"/>
    <w:rsid w:val="00820929"/>
    <w:rsid w:val="0082151E"/>
    <w:rsid w:val="00826CB4"/>
    <w:rsid w:val="00835E0A"/>
    <w:rsid w:val="0084600F"/>
    <w:rsid w:val="00847F18"/>
    <w:rsid w:val="008619AB"/>
    <w:rsid w:val="00866048"/>
    <w:rsid w:val="00870506"/>
    <w:rsid w:val="008738D6"/>
    <w:rsid w:val="008815BC"/>
    <w:rsid w:val="00886690"/>
    <w:rsid w:val="008A1478"/>
    <w:rsid w:val="008A5C5C"/>
    <w:rsid w:val="008B1F7E"/>
    <w:rsid w:val="008B5C52"/>
    <w:rsid w:val="008C255C"/>
    <w:rsid w:val="008C747F"/>
    <w:rsid w:val="008D20D4"/>
    <w:rsid w:val="008D4025"/>
    <w:rsid w:val="008D6AED"/>
    <w:rsid w:val="008F6579"/>
    <w:rsid w:val="008F76CB"/>
    <w:rsid w:val="00900C36"/>
    <w:rsid w:val="00905C29"/>
    <w:rsid w:val="00907AB7"/>
    <w:rsid w:val="00912E58"/>
    <w:rsid w:val="009257C8"/>
    <w:rsid w:val="0093400C"/>
    <w:rsid w:val="00950542"/>
    <w:rsid w:val="009508FC"/>
    <w:rsid w:val="00954899"/>
    <w:rsid w:val="00954D7E"/>
    <w:rsid w:val="00960411"/>
    <w:rsid w:val="00960BCF"/>
    <w:rsid w:val="00970428"/>
    <w:rsid w:val="009766A2"/>
    <w:rsid w:val="00976B33"/>
    <w:rsid w:val="009922B2"/>
    <w:rsid w:val="00995B75"/>
    <w:rsid w:val="009B04FD"/>
    <w:rsid w:val="009B0F4D"/>
    <w:rsid w:val="009B6A77"/>
    <w:rsid w:val="009C0D97"/>
    <w:rsid w:val="009C1020"/>
    <w:rsid w:val="009C2A3E"/>
    <w:rsid w:val="009D3108"/>
    <w:rsid w:val="009E1F0B"/>
    <w:rsid w:val="009E4A19"/>
    <w:rsid w:val="009F0B95"/>
    <w:rsid w:val="009F219E"/>
    <w:rsid w:val="00A03749"/>
    <w:rsid w:val="00A13DFB"/>
    <w:rsid w:val="00A21CB4"/>
    <w:rsid w:val="00A2591A"/>
    <w:rsid w:val="00A25A61"/>
    <w:rsid w:val="00A301A2"/>
    <w:rsid w:val="00A3624F"/>
    <w:rsid w:val="00A4008C"/>
    <w:rsid w:val="00A50A21"/>
    <w:rsid w:val="00A56ED0"/>
    <w:rsid w:val="00A64C19"/>
    <w:rsid w:val="00A7099E"/>
    <w:rsid w:val="00A70D34"/>
    <w:rsid w:val="00A7121F"/>
    <w:rsid w:val="00A7469A"/>
    <w:rsid w:val="00A74A0E"/>
    <w:rsid w:val="00A83705"/>
    <w:rsid w:val="00A858C8"/>
    <w:rsid w:val="00A86E73"/>
    <w:rsid w:val="00A971CF"/>
    <w:rsid w:val="00AC0CC2"/>
    <w:rsid w:val="00AD21A4"/>
    <w:rsid w:val="00AE43E1"/>
    <w:rsid w:val="00AF29FC"/>
    <w:rsid w:val="00B00671"/>
    <w:rsid w:val="00B065DF"/>
    <w:rsid w:val="00B139FB"/>
    <w:rsid w:val="00B231D4"/>
    <w:rsid w:val="00B26E4A"/>
    <w:rsid w:val="00B2778A"/>
    <w:rsid w:val="00B34A73"/>
    <w:rsid w:val="00B35625"/>
    <w:rsid w:val="00B46310"/>
    <w:rsid w:val="00B51BB8"/>
    <w:rsid w:val="00B52592"/>
    <w:rsid w:val="00B53FEB"/>
    <w:rsid w:val="00B61FB5"/>
    <w:rsid w:val="00B6240F"/>
    <w:rsid w:val="00B63850"/>
    <w:rsid w:val="00B63F5D"/>
    <w:rsid w:val="00B7228F"/>
    <w:rsid w:val="00B75373"/>
    <w:rsid w:val="00B820C3"/>
    <w:rsid w:val="00B85D31"/>
    <w:rsid w:val="00B94978"/>
    <w:rsid w:val="00B96B00"/>
    <w:rsid w:val="00BA2E0E"/>
    <w:rsid w:val="00BB5287"/>
    <w:rsid w:val="00BC132D"/>
    <w:rsid w:val="00BC2623"/>
    <w:rsid w:val="00BC26CE"/>
    <w:rsid w:val="00BC294C"/>
    <w:rsid w:val="00BC4817"/>
    <w:rsid w:val="00BD1C65"/>
    <w:rsid w:val="00BD4E24"/>
    <w:rsid w:val="00BE0F87"/>
    <w:rsid w:val="00C00BD5"/>
    <w:rsid w:val="00C02C35"/>
    <w:rsid w:val="00C04E75"/>
    <w:rsid w:val="00C07C9B"/>
    <w:rsid w:val="00C10A4D"/>
    <w:rsid w:val="00C114F4"/>
    <w:rsid w:val="00C17928"/>
    <w:rsid w:val="00C315D8"/>
    <w:rsid w:val="00C360B7"/>
    <w:rsid w:val="00C4205B"/>
    <w:rsid w:val="00C430BB"/>
    <w:rsid w:val="00C453FF"/>
    <w:rsid w:val="00C55457"/>
    <w:rsid w:val="00C73F9E"/>
    <w:rsid w:val="00C80058"/>
    <w:rsid w:val="00C869E3"/>
    <w:rsid w:val="00C9693F"/>
    <w:rsid w:val="00CB0831"/>
    <w:rsid w:val="00CB52C6"/>
    <w:rsid w:val="00CC2775"/>
    <w:rsid w:val="00CF172C"/>
    <w:rsid w:val="00D1124F"/>
    <w:rsid w:val="00D12E12"/>
    <w:rsid w:val="00D13727"/>
    <w:rsid w:val="00D17BB7"/>
    <w:rsid w:val="00D215A2"/>
    <w:rsid w:val="00D24D9C"/>
    <w:rsid w:val="00D26084"/>
    <w:rsid w:val="00D273EF"/>
    <w:rsid w:val="00D27D95"/>
    <w:rsid w:val="00D30BDF"/>
    <w:rsid w:val="00D31EFC"/>
    <w:rsid w:val="00D350A8"/>
    <w:rsid w:val="00D400ED"/>
    <w:rsid w:val="00D408BF"/>
    <w:rsid w:val="00D51DDF"/>
    <w:rsid w:val="00D55136"/>
    <w:rsid w:val="00D6422E"/>
    <w:rsid w:val="00DA12D2"/>
    <w:rsid w:val="00DA4D6E"/>
    <w:rsid w:val="00DA70EE"/>
    <w:rsid w:val="00DD4144"/>
    <w:rsid w:val="00DD705E"/>
    <w:rsid w:val="00DD749B"/>
    <w:rsid w:val="00DE1C2A"/>
    <w:rsid w:val="00DE7360"/>
    <w:rsid w:val="00DE7F4E"/>
    <w:rsid w:val="00DF1C8D"/>
    <w:rsid w:val="00E0001D"/>
    <w:rsid w:val="00E11A60"/>
    <w:rsid w:val="00E14C63"/>
    <w:rsid w:val="00E20D10"/>
    <w:rsid w:val="00E25814"/>
    <w:rsid w:val="00E33E65"/>
    <w:rsid w:val="00E454EA"/>
    <w:rsid w:val="00E616F0"/>
    <w:rsid w:val="00E75CFB"/>
    <w:rsid w:val="00E854FA"/>
    <w:rsid w:val="00E9729B"/>
    <w:rsid w:val="00EA3968"/>
    <w:rsid w:val="00EB206D"/>
    <w:rsid w:val="00EC7882"/>
    <w:rsid w:val="00EE1D2C"/>
    <w:rsid w:val="00EE22CC"/>
    <w:rsid w:val="00EE4195"/>
    <w:rsid w:val="00EF4AD6"/>
    <w:rsid w:val="00EF4E3E"/>
    <w:rsid w:val="00EF650C"/>
    <w:rsid w:val="00F11DCD"/>
    <w:rsid w:val="00F14924"/>
    <w:rsid w:val="00F23E3F"/>
    <w:rsid w:val="00F26A37"/>
    <w:rsid w:val="00F473FF"/>
    <w:rsid w:val="00F618F2"/>
    <w:rsid w:val="00F61F08"/>
    <w:rsid w:val="00F61FC9"/>
    <w:rsid w:val="00F63E0D"/>
    <w:rsid w:val="00F640A9"/>
    <w:rsid w:val="00F64A6F"/>
    <w:rsid w:val="00F72A8A"/>
    <w:rsid w:val="00F80FC4"/>
    <w:rsid w:val="00F839F8"/>
    <w:rsid w:val="00F97133"/>
    <w:rsid w:val="00F97E14"/>
    <w:rsid w:val="00FA05A9"/>
    <w:rsid w:val="00FA0F7B"/>
    <w:rsid w:val="00FB4A38"/>
    <w:rsid w:val="00FC11BA"/>
    <w:rsid w:val="00FC30A2"/>
    <w:rsid w:val="00FC6722"/>
    <w:rsid w:val="00FF36D8"/>
    <w:rsid w:val="00FF701F"/>
    <w:rsid w:val="00FF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15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uiPriority w:val="99"/>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Footnote Text Char2 Char Char1,Footnote Text Char Char1 Char Char1,Footnote Text Char1 Char Char Char Char1,Footnote Text Char Char Char Char Char Char1,Footnote Text Char1 Char Char Char Char Char Char Char Char1,ft Char1"/>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semiHidden/>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semiHidden/>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 w:type="character" w:styleId="FollowedHyperlink">
    <w:name w:val="FollowedHyperlink"/>
    <w:basedOn w:val="DefaultParagraphFont"/>
    <w:uiPriority w:val="99"/>
    <w:semiHidden/>
    <w:unhideWhenUsed/>
    <w:rsid w:val="0077604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uiPriority w:val="99"/>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Footnote Text Char2 Char Char1,Footnote Text Char Char1 Char Char1,Footnote Text Char1 Char Char Char Char1,Footnote Text Char Char Char Char Char Char1,Footnote Text Char1 Char Char Char Char Char Char Char Char1,ft Char1"/>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semiHidden/>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semiHidden/>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 w:type="character" w:styleId="FollowedHyperlink">
    <w:name w:val="FollowedHyperlink"/>
    <w:basedOn w:val="DefaultParagraphFont"/>
    <w:uiPriority w:val="99"/>
    <w:semiHidden/>
    <w:unhideWhenUsed/>
    <w:rsid w:val="007760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334">
      <w:bodyDiv w:val="1"/>
      <w:marLeft w:val="0"/>
      <w:marRight w:val="0"/>
      <w:marTop w:val="0"/>
      <w:marBottom w:val="0"/>
      <w:divBdr>
        <w:top w:val="none" w:sz="0" w:space="0" w:color="auto"/>
        <w:left w:val="none" w:sz="0" w:space="0" w:color="auto"/>
        <w:bottom w:val="none" w:sz="0" w:space="0" w:color="auto"/>
        <w:right w:val="none" w:sz="0" w:space="0" w:color="auto"/>
      </w:divBdr>
    </w:div>
    <w:div w:id="357968119">
      <w:bodyDiv w:val="1"/>
      <w:marLeft w:val="0"/>
      <w:marRight w:val="0"/>
      <w:marTop w:val="0"/>
      <w:marBottom w:val="0"/>
      <w:divBdr>
        <w:top w:val="none" w:sz="0" w:space="0" w:color="auto"/>
        <w:left w:val="none" w:sz="0" w:space="0" w:color="auto"/>
        <w:bottom w:val="none" w:sz="0" w:space="0" w:color="auto"/>
        <w:right w:val="none" w:sz="0" w:space="0" w:color="auto"/>
      </w:divBdr>
    </w:div>
    <w:div w:id="358119964">
      <w:bodyDiv w:val="1"/>
      <w:marLeft w:val="0"/>
      <w:marRight w:val="0"/>
      <w:marTop w:val="0"/>
      <w:marBottom w:val="0"/>
      <w:divBdr>
        <w:top w:val="none" w:sz="0" w:space="0" w:color="auto"/>
        <w:left w:val="none" w:sz="0" w:space="0" w:color="auto"/>
        <w:bottom w:val="none" w:sz="0" w:space="0" w:color="auto"/>
        <w:right w:val="none" w:sz="0" w:space="0" w:color="auto"/>
      </w:divBdr>
      <w:divsChild>
        <w:div w:id="485585398">
          <w:marLeft w:val="0"/>
          <w:marRight w:val="0"/>
          <w:marTop w:val="0"/>
          <w:marBottom w:val="0"/>
          <w:divBdr>
            <w:top w:val="none" w:sz="0" w:space="0" w:color="auto"/>
            <w:left w:val="none" w:sz="0" w:space="0" w:color="auto"/>
            <w:bottom w:val="none" w:sz="0" w:space="0" w:color="auto"/>
            <w:right w:val="none" w:sz="0" w:space="0" w:color="auto"/>
          </w:divBdr>
          <w:divsChild>
            <w:div w:id="1971478485">
              <w:marLeft w:val="0"/>
              <w:marRight w:val="0"/>
              <w:marTop w:val="0"/>
              <w:marBottom w:val="0"/>
              <w:divBdr>
                <w:top w:val="single" w:sz="6" w:space="11" w:color="FCFCFC"/>
                <w:left w:val="single" w:sz="6" w:space="11" w:color="ECECEC"/>
                <w:bottom w:val="single" w:sz="6" w:space="4" w:color="ECECEC"/>
                <w:right w:val="single" w:sz="6" w:space="11" w:color="ECECEC"/>
              </w:divBdr>
              <w:divsChild>
                <w:div w:id="7572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00498">
      <w:bodyDiv w:val="1"/>
      <w:marLeft w:val="0"/>
      <w:marRight w:val="0"/>
      <w:marTop w:val="0"/>
      <w:marBottom w:val="0"/>
      <w:divBdr>
        <w:top w:val="none" w:sz="0" w:space="0" w:color="auto"/>
        <w:left w:val="none" w:sz="0" w:space="0" w:color="auto"/>
        <w:bottom w:val="none" w:sz="0" w:space="0" w:color="auto"/>
        <w:right w:val="none" w:sz="0" w:space="0" w:color="auto"/>
      </w:divBdr>
    </w:div>
    <w:div w:id="401103092">
      <w:bodyDiv w:val="1"/>
      <w:marLeft w:val="0"/>
      <w:marRight w:val="0"/>
      <w:marTop w:val="0"/>
      <w:marBottom w:val="0"/>
      <w:divBdr>
        <w:top w:val="none" w:sz="0" w:space="0" w:color="auto"/>
        <w:left w:val="none" w:sz="0" w:space="0" w:color="auto"/>
        <w:bottom w:val="none" w:sz="0" w:space="0" w:color="auto"/>
        <w:right w:val="none" w:sz="0" w:space="0" w:color="auto"/>
      </w:divBdr>
    </w:div>
    <w:div w:id="430587294">
      <w:bodyDiv w:val="1"/>
      <w:marLeft w:val="0"/>
      <w:marRight w:val="0"/>
      <w:marTop w:val="0"/>
      <w:marBottom w:val="0"/>
      <w:divBdr>
        <w:top w:val="none" w:sz="0" w:space="0" w:color="auto"/>
        <w:left w:val="none" w:sz="0" w:space="0" w:color="auto"/>
        <w:bottom w:val="none" w:sz="0" w:space="0" w:color="auto"/>
        <w:right w:val="none" w:sz="0" w:space="0" w:color="auto"/>
      </w:divBdr>
    </w:div>
    <w:div w:id="472406364">
      <w:bodyDiv w:val="1"/>
      <w:marLeft w:val="0"/>
      <w:marRight w:val="0"/>
      <w:marTop w:val="0"/>
      <w:marBottom w:val="0"/>
      <w:divBdr>
        <w:top w:val="none" w:sz="0" w:space="0" w:color="auto"/>
        <w:left w:val="none" w:sz="0" w:space="0" w:color="auto"/>
        <w:bottom w:val="none" w:sz="0" w:space="0" w:color="auto"/>
        <w:right w:val="none" w:sz="0" w:space="0" w:color="auto"/>
      </w:divBdr>
    </w:div>
    <w:div w:id="875507410">
      <w:bodyDiv w:val="1"/>
      <w:marLeft w:val="0"/>
      <w:marRight w:val="0"/>
      <w:marTop w:val="0"/>
      <w:marBottom w:val="0"/>
      <w:divBdr>
        <w:top w:val="none" w:sz="0" w:space="0" w:color="auto"/>
        <w:left w:val="none" w:sz="0" w:space="0" w:color="auto"/>
        <w:bottom w:val="none" w:sz="0" w:space="0" w:color="auto"/>
        <w:right w:val="none" w:sz="0" w:space="0" w:color="auto"/>
      </w:divBdr>
    </w:div>
    <w:div w:id="930743077">
      <w:bodyDiv w:val="1"/>
      <w:marLeft w:val="0"/>
      <w:marRight w:val="0"/>
      <w:marTop w:val="0"/>
      <w:marBottom w:val="0"/>
      <w:divBdr>
        <w:top w:val="none" w:sz="0" w:space="0" w:color="auto"/>
        <w:left w:val="none" w:sz="0" w:space="0" w:color="auto"/>
        <w:bottom w:val="none" w:sz="0" w:space="0" w:color="auto"/>
        <w:right w:val="none" w:sz="0" w:space="0" w:color="auto"/>
      </w:divBdr>
    </w:div>
    <w:div w:id="1172529137">
      <w:bodyDiv w:val="1"/>
      <w:marLeft w:val="0"/>
      <w:marRight w:val="0"/>
      <w:marTop w:val="0"/>
      <w:marBottom w:val="0"/>
      <w:divBdr>
        <w:top w:val="none" w:sz="0" w:space="0" w:color="auto"/>
        <w:left w:val="none" w:sz="0" w:space="0" w:color="auto"/>
        <w:bottom w:val="none" w:sz="0" w:space="0" w:color="auto"/>
        <w:right w:val="none" w:sz="0" w:space="0" w:color="auto"/>
      </w:divBdr>
    </w:div>
    <w:div w:id="1283077359">
      <w:bodyDiv w:val="1"/>
      <w:marLeft w:val="0"/>
      <w:marRight w:val="0"/>
      <w:marTop w:val="0"/>
      <w:marBottom w:val="0"/>
      <w:divBdr>
        <w:top w:val="none" w:sz="0" w:space="0" w:color="auto"/>
        <w:left w:val="none" w:sz="0" w:space="0" w:color="auto"/>
        <w:bottom w:val="none" w:sz="0" w:space="0" w:color="auto"/>
        <w:right w:val="none" w:sz="0" w:space="0" w:color="auto"/>
      </w:divBdr>
      <w:divsChild>
        <w:div w:id="1028872330">
          <w:marLeft w:val="0"/>
          <w:marRight w:val="0"/>
          <w:marTop w:val="0"/>
          <w:marBottom w:val="0"/>
          <w:divBdr>
            <w:top w:val="none" w:sz="0" w:space="0" w:color="auto"/>
            <w:left w:val="none" w:sz="0" w:space="0" w:color="auto"/>
            <w:bottom w:val="none" w:sz="0" w:space="0" w:color="auto"/>
            <w:right w:val="none" w:sz="0" w:space="0" w:color="auto"/>
          </w:divBdr>
          <w:divsChild>
            <w:div w:id="285283765">
              <w:marLeft w:val="0"/>
              <w:marRight w:val="0"/>
              <w:marTop w:val="0"/>
              <w:marBottom w:val="0"/>
              <w:divBdr>
                <w:top w:val="none" w:sz="0" w:space="0" w:color="auto"/>
                <w:left w:val="none" w:sz="0" w:space="0" w:color="auto"/>
                <w:bottom w:val="none" w:sz="0" w:space="0" w:color="auto"/>
                <w:right w:val="none" w:sz="0" w:space="0" w:color="auto"/>
              </w:divBdr>
              <w:divsChild>
                <w:div w:id="1117607128">
                  <w:marLeft w:val="0"/>
                  <w:marRight w:val="0"/>
                  <w:marTop w:val="0"/>
                  <w:marBottom w:val="0"/>
                  <w:divBdr>
                    <w:top w:val="none" w:sz="0" w:space="0" w:color="auto"/>
                    <w:left w:val="none" w:sz="0" w:space="0" w:color="auto"/>
                    <w:bottom w:val="none" w:sz="0" w:space="0" w:color="auto"/>
                    <w:right w:val="none" w:sz="0" w:space="0" w:color="auto"/>
                  </w:divBdr>
                  <w:divsChild>
                    <w:div w:id="1300454091">
                      <w:marLeft w:val="0"/>
                      <w:marRight w:val="0"/>
                      <w:marTop w:val="0"/>
                      <w:marBottom w:val="0"/>
                      <w:divBdr>
                        <w:top w:val="none" w:sz="0" w:space="0" w:color="auto"/>
                        <w:left w:val="none" w:sz="0" w:space="0" w:color="auto"/>
                        <w:bottom w:val="none" w:sz="0" w:space="0" w:color="auto"/>
                        <w:right w:val="none" w:sz="0" w:space="0" w:color="auto"/>
                      </w:divBdr>
                      <w:divsChild>
                        <w:div w:id="704061431">
                          <w:marLeft w:val="0"/>
                          <w:marRight w:val="0"/>
                          <w:marTop w:val="0"/>
                          <w:marBottom w:val="0"/>
                          <w:divBdr>
                            <w:top w:val="none" w:sz="0" w:space="0" w:color="auto"/>
                            <w:left w:val="none" w:sz="0" w:space="0" w:color="auto"/>
                            <w:bottom w:val="none" w:sz="0" w:space="0" w:color="auto"/>
                            <w:right w:val="none" w:sz="0" w:space="0" w:color="auto"/>
                          </w:divBdr>
                          <w:divsChild>
                            <w:div w:id="289945281">
                              <w:marLeft w:val="0"/>
                              <w:marRight w:val="0"/>
                              <w:marTop w:val="0"/>
                              <w:marBottom w:val="0"/>
                              <w:divBdr>
                                <w:top w:val="none" w:sz="0" w:space="0" w:color="auto"/>
                                <w:left w:val="none" w:sz="0" w:space="0" w:color="auto"/>
                                <w:bottom w:val="none" w:sz="0" w:space="0" w:color="auto"/>
                                <w:right w:val="none" w:sz="0" w:space="0" w:color="auto"/>
                              </w:divBdr>
                              <w:divsChild>
                                <w:div w:id="1297493489">
                                  <w:marLeft w:val="0"/>
                                  <w:marRight w:val="0"/>
                                  <w:marTop w:val="0"/>
                                  <w:marBottom w:val="0"/>
                                  <w:divBdr>
                                    <w:top w:val="none" w:sz="0" w:space="0" w:color="auto"/>
                                    <w:left w:val="none" w:sz="0" w:space="0" w:color="auto"/>
                                    <w:bottom w:val="none" w:sz="0" w:space="0" w:color="auto"/>
                                    <w:right w:val="none" w:sz="0" w:space="0" w:color="auto"/>
                                  </w:divBdr>
                                  <w:divsChild>
                                    <w:div w:id="1274903916">
                                      <w:marLeft w:val="0"/>
                                      <w:marRight w:val="0"/>
                                      <w:marTop w:val="0"/>
                                      <w:marBottom w:val="0"/>
                                      <w:divBdr>
                                        <w:top w:val="none" w:sz="0" w:space="0" w:color="auto"/>
                                        <w:left w:val="none" w:sz="0" w:space="0" w:color="auto"/>
                                        <w:bottom w:val="none" w:sz="0" w:space="0" w:color="auto"/>
                                        <w:right w:val="none" w:sz="0" w:space="0" w:color="auto"/>
                                      </w:divBdr>
                                      <w:divsChild>
                                        <w:div w:id="1245644185">
                                          <w:marLeft w:val="0"/>
                                          <w:marRight w:val="0"/>
                                          <w:marTop w:val="0"/>
                                          <w:marBottom w:val="0"/>
                                          <w:divBdr>
                                            <w:top w:val="none" w:sz="0" w:space="0" w:color="auto"/>
                                            <w:left w:val="none" w:sz="0" w:space="0" w:color="auto"/>
                                            <w:bottom w:val="none" w:sz="0" w:space="0" w:color="auto"/>
                                            <w:right w:val="none" w:sz="0" w:space="0" w:color="auto"/>
                                          </w:divBdr>
                                          <w:divsChild>
                                            <w:div w:id="1035278910">
                                              <w:marLeft w:val="0"/>
                                              <w:marRight w:val="0"/>
                                              <w:marTop w:val="0"/>
                                              <w:marBottom w:val="0"/>
                                              <w:divBdr>
                                                <w:top w:val="none" w:sz="0" w:space="0" w:color="auto"/>
                                                <w:left w:val="none" w:sz="0" w:space="0" w:color="auto"/>
                                                <w:bottom w:val="none" w:sz="0" w:space="0" w:color="auto"/>
                                                <w:right w:val="none" w:sz="0" w:space="0" w:color="auto"/>
                                              </w:divBdr>
                                              <w:divsChild>
                                                <w:div w:id="1749309738">
                                                  <w:marLeft w:val="0"/>
                                                  <w:marRight w:val="0"/>
                                                  <w:marTop w:val="0"/>
                                                  <w:marBottom w:val="0"/>
                                                  <w:divBdr>
                                                    <w:top w:val="none" w:sz="0" w:space="0" w:color="auto"/>
                                                    <w:left w:val="none" w:sz="0" w:space="0" w:color="auto"/>
                                                    <w:bottom w:val="none" w:sz="0" w:space="0" w:color="auto"/>
                                                    <w:right w:val="none" w:sz="0" w:space="0" w:color="auto"/>
                                                  </w:divBdr>
                                                  <w:divsChild>
                                                    <w:div w:id="153111119">
                                                      <w:marLeft w:val="0"/>
                                                      <w:marRight w:val="0"/>
                                                      <w:marTop w:val="0"/>
                                                      <w:marBottom w:val="0"/>
                                                      <w:divBdr>
                                                        <w:top w:val="none" w:sz="0" w:space="0" w:color="auto"/>
                                                        <w:left w:val="none" w:sz="0" w:space="0" w:color="auto"/>
                                                        <w:bottom w:val="none" w:sz="0" w:space="0" w:color="auto"/>
                                                        <w:right w:val="none" w:sz="0" w:space="0" w:color="auto"/>
                                                      </w:divBdr>
                                                      <w:divsChild>
                                                        <w:div w:id="1901209526">
                                                          <w:marLeft w:val="0"/>
                                                          <w:marRight w:val="0"/>
                                                          <w:marTop w:val="0"/>
                                                          <w:marBottom w:val="0"/>
                                                          <w:divBdr>
                                                            <w:top w:val="none" w:sz="0" w:space="0" w:color="auto"/>
                                                            <w:left w:val="none" w:sz="0" w:space="0" w:color="auto"/>
                                                            <w:bottom w:val="none" w:sz="0" w:space="0" w:color="auto"/>
                                                            <w:right w:val="none" w:sz="0" w:space="0" w:color="auto"/>
                                                          </w:divBdr>
                                                          <w:divsChild>
                                                            <w:div w:id="1086684545">
                                                              <w:marLeft w:val="0"/>
                                                              <w:marRight w:val="0"/>
                                                              <w:marTop w:val="0"/>
                                                              <w:marBottom w:val="0"/>
                                                              <w:divBdr>
                                                                <w:top w:val="none" w:sz="0" w:space="0" w:color="auto"/>
                                                                <w:left w:val="none" w:sz="0" w:space="0" w:color="auto"/>
                                                                <w:bottom w:val="none" w:sz="0" w:space="0" w:color="auto"/>
                                                                <w:right w:val="none" w:sz="0" w:space="0" w:color="auto"/>
                                                              </w:divBdr>
                                                              <w:divsChild>
                                                                <w:div w:id="651912160">
                                                                  <w:marLeft w:val="480"/>
                                                                  <w:marRight w:val="0"/>
                                                                  <w:marTop w:val="0"/>
                                                                  <w:marBottom w:val="0"/>
                                                                  <w:divBdr>
                                                                    <w:top w:val="none" w:sz="0" w:space="0" w:color="auto"/>
                                                                    <w:left w:val="none" w:sz="0" w:space="0" w:color="auto"/>
                                                                    <w:bottom w:val="none" w:sz="0" w:space="0" w:color="auto"/>
                                                                    <w:right w:val="none" w:sz="0" w:space="0" w:color="auto"/>
                                                                  </w:divBdr>
                                                                  <w:divsChild>
                                                                    <w:div w:id="1088041054">
                                                                      <w:marLeft w:val="0"/>
                                                                      <w:marRight w:val="0"/>
                                                                      <w:marTop w:val="0"/>
                                                                      <w:marBottom w:val="0"/>
                                                                      <w:divBdr>
                                                                        <w:top w:val="none" w:sz="0" w:space="0" w:color="auto"/>
                                                                        <w:left w:val="none" w:sz="0" w:space="0" w:color="auto"/>
                                                                        <w:bottom w:val="none" w:sz="0" w:space="0" w:color="auto"/>
                                                                        <w:right w:val="none" w:sz="0" w:space="0" w:color="auto"/>
                                                                      </w:divBdr>
                                                                      <w:divsChild>
                                                                        <w:div w:id="1440030253">
                                                                          <w:marLeft w:val="0"/>
                                                                          <w:marRight w:val="0"/>
                                                                          <w:marTop w:val="0"/>
                                                                          <w:marBottom w:val="0"/>
                                                                          <w:divBdr>
                                                                            <w:top w:val="none" w:sz="0" w:space="0" w:color="auto"/>
                                                                            <w:left w:val="none" w:sz="0" w:space="0" w:color="auto"/>
                                                                            <w:bottom w:val="none" w:sz="0" w:space="0" w:color="auto"/>
                                                                            <w:right w:val="none" w:sz="0" w:space="0" w:color="auto"/>
                                                                          </w:divBdr>
                                                                          <w:divsChild>
                                                                            <w:div w:id="1909266376">
                                                                              <w:marLeft w:val="0"/>
                                                                              <w:marRight w:val="0"/>
                                                                              <w:marTop w:val="0"/>
                                                                              <w:marBottom w:val="0"/>
                                                                              <w:divBdr>
                                                                                <w:top w:val="none" w:sz="0" w:space="0" w:color="auto"/>
                                                                                <w:left w:val="none" w:sz="0" w:space="0" w:color="auto"/>
                                                                                <w:bottom w:val="none" w:sz="0" w:space="0" w:color="auto"/>
                                                                                <w:right w:val="none" w:sz="0" w:space="0" w:color="auto"/>
                                                                              </w:divBdr>
                                                                              <w:divsChild>
                                                                                <w:div w:id="1843080528">
                                                                                  <w:marLeft w:val="0"/>
                                                                                  <w:marRight w:val="0"/>
                                                                                  <w:marTop w:val="0"/>
                                                                                  <w:marBottom w:val="0"/>
                                                                                  <w:divBdr>
                                                                                    <w:top w:val="none" w:sz="0" w:space="0" w:color="auto"/>
                                                                                    <w:left w:val="none" w:sz="0" w:space="0" w:color="auto"/>
                                                                                    <w:bottom w:val="none" w:sz="0" w:space="0" w:color="auto"/>
                                                                                    <w:right w:val="none" w:sz="0" w:space="0" w:color="auto"/>
                                                                                  </w:divBdr>
                                                                                  <w:divsChild>
                                                                                    <w:div w:id="808398100">
                                                                                      <w:marLeft w:val="0"/>
                                                                                      <w:marRight w:val="0"/>
                                                                                      <w:marTop w:val="0"/>
                                                                                      <w:marBottom w:val="0"/>
                                                                                      <w:divBdr>
                                                                                        <w:top w:val="none" w:sz="0" w:space="0" w:color="auto"/>
                                                                                        <w:left w:val="none" w:sz="0" w:space="0" w:color="auto"/>
                                                                                        <w:bottom w:val="none" w:sz="0" w:space="0" w:color="auto"/>
                                                                                        <w:right w:val="none" w:sz="0" w:space="0" w:color="auto"/>
                                                                                      </w:divBdr>
                                                                                      <w:divsChild>
                                                                                        <w:div w:id="1140533622">
                                                                                          <w:marLeft w:val="0"/>
                                                                                          <w:marRight w:val="0"/>
                                                                                          <w:marTop w:val="240"/>
                                                                                          <w:marBottom w:val="0"/>
                                                                                          <w:divBdr>
                                                                                            <w:top w:val="none" w:sz="0" w:space="0" w:color="auto"/>
                                                                                            <w:left w:val="none" w:sz="0" w:space="0" w:color="auto"/>
                                                                                            <w:bottom w:val="single" w:sz="6" w:space="23" w:color="auto"/>
                                                                                            <w:right w:val="none" w:sz="0" w:space="0" w:color="auto"/>
                                                                                          </w:divBdr>
                                                                                          <w:divsChild>
                                                                                            <w:div w:id="523059907">
                                                                                              <w:marLeft w:val="0"/>
                                                                                              <w:marRight w:val="0"/>
                                                                                              <w:marTop w:val="0"/>
                                                                                              <w:marBottom w:val="0"/>
                                                                                              <w:divBdr>
                                                                                                <w:top w:val="none" w:sz="0" w:space="0" w:color="auto"/>
                                                                                                <w:left w:val="none" w:sz="0" w:space="0" w:color="auto"/>
                                                                                                <w:bottom w:val="none" w:sz="0" w:space="0" w:color="auto"/>
                                                                                                <w:right w:val="none" w:sz="0" w:space="0" w:color="auto"/>
                                                                                              </w:divBdr>
                                                                                              <w:divsChild>
                                                                                                <w:div w:id="1843471220">
                                                                                                  <w:marLeft w:val="0"/>
                                                                                                  <w:marRight w:val="0"/>
                                                                                                  <w:marTop w:val="0"/>
                                                                                                  <w:marBottom w:val="0"/>
                                                                                                  <w:divBdr>
                                                                                                    <w:top w:val="none" w:sz="0" w:space="0" w:color="auto"/>
                                                                                                    <w:left w:val="none" w:sz="0" w:space="0" w:color="auto"/>
                                                                                                    <w:bottom w:val="none" w:sz="0" w:space="0" w:color="auto"/>
                                                                                                    <w:right w:val="none" w:sz="0" w:space="0" w:color="auto"/>
                                                                                                  </w:divBdr>
                                                                                                  <w:divsChild>
                                                                                                    <w:div w:id="1531646156">
                                                                                                      <w:marLeft w:val="0"/>
                                                                                                      <w:marRight w:val="0"/>
                                                                                                      <w:marTop w:val="0"/>
                                                                                                      <w:marBottom w:val="0"/>
                                                                                                      <w:divBdr>
                                                                                                        <w:top w:val="none" w:sz="0" w:space="0" w:color="auto"/>
                                                                                                        <w:left w:val="none" w:sz="0" w:space="0" w:color="auto"/>
                                                                                                        <w:bottom w:val="none" w:sz="0" w:space="0" w:color="auto"/>
                                                                                                        <w:right w:val="none" w:sz="0" w:space="0" w:color="auto"/>
                                                                                                      </w:divBdr>
                                                                                                      <w:divsChild>
                                                                                                        <w:div w:id="1991061379">
                                                                                                          <w:marLeft w:val="0"/>
                                                                                                          <w:marRight w:val="0"/>
                                                                                                          <w:marTop w:val="0"/>
                                                                                                          <w:marBottom w:val="0"/>
                                                                                                          <w:divBdr>
                                                                                                            <w:top w:val="none" w:sz="0" w:space="0" w:color="auto"/>
                                                                                                            <w:left w:val="none" w:sz="0" w:space="0" w:color="auto"/>
                                                                                                            <w:bottom w:val="none" w:sz="0" w:space="0" w:color="auto"/>
                                                                                                            <w:right w:val="none" w:sz="0" w:space="0" w:color="auto"/>
                                                                                                          </w:divBdr>
                                                                                                          <w:divsChild>
                                                                                                            <w:div w:id="603655776">
                                                                                                              <w:marLeft w:val="0"/>
                                                                                                              <w:marRight w:val="0"/>
                                                                                                              <w:marTop w:val="0"/>
                                                                                                              <w:marBottom w:val="0"/>
                                                                                                              <w:divBdr>
                                                                                                                <w:top w:val="none" w:sz="0" w:space="0" w:color="auto"/>
                                                                                                                <w:left w:val="none" w:sz="0" w:space="0" w:color="auto"/>
                                                                                                                <w:bottom w:val="none" w:sz="0" w:space="0" w:color="auto"/>
                                                                                                                <w:right w:val="none" w:sz="0" w:space="0" w:color="auto"/>
                                                                                                              </w:divBdr>
                                                                                                              <w:divsChild>
                                                                                                                <w:div w:id="1903369666">
                                                                                                                  <w:marLeft w:val="0"/>
                                                                                                                  <w:marRight w:val="0"/>
                                                                                                                  <w:marTop w:val="0"/>
                                                                                                                  <w:marBottom w:val="0"/>
                                                                                                                  <w:divBdr>
                                                                                                                    <w:top w:val="none" w:sz="0" w:space="0" w:color="auto"/>
                                                                                                                    <w:left w:val="none" w:sz="0" w:space="0" w:color="auto"/>
                                                                                                                    <w:bottom w:val="none" w:sz="0" w:space="0" w:color="auto"/>
                                                                                                                    <w:right w:val="none" w:sz="0" w:space="0" w:color="auto"/>
                                                                                                                  </w:divBdr>
                                                                                                                  <w:divsChild>
                                                                                                                    <w:div w:id="1794711767">
                                                                                                                      <w:marLeft w:val="0"/>
                                                                                                                      <w:marRight w:val="0"/>
                                                                                                                      <w:marTop w:val="0"/>
                                                                                                                      <w:marBottom w:val="0"/>
                                                                                                                      <w:divBdr>
                                                                                                                        <w:top w:val="none" w:sz="0" w:space="0" w:color="auto"/>
                                                                                                                        <w:left w:val="none" w:sz="0" w:space="0" w:color="auto"/>
                                                                                                                        <w:bottom w:val="none" w:sz="0" w:space="0" w:color="auto"/>
                                                                                                                        <w:right w:val="none" w:sz="0" w:space="0" w:color="auto"/>
                                                                                                                      </w:divBdr>
                                                                                                                      <w:divsChild>
                                                                                                                        <w:div w:id="2026665229">
                                                                                                                          <w:marLeft w:val="0"/>
                                                                                                                          <w:marRight w:val="0"/>
                                                                                                                          <w:marTop w:val="0"/>
                                                                                                                          <w:marBottom w:val="0"/>
                                                                                                                          <w:divBdr>
                                                                                                                            <w:top w:val="none" w:sz="0" w:space="0" w:color="auto"/>
                                                                                                                            <w:left w:val="none" w:sz="0" w:space="0" w:color="auto"/>
                                                                                                                            <w:bottom w:val="none" w:sz="0" w:space="0" w:color="auto"/>
                                                                                                                            <w:right w:val="none" w:sz="0" w:space="0" w:color="auto"/>
                                                                                                                          </w:divBdr>
                                                                                                                        </w:div>
                                                                                                                        <w:div w:id="787046579">
                                                                                                                          <w:marLeft w:val="0"/>
                                                                                                                          <w:marRight w:val="0"/>
                                                                                                                          <w:marTop w:val="0"/>
                                                                                                                          <w:marBottom w:val="0"/>
                                                                                                                          <w:divBdr>
                                                                                                                            <w:top w:val="none" w:sz="0" w:space="0" w:color="auto"/>
                                                                                                                            <w:left w:val="none" w:sz="0" w:space="0" w:color="auto"/>
                                                                                                                            <w:bottom w:val="none" w:sz="0" w:space="0" w:color="auto"/>
                                                                                                                            <w:right w:val="none" w:sz="0" w:space="0" w:color="auto"/>
                                                                                                                          </w:divBdr>
                                                                                                                        </w:div>
                                                                                                                        <w:div w:id="1428848271">
                                                                                                                          <w:marLeft w:val="0"/>
                                                                                                                          <w:marRight w:val="0"/>
                                                                                                                          <w:marTop w:val="0"/>
                                                                                                                          <w:marBottom w:val="0"/>
                                                                                                                          <w:divBdr>
                                                                                                                            <w:top w:val="none" w:sz="0" w:space="0" w:color="auto"/>
                                                                                                                            <w:left w:val="none" w:sz="0" w:space="0" w:color="auto"/>
                                                                                                                            <w:bottom w:val="none" w:sz="0" w:space="0" w:color="auto"/>
                                                                                                                            <w:right w:val="none" w:sz="0" w:space="0" w:color="auto"/>
                                                                                                                          </w:divBdr>
                                                                                                                        </w:div>
                                                                                                                        <w:div w:id="1516261741">
                                                                                                                          <w:marLeft w:val="0"/>
                                                                                                                          <w:marRight w:val="0"/>
                                                                                                                          <w:marTop w:val="0"/>
                                                                                                                          <w:marBottom w:val="0"/>
                                                                                                                          <w:divBdr>
                                                                                                                            <w:top w:val="none" w:sz="0" w:space="0" w:color="auto"/>
                                                                                                                            <w:left w:val="none" w:sz="0" w:space="0" w:color="auto"/>
                                                                                                                            <w:bottom w:val="none" w:sz="0" w:space="0" w:color="auto"/>
                                                                                                                            <w:right w:val="none" w:sz="0" w:space="0" w:color="auto"/>
                                                                                                                          </w:divBdr>
                                                                                                                        </w:div>
                                                                                                                        <w:div w:id="1495343743">
                                                                                                                          <w:marLeft w:val="0"/>
                                                                                                                          <w:marRight w:val="0"/>
                                                                                                                          <w:marTop w:val="0"/>
                                                                                                                          <w:marBottom w:val="0"/>
                                                                                                                          <w:divBdr>
                                                                                                                            <w:top w:val="none" w:sz="0" w:space="0" w:color="auto"/>
                                                                                                                            <w:left w:val="none" w:sz="0" w:space="0" w:color="auto"/>
                                                                                                                            <w:bottom w:val="none" w:sz="0" w:space="0" w:color="auto"/>
                                                                                                                            <w:right w:val="none" w:sz="0" w:space="0" w:color="auto"/>
                                                                                                                          </w:divBdr>
                                                                                                                        </w:div>
                                                                                                                        <w:div w:id="1659109964">
                                                                                                                          <w:marLeft w:val="0"/>
                                                                                                                          <w:marRight w:val="0"/>
                                                                                                                          <w:marTop w:val="0"/>
                                                                                                                          <w:marBottom w:val="0"/>
                                                                                                                          <w:divBdr>
                                                                                                                            <w:top w:val="none" w:sz="0" w:space="0" w:color="auto"/>
                                                                                                                            <w:left w:val="none" w:sz="0" w:space="0" w:color="auto"/>
                                                                                                                            <w:bottom w:val="none" w:sz="0" w:space="0" w:color="auto"/>
                                                                                                                            <w:right w:val="none" w:sz="0" w:space="0" w:color="auto"/>
                                                                                                                          </w:divBdr>
                                                                                                                        </w:div>
                                                                                                                        <w:div w:id="847521211">
                                                                                                                          <w:marLeft w:val="0"/>
                                                                                                                          <w:marRight w:val="0"/>
                                                                                                                          <w:marTop w:val="0"/>
                                                                                                                          <w:marBottom w:val="0"/>
                                                                                                                          <w:divBdr>
                                                                                                                            <w:top w:val="none" w:sz="0" w:space="0" w:color="auto"/>
                                                                                                                            <w:left w:val="none" w:sz="0" w:space="0" w:color="auto"/>
                                                                                                                            <w:bottom w:val="none" w:sz="0" w:space="0" w:color="auto"/>
                                                                                                                            <w:right w:val="none" w:sz="0" w:space="0" w:color="auto"/>
                                                                                                                          </w:divBdr>
                                                                                                                        </w:div>
                                                                                                                        <w:div w:id="54663301">
                                                                                                                          <w:marLeft w:val="0"/>
                                                                                                                          <w:marRight w:val="0"/>
                                                                                                                          <w:marTop w:val="0"/>
                                                                                                                          <w:marBottom w:val="0"/>
                                                                                                                          <w:divBdr>
                                                                                                                            <w:top w:val="none" w:sz="0" w:space="0" w:color="auto"/>
                                                                                                                            <w:left w:val="none" w:sz="0" w:space="0" w:color="auto"/>
                                                                                                                            <w:bottom w:val="none" w:sz="0" w:space="0" w:color="auto"/>
                                                                                                                            <w:right w:val="none" w:sz="0" w:space="0" w:color="auto"/>
                                                                                                                          </w:divBdr>
                                                                                                                        </w:div>
                                                                                                                        <w:div w:id="1098670618">
                                                                                                                          <w:marLeft w:val="0"/>
                                                                                                                          <w:marRight w:val="0"/>
                                                                                                                          <w:marTop w:val="0"/>
                                                                                                                          <w:marBottom w:val="0"/>
                                                                                                                          <w:divBdr>
                                                                                                                            <w:top w:val="none" w:sz="0" w:space="0" w:color="auto"/>
                                                                                                                            <w:left w:val="none" w:sz="0" w:space="0" w:color="auto"/>
                                                                                                                            <w:bottom w:val="none" w:sz="0" w:space="0" w:color="auto"/>
                                                                                                                            <w:right w:val="none" w:sz="0" w:space="0" w:color="auto"/>
                                                                                                                          </w:divBdr>
                                                                                                                        </w:div>
                                                                                                                        <w:div w:id="591165401">
                                                                                                                          <w:marLeft w:val="0"/>
                                                                                                                          <w:marRight w:val="0"/>
                                                                                                                          <w:marTop w:val="0"/>
                                                                                                                          <w:marBottom w:val="0"/>
                                                                                                                          <w:divBdr>
                                                                                                                            <w:top w:val="none" w:sz="0" w:space="0" w:color="auto"/>
                                                                                                                            <w:left w:val="none" w:sz="0" w:space="0" w:color="auto"/>
                                                                                                                            <w:bottom w:val="none" w:sz="0" w:space="0" w:color="auto"/>
                                                                                                                            <w:right w:val="none" w:sz="0" w:space="0" w:color="auto"/>
                                                                                                                          </w:divBdr>
                                                                                                                        </w:div>
                                                                                                                        <w:div w:id="2095349155">
                                                                                                                          <w:marLeft w:val="0"/>
                                                                                                                          <w:marRight w:val="0"/>
                                                                                                                          <w:marTop w:val="0"/>
                                                                                                                          <w:marBottom w:val="0"/>
                                                                                                                          <w:divBdr>
                                                                                                                            <w:top w:val="none" w:sz="0" w:space="0" w:color="auto"/>
                                                                                                                            <w:left w:val="none" w:sz="0" w:space="0" w:color="auto"/>
                                                                                                                            <w:bottom w:val="none" w:sz="0" w:space="0" w:color="auto"/>
                                                                                                                            <w:right w:val="none" w:sz="0" w:space="0" w:color="auto"/>
                                                                                                                          </w:divBdr>
                                                                                                                        </w:div>
                                                                                                                        <w:div w:id="19027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71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idmws/common/OpenNat.asp?fileID=15053916" TargetMode="External"/><Relationship Id="rId2" Type="http://schemas.openxmlformats.org/officeDocument/2006/relationships/hyperlink" Target="https://elibrary.ferc.gov/idmws/common/OpenNat.asp?fileID=15053916" TargetMode="External"/><Relationship Id="rId1" Type="http://schemas.openxmlformats.org/officeDocument/2006/relationships/hyperlink" Target="https://elibrary.ferc.gov/idmws/common/OpenNat.asp?fileID=14469204" TargetMode="External"/><Relationship Id="rId6" Type="http://schemas.openxmlformats.org/officeDocument/2006/relationships/hyperlink" Target="https://www.bls.gov/news.release/ecec.nr0.htm" TargetMode="External"/><Relationship Id="rId5" Type="http://schemas.openxmlformats.org/officeDocument/2006/relationships/hyperlink" Target="http://www.bls.gov/oes/current/naics2_22.htm" TargetMode="External"/><Relationship Id="rId4" Type="http://schemas.openxmlformats.org/officeDocument/2006/relationships/hyperlink" Target="https://elibrary.ferc.gov/idmws/common/OpenNat.asp?fileID=150008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725R</_x0031__x002e__x0020_Collection_x0020_Number>
    <Date xmlns="d6eefc7d-9817-4fa6-84d5-3bc009be21b8">2019-03-08T05:00:00+00:00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RD18-7</_x0031__x002e__x0020_Docket_x0020_Number>
    <_x0033__x002e__x0020_Collection_x0020_Number xmlns="d6eefc7d-9817-4fa6-84d5-3bc009be21b8" xsi:nil="true"/>
  </documentManagement>
</p:properti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2.xml><?xml version="1.0" encoding="utf-8"?>
<ds:datastoreItem xmlns:ds="http://schemas.openxmlformats.org/officeDocument/2006/customXml" ds:itemID="{70FB0B40-BED7-468D-8DF6-FF4C5681C152}">
  <ds:schemaRefs>
    <ds:schemaRef ds:uri="http://schemas.microsoft.com/office/2006/metadata/customXsn"/>
  </ds:schemaRefs>
</ds:datastoreItem>
</file>

<file path=customXml/itemProps3.xml><?xml version="1.0" encoding="utf-8"?>
<ds:datastoreItem xmlns:ds="http://schemas.openxmlformats.org/officeDocument/2006/customXml" ds:itemID="{341DE3BC-F762-4B72-A076-563524F1F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E70F4A-87E6-4221-8D2C-3B3AA38C812D}">
  <ds:schemaRefs>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d6eefc7d-9817-4fa6-84d5-3bc009be21b8"/>
    <ds:schemaRef ds:uri="http://purl.org/dc/dcmityp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96F783F0-ACE0-4D7F-96AF-DBDF9F9A071F}">
  <ds:schemaRefs>
    <ds:schemaRef ds:uri="Microsoft.SharePoint.Taxonomy.ContentTypeSync"/>
  </ds:schemaRefs>
</ds:datastoreItem>
</file>

<file path=customXml/itemProps6.xml><?xml version="1.0" encoding="utf-8"?>
<ds:datastoreItem xmlns:ds="http://schemas.openxmlformats.org/officeDocument/2006/customXml" ds:itemID="{87F24B19-B46A-4450-8A29-0F359FE56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2456</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accept changes--clean version</vt:lpstr>
    </vt:vector>
  </TitlesOfParts>
  <Company>Federal Energy Regulatory Commission</Company>
  <LinksUpToDate>false</LinksUpToDate>
  <CharactersWithSpaces>16424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 changes--clean version</dc:title>
  <dc:creator>Camilla Nader</dc:creator>
  <cp:lastModifiedBy>SYSTEM</cp:lastModifiedBy>
  <cp:revision>2</cp:revision>
  <cp:lastPrinted>2019-02-19T20:31:00Z</cp:lastPrinted>
  <dcterms:created xsi:type="dcterms:W3CDTF">2019-03-08T15:03:00Z</dcterms:created>
  <dcterms:modified xsi:type="dcterms:W3CDTF">2019-03-08T15:03:00Z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