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E7CA2" w14:textId="77777777" w:rsidR="00E74E9A" w:rsidRPr="0072782C" w:rsidRDefault="00E74E9A" w:rsidP="00E74E9A">
      <w:pPr>
        <w:jc w:val="center"/>
        <w:rPr>
          <w:szCs w:val="26"/>
        </w:rPr>
      </w:pPr>
      <w:bookmarkStart w:id="0" w:name="_GoBack"/>
      <w:bookmarkEnd w:id="0"/>
      <w:smartTag w:uri="urn:schemas-microsoft-com:office:smarttags" w:element="country-region">
        <w:smartTag w:uri="urn:schemas-microsoft-com:office:smarttags" w:element="place">
          <w:r w:rsidRPr="0072782C">
            <w:rPr>
              <w:szCs w:val="26"/>
            </w:rPr>
            <w:t>UNITED STATES OF AMERICA</w:t>
          </w:r>
        </w:smartTag>
      </w:smartTag>
    </w:p>
    <w:p w14:paraId="487E7CA3" w14:textId="77777777" w:rsidR="00E74E9A" w:rsidRPr="0072782C" w:rsidRDefault="00E74E9A" w:rsidP="00E74E9A">
      <w:pPr>
        <w:jc w:val="center"/>
        <w:rPr>
          <w:szCs w:val="26"/>
        </w:rPr>
      </w:pPr>
      <w:r w:rsidRPr="0072782C">
        <w:rPr>
          <w:szCs w:val="26"/>
        </w:rPr>
        <w:t>FEDERAL ENERGY REGULATORY COMMISSION</w:t>
      </w:r>
    </w:p>
    <w:p w14:paraId="487E7CA4" w14:textId="77777777" w:rsidR="00E74E9A" w:rsidRPr="0072782C" w:rsidRDefault="00E74E9A" w:rsidP="00E74E9A">
      <w:pPr>
        <w:jc w:val="center"/>
        <w:rPr>
          <w:szCs w:val="26"/>
        </w:rPr>
      </w:pPr>
    </w:p>
    <w:p w14:paraId="487E7CA5" w14:textId="77777777" w:rsidR="00E74E9A" w:rsidRPr="0072782C" w:rsidRDefault="00E74E9A" w:rsidP="00E74E9A">
      <w:pPr>
        <w:jc w:val="center"/>
        <w:rPr>
          <w:szCs w:val="26"/>
        </w:rPr>
      </w:pPr>
      <w:r w:rsidRPr="0072782C">
        <w:rPr>
          <w:szCs w:val="26"/>
        </w:rPr>
        <w:t>[</w:t>
      </w:r>
      <w:r w:rsidRPr="000F74C4">
        <w:rPr>
          <w:szCs w:val="26"/>
        </w:rPr>
        <w:t>Docket No. IC19-15-000</w:t>
      </w:r>
      <w:r w:rsidRPr="0072782C">
        <w:rPr>
          <w:szCs w:val="26"/>
        </w:rPr>
        <w:t>]</w:t>
      </w:r>
    </w:p>
    <w:p w14:paraId="487E7CA6" w14:textId="77777777" w:rsidR="00E74E9A" w:rsidRPr="0072782C" w:rsidRDefault="00E74E9A" w:rsidP="00E74E9A">
      <w:pPr>
        <w:jc w:val="center"/>
        <w:rPr>
          <w:szCs w:val="26"/>
        </w:rPr>
      </w:pPr>
    </w:p>
    <w:p w14:paraId="487E7CA7" w14:textId="77777777" w:rsidR="00E74E9A" w:rsidRPr="0072782C" w:rsidRDefault="00E74E9A" w:rsidP="00E74E9A">
      <w:pPr>
        <w:jc w:val="center"/>
        <w:rPr>
          <w:szCs w:val="26"/>
        </w:rPr>
      </w:pPr>
      <w:r w:rsidRPr="0072782C">
        <w:rPr>
          <w:szCs w:val="26"/>
        </w:rPr>
        <w:t xml:space="preserve">COMMISSION INFORMATION COLLECTION ACTIVITIES (FERC-730); </w:t>
      </w:r>
    </w:p>
    <w:p w14:paraId="487E7CA8" w14:textId="77777777" w:rsidR="00E74E9A" w:rsidRPr="0072782C" w:rsidRDefault="00E74E9A" w:rsidP="00E74E9A">
      <w:pPr>
        <w:jc w:val="center"/>
        <w:rPr>
          <w:szCs w:val="26"/>
        </w:rPr>
      </w:pPr>
      <w:r w:rsidRPr="0072782C">
        <w:rPr>
          <w:szCs w:val="26"/>
        </w:rPr>
        <w:t>COMMENT REQUEST; EXTENSION</w:t>
      </w:r>
    </w:p>
    <w:p w14:paraId="487E7CA9" w14:textId="77777777" w:rsidR="00E74E9A" w:rsidRDefault="00E74E9A" w:rsidP="00E74E9A">
      <w:pPr>
        <w:jc w:val="center"/>
        <w:rPr>
          <w:szCs w:val="26"/>
        </w:rPr>
      </w:pPr>
    </w:p>
    <w:p w14:paraId="487E7CAB" w14:textId="28F61F09" w:rsidR="00E74E9A" w:rsidRDefault="00F176E7" w:rsidP="00F176E7">
      <w:pPr>
        <w:jc w:val="center"/>
        <w:rPr>
          <w:szCs w:val="26"/>
        </w:rPr>
      </w:pPr>
      <w:r w:rsidRPr="00F176E7">
        <w:rPr>
          <w:szCs w:val="26"/>
        </w:rPr>
        <w:t>(April 30, 2019)</w:t>
      </w:r>
    </w:p>
    <w:p w14:paraId="487E7CAC" w14:textId="77777777" w:rsidR="00E74E9A" w:rsidRDefault="00E74E9A" w:rsidP="00E74E9A">
      <w:pPr>
        <w:jc w:val="center"/>
        <w:rPr>
          <w:szCs w:val="26"/>
        </w:rPr>
      </w:pPr>
    </w:p>
    <w:p w14:paraId="487E7CAD" w14:textId="77777777" w:rsidR="00E74E9A" w:rsidRPr="000D3C5E" w:rsidRDefault="00E74E9A" w:rsidP="00E74E9A">
      <w:pPr>
        <w:spacing w:line="480" w:lineRule="auto"/>
      </w:pPr>
      <w:r w:rsidRPr="00F176E7">
        <w:rPr>
          <w:u w:val="single"/>
        </w:rPr>
        <w:t>AGENCY</w:t>
      </w:r>
      <w:r w:rsidRPr="000D3C5E">
        <w:rPr>
          <w:b/>
        </w:rPr>
        <w:t>:</w:t>
      </w:r>
      <w:r w:rsidRPr="000D3C5E">
        <w:t xml:space="preserve">  Federal Energy Regulatory Commission.</w:t>
      </w:r>
    </w:p>
    <w:p w14:paraId="487E7CAE" w14:textId="77777777" w:rsidR="00E74E9A" w:rsidRPr="000D3C5E" w:rsidRDefault="00E74E9A" w:rsidP="00E74E9A">
      <w:pPr>
        <w:spacing w:line="480" w:lineRule="auto"/>
      </w:pPr>
      <w:r w:rsidRPr="00F176E7">
        <w:rPr>
          <w:u w:val="single"/>
        </w:rPr>
        <w:t>ACTION</w:t>
      </w:r>
      <w:r w:rsidRPr="000D3C5E">
        <w:rPr>
          <w:b/>
        </w:rPr>
        <w:t>:</w:t>
      </w:r>
      <w:r w:rsidRPr="000D3C5E">
        <w:t xml:space="preserve">  Notice of information collection and request for comments.</w:t>
      </w:r>
    </w:p>
    <w:p w14:paraId="487E7CAF" w14:textId="77777777" w:rsidR="00E74E9A" w:rsidRPr="00C71E81" w:rsidRDefault="00E74E9A" w:rsidP="00E74E9A">
      <w:pPr>
        <w:tabs>
          <w:tab w:val="left" w:pos="1800"/>
        </w:tabs>
        <w:spacing w:line="480" w:lineRule="auto"/>
        <w:rPr>
          <w:szCs w:val="26"/>
        </w:rPr>
      </w:pPr>
      <w:r w:rsidRPr="00F176E7">
        <w:rPr>
          <w:u w:val="single"/>
        </w:rPr>
        <w:t>SUMMARY</w:t>
      </w:r>
      <w:r w:rsidRPr="000D3C5E">
        <w:rPr>
          <w:b/>
        </w:rPr>
        <w:t>:</w:t>
      </w:r>
      <w:r w:rsidRPr="000D3C5E">
        <w:t xml:space="preserve">  In compliance with the requirements of the Paperwork Reduction Act of 1995, the Federal Energy Regulatory Commission (Commission or FERC) is soliciting public comment on the currently approved information collection, FERC-</w:t>
      </w:r>
      <w:r>
        <w:t>730</w:t>
      </w:r>
      <w:r w:rsidRPr="000D3C5E">
        <w:t xml:space="preserve"> (</w:t>
      </w:r>
      <w:r w:rsidRPr="00E16693">
        <w:rPr>
          <w:szCs w:val="26"/>
        </w:rPr>
        <w:t>Report of Transmission Investment Activity</w:t>
      </w:r>
      <w:r>
        <w:t xml:space="preserve">) </w:t>
      </w:r>
      <w:r w:rsidRPr="00C71E81">
        <w:rPr>
          <w:szCs w:val="26"/>
        </w:rPr>
        <w:t xml:space="preserve">and submitting the information collection to the Office of Management and Budget (OMB) for review.  Any interested person may file comments directly with OMB and should address a copy of those comments to the Commission as explained below. On </w:t>
      </w:r>
      <w:r>
        <w:rPr>
          <w:szCs w:val="26"/>
        </w:rPr>
        <w:t>February 25</w:t>
      </w:r>
      <w:r w:rsidRPr="00C71E81">
        <w:rPr>
          <w:szCs w:val="26"/>
        </w:rPr>
        <w:t>, 2019, the Commission published a Notice in the Federal Register in Docket No. IC19-</w:t>
      </w:r>
      <w:r>
        <w:rPr>
          <w:szCs w:val="26"/>
        </w:rPr>
        <w:t>15</w:t>
      </w:r>
      <w:r w:rsidRPr="00C71E81">
        <w:rPr>
          <w:szCs w:val="26"/>
        </w:rPr>
        <w:t>-000 requesting public comments.  The Commission received no public comments and is noting that in the related submittal to OMB.</w:t>
      </w:r>
    </w:p>
    <w:p w14:paraId="487E7CB0" w14:textId="77777777" w:rsidR="00E74E9A" w:rsidRDefault="00E74E9A" w:rsidP="00E74E9A">
      <w:pPr>
        <w:spacing w:line="480" w:lineRule="auto"/>
        <w:rPr>
          <w:b/>
          <w:szCs w:val="26"/>
        </w:rPr>
      </w:pPr>
      <w:r w:rsidRPr="00F176E7">
        <w:rPr>
          <w:szCs w:val="26"/>
          <w:u w:val="single"/>
        </w:rPr>
        <w:t>DATES:</w:t>
      </w:r>
      <w:r w:rsidRPr="00C71E81">
        <w:rPr>
          <w:szCs w:val="26"/>
        </w:rPr>
        <w:t xml:space="preserve">  Comments on the collection of information are due [</w:t>
      </w:r>
      <w:r w:rsidRPr="00784B95">
        <w:rPr>
          <w:b/>
          <w:szCs w:val="26"/>
        </w:rPr>
        <w:t>Insert Date 30 days after date of publication in the Federal Register]</w:t>
      </w:r>
    </w:p>
    <w:p w14:paraId="487E7CB1" w14:textId="77777777" w:rsidR="00E74E9A" w:rsidRPr="00784B95" w:rsidRDefault="00E74E9A" w:rsidP="00E74E9A">
      <w:pPr>
        <w:spacing w:line="480" w:lineRule="auto"/>
      </w:pPr>
      <w:r w:rsidRPr="00F176E7">
        <w:rPr>
          <w:szCs w:val="26"/>
          <w:u w:val="single"/>
        </w:rPr>
        <w:t>ADDRESSES:</w:t>
      </w:r>
      <w:r w:rsidRPr="00C71E81">
        <w:rPr>
          <w:szCs w:val="26"/>
        </w:rPr>
        <w:t xml:space="preserve">  </w:t>
      </w:r>
      <w:r w:rsidRPr="00784B95">
        <w:t>Comments filed with OMB, identified by OMB Control No. 1902-02</w:t>
      </w:r>
      <w:r>
        <w:t>39</w:t>
      </w:r>
      <w:r w:rsidRPr="00784B95">
        <w:t xml:space="preserve">, should be sent via email to the Office of Information and Regulatory Affairs: </w:t>
      </w:r>
      <w:hyperlink r:id="rId12" w:history="1">
        <w:r w:rsidRPr="00784B95">
          <w:rPr>
            <w:color w:val="0000FF"/>
            <w:u w:val="single"/>
          </w:rPr>
          <w:t>oira_submission@omb.gov</w:t>
        </w:r>
      </w:hyperlink>
      <w:r w:rsidRPr="00784B95">
        <w:t xml:space="preserve">.  Attention: Federal Energy Regulatory Commission Desk Officer.  </w:t>
      </w:r>
    </w:p>
    <w:p w14:paraId="487E7CB2" w14:textId="77777777" w:rsidR="00E74E9A" w:rsidRPr="00784B95" w:rsidRDefault="00E74E9A" w:rsidP="00E74E9A">
      <w:pPr>
        <w:spacing w:line="480" w:lineRule="auto"/>
      </w:pPr>
      <w:r w:rsidRPr="00784B95">
        <w:t>A copy of the comments should also be sent to the Commission, in Docket No. IC19-</w:t>
      </w:r>
      <w:r>
        <w:t>15</w:t>
      </w:r>
      <w:r w:rsidRPr="00784B95">
        <w:t>-000, by either of the following methods:</w:t>
      </w:r>
    </w:p>
    <w:p w14:paraId="487E7CB3" w14:textId="77777777" w:rsidR="00E74E9A" w:rsidRPr="00C71E81" w:rsidRDefault="00E74E9A" w:rsidP="00E74E9A">
      <w:pPr>
        <w:numPr>
          <w:ilvl w:val="0"/>
          <w:numId w:val="1"/>
        </w:numPr>
        <w:tabs>
          <w:tab w:val="clear" w:pos="1500"/>
          <w:tab w:val="num" w:pos="1080"/>
        </w:tabs>
        <w:spacing w:line="480" w:lineRule="auto"/>
        <w:ind w:left="720" w:firstLine="0"/>
        <w:rPr>
          <w:szCs w:val="26"/>
        </w:rPr>
      </w:pPr>
      <w:r w:rsidRPr="00C71E81">
        <w:rPr>
          <w:szCs w:val="26"/>
        </w:rPr>
        <w:t xml:space="preserve">eFiling at Commission’s Web Site: </w:t>
      </w:r>
      <w:hyperlink r:id="rId13" w:history="1">
        <w:r w:rsidRPr="00C71E81">
          <w:rPr>
            <w:rStyle w:val="Hyperlink"/>
            <w:szCs w:val="26"/>
          </w:rPr>
          <w:t>http://www.ferc.gov/docs-filing/efiling.asp</w:t>
        </w:r>
      </w:hyperlink>
    </w:p>
    <w:p w14:paraId="487E7CB4" w14:textId="77777777" w:rsidR="00E74E9A" w:rsidRPr="00C71E81" w:rsidRDefault="00E74E9A" w:rsidP="00E74E9A">
      <w:pPr>
        <w:numPr>
          <w:ilvl w:val="0"/>
          <w:numId w:val="1"/>
        </w:numPr>
        <w:tabs>
          <w:tab w:val="clear" w:pos="1500"/>
          <w:tab w:val="num" w:pos="1080"/>
        </w:tabs>
        <w:spacing w:line="480" w:lineRule="auto"/>
        <w:ind w:left="1080"/>
        <w:rPr>
          <w:szCs w:val="26"/>
        </w:rPr>
      </w:pPr>
      <w:r w:rsidRPr="00C71E81">
        <w:rPr>
          <w:szCs w:val="26"/>
        </w:rPr>
        <w:t>Mail/Hand Delivery/Courier: Federal Energy Regulatory Commission, Secretary of the Commission, 888 First Street, NE, Washington, DC 20426.</w:t>
      </w:r>
    </w:p>
    <w:p w14:paraId="487E7CB5" w14:textId="77777777" w:rsidR="00E74E9A" w:rsidRPr="00C71E81" w:rsidRDefault="00E74E9A" w:rsidP="00E74E9A">
      <w:pPr>
        <w:spacing w:line="480" w:lineRule="auto"/>
        <w:rPr>
          <w:szCs w:val="26"/>
        </w:rPr>
      </w:pPr>
      <w:r w:rsidRPr="00C71E81">
        <w:rPr>
          <w:i/>
          <w:szCs w:val="26"/>
        </w:rPr>
        <w:t xml:space="preserve">Instructions: </w:t>
      </w:r>
      <w:r w:rsidRPr="00C71E81">
        <w:rPr>
          <w:szCs w:val="26"/>
        </w:rPr>
        <w:t xml:space="preserve">All submissions must be formatted and filed in accordance with submission guidelines at: </w:t>
      </w:r>
      <w:hyperlink r:id="rId14" w:history="1">
        <w:r w:rsidRPr="00C71E81">
          <w:rPr>
            <w:rStyle w:val="Hyperlink"/>
            <w:szCs w:val="26"/>
          </w:rPr>
          <w:t>http://www.ferc.gov/help/submission-guide.asp</w:t>
        </w:r>
      </w:hyperlink>
      <w:r w:rsidRPr="00C71E81">
        <w:rPr>
          <w:szCs w:val="26"/>
        </w:rPr>
        <w:t>.  For user assistance contact FERC Online Support by e-mail at ferconlinesupport@ferc.gov, or by phone at:  (866) 208-3676 (toll-free), or (202) 502-8659 for TTY.</w:t>
      </w:r>
    </w:p>
    <w:p w14:paraId="487E7CB6" w14:textId="77777777" w:rsidR="00E74E9A" w:rsidRPr="00C71E81" w:rsidRDefault="00E74E9A" w:rsidP="00E74E9A">
      <w:pPr>
        <w:spacing w:line="480" w:lineRule="auto"/>
        <w:rPr>
          <w:szCs w:val="26"/>
        </w:rPr>
      </w:pPr>
      <w:r w:rsidRPr="00C71E81">
        <w:rPr>
          <w:i/>
          <w:szCs w:val="26"/>
        </w:rPr>
        <w:t>Docket:</w:t>
      </w:r>
      <w:r w:rsidRPr="00C71E81">
        <w:rPr>
          <w:szCs w:val="26"/>
        </w:rPr>
        <w:t xml:space="preserve"> Users interested in receiving automatic notification of activity in this docket or in viewing/downloading comments and issuances in this docket may do so at </w:t>
      </w:r>
      <w:hyperlink r:id="rId15" w:history="1">
        <w:r w:rsidRPr="00C71E81">
          <w:rPr>
            <w:rStyle w:val="Hyperlink"/>
            <w:szCs w:val="26"/>
          </w:rPr>
          <w:t>http://www.ferc.gov/docs-filing/docs-filing.asp</w:t>
        </w:r>
      </w:hyperlink>
      <w:r w:rsidRPr="00C71E81">
        <w:rPr>
          <w:szCs w:val="26"/>
        </w:rPr>
        <w:t xml:space="preserve">. </w:t>
      </w:r>
    </w:p>
    <w:p w14:paraId="487E7CB7" w14:textId="20498D1A" w:rsidR="00E74E9A" w:rsidRPr="00C71E81" w:rsidRDefault="00E74E9A" w:rsidP="00E74E9A">
      <w:pPr>
        <w:spacing w:line="480" w:lineRule="auto"/>
        <w:rPr>
          <w:szCs w:val="26"/>
        </w:rPr>
      </w:pPr>
      <w:r w:rsidRPr="00F176E7">
        <w:rPr>
          <w:szCs w:val="26"/>
          <w:u w:val="single"/>
        </w:rPr>
        <w:t>FOR FURTHER INFORMATION</w:t>
      </w:r>
      <w:r w:rsidR="00F176E7">
        <w:rPr>
          <w:szCs w:val="26"/>
          <w:u w:val="single"/>
        </w:rPr>
        <w:t xml:space="preserve"> CONTACT</w:t>
      </w:r>
      <w:r w:rsidRPr="00F176E7">
        <w:rPr>
          <w:szCs w:val="26"/>
          <w:u w:val="single"/>
        </w:rPr>
        <w:t>:</w:t>
      </w:r>
      <w:r w:rsidRPr="00C71E81">
        <w:rPr>
          <w:szCs w:val="26"/>
        </w:rPr>
        <w:t xml:space="preserve">  Ellen Brown may be reached by e-mail at </w:t>
      </w:r>
      <w:hyperlink r:id="rId16" w:history="1">
        <w:r w:rsidRPr="00C71E81">
          <w:rPr>
            <w:rStyle w:val="Hyperlink"/>
            <w:szCs w:val="26"/>
          </w:rPr>
          <w:t>DataClearance@FERC.gov</w:t>
        </w:r>
      </w:hyperlink>
      <w:r w:rsidRPr="00C71E81">
        <w:rPr>
          <w:szCs w:val="26"/>
        </w:rPr>
        <w:t>, telephone at (202) 502-8663, and fax at (202) 273-0873.</w:t>
      </w:r>
    </w:p>
    <w:p w14:paraId="487E7CB8" w14:textId="77777777" w:rsidR="00E74E9A" w:rsidRPr="00F176E7" w:rsidRDefault="00E74E9A" w:rsidP="00E74E9A">
      <w:pPr>
        <w:spacing w:line="480" w:lineRule="auto"/>
        <w:rPr>
          <w:szCs w:val="26"/>
          <w:u w:val="single"/>
        </w:rPr>
      </w:pPr>
      <w:r w:rsidRPr="00F176E7">
        <w:rPr>
          <w:szCs w:val="26"/>
          <w:u w:val="single"/>
        </w:rPr>
        <w:t xml:space="preserve">SUPPLEMENTARY INFORMATION:  </w:t>
      </w:r>
    </w:p>
    <w:p w14:paraId="487E7CB9" w14:textId="77777777" w:rsidR="00E74E9A" w:rsidRDefault="00E74E9A" w:rsidP="00E74E9A">
      <w:pPr>
        <w:pStyle w:val="FERCparanumber"/>
        <w:numPr>
          <w:ilvl w:val="0"/>
          <w:numId w:val="0"/>
        </w:numPr>
        <w:spacing w:line="480" w:lineRule="auto"/>
        <w:rPr>
          <w:szCs w:val="26"/>
        </w:rPr>
      </w:pPr>
      <w:r>
        <w:rPr>
          <w:i/>
          <w:szCs w:val="26"/>
        </w:rPr>
        <w:t xml:space="preserve">Title: </w:t>
      </w:r>
      <w:r w:rsidRPr="0072782C">
        <w:rPr>
          <w:szCs w:val="26"/>
        </w:rPr>
        <w:t>FERC-730, Report of Transmission Investment Activity</w:t>
      </w:r>
    </w:p>
    <w:p w14:paraId="487E7CBA" w14:textId="77777777" w:rsidR="00E74E9A" w:rsidRDefault="00E74E9A" w:rsidP="00E74E9A">
      <w:pPr>
        <w:pStyle w:val="FERCparanumber"/>
        <w:numPr>
          <w:ilvl w:val="0"/>
          <w:numId w:val="0"/>
        </w:numPr>
        <w:spacing w:line="480" w:lineRule="auto"/>
        <w:rPr>
          <w:szCs w:val="26"/>
        </w:rPr>
      </w:pPr>
      <w:r w:rsidRPr="00E16693">
        <w:rPr>
          <w:i/>
          <w:szCs w:val="26"/>
        </w:rPr>
        <w:t>OMB Control No</w:t>
      </w:r>
      <w:r>
        <w:rPr>
          <w:szCs w:val="26"/>
        </w:rPr>
        <w:t xml:space="preserve">.: </w:t>
      </w:r>
      <w:r w:rsidRPr="0072782C">
        <w:rPr>
          <w:szCs w:val="26"/>
        </w:rPr>
        <w:t>1902-0239</w:t>
      </w:r>
    </w:p>
    <w:p w14:paraId="487E7CBB" w14:textId="77777777" w:rsidR="00E74E9A" w:rsidRDefault="00E74E9A" w:rsidP="00E74E9A">
      <w:pPr>
        <w:pStyle w:val="FERCparanumber"/>
        <w:numPr>
          <w:ilvl w:val="0"/>
          <w:numId w:val="0"/>
        </w:numPr>
        <w:spacing w:line="480" w:lineRule="auto"/>
        <w:rPr>
          <w:szCs w:val="26"/>
        </w:rPr>
      </w:pPr>
      <w:r>
        <w:rPr>
          <w:i/>
          <w:szCs w:val="26"/>
        </w:rPr>
        <w:t xml:space="preserve">Type of Request: </w:t>
      </w:r>
      <w:r>
        <w:rPr>
          <w:szCs w:val="26"/>
        </w:rPr>
        <w:t xml:space="preserve"> Three-year extension of the FERC-730 information collection requirements with no changes to the current reporting requirements.</w:t>
      </w:r>
    </w:p>
    <w:p w14:paraId="487E7CBC" w14:textId="77777777" w:rsidR="00E74E9A" w:rsidRPr="0072782C" w:rsidRDefault="00E74E9A" w:rsidP="00E74E9A">
      <w:pPr>
        <w:pStyle w:val="FERCparanumber"/>
        <w:numPr>
          <w:ilvl w:val="0"/>
          <w:numId w:val="0"/>
        </w:numPr>
        <w:spacing w:line="480" w:lineRule="auto"/>
        <w:rPr>
          <w:szCs w:val="26"/>
        </w:rPr>
      </w:pPr>
      <w:r w:rsidRPr="00EB623E">
        <w:rPr>
          <w:i/>
          <w:szCs w:val="26"/>
        </w:rPr>
        <w:lastRenderedPageBreak/>
        <w:t xml:space="preserve">Abstract: </w:t>
      </w:r>
      <w:r>
        <w:rPr>
          <w:i/>
          <w:szCs w:val="26"/>
        </w:rPr>
        <w:t xml:space="preserve"> </w:t>
      </w:r>
      <w:r>
        <w:rPr>
          <w:szCs w:val="26"/>
        </w:rPr>
        <w:t xml:space="preserve">The Commission uses the </w:t>
      </w:r>
      <w:r w:rsidRPr="0098363D">
        <w:rPr>
          <w:szCs w:val="26"/>
        </w:rPr>
        <w:t>FERC-730</w:t>
      </w:r>
      <w:r>
        <w:rPr>
          <w:szCs w:val="26"/>
        </w:rPr>
        <w:t xml:space="preserve"> information collection</w:t>
      </w:r>
      <w:r w:rsidRPr="0098363D">
        <w:rPr>
          <w:szCs w:val="26"/>
        </w:rPr>
        <w:t xml:space="preserve"> to determine the effectiveness of its rules and to provide it with an accurate assessment of the state of transmission investment by public utilities. This annual report includes projections, information that details the level and status of transmission investment, and the reason for delay </w:t>
      </w:r>
      <w:r>
        <w:rPr>
          <w:szCs w:val="26"/>
        </w:rPr>
        <w:t>(</w:t>
      </w:r>
      <w:r w:rsidRPr="0098363D">
        <w:rPr>
          <w:szCs w:val="26"/>
        </w:rPr>
        <w:t>if any</w:t>
      </w:r>
      <w:r>
        <w:rPr>
          <w:szCs w:val="26"/>
        </w:rPr>
        <w:t>)</w:t>
      </w:r>
      <w:r w:rsidRPr="0098363D">
        <w:rPr>
          <w:szCs w:val="26"/>
        </w:rPr>
        <w:t>. The report must conform to the format prescribed in Order No. 679, Appendix A</w:t>
      </w:r>
      <w:r>
        <w:rPr>
          <w:rStyle w:val="FootnoteReference"/>
        </w:rPr>
        <w:footnoteReference w:id="1"/>
      </w:r>
      <w:r w:rsidRPr="0098363D">
        <w:rPr>
          <w:szCs w:val="26"/>
        </w:rPr>
        <w:t>. Filers are strongly encouraged to submit the FERC-730 electronically via eFiling</w:t>
      </w:r>
      <w:r w:rsidRPr="0098363D">
        <w:rPr>
          <w:i/>
          <w:szCs w:val="26"/>
        </w:rPr>
        <w:t>.</w:t>
      </w:r>
      <w:r w:rsidRPr="0072782C">
        <w:rPr>
          <w:szCs w:val="26"/>
        </w:rPr>
        <w:t xml:space="preserve"> </w:t>
      </w:r>
      <w:r>
        <w:rPr>
          <w:szCs w:val="26"/>
        </w:rPr>
        <w:t xml:space="preserve"> FERC-730 </w:t>
      </w:r>
      <w:r w:rsidRPr="0072782C">
        <w:rPr>
          <w:szCs w:val="26"/>
        </w:rPr>
        <w:t xml:space="preserve">is filed by public utilities that have been granted incentive rate treatment for specific electric transmission projects.  Actual and planned transmission investments, and related project data for the most recent calendar year and the subsequent five years, must be reported annually beginning with the calendar year that the Commission granted the incentive rates. </w:t>
      </w:r>
    </w:p>
    <w:p w14:paraId="487E7CBD" w14:textId="77777777" w:rsidR="00E74E9A" w:rsidRPr="0072782C" w:rsidRDefault="00E74E9A" w:rsidP="00E74E9A">
      <w:pPr>
        <w:pStyle w:val="FERCparanumber"/>
        <w:numPr>
          <w:ilvl w:val="0"/>
          <w:numId w:val="0"/>
        </w:numPr>
        <w:autoSpaceDE w:val="0"/>
        <w:autoSpaceDN w:val="0"/>
        <w:adjustRightInd w:val="0"/>
        <w:spacing w:line="480" w:lineRule="auto"/>
        <w:rPr>
          <w:szCs w:val="26"/>
        </w:rPr>
      </w:pPr>
      <w:r w:rsidRPr="0072782C">
        <w:rPr>
          <w:szCs w:val="26"/>
        </w:rPr>
        <w:tab/>
        <w:t>Congress enacted section 1241 of the Energy Policy Act</w:t>
      </w:r>
      <w:r>
        <w:rPr>
          <w:szCs w:val="26"/>
        </w:rPr>
        <w:t xml:space="preserve"> of 2005 (EPAct 2005), adding </w:t>
      </w:r>
      <w:r w:rsidRPr="0072782C">
        <w:rPr>
          <w:szCs w:val="26"/>
        </w:rPr>
        <w:t>section 219 to the Federal Power Act (FPA), to promote the operation, maintenance and enhancement of electric transmission infrastructure.</w:t>
      </w:r>
      <w:r w:rsidRPr="0072782C">
        <w:rPr>
          <w:rStyle w:val="FootnoteReference"/>
        </w:rPr>
        <w:footnoteReference w:id="2"/>
      </w:r>
      <w:r w:rsidRPr="0072782C">
        <w:rPr>
          <w:szCs w:val="26"/>
        </w:rPr>
        <w:t xml:space="preserve">  Congress aimed to benefit consumers by ensuring reliability and/or reducing the cost of delivered power through reducing transmission congestion.  In response to EPAct 2005, the Commission amended its regulations to allow for these incentive-based, (including performance-based),</w:t>
      </w:r>
      <w:r w:rsidRPr="0072782C">
        <w:rPr>
          <w:b/>
          <w:szCs w:val="26"/>
        </w:rPr>
        <w:t xml:space="preserve"> </w:t>
      </w:r>
      <w:r w:rsidRPr="0072782C">
        <w:rPr>
          <w:szCs w:val="26"/>
        </w:rPr>
        <w:t xml:space="preserve">rate treatments. </w:t>
      </w:r>
    </w:p>
    <w:p w14:paraId="487E7CBE" w14:textId="77777777" w:rsidR="00E74E9A" w:rsidRPr="0072782C" w:rsidRDefault="00E74E9A" w:rsidP="00E74E9A">
      <w:pPr>
        <w:pStyle w:val="FERCparanumber"/>
        <w:numPr>
          <w:ilvl w:val="0"/>
          <w:numId w:val="0"/>
        </w:numPr>
        <w:autoSpaceDE w:val="0"/>
        <w:autoSpaceDN w:val="0"/>
        <w:adjustRightInd w:val="0"/>
        <w:spacing w:line="480" w:lineRule="auto"/>
        <w:rPr>
          <w:szCs w:val="26"/>
        </w:rPr>
      </w:pPr>
      <w:r w:rsidRPr="0072782C">
        <w:rPr>
          <w:szCs w:val="26"/>
        </w:rPr>
        <w:tab/>
      </w:r>
      <w:r>
        <w:rPr>
          <w:szCs w:val="26"/>
        </w:rPr>
        <w:t xml:space="preserve">The </w:t>
      </w:r>
      <w:r w:rsidRPr="0072782C">
        <w:rPr>
          <w:szCs w:val="26"/>
        </w:rPr>
        <w:t>Commission amended its regulations in 18</w:t>
      </w:r>
      <w:r>
        <w:rPr>
          <w:szCs w:val="26"/>
        </w:rPr>
        <w:t xml:space="preserve"> </w:t>
      </w:r>
      <w:r w:rsidRPr="0072782C">
        <w:rPr>
          <w:szCs w:val="26"/>
        </w:rPr>
        <w:t>CFR 35.35 to identify the incentive ratemaking treatments allowed under FPA section 219.  Incentives are required to be tailored to the type of transmission investments being made</w:t>
      </w:r>
      <w:r>
        <w:rPr>
          <w:szCs w:val="26"/>
        </w:rPr>
        <w:t>,</w:t>
      </w:r>
      <w:r w:rsidRPr="0072782C">
        <w:rPr>
          <w:szCs w:val="26"/>
        </w:rPr>
        <w:t xml:space="preserve"> and each applicant must demonstrate that its proposal meets the requirements of FPA section 219.</w:t>
      </w:r>
    </w:p>
    <w:p w14:paraId="487E7CBF" w14:textId="77777777" w:rsidR="00E74E9A" w:rsidRPr="0072782C" w:rsidRDefault="00E74E9A" w:rsidP="00E74E9A">
      <w:pPr>
        <w:pStyle w:val="FERCparanumber"/>
        <w:numPr>
          <w:ilvl w:val="0"/>
          <w:numId w:val="0"/>
        </w:numPr>
        <w:autoSpaceDE w:val="0"/>
        <w:autoSpaceDN w:val="0"/>
        <w:adjustRightInd w:val="0"/>
        <w:spacing w:line="480" w:lineRule="auto"/>
        <w:rPr>
          <w:szCs w:val="26"/>
        </w:rPr>
      </w:pPr>
      <w:r>
        <w:rPr>
          <w:i/>
          <w:szCs w:val="26"/>
        </w:rPr>
        <w:t xml:space="preserve">Type of Respondents: </w:t>
      </w:r>
      <w:r w:rsidRPr="0072782C">
        <w:rPr>
          <w:szCs w:val="26"/>
        </w:rPr>
        <w:t xml:space="preserve"> </w:t>
      </w:r>
      <w:r w:rsidRPr="00FE2C39">
        <w:rPr>
          <w:szCs w:val="26"/>
        </w:rPr>
        <w:t>Public utilities that have been granted incentive based rate treatment for specific transmission projects under provisions of 18 CFR 35.35</w:t>
      </w:r>
    </w:p>
    <w:p w14:paraId="487E7CC0" w14:textId="77777777" w:rsidR="00E74E9A" w:rsidRPr="00FE2C39" w:rsidRDefault="00E74E9A" w:rsidP="00E74E9A">
      <w:pPr>
        <w:spacing w:line="480" w:lineRule="auto"/>
      </w:pPr>
      <w:r>
        <w:rPr>
          <w:i/>
        </w:rPr>
        <w:t>Estimate of Annual Burden</w:t>
      </w:r>
      <w:r w:rsidRPr="00FE2C39">
        <w:rPr>
          <w:b/>
          <w:i/>
          <w:szCs w:val="26"/>
          <w:vertAlign w:val="superscript"/>
        </w:rPr>
        <w:footnoteReference w:id="3"/>
      </w:r>
      <w:r w:rsidRPr="00FE2C39">
        <w:rPr>
          <w:i/>
        </w:rPr>
        <w:t xml:space="preserve">: </w:t>
      </w:r>
      <w:r w:rsidRPr="00FE2C39">
        <w:t>The Commission estimates the total Public Reporting Burden and cost for this information collection as follows: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350"/>
        <w:gridCol w:w="1530"/>
        <w:gridCol w:w="1530"/>
        <w:gridCol w:w="1890"/>
        <w:gridCol w:w="2165"/>
      </w:tblGrid>
      <w:tr w:rsidR="00E74E9A" w:rsidRPr="00967029" w14:paraId="487E7CC2" w14:textId="77777777" w:rsidTr="004D2BB2">
        <w:trPr>
          <w:trHeight w:val="347"/>
          <w:jc w:val="center"/>
        </w:trPr>
        <w:tc>
          <w:tcPr>
            <w:tcW w:w="9630" w:type="dxa"/>
            <w:gridSpan w:val="6"/>
            <w:shd w:val="clear" w:color="auto" w:fill="D9D9D9"/>
            <w:vAlign w:val="bottom"/>
          </w:tcPr>
          <w:p w14:paraId="487E7CC1" w14:textId="1DB7EE27" w:rsidR="00E74E9A" w:rsidRPr="00DB7F70" w:rsidRDefault="00E74E9A" w:rsidP="004D2BB2">
            <w:pPr>
              <w:jc w:val="center"/>
              <w:rPr>
                <w:b/>
                <w:smallCaps/>
                <w:sz w:val="20"/>
                <w:szCs w:val="20"/>
              </w:rPr>
            </w:pPr>
            <w:r w:rsidRPr="00DB7F70">
              <w:rPr>
                <w:b/>
                <w:smallCaps/>
                <w:sz w:val="20"/>
                <w:szCs w:val="20"/>
              </w:rPr>
              <w:t>FERC-730:</w:t>
            </w:r>
            <w:r w:rsidRPr="00DB7F70">
              <w:rPr>
                <w:b/>
                <w:sz w:val="20"/>
                <w:szCs w:val="20"/>
              </w:rPr>
              <w:t xml:space="preserve">  Report of Transmission Investment Activity</w:t>
            </w:r>
          </w:p>
        </w:tc>
      </w:tr>
      <w:tr w:rsidR="004D2BB2" w:rsidRPr="00967029" w14:paraId="487E7CD7" w14:textId="77777777" w:rsidTr="004D2BB2">
        <w:trPr>
          <w:trHeight w:val="638"/>
          <w:jc w:val="center"/>
        </w:trPr>
        <w:tc>
          <w:tcPr>
            <w:tcW w:w="1165" w:type="dxa"/>
            <w:shd w:val="clear" w:color="auto" w:fill="D9D9D9"/>
            <w:vAlign w:val="center"/>
          </w:tcPr>
          <w:p w14:paraId="487E7CC3" w14:textId="77777777" w:rsidR="004D2BB2" w:rsidRPr="00967029" w:rsidRDefault="004D2BB2" w:rsidP="007F3600">
            <w:pPr>
              <w:jc w:val="center"/>
              <w:rPr>
                <w:b/>
                <w:sz w:val="20"/>
                <w:szCs w:val="20"/>
              </w:rPr>
            </w:pPr>
          </w:p>
        </w:tc>
        <w:tc>
          <w:tcPr>
            <w:tcW w:w="1350" w:type="dxa"/>
            <w:shd w:val="clear" w:color="auto" w:fill="D9D9D9"/>
            <w:vAlign w:val="center"/>
          </w:tcPr>
          <w:p w14:paraId="487E7CC4" w14:textId="77777777" w:rsidR="004D2BB2" w:rsidRPr="00DB7F70" w:rsidRDefault="004D2BB2" w:rsidP="007F3600">
            <w:pPr>
              <w:jc w:val="center"/>
              <w:rPr>
                <w:b/>
                <w:sz w:val="20"/>
                <w:szCs w:val="20"/>
              </w:rPr>
            </w:pPr>
          </w:p>
          <w:p w14:paraId="487E7CC5" w14:textId="77777777" w:rsidR="004D2BB2" w:rsidRPr="00DB7F70" w:rsidRDefault="004D2BB2" w:rsidP="007F3600">
            <w:pPr>
              <w:jc w:val="center"/>
              <w:rPr>
                <w:b/>
                <w:sz w:val="20"/>
                <w:szCs w:val="20"/>
              </w:rPr>
            </w:pPr>
          </w:p>
          <w:p w14:paraId="487E7CC6" w14:textId="77777777" w:rsidR="004D2BB2" w:rsidRPr="00DB7F70" w:rsidRDefault="004D2BB2" w:rsidP="007F3600">
            <w:pPr>
              <w:jc w:val="center"/>
              <w:rPr>
                <w:b/>
                <w:sz w:val="20"/>
                <w:szCs w:val="20"/>
              </w:rPr>
            </w:pPr>
            <w:r w:rsidRPr="00DB7F70">
              <w:rPr>
                <w:b/>
                <w:sz w:val="20"/>
                <w:szCs w:val="20"/>
              </w:rPr>
              <w:t>Number of Respondents</w:t>
            </w:r>
          </w:p>
          <w:p w14:paraId="487E7CC7" w14:textId="77777777" w:rsidR="004D2BB2" w:rsidRPr="00DB7F70" w:rsidRDefault="004D2BB2" w:rsidP="007F3600">
            <w:pPr>
              <w:jc w:val="center"/>
              <w:rPr>
                <w:b/>
                <w:sz w:val="20"/>
                <w:szCs w:val="20"/>
              </w:rPr>
            </w:pPr>
            <w:r w:rsidRPr="00DB7F70">
              <w:rPr>
                <w:b/>
                <w:sz w:val="20"/>
                <w:szCs w:val="20"/>
              </w:rPr>
              <w:t>(1)</w:t>
            </w:r>
          </w:p>
        </w:tc>
        <w:tc>
          <w:tcPr>
            <w:tcW w:w="1530" w:type="dxa"/>
            <w:shd w:val="clear" w:color="auto" w:fill="D9D9D9"/>
            <w:vAlign w:val="center"/>
          </w:tcPr>
          <w:p w14:paraId="487E7CC8" w14:textId="77777777" w:rsidR="004D2BB2" w:rsidRPr="00DB7F70" w:rsidRDefault="004D2BB2" w:rsidP="007F3600">
            <w:pPr>
              <w:jc w:val="center"/>
              <w:rPr>
                <w:b/>
                <w:sz w:val="20"/>
                <w:szCs w:val="20"/>
              </w:rPr>
            </w:pPr>
          </w:p>
          <w:p w14:paraId="487E7CC9" w14:textId="77777777" w:rsidR="004D2BB2" w:rsidRPr="00DB7F70" w:rsidRDefault="004D2BB2" w:rsidP="007F3600">
            <w:pPr>
              <w:jc w:val="center"/>
              <w:rPr>
                <w:b/>
                <w:sz w:val="20"/>
                <w:szCs w:val="20"/>
              </w:rPr>
            </w:pPr>
            <w:r w:rsidRPr="00DB7F70">
              <w:rPr>
                <w:b/>
                <w:sz w:val="20"/>
                <w:szCs w:val="20"/>
              </w:rPr>
              <w:t>Number of Responses Per Respondent</w:t>
            </w:r>
          </w:p>
          <w:p w14:paraId="487E7CCA" w14:textId="77777777" w:rsidR="004D2BB2" w:rsidRPr="00DB7F70" w:rsidRDefault="004D2BB2" w:rsidP="007F3600">
            <w:pPr>
              <w:jc w:val="center"/>
              <w:rPr>
                <w:b/>
                <w:sz w:val="20"/>
                <w:szCs w:val="20"/>
              </w:rPr>
            </w:pPr>
            <w:r w:rsidRPr="00DB7F70">
              <w:rPr>
                <w:b/>
                <w:sz w:val="20"/>
                <w:szCs w:val="20"/>
              </w:rPr>
              <w:t>(2)</w:t>
            </w:r>
          </w:p>
        </w:tc>
        <w:tc>
          <w:tcPr>
            <w:tcW w:w="1530" w:type="dxa"/>
            <w:shd w:val="clear" w:color="auto" w:fill="D9D9D9"/>
            <w:vAlign w:val="center"/>
          </w:tcPr>
          <w:p w14:paraId="487E7CCB" w14:textId="77777777" w:rsidR="004D2BB2" w:rsidRPr="00DB7F70" w:rsidRDefault="004D2BB2" w:rsidP="007F3600">
            <w:pPr>
              <w:jc w:val="center"/>
              <w:rPr>
                <w:b/>
                <w:sz w:val="20"/>
                <w:szCs w:val="20"/>
              </w:rPr>
            </w:pPr>
          </w:p>
          <w:p w14:paraId="487E7CCC" w14:textId="77777777" w:rsidR="004D2BB2" w:rsidRPr="00DB7F70" w:rsidRDefault="004D2BB2" w:rsidP="007F3600">
            <w:pPr>
              <w:jc w:val="center"/>
              <w:rPr>
                <w:b/>
                <w:sz w:val="20"/>
                <w:szCs w:val="20"/>
              </w:rPr>
            </w:pPr>
          </w:p>
          <w:p w14:paraId="487E7CCD" w14:textId="77777777" w:rsidR="004D2BB2" w:rsidRPr="00DB7F70" w:rsidRDefault="004D2BB2" w:rsidP="007F3600">
            <w:pPr>
              <w:jc w:val="center"/>
              <w:rPr>
                <w:b/>
                <w:sz w:val="20"/>
                <w:szCs w:val="20"/>
              </w:rPr>
            </w:pPr>
            <w:r w:rsidRPr="00DB7F70">
              <w:rPr>
                <w:b/>
                <w:sz w:val="20"/>
                <w:szCs w:val="20"/>
              </w:rPr>
              <w:t>Total Number of Responses</w:t>
            </w:r>
          </w:p>
          <w:p w14:paraId="487E7CCE" w14:textId="77777777" w:rsidR="004D2BB2" w:rsidRPr="00DB7F70" w:rsidRDefault="004D2BB2" w:rsidP="007F3600">
            <w:pPr>
              <w:jc w:val="center"/>
              <w:rPr>
                <w:b/>
                <w:sz w:val="20"/>
                <w:szCs w:val="20"/>
              </w:rPr>
            </w:pPr>
            <w:r w:rsidRPr="00DB7F70">
              <w:rPr>
                <w:b/>
                <w:sz w:val="20"/>
                <w:szCs w:val="20"/>
              </w:rPr>
              <w:t>(1) x (2) = (3)</w:t>
            </w:r>
          </w:p>
        </w:tc>
        <w:tc>
          <w:tcPr>
            <w:tcW w:w="1890" w:type="dxa"/>
            <w:shd w:val="clear" w:color="auto" w:fill="D9D9D9"/>
            <w:vAlign w:val="center"/>
          </w:tcPr>
          <w:p w14:paraId="487E7CCF" w14:textId="77777777" w:rsidR="004D2BB2" w:rsidRPr="00DB7F70" w:rsidRDefault="004D2BB2" w:rsidP="007F3600">
            <w:pPr>
              <w:jc w:val="center"/>
              <w:rPr>
                <w:b/>
                <w:sz w:val="20"/>
                <w:szCs w:val="20"/>
              </w:rPr>
            </w:pPr>
            <w:r w:rsidRPr="00DB7F70">
              <w:rPr>
                <w:b/>
                <w:sz w:val="20"/>
                <w:szCs w:val="20"/>
              </w:rPr>
              <w:t>Average Burden Hours &amp; Average Cost per Response ($)</w:t>
            </w:r>
            <w:r w:rsidRPr="00DB7F70">
              <w:rPr>
                <w:rFonts w:eastAsia="Calibri"/>
                <w:sz w:val="20"/>
                <w:szCs w:val="20"/>
                <w:vertAlign w:val="superscript"/>
              </w:rPr>
              <w:footnoteReference w:id="4"/>
            </w:r>
          </w:p>
          <w:p w14:paraId="487E7CD0" w14:textId="77777777" w:rsidR="004D2BB2" w:rsidRPr="00DB7F70" w:rsidRDefault="004D2BB2" w:rsidP="007F3600">
            <w:pPr>
              <w:jc w:val="center"/>
              <w:rPr>
                <w:b/>
                <w:sz w:val="20"/>
                <w:szCs w:val="20"/>
              </w:rPr>
            </w:pPr>
            <w:r w:rsidRPr="00DB7F70">
              <w:rPr>
                <w:b/>
                <w:sz w:val="20"/>
                <w:szCs w:val="20"/>
              </w:rPr>
              <w:t>(4)</w:t>
            </w:r>
          </w:p>
        </w:tc>
        <w:tc>
          <w:tcPr>
            <w:tcW w:w="2165" w:type="dxa"/>
            <w:shd w:val="clear" w:color="auto" w:fill="D9D9D9"/>
            <w:vAlign w:val="center"/>
          </w:tcPr>
          <w:p w14:paraId="487E7CD1" w14:textId="77777777" w:rsidR="004D2BB2" w:rsidRPr="00DB7F70" w:rsidRDefault="004D2BB2" w:rsidP="007F3600">
            <w:pPr>
              <w:jc w:val="center"/>
              <w:rPr>
                <w:b/>
                <w:sz w:val="20"/>
                <w:szCs w:val="20"/>
              </w:rPr>
            </w:pPr>
            <w:r w:rsidRPr="00DB7F70">
              <w:rPr>
                <w:b/>
                <w:sz w:val="20"/>
                <w:szCs w:val="20"/>
              </w:rPr>
              <w:t>Total Annual Burden Hours &amp; Total Annual Cost ($)</w:t>
            </w:r>
          </w:p>
          <w:p w14:paraId="487E7CD2" w14:textId="77777777" w:rsidR="004D2BB2" w:rsidRPr="00DB7F70" w:rsidRDefault="004D2BB2" w:rsidP="007F3600">
            <w:pPr>
              <w:jc w:val="center"/>
              <w:rPr>
                <w:b/>
                <w:sz w:val="20"/>
                <w:szCs w:val="20"/>
              </w:rPr>
            </w:pPr>
            <w:r w:rsidRPr="00DB7F70">
              <w:rPr>
                <w:b/>
                <w:sz w:val="20"/>
                <w:szCs w:val="20"/>
              </w:rPr>
              <w:t>(3) x (4) = (5)</w:t>
            </w:r>
          </w:p>
        </w:tc>
      </w:tr>
      <w:tr w:rsidR="004D2BB2" w:rsidRPr="00967029" w14:paraId="487E7CE1" w14:textId="77777777" w:rsidTr="004D2BB2">
        <w:trPr>
          <w:jc w:val="center"/>
        </w:trPr>
        <w:tc>
          <w:tcPr>
            <w:tcW w:w="1165" w:type="dxa"/>
            <w:vAlign w:val="bottom"/>
          </w:tcPr>
          <w:p w14:paraId="487E7CD8" w14:textId="77777777" w:rsidR="004D2BB2" w:rsidRPr="00DB7F70" w:rsidRDefault="004D2BB2" w:rsidP="007F3600">
            <w:pPr>
              <w:jc w:val="right"/>
              <w:rPr>
                <w:sz w:val="20"/>
                <w:szCs w:val="20"/>
              </w:rPr>
            </w:pPr>
            <w:r w:rsidRPr="00DB7F70">
              <w:rPr>
                <w:sz w:val="20"/>
                <w:szCs w:val="20"/>
              </w:rPr>
              <w:t>FERC-730</w:t>
            </w:r>
          </w:p>
        </w:tc>
        <w:tc>
          <w:tcPr>
            <w:tcW w:w="1350" w:type="dxa"/>
            <w:vAlign w:val="bottom"/>
          </w:tcPr>
          <w:p w14:paraId="487E7CD9" w14:textId="77777777" w:rsidR="004D2BB2" w:rsidRPr="00DB7F70" w:rsidRDefault="004D2BB2" w:rsidP="007F3600">
            <w:pPr>
              <w:jc w:val="right"/>
              <w:rPr>
                <w:sz w:val="20"/>
                <w:szCs w:val="20"/>
              </w:rPr>
            </w:pPr>
            <w:r w:rsidRPr="00DB7F70">
              <w:rPr>
                <w:sz w:val="20"/>
                <w:szCs w:val="20"/>
              </w:rPr>
              <w:t>63</w:t>
            </w:r>
          </w:p>
        </w:tc>
        <w:tc>
          <w:tcPr>
            <w:tcW w:w="1530" w:type="dxa"/>
            <w:vAlign w:val="bottom"/>
          </w:tcPr>
          <w:p w14:paraId="487E7CDA" w14:textId="77777777" w:rsidR="004D2BB2" w:rsidRPr="00DB7F70" w:rsidRDefault="004D2BB2" w:rsidP="007F3600">
            <w:pPr>
              <w:jc w:val="right"/>
              <w:rPr>
                <w:sz w:val="20"/>
                <w:szCs w:val="20"/>
              </w:rPr>
            </w:pPr>
            <w:r w:rsidRPr="00DB7F70">
              <w:rPr>
                <w:sz w:val="20"/>
                <w:szCs w:val="20"/>
              </w:rPr>
              <w:t>1</w:t>
            </w:r>
          </w:p>
        </w:tc>
        <w:tc>
          <w:tcPr>
            <w:tcW w:w="1530" w:type="dxa"/>
            <w:vAlign w:val="bottom"/>
          </w:tcPr>
          <w:p w14:paraId="487E7CDB" w14:textId="77777777" w:rsidR="004D2BB2" w:rsidRPr="00DB7F70" w:rsidRDefault="004D2BB2" w:rsidP="007F3600">
            <w:pPr>
              <w:jc w:val="right"/>
              <w:rPr>
                <w:sz w:val="20"/>
                <w:szCs w:val="20"/>
              </w:rPr>
            </w:pPr>
            <w:r w:rsidRPr="00DB7F70">
              <w:rPr>
                <w:sz w:val="20"/>
                <w:szCs w:val="20"/>
              </w:rPr>
              <w:t>63</w:t>
            </w:r>
          </w:p>
        </w:tc>
        <w:tc>
          <w:tcPr>
            <w:tcW w:w="1890" w:type="dxa"/>
            <w:vAlign w:val="bottom"/>
          </w:tcPr>
          <w:p w14:paraId="487E7CDC" w14:textId="77777777" w:rsidR="004D2BB2" w:rsidRPr="00DB7F70" w:rsidRDefault="004D2BB2" w:rsidP="007F3600">
            <w:pPr>
              <w:jc w:val="right"/>
              <w:rPr>
                <w:sz w:val="20"/>
                <w:szCs w:val="20"/>
              </w:rPr>
            </w:pPr>
            <w:r w:rsidRPr="00DB7F70">
              <w:rPr>
                <w:sz w:val="20"/>
                <w:szCs w:val="20"/>
              </w:rPr>
              <w:t xml:space="preserve">30 hrs.; </w:t>
            </w:r>
          </w:p>
          <w:p w14:paraId="487E7CDD" w14:textId="77777777" w:rsidR="004D2BB2" w:rsidRPr="00DB7F70" w:rsidRDefault="004D2BB2" w:rsidP="007F3600">
            <w:pPr>
              <w:jc w:val="right"/>
              <w:rPr>
                <w:sz w:val="20"/>
                <w:szCs w:val="20"/>
              </w:rPr>
            </w:pPr>
            <w:r w:rsidRPr="00DB7F70">
              <w:rPr>
                <w:sz w:val="20"/>
                <w:szCs w:val="20"/>
              </w:rPr>
              <w:t>$</w:t>
            </w:r>
            <w:r>
              <w:rPr>
                <w:sz w:val="20"/>
                <w:szCs w:val="20"/>
              </w:rPr>
              <w:t>2,370</w:t>
            </w:r>
          </w:p>
        </w:tc>
        <w:tc>
          <w:tcPr>
            <w:tcW w:w="2165" w:type="dxa"/>
            <w:vAlign w:val="bottom"/>
          </w:tcPr>
          <w:p w14:paraId="487E7CDE" w14:textId="77777777" w:rsidR="004D2BB2" w:rsidRPr="00DB7F70" w:rsidRDefault="004D2BB2" w:rsidP="007F3600">
            <w:pPr>
              <w:jc w:val="right"/>
              <w:rPr>
                <w:sz w:val="20"/>
                <w:szCs w:val="20"/>
              </w:rPr>
            </w:pPr>
            <w:r w:rsidRPr="00DB7F70">
              <w:rPr>
                <w:sz w:val="20"/>
                <w:szCs w:val="20"/>
              </w:rPr>
              <w:t>1,890</w:t>
            </w:r>
            <w:r>
              <w:rPr>
                <w:sz w:val="20"/>
                <w:szCs w:val="20"/>
              </w:rPr>
              <w:t xml:space="preserve"> hrs.;</w:t>
            </w:r>
          </w:p>
          <w:p w14:paraId="487E7CDF" w14:textId="77777777" w:rsidR="004D2BB2" w:rsidRPr="00DB7F70" w:rsidRDefault="004D2BB2" w:rsidP="007F3600">
            <w:pPr>
              <w:jc w:val="right"/>
              <w:rPr>
                <w:sz w:val="20"/>
                <w:szCs w:val="20"/>
              </w:rPr>
            </w:pPr>
            <w:r w:rsidRPr="00DB7F70">
              <w:rPr>
                <w:sz w:val="20"/>
                <w:szCs w:val="20"/>
              </w:rPr>
              <w:t>$</w:t>
            </w:r>
            <w:r>
              <w:rPr>
                <w:sz w:val="20"/>
                <w:szCs w:val="20"/>
              </w:rPr>
              <w:t>149,310</w:t>
            </w:r>
          </w:p>
        </w:tc>
      </w:tr>
    </w:tbl>
    <w:p w14:paraId="487E7CE2" w14:textId="77777777" w:rsidR="00E74E9A" w:rsidRDefault="00E74E9A" w:rsidP="00E74E9A">
      <w:pPr>
        <w:spacing w:line="480" w:lineRule="auto"/>
        <w:rPr>
          <w:i/>
        </w:rPr>
      </w:pPr>
    </w:p>
    <w:p w14:paraId="487E7CE3" w14:textId="77777777" w:rsidR="00E74E9A" w:rsidRPr="00AF3DE1" w:rsidRDefault="00E74E9A" w:rsidP="00E74E9A">
      <w:pPr>
        <w:spacing w:line="480" w:lineRule="auto"/>
      </w:pPr>
      <w:r w:rsidRPr="00AF3DE1">
        <w:rPr>
          <w:i/>
        </w:rPr>
        <w:t xml:space="preserve">Comments:  </w:t>
      </w:r>
      <w:r w:rsidRPr="00AF3DE1">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87E7CE4" w14:textId="77777777" w:rsidR="00E74E9A" w:rsidRPr="000D3C5E" w:rsidRDefault="00E74E9A" w:rsidP="00E74E9A">
      <w:pPr>
        <w:spacing w:line="480" w:lineRule="auto"/>
      </w:pPr>
      <w:r w:rsidRPr="000D3C5E">
        <w:t xml:space="preserve"> </w:t>
      </w:r>
    </w:p>
    <w:p w14:paraId="487E7CE5" w14:textId="77777777" w:rsidR="002328AE" w:rsidRPr="002328AE" w:rsidRDefault="002328AE" w:rsidP="002328AE">
      <w:pPr>
        <w:ind w:firstLine="2174"/>
        <w:jc w:val="center"/>
      </w:pPr>
      <w:r w:rsidRPr="002328AE">
        <w:t>Kimberly D. Bose,</w:t>
      </w:r>
    </w:p>
    <w:p w14:paraId="487E7CE6" w14:textId="77777777" w:rsidR="002328AE" w:rsidRPr="002328AE" w:rsidRDefault="002328AE" w:rsidP="002328AE">
      <w:pPr>
        <w:ind w:firstLine="2174"/>
        <w:jc w:val="center"/>
      </w:pPr>
      <w:r w:rsidRPr="002328AE">
        <w:t>Secretary.</w:t>
      </w:r>
    </w:p>
    <w:p w14:paraId="487E7CE7" w14:textId="77777777" w:rsidR="00B84CF4" w:rsidRDefault="00B84CF4" w:rsidP="002328AE"/>
    <w:sectPr w:rsidR="00B84CF4" w:rsidSect="00F176E7">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E7CEA" w14:textId="77777777" w:rsidR="00E74E9A" w:rsidRDefault="00E74E9A" w:rsidP="00E74E9A">
      <w:r>
        <w:separator/>
      </w:r>
    </w:p>
  </w:endnote>
  <w:endnote w:type="continuationSeparator" w:id="0">
    <w:p w14:paraId="487E7CEB" w14:textId="77777777" w:rsidR="00E74E9A" w:rsidRDefault="00E74E9A" w:rsidP="00E7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E7CE8" w14:textId="77777777" w:rsidR="00E74E9A" w:rsidRDefault="00E74E9A" w:rsidP="00E74E9A">
      <w:r>
        <w:separator/>
      </w:r>
    </w:p>
  </w:footnote>
  <w:footnote w:type="continuationSeparator" w:id="0">
    <w:p w14:paraId="487E7CE9" w14:textId="77777777" w:rsidR="00E74E9A" w:rsidRDefault="00E74E9A" w:rsidP="00E74E9A">
      <w:r>
        <w:continuationSeparator/>
      </w:r>
    </w:p>
  </w:footnote>
  <w:footnote w:id="1">
    <w:p w14:paraId="487E7CEC" w14:textId="77777777" w:rsidR="00E74E9A" w:rsidRPr="00DB7F70" w:rsidRDefault="00E74E9A" w:rsidP="00E74E9A">
      <w:pPr>
        <w:pStyle w:val="FootnoteText"/>
        <w:spacing w:after="0"/>
        <w:ind w:firstLine="0"/>
        <w:rPr>
          <w:szCs w:val="26"/>
        </w:rPr>
      </w:pPr>
      <w:r w:rsidRPr="00967029">
        <w:rPr>
          <w:rStyle w:val="FootnoteReference"/>
        </w:rPr>
        <w:footnoteRef/>
      </w:r>
      <w:r w:rsidRPr="00DB7F70">
        <w:rPr>
          <w:szCs w:val="26"/>
        </w:rPr>
        <w:t xml:space="preserve"> Issued on 12/22/2006 in Docket No. RM06-4-001 (Promoting Transmission Investment through Pricing Reform)</w:t>
      </w:r>
    </w:p>
  </w:footnote>
  <w:footnote w:id="2">
    <w:p w14:paraId="487E7CED" w14:textId="77777777" w:rsidR="00E74E9A" w:rsidRPr="00967029" w:rsidRDefault="00E74E9A" w:rsidP="00E74E9A">
      <w:pPr>
        <w:pStyle w:val="FootnoteText"/>
        <w:spacing w:after="0"/>
        <w:ind w:firstLine="0"/>
        <w:rPr>
          <w:szCs w:val="26"/>
        </w:rPr>
      </w:pPr>
      <w:r w:rsidRPr="00DB7F70">
        <w:rPr>
          <w:rStyle w:val="FootnoteReference"/>
        </w:rPr>
        <w:footnoteRef/>
      </w:r>
      <w:r w:rsidRPr="00DB7F70">
        <w:rPr>
          <w:szCs w:val="26"/>
        </w:rPr>
        <w:t xml:space="preserve"> </w:t>
      </w:r>
      <w:r w:rsidRPr="00967029">
        <w:rPr>
          <w:szCs w:val="26"/>
        </w:rPr>
        <w:t>Energy Policy Act of 2005, Pub. L. No. 109-58, 119 Stat. 594, 315 and 1283 (2005).</w:t>
      </w:r>
    </w:p>
    <w:p w14:paraId="487E7CEE" w14:textId="77777777" w:rsidR="00E74E9A" w:rsidRPr="00DB7F70" w:rsidRDefault="00E74E9A" w:rsidP="00E74E9A">
      <w:pPr>
        <w:pStyle w:val="FootnoteText"/>
        <w:spacing w:after="0"/>
        <w:ind w:firstLine="0"/>
        <w:rPr>
          <w:szCs w:val="26"/>
        </w:rPr>
      </w:pPr>
    </w:p>
  </w:footnote>
  <w:footnote w:id="3">
    <w:p w14:paraId="487E7CEF" w14:textId="77777777" w:rsidR="00E74E9A" w:rsidRPr="00967029" w:rsidRDefault="00E74E9A" w:rsidP="00E74E9A">
      <w:pPr>
        <w:pStyle w:val="FootnoteText"/>
        <w:spacing w:after="0"/>
        <w:ind w:firstLine="0"/>
        <w:rPr>
          <w:szCs w:val="26"/>
        </w:rPr>
      </w:pPr>
      <w:r w:rsidRPr="00967029">
        <w:rPr>
          <w:rStyle w:val="FootnoteReference"/>
        </w:rPr>
        <w:footnoteRef/>
      </w:r>
      <w:r w:rsidRPr="00967029">
        <w:rPr>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14:paraId="487E7CF0" w14:textId="77777777" w:rsidR="004D2BB2" w:rsidRPr="00967029" w:rsidRDefault="004D2BB2" w:rsidP="00E74E9A">
      <w:pPr>
        <w:pStyle w:val="FootnoteText"/>
        <w:spacing w:after="0"/>
        <w:ind w:firstLine="0"/>
        <w:rPr>
          <w:rFonts w:eastAsiaTheme="minorHAnsi" w:cstheme="minorBidi"/>
          <w:szCs w:val="26"/>
        </w:rPr>
      </w:pPr>
      <w:r w:rsidRPr="00967029">
        <w:rPr>
          <w:rStyle w:val="FootnoteReference"/>
        </w:rPr>
        <w:footnoteRef/>
      </w:r>
      <w:r w:rsidRPr="00967029">
        <w:rPr>
          <w:szCs w:val="26"/>
        </w:rPr>
        <w:t xml:space="preserve"> </w:t>
      </w:r>
      <w:r w:rsidRPr="00967029">
        <w:rPr>
          <w:rFonts w:eastAsiaTheme="minorHAnsi" w:cstheme="minorBidi"/>
          <w:szCs w:val="26"/>
        </w:rPr>
        <w:t>The estimates for cost per response are derived using the formula: Average Burden Hours per Response * 79.00 per hour = Average Cost per Response.  The hourly cost figure comes from the FERC average salary plus benefits of $164,820 per year (or $79.00/hour). These estimates were updated in May 2018. This figure is being used because the staff thinks industry is similarly situated in terms of average hourly cost.</w:t>
      </w:r>
    </w:p>
    <w:p w14:paraId="487E7CF1" w14:textId="77777777" w:rsidR="004D2BB2" w:rsidRPr="00967029" w:rsidRDefault="004D2BB2" w:rsidP="00E74E9A">
      <w:pPr>
        <w:pStyle w:val="FootnoteText"/>
        <w:spacing w:after="0"/>
        <w:ind w:firstLine="0"/>
        <w:rPr>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798680"/>
      <w:docPartObj>
        <w:docPartGallery w:val="Page Numbers (Top of Page)"/>
        <w:docPartUnique/>
      </w:docPartObj>
    </w:sdtPr>
    <w:sdtEndPr>
      <w:rPr>
        <w:noProof/>
      </w:rPr>
    </w:sdtEndPr>
    <w:sdtContent>
      <w:p w14:paraId="6B019A3B" w14:textId="008C4686" w:rsidR="00F176E7" w:rsidRDefault="00F176E7">
        <w:pPr>
          <w:pStyle w:val="Header"/>
        </w:pPr>
        <w:r w:rsidRPr="000F74C4">
          <w:rPr>
            <w:szCs w:val="26"/>
          </w:rPr>
          <w:t>Docket No. IC19-15-000</w:t>
        </w:r>
        <w:r>
          <w:rPr>
            <w:szCs w:val="26"/>
          </w:rPr>
          <w:tab/>
        </w:r>
        <w:r>
          <w:fldChar w:fldCharType="begin"/>
        </w:r>
        <w:r>
          <w:instrText xml:space="preserve"> PAGE   \* MERGEFORMAT </w:instrText>
        </w:r>
        <w:r>
          <w:fldChar w:fldCharType="separate"/>
        </w:r>
        <w:r w:rsidR="004A62F0">
          <w:rPr>
            <w:noProof/>
          </w:rPr>
          <w:t>2</w:t>
        </w:r>
        <w:r>
          <w:rPr>
            <w:noProof/>
          </w:rPr>
          <w:fldChar w:fldCharType="end"/>
        </w:r>
      </w:p>
    </w:sdtContent>
  </w:sdt>
  <w:p w14:paraId="14EF666D" w14:textId="77777777" w:rsidR="00F176E7" w:rsidRDefault="00F17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5EE719D3"/>
    <w:multiLevelType w:val="hybridMultilevel"/>
    <w:tmpl w:val="B9A2F77C"/>
    <w:lvl w:ilvl="0" w:tplc="84B8F298">
      <w:start w:val="1"/>
      <w:numFmt w:val="decimal"/>
      <w:pStyle w:val="FERCparanumber"/>
      <w:lvlText w:val="%1."/>
      <w:lvlJc w:val="left"/>
      <w:pPr>
        <w:tabs>
          <w:tab w:val="num" w:pos="72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9A"/>
    <w:rsid w:val="002328AE"/>
    <w:rsid w:val="004A62F0"/>
    <w:rsid w:val="004C51ED"/>
    <w:rsid w:val="004C56F1"/>
    <w:rsid w:val="004D2BB2"/>
    <w:rsid w:val="005951BE"/>
    <w:rsid w:val="00647426"/>
    <w:rsid w:val="00A1657E"/>
    <w:rsid w:val="00B84CF4"/>
    <w:rsid w:val="00D319D0"/>
    <w:rsid w:val="00E74E9A"/>
    <w:rsid w:val="00F1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487E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9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4E9A"/>
    <w:rPr>
      <w:color w:val="0000FF"/>
      <w:u w:val="single"/>
    </w:rPr>
  </w:style>
  <w:style w:type="paragraph" w:customStyle="1" w:styleId="FERCparanumber">
    <w:name w:val="FERC paranumber"/>
    <w:basedOn w:val="Normal"/>
    <w:rsid w:val="00E74E9A"/>
    <w:pPr>
      <w:numPr>
        <w:numId w:val="2"/>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rsid w:val="00E74E9A"/>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rsid w:val="00E74E9A"/>
    <w:pPr>
      <w:spacing w:after="260"/>
      <w:ind w:firstLine="720"/>
    </w:pPr>
    <w:rPr>
      <w:szCs w:val="20"/>
    </w:rPr>
  </w:style>
  <w:style w:type="character" w:customStyle="1" w:styleId="FootnoteTextChar">
    <w:name w:val="Footnote Text Char"/>
    <w:basedOn w:val="DefaultParagraphFont"/>
    <w:uiPriority w:val="99"/>
    <w:semiHidden/>
    <w:rsid w:val="00E74E9A"/>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E74E9A"/>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F176E7"/>
    <w:pPr>
      <w:tabs>
        <w:tab w:val="center" w:pos="4680"/>
        <w:tab w:val="right" w:pos="9360"/>
      </w:tabs>
    </w:pPr>
  </w:style>
  <w:style w:type="character" w:customStyle="1" w:styleId="HeaderChar">
    <w:name w:val="Header Char"/>
    <w:basedOn w:val="DefaultParagraphFont"/>
    <w:link w:val="Header"/>
    <w:uiPriority w:val="99"/>
    <w:rsid w:val="00F176E7"/>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F176E7"/>
    <w:pPr>
      <w:tabs>
        <w:tab w:val="center" w:pos="4680"/>
        <w:tab w:val="right" w:pos="9360"/>
      </w:tabs>
    </w:pPr>
  </w:style>
  <w:style w:type="character" w:customStyle="1" w:styleId="FooterChar">
    <w:name w:val="Footer Char"/>
    <w:basedOn w:val="DefaultParagraphFont"/>
    <w:link w:val="Footer"/>
    <w:uiPriority w:val="99"/>
    <w:rsid w:val="00F176E7"/>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9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4E9A"/>
    <w:rPr>
      <w:color w:val="0000FF"/>
      <w:u w:val="single"/>
    </w:rPr>
  </w:style>
  <w:style w:type="paragraph" w:customStyle="1" w:styleId="FERCparanumber">
    <w:name w:val="FERC paranumber"/>
    <w:basedOn w:val="Normal"/>
    <w:rsid w:val="00E74E9A"/>
    <w:pPr>
      <w:numPr>
        <w:numId w:val="2"/>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rsid w:val="00E74E9A"/>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rsid w:val="00E74E9A"/>
    <w:pPr>
      <w:spacing w:after="260"/>
      <w:ind w:firstLine="720"/>
    </w:pPr>
    <w:rPr>
      <w:szCs w:val="20"/>
    </w:rPr>
  </w:style>
  <w:style w:type="character" w:customStyle="1" w:styleId="FootnoteTextChar">
    <w:name w:val="Footnote Text Char"/>
    <w:basedOn w:val="DefaultParagraphFont"/>
    <w:uiPriority w:val="99"/>
    <w:semiHidden/>
    <w:rsid w:val="00E74E9A"/>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E74E9A"/>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F176E7"/>
    <w:pPr>
      <w:tabs>
        <w:tab w:val="center" w:pos="4680"/>
        <w:tab w:val="right" w:pos="9360"/>
      </w:tabs>
    </w:pPr>
  </w:style>
  <w:style w:type="character" w:customStyle="1" w:styleId="HeaderChar">
    <w:name w:val="Header Char"/>
    <w:basedOn w:val="DefaultParagraphFont"/>
    <w:link w:val="Header"/>
    <w:uiPriority w:val="99"/>
    <w:rsid w:val="00F176E7"/>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F176E7"/>
    <w:pPr>
      <w:tabs>
        <w:tab w:val="center" w:pos="4680"/>
        <w:tab w:val="right" w:pos="9360"/>
      </w:tabs>
    </w:pPr>
  </w:style>
  <w:style w:type="character" w:customStyle="1" w:styleId="FooterChar">
    <w:name w:val="Footer Char"/>
    <w:basedOn w:val="DefaultParagraphFont"/>
    <w:link w:val="Footer"/>
    <w:uiPriority w:val="99"/>
    <w:rsid w:val="00F176E7"/>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9956C4AF-F8DE-40CC-8C18-3CCE177C9A5C}">
  <ds:schemaRefs>
    <ds:schemaRef ds:uri="http://schemas.microsoft.com/sharepoint/v3/contenttype/forms"/>
  </ds:schemaRefs>
</ds:datastoreItem>
</file>

<file path=customXml/itemProps2.xml><?xml version="1.0" encoding="utf-8"?>
<ds:datastoreItem xmlns:ds="http://schemas.openxmlformats.org/officeDocument/2006/customXml" ds:itemID="{C446BD20-4A5A-4517-80E5-F370C2F74AC7}">
  <ds:schemaRefs>
    <ds:schemaRef ds:uri="Microsoft.SharePoint.Taxonomy.ContentTypeSync"/>
  </ds:schemaRefs>
</ds:datastoreItem>
</file>

<file path=customXml/itemProps3.xml><?xml version="1.0" encoding="utf-8"?>
<ds:datastoreItem xmlns:ds="http://schemas.openxmlformats.org/officeDocument/2006/customXml" ds:itemID="{9D2F71C7-9689-4996-A422-F992E8F9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C2830-7C0B-4A97-8E6C-CCD537BADFAB}">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www.w3.org/XML/1998/namespace"/>
    <ds:schemaRef ds:uri="5e8733a2-e908-454b-85cf-c9d17e1d094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2019-05-08T11:27:00Z</dcterms:created>
  <dcterms:modified xsi:type="dcterms:W3CDTF">2019-05-08T11:27:00Z</dcterms:modified>
  <cp:category/>
  <dc:identifier/>
  <cp:contentStatus/>
  <cp:version/>
</cp:coreProperties>
</file>