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30ADF9" w14:textId="77777777" w:rsidR="00386054" w:rsidRPr="00F303ED" w:rsidRDefault="00386054" w:rsidP="00B578F4">
      <w:pPr>
        <w:pStyle w:val="Title"/>
      </w:pPr>
      <w:bookmarkStart w:id="0" w:name="_GoBack"/>
      <w:bookmarkEnd w:id="0"/>
      <w:r w:rsidRPr="00F303ED">
        <w:t>SUPPORTING STATEMENT</w:t>
      </w:r>
    </w:p>
    <w:p w14:paraId="5C8F21A4" w14:textId="77777777" w:rsidR="00BA13A2" w:rsidRPr="00F303ED" w:rsidRDefault="00386054" w:rsidP="00B578F4">
      <w:pPr>
        <w:pStyle w:val="Title"/>
      </w:pPr>
      <w:r w:rsidRPr="00F303ED">
        <w:t>FOR PAPERWORK REDUCTION ACT SUBMISSION</w:t>
      </w:r>
    </w:p>
    <w:p w14:paraId="7A0A77E7" w14:textId="77777777" w:rsidR="00FE1080" w:rsidRDefault="00016E14">
      <w:pPr>
        <w:jc w:val="center"/>
        <w:rPr>
          <w:b/>
          <w:color w:val="0070C0"/>
        </w:rPr>
      </w:pPr>
      <w:r w:rsidRPr="00F303ED">
        <w:rPr>
          <w:b/>
        </w:rPr>
        <w:t xml:space="preserve">OMB Number: </w:t>
      </w:r>
      <w:r w:rsidR="00282A0D">
        <w:rPr>
          <w:b/>
        </w:rPr>
        <w:t>0985-NEW</w:t>
      </w:r>
      <w:r w:rsidR="00FE1080">
        <w:rPr>
          <w:b/>
          <w:color w:val="0070C0"/>
        </w:rPr>
        <w:t xml:space="preserve"> </w:t>
      </w:r>
    </w:p>
    <w:p w14:paraId="7EA6C543" w14:textId="77777777" w:rsidR="00794D5A" w:rsidRPr="00F303ED" w:rsidRDefault="00794D5A">
      <w:pPr>
        <w:jc w:val="center"/>
      </w:pPr>
    </w:p>
    <w:p w14:paraId="5EEA8E5A" w14:textId="77777777" w:rsidR="009D0277" w:rsidRDefault="00016E14" w:rsidP="00D850AF">
      <w:pPr>
        <w:pStyle w:val="Heading1"/>
        <w:numPr>
          <w:ilvl w:val="0"/>
          <w:numId w:val="4"/>
        </w:numPr>
        <w:spacing w:after="0"/>
        <w:rPr>
          <w:rFonts w:cs="Times New Roman"/>
          <w:sz w:val="24"/>
          <w:szCs w:val="24"/>
        </w:rPr>
      </w:pPr>
      <w:r w:rsidRPr="00F303ED">
        <w:rPr>
          <w:rFonts w:cs="Times New Roman"/>
          <w:sz w:val="24"/>
          <w:szCs w:val="24"/>
        </w:rPr>
        <w:t>Justification</w:t>
      </w:r>
    </w:p>
    <w:p w14:paraId="67640C01" w14:textId="77777777" w:rsidR="00386054" w:rsidRPr="00F303ED" w:rsidRDefault="00386054" w:rsidP="00A21615"/>
    <w:p w14:paraId="042D5F21" w14:textId="77777777" w:rsidR="00820C7C" w:rsidRPr="00770C12" w:rsidRDefault="00D920EB" w:rsidP="00D850AF">
      <w:pPr>
        <w:pStyle w:val="ListParagraph"/>
        <w:numPr>
          <w:ilvl w:val="0"/>
          <w:numId w:val="1"/>
        </w:numPr>
        <w:spacing w:before="0" w:after="0"/>
        <w:ind w:left="0"/>
        <w:rPr>
          <w:b/>
          <w:u w:val="single"/>
        </w:rPr>
      </w:pPr>
      <w:r w:rsidRPr="00770C12">
        <w:rPr>
          <w:b/>
          <w:u w:val="single"/>
        </w:rPr>
        <w:t xml:space="preserve">Circumstances Making the Collection of Information Necessary </w:t>
      </w:r>
    </w:p>
    <w:p w14:paraId="5BA72384" w14:textId="77777777" w:rsidR="00DF46EB" w:rsidRDefault="00DF46EB" w:rsidP="00DF46EB">
      <w:pPr>
        <w:pStyle w:val="Heading3"/>
        <w:spacing w:after="0"/>
        <w:ind w:left="0"/>
      </w:pPr>
    </w:p>
    <w:p w14:paraId="360A7770" w14:textId="77777777" w:rsidR="00DF46EB" w:rsidRPr="0087796D" w:rsidRDefault="00DF46EB" w:rsidP="00DF46EB">
      <w:pPr>
        <w:pStyle w:val="Heading3"/>
        <w:spacing w:after="0"/>
        <w:ind w:left="0"/>
      </w:pPr>
      <w:r w:rsidRPr="0087796D">
        <w:t xml:space="preserve">Background </w:t>
      </w:r>
    </w:p>
    <w:p w14:paraId="4A94E086" w14:textId="77777777" w:rsidR="00DF46EB" w:rsidRDefault="00DF46EB" w:rsidP="00DF46EB">
      <w:pPr>
        <w:spacing w:after="0"/>
      </w:pPr>
      <w:r>
        <w:t>The current long term services and supports (LTSS) system involves numerous funding streams administered by federal, state and local agencies using various screening, intake, assessment, and eligibility determination processes. Individuals seeking LTSS frequently find themselves confronted with a variety of organizations and requirements at a time when they are vulnerable or in crisis. This often results in people making decisions based on incomplete, and sometimes inaccurate, information that may lead to decisions to purchase and/or use LTSS options that are less than optimal for the individual and more expensive than necessary. This leads to higher rates of institutionalization and service costs, resulting in a burden on the system as well as the person.</w:t>
      </w:r>
    </w:p>
    <w:p w14:paraId="4C76508B" w14:textId="77777777" w:rsidR="00DF46EB" w:rsidRDefault="00DF46EB" w:rsidP="00DF46EB">
      <w:pPr>
        <w:spacing w:after="0"/>
      </w:pPr>
    </w:p>
    <w:p w14:paraId="71FCB27E" w14:textId="254CE430" w:rsidR="00DF46EB" w:rsidRDefault="00DF46EB" w:rsidP="00DF46EB">
      <w:pPr>
        <w:spacing w:after="0"/>
      </w:pPr>
      <w:r>
        <w:t xml:space="preserve">The NWD System initiative addresses the existing fragmentation and supports the need for early community-based interventions. ACL and its partners issued joint funding opportunities to support states in better coordinating and integrating their existing LTSS access functions to develop a new interface that would make it easier for people to learn about and quickly access options that meet their needs.  Between 2003 and 2009, the first funding opportunities, granted to all 50 states and several territories, were issued to launch the Aging and Disability Resource Center (ADRC) program. ADRCs </w:t>
      </w:r>
      <w:r w:rsidR="0009563E">
        <w:t xml:space="preserve">are </w:t>
      </w:r>
      <w:r>
        <w:t xml:space="preserve">designed to provide consumers with “visible and trusted” sources of information, one-on-one counseling, and streamlined access to LTSS. As the number of participating states grew and recognizing that LTSS systems involves multiple payers and providers, the ADRC program evolved into a “systems change” initiative, known as the No Wrong Door System. </w:t>
      </w:r>
      <w:r w:rsidRPr="009B426E">
        <w:t>A state NWD System</w:t>
      </w:r>
      <w:r w:rsidR="0009563E">
        <w:t>, which includes ADRCs and other LTSS programs and services,</w:t>
      </w:r>
      <w:r w:rsidRPr="009B426E">
        <w:t xml:space="preserve"> is a network of community-based organizations and state agencies that manage access functions and processes for many of the services older individuals, people with disabilities, including Veterans, and their caregivers need to access and maintain quality living in the community.</w:t>
      </w:r>
    </w:p>
    <w:p w14:paraId="06588F5A" w14:textId="77777777" w:rsidR="00DF46EB" w:rsidRDefault="00DF46EB" w:rsidP="00DF46EB">
      <w:pPr>
        <w:spacing w:after="0"/>
      </w:pPr>
    </w:p>
    <w:p w14:paraId="0E8021AD" w14:textId="11DABE50" w:rsidR="00DF46EB" w:rsidRDefault="00DF46EB" w:rsidP="00DF46EB">
      <w:pPr>
        <w:spacing w:after="0"/>
      </w:pPr>
      <w:r>
        <w:t>The first funding opportunity to fully adopt the NWD vision was issued in 2012 to eight states. Lessons learned from these grants demonstrated that no one agency or network could successfully implement a LTSS access system without having multiple agencies and organizations at the state and local level formally involved in the system's operations. In 2014, 25 states received one</w:t>
      </w:r>
      <w:r w:rsidR="000C3EBE">
        <w:t>-</w:t>
      </w:r>
      <w:r>
        <w:t>year planning grants to develop written strategies to transform their multiple LTSS access programs and functions into a single statewide NWD System. In 2015, five of the 25 state planning grantees received three-year awards to implement their planning grants.</w:t>
      </w:r>
    </w:p>
    <w:p w14:paraId="6498A33E" w14:textId="77777777" w:rsidR="00DF46EB" w:rsidRDefault="00DF46EB" w:rsidP="00DF46EB">
      <w:pPr>
        <w:spacing w:after="0"/>
      </w:pPr>
    </w:p>
    <w:p w14:paraId="4EBB609B" w14:textId="77777777" w:rsidR="00DF46EB" w:rsidRDefault="00DF46EB" w:rsidP="00DF46EB">
      <w:pPr>
        <w:spacing w:after="0"/>
      </w:pPr>
      <w:r>
        <w:lastRenderedPageBreak/>
        <w:t>In addition to providing discretionary grants, ACL, in collaboration with states and federal partners at the</w:t>
      </w:r>
      <w:r w:rsidRPr="00FD6998">
        <w:t xml:space="preserve"> Centers for Medicare &amp; Medicaid Services (CMS), and the Veterans Health Administration (VHA)</w:t>
      </w:r>
      <w:r>
        <w:t xml:space="preserve">, developed the </w:t>
      </w:r>
      <w:r w:rsidRPr="00AF6CF8">
        <w:t>NWD System Key Elements</w:t>
      </w:r>
      <w:r>
        <w:rPr>
          <w:rStyle w:val="FootnoteReference"/>
        </w:rPr>
        <w:footnoteReference w:id="1"/>
      </w:r>
      <w:r>
        <w:t xml:space="preserve"> which defines four key functions of a NWD System: 1) State Governance and Administration, 2) Public Outreach and Coordination of Key Referral Sources, 3) Person-Centered Counseling, and 4) Streamlined Eligibility for Public Programs.</w:t>
      </w:r>
    </w:p>
    <w:p w14:paraId="05760768" w14:textId="77777777" w:rsidR="00DF46EB" w:rsidRDefault="00DF46EB" w:rsidP="00DF46EB">
      <w:pPr>
        <w:spacing w:after="0"/>
      </w:pPr>
    </w:p>
    <w:p w14:paraId="1C06E63E" w14:textId="14B7F71D" w:rsidR="00DF46EB" w:rsidRDefault="00DF46EB" w:rsidP="00DF46EB">
      <w:pPr>
        <w:spacing w:after="0"/>
      </w:pPr>
      <w:r w:rsidRPr="00A21615">
        <w:t>The latter three functions reflect interactions with individuals that occur fluidly and possibly simultaneously</w:t>
      </w:r>
      <w:r w:rsidR="00892227">
        <w:t xml:space="preserve">. </w:t>
      </w:r>
      <w:r w:rsidRPr="00141A84">
        <w:t>The federal vision for the NWD System gives states flexibility in determining how best to organize, structure and operate the various functions of their NWD System. States continue to integrate, in some cases restructure, and over time strengthen their existing programs</w:t>
      </w:r>
      <w:r>
        <w:t>. Nationally, NWD Systems have taken important steps towards meeting the ACL, CMS, and VHA vision by:</w:t>
      </w:r>
    </w:p>
    <w:p w14:paraId="4FBB9A9C" w14:textId="77777777" w:rsidR="00DF46EB" w:rsidRDefault="00DF46EB" w:rsidP="00DF46EB">
      <w:pPr>
        <w:spacing w:after="0"/>
      </w:pPr>
    </w:p>
    <w:p w14:paraId="6B273473" w14:textId="77777777" w:rsidR="00DF46EB" w:rsidRDefault="00DF46EB" w:rsidP="00DF46EB">
      <w:pPr>
        <w:pStyle w:val="ListParagraph"/>
        <w:numPr>
          <w:ilvl w:val="0"/>
          <w:numId w:val="17"/>
        </w:numPr>
        <w:spacing w:after="0"/>
      </w:pPr>
      <w:r>
        <w:t>Creating a person-centered, community-based LTSS system environment that promotes independence and dignity for individuals.</w:t>
      </w:r>
    </w:p>
    <w:p w14:paraId="5A14218D" w14:textId="77777777" w:rsidR="00DF46EB" w:rsidRDefault="00DF46EB" w:rsidP="00DF46EB">
      <w:pPr>
        <w:pStyle w:val="ListParagraph"/>
        <w:numPr>
          <w:ilvl w:val="0"/>
          <w:numId w:val="17"/>
        </w:numPr>
        <w:spacing w:after="0"/>
      </w:pPr>
      <w:r>
        <w:t>Providing easy access to information and one-on-one counseling to assist consumers in exploring a full range of long-term support options.</w:t>
      </w:r>
    </w:p>
    <w:p w14:paraId="51580F24" w14:textId="77777777" w:rsidR="00DF46EB" w:rsidRPr="00141A84" w:rsidRDefault="00DF46EB" w:rsidP="00DF46EB">
      <w:pPr>
        <w:pStyle w:val="ListParagraph"/>
        <w:numPr>
          <w:ilvl w:val="0"/>
          <w:numId w:val="17"/>
        </w:numPr>
        <w:spacing w:after="0"/>
      </w:pPr>
      <w:r>
        <w:t xml:space="preserve">Providing resources and services that support the needs of all populations, including </w:t>
      </w:r>
      <w:r w:rsidRPr="00543CA3">
        <w:t>older individuals, people with disabilities</w:t>
      </w:r>
      <w:r>
        <w:t xml:space="preserve">, </w:t>
      </w:r>
      <w:r w:rsidRPr="00543CA3">
        <w:t xml:space="preserve">Veterans, and their </w:t>
      </w:r>
      <w:r>
        <w:t>family caregivers.</w:t>
      </w:r>
    </w:p>
    <w:p w14:paraId="3A49A7A7" w14:textId="77777777" w:rsidR="00DF46EB" w:rsidRDefault="00DF46EB" w:rsidP="00DF46EB">
      <w:pPr>
        <w:spacing w:after="0"/>
      </w:pPr>
    </w:p>
    <w:p w14:paraId="36B187C3" w14:textId="77777777" w:rsidR="00DF46EB" w:rsidRDefault="00DF46EB" w:rsidP="00DF46EB">
      <w:pPr>
        <w:rPr>
          <w:rFonts w:eastAsiaTheme="minorHAnsi"/>
        </w:rPr>
      </w:pPr>
      <w:r>
        <w:rPr>
          <w:rFonts w:eastAsiaTheme="minorHAnsi"/>
        </w:rPr>
        <w:t xml:space="preserve">In addition, the </w:t>
      </w:r>
      <w:r w:rsidRPr="008A4CF3">
        <w:rPr>
          <w:rFonts w:eastAsiaTheme="minorHAnsi"/>
        </w:rPr>
        <w:t xml:space="preserve">VHA recognized the value of the nationwide aging and disability network and built a partnership </w:t>
      </w:r>
      <w:r>
        <w:rPr>
          <w:rFonts w:eastAsiaTheme="minorHAnsi"/>
        </w:rPr>
        <w:t xml:space="preserve">with ACL </w:t>
      </w:r>
      <w:r w:rsidRPr="008A4CF3">
        <w:rPr>
          <w:rFonts w:eastAsiaTheme="minorHAnsi"/>
        </w:rPr>
        <w:t>to purchase an evidence-based self-directed program, known as the Veteran</w:t>
      </w:r>
      <w:r>
        <w:rPr>
          <w:rFonts w:eastAsiaTheme="minorHAnsi"/>
        </w:rPr>
        <w:t xml:space="preserve"> </w:t>
      </w:r>
      <w:r w:rsidRPr="008A4CF3">
        <w:rPr>
          <w:rFonts w:eastAsiaTheme="minorHAnsi"/>
        </w:rPr>
        <w:t xml:space="preserve">Directed </w:t>
      </w:r>
      <w:r>
        <w:rPr>
          <w:rFonts w:eastAsiaTheme="minorHAnsi"/>
        </w:rPr>
        <w:t>Care</w:t>
      </w:r>
      <w:r w:rsidRPr="008A4CF3">
        <w:rPr>
          <w:rFonts w:eastAsiaTheme="minorHAnsi"/>
        </w:rPr>
        <w:t xml:space="preserve"> Program (</w:t>
      </w:r>
      <w:r>
        <w:rPr>
          <w:rFonts w:eastAsiaTheme="minorHAnsi"/>
        </w:rPr>
        <w:t>VDC</w:t>
      </w:r>
      <w:r w:rsidRPr="008A4CF3">
        <w:rPr>
          <w:rFonts w:eastAsiaTheme="minorHAnsi"/>
        </w:rPr>
        <w:t>) from the NWD System.</w:t>
      </w:r>
      <w:r>
        <w:rPr>
          <w:rFonts w:eastAsiaTheme="minorHAnsi"/>
        </w:rPr>
        <w:t xml:space="preserve"> </w:t>
      </w:r>
      <w:r w:rsidRPr="008A4CF3">
        <w:rPr>
          <w:rFonts w:eastAsiaTheme="minorHAnsi"/>
        </w:rPr>
        <w:t>Person-centered counselors from aging and disability network agencies within a state’s NWD System provide facilitated assessment and care planning, arrange fiscal management services and provide ongoing counseling and support to Veterans, their families and caregivers.</w:t>
      </w:r>
      <w:r w:rsidRPr="005408AF">
        <w:rPr>
          <w:rFonts w:eastAsiaTheme="minorHAnsi"/>
        </w:rPr>
        <w:t xml:space="preserve"> </w:t>
      </w:r>
      <w:r>
        <w:rPr>
          <w:rFonts w:eastAsiaTheme="minorHAnsi"/>
        </w:rPr>
        <w:t>As part of this partnership, NWD Systems include this program in its data collection activities.</w:t>
      </w:r>
    </w:p>
    <w:p w14:paraId="53B2125D" w14:textId="77777777" w:rsidR="00DF46EB" w:rsidRDefault="00DF46EB" w:rsidP="00DF46EB">
      <w:pPr>
        <w:spacing w:after="0"/>
      </w:pPr>
    </w:p>
    <w:p w14:paraId="7DEA337A" w14:textId="77777777" w:rsidR="008E3EA3" w:rsidRDefault="00DF46EB" w:rsidP="00DF46EB">
      <w:pPr>
        <w:spacing w:after="0"/>
      </w:pPr>
      <w:r>
        <w:t>Currently, 56 states and territories have NWD activity with a</w:t>
      </w:r>
      <w:r w:rsidRPr="00141A84">
        <w:t>n estimate</w:t>
      </w:r>
      <w:r>
        <w:t xml:space="preserve">d 996 local agencies within </w:t>
      </w:r>
      <w:r w:rsidRPr="00141A84">
        <w:t>the NWD System actively serving older adults and persons with disabilities</w:t>
      </w:r>
      <w:r>
        <w:t>. According to the AARP 2017 Scorecard, states have collectively achieved 60% progress toward developing a single statewide NWD System as measured by criteria across five areas – state governance and administration, target populations, public outreach and coordination with key referral sources, person-centered counseling, and streamlined eligibility for public programs.</w:t>
      </w:r>
      <w:r>
        <w:rPr>
          <w:rStyle w:val="FootnoteReference"/>
        </w:rPr>
        <w:footnoteReference w:id="2"/>
      </w:r>
      <w:r>
        <w:t xml:space="preserve"> </w:t>
      </w:r>
      <w:r w:rsidR="0009563E">
        <w:t xml:space="preserve">Once </w:t>
      </w:r>
      <w:r w:rsidR="00185615">
        <w:t>t</w:t>
      </w:r>
      <w:r w:rsidR="00354E3B">
        <w:t>his new information collection tool</w:t>
      </w:r>
      <w:r w:rsidR="0009563E">
        <w:t xml:space="preserve"> is approved, it may no longer be necessary for AARP to collect data that assesses states’ progress toward developing a NWD System.</w:t>
      </w:r>
    </w:p>
    <w:p w14:paraId="679C877F" w14:textId="77777777" w:rsidR="008E3EA3" w:rsidRDefault="008E3EA3" w:rsidP="00DF46EB">
      <w:pPr>
        <w:spacing w:after="0"/>
      </w:pPr>
    </w:p>
    <w:p w14:paraId="71776169" w14:textId="5F916354" w:rsidR="00DF46EB" w:rsidRDefault="0009563E" w:rsidP="00DF46EB">
      <w:pPr>
        <w:spacing w:after="0"/>
      </w:pPr>
      <w:r>
        <w:t xml:space="preserve"> </w:t>
      </w:r>
      <w:r w:rsidR="00BF7877">
        <w:t xml:space="preserve">In addition, </w:t>
      </w:r>
      <w:r w:rsidR="00DF46EB">
        <w:t>NWD Systems help people trying to access LTSS who might otherwise make decisions based on inaccurate or incomplete information, which can be more expensive than necessary.</w:t>
      </w:r>
      <w:r w:rsidR="00DF46EB">
        <w:rPr>
          <w:rStyle w:val="FootnoteReference"/>
        </w:rPr>
        <w:footnoteReference w:id="3"/>
      </w:r>
      <w:r w:rsidR="00DF46EB">
        <w:t xml:space="preserve"> For instance, institutional care, such as a nursing facility, can cost three times as much as in-home supports. A recent study of Medicaid beneficiaries found that initiating services through community-based LTSS is associated with dramatic differences in future long institutional stays, with less than one percent of people initiating LTSS in the community experiencing a long institutional stay and 73 percent of people initiating care in an institution subsequently experiencing a long stay.</w:t>
      </w:r>
      <w:r w:rsidR="00DF46EB">
        <w:rPr>
          <w:rStyle w:val="FootnoteReference"/>
        </w:rPr>
        <w:footnoteReference w:id="4"/>
      </w:r>
    </w:p>
    <w:p w14:paraId="0BE0DB01" w14:textId="77777777" w:rsidR="00DF46EB" w:rsidRDefault="00DF46EB" w:rsidP="00DF46EB">
      <w:pPr>
        <w:pStyle w:val="Heading3"/>
        <w:ind w:left="0"/>
      </w:pPr>
    </w:p>
    <w:p w14:paraId="4C3E7188" w14:textId="77777777" w:rsidR="00CA0AA3" w:rsidRPr="0087796D" w:rsidRDefault="00A21615" w:rsidP="00DF46EB">
      <w:pPr>
        <w:pStyle w:val="Heading3"/>
        <w:ind w:left="0"/>
      </w:pPr>
      <w:r>
        <w:t>Authorizing Legislation</w:t>
      </w:r>
    </w:p>
    <w:p w14:paraId="129642C7" w14:textId="77777777" w:rsidR="0086798F" w:rsidRDefault="0086798F" w:rsidP="00CA0AA3">
      <w:pPr>
        <w:spacing w:after="0"/>
        <w:ind w:right="674"/>
      </w:pPr>
      <w:r w:rsidRPr="0086798F">
        <w:t xml:space="preserve">This New Data Collection (ICR New) </w:t>
      </w:r>
      <w:r>
        <w:t>seeks</w:t>
      </w:r>
      <w:r w:rsidRPr="0086798F">
        <w:t xml:space="preserve"> information collection requirements relating to the Aging and Disability Resource Center/No Wrong Door System (ADRC/NWD)</w:t>
      </w:r>
      <w:r w:rsidR="00B93176">
        <w:t xml:space="preserve"> and the Veteran Directed Care (VDC) program</w:t>
      </w:r>
      <w:r w:rsidRPr="0086798F">
        <w:t>. The statutory authority for ADRC/NWD is contained in Title IV of the Older Americans Act (OAA) (42U.S.C. 3032), as amended by the Older Americans Act Amendments of 2006, P.L. 109-365</w:t>
      </w:r>
      <w:r w:rsidR="00A003EE">
        <w:t>.</w:t>
      </w:r>
    </w:p>
    <w:p w14:paraId="298C9400" w14:textId="77777777" w:rsidR="0086798F" w:rsidRDefault="0086798F" w:rsidP="00CA0AA3">
      <w:pPr>
        <w:spacing w:after="0"/>
        <w:ind w:right="674"/>
      </w:pPr>
    </w:p>
    <w:p w14:paraId="11169753" w14:textId="77777777" w:rsidR="00CA0AA3" w:rsidRPr="00A21615" w:rsidRDefault="00CA0AA3" w:rsidP="00CA0AA3">
      <w:pPr>
        <w:spacing w:after="0"/>
        <w:ind w:right="674"/>
      </w:pPr>
      <w:r w:rsidRPr="00A21615">
        <w:t>Title</w:t>
      </w:r>
      <w:r w:rsidRPr="00A21615">
        <w:rPr>
          <w:spacing w:val="-5"/>
        </w:rPr>
        <w:t xml:space="preserve"> </w:t>
      </w:r>
      <w:r w:rsidRPr="00A21615">
        <w:t>II Section</w:t>
      </w:r>
      <w:r w:rsidRPr="00A21615">
        <w:rPr>
          <w:spacing w:val="-7"/>
        </w:rPr>
        <w:t xml:space="preserve"> </w:t>
      </w:r>
      <w:r w:rsidRPr="00A21615">
        <w:t>202b of the</w:t>
      </w:r>
      <w:r w:rsidRPr="00A21615">
        <w:rPr>
          <w:spacing w:val="-3"/>
        </w:rPr>
        <w:t xml:space="preserve"> </w:t>
      </w:r>
      <w:r w:rsidRPr="00A21615">
        <w:t>OAA (Public</w:t>
      </w:r>
      <w:r w:rsidRPr="00A21615">
        <w:rPr>
          <w:spacing w:val="-7"/>
        </w:rPr>
        <w:t xml:space="preserve"> </w:t>
      </w:r>
      <w:r w:rsidRPr="00A21615">
        <w:t>Law</w:t>
      </w:r>
      <w:r w:rsidRPr="00A21615">
        <w:rPr>
          <w:spacing w:val="-4"/>
        </w:rPr>
        <w:t xml:space="preserve"> </w:t>
      </w:r>
      <w:r w:rsidRPr="00A21615">
        <w:t>109-365) specifically</w:t>
      </w:r>
      <w:r w:rsidRPr="00A21615">
        <w:rPr>
          <w:spacing w:val="-11"/>
        </w:rPr>
        <w:t xml:space="preserve"> </w:t>
      </w:r>
      <w:r w:rsidRPr="00A21615">
        <w:t>authorizes</w:t>
      </w:r>
      <w:r w:rsidRPr="00A21615">
        <w:rPr>
          <w:spacing w:val="-10"/>
        </w:rPr>
        <w:t xml:space="preserve"> </w:t>
      </w:r>
      <w:r w:rsidRPr="00A21615">
        <w:t>the Assistant</w:t>
      </w:r>
      <w:r w:rsidRPr="00A21615">
        <w:rPr>
          <w:spacing w:val="-9"/>
        </w:rPr>
        <w:t xml:space="preserve"> </w:t>
      </w:r>
      <w:r w:rsidRPr="00A21615">
        <w:t>Secretary</w:t>
      </w:r>
      <w:r w:rsidRPr="00A21615">
        <w:rPr>
          <w:spacing w:val="-9"/>
        </w:rPr>
        <w:t xml:space="preserve"> </w:t>
      </w:r>
      <w:r w:rsidRPr="00A21615">
        <w:t>for Aging</w:t>
      </w:r>
      <w:r w:rsidRPr="00A21615">
        <w:rPr>
          <w:spacing w:val="-6"/>
        </w:rPr>
        <w:t xml:space="preserve"> </w:t>
      </w:r>
      <w:r w:rsidRPr="00A21615">
        <w:t>to</w:t>
      </w:r>
      <w:r w:rsidRPr="00A21615">
        <w:rPr>
          <w:spacing w:val="-2"/>
        </w:rPr>
        <w:t xml:space="preserve"> </w:t>
      </w:r>
      <w:r w:rsidRPr="00A21615">
        <w:t>work with</w:t>
      </w:r>
      <w:r w:rsidRPr="00A21615">
        <w:rPr>
          <w:spacing w:val="-4"/>
        </w:rPr>
        <w:t xml:space="preserve"> </w:t>
      </w:r>
      <w:r w:rsidRPr="00A21615">
        <w:t>the</w:t>
      </w:r>
      <w:r w:rsidRPr="00A21615">
        <w:rPr>
          <w:spacing w:val="-3"/>
        </w:rPr>
        <w:t xml:space="preserve"> </w:t>
      </w:r>
      <w:r w:rsidRPr="00A21615">
        <w:t>Administrator</w:t>
      </w:r>
      <w:r w:rsidRPr="00A21615">
        <w:rPr>
          <w:spacing w:val="-13"/>
        </w:rPr>
        <w:t xml:space="preserve"> </w:t>
      </w:r>
      <w:r w:rsidRPr="00A21615">
        <w:t>of the</w:t>
      </w:r>
      <w:r w:rsidRPr="00A21615">
        <w:rPr>
          <w:spacing w:val="-3"/>
        </w:rPr>
        <w:t xml:space="preserve"> </w:t>
      </w:r>
      <w:r w:rsidRPr="00A21615">
        <w:t>Centers</w:t>
      </w:r>
      <w:r w:rsidRPr="00A21615">
        <w:rPr>
          <w:spacing w:val="-7"/>
        </w:rPr>
        <w:t xml:space="preserve"> </w:t>
      </w:r>
      <w:r w:rsidRPr="00A21615">
        <w:t>for Medicare</w:t>
      </w:r>
      <w:r w:rsidRPr="00A21615">
        <w:rPr>
          <w:spacing w:val="-9"/>
        </w:rPr>
        <w:t xml:space="preserve"> </w:t>
      </w:r>
      <w:r w:rsidRPr="00A21615">
        <w:t>&amp;</w:t>
      </w:r>
      <w:r w:rsidRPr="00A21615">
        <w:rPr>
          <w:spacing w:val="-2"/>
        </w:rPr>
        <w:t xml:space="preserve"> </w:t>
      </w:r>
      <w:r w:rsidRPr="00A21615">
        <w:t>Medicaid Services</w:t>
      </w:r>
      <w:r w:rsidRPr="00A21615">
        <w:rPr>
          <w:spacing w:val="-8"/>
        </w:rPr>
        <w:t xml:space="preserve"> (CMS) </w:t>
      </w:r>
      <w:r w:rsidRPr="00A21615">
        <w:t>to:</w:t>
      </w:r>
      <w:r w:rsidRPr="00A21615">
        <w:rPr>
          <w:spacing w:val="-3"/>
        </w:rPr>
        <w:t xml:space="preserve"> </w:t>
      </w:r>
      <w:r w:rsidRPr="00A21615">
        <w:t>“implement</w:t>
      </w:r>
      <w:r w:rsidRPr="00A21615">
        <w:rPr>
          <w:spacing w:val="-11"/>
        </w:rPr>
        <w:t xml:space="preserve"> </w:t>
      </w:r>
      <w:r w:rsidRPr="00A21615">
        <w:t>in</w:t>
      </w:r>
      <w:r w:rsidRPr="00A21615">
        <w:rPr>
          <w:spacing w:val="-2"/>
        </w:rPr>
        <w:t xml:space="preserve"> </w:t>
      </w:r>
      <w:r w:rsidRPr="00A21615">
        <w:t>all</w:t>
      </w:r>
      <w:r w:rsidRPr="00A21615">
        <w:rPr>
          <w:spacing w:val="-2"/>
        </w:rPr>
        <w:t xml:space="preserve"> </w:t>
      </w:r>
      <w:r w:rsidRPr="00A21615">
        <w:t>states</w:t>
      </w:r>
      <w:r w:rsidRPr="00A21615">
        <w:rPr>
          <w:spacing w:val="-5"/>
        </w:rPr>
        <w:t xml:space="preserve"> </w:t>
      </w:r>
      <w:r w:rsidRPr="00A21615">
        <w:t>Aging</w:t>
      </w:r>
      <w:r w:rsidRPr="00A21615">
        <w:rPr>
          <w:spacing w:val="-6"/>
        </w:rPr>
        <w:t xml:space="preserve"> </w:t>
      </w:r>
      <w:r w:rsidRPr="00A21615">
        <w:t>and</w:t>
      </w:r>
      <w:r w:rsidRPr="00A21615">
        <w:rPr>
          <w:spacing w:val="-3"/>
        </w:rPr>
        <w:t xml:space="preserve"> </w:t>
      </w:r>
      <w:r w:rsidRPr="00A21615">
        <w:t>Disability</w:t>
      </w:r>
      <w:r w:rsidRPr="00A21615">
        <w:rPr>
          <w:spacing w:val="-9"/>
        </w:rPr>
        <w:t xml:space="preserve"> </w:t>
      </w:r>
      <w:r w:rsidRPr="00A21615">
        <w:t>Resource</w:t>
      </w:r>
      <w:r w:rsidRPr="00A21615">
        <w:rPr>
          <w:spacing w:val="-9"/>
        </w:rPr>
        <w:t xml:space="preserve"> </w:t>
      </w:r>
      <w:r w:rsidRPr="00A21615">
        <w:t>Centers (ADRCs)</w:t>
      </w:r>
      <w:r w:rsidRPr="00A21615">
        <w:rPr>
          <w:spacing w:val="-7"/>
        </w:rPr>
        <w:t xml:space="preserve"> </w:t>
      </w:r>
      <w:r w:rsidRPr="00A21615">
        <w:t>–</w:t>
      </w:r>
    </w:p>
    <w:p w14:paraId="2AB7FE08" w14:textId="77777777" w:rsidR="00CA0AA3" w:rsidRPr="00A21615" w:rsidRDefault="00CA0AA3" w:rsidP="00CA0AA3">
      <w:pPr>
        <w:spacing w:after="0"/>
        <w:ind w:right="674"/>
      </w:pPr>
    </w:p>
    <w:p w14:paraId="6F993931" w14:textId="77777777" w:rsidR="00CA0AA3" w:rsidRPr="00A21615" w:rsidRDefault="00CA0AA3" w:rsidP="00CA0AA3">
      <w:pPr>
        <w:spacing w:after="0"/>
        <w:ind w:left="100" w:right="708"/>
      </w:pPr>
      <w:r w:rsidRPr="00A21615">
        <w:t>(A) to</w:t>
      </w:r>
      <w:r w:rsidRPr="00A21615">
        <w:rPr>
          <w:spacing w:val="-2"/>
        </w:rPr>
        <w:t xml:space="preserve"> </w:t>
      </w:r>
      <w:r w:rsidRPr="00A21615">
        <w:t>serve</w:t>
      </w:r>
      <w:r w:rsidRPr="00A21615">
        <w:rPr>
          <w:spacing w:val="-5"/>
        </w:rPr>
        <w:t xml:space="preserve"> </w:t>
      </w:r>
      <w:r w:rsidRPr="00A21615">
        <w:t>as</w:t>
      </w:r>
      <w:r w:rsidRPr="00A21615">
        <w:rPr>
          <w:spacing w:val="-2"/>
        </w:rPr>
        <w:t xml:space="preserve"> </w:t>
      </w:r>
      <w:r w:rsidRPr="00A21615">
        <w:t>visible</w:t>
      </w:r>
      <w:r w:rsidRPr="00A21615">
        <w:rPr>
          <w:spacing w:val="-6"/>
        </w:rPr>
        <w:t xml:space="preserve"> </w:t>
      </w:r>
      <w:r w:rsidRPr="00A21615">
        <w:t>and</w:t>
      </w:r>
      <w:r w:rsidRPr="00A21615">
        <w:rPr>
          <w:spacing w:val="-3"/>
        </w:rPr>
        <w:t xml:space="preserve"> </w:t>
      </w:r>
      <w:r w:rsidRPr="00A21615">
        <w:t>trusted</w:t>
      </w:r>
      <w:r w:rsidRPr="00A21615">
        <w:rPr>
          <w:spacing w:val="-7"/>
        </w:rPr>
        <w:t xml:space="preserve"> </w:t>
      </w:r>
      <w:r w:rsidRPr="00A21615">
        <w:t>sources</w:t>
      </w:r>
      <w:r w:rsidRPr="00A21615">
        <w:rPr>
          <w:spacing w:val="-7"/>
        </w:rPr>
        <w:t xml:space="preserve"> </w:t>
      </w:r>
      <w:r w:rsidRPr="00A21615">
        <w:t>of information</w:t>
      </w:r>
      <w:r w:rsidRPr="00A21615">
        <w:rPr>
          <w:spacing w:val="-11"/>
        </w:rPr>
        <w:t xml:space="preserve"> </w:t>
      </w:r>
      <w:r w:rsidRPr="00A21615">
        <w:t>on the</w:t>
      </w:r>
      <w:r w:rsidRPr="00A21615">
        <w:rPr>
          <w:spacing w:val="-3"/>
        </w:rPr>
        <w:t xml:space="preserve"> </w:t>
      </w:r>
      <w:r w:rsidRPr="00A21615">
        <w:t>full</w:t>
      </w:r>
      <w:r w:rsidRPr="00A21615">
        <w:rPr>
          <w:spacing w:val="-3"/>
        </w:rPr>
        <w:t xml:space="preserve"> </w:t>
      </w:r>
      <w:r w:rsidRPr="00A21615">
        <w:t>range</w:t>
      </w:r>
      <w:r w:rsidRPr="00A21615">
        <w:rPr>
          <w:spacing w:val="-5"/>
        </w:rPr>
        <w:t xml:space="preserve"> </w:t>
      </w:r>
      <w:r w:rsidRPr="00A21615">
        <w:t>of long-term</w:t>
      </w:r>
      <w:r w:rsidRPr="00A21615">
        <w:rPr>
          <w:spacing w:val="-9"/>
        </w:rPr>
        <w:t xml:space="preserve"> </w:t>
      </w:r>
      <w:r w:rsidRPr="00A21615">
        <w:t>care</w:t>
      </w:r>
      <w:r w:rsidRPr="00A21615">
        <w:rPr>
          <w:spacing w:val="-4"/>
        </w:rPr>
        <w:t xml:space="preserve"> </w:t>
      </w:r>
      <w:r w:rsidRPr="00A21615">
        <w:t>options</w:t>
      </w:r>
      <w:r w:rsidRPr="00A21615">
        <w:rPr>
          <w:spacing w:val="-7"/>
        </w:rPr>
        <w:t xml:space="preserve"> </w:t>
      </w:r>
      <w:r w:rsidRPr="00A21615">
        <w:t>that are</w:t>
      </w:r>
      <w:r w:rsidRPr="00A21615">
        <w:rPr>
          <w:spacing w:val="-3"/>
        </w:rPr>
        <w:t xml:space="preserve"> </w:t>
      </w:r>
      <w:r w:rsidRPr="00A21615">
        <w:t>available</w:t>
      </w:r>
      <w:r w:rsidRPr="00A21615">
        <w:rPr>
          <w:spacing w:val="-9"/>
        </w:rPr>
        <w:t xml:space="preserve"> </w:t>
      </w:r>
      <w:r w:rsidRPr="00A21615">
        <w:t>in</w:t>
      </w:r>
      <w:r w:rsidRPr="00A21615">
        <w:rPr>
          <w:spacing w:val="-2"/>
        </w:rPr>
        <w:t xml:space="preserve"> </w:t>
      </w:r>
      <w:r w:rsidRPr="00A21615">
        <w:t>the</w:t>
      </w:r>
      <w:r w:rsidRPr="00A21615">
        <w:rPr>
          <w:spacing w:val="-3"/>
        </w:rPr>
        <w:t xml:space="preserve"> </w:t>
      </w:r>
      <w:r w:rsidRPr="00A21615">
        <w:t>community,</w:t>
      </w:r>
      <w:r w:rsidRPr="00A21615">
        <w:rPr>
          <w:spacing w:val="-12"/>
        </w:rPr>
        <w:t xml:space="preserve"> </w:t>
      </w:r>
      <w:r w:rsidRPr="00A21615">
        <w:t>including</w:t>
      </w:r>
      <w:r w:rsidRPr="00A21615">
        <w:rPr>
          <w:spacing w:val="-9"/>
        </w:rPr>
        <w:t xml:space="preserve"> </w:t>
      </w:r>
      <w:r w:rsidRPr="00A21615">
        <w:t>both</w:t>
      </w:r>
      <w:r w:rsidRPr="00A21615">
        <w:rPr>
          <w:spacing w:val="-4"/>
        </w:rPr>
        <w:t xml:space="preserve"> </w:t>
      </w:r>
      <w:r w:rsidRPr="00A21615">
        <w:t>institutional</w:t>
      </w:r>
      <w:r w:rsidRPr="00A21615">
        <w:rPr>
          <w:spacing w:val="-11"/>
        </w:rPr>
        <w:t xml:space="preserve"> </w:t>
      </w:r>
      <w:r w:rsidRPr="00A21615">
        <w:t>and</w:t>
      </w:r>
      <w:r w:rsidRPr="00A21615">
        <w:rPr>
          <w:spacing w:val="-3"/>
        </w:rPr>
        <w:t xml:space="preserve"> </w:t>
      </w:r>
      <w:r w:rsidRPr="00A21615">
        <w:t>home</w:t>
      </w:r>
      <w:r w:rsidRPr="00A21615">
        <w:rPr>
          <w:spacing w:val="-5"/>
        </w:rPr>
        <w:t xml:space="preserve"> </w:t>
      </w:r>
      <w:r w:rsidRPr="00A21615">
        <w:t>and</w:t>
      </w:r>
      <w:r w:rsidRPr="00A21615">
        <w:rPr>
          <w:spacing w:val="-3"/>
        </w:rPr>
        <w:t xml:space="preserve"> </w:t>
      </w:r>
      <w:r w:rsidRPr="00A21615">
        <w:t>community-based</w:t>
      </w:r>
      <w:r w:rsidRPr="00A21615">
        <w:rPr>
          <w:spacing w:val="-17"/>
        </w:rPr>
        <w:t xml:space="preserve"> </w:t>
      </w:r>
      <w:r w:rsidRPr="00A21615">
        <w:t>care;</w:t>
      </w:r>
    </w:p>
    <w:p w14:paraId="64340728" w14:textId="77777777" w:rsidR="00CA0AA3" w:rsidRPr="00A21615" w:rsidRDefault="00CA0AA3" w:rsidP="00CA0AA3">
      <w:pPr>
        <w:spacing w:after="0"/>
        <w:ind w:left="100" w:right="708"/>
      </w:pPr>
    </w:p>
    <w:p w14:paraId="3B037B33" w14:textId="77777777" w:rsidR="00CA0AA3" w:rsidRPr="00A21615" w:rsidRDefault="00CA0AA3" w:rsidP="00CA0AA3">
      <w:pPr>
        <w:spacing w:after="0"/>
        <w:ind w:left="100" w:right="522"/>
      </w:pPr>
      <w:r w:rsidRPr="00A21615">
        <w:t>(B)</w:t>
      </w:r>
      <w:r w:rsidRPr="00A21615">
        <w:rPr>
          <w:spacing w:val="-3"/>
        </w:rPr>
        <w:t xml:space="preserve"> </w:t>
      </w:r>
      <w:r w:rsidRPr="00A21615">
        <w:t>to</w:t>
      </w:r>
      <w:r w:rsidRPr="00A21615">
        <w:rPr>
          <w:spacing w:val="-2"/>
        </w:rPr>
        <w:t xml:space="preserve"> </w:t>
      </w:r>
      <w:r w:rsidRPr="00A21615">
        <w:t>provide</w:t>
      </w:r>
      <w:r w:rsidRPr="00A21615">
        <w:rPr>
          <w:spacing w:val="-7"/>
        </w:rPr>
        <w:t xml:space="preserve"> </w:t>
      </w:r>
      <w:r w:rsidRPr="00A21615">
        <w:t>personalized</w:t>
      </w:r>
      <w:r w:rsidRPr="00A21615">
        <w:rPr>
          <w:spacing w:val="-12"/>
        </w:rPr>
        <w:t xml:space="preserve"> </w:t>
      </w:r>
      <w:r w:rsidRPr="00A21615">
        <w:t>and</w:t>
      </w:r>
      <w:r w:rsidRPr="00A21615">
        <w:rPr>
          <w:spacing w:val="-3"/>
        </w:rPr>
        <w:t xml:space="preserve"> </w:t>
      </w:r>
      <w:r w:rsidRPr="00A21615">
        <w:t>person</w:t>
      </w:r>
      <w:r w:rsidRPr="00A21615">
        <w:rPr>
          <w:spacing w:val="-6"/>
        </w:rPr>
        <w:t xml:space="preserve"> </w:t>
      </w:r>
      <w:r w:rsidRPr="00A21615">
        <w:t>friendly</w:t>
      </w:r>
      <w:r w:rsidRPr="00A21615">
        <w:rPr>
          <w:spacing w:val="-8"/>
        </w:rPr>
        <w:t xml:space="preserve"> </w:t>
      </w:r>
      <w:r w:rsidRPr="00A21615">
        <w:t>assistance</w:t>
      </w:r>
      <w:r w:rsidRPr="00A21615">
        <w:rPr>
          <w:spacing w:val="-10"/>
        </w:rPr>
        <w:t xml:space="preserve"> </w:t>
      </w:r>
      <w:r w:rsidRPr="00A21615">
        <w:t>to</w:t>
      </w:r>
      <w:r w:rsidRPr="00A21615">
        <w:rPr>
          <w:spacing w:val="-2"/>
        </w:rPr>
        <w:t xml:space="preserve"> </w:t>
      </w:r>
      <w:r w:rsidRPr="00A21615">
        <w:t>empower</w:t>
      </w:r>
      <w:r w:rsidRPr="00A21615">
        <w:rPr>
          <w:spacing w:val="-9"/>
        </w:rPr>
        <w:t xml:space="preserve"> </w:t>
      </w:r>
      <w:r w:rsidRPr="00A21615">
        <w:t>people</w:t>
      </w:r>
      <w:r w:rsidRPr="00A21615">
        <w:rPr>
          <w:spacing w:val="-6"/>
        </w:rPr>
        <w:t xml:space="preserve"> </w:t>
      </w:r>
      <w:r w:rsidRPr="00A21615">
        <w:t>to</w:t>
      </w:r>
      <w:r w:rsidRPr="00A21615">
        <w:rPr>
          <w:spacing w:val="-2"/>
        </w:rPr>
        <w:t xml:space="preserve"> </w:t>
      </w:r>
      <w:r w:rsidRPr="00A21615">
        <w:t>make</w:t>
      </w:r>
      <w:r w:rsidRPr="00A21615">
        <w:rPr>
          <w:spacing w:val="-5"/>
        </w:rPr>
        <w:t xml:space="preserve"> </w:t>
      </w:r>
      <w:r w:rsidRPr="00A21615">
        <w:t>informed</w:t>
      </w:r>
      <w:r w:rsidRPr="00A21615">
        <w:rPr>
          <w:spacing w:val="-9"/>
        </w:rPr>
        <w:t xml:space="preserve"> </w:t>
      </w:r>
      <w:r w:rsidRPr="00A21615">
        <w:t>decisions about</w:t>
      </w:r>
      <w:r w:rsidRPr="00A21615">
        <w:rPr>
          <w:spacing w:val="-5"/>
        </w:rPr>
        <w:t xml:space="preserve"> </w:t>
      </w:r>
      <w:r w:rsidRPr="00A21615">
        <w:t>their</w:t>
      </w:r>
      <w:r w:rsidRPr="00A21615">
        <w:rPr>
          <w:spacing w:val="-4"/>
        </w:rPr>
        <w:t xml:space="preserve"> </w:t>
      </w:r>
      <w:r w:rsidRPr="00A21615">
        <w:t>care</w:t>
      </w:r>
      <w:r w:rsidRPr="00A21615">
        <w:rPr>
          <w:spacing w:val="-4"/>
        </w:rPr>
        <w:t xml:space="preserve"> </w:t>
      </w:r>
      <w:r w:rsidRPr="00A21615">
        <w:t>options;</w:t>
      </w:r>
    </w:p>
    <w:p w14:paraId="0F9A1C10" w14:textId="77777777" w:rsidR="00CA0AA3" w:rsidRPr="00A21615" w:rsidRDefault="00CA0AA3" w:rsidP="00CA0AA3">
      <w:pPr>
        <w:spacing w:after="0"/>
        <w:ind w:left="100" w:right="522"/>
      </w:pPr>
    </w:p>
    <w:p w14:paraId="26333EB2" w14:textId="77777777" w:rsidR="00CA0AA3" w:rsidRPr="00A21615" w:rsidRDefault="00CA0AA3" w:rsidP="00CA0AA3">
      <w:pPr>
        <w:spacing w:after="0"/>
        <w:ind w:left="100" w:right="521"/>
        <w:jc w:val="both"/>
      </w:pPr>
      <w:r w:rsidRPr="00A21615">
        <w:t>(C)to</w:t>
      </w:r>
      <w:r w:rsidRPr="00A21615">
        <w:rPr>
          <w:spacing w:val="-2"/>
        </w:rPr>
        <w:t xml:space="preserve"> </w:t>
      </w:r>
      <w:r w:rsidRPr="00A21615">
        <w:t>provide</w:t>
      </w:r>
      <w:r w:rsidRPr="00A21615">
        <w:rPr>
          <w:spacing w:val="-7"/>
        </w:rPr>
        <w:t xml:space="preserve"> </w:t>
      </w:r>
      <w:r w:rsidRPr="00A21615">
        <w:t>coordinated</w:t>
      </w:r>
      <w:r w:rsidRPr="00A21615">
        <w:rPr>
          <w:spacing w:val="-11"/>
        </w:rPr>
        <w:t xml:space="preserve"> </w:t>
      </w:r>
      <w:r w:rsidRPr="00A21615">
        <w:t>and</w:t>
      </w:r>
      <w:r w:rsidRPr="00A21615">
        <w:rPr>
          <w:spacing w:val="-3"/>
        </w:rPr>
        <w:t xml:space="preserve"> </w:t>
      </w:r>
      <w:r w:rsidRPr="00A21615">
        <w:t>streamlined</w:t>
      </w:r>
      <w:r w:rsidRPr="00A21615">
        <w:rPr>
          <w:spacing w:val="-11"/>
        </w:rPr>
        <w:t xml:space="preserve"> </w:t>
      </w:r>
      <w:r w:rsidRPr="00A21615">
        <w:t>access</w:t>
      </w:r>
      <w:r w:rsidRPr="00A21615">
        <w:rPr>
          <w:spacing w:val="-6"/>
        </w:rPr>
        <w:t xml:space="preserve"> </w:t>
      </w:r>
      <w:r w:rsidRPr="00A21615">
        <w:t>to</w:t>
      </w:r>
      <w:r w:rsidRPr="00A21615">
        <w:rPr>
          <w:spacing w:val="-2"/>
        </w:rPr>
        <w:t xml:space="preserve"> </w:t>
      </w:r>
      <w:r w:rsidRPr="00A21615">
        <w:t>all</w:t>
      </w:r>
      <w:r w:rsidRPr="00A21615">
        <w:rPr>
          <w:spacing w:val="-2"/>
        </w:rPr>
        <w:t xml:space="preserve"> </w:t>
      </w:r>
      <w:r w:rsidRPr="00A21615">
        <w:t>publicly</w:t>
      </w:r>
      <w:r w:rsidRPr="00A21615">
        <w:rPr>
          <w:spacing w:val="-8"/>
        </w:rPr>
        <w:t xml:space="preserve"> </w:t>
      </w:r>
      <w:r w:rsidRPr="00A21615">
        <w:t>supported</w:t>
      </w:r>
      <w:r w:rsidRPr="00A21615">
        <w:rPr>
          <w:spacing w:val="-9"/>
        </w:rPr>
        <w:t xml:space="preserve"> </w:t>
      </w:r>
      <w:r w:rsidRPr="00A21615">
        <w:t>long-term</w:t>
      </w:r>
      <w:r w:rsidRPr="00A21615">
        <w:rPr>
          <w:spacing w:val="-9"/>
        </w:rPr>
        <w:t xml:space="preserve"> </w:t>
      </w:r>
      <w:r w:rsidRPr="00A21615">
        <w:t>care</w:t>
      </w:r>
      <w:r w:rsidRPr="00A21615">
        <w:rPr>
          <w:spacing w:val="-4"/>
        </w:rPr>
        <w:t xml:space="preserve"> </w:t>
      </w:r>
      <w:r w:rsidRPr="00A21615">
        <w:t>options</w:t>
      </w:r>
      <w:r w:rsidRPr="00A21615">
        <w:rPr>
          <w:spacing w:val="-7"/>
        </w:rPr>
        <w:t xml:space="preserve"> </w:t>
      </w:r>
      <w:r w:rsidRPr="00A21615">
        <w:t>so that individuals</w:t>
      </w:r>
      <w:r w:rsidRPr="00A21615">
        <w:rPr>
          <w:spacing w:val="-11"/>
        </w:rPr>
        <w:t xml:space="preserve"> </w:t>
      </w:r>
      <w:r w:rsidRPr="00A21615">
        <w:t>can</w:t>
      </w:r>
      <w:r w:rsidRPr="00A21615">
        <w:rPr>
          <w:spacing w:val="-3"/>
        </w:rPr>
        <w:t xml:space="preserve"> </w:t>
      </w:r>
      <w:r w:rsidRPr="00A21615">
        <w:t>obtain</w:t>
      </w:r>
      <w:r w:rsidRPr="00A21615">
        <w:rPr>
          <w:spacing w:val="-6"/>
        </w:rPr>
        <w:t xml:space="preserve"> </w:t>
      </w:r>
      <w:r w:rsidRPr="00A21615">
        <w:t>the</w:t>
      </w:r>
      <w:r w:rsidRPr="00A21615">
        <w:rPr>
          <w:spacing w:val="-3"/>
        </w:rPr>
        <w:t xml:space="preserve"> </w:t>
      </w:r>
      <w:r w:rsidRPr="00A21615">
        <w:t>care</w:t>
      </w:r>
      <w:r w:rsidRPr="00A21615">
        <w:rPr>
          <w:spacing w:val="-4"/>
        </w:rPr>
        <w:t xml:space="preserve"> </w:t>
      </w:r>
      <w:r w:rsidRPr="00A21615">
        <w:t>they</w:t>
      </w:r>
      <w:r w:rsidRPr="00A21615">
        <w:rPr>
          <w:spacing w:val="-4"/>
        </w:rPr>
        <w:t xml:space="preserve"> </w:t>
      </w:r>
      <w:r w:rsidRPr="00A21615">
        <w:t>need</w:t>
      </w:r>
      <w:r w:rsidRPr="00A21615">
        <w:rPr>
          <w:spacing w:val="-5"/>
        </w:rPr>
        <w:t xml:space="preserve"> </w:t>
      </w:r>
      <w:r w:rsidRPr="00A21615">
        <w:t>through</w:t>
      </w:r>
      <w:r w:rsidRPr="00A21615">
        <w:rPr>
          <w:spacing w:val="-7"/>
        </w:rPr>
        <w:t xml:space="preserve"> </w:t>
      </w:r>
      <w:r w:rsidRPr="00A21615">
        <w:t>a</w:t>
      </w:r>
      <w:r w:rsidRPr="00A21615">
        <w:rPr>
          <w:spacing w:val="-1"/>
        </w:rPr>
        <w:t xml:space="preserve"> </w:t>
      </w:r>
      <w:r w:rsidRPr="00A21615">
        <w:t>single</w:t>
      </w:r>
      <w:r w:rsidRPr="00A21615">
        <w:rPr>
          <w:spacing w:val="-6"/>
        </w:rPr>
        <w:t xml:space="preserve"> </w:t>
      </w:r>
      <w:r w:rsidRPr="00A21615">
        <w:t>intake,</w:t>
      </w:r>
      <w:r w:rsidRPr="00A21615">
        <w:rPr>
          <w:spacing w:val="-6"/>
        </w:rPr>
        <w:t xml:space="preserve"> </w:t>
      </w:r>
      <w:r w:rsidRPr="00A21615">
        <w:t>assessment</w:t>
      </w:r>
      <w:r w:rsidRPr="00A21615">
        <w:rPr>
          <w:spacing w:val="-11"/>
        </w:rPr>
        <w:t xml:space="preserve"> </w:t>
      </w:r>
      <w:r w:rsidRPr="00A21615">
        <w:t>and</w:t>
      </w:r>
      <w:r w:rsidRPr="00A21615">
        <w:rPr>
          <w:spacing w:val="-3"/>
        </w:rPr>
        <w:t xml:space="preserve"> </w:t>
      </w:r>
      <w:r w:rsidRPr="00A21615">
        <w:t>eligibility</w:t>
      </w:r>
      <w:r w:rsidRPr="00A21615">
        <w:rPr>
          <w:spacing w:val="-9"/>
        </w:rPr>
        <w:t xml:space="preserve"> </w:t>
      </w:r>
      <w:r w:rsidRPr="00A21615">
        <w:t>determination process;</w:t>
      </w:r>
    </w:p>
    <w:p w14:paraId="16F904F0" w14:textId="77777777" w:rsidR="00CA0AA3" w:rsidRPr="00A21615" w:rsidRDefault="00CA0AA3" w:rsidP="00CA0AA3">
      <w:pPr>
        <w:spacing w:after="0"/>
        <w:ind w:left="100" w:right="521"/>
        <w:jc w:val="both"/>
      </w:pPr>
    </w:p>
    <w:p w14:paraId="6A3F2F98" w14:textId="77777777" w:rsidR="00CA0AA3" w:rsidRPr="00A21615" w:rsidRDefault="00CA0AA3" w:rsidP="00CA0AA3">
      <w:pPr>
        <w:spacing w:after="0"/>
        <w:ind w:left="100"/>
      </w:pPr>
      <w:r w:rsidRPr="00A21615">
        <w:t>(D) to</w:t>
      </w:r>
      <w:r w:rsidRPr="00A21615">
        <w:rPr>
          <w:spacing w:val="-2"/>
        </w:rPr>
        <w:t xml:space="preserve"> </w:t>
      </w:r>
      <w:r w:rsidRPr="00A21615">
        <w:t>help</w:t>
      </w:r>
      <w:r w:rsidRPr="00A21615">
        <w:rPr>
          <w:spacing w:val="-4"/>
        </w:rPr>
        <w:t xml:space="preserve"> </w:t>
      </w:r>
      <w:r w:rsidRPr="00A21615">
        <w:t>people</w:t>
      </w:r>
      <w:r w:rsidRPr="00A21615">
        <w:rPr>
          <w:spacing w:val="-6"/>
        </w:rPr>
        <w:t xml:space="preserve"> </w:t>
      </w:r>
      <w:r w:rsidRPr="00A21615">
        <w:t>to</w:t>
      </w:r>
      <w:r w:rsidRPr="00A21615">
        <w:rPr>
          <w:spacing w:val="-2"/>
        </w:rPr>
        <w:t xml:space="preserve"> </w:t>
      </w:r>
      <w:r w:rsidRPr="00A21615">
        <w:t>plan</w:t>
      </w:r>
      <w:r w:rsidRPr="00A21615">
        <w:rPr>
          <w:spacing w:val="-4"/>
        </w:rPr>
        <w:t xml:space="preserve"> </w:t>
      </w:r>
      <w:r w:rsidRPr="00A21615">
        <w:t>ahead</w:t>
      </w:r>
      <w:r w:rsidRPr="00A21615">
        <w:rPr>
          <w:spacing w:val="-6"/>
        </w:rPr>
        <w:t xml:space="preserve"> </w:t>
      </w:r>
      <w:r w:rsidRPr="00A21615">
        <w:t>for their</w:t>
      </w:r>
      <w:r w:rsidRPr="00A21615">
        <w:rPr>
          <w:spacing w:val="-4"/>
        </w:rPr>
        <w:t xml:space="preserve"> </w:t>
      </w:r>
      <w:r w:rsidRPr="00A21615">
        <w:t>future</w:t>
      </w:r>
      <w:r w:rsidRPr="00A21615">
        <w:rPr>
          <w:spacing w:val="-6"/>
        </w:rPr>
        <w:t xml:space="preserve"> </w:t>
      </w:r>
      <w:r w:rsidRPr="00A21615">
        <w:t>long-term</w:t>
      </w:r>
      <w:r w:rsidRPr="00A21615">
        <w:rPr>
          <w:spacing w:val="-9"/>
        </w:rPr>
        <w:t xml:space="preserve"> </w:t>
      </w:r>
      <w:r w:rsidRPr="00A21615">
        <w:t>care</w:t>
      </w:r>
      <w:r w:rsidRPr="00A21615">
        <w:rPr>
          <w:spacing w:val="-4"/>
        </w:rPr>
        <w:t xml:space="preserve"> </w:t>
      </w:r>
      <w:r w:rsidRPr="00A21615">
        <w:t>needs;</w:t>
      </w:r>
      <w:r w:rsidRPr="00A21615">
        <w:rPr>
          <w:spacing w:val="-6"/>
        </w:rPr>
        <w:t xml:space="preserve"> </w:t>
      </w:r>
      <w:r w:rsidRPr="00A21615">
        <w:t>and</w:t>
      </w:r>
    </w:p>
    <w:p w14:paraId="1511D434" w14:textId="77777777" w:rsidR="00CA0AA3" w:rsidRPr="00A21615" w:rsidRDefault="00CA0AA3" w:rsidP="00CA0AA3">
      <w:pPr>
        <w:spacing w:after="0"/>
        <w:ind w:left="100"/>
      </w:pPr>
    </w:p>
    <w:p w14:paraId="68069DA3" w14:textId="77777777" w:rsidR="00CA0AA3" w:rsidRPr="00A21615" w:rsidRDefault="00CA0AA3" w:rsidP="00CA0AA3">
      <w:pPr>
        <w:spacing w:after="0"/>
        <w:ind w:left="100" w:right="648"/>
      </w:pPr>
      <w:r w:rsidRPr="00A21615">
        <w:t>(E)</w:t>
      </w:r>
      <w:r w:rsidRPr="00A21615">
        <w:rPr>
          <w:spacing w:val="-3"/>
        </w:rPr>
        <w:t xml:space="preserve"> </w:t>
      </w:r>
      <w:r w:rsidRPr="00A21615">
        <w:t>to</w:t>
      </w:r>
      <w:r w:rsidRPr="00A21615">
        <w:rPr>
          <w:spacing w:val="-2"/>
        </w:rPr>
        <w:t xml:space="preserve"> </w:t>
      </w:r>
      <w:r w:rsidRPr="00A21615">
        <w:t>assist,</w:t>
      </w:r>
      <w:r w:rsidRPr="00A21615">
        <w:rPr>
          <w:spacing w:val="-6"/>
        </w:rPr>
        <w:t xml:space="preserve"> </w:t>
      </w:r>
      <w:r w:rsidRPr="00A21615">
        <w:t>in</w:t>
      </w:r>
      <w:r w:rsidRPr="00A21615">
        <w:rPr>
          <w:spacing w:val="-2"/>
        </w:rPr>
        <w:t xml:space="preserve"> </w:t>
      </w:r>
      <w:r w:rsidRPr="00A21615">
        <w:t>coordination</w:t>
      </w:r>
      <w:r w:rsidRPr="00A21615">
        <w:rPr>
          <w:spacing w:val="-12"/>
        </w:rPr>
        <w:t xml:space="preserve"> </w:t>
      </w:r>
      <w:r w:rsidRPr="00A21615">
        <w:t>with</w:t>
      </w:r>
      <w:r w:rsidRPr="00A21615">
        <w:rPr>
          <w:spacing w:val="-4"/>
        </w:rPr>
        <w:t xml:space="preserve"> </w:t>
      </w:r>
      <w:r w:rsidRPr="00A21615">
        <w:t>the</w:t>
      </w:r>
      <w:r w:rsidRPr="00A21615">
        <w:rPr>
          <w:spacing w:val="-3"/>
        </w:rPr>
        <w:t xml:space="preserve"> </w:t>
      </w:r>
      <w:r w:rsidRPr="00A21615">
        <w:t>State</w:t>
      </w:r>
      <w:r w:rsidRPr="00A21615">
        <w:rPr>
          <w:spacing w:val="-5"/>
        </w:rPr>
        <w:t xml:space="preserve"> </w:t>
      </w:r>
      <w:r w:rsidRPr="00A21615">
        <w:t>Health</w:t>
      </w:r>
      <w:r w:rsidRPr="00A21615">
        <w:rPr>
          <w:spacing w:val="-6"/>
        </w:rPr>
        <w:t xml:space="preserve"> </w:t>
      </w:r>
      <w:r w:rsidRPr="00A21615">
        <w:t>Insurance</w:t>
      </w:r>
      <w:r w:rsidRPr="00A21615">
        <w:rPr>
          <w:spacing w:val="-9"/>
        </w:rPr>
        <w:t xml:space="preserve"> </w:t>
      </w:r>
      <w:r w:rsidRPr="00A21615">
        <w:t>Assistance</w:t>
      </w:r>
      <w:r w:rsidRPr="00A21615">
        <w:rPr>
          <w:spacing w:val="-10"/>
        </w:rPr>
        <w:t xml:space="preserve"> </w:t>
      </w:r>
      <w:r w:rsidRPr="00A21615">
        <w:t>Program,</w:t>
      </w:r>
      <w:r w:rsidRPr="00A21615">
        <w:rPr>
          <w:spacing w:val="-9"/>
        </w:rPr>
        <w:t xml:space="preserve"> </w:t>
      </w:r>
      <w:r w:rsidRPr="00A21615">
        <w:t>Medicare</w:t>
      </w:r>
      <w:r w:rsidRPr="00A21615">
        <w:rPr>
          <w:spacing w:val="-9"/>
        </w:rPr>
        <w:t xml:space="preserve"> </w:t>
      </w:r>
      <w:r w:rsidRPr="00A21615">
        <w:t>beneficiaries in</w:t>
      </w:r>
      <w:r w:rsidRPr="00A21615">
        <w:rPr>
          <w:spacing w:val="-2"/>
        </w:rPr>
        <w:t xml:space="preserve"> </w:t>
      </w:r>
      <w:r w:rsidRPr="00A21615">
        <w:t>understanding</w:t>
      </w:r>
      <w:r w:rsidRPr="00A21615">
        <w:rPr>
          <w:spacing w:val="-14"/>
        </w:rPr>
        <w:t xml:space="preserve"> </w:t>
      </w:r>
      <w:r w:rsidRPr="00A21615">
        <w:t>and</w:t>
      </w:r>
      <w:r w:rsidRPr="00A21615">
        <w:rPr>
          <w:spacing w:val="-3"/>
        </w:rPr>
        <w:t xml:space="preserve"> </w:t>
      </w:r>
      <w:r w:rsidRPr="00A21615">
        <w:t>accessing</w:t>
      </w:r>
      <w:r w:rsidRPr="00A21615">
        <w:rPr>
          <w:spacing w:val="-9"/>
        </w:rPr>
        <w:t xml:space="preserve"> </w:t>
      </w:r>
      <w:r w:rsidRPr="00A21615">
        <w:t>the</w:t>
      </w:r>
      <w:r w:rsidRPr="00A21615">
        <w:rPr>
          <w:spacing w:val="-3"/>
        </w:rPr>
        <w:t xml:space="preserve"> </w:t>
      </w:r>
      <w:r w:rsidRPr="00A21615">
        <w:t>Prescription</w:t>
      </w:r>
      <w:r w:rsidRPr="00A21615">
        <w:rPr>
          <w:spacing w:val="-12"/>
        </w:rPr>
        <w:t xml:space="preserve"> </w:t>
      </w:r>
      <w:r w:rsidRPr="00A21615">
        <w:t>Drug Coverage</w:t>
      </w:r>
      <w:r w:rsidRPr="00A21615">
        <w:rPr>
          <w:spacing w:val="-9"/>
        </w:rPr>
        <w:t xml:space="preserve"> </w:t>
      </w:r>
      <w:r w:rsidRPr="00A21615">
        <w:t>and</w:t>
      </w:r>
      <w:r w:rsidRPr="00A21615">
        <w:rPr>
          <w:spacing w:val="-3"/>
        </w:rPr>
        <w:t xml:space="preserve"> </w:t>
      </w:r>
      <w:r w:rsidRPr="00A21615">
        <w:t>prevention</w:t>
      </w:r>
      <w:r w:rsidRPr="00A21615">
        <w:rPr>
          <w:spacing w:val="-10"/>
        </w:rPr>
        <w:t xml:space="preserve"> </w:t>
      </w:r>
      <w:r w:rsidRPr="00A21615">
        <w:t>health</w:t>
      </w:r>
      <w:r w:rsidRPr="00A21615">
        <w:rPr>
          <w:spacing w:val="-6"/>
        </w:rPr>
        <w:t xml:space="preserve"> </w:t>
      </w:r>
      <w:r w:rsidRPr="00A21615">
        <w:t>benefits</w:t>
      </w:r>
      <w:r w:rsidRPr="00A21615">
        <w:rPr>
          <w:spacing w:val="-8"/>
        </w:rPr>
        <w:t xml:space="preserve"> </w:t>
      </w:r>
      <w:r w:rsidRPr="00A21615">
        <w:t>available under</w:t>
      </w:r>
      <w:r w:rsidRPr="00A21615">
        <w:rPr>
          <w:spacing w:val="-5"/>
        </w:rPr>
        <w:t xml:space="preserve"> </w:t>
      </w:r>
      <w:r w:rsidRPr="00A21615">
        <w:t>the</w:t>
      </w:r>
      <w:r w:rsidRPr="00A21615">
        <w:rPr>
          <w:spacing w:val="-3"/>
        </w:rPr>
        <w:t xml:space="preserve"> </w:t>
      </w:r>
      <w:r w:rsidRPr="00A21615">
        <w:t>Medicare</w:t>
      </w:r>
      <w:r w:rsidRPr="00A21615">
        <w:rPr>
          <w:spacing w:val="-9"/>
        </w:rPr>
        <w:t xml:space="preserve"> </w:t>
      </w:r>
      <w:r w:rsidRPr="00A21615">
        <w:t>Modernization</w:t>
      </w:r>
      <w:r w:rsidRPr="00A21615">
        <w:rPr>
          <w:spacing w:val="-14"/>
        </w:rPr>
        <w:t xml:space="preserve"> </w:t>
      </w:r>
      <w:r w:rsidRPr="00A21615">
        <w:t>Act.”</w:t>
      </w:r>
      <w:r w:rsidR="00B17F11">
        <w:rPr>
          <w:rStyle w:val="FootnoteReference"/>
        </w:rPr>
        <w:footnoteReference w:id="5"/>
      </w:r>
    </w:p>
    <w:p w14:paraId="60DA72BE" w14:textId="77777777" w:rsidR="00B93176" w:rsidRPr="00B93176" w:rsidRDefault="00B93176" w:rsidP="00B93176">
      <w:pPr>
        <w:pStyle w:val="NormalWeb"/>
        <w:shd w:val="clear" w:color="auto" w:fill="FFFFFF"/>
        <w:spacing w:after="0" w:line="252" w:lineRule="atLeast"/>
        <w:rPr>
          <w:color w:val="000000"/>
        </w:rPr>
      </w:pPr>
      <w:r>
        <w:rPr>
          <w:color w:val="000000"/>
        </w:rPr>
        <w:t>The</w:t>
      </w:r>
      <w:r w:rsidRPr="00B93176">
        <w:rPr>
          <w:color w:val="000000"/>
        </w:rPr>
        <w:t xml:space="preserve"> ADRC/</w:t>
      </w:r>
      <w:r>
        <w:rPr>
          <w:color w:val="000000"/>
        </w:rPr>
        <w:t>NWD System</w:t>
      </w:r>
      <w:r w:rsidRPr="00B93176">
        <w:rPr>
          <w:color w:val="000000"/>
        </w:rPr>
        <w:t xml:space="preserve"> delivers the </w:t>
      </w:r>
      <w:r>
        <w:rPr>
          <w:color w:val="000000"/>
        </w:rPr>
        <w:t>VDC</w:t>
      </w:r>
      <w:r w:rsidRPr="00B93176">
        <w:rPr>
          <w:color w:val="000000"/>
        </w:rPr>
        <w:t xml:space="preserve"> Program</w:t>
      </w:r>
      <w:r>
        <w:rPr>
          <w:color w:val="000000"/>
        </w:rPr>
        <w:t>. Additional</w:t>
      </w:r>
      <w:r w:rsidRPr="00B93176">
        <w:rPr>
          <w:color w:val="000000"/>
        </w:rPr>
        <w:t xml:space="preserve"> legal authorities</w:t>
      </w:r>
      <w:r>
        <w:rPr>
          <w:color w:val="000000"/>
        </w:rPr>
        <w:t xml:space="preserve"> found in the Older Americans Act</w:t>
      </w:r>
      <w:r w:rsidRPr="00B93176">
        <w:rPr>
          <w:color w:val="000000"/>
        </w:rPr>
        <w:t xml:space="preserve"> to collect information</w:t>
      </w:r>
      <w:r>
        <w:rPr>
          <w:color w:val="000000"/>
        </w:rPr>
        <w:t xml:space="preserve"> included in the NWD Management Tool </w:t>
      </w:r>
      <w:r w:rsidRPr="00B93176">
        <w:rPr>
          <w:color w:val="000000"/>
        </w:rPr>
        <w:t>are:</w:t>
      </w:r>
    </w:p>
    <w:p w14:paraId="3770DEE1" w14:textId="77777777" w:rsidR="00B93176" w:rsidRPr="00B93176" w:rsidRDefault="00B93176" w:rsidP="00B93176">
      <w:pPr>
        <w:pStyle w:val="NormalWeb"/>
        <w:numPr>
          <w:ilvl w:val="0"/>
          <w:numId w:val="21"/>
        </w:numPr>
        <w:shd w:val="clear" w:color="auto" w:fill="FFFFFF"/>
        <w:spacing w:after="0" w:line="252" w:lineRule="atLeast"/>
        <w:rPr>
          <w:color w:val="000000"/>
        </w:rPr>
      </w:pPr>
      <w:r w:rsidRPr="00B93176">
        <w:rPr>
          <w:color w:val="000000"/>
        </w:rPr>
        <w:t xml:space="preserve">Section 205.(a)(1)(C) of the Older Americans Act (OAA) which gives the Assistant Secretary authority to conduct research and demonstrations; and </w:t>
      </w:r>
    </w:p>
    <w:p w14:paraId="0023413F" w14:textId="77777777" w:rsidR="00B93176" w:rsidRDefault="00B93176" w:rsidP="00B93176">
      <w:pPr>
        <w:pStyle w:val="NormalWeb"/>
        <w:numPr>
          <w:ilvl w:val="0"/>
          <w:numId w:val="21"/>
        </w:numPr>
        <w:shd w:val="clear" w:color="auto" w:fill="FFFFFF"/>
        <w:spacing w:before="0" w:beforeAutospacing="0" w:after="0" w:afterAutospacing="0" w:line="252" w:lineRule="atLeast"/>
        <w:rPr>
          <w:color w:val="000000"/>
        </w:rPr>
      </w:pPr>
      <w:r w:rsidRPr="00B93176">
        <w:rPr>
          <w:color w:val="000000"/>
        </w:rPr>
        <w:t>Section 206 of the OAA which establishes the authority to measure and evaluate the impact of all programs authorized by the OAA</w:t>
      </w:r>
    </w:p>
    <w:p w14:paraId="638AC9C1" w14:textId="77777777" w:rsidR="00E70E3D" w:rsidRPr="00E70E3D" w:rsidRDefault="002261B6" w:rsidP="00E70E3D">
      <w:pPr>
        <w:pStyle w:val="NormalWeb"/>
        <w:shd w:val="clear" w:color="auto" w:fill="FFFFFF"/>
        <w:spacing w:after="0" w:line="252" w:lineRule="atLeast"/>
        <w:rPr>
          <w:color w:val="000000"/>
        </w:rPr>
      </w:pPr>
      <w:r>
        <w:rPr>
          <w:color w:val="000000"/>
        </w:rPr>
        <w:t xml:space="preserve">In addition, </w:t>
      </w:r>
      <w:r w:rsidR="00E70E3D">
        <w:rPr>
          <w:color w:val="000000"/>
        </w:rPr>
        <w:t>GPRAMA</w:t>
      </w:r>
      <w:r w:rsidR="00E70E3D" w:rsidRPr="00E70E3D">
        <w:rPr>
          <w:color w:val="000000"/>
        </w:rPr>
        <w:t xml:space="preserve"> requires federal agencies to develop annual and long-term performance outcome measures and to report on these measures annuall</w:t>
      </w:r>
      <w:r w:rsidR="00E70E3D">
        <w:rPr>
          <w:color w:val="000000"/>
        </w:rPr>
        <w:t>y.</w:t>
      </w:r>
      <w:r w:rsidR="00B17F11">
        <w:rPr>
          <w:rStyle w:val="FootnoteReference"/>
          <w:color w:val="000000"/>
        </w:rPr>
        <w:footnoteReference w:id="6"/>
      </w:r>
      <w:r w:rsidR="00E70E3D">
        <w:rPr>
          <w:color w:val="000000"/>
        </w:rPr>
        <w:t xml:space="preserve"> Section 202(f) of the OAA requires ACL </w:t>
      </w:r>
      <w:r w:rsidR="00E70E3D" w:rsidRPr="00E70E3D">
        <w:rPr>
          <w:color w:val="000000"/>
        </w:rPr>
        <w:t xml:space="preserve">to work collaboratively with State agencies and area agencies on aging (AAAs) to develop performance outcome measures. Since the </w:t>
      </w:r>
      <w:r w:rsidR="00E70E3D">
        <w:rPr>
          <w:color w:val="000000"/>
        </w:rPr>
        <w:t>passage of GPRA in 1993, ACL</w:t>
      </w:r>
      <w:r w:rsidR="00E70E3D" w:rsidRPr="00E70E3D">
        <w:rPr>
          <w:color w:val="000000"/>
        </w:rPr>
        <w:t xml:space="preserve"> has accepted GPRA and GPRAMA as an opportunity to document each year the results that are produced through the programs it administers under the authority of OAA. It is the </w:t>
      </w:r>
      <w:r w:rsidR="00E70E3D">
        <w:rPr>
          <w:color w:val="000000"/>
        </w:rPr>
        <w:t>intent and commitment of ACL</w:t>
      </w:r>
      <w:r w:rsidR="00E70E3D" w:rsidRPr="00E70E3D">
        <w:rPr>
          <w:color w:val="000000"/>
        </w:rPr>
        <w:t>, in concert with State and local program partners, to use the performance measurement tools of GPRAMA to continuously improve OAA programs and services for the elderly.</w:t>
      </w:r>
    </w:p>
    <w:p w14:paraId="5E6ACFF9" w14:textId="77777777" w:rsidR="00CA0AA3" w:rsidRPr="00D77545" w:rsidRDefault="00CA0AA3" w:rsidP="00CA0AA3">
      <w:pPr>
        <w:shd w:val="clear" w:color="auto" w:fill="FFFFFF"/>
        <w:spacing w:after="0" w:line="216" w:lineRule="atLeast"/>
        <w:ind w:right="144"/>
        <w:rPr>
          <w:color w:val="000000"/>
          <w:sz w:val="28"/>
        </w:rPr>
      </w:pPr>
    </w:p>
    <w:p w14:paraId="42B96A09" w14:textId="77777777" w:rsidR="009D0277" w:rsidRPr="00770C12" w:rsidRDefault="009D0277" w:rsidP="00D850AF">
      <w:pPr>
        <w:pStyle w:val="ListParagraph"/>
        <w:numPr>
          <w:ilvl w:val="0"/>
          <w:numId w:val="1"/>
        </w:numPr>
        <w:spacing w:before="0" w:after="0"/>
        <w:ind w:left="0"/>
        <w:rPr>
          <w:b/>
          <w:u w:val="single"/>
        </w:rPr>
      </w:pPr>
      <w:r w:rsidRPr="00770C12">
        <w:rPr>
          <w:b/>
          <w:u w:val="single"/>
        </w:rPr>
        <w:t>Purpose and Use of the Information Collection</w:t>
      </w:r>
    </w:p>
    <w:p w14:paraId="5E25A84B" w14:textId="77777777" w:rsidR="009D0277" w:rsidRDefault="009D0277" w:rsidP="009D0277">
      <w:pPr>
        <w:pStyle w:val="ListParagraph"/>
        <w:spacing w:before="0" w:after="0"/>
        <w:ind w:left="0"/>
        <w:rPr>
          <w:b/>
        </w:rPr>
      </w:pPr>
    </w:p>
    <w:p w14:paraId="65B63AF5" w14:textId="77777777" w:rsidR="0006442E" w:rsidRDefault="0006442E" w:rsidP="00D77545">
      <w:pPr>
        <w:spacing w:after="0"/>
      </w:pPr>
      <w:r>
        <w:t xml:space="preserve">ACL and its federal partners will use information from the </w:t>
      </w:r>
      <w:r w:rsidR="00F556EC">
        <w:t>No Wrong Door Management Tool (</w:t>
      </w:r>
      <w:r>
        <w:t>NWD MT</w:t>
      </w:r>
      <w:r w:rsidR="00F556EC">
        <w:t>)</w:t>
      </w:r>
      <w:r>
        <w:t xml:space="preserve"> and VDC Tool to:</w:t>
      </w:r>
    </w:p>
    <w:p w14:paraId="1B00B08F" w14:textId="77777777" w:rsidR="0006442E" w:rsidRDefault="0006442E" w:rsidP="00D77545">
      <w:pPr>
        <w:spacing w:after="0"/>
      </w:pPr>
    </w:p>
    <w:p w14:paraId="0482127A" w14:textId="77777777" w:rsidR="0006442E" w:rsidRDefault="0006442E" w:rsidP="0006442E">
      <w:pPr>
        <w:pStyle w:val="ListParagraph"/>
        <w:numPr>
          <w:ilvl w:val="0"/>
          <w:numId w:val="19"/>
        </w:numPr>
        <w:spacing w:after="0"/>
      </w:pPr>
      <w:r w:rsidRPr="0006442E">
        <w:t>Comply with reporting requirements mandated by the authorizing statutes</w:t>
      </w:r>
      <w:r>
        <w:t>;</w:t>
      </w:r>
    </w:p>
    <w:p w14:paraId="0D0B9276" w14:textId="77777777" w:rsidR="00AF6CF8" w:rsidRDefault="00AF6CF8" w:rsidP="00DF46EB">
      <w:pPr>
        <w:pStyle w:val="ListParagraph"/>
        <w:numPr>
          <w:ilvl w:val="0"/>
          <w:numId w:val="19"/>
        </w:numPr>
      </w:pPr>
      <w:r w:rsidRPr="00AF6CF8">
        <w:t xml:space="preserve">Collect data for performance measures used in the justification of the budget to Congress and by program, state, and national decision makers; </w:t>
      </w:r>
    </w:p>
    <w:p w14:paraId="0FFE7EEE" w14:textId="77777777" w:rsidR="0006442E" w:rsidRDefault="0006442E" w:rsidP="0006442E">
      <w:pPr>
        <w:pStyle w:val="ListParagraph"/>
        <w:numPr>
          <w:ilvl w:val="0"/>
          <w:numId w:val="19"/>
        </w:numPr>
        <w:spacing w:after="0"/>
      </w:pPr>
      <w:r w:rsidRPr="0006442E">
        <w:t>Effectively manage the</w:t>
      </w:r>
      <w:r>
        <w:t xml:space="preserve"> NWD System initiative and VDC program </w:t>
      </w:r>
      <w:r w:rsidRPr="0006442E">
        <w:t>at the federal, state, and local levels</w:t>
      </w:r>
      <w:r>
        <w:t>;</w:t>
      </w:r>
    </w:p>
    <w:p w14:paraId="31581D92" w14:textId="77777777" w:rsidR="0006442E" w:rsidRDefault="0006442E" w:rsidP="0006442E">
      <w:pPr>
        <w:pStyle w:val="ListParagraph"/>
        <w:numPr>
          <w:ilvl w:val="0"/>
          <w:numId w:val="19"/>
        </w:numPr>
        <w:spacing w:after="0"/>
      </w:pPr>
      <w:r>
        <w:t xml:space="preserve">Identify program implementation issues and </w:t>
      </w:r>
      <w:r w:rsidR="005B38CF">
        <w:t>track</w:t>
      </w:r>
      <w:r>
        <w:t xml:space="preserve"> areas for technical assistance activities; </w:t>
      </w:r>
    </w:p>
    <w:p w14:paraId="1C732ADB" w14:textId="77777777" w:rsidR="0006442E" w:rsidRDefault="0006442E" w:rsidP="0006442E">
      <w:pPr>
        <w:pStyle w:val="ListParagraph"/>
        <w:numPr>
          <w:ilvl w:val="0"/>
          <w:numId w:val="19"/>
        </w:numPr>
        <w:spacing w:after="0"/>
      </w:pPr>
      <w:r>
        <w:t>Identify best practices in program implementation and building sustainable program delivery systems as well as develop resources to enable current and future grantees</w:t>
      </w:r>
      <w:r w:rsidR="00AF6CF8">
        <w:t xml:space="preserve"> and program providers</w:t>
      </w:r>
      <w:r>
        <w:t xml:space="preserve"> to learn from and replicate these practices; and</w:t>
      </w:r>
    </w:p>
    <w:p w14:paraId="093FCB9C" w14:textId="77777777" w:rsidR="0006442E" w:rsidRDefault="0006442E" w:rsidP="0006442E">
      <w:pPr>
        <w:pStyle w:val="ListParagraph"/>
        <w:numPr>
          <w:ilvl w:val="0"/>
          <w:numId w:val="19"/>
        </w:numPr>
        <w:spacing w:after="0"/>
      </w:pPr>
      <w:r>
        <w:t xml:space="preserve">Provide information for reports to Congress, other governmental agencies, stakeholders, and to the public about </w:t>
      </w:r>
      <w:r w:rsidR="005B38CF">
        <w:t>NWD and VDC.</w:t>
      </w:r>
    </w:p>
    <w:p w14:paraId="6F72CE0D" w14:textId="77777777" w:rsidR="0006442E" w:rsidRDefault="0006442E" w:rsidP="0006442E">
      <w:pPr>
        <w:spacing w:after="0"/>
      </w:pPr>
    </w:p>
    <w:p w14:paraId="2257B346" w14:textId="77777777" w:rsidR="0094565E" w:rsidRDefault="003D2A5C" w:rsidP="0006442E">
      <w:pPr>
        <w:spacing w:after="0"/>
      </w:pPr>
      <w:r w:rsidRPr="003D2A5C">
        <w:t xml:space="preserve">Aggregate data from the </w:t>
      </w:r>
      <w:r>
        <w:t>NWD and VDC</w:t>
      </w:r>
      <w:r w:rsidRPr="003D2A5C">
        <w:t xml:space="preserve"> data collection tools</w:t>
      </w:r>
      <w:r>
        <w:t xml:space="preserve"> will also be provided to</w:t>
      </w:r>
      <w:r w:rsidR="0094565E">
        <w:t>:</w:t>
      </w:r>
    </w:p>
    <w:p w14:paraId="1985434C" w14:textId="77777777" w:rsidR="0094565E" w:rsidRDefault="0094565E" w:rsidP="00D67B1E">
      <w:pPr>
        <w:pStyle w:val="ListParagraph"/>
        <w:numPr>
          <w:ilvl w:val="0"/>
          <w:numId w:val="20"/>
        </w:numPr>
        <w:spacing w:after="0"/>
      </w:pPr>
      <w:r>
        <w:t>F</w:t>
      </w:r>
      <w:r w:rsidR="003D2A5C" w:rsidRPr="003D2A5C">
        <w:t>ederal and state legislators</w:t>
      </w:r>
      <w:r>
        <w:t xml:space="preserve"> </w:t>
      </w:r>
    </w:p>
    <w:p w14:paraId="28737D4C" w14:textId="77777777" w:rsidR="0094565E" w:rsidRDefault="0094565E" w:rsidP="00D67B1E">
      <w:pPr>
        <w:pStyle w:val="ListParagraph"/>
        <w:numPr>
          <w:ilvl w:val="0"/>
          <w:numId w:val="20"/>
        </w:numPr>
        <w:spacing w:after="0"/>
      </w:pPr>
      <w:r>
        <w:t>State agencies</w:t>
      </w:r>
    </w:p>
    <w:p w14:paraId="719A9968" w14:textId="77777777" w:rsidR="00BF2E53" w:rsidRDefault="0094565E" w:rsidP="005D3C86">
      <w:pPr>
        <w:pStyle w:val="ListParagraph"/>
        <w:numPr>
          <w:ilvl w:val="0"/>
          <w:numId w:val="20"/>
        </w:numPr>
        <w:spacing w:after="0"/>
      </w:pPr>
      <w:r>
        <w:t>N</w:t>
      </w:r>
      <w:r w:rsidR="003D2A5C" w:rsidRPr="003D2A5C">
        <w:t>ational, state</w:t>
      </w:r>
      <w:r w:rsidR="00AF6CF8">
        <w:t>,</w:t>
      </w:r>
      <w:r w:rsidR="003D2A5C" w:rsidRPr="003D2A5C">
        <w:t xml:space="preserve"> and local organizations</w:t>
      </w:r>
      <w:r>
        <w:t xml:space="preserve"> </w:t>
      </w:r>
      <w:r w:rsidR="00DA11D5">
        <w:t>with interest</w:t>
      </w:r>
      <w:r>
        <w:t xml:space="preserve"> </w:t>
      </w:r>
      <w:r w:rsidR="00AF6CF8">
        <w:t xml:space="preserve">in the </w:t>
      </w:r>
      <w:r>
        <w:t>NWD System</w:t>
      </w:r>
      <w:r w:rsidR="00AF6CF8">
        <w:t xml:space="preserve">, </w:t>
      </w:r>
      <w:r w:rsidR="00AF6CF8" w:rsidRPr="00AF6CF8">
        <w:t xml:space="preserve">self-directed care models </w:t>
      </w:r>
      <w:r w:rsidR="00AF6CF8">
        <w:t>and/or with interest in</w:t>
      </w:r>
      <w:r w:rsidR="00AF6CF8" w:rsidRPr="00AF6CF8">
        <w:t xml:space="preserve"> serving </w:t>
      </w:r>
      <w:r w:rsidR="00AF6CF8">
        <w:t xml:space="preserve">older adults, individuals with disabilities, </w:t>
      </w:r>
      <w:r w:rsidR="00AF6CF8" w:rsidRPr="00AF6CF8">
        <w:t>Veterans and</w:t>
      </w:r>
      <w:r w:rsidR="00AF6CF8">
        <w:t xml:space="preserve"> their</w:t>
      </w:r>
      <w:r w:rsidR="00AF6CF8" w:rsidRPr="00AF6CF8">
        <w:t xml:space="preserve"> caregivers</w:t>
      </w:r>
      <w:r w:rsidR="00AF6CF8" w:rsidRPr="00AF6CF8" w:rsidDel="00AF6CF8">
        <w:t xml:space="preserve"> </w:t>
      </w:r>
      <w:r>
        <w:t>C</w:t>
      </w:r>
      <w:r w:rsidR="003D2A5C" w:rsidRPr="003D2A5C">
        <w:t xml:space="preserve">urrent and future ACL </w:t>
      </w:r>
      <w:r>
        <w:t>grantees</w:t>
      </w:r>
      <w:r w:rsidR="00AF6CF8">
        <w:t xml:space="preserve"> and VDC providers</w:t>
      </w:r>
      <w:r>
        <w:t xml:space="preserve"> </w:t>
      </w:r>
    </w:p>
    <w:p w14:paraId="52FC31F3" w14:textId="77777777" w:rsidR="007F673D" w:rsidRPr="00D77545" w:rsidRDefault="00DA11D5" w:rsidP="00BF2E53">
      <w:pPr>
        <w:pStyle w:val="ListParagraph"/>
        <w:numPr>
          <w:ilvl w:val="0"/>
          <w:numId w:val="20"/>
        </w:numPr>
        <w:spacing w:after="0"/>
      </w:pPr>
      <w:r>
        <w:t>P</w:t>
      </w:r>
      <w:r w:rsidR="003D2A5C" w:rsidRPr="003D2A5C">
        <w:t xml:space="preserve">rivate citizens who request it. </w:t>
      </w:r>
    </w:p>
    <w:p w14:paraId="30152B31" w14:textId="77777777" w:rsidR="00D77545" w:rsidRDefault="00D77545" w:rsidP="00D77545">
      <w:pPr>
        <w:spacing w:after="0"/>
      </w:pPr>
    </w:p>
    <w:p w14:paraId="3726D091" w14:textId="77777777" w:rsidR="00CF487E" w:rsidRDefault="00CF487E" w:rsidP="00D77545">
      <w:pPr>
        <w:spacing w:after="0"/>
      </w:pPr>
      <w:r>
        <w:t>The tools included in th</w:t>
      </w:r>
      <w:r w:rsidR="004945BC">
        <w:t>is</w:t>
      </w:r>
      <w:r>
        <w:t xml:space="preserve"> collection and purposes of each are:</w:t>
      </w:r>
    </w:p>
    <w:p w14:paraId="671C1561" w14:textId="77777777" w:rsidR="00CF487E" w:rsidRDefault="00CF487E" w:rsidP="00D77545">
      <w:pPr>
        <w:spacing w:after="0"/>
      </w:pPr>
    </w:p>
    <w:p w14:paraId="3B6D07C0" w14:textId="77777777" w:rsidR="00DA0865" w:rsidRPr="002E746D" w:rsidRDefault="00CF487E" w:rsidP="00D77545">
      <w:pPr>
        <w:spacing w:after="0"/>
        <w:rPr>
          <w:b/>
          <w:i/>
        </w:rPr>
      </w:pPr>
      <w:r w:rsidRPr="002E746D">
        <w:rPr>
          <w:b/>
          <w:i/>
        </w:rPr>
        <w:t>NWD Management Tool</w:t>
      </w:r>
      <w:r w:rsidR="00DA0865" w:rsidRPr="002E746D">
        <w:rPr>
          <w:b/>
          <w:i/>
        </w:rPr>
        <w:t xml:space="preserve"> (NWD MT)</w:t>
      </w:r>
      <w:r w:rsidRPr="002E746D">
        <w:rPr>
          <w:b/>
          <w:i/>
        </w:rPr>
        <w:t xml:space="preserve"> </w:t>
      </w:r>
    </w:p>
    <w:p w14:paraId="60CF1E99" w14:textId="77777777" w:rsidR="009A093D" w:rsidRDefault="00D77545" w:rsidP="00D77545">
      <w:pPr>
        <w:spacing w:after="0"/>
        <w:rPr>
          <w:color w:val="000000"/>
        </w:rPr>
      </w:pPr>
      <w:r w:rsidRPr="00D77545">
        <w:t xml:space="preserve">The overall purpose of the data to be collected is to understand and document the extent to which the NWD System is streamlining and coordinating access to LTSS through its four core functions of State Governance and Administration, Public Outreach and Coordination with Key Referral Sources, Person-Centered Counseling, and Streamlined Eligibility for Public Programs.  </w:t>
      </w:r>
      <w:r w:rsidR="00D10386" w:rsidRPr="00D77545">
        <w:rPr>
          <w:color w:val="000000"/>
        </w:rPr>
        <w:t xml:space="preserve">The </w:t>
      </w:r>
      <w:r w:rsidR="00D10386" w:rsidRPr="00770642">
        <w:t xml:space="preserve">NWD MT </w:t>
      </w:r>
      <w:r w:rsidR="00D10386" w:rsidRPr="00D77545">
        <w:rPr>
          <w:color w:val="000000"/>
        </w:rPr>
        <w:t xml:space="preserve">will provide a platform for ACL, CMS, VHA, and states to collect and analyze data elements in order to evaluate the progress of the NWD System vision and identify gaps and best practices to inform future funding.  </w:t>
      </w:r>
    </w:p>
    <w:p w14:paraId="04D5C939" w14:textId="77777777" w:rsidR="009A093D" w:rsidRDefault="009A093D" w:rsidP="00D77545">
      <w:pPr>
        <w:spacing w:after="0"/>
        <w:rPr>
          <w:color w:val="000000"/>
        </w:rPr>
      </w:pPr>
    </w:p>
    <w:p w14:paraId="189549EE" w14:textId="77777777" w:rsidR="00D10386" w:rsidRDefault="00D10386" w:rsidP="00D77545">
      <w:pPr>
        <w:spacing w:after="0"/>
      </w:pPr>
      <w:r w:rsidRPr="00D77545">
        <w:rPr>
          <w:color w:val="000000"/>
        </w:rPr>
        <w:t xml:space="preserve">States have historically provided data semi-annually as part of </w:t>
      </w:r>
      <w:r>
        <w:rPr>
          <w:color w:val="000000"/>
        </w:rPr>
        <w:t xml:space="preserve">ACL </w:t>
      </w:r>
      <w:r w:rsidRPr="00D77545">
        <w:rPr>
          <w:color w:val="000000"/>
        </w:rPr>
        <w:t xml:space="preserve">grant reporting </w:t>
      </w:r>
      <w:r>
        <w:rPr>
          <w:color w:val="000000"/>
        </w:rPr>
        <w:t>requirements</w:t>
      </w:r>
      <w:r w:rsidRPr="00D77545">
        <w:rPr>
          <w:color w:val="000000"/>
        </w:rPr>
        <w:t xml:space="preserve">. However, there was great variability in the number of states participating and the quality and quantity of information shared.  The </w:t>
      </w:r>
      <w:r w:rsidR="009A093D">
        <w:rPr>
          <w:color w:val="000000"/>
        </w:rPr>
        <w:t>NWD MT</w:t>
      </w:r>
      <w:r w:rsidRPr="00D77545">
        <w:rPr>
          <w:color w:val="000000"/>
        </w:rPr>
        <w:t xml:space="preserve"> will provide a consistent, streamlined and coordinated statewide approach that will help states govern their NWD System and manage their programs efficiently. The </w:t>
      </w:r>
      <w:r w:rsidR="00E8032A">
        <w:rPr>
          <w:color w:val="000000"/>
        </w:rPr>
        <w:t>NWD MT</w:t>
      </w:r>
      <w:r>
        <w:rPr>
          <w:color w:val="000000"/>
        </w:rPr>
        <w:t>,</w:t>
      </w:r>
      <w:r w:rsidRPr="00D77545">
        <w:rPr>
          <w:color w:val="000000"/>
        </w:rPr>
        <w:t xml:space="preserve"> which has been designed in close collaboration with states</w:t>
      </w:r>
      <w:r>
        <w:rPr>
          <w:color w:val="000000"/>
        </w:rPr>
        <w:t>,</w:t>
      </w:r>
      <w:r w:rsidRPr="00D77545">
        <w:rPr>
          <w:color w:val="000000"/>
        </w:rPr>
        <w:t xml:space="preserve"> is intended to streamline reporting capabilities in order to reduce burden on local and state staff.</w:t>
      </w:r>
    </w:p>
    <w:p w14:paraId="3241E81C" w14:textId="77777777" w:rsidR="00644723" w:rsidRDefault="00644723" w:rsidP="00D77545">
      <w:pPr>
        <w:spacing w:after="0"/>
      </w:pPr>
    </w:p>
    <w:p w14:paraId="257239F0" w14:textId="77777777" w:rsidR="00DA0865" w:rsidRPr="002E746D" w:rsidRDefault="00644723" w:rsidP="00DA0865">
      <w:pPr>
        <w:spacing w:after="0"/>
        <w:rPr>
          <w:b/>
          <w:i/>
        </w:rPr>
      </w:pPr>
      <w:r w:rsidRPr="002E746D">
        <w:rPr>
          <w:b/>
          <w:i/>
        </w:rPr>
        <w:t>Veteran Directed Care Tool</w:t>
      </w:r>
      <w:r w:rsidR="00DA0865" w:rsidRPr="002E746D">
        <w:rPr>
          <w:b/>
          <w:i/>
        </w:rPr>
        <w:t xml:space="preserve"> (VDC Tool) </w:t>
      </w:r>
    </w:p>
    <w:p w14:paraId="2A2575C5" w14:textId="77777777" w:rsidR="00644723" w:rsidRPr="00DA0865" w:rsidRDefault="00DA0865" w:rsidP="00DA0865">
      <w:pPr>
        <w:spacing w:after="0"/>
        <w:rPr>
          <w:b/>
          <w:u w:val="single"/>
        </w:rPr>
      </w:pPr>
      <w:r w:rsidRPr="00DA0865">
        <w:rPr>
          <w:color w:val="000000"/>
        </w:rPr>
        <w:t xml:space="preserve">The </w:t>
      </w:r>
      <w:r>
        <w:rPr>
          <w:color w:val="000000"/>
        </w:rPr>
        <w:t>VDC</w:t>
      </w:r>
      <w:r w:rsidRPr="00DA0865">
        <w:rPr>
          <w:color w:val="000000"/>
        </w:rPr>
        <w:t xml:space="preserve"> Tool is designed to provide </w:t>
      </w:r>
      <w:r>
        <w:rPr>
          <w:color w:val="000000"/>
        </w:rPr>
        <w:t>ACL,</w:t>
      </w:r>
      <w:r w:rsidRPr="00DA0865">
        <w:rPr>
          <w:color w:val="000000"/>
        </w:rPr>
        <w:t xml:space="preserve"> </w:t>
      </w:r>
      <w:r>
        <w:rPr>
          <w:color w:val="000000"/>
        </w:rPr>
        <w:t>VHA</w:t>
      </w:r>
      <w:r w:rsidRPr="00DA0865">
        <w:rPr>
          <w:color w:val="000000"/>
        </w:rPr>
        <w:t xml:space="preserve">, and its partners with qualitative and quantitate data elements necessary to evaluate the impact of the VDC program. </w:t>
      </w:r>
      <w:r w:rsidR="00CD75CE">
        <w:rPr>
          <w:color w:val="000000"/>
        </w:rPr>
        <w:t>VDC program providers will provide data in t</w:t>
      </w:r>
      <w:r w:rsidRPr="00DA0865">
        <w:rPr>
          <w:color w:val="000000"/>
        </w:rPr>
        <w:t xml:space="preserve">he VDC tool </w:t>
      </w:r>
      <w:r w:rsidR="00CD75CE">
        <w:rPr>
          <w:color w:val="000000"/>
        </w:rPr>
        <w:t>that will</w:t>
      </w:r>
      <w:r w:rsidRPr="00DA0865">
        <w:rPr>
          <w:color w:val="000000"/>
        </w:rPr>
        <w:t xml:space="preserve"> track key performance measures and identify best practices and technical assistance needs.</w:t>
      </w:r>
      <w:r>
        <w:rPr>
          <w:color w:val="000000"/>
        </w:rPr>
        <w:t xml:space="preserve"> </w:t>
      </w:r>
      <w:r w:rsidR="00CD75CE">
        <w:rPr>
          <w:color w:val="000000"/>
        </w:rPr>
        <w:t xml:space="preserve">This tool was </w:t>
      </w:r>
      <w:r w:rsidR="00CD75CE" w:rsidRPr="00CD75CE">
        <w:rPr>
          <w:color w:val="000000"/>
        </w:rPr>
        <w:t xml:space="preserve">developed to increase ease and uniformity of reporting and improve the ability of ACL </w:t>
      </w:r>
      <w:r w:rsidR="00CD75CE">
        <w:rPr>
          <w:color w:val="000000"/>
        </w:rPr>
        <w:t xml:space="preserve">and its partners </w:t>
      </w:r>
      <w:r w:rsidR="00CD75CE" w:rsidRPr="00CD75CE">
        <w:rPr>
          <w:color w:val="000000"/>
        </w:rPr>
        <w:t xml:space="preserve">to manage and analyze </w:t>
      </w:r>
      <w:r w:rsidR="00CD75CE">
        <w:rPr>
          <w:color w:val="000000"/>
        </w:rPr>
        <w:t xml:space="preserve">program </w:t>
      </w:r>
      <w:r w:rsidR="00CD75CE" w:rsidRPr="00CD75CE">
        <w:rPr>
          <w:color w:val="000000"/>
        </w:rPr>
        <w:t>data.</w:t>
      </w:r>
    </w:p>
    <w:p w14:paraId="7A23C846" w14:textId="77777777" w:rsidR="00644723" w:rsidRPr="00644723" w:rsidRDefault="00644723" w:rsidP="00D77545">
      <w:pPr>
        <w:spacing w:after="0"/>
      </w:pPr>
    </w:p>
    <w:p w14:paraId="49C73119" w14:textId="77777777" w:rsidR="00D77545" w:rsidRPr="00F303ED" w:rsidRDefault="00D77545" w:rsidP="009D0277">
      <w:pPr>
        <w:pStyle w:val="ListParagraph"/>
        <w:spacing w:before="0" w:after="0"/>
        <w:ind w:left="0"/>
      </w:pPr>
    </w:p>
    <w:p w14:paraId="79B355BC" w14:textId="77777777" w:rsidR="00820C7C" w:rsidRPr="00770C12" w:rsidRDefault="00D920EB" w:rsidP="00D850AF">
      <w:pPr>
        <w:pStyle w:val="ListParagraph"/>
        <w:numPr>
          <w:ilvl w:val="0"/>
          <w:numId w:val="1"/>
        </w:numPr>
        <w:spacing w:before="0" w:after="0"/>
        <w:ind w:left="0"/>
        <w:rPr>
          <w:b/>
          <w:u w:val="single"/>
        </w:rPr>
      </w:pPr>
      <w:r w:rsidRPr="00770C12">
        <w:rPr>
          <w:b/>
          <w:u w:val="single"/>
        </w:rPr>
        <w:t xml:space="preserve">Use of Improved Information Technology and Burden Reduction </w:t>
      </w:r>
    </w:p>
    <w:p w14:paraId="6FECFC57" w14:textId="77777777" w:rsidR="009D0277" w:rsidRDefault="009D0277" w:rsidP="009D0277">
      <w:pPr>
        <w:pStyle w:val="ListParagraph"/>
        <w:spacing w:before="0" w:after="0"/>
        <w:ind w:left="0"/>
        <w:rPr>
          <w:b/>
        </w:rPr>
      </w:pPr>
    </w:p>
    <w:p w14:paraId="719976EF" w14:textId="77777777" w:rsidR="00D576FE" w:rsidRPr="00D576FE" w:rsidRDefault="00D576FE" w:rsidP="00D576FE">
      <w:pPr>
        <w:spacing w:after="0"/>
      </w:pPr>
      <w:r w:rsidRPr="00D576FE">
        <w:t xml:space="preserve">The </w:t>
      </w:r>
      <w:r w:rsidR="00706C65">
        <w:t>NWD MT</w:t>
      </w:r>
      <w:r w:rsidRPr="00D576FE">
        <w:t xml:space="preserve"> </w:t>
      </w:r>
      <w:r w:rsidR="00032866">
        <w:t xml:space="preserve">and VDC Tool </w:t>
      </w:r>
      <w:r w:rsidRPr="00D576FE">
        <w:t xml:space="preserve">will be deployed on a web platform </w:t>
      </w:r>
      <w:r w:rsidR="00032866">
        <w:t>that</w:t>
      </w:r>
      <w:r w:rsidRPr="00D576FE">
        <w:t xml:space="preserve"> is in compliance with section 508 of the Rehabilitation Act of 1973, as amended (29 U.S.C. 794d)</w:t>
      </w:r>
      <w:r w:rsidR="00032866">
        <w:t xml:space="preserve"> and that has electronic submission and data reporting capabilities</w:t>
      </w:r>
      <w:r w:rsidRPr="00D576FE">
        <w:t>.</w:t>
      </w:r>
      <w:r w:rsidR="00D10386">
        <w:t xml:space="preserve"> Respondents will </w:t>
      </w:r>
      <w:r w:rsidR="00D02DAB">
        <w:t xml:space="preserve">have access to a user friendly web-based platform with no licensing or user fees. </w:t>
      </w:r>
    </w:p>
    <w:p w14:paraId="2774AD3B" w14:textId="77777777" w:rsidR="00D576FE" w:rsidRPr="00D576FE" w:rsidRDefault="00D576FE" w:rsidP="00D576FE">
      <w:pPr>
        <w:spacing w:after="0"/>
      </w:pPr>
    </w:p>
    <w:p w14:paraId="42267465" w14:textId="708FE08F" w:rsidR="00D576FE" w:rsidRPr="00D576FE" w:rsidRDefault="00D576FE" w:rsidP="00D576FE">
      <w:pPr>
        <w:spacing w:after="0"/>
      </w:pPr>
      <w:r w:rsidRPr="00D576FE">
        <w:t xml:space="preserve">Data collected in the </w:t>
      </w:r>
      <w:r w:rsidR="00706C65">
        <w:t>NWD MT and the VDC Tool</w:t>
      </w:r>
      <w:r w:rsidRPr="00D576FE">
        <w:t xml:space="preserve"> will draw on administrative records that have been previously compiled for the </w:t>
      </w:r>
      <w:r w:rsidR="00706C65">
        <w:t xml:space="preserve">respondents </w:t>
      </w:r>
      <w:r w:rsidRPr="00D576FE">
        <w:t xml:space="preserve">own recordkeeping and generally should not require additional effort to collect source data. Improved information technology will minimize the burden of inputting previously collected data into the tool. </w:t>
      </w:r>
      <w:r w:rsidR="004D0DE3" w:rsidRPr="00D77545">
        <w:rPr>
          <w:color w:val="000000"/>
        </w:rPr>
        <w:t xml:space="preserve">The </w:t>
      </w:r>
      <w:r w:rsidR="004D0DE3">
        <w:rPr>
          <w:color w:val="000000"/>
        </w:rPr>
        <w:t>NWD MT and VDC Tool,</w:t>
      </w:r>
      <w:r w:rsidR="004D0DE3" w:rsidRPr="00D77545">
        <w:rPr>
          <w:color w:val="000000"/>
        </w:rPr>
        <w:t xml:space="preserve"> which </w:t>
      </w:r>
      <w:r w:rsidR="004D0DE3">
        <w:rPr>
          <w:color w:val="000000"/>
        </w:rPr>
        <w:t>were</w:t>
      </w:r>
      <w:r w:rsidR="004D0DE3" w:rsidRPr="00D77545">
        <w:rPr>
          <w:color w:val="000000"/>
        </w:rPr>
        <w:t xml:space="preserve"> designed in close collaboration with states</w:t>
      </w:r>
      <w:r w:rsidR="004D0DE3">
        <w:rPr>
          <w:color w:val="000000"/>
        </w:rPr>
        <w:t>,</w:t>
      </w:r>
      <w:r w:rsidR="004D0DE3" w:rsidRPr="00D77545">
        <w:rPr>
          <w:color w:val="000000"/>
        </w:rPr>
        <w:t xml:space="preserve"> is intended to streamline reporting capabilities in order to reduce burden on local and state staff.</w:t>
      </w:r>
    </w:p>
    <w:p w14:paraId="584C16DD" w14:textId="77777777" w:rsidR="00D576FE" w:rsidRPr="00D576FE" w:rsidRDefault="00D576FE" w:rsidP="00D576FE">
      <w:pPr>
        <w:spacing w:after="0"/>
      </w:pPr>
    </w:p>
    <w:p w14:paraId="7A1603C2" w14:textId="77777777" w:rsidR="009D0277" w:rsidRPr="009D0277" w:rsidRDefault="009D0277" w:rsidP="009D0277">
      <w:pPr>
        <w:pStyle w:val="ListParagraph"/>
        <w:spacing w:before="0" w:after="0"/>
        <w:rPr>
          <w:b/>
        </w:rPr>
      </w:pPr>
    </w:p>
    <w:p w14:paraId="399B23C3" w14:textId="77777777" w:rsidR="00820C7C" w:rsidRPr="00770C12" w:rsidRDefault="00D920EB" w:rsidP="00D850AF">
      <w:pPr>
        <w:pStyle w:val="ListParagraph"/>
        <w:numPr>
          <w:ilvl w:val="0"/>
          <w:numId w:val="1"/>
        </w:numPr>
        <w:spacing w:before="0"/>
        <w:ind w:left="0"/>
        <w:rPr>
          <w:b/>
          <w:u w:val="single"/>
        </w:rPr>
      </w:pPr>
      <w:r w:rsidRPr="00770C12">
        <w:rPr>
          <w:b/>
          <w:u w:val="single"/>
        </w:rPr>
        <w:t xml:space="preserve">Efforts to Identify Duplication and Use of Similar Information </w:t>
      </w:r>
    </w:p>
    <w:p w14:paraId="0FB7B41A" w14:textId="3F6C84EC" w:rsidR="00FA27F6" w:rsidRPr="00154E21" w:rsidRDefault="00FA27F6" w:rsidP="00FA27F6">
      <w:pPr>
        <w:contextualSpacing/>
      </w:pPr>
      <w:r w:rsidRPr="00154E21">
        <w:rPr>
          <w:bCs/>
        </w:rPr>
        <w:t xml:space="preserve">There is no similar data collection; all information in the proposed data tools is unique to the </w:t>
      </w:r>
      <w:r>
        <w:rPr>
          <w:bCs/>
        </w:rPr>
        <w:t>NWD System and VDC program</w:t>
      </w:r>
      <w:r w:rsidRPr="00154E21">
        <w:rPr>
          <w:bCs/>
        </w:rPr>
        <w:t xml:space="preserve">. </w:t>
      </w:r>
      <w:r w:rsidR="004D0DE3">
        <w:rPr>
          <w:bCs/>
        </w:rPr>
        <w:t xml:space="preserve">Prior iterations of the AARP Scorecard, which involved voluntary participation in a survey, collected data to assess states’ progress toward developing a NWD System, </w:t>
      </w:r>
      <w:r w:rsidR="00185615">
        <w:rPr>
          <w:bCs/>
        </w:rPr>
        <w:t>however</w:t>
      </w:r>
      <w:r w:rsidR="004D0DE3">
        <w:rPr>
          <w:bCs/>
        </w:rPr>
        <w:t xml:space="preserve"> o</w:t>
      </w:r>
      <w:r w:rsidR="004D0DE3">
        <w:t xml:space="preserve">nce the NWD MT is approved, AARP’s data collection may no longer be necessary. The AARP Scorecard does not serve the same purpose as the NWD MT. </w:t>
      </w:r>
    </w:p>
    <w:p w14:paraId="15850F22" w14:textId="77777777" w:rsidR="00820C7C" w:rsidRPr="00770C12" w:rsidRDefault="00D920EB" w:rsidP="00D850AF">
      <w:pPr>
        <w:pStyle w:val="ListParagraph"/>
        <w:numPr>
          <w:ilvl w:val="0"/>
          <w:numId w:val="1"/>
        </w:numPr>
        <w:spacing w:before="0"/>
        <w:ind w:left="0"/>
        <w:rPr>
          <w:b/>
          <w:u w:val="single"/>
        </w:rPr>
      </w:pPr>
      <w:r w:rsidRPr="00770C12">
        <w:rPr>
          <w:b/>
          <w:u w:val="single"/>
        </w:rPr>
        <w:t xml:space="preserve">Impact on Small Businesses or Other Small Entities </w:t>
      </w:r>
    </w:p>
    <w:p w14:paraId="2CA23BFB" w14:textId="77777777" w:rsidR="00D576FE" w:rsidRDefault="00D576FE" w:rsidP="00FA27F6">
      <w:pPr>
        <w:spacing w:after="0"/>
      </w:pPr>
      <w:r w:rsidRPr="00D576FE">
        <w:t xml:space="preserve">States will request completion of the </w:t>
      </w:r>
      <w:r w:rsidR="00FA27F6">
        <w:t>NWD MT</w:t>
      </w:r>
      <w:r w:rsidR="001A67C7">
        <w:t xml:space="preserve"> and VDC Tool</w:t>
      </w:r>
      <w:r w:rsidRPr="00D576FE">
        <w:t xml:space="preserve"> by local organizations in their NWD System</w:t>
      </w:r>
      <w:r w:rsidR="006E1A48">
        <w:t xml:space="preserve"> which comprise </w:t>
      </w:r>
      <w:r w:rsidR="006E1A48" w:rsidRPr="00D576FE">
        <w:t>approximately</w:t>
      </w:r>
      <w:r w:rsidRPr="00D576FE">
        <w:t xml:space="preserve"> </w:t>
      </w:r>
      <w:r w:rsidR="00FA27F6">
        <w:t xml:space="preserve">400 VDC program entities and </w:t>
      </w:r>
      <w:r>
        <w:t>996</w:t>
      </w:r>
      <w:r w:rsidRPr="00D576FE">
        <w:t xml:space="preserve"> local </w:t>
      </w:r>
      <w:r w:rsidR="002514B4">
        <w:t>a</w:t>
      </w:r>
      <w:r w:rsidR="002514B4" w:rsidRPr="00D576FE">
        <w:t xml:space="preserve">ging </w:t>
      </w:r>
      <w:r w:rsidRPr="00D576FE">
        <w:t xml:space="preserve">and </w:t>
      </w:r>
      <w:r w:rsidR="002514B4">
        <w:t>d</w:t>
      </w:r>
      <w:r w:rsidR="002514B4" w:rsidRPr="00D576FE">
        <w:t xml:space="preserve">isability </w:t>
      </w:r>
      <w:r w:rsidR="002514B4">
        <w:t>n</w:t>
      </w:r>
      <w:r w:rsidR="00FA27F6">
        <w:t xml:space="preserve">etwork </w:t>
      </w:r>
      <w:r w:rsidR="002514B4">
        <w:t>a</w:t>
      </w:r>
      <w:r w:rsidR="00FA27F6">
        <w:t>gencies, such as Aging and Disability Resource Centers</w:t>
      </w:r>
      <w:r w:rsidR="006E1A48">
        <w:t xml:space="preserve"> (ADRCs)</w:t>
      </w:r>
      <w:r w:rsidR="00FA27F6">
        <w:t>, Area Agencies on Aging</w:t>
      </w:r>
      <w:r w:rsidR="006E1A48">
        <w:t xml:space="preserve"> (AAAs)</w:t>
      </w:r>
      <w:r w:rsidR="00FA27F6">
        <w:t>, and Centers for Independent Living</w:t>
      </w:r>
      <w:r w:rsidR="006E1A48">
        <w:t xml:space="preserve"> (CILs)</w:t>
      </w:r>
      <w:r w:rsidR="00FA27F6">
        <w:t>.</w:t>
      </w:r>
      <w:r w:rsidRPr="00D576FE">
        <w:t xml:space="preserve"> </w:t>
      </w:r>
    </w:p>
    <w:p w14:paraId="66E3E19A" w14:textId="77777777" w:rsidR="00B17F11" w:rsidRPr="00D576FE" w:rsidRDefault="00B17F11" w:rsidP="00FA27F6">
      <w:pPr>
        <w:spacing w:after="0"/>
      </w:pPr>
    </w:p>
    <w:p w14:paraId="4F52AD7B" w14:textId="77777777" w:rsidR="00D576FE" w:rsidRPr="00D576FE" w:rsidRDefault="00D576FE" w:rsidP="00D576FE">
      <w:pPr>
        <w:spacing w:after="0"/>
      </w:pPr>
      <w:r w:rsidRPr="00D576FE">
        <w:t xml:space="preserve">The local </w:t>
      </w:r>
      <w:r w:rsidR="006E1A48">
        <w:t>organizations</w:t>
      </w:r>
      <w:r w:rsidRPr="00D576FE">
        <w:t xml:space="preserve"> range in size from small to large in terms of number of participants and size of budget.  The information requested from respondents is the minimum needed to ascertain the state of the NWD System</w:t>
      </w:r>
      <w:r w:rsidR="006E1A48">
        <w:t xml:space="preserve"> and progress of the VDC program</w:t>
      </w:r>
      <w:r w:rsidRPr="00D576FE">
        <w:t>. The burden to small organizations has been minimized by using data elements that draw on administrative records that have been previously compiled for organizations’ own recordkeeping and by minimiz</w:t>
      </w:r>
      <w:r w:rsidR="006E1A48">
        <w:t>ing</w:t>
      </w:r>
      <w:r w:rsidRPr="00D576FE">
        <w:t xml:space="preserve"> inapplicable data elements.  In addition, the reporting tool is web based and data entry will be available to</w:t>
      </w:r>
      <w:r w:rsidR="0054125F">
        <w:t xml:space="preserve"> state</w:t>
      </w:r>
      <w:r w:rsidRPr="00D576FE">
        <w:t xml:space="preserve"> local organizations on an ongoing basis. </w:t>
      </w:r>
    </w:p>
    <w:p w14:paraId="31D62E09" w14:textId="77777777" w:rsidR="00D576FE" w:rsidRPr="00F303ED" w:rsidRDefault="00D576FE" w:rsidP="009D0277">
      <w:pPr>
        <w:pStyle w:val="ListParagraph"/>
        <w:spacing w:before="0" w:after="0"/>
        <w:ind w:left="0"/>
      </w:pPr>
    </w:p>
    <w:p w14:paraId="00B0EDC2" w14:textId="77777777" w:rsidR="00820C7C" w:rsidRPr="00770C12" w:rsidRDefault="00D920EB" w:rsidP="00D850AF">
      <w:pPr>
        <w:pStyle w:val="ListParagraph"/>
        <w:numPr>
          <w:ilvl w:val="0"/>
          <w:numId w:val="1"/>
        </w:numPr>
        <w:spacing w:before="0"/>
        <w:ind w:left="0"/>
        <w:rPr>
          <w:b/>
          <w:u w:val="single"/>
        </w:rPr>
      </w:pPr>
      <w:r w:rsidRPr="00770C12">
        <w:rPr>
          <w:b/>
          <w:u w:val="single"/>
        </w:rPr>
        <w:t xml:space="preserve">Consequences of Collecting the Information Less Frequently </w:t>
      </w:r>
    </w:p>
    <w:p w14:paraId="1E9DE0D4" w14:textId="77777777" w:rsidR="00D576FE" w:rsidRPr="00D576FE" w:rsidRDefault="00D576FE" w:rsidP="00D576FE">
      <w:pPr>
        <w:spacing w:after="0"/>
      </w:pPr>
      <w:r>
        <w:t>Bi-a</w:t>
      </w:r>
      <w:r w:rsidRPr="00D576FE">
        <w:t xml:space="preserve">nnual data-entry </w:t>
      </w:r>
      <w:r w:rsidR="00414A81">
        <w:t xml:space="preserve">for the NWD MT </w:t>
      </w:r>
      <w:r w:rsidRPr="00D576FE">
        <w:t>will support states ability to achieve the highest return in evaluating progress made toward the vision of the NWD System.</w:t>
      </w:r>
      <w:r w:rsidR="004D0DE3">
        <w:t xml:space="preserve"> Bi-annual data collection is necessary to assess changes in populations served in relation to staff capacity and funding sources for a state’s NWD System.</w:t>
      </w:r>
      <w:r w:rsidRPr="00D576FE">
        <w:t xml:space="preserve"> The </w:t>
      </w:r>
      <w:r w:rsidR="00BE6289">
        <w:t>NWD MT</w:t>
      </w:r>
      <w:r w:rsidRPr="00D576FE">
        <w:t xml:space="preserve"> will function as an infrastructure tool for states’ NWD Systems and therefore will be available to the states at all times. </w:t>
      </w:r>
    </w:p>
    <w:p w14:paraId="29C6E515" w14:textId="77777777" w:rsidR="00D576FE" w:rsidRPr="00D576FE" w:rsidRDefault="00D576FE" w:rsidP="00D576FE">
      <w:pPr>
        <w:spacing w:after="0"/>
      </w:pPr>
    </w:p>
    <w:p w14:paraId="4E4F2138" w14:textId="77777777" w:rsidR="00414A81" w:rsidRPr="00414A81" w:rsidRDefault="00A90A56" w:rsidP="00414A81">
      <w:pPr>
        <w:spacing w:after="0"/>
      </w:pPr>
      <w:r w:rsidRPr="00A90A56">
        <w:t>To meet the statutory requirements for reporting and execution of program management functions, availability of timely data is critical.</w:t>
      </w:r>
      <w:r>
        <w:t xml:space="preserve"> </w:t>
      </w:r>
      <w:r w:rsidR="00414A81" w:rsidRPr="00414A81">
        <w:t xml:space="preserve">If data was submitted less frequently </w:t>
      </w:r>
      <w:r>
        <w:t xml:space="preserve">than monthly for the VDC tool, </w:t>
      </w:r>
      <w:r w:rsidR="00414A81" w:rsidRPr="00414A81">
        <w:t xml:space="preserve">or not at all, ACL would be unable to promptly identify </w:t>
      </w:r>
      <w:r w:rsidR="00414A81">
        <w:t>VDC program providers</w:t>
      </w:r>
      <w:r w:rsidR="00414A81" w:rsidRPr="00414A81">
        <w:t xml:space="preserve"> in need of technical assistance.  </w:t>
      </w:r>
      <w:r w:rsidR="00AA459D">
        <w:t xml:space="preserve">It is anticipated that ACL will need to respond to frequent program needs and status reports for the VDC program. </w:t>
      </w:r>
    </w:p>
    <w:p w14:paraId="4CBA4795" w14:textId="77777777" w:rsidR="00414A81" w:rsidRDefault="00414A81" w:rsidP="00D576FE">
      <w:pPr>
        <w:spacing w:after="0"/>
      </w:pPr>
    </w:p>
    <w:p w14:paraId="21590662" w14:textId="77777777" w:rsidR="00D576FE" w:rsidRPr="00D576FE" w:rsidRDefault="00D576FE" w:rsidP="00D576FE">
      <w:pPr>
        <w:spacing w:after="0"/>
      </w:pPr>
      <w:r w:rsidRPr="00D576FE">
        <w:t xml:space="preserve">In addition to providing longitudinal data aggregation, the </w:t>
      </w:r>
      <w:r w:rsidR="00BE6289">
        <w:t>NWD MT</w:t>
      </w:r>
      <w:r w:rsidR="001A67C7">
        <w:t xml:space="preserve"> and VDC Tool</w:t>
      </w:r>
      <w:r w:rsidRPr="00D576FE">
        <w:t xml:space="preserve"> will have the capability to produce customized reports, demand estimates, and geographical mapping of services. States’ ability to use these functions will depend directly on the </w:t>
      </w:r>
      <w:r w:rsidR="00C556A2">
        <w:t>frequency and accuracy</w:t>
      </w:r>
      <w:r w:rsidRPr="00D576FE">
        <w:t xml:space="preserve"> of the data entered. </w:t>
      </w:r>
      <w:r w:rsidR="00AA459D" w:rsidRPr="00414A81">
        <w:t xml:space="preserve">The data will also be used to identify top performers </w:t>
      </w:r>
      <w:r w:rsidR="00AA459D">
        <w:t xml:space="preserve">in order </w:t>
      </w:r>
      <w:r w:rsidR="00AA459D" w:rsidRPr="00414A81">
        <w:t>to highlight best practices that can be shared with NWD Systems</w:t>
      </w:r>
      <w:r w:rsidR="00AA459D">
        <w:t xml:space="preserve"> and VDC providers</w:t>
      </w:r>
      <w:r w:rsidR="00AA459D" w:rsidRPr="00414A81">
        <w:t xml:space="preserve"> across the country.</w:t>
      </w:r>
    </w:p>
    <w:p w14:paraId="6F569C9D" w14:textId="77777777" w:rsidR="00D576FE" w:rsidRPr="00F303ED" w:rsidRDefault="00D576FE" w:rsidP="009D0277">
      <w:pPr>
        <w:pStyle w:val="ListParagraph"/>
        <w:spacing w:before="0" w:after="0"/>
        <w:ind w:left="0"/>
      </w:pPr>
    </w:p>
    <w:p w14:paraId="148730D1" w14:textId="77777777" w:rsidR="008E3EA3" w:rsidRDefault="008E3EA3" w:rsidP="008E3EA3">
      <w:pPr>
        <w:pStyle w:val="ListParagraph"/>
        <w:spacing w:before="0"/>
        <w:ind w:left="0"/>
        <w:rPr>
          <w:b/>
          <w:u w:val="single"/>
        </w:rPr>
      </w:pPr>
    </w:p>
    <w:p w14:paraId="49CFDF35" w14:textId="77777777" w:rsidR="008E3EA3" w:rsidRDefault="008E3EA3" w:rsidP="008E3EA3">
      <w:pPr>
        <w:pStyle w:val="ListParagraph"/>
        <w:spacing w:before="0"/>
        <w:ind w:left="0"/>
        <w:rPr>
          <w:b/>
          <w:u w:val="single"/>
        </w:rPr>
      </w:pPr>
    </w:p>
    <w:p w14:paraId="706DD8C1" w14:textId="77777777" w:rsidR="008E3EA3" w:rsidRPr="008E3EA3" w:rsidRDefault="008E3EA3" w:rsidP="008E3EA3">
      <w:pPr>
        <w:rPr>
          <w:b/>
          <w:u w:val="single"/>
        </w:rPr>
      </w:pPr>
    </w:p>
    <w:p w14:paraId="68C32A05" w14:textId="2155B783" w:rsidR="00820C7C" w:rsidRPr="00770C12" w:rsidRDefault="00D920EB" w:rsidP="00D850AF">
      <w:pPr>
        <w:pStyle w:val="ListParagraph"/>
        <w:numPr>
          <w:ilvl w:val="0"/>
          <w:numId w:val="1"/>
        </w:numPr>
        <w:spacing w:before="0"/>
        <w:ind w:left="0"/>
        <w:rPr>
          <w:b/>
          <w:u w:val="single"/>
        </w:rPr>
      </w:pPr>
      <w:r w:rsidRPr="00770C12">
        <w:rPr>
          <w:b/>
          <w:u w:val="single"/>
        </w:rPr>
        <w:t xml:space="preserve">Special Circumstances Relating to the Guidelines of 5 CFR 1320.5 </w:t>
      </w:r>
    </w:p>
    <w:p w14:paraId="2399F038" w14:textId="6C992BAC" w:rsidR="00160F1D" w:rsidRPr="00160F1D" w:rsidRDefault="00160F1D" w:rsidP="00160F1D">
      <w:pPr>
        <w:spacing w:after="0"/>
      </w:pPr>
      <w:r w:rsidRPr="00160F1D">
        <w:t>This request is consistent with the general information collection guidelines of 5 CFR 1320.5</w:t>
      </w:r>
      <w:r w:rsidR="00F42C24">
        <w:t xml:space="preserve">, with the exception of </w:t>
      </w:r>
      <w:r w:rsidR="004D0DE3">
        <w:t xml:space="preserve">the VDC Tool requiring respondents to report information to the agency more often than quarterly.  </w:t>
      </w:r>
      <w:r w:rsidR="004D0DE3" w:rsidRPr="004D0DE3">
        <w:t xml:space="preserve">Monthly data reporting </w:t>
      </w:r>
      <w:r w:rsidR="00185615">
        <w:t xml:space="preserve">for the VDC Tool </w:t>
      </w:r>
      <w:r w:rsidR="004D0DE3" w:rsidRPr="004D0DE3">
        <w:t xml:space="preserve">will inform the timely provision of technical assistance and identification of best practices to deliver high quality care to Veterans and their caregivers and ensure timely response to program needs and status reports. </w:t>
      </w:r>
      <w:r w:rsidR="006967B7">
        <w:t>The VDC Tool will</w:t>
      </w:r>
      <w:r w:rsidR="00185615">
        <w:t xml:space="preserve"> allow ACL and its partners</w:t>
      </w:r>
      <w:r w:rsidR="006967B7">
        <w:t xml:space="preserve"> monitor the highly variable population</w:t>
      </w:r>
      <w:r w:rsidR="006967B7" w:rsidRPr="006967B7">
        <w:t xml:space="preserve"> of Veterans</w:t>
      </w:r>
      <w:r w:rsidR="006967B7">
        <w:t xml:space="preserve"> enrolled in the program and address billing and invoicing issues.</w:t>
      </w:r>
      <w:r w:rsidR="006967B7" w:rsidRPr="006967B7">
        <w:t xml:space="preserve"> </w:t>
      </w:r>
      <w:r w:rsidR="004D0DE3" w:rsidRPr="004D0DE3">
        <w:t>Quarterly reporting, or any other frequency, will delay the delivery of technical assistance and may impact the quality of service offered to Veterans and their caregivers.</w:t>
      </w:r>
    </w:p>
    <w:p w14:paraId="5FE6F749" w14:textId="77777777" w:rsidR="00AE6D10" w:rsidRDefault="00AE6D10" w:rsidP="00AE6D10">
      <w:pPr>
        <w:pStyle w:val="ListParagraph"/>
        <w:spacing w:before="0" w:after="0" w:line="276" w:lineRule="auto"/>
        <w:contextualSpacing/>
      </w:pPr>
    </w:p>
    <w:p w14:paraId="3AA984AF" w14:textId="77777777" w:rsidR="00820C7C" w:rsidRPr="00770C12" w:rsidRDefault="00D920EB" w:rsidP="00D850AF">
      <w:pPr>
        <w:pStyle w:val="ListParagraph"/>
        <w:numPr>
          <w:ilvl w:val="0"/>
          <w:numId w:val="1"/>
        </w:numPr>
        <w:spacing w:before="0"/>
        <w:ind w:left="0"/>
        <w:rPr>
          <w:b/>
          <w:u w:val="single"/>
        </w:rPr>
      </w:pPr>
      <w:r w:rsidRPr="00770C12">
        <w:rPr>
          <w:b/>
          <w:u w:val="single"/>
        </w:rPr>
        <w:t xml:space="preserve">Comments in Response to the Federal Register Notice and Efforts to Consult Outside the Agency </w:t>
      </w:r>
    </w:p>
    <w:p w14:paraId="14540D43" w14:textId="77777777" w:rsidR="002E746D" w:rsidRDefault="002E746D" w:rsidP="00770C12">
      <w:pPr>
        <w:spacing w:after="0"/>
        <w:rPr>
          <w:b/>
          <w:i/>
          <w:highlight w:val="yellow"/>
        </w:rPr>
      </w:pPr>
    </w:p>
    <w:p w14:paraId="08D1E493" w14:textId="2DBD9310" w:rsidR="000E6879" w:rsidRDefault="000E6879" w:rsidP="00770C12">
      <w:pPr>
        <w:spacing w:after="0"/>
      </w:pPr>
      <w:r w:rsidRPr="000E6879">
        <w:t xml:space="preserve">A </w:t>
      </w:r>
      <w:r>
        <w:t>60-day notice</w:t>
      </w:r>
      <w:r w:rsidRPr="000E6879">
        <w:t xml:space="preserve"> was published in the Federal Register </w:t>
      </w:r>
      <w:r w:rsidR="00B60817">
        <w:t xml:space="preserve">in Vol. 83 FR </w:t>
      </w:r>
      <w:r>
        <w:t xml:space="preserve"> 55186-55187 </w:t>
      </w:r>
      <w:r w:rsidRPr="000E6879">
        <w:t xml:space="preserve">on </w:t>
      </w:r>
      <w:r>
        <w:t>November 2, 2018</w:t>
      </w:r>
      <w:r w:rsidRPr="000E6879">
        <w:t xml:space="preserve">.  </w:t>
      </w:r>
      <w:r w:rsidR="005D65F8">
        <w:t xml:space="preserve">There were </w:t>
      </w:r>
      <w:r w:rsidR="003F3477">
        <w:t>three</w:t>
      </w:r>
      <w:r w:rsidR="005D65F8">
        <w:t xml:space="preserve"> comments received during the 60-day comment period. </w:t>
      </w:r>
      <w:r w:rsidR="00B60817">
        <w:t xml:space="preserve">A 30-day notice was published in the Federal Register in Vol. 84 FR 10098-10100 on March 19, 2019. </w:t>
      </w:r>
    </w:p>
    <w:p w14:paraId="560E4B3F" w14:textId="385FF698" w:rsidR="003F3477" w:rsidRDefault="003F3477" w:rsidP="00770C12">
      <w:pPr>
        <w:spacing w:after="0"/>
      </w:pPr>
    </w:p>
    <w:p w14:paraId="019BB228" w14:textId="0D2488D8" w:rsidR="003F3477" w:rsidRPr="003F3477" w:rsidRDefault="003F3477" w:rsidP="003F3477">
      <w:pPr>
        <w:widowControl w:val="0"/>
        <w:autoSpaceDE w:val="0"/>
        <w:autoSpaceDN w:val="0"/>
        <w:adjustRightInd w:val="0"/>
        <w:spacing w:after="0" w:line="480" w:lineRule="auto"/>
      </w:pPr>
      <w:r w:rsidRPr="003F3477">
        <w:t xml:space="preserve">ACL’s response to the comments received </w:t>
      </w:r>
      <w:r w:rsidR="00B60817">
        <w:t xml:space="preserve">during the 60-day public comment period </w:t>
      </w:r>
      <w:r w:rsidRPr="003F3477">
        <w:t xml:space="preserve">are noted in </w:t>
      </w:r>
      <w:r w:rsidR="00B60817">
        <w:t>t</w:t>
      </w:r>
      <w:r w:rsidRPr="003F3477">
        <w:t>he table below:</w:t>
      </w:r>
    </w:p>
    <w:p w14:paraId="4D0E4AD9" w14:textId="77777777" w:rsidR="003F3477" w:rsidRPr="003F3477" w:rsidRDefault="003F3477" w:rsidP="003F3477">
      <w:pPr>
        <w:spacing w:after="0"/>
        <w:ind w:left="720"/>
        <w:contextualSpacing/>
      </w:pPr>
    </w:p>
    <w:tbl>
      <w:tblPr>
        <w:tblStyle w:val="TableGrid"/>
        <w:tblW w:w="0" w:type="auto"/>
        <w:tblLook w:val="04A0" w:firstRow="1" w:lastRow="0" w:firstColumn="1" w:lastColumn="0" w:noHBand="0" w:noVBand="1"/>
      </w:tblPr>
      <w:tblGrid>
        <w:gridCol w:w="3034"/>
        <w:gridCol w:w="3457"/>
        <w:gridCol w:w="3085"/>
      </w:tblGrid>
      <w:tr w:rsidR="003F3477" w:rsidRPr="003F3477" w14:paraId="7B86DC19" w14:textId="77777777" w:rsidTr="007A328A">
        <w:trPr>
          <w:trHeight w:val="217"/>
        </w:trPr>
        <w:tc>
          <w:tcPr>
            <w:tcW w:w="4442" w:type="dxa"/>
            <w:tcBorders>
              <w:top w:val="single" w:sz="4" w:space="0" w:color="auto"/>
              <w:left w:val="single" w:sz="4" w:space="0" w:color="auto"/>
              <w:bottom w:val="single" w:sz="4" w:space="0" w:color="auto"/>
              <w:right w:val="single" w:sz="4" w:space="0" w:color="auto"/>
            </w:tcBorders>
            <w:hideMark/>
          </w:tcPr>
          <w:p w14:paraId="385A4804" w14:textId="77777777" w:rsidR="003F3477" w:rsidRPr="003F3477" w:rsidRDefault="003F3477" w:rsidP="003F3477">
            <w:pPr>
              <w:spacing w:after="0"/>
              <w:jc w:val="center"/>
              <w:rPr>
                <w:b/>
                <w:sz w:val="22"/>
                <w:szCs w:val="20"/>
              </w:rPr>
            </w:pPr>
            <w:r w:rsidRPr="003F3477">
              <w:rPr>
                <w:b/>
                <w:szCs w:val="20"/>
              </w:rPr>
              <w:t>Data Collection Form</w:t>
            </w:r>
          </w:p>
        </w:tc>
        <w:tc>
          <w:tcPr>
            <w:tcW w:w="4442" w:type="dxa"/>
            <w:tcBorders>
              <w:top w:val="single" w:sz="4" w:space="0" w:color="auto"/>
              <w:left w:val="single" w:sz="4" w:space="0" w:color="auto"/>
              <w:bottom w:val="single" w:sz="4" w:space="0" w:color="auto"/>
              <w:right w:val="single" w:sz="4" w:space="0" w:color="auto"/>
            </w:tcBorders>
            <w:hideMark/>
          </w:tcPr>
          <w:p w14:paraId="7A8996F1" w14:textId="77777777" w:rsidR="003F3477" w:rsidRPr="003F3477" w:rsidRDefault="003F3477" w:rsidP="003F3477">
            <w:pPr>
              <w:spacing w:after="0"/>
              <w:jc w:val="center"/>
              <w:rPr>
                <w:b/>
                <w:szCs w:val="20"/>
              </w:rPr>
            </w:pPr>
            <w:r w:rsidRPr="003F3477">
              <w:rPr>
                <w:b/>
                <w:szCs w:val="20"/>
              </w:rPr>
              <w:t>Comment</w:t>
            </w:r>
          </w:p>
        </w:tc>
        <w:tc>
          <w:tcPr>
            <w:tcW w:w="4442" w:type="dxa"/>
            <w:tcBorders>
              <w:top w:val="single" w:sz="4" w:space="0" w:color="auto"/>
              <w:left w:val="single" w:sz="4" w:space="0" w:color="auto"/>
              <w:bottom w:val="single" w:sz="4" w:space="0" w:color="auto"/>
              <w:right w:val="single" w:sz="4" w:space="0" w:color="auto"/>
            </w:tcBorders>
            <w:hideMark/>
          </w:tcPr>
          <w:p w14:paraId="0B70A56C" w14:textId="77777777" w:rsidR="003F3477" w:rsidRPr="003F3477" w:rsidRDefault="003F3477" w:rsidP="003F3477">
            <w:pPr>
              <w:spacing w:after="0"/>
              <w:jc w:val="center"/>
              <w:rPr>
                <w:b/>
                <w:szCs w:val="20"/>
              </w:rPr>
            </w:pPr>
            <w:r w:rsidRPr="003F3477">
              <w:rPr>
                <w:b/>
                <w:szCs w:val="20"/>
              </w:rPr>
              <w:t>ACL Response</w:t>
            </w:r>
          </w:p>
        </w:tc>
      </w:tr>
      <w:tr w:rsidR="003F3477" w:rsidRPr="003F3477" w14:paraId="5D434D43" w14:textId="77777777" w:rsidTr="007A328A">
        <w:trPr>
          <w:trHeight w:val="2857"/>
        </w:trPr>
        <w:tc>
          <w:tcPr>
            <w:tcW w:w="4442" w:type="dxa"/>
            <w:tcBorders>
              <w:top w:val="single" w:sz="4" w:space="0" w:color="auto"/>
              <w:left w:val="single" w:sz="4" w:space="0" w:color="auto"/>
              <w:bottom w:val="single" w:sz="4" w:space="0" w:color="auto"/>
              <w:right w:val="single" w:sz="4" w:space="0" w:color="auto"/>
            </w:tcBorders>
            <w:hideMark/>
          </w:tcPr>
          <w:p w14:paraId="7FB6B04D" w14:textId="77777777" w:rsidR="003F3477" w:rsidRPr="003F3477" w:rsidRDefault="003F3477" w:rsidP="003F3477">
            <w:pPr>
              <w:spacing w:after="0"/>
              <w:rPr>
                <w:i/>
                <w:szCs w:val="20"/>
              </w:rPr>
            </w:pPr>
            <w:r w:rsidRPr="003F3477">
              <w:rPr>
                <w:i/>
                <w:szCs w:val="20"/>
              </w:rPr>
              <w:t>NWD Management Tool</w:t>
            </w:r>
          </w:p>
        </w:tc>
        <w:tc>
          <w:tcPr>
            <w:tcW w:w="4442" w:type="dxa"/>
            <w:tcBorders>
              <w:top w:val="single" w:sz="4" w:space="0" w:color="auto"/>
              <w:left w:val="single" w:sz="4" w:space="0" w:color="auto"/>
              <w:bottom w:val="single" w:sz="4" w:space="0" w:color="auto"/>
              <w:right w:val="single" w:sz="4" w:space="0" w:color="auto"/>
            </w:tcBorders>
            <w:hideMark/>
          </w:tcPr>
          <w:p w14:paraId="1E9678AE" w14:textId="24CF6ABA" w:rsidR="003F3477" w:rsidRPr="003F3477" w:rsidRDefault="003F3477" w:rsidP="003F3477">
            <w:pPr>
              <w:spacing w:after="0"/>
              <w:rPr>
                <w:szCs w:val="20"/>
              </w:rPr>
            </w:pPr>
            <w:r w:rsidRPr="003F3477">
              <w:rPr>
                <w:szCs w:val="20"/>
              </w:rPr>
              <w:t xml:space="preserve">I understand that although not required, health information shared solution models that are multi-state adoptable is key to the NWD system, tracking, and monitoring systems of </w:t>
            </w:r>
            <w:r w:rsidR="00B60817" w:rsidRPr="003F3477">
              <w:rPr>
                <w:szCs w:val="20"/>
              </w:rPr>
              <w:t>the</w:t>
            </w:r>
            <w:r w:rsidR="00B60817">
              <w:rPr>
                <w:szCs w:val="20"/>
              </w:rPr>
              <w:t xml:space="preserve"> </w:t>
            </w:r>
            <w:r w:rsidR="00B60817" w:rsidRPr="003F3477">
              <w:rPr>
                <w:szCs w:val="20"/>
              </w:rPr>
              <w:t>I</w:t>
            </w:r>
            <w:r w:rsidRPr="003F3477">
              <w:rPr>
                <w:szCs w:val="20"/>
              </w:rPr>
              <w:t xml:space="preserve">/DD care and services. Please feel free to share this correspondence with team members/stakeholders whom we can speak with in regards to furthering contact with regarding healthcare technology expansion within the I/DD industry.  </w:t>
            </w:r>
          </w:p>
        </w:tc>
        <w:tc>
          <w:tcPr>
            <w:tcW w:w="4442" w:type="dxa"/>
            <w:tcBorders>
              <w:top w:val="single" w:sz="4" w:space="0" w:color="auto"/>
              <w:left w:val="single" w:sz="4" w:space="0" w:color="auto"/>
              <w:bottom w:val="single" w:sz="4" w:space="0" w:color="auto"/>
              <w:right w:val="single" w:sz="4" w:space="0" w:color="auto"/>
            </w:tcBorders>
            <w:hideMark/>
          </w:tcPr>
          <w:p w14:paraId="0DA064AF" w14:textId="77777777" w:rsidR="003F3477" w:rsidRPr="003F3477" w:rsidRDefault="003F3477" w:rsidP="003F3477">
            <w:pPr>
              <w:spacing w:after="0"/>
              <w:rPr>
                <w:szCs w:val="20"/>
              </w:rPr>
            </w:pPr>
            <w:r w:rsidRPr="003F3477">
              <w:rPr>
                <w:szCs w:val="20"/>
              </w:rPr>
              <w:t xml:space="preserve">ACL appreciates the commenter’s views on healthcare technology and I/DD care and services, however ACL finds this comment to be unrelated to the proposed data collection tools. </w:t>
            </w:r>
          </w:p>
        </w:tc>
      </w:tr>
      <w:tr w:rsidR="003F3477" w:rsidRPr="003F3477" w14:paraId="6BF1C674" w14:textId="77777777" w:rsidTr="007A328A">
        <w:trPr>
          <w:trHeight w:val="7035"/>
        </w:trPr>
        <w:tc>
          <w:tcPr>
            <w:tcW w:w="4442" w:type="dxa"/>
            <w:tcBorders>
              <w:top w:val="single" w:sz="4" w:space="0" w:color="auto"/>
              <w:left w:val="single" w:sz="4" w:space="0" w:color="auto"/>
              <w:bottom w:val="single" w:sz="4" w:space="0" w:color="auto"/>
              <w:right w:val="single" w:sz="4" w:space="0" w:color="auto"/>
            </w:tcBorders>
            <w:hideMark/>
          </w:tcPr>
          <w:p w14:paraId="79F7EC50" w14:textId="77777777" w:rsidR="003F3477" w:rsidRPr="003F3477" w:rsidRDefault="003F3477" w:rsidP="003F3477">
            <w:pPr>
              <w:spacing w:after="0"/>
              <w:rPr>
                <w:i/>
                <w:szCs w:val="20"/>
              </w:rPr>
            </w:pPr>
            <w:r w:rsidRPr="003F3477">
              <w:rPr>
                <w:i/>
                <w:szCs w:val="20"/>
              </w:rPr>
              <w:t>NWD Management Tool</w:t>
            </w:r>
          </w:p>
        </w:tc>
        <w:tc>
          <w:tcPr>
            <w:tcW w:w="4442" w:type="dxa"/>
            <w:tcBorders>
              <w:top w:val="single" w:sz="4" w:space="0" w:color="auto"/>
              <w:left w:val="single" w:sz="4" w:space="0" w:color="auto"/>
              <w:bottom w:val="single" w:sz="4" w:space="0" w:color="auto"/>
              <w:right w:val="single" w:sz="4" w:space="0" w:color="auto"/>
            </w:tcBorders>
            <w:hideMark/>
          </w:tcPr>
          <w:p w14:paraId="3731A543" w14:textId="77777777" w:rsidR="003F3477" w:rsidRPr="003F3477" w:rsidRDefault="003F3477" w:rsidP="003F3477">
            <w:pPr>
              <w:spacing w:after="0"/>
              <w:rPr>
                <w:szCs w:val="20"/>
              </w:rPr>
            </w:pPr>
            <w:r w:rsidRPr="003F3477">
              <w:rPr>
                <w:szCs w:val="20"/>
              </w:rPr>
              <w:t>In State Level Question 5 and Local Level Question 1 related to funding of the NWD System, it is unclear if the dollars and percentages to be reported are actual dollars or if that can include in-kind contributions. One of the choices in those two reporting tables under Federal Funding is “Other ACL Programs” which references Assistive Technology. A State/Territory AT Program could make an in-kind contribution to the state or local level NWD system, e.g. they could provide a refurbished AT device allowing an individual to remain in their home as part of their reuse program (state level AT Act activity) or they could provide training on AT for NWD staff/partners (state leadership AT activity). It is highly unlikely there would be actual Section 4 AT Act dollars being provided to the NWD state system budget as the NWD System functions as outlined for these data points are not authorized activities for use of Section 4 funds under the AT Act. It would be helpful to clarify if in-kind contributions are or are not to be reported in both of these tables.</w:t>
            </w:r>
          </w:p>
        </w:tc>
        <w:tc>
          <w:tcPr>
            <w:tcW w:w="4442" w:type="dxa"/>
            <w:tcBorders>
              <w:top w:val="single" w:sz="4" w:space="0" w:color="auto"/>
              <w:left w:val="single" w:sz="4" w:space="0" w:color="auto"/>
              <w:bottom w:val="single" w:sz="4" w:space="0" w:color="auto"/>
              <w:right w:val="single" w:sz="4" w:space="0" w:color="auto"/>
            </w:tcBorders>
            <w:hideMark/>
          </w:tcPr>
          <w:p w14:paraId="069DB9E9" w14:textId="77777777" w:rsidR="003F3477" w:rsidRPr="003F3477" w:rsidRDefault="003F3477" w:rsidP="003F3477">
            <w:pPr>
              <w:spacing w:after="0"/>
              <w:rPr>
                <w:szCs w:val="20"/>
              </w:rPr>
            </w:pPr>
            <w:r w:rsidRPr="003F3477">
              <w:rPr>
                <w:szCs w:val="20"/>
              </w:rPr>
              <w:t>ACL appreciates this comment and fully understands the authorizations of Section 4 AT Act dollars. The State Level question 5 and Local Level Question 1 are meant to capture actual expenditures and dollars supporting NWD System functions, not in-kind contributions. Therefore, in response to this comment, ACL proposes to edit these questions for clarification and remove Assistive Technology as an example under “Other ACL Programs.”</w:t>
            </w:r>
          </w:p>
        </w:tc>
      </w:tr>
      <w:tr w:rsidR="003F3477" w:rsidRPr="003F3477" w14:paraId="792351B7" w14:textId="77777777" w:rsidTr="007A328A">
        <w:trPr>
          <w:trHeight w:val="3060"/>
        </w:trPr>
        <w:tc>
          <w:tcPr>
            <w:tcW w:w="4442" w:type="dxa"/>
            <w:tcBorders>
              <w:top w:val="single" w:sz="4" w:space="0" w:color="auto"/>
              <w:left w:val="single" w:sz="4" w:space="0" w:color="auto"/>
              <w:bottom w:val="single" w:sz="4" w:space="0" w:color="auto"/>
              <w:right w:val="single" w:sz="4" w:space="0" w:color="auto"/>
            </w:tcBorders>
            <w:hideMark/>
          </w:tcPr>
          <w:p w14:paraId="355753CA" w14:textId="77777777" w:rsidR="003F3477" w:rsidRPr="003F3477" w:rsidRDefault="003F3477" w:rsidP="003F3477">
            <w:pPr>
              <w:spacing w:after="0"/>
              <w:rPr>
                <w:i/>
                <w:szCs w:val="20"/>
              </w:rPr>
            </w:pPr>
            <w:r w:rsidRPr="003F3477">
              <w:rPr>
                <w:i/>
                <w:szCs w:val="20"/>
              </w:rPr>
              <w:t>NWD Management Tool</w:t>
            </w:r>
          </w:p>
        </w:tc>
        <w:tc>
          <w:tcPr>
            <w:tcW w:w="4442" w:type="dxa"/>
            <w:tcBorders>
              <w:top w:val="single" w:sz="4" w:space="0" w:color="auto"/>
              <w:left w:val="single" w:sz="4" w:space="0" w:color="auto"/>
              <w:bottom w:val="single" w:sz="4" w:space="0" w:color="auto"/>
              <w:right w:val="single" w:sz="4" w:space="0" w:color="auto"/>
            </w:tcBorders>
            <w:hideMark/>
          </w:tcPr>
          <w:p w14:paraId="72364BC4" w14:textId="77777777" w:rsidR="003F3477" w:rsidRPr="003F3477" w:rsidRDefault="003F3477" w:rsidP="003F3477">
            <w:pPr>
              <w:spacing w:after="0"/>
              <w:rPr>
                <w:szCs w:val="20"/>
              </w:rPr>
            </w:pPr>
            <w:r w:rsidRPr="003F3477">
              <w:rPr>
                <w:szCs w:val="20"/>
              </w:rPr>
              <w:t xml:space="preserve">The level of detail proposed is tremendous, with no permanent federal funding source for the programs.  </w:t>
            </w:r>
          </w:p>
          <w:p w14:paraId="280580CF" w14:textId="77777777" w:rsidR="003F3477" w:rsidRPr="003F3477" w:rsidRDefault="003F3477" w:rsidP="003F3477">
            <w:pPr>
              <w:spacing w:after="0"/>
              <w:rPr>
                <w:i/>
                <w:szCs w:val="20"/>
              </w:rPr>
            </w:pPr>
            <w:r w:rsidRPr="003F3477">
              <w:rPr>
                <w:szCs w:val="20"/>
              </w:rPr>
              <w:t>The number of divisions within Nebraska DHHS &amp; Nebraska Veterans Administration will require significant coordination. If the information remains as proposed, I would suggest a long lead time in collection requirements. Or parceled out requests and the ability for each division to address their area of expertise.</w:t>
            </w:r>
          </w:p>
        </w:tc>
        <w:tc>
          <w:tcPr>
            <w:tcW w:w="4442" w:type="dxa"/>
            <w:tcBorders>
              <w:top w:val="single" w:sz="4" w:space="0" w:color="auto"/>
              <w:left w:val="single" w:sz="4" w:space="0" w:color="auto"/>
              <w:bottom w:val="single" w:sz="4" w:space="0" w:color="auto"/>
              <w:right w:val="single" w:sz="4" w:space="0" w:color="auto"/>
            </w:tcBorders>
            <w:hideMark/>
          </w:tcPr>
          <w:p w14:paraId="762B6089" w14:textId="77777777" w:rsidR="003F3477" w:rsidRPr="003F3477" w:rsidRDefault="003F3477" w:rsidP="003F3477">
            <w:pPr>
              <w:spacing w:after="0"/>
              <w:rPr>
                <w:szCs w:val="20"/>
              </w:rPr>
            </w:pPr>
            <w:r w:rsidRPr="003F3477">
              <w:t>ACL appreciates this comment and understands that states and aging and disability network agencies will need support (e.g. training, grant funding, etc.) before beginning the data collection. The state’s NWD Lead Agency will determine which state and local partners would contribute to the data collection. Various agencies and divisions may prepare for data submission in phases, as determined by the state.</w:t>
            </w:r>
          </w:p>
        </w:tc>
      </w:tr>
    </w:tbl>
    <w:p w14:paraId="5B02D3B0" w14:textId="77777777" w:rsidR="003F3477" w:rsidRPr="003F3477" w:rsidRDefault="003F3477" w:rsidP="003F3477">
      <w:pPr>
        <w:widowControl w:val="0"/>
        <w:autoSpaceDE w:val="0"/>
        <w:autoSpaceDN w:val="0"/>
        <w:adjustRightInd w:val="0"/>
        <w:spacing w:after="0" w:line="480" w:lineRule="auto"/>
      </w:pPr>
      <w:r w:rsidRPr="003F3477">
        <w:rPr>
          <w:color w:val="0070C0"/>
        </w:rPr>
        <w:t xml:space="preserve">  </w:t>
      </w:r>
    </w:p>
    <w:p w14:paraId="3E18D274" w14:textId="77777777" w:rsidR="00AD3864" w:rsidRPr="00770C12" w:rsidRDefault="00792020" w:rsidP="009D0277">
      <w:pPr>
        <w:spacing w:after="0"/>
        <w:rPr>
          <w:b/>
          <w:i/>
          <w:color w:val="000000" w:themeColor="text1"/>
        </w:rPr>
      </w:pPr>
      <w:r w:rsidRPr="00770C12">
        <w:rPr>
          <w:b/>
          <w:i/>
          <w:color w:val="000000" w:themeColor="text1"/>
        </w:rPr>
        <w:t>External Consultation</w:t>
      </w:r>
    </w:p>
    <w:p w14:paraId="594E9244" w14:textId="77777777" w:rsidR="005B1293" w:rsidRDefault="005B1293" w:rsidP="005B1293">
      <w:pPr>
        <w:spacing w:after="0"/>
      </w:pPr>
      <w:r>
        <w:t xml:space="preserve">In addition to public comment, feedback on the data elements to be collected, including </w:t>
      </w:r>
      <w:r w:rsidRPr="005B1293">
        <w:t xml:space="preserve">the availability and time needed to collect the data, the method and frequency, </w:t>
      </w:r>
      <w:r>
        <w:t xml:space="preserve">the format and </w:t>
      </w:r>
      <w:r w:rsidRPr="005B1293">
        <w:t>definitions</w:t>
      </w:r>
      <w:r>
        <w:t xml:space="preserve"> was sought from the following internal and external stakeholders:</w:t>
      </w:r>
    </w:p>
    <w:p w14:paraId="364E2AA6" w14:textId="77777777" w:rsidR="005B1293" w:rsidRDefault="005B1293" w:rsidP="005B1293">
      <w:pPr>
        <w:spacing w:after="0"/>
      </w:pPr>
      <w:r>
        <w:t xml:space="preserve"> </w:t>
      </w:r>
    </w:p>
    <w:p w14:paraId="6FC6E404" w14:textId="77777777" w:rsidR="005B1293" w:rsidRDefault="005B1293" w:rsidP="005B1293">
      <w:pPr>
        <w:pStyle w:val="ListParagraph"/>
        <w:numPr>
          <w:ilvl w:val="0"/>
          <w:numId w:val="22"/>
        </w:numPr>
        <w:spacing w:before="0" w:after="0"/>
      </w:pPr>
      <w:r>
        <w:t>ACL Performance and Evaluation subject matter experts</w:t>
      </w:r>
    </w:p>
    <w:p w14:paraId="3C2652C2" w14:textId="77777777" w:rsidR="005B1293" w:rsidRDefault="005B1293" w:rsidP="005B1293">
      <w:pPr>
        <w:pStyle w:val="ListParagraph"/>
        <w:numPr>
          <w:ilvl w:val="0"/>
          <w:numId w:val="22"/>
        </w:numPr>
        <w:spacing w:before="0" w:after="0"/>
      </w:pPr>
      <w:r>
        <w:t>VHA and CMS  subject matter experts</w:t>
      </w:r>
    </w:p>
    <w:p w14:paraId="2541A622" w14:textId="77777777" w:rsidR="005B1293" w:rsidRDefault="005B1293" w:rsidP="005B1293">
      <w:pPr>
        <w:pStyle w:val="ListParagraph"/>
        <w:numPr>
          <w:ilvl w:val="0"/>
          <w:numId w:val="22"/>
        </w:numPr>
        <w:spacing w:before="0" w:after="0"/>
      </w:pPr>
      <w:r>
        <w:t xml:space="preserve">Subject-matter experts at state agencies representing </w:t>
      </w:r>
      <w:r w:rsidRPr="005B1293">
        <w:t>Aging, Intellectual/Developmental Disabilities, Physical Disabilities, and Medicaid.</w:t>
      </w:r>
    </w:p>
    <w:p w14:paraId="628F2F08" w14:textId="77777777" w:rsidR="005B1293" w:rsidRDefault="005B1293" w:rsidP="005B1293">
      <w:pPr>
        <w:pStyle w:val="ListParagraph"/>
        <w:numPr>
          <w:ilvl w:val="0"/>
          <w:numId w:val="22"/>
        </w:numPr>
        <w:spacing w:before="0" w:after="0"/>
      </w:pPr>
      <w:r>
        <w:t>Grantee focus groups and workgroups (with fewer than 9 participants)</w:t>
      </w:r>
    </w:p>
    <w:p w14:paraId="2A0C2717" w14:textId="77777777" w:rsidR="005B1293" w:rsidRDefault="005B1293" w:rsidP="005B1293">
      <w:pPr>
        <w:spacing w:after="0"/>
      </w:pPr>
    </w:p>
    <w:p w14:paraId="2F446763" w14:textId="77777777" w:rsidR="000E6879" w:rsidRDefault="000E6879" w:rsidP="009D0277">
      <w:pPr>
        <w:spacing w:after="0"/>
      </w:pPr>
    </w:p>
    <w:p w14:paraId="6E3F061F" w14:textId="77777777" w:rsidR="00820C7C" w:rsidRPr="00770C12" w:rsidRDefault="00D920EB" w:rsidP="00D850AF">
      <w:pPr>
        <w:pStyle w:val="ListParagraph"/>
        <w:numPr>
          <w:ilvl w:val="0"/>
          <w:numId w:val="1"/>
        </w:numPr>
        <w:spacing w:before="0"/>
        <w:ind w:left="0"/>
        <w:rPr>
          <w:b/>
          <w:u w:val="single"/>
        </w:rPr>
      </w:pPr>
      <w:r w:rsidRPr="00770C12">
        <w:rPr>
          <w:b/>
          <w:u w:val="single"/>
        </w:rPr>
        <w:t xml:space="preserve">Explanation of Any Payment or Gift to Respondents </w:t>
      </w:r>
    </w:p>
    <w:p w14:paraId="02DAC635" w14:textId="77777777" w:rsidR="000E6879" w:rsidRPr="000E6879" w:rsidRDefault="000E6879" w:rsidP="009D0277">
      <w:pPr>
        <w:pStyle w:val="ListParagraph"/>
        <w:spacing w:before="0" w:after="0"/>
        <w:ind w:left="0"/>
      </w:pPr>
      <w:r w:rsidRPr="000E6879">
        <w:t>Not Applicable</w:t>
      </w:r>
    </w:p>
    <w:p w14:paraId="1DF284F2" w14:textId="77777777" w:rsidR="0015605D" w:rsidRPr="0015605D" w:rsidRDefault="0015605D" w:rsidP="0015605D">
      <w:pPr>
        <w:pStyle w:val="ListParagraph"/>
        <w:spacing w:before="0" w:after="0"/>
        <w:ind w:left="0"/>
      </w:pPr>
    </w:p>
    <w:p w14:paraId="7BE2F967" w14:textId="77777777" w:rsidR="0015605D" w:rsidRPr="00770C12" w:rsidRDefault="0015605D" w:rsidP="00D850AF">
      <w:pPr>
        <w:pStyle w:val="ListParagraph"/>
        <w:numPr>
          <w:ilvl w:val="0"/>
          <w:numId w:val="1"/>
        </w:numPr>
        <w:spacing w:before="0" w:after="0"/>
        <w:ind w:left="0"/>
        <w:rPr>
          <w:b/>
          <w:u w:val="single"/>
        </w:rPr>
      </w:pPr>
      <w:r w:rsidRPr="00770C12">
        <w:rPr>
          <w:rFonts w:eastAsiaTheme="minorEastAsia"/>
          <w:b/>
          <w:color w:val="000000" w:themeColor="text1"/>
          <w:kern w:val="24"/>
          <w:u w:val="single"/>
        </w:rPr>
        <w:t>Assurance of Confidentiality Provided to Respondents</w:t>
      </w:r>
    </w:p>
    <w:p w14:paraId="4D86CBD2" w14:textId="77777777" w:rsidR="002E746D" w:rsidRDefault="002E746D" w:rsidP="00150EB2">
      <w:pPr>
        <w:spacing w:after="0"/>
      </w:pPr>
    </w:p>
    <w:p w14:paraId="4746043E" w14:textId="7FFF9B87" w:rsidR="00150EB2" w:rsidRDefault="00770C12" w:rsidP="00150EB2">
      <w:pPr>
        <w:spacing w:after="0"/>
      </w:pPr>
      <w:r>
        <w:t>T</w:t>
      </w:r>
      <w:r w:rsidR="00150EB2" w:rsidRPr="00150EB2">
        <w:t xml:space="preserve">he </w:t>
      </w:r>
      <w:r w:rsidR="004D67B2">
        <w:t>NWD MT and VDC Tool</w:t>
      </w:r>
      <w:r w:rsidR="00150EB2" w:rsidRPr="00150EB2">
        <w:t xml:space="preserve"> will not </w:t>
      </w:r>
      <w:r w:rsidR="004D67B2">
        <w:t>collect</w:t>
      </w:r>
      <w:r w:rsidR="004D67B2" w:rsidRPr="00150EB2">
        <w:t xml:space="preserve"> </w:t>
      </w:r>
      <w:r w:rsidR="00150EB2" w:rsidRPr="00150EB2">
        <w:t>any confidential</w:t>
      </w:r>
      <w:r w:rsidR="004D67B2">
        <w:t xml:space="preserve"> or identifying</w:t>
      </w:r>
      <w:r w:rsidR="00150EB2" w:rsidRPr="00150EB2">
        <w:t xml:space="preserve"> data elements</w:t>
      </w:r>
      <w:r w:rsidR="002470A1">
        <w:t xml:space="preserve">, </w:t>
      </w:r>
      <w:r w:rsidR="002470A1" w:rsidRPr="00154E21">
        <w:t>such as name, zip code, birth date, etc</w:t>
      </w:r>
      <w:r w:rsidR="00150EB2" w:rsidRPr="00150EB2">
        <w:t xml:space="preserve">. </w:t>
      </w:r>
      <w:r w:rsidR="004D67B2">
        <w:t xml:space="preserve">Aggregate data will be collected and will </w:t>
      </w:r>
      <w:r w:rsidR="00150EB2" w:rsidRPr="00150EB2">
        <w:t xml:space="preserve">not contain any personally identifiable information. </w:t>
      </w:r>
      <w:r w:rsidR="00DF46EB">
        <w:t xml:space="preserve">A Privacy Impact Assessment (PIA) </w:t>
      </w:r>
      <w:r w:rsidR="007C6955">
        <w:t>was conducted and no privacy data will be collected</w:t>
      </w:r>
      <w:r w:rsidR="00DF46EB">
        <w:t>.</w:t>
      </w:r>
    </w:p>
    <w:p w14:paraId="641D86E7" w14:textId="77777777" w:rsidR="00D67B1E" w:rsidRPr="00150EB2" w:rsidRDefault="00D67B1E" w:rsidP="00150EB2">
      <w:pPr>
        <w:spacing w:after="0"/>
      </w:pPr>
    </w:p>
    <w:p w14:paraId="5BCD3797" w14:textId="5E4B653B" w:rsidR="00150EB2" w:rsidRPr="00150EB2" w:rsidRDefault="00150EB2">
      <w:pPr>
        <w:spacing w:after="0"/>
      </w:pPr>
      <w:r w:rsidRPr="00150EB2">
        <w:t xml:space="preserve">ACL will provide information to respondents to help them understand why they are being asked to respond, how they are supposed to respond, and the effects the collection of information may have on them. </w:t>
      </w:r>
      <w:r w:rsidR="007C6955">
        <w:t xml:space="preserve">There are no assurances of confidentiality. </w:t>
      </w:r>
    </w:p>
    <w:p w14:paraId="6ADA765E" w14:textId="77777777" w:rsidR="00F153D3" w:rsidRDefault="00F153D3" w:rsidP="009D0277">
      <w:pPr>
        <w:pStyle w:val="ListParagraph"/>
        <w:spacing w:before="0" w:after="0"/>
        <w:ind w:left="0"/>
        <w:rPr>
          <w:color w:val="0070C0"/>
        </w:rPr>
      </w:pPr>
    </w:p>
    <w:p w14:paraId="59FBDE2C" w14:textId="77777777" w:rsidR="00CD1685" w:rsidRPr="00F303ED" w:rsidRDefault="00CD1685" w:rsidP="009D0277">
      <w:pPr>
        <w:pStyle w:val="ListParagraph"/>
        <w:spacing w:before="0" w:after="0"/>
        <w:ind w:left="0"/>
      </w:pPr>
    </w:p>
    <w:p w14:paraId="3AD383A6" w14:textId="77777777" w:rsidR="007C6955" w:rsidRPr="007C6955" w:rsidRDefault="007C6955" w:rsidP="007C6955">
      <w:pPr>
        <w:pStyle w:val="ListParagraph"/>
        <w:spacing w:before="0" w:after="0"/>
        <w:ind w:left="0"/>
        <w:rPr>
          <w:b/>
          <w:u w:val="single"/>
        </w:rPr>
      </w:pPr>
    </w:p>
    <w:p w14:paraId="74666327" w14:textId="77777777" w:rsidR="007C6955" w:rsidRPr="007C6955" w:rsidRDefault="007C6955" w:rsidP="007C6955">
      <w:pPr>
        <w:pStyle w:val="ListParagraph"/>
        <w:spacing w:before="0" w:after="0"/>
        <w:ind w:left="0"/>
        <w:rPr>
          <w:b/>
          <w:u w:val="single"/>
        </w:rPr>
      </w:pPr>
    </w:p>
    <w:p w14:paraId="2E8718B9" w14:textId="377A9301" w:rsidR="0015605D" w:rsidRPr="00770C12" w:rsidRDefault="00491FCC" w:rsidP="00D850AF">
      <w:pPr>
        <w:pStyle w:val="ListParagraph"/>
        <w:numPr>
          <w:ilvl w:val="0"/>
          <w:numId w:val="1"/>
        </w:numPr>
        <w:spacing w:before="0" w:after="0"/>
        <w:ind w:left="0"/>
        <w:rPr>
          <w:b/>
          <w:u w:val="single"/>
        </w:rPr>
      </w:pPr>
      <w:r w:rsidRPr="00770C12">
        <w:rPr>
          <w:rFonts w:eastAsiaTheme="minorEastAsia"/>
          <w:b/>
          <w:color w:val="000000" w:themeColor="text1"/>
          <w:kern w:val="24"/>
          <w:u w:val="single"/>
        </w:rPr>
        <w:t>Justification for Sensitive Questions</w:t>
      </w:r>
    </w:p>
    <w:p w14:paraId="0FCC49C7" w14:textId="77777777" w:rsidR="002E746D" w:rsidRDefault="002E746D" w:rsidP="009D0277">
      <w:pPr>
        <w:pStyle w:val="ListParagraph"/>
        <w:spacing w:before="0" w:after="0"/>
        <w:ind w:left="0"/>
      </w:pPr>
    </w:p>
    <w:p w14:paraId="2B36FF3B" w14:textId="77777777" w:rsidR="00643D42" w:rsidRDefault="00643D42" w:rsidP="009D0277">
      <w:pPr>
        <w:pStyle w:val="ListParagraph"/>
        <w:spacing w:before="0" w:after="0"/>
        <w:ind w:left="0"/>
      </w:pPr>
      <w:r>
        <w:t>Not Applicable</w:t>
      </w:r>
    </w:p>
    <w:p w14:paraId="77EA4D27" w14:textId="77777777" w:rsidR="00643D42" w:rsidRPr="00F303ED" w:rsidRDefault="00643D42" w:rsidP="009D0277">
      <w:pPr>
        <w:pStyle w:val="ListParagraph"/>
        <w:spacing w:before="0" w:after="0"/>
        <w:ind w:left="0"/>
      </w:pPr>
    </w:p>
    <w:p w14:paraId="729EBF62" w14:textId="77777777" w:rsidR="0015605D" w:rsidRPr="00770C12" w:rsidRDefault="0015605D" w:rsidP="00D850AF">
      <w:pPr>
        <w:pStyle w:val="ListParagraph"/>
        <w:numPr>
          <w:ilvl w:val="0"/>
          <w:numId w:val="1"/>
        </w:numPr>
        <w:spacing w:before="0" w:after="0"/>
        <w:ind w:left="0"/>
        <w:rPr>
          <w:rStyle w:val="a"/>
          <w:b/>
          <w:u w:val="single"/>
        </w:rPr>
      </w:pPr>
      <w:r w:rsidRPr="00770C12">
        <w:rPr>
          <w:rFonts w:eastAsiaTheme="minorEastAsia"/>
          <w:b/>
          <w:color w:val="000000" w:themeColor="text1"/>
          <w:kern w:val="24"/>
          <w:u w:val="single"/>
        </w:rPr>
        <w:t>Estimates of Annualized Burden Hours and Costs</w:t>
      </w:r>
    </w:p>
    <w:p w14:paraId="4F211A4C" w14:textId="77777777" w:rsidR="00770C12" w:rsidRDefault="00770C12" w:rsidP="002758DA">
      <w:pPr>
        <w:pStyle w:val="ListParagraph"/>
        <w:ind w:left="0"/>
        <w:contextualSpacing/>
        <w:rPr>
          <w:rStyle w:val="a"/>
          <w:b/>
          <w:i/>
        </w:rPr>
      </w:pPr>
    </w:p>
    <w:p w14:paraId="43FAADA6" w14:textId="77777777" w:rsidR="002758DA" w:rsidRPr="00154E21" w:rsidRDefault="002758DA" w:rsidP="00770C12">
      <w:pPr>
        <w:pStyle w:val="ListParagraph"/>
        <w:spacing w:before="0"/>
        <w:ind w:left="0"/>
        <w:contextualSpacing/>
        <w:rPr>
          <w:rStyle w:val="a"/>
          <w:b/>
          <w:i/>
        </w:rPr>
      </w:pPr>
      <w:r w:rsidRPr="00154E21">
        <w:rPr>
          <w:rStyle w:val="a"/>
          <w:b/>
          <w:i/>
        </w:rPr>
        <w:t>12A. Estimated Annualized Burden Hours</w:t>
      </w:r>
    </w:p>
    <w:p w14:paraId="02E4A38F" w14:textId="77777777" w:rsidR="0037776C" w:rsidRPr="0037776C" w:rsidRDefault="0037776C" w:rsidP="00770C12">
      <w:pPr>
        <w:spacing w:after="0"/>
      </w:pPr>
      <w:r w:rsidRPr="00770642">
        <w:t xml:space="preserve">ACL estimates the burden of </w:t>
      </w:r>
      <w:r w:rsidRPr="00C8123A">
        <w:t xml:space="preserve">this </w:t>
      </w:r>
      <w:r w:rsidRPr="00C8123A">
        <w:rPr>
          <w:bCs/>
        </w:rPr>
        <w:t>collection</w:t>
      </w:r>
      <w:r w:rsidRPr="00C8123A">
        <w:t xml:space="preserve"> of </w:t>
      </w:r>
      <w:r w:rsidRPr="00C8123A">
        <w:rPr>
          <w:bCs/>
        </w:rPr>
        <w:t>information</w:t>
      </w:r>
      <w:r w:rsidRPr="00C8123A">
        <w:t xml:space="preserve"> as follows:</w:t>
      </w:r>
      <w:r w:rsidRPr="00770642">
        <w:t xml:space="preserve"> </w:t>
      </w:r>
    </w:p>
    <w:p w14:paraId="186347CB" w14:textId="77777777" w:rsidR="0037776C" w:rsidRDefault="0037776C" w:rsidP="0037776C">
      <w:pPr>
        <w:spacing w:after="0"/>
      </w:pPr>
    </w:p>
    <w:p w14:paraId="33C5FBFC" w14:textId="77777777" w:rsidR="00C8123A" w:rsidRPr="00770C12" w:rsidRDefault="00C8123A" w:rsidP="0037776C">
      <w:pPr>
        <w:spacing w:after="0"/>
        <w:rPr>
          <w:b/>
          <w:i/>
        </w:rPr>
      </w:pPr>
      <w:r w:rsidRPr="00770C12">
        <w:rPr>
          <w:b/>
          <w:i/>
        </w:rPr>
        <w:t>NWD Management Tool</w:t>
      </w:r>
    </w:p>
    <w:p w14:paraId="4D60B6BB" w14:textId="3C3A4225" w:rsidR="0037776C" w:rsidRPr="0037776C" w:rsidRDefault="005F1387" w:rsidP="0037776C">
      <w:pPr>
        <w:spacing w:after="0"/>
      </w:pPr>
      <w:r>
        <w:t>56</w:t>
      </w:r>
      <w:r w:rsidR="0037776C" w:rsidRPr="0037776C">
        <w:t xml:space="preserve"> lead NWD System state and territorial agencies will respond to the NWD MT bi-annually and it will take approximately half an hour to collect the data and an additional half hour to input the data into a web-based system. Additionally, an estimated 996 local agencies will take approximately three hours to collect the data and one hour to submit the data to their lead NWD System state agency. If all state and local agencies respond bi-annually, the national burden estimate for the NWD MT would be a total of 8,080 hours annually.  This burden estimate is calculated based upon a sample of three states that tested a demonstration of the NWD MT as a part of the grantee requirements under the NWD System Implementation grant, a competitive funding opportunity funded in 2016 through 2018. Each state entity submitting data will receive local-level data from designated NWD System entities. The estimated response burden includes time to review the instructions, gather existing information, and complete and review the data entries in a web-based system.  </w:t>
      </w:r>
    </w:p>
    <w:p w14:paraId="124F0904" w14:textId="77777777" w:rsidR="0037776C" w:rsidRPr="0037776C" w:rsidRDefault="0037776C" w:rsidP="0037776C">
      <w:pPr>
        <w:spacing w:after="0"/>
      </w:pPr>
    </w:p>
    <w:p w14:paraId="7D199333" w14:textId="77777777" w:rsidR="00C8123A" w:rsidRPr="00770C12" w:rsidRDefault="00C8123A" w:rsidP="0037776C">
      <w:pPr>
        <w:spacing w:after="0"/>
        <w:rPr>
          <w:b/>
          <w:i/>
        </w:rPr>
      </w:pPr>
      <w:r w:rsidRPr="00770C12">
        <w:rPr>
          <w:b/>
          <w:i/>
        </w:rPr>
        <w:t>VDC Tool</w:t>
      </w:r>
    </w:p>
    <w:p w14:paraId="593106EF" w14:textId="77777777" w:rsidR="0037776C" w:rsidRDefault="0037776C" w:rsidP="0037776C">
      <w:pPr>
        <w:spacing w:after="0"/>
      </w:pPr>
      <w:r w:rsidRPr="0037776C">
        <w:t>An estimated 400 VDC program entities will respond to the VDC Tool on a monthly basis, all of which are also NWD local-level entities, for an annual burden of 2,400 hours. This burden estimate is calculated based upon information provided by a current VDC program provider testing a demonstration of the VDC tool. The NWD MT and the VDC tool have been developed to increase ease and uniformity of reporting and improve the ability of ACL to manage and analyze data.</w:t>
      </w:r>
    </w:p>
    <w:p w14:paraId="48E3DEF5" w14:textId="77777777" w:rsidR="0037776C" w:rsidRPr="0037776C" w:rsidRDefault="0037776C" w:rsidP="0037776C">
      <w:pPr>
        <w:spacing w:after="0"/>
      </w:pPr>
    </w:p>
    <w:tbl>
      <w:tblPr>
        <w:tblW w:w="9630" w:type="dxa"/>
        <w:tblInd w:w="-2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578"/>
        <w:gridCol w:w="1480"/>
        <w:gridCol w:w="1710"/>
        <w:gridCol w:w="1350"/>
        <w:gridCol w:w="1512"/>
      </w:tblGrid>
      <w:tr w:rsidR="0037776C" w14:paraId="553E5DD2" w14:textId="77777777" w:rsidTr="0037776C">
        <w:trPr>
          <w:cantSplit/>
          <w:trHeight w:val="939"/>
        </w:trPr>
        <w:tc>
          <w:tcPr>
            <w:tcW w:w="3578" w:type="dxa"/>
            <w:tcBorders>
              <w:top w:val="single" w:sz="6" w:space="0" w:color="auto"/>
              <w:left w:val="single" w:sz="6" w:space="0" w:color="auto"/>
              <w:bottom w:val="single" w:sz="6" w:space="0" w:color="auto"/>
              <w:right w:val="single" w:sz="6" w:space="0" w:color="auto"/>
            </w:tcBorders>
            <w:vAlign w:val="bottom"/>
          </w:tcPr>
          <w:p w14:paraId="68ED3890" w14:textId="77777777" w:rsidR="0037776C" w:rsidRDefault="0037776C" w:rsidP="0037776C">
            <w:pPr>
              <w:keepNext/>
              <w:keepLines/>
              <w:jc w:val="center"/>
              <w:rPr>
                <w:b/>
              </w:rPr>
            </w:pPr>
            <w:r>
              <w:rPr>
                <w:b/>
              </w:rPr>
              <w:t>Respondent/Data collection activity</w:t>
            </w:r>
          </w:p>
        </w:tc>
        <w:tc>
          <w:tcPr>
            <w:tcW w:w="1480" w:type="dxa"/>
            <w:tcBorders>
              <w:top w:val="single" w:sz="6" w:space="0" w:color="auto"/>
              <w:left w:val="single" w:sz="6" w:space="0" w:color="auto"/>
              <w:bottom w:val="single" w:sz="6" w:space="0" w:color="auto"/>
              <w:right w:val="single" w:sz="6" w:space="0" w:color="auto"/>
            </w:tcBorders>
            <w:vAlign w:val="bottom"/>
          </w:tcPr>
          <w:p w14:paraId="6F9FEB2A" w14:textId="77777777" w:rsidR="0037776C" w:rsidRDefault="0037776C" w:rsidP="0037776C">
            <w:pPr>
              <w:keepNext/>
              <w:keepLines/>
              <w:jc w:val="center"/>
              <w:rPr>
                <w:b/>
              </w:rPr>
            </w:pPr>
            <w:r>
              <w:rPr>
                <w:b/>
              </w:rPr>
              <w:t>Number of respondents</w:t>
            </w:r>
          </w:p>
        </w:tc>
        <w:tc>
          <w:tcPr>
            <w:tcW w:w="1710" w:type="dxa"/>
            <w:tcBorders>
              <w:top w:val="single" w:sz="6" w:space="0" w:color="auto"/>
              <w:left w:val="single" w:sz="6" w:space="0" w:color="auto"/>
              <w:bottom w:val="single" w:sz="6" w:space="0" w:color="auto"/>
              <w:right w:val="single" w:sz="6" w:space="0" w:color="auto"/>
            </w:tcBorders>
            <w:vAlign w:val="bottom"/>
          </w:tcPr>
          <w:p w14:paraId="650D97F3" w14:textId="77777777" w:rsidR="0037776C" w:rsidRDefault="0037776C" w:rsidP="0037776C">
            <w:pPr>
              <w:keepNext/>
              <w:keepLines/>
              <w:jc w:val="center"/>
              <w:rPr>
                <w:b/>
              </w:rPr>
            </w:pPr>
            <w:r>
              <w:rPr>
                <w:b/>
              </w:rPr>
              <w:t>Responses per respondent</w:t>
            </w:r>
          </w:p>
        </w:tc>
        <w:tc>
          <w:tcPr>
            <w:tcW w:w="1350" w:type="dxa"/>
            <w:tcBorders>
              <w:top w:val="single" w:sz="6" w:space="0" w:color="auto"/>
              <w:left w:val="single" w:sz="6" w:space="0" w:color="auto"/>
              <w:bottom w:val="single" w:sz="6" w:space="0" w:color="auto"/>
              <w:right w:val="single" w:sz="6" w:space="0" w:color="auto"/>
            </w:tcBorders>
            <w:vAlign w:val="bottom"/>
          </w:tcPr>
          <w:p w14:paraId="558B427B" w14:textId="77777777" w:rsidR="0037776C" w:rsidRDefault="0037776C" w:rsidP="0037776C">
            <w:pPr>
              <w:keepNext/>
              <w:keepLines/>
              <w:jc w:val="center"/>
              <w:rPr>
                <w:b/>
              </w:rPr>
            </w:pPr>
            <w:r>
              <w:rPr>
                <w:b/>
              </w:rPr>
              <w:t>Hours per response</w:t>
            </w:r>
          </w:p>
        </w:tc>
        <w:tc>
          <w:tcPr>
            <w:tcW w:w="1512" w:type="dxa"/>
            <w:tcBorders>
              <w:top w:val="single" w:sz="6" w:space="0" w:color="auto"/>
              <w:left w:val="single" w:sz="6" w:space="0" w:color="auto"/>
              <w:bottom w:val="single" w:sz="6" w:space="0" w:color="auto"/>
              <w:right w:val="single" w:sz="6" w:space="0" w:color="auto"/>
            </w:tcBorders>
            <w:vAlign w:val="bottom"/>
          </w:tcPr>
          <w:p w14:paraId="5A825687" w14:textId="77777777" w:rsidR="0037776C" w:rsidRDefault="0037776C" w:rsidP="0037776C">
            <w:pPr>
              <w:keepNext/>
              <w:keepLines/>
              <w:jc w:val="center"/>
              <w:rPr>
                <w:b/>
              </w:rPr>
            </w:pPr>
            <w:r>
              <w:rPr>
                <w:b/>
              </w:rPr>
              <w:t>Annual burden hours</w:t>
            </w:r>
          </w:p>
        </w:tc>
      </w:tr>
      <w:tr w:rsidR="0037776C" w14:paraId="58100A84" w14:textId="77777777" w:rsidTr="00141A84">
        <w:trPr>
          <w:cantSplit/>
        </w:trPr>
        <w:tc>
          <w:tcPr>
            <w:tcW w:w="3578" w:type="dxa"/>
            <w:tcBorders>
              <w:top w:val="single" w:sz="6" w:space="0" w:color="auto"/>
              <w:left w:val="single" w:sz="6" w:space="0" w:color="auto"/>
              <w:bottom w:val="single" w:sz="6" w:space="0" w:color="auto"/>
              <w:right w:val="single" w:sz="6" w:space="0" w:color="auto"/>
            </w:tcBorders>
            <w:hideMark/>
          </w:tcPr>
          <w:p w14:paraId="54A226E4" w14:textId="77777777" w:rsidR="0037776C" w:rsidRDefault="0037776C" w:rsidP="00141A84">
            <w:pPr>
              <w:keepNext/>
              <w:keepLines/>
            </w:pPr>
            <w:r>
              <w:t>NWD Management Tool data collection and entry – State Level</w:t>
            </w:r>
          </w:p>
        </w:tc>
        <w:tc>
          <w:tcPr>
            <w:tcW w:w="1480" w:type="dxa"/>
            <w:tcBorders>
              <w:top w:val="single" w:sz="6" w:space="0" w:color="auto"/>
              <w:left w:val="single" w:sz="6" w:space="0" w:color="auto"/>
              <w:right w:val="single" w:sz="6" w:space="0" w:color="auto"/>
            </w:tcBorders>
            <w:vAlign w:val="center"/>
            <w:hideMark/>
          </w:tcPr>
          <w:p w14:paraId="6BBADE5B" w14:textId="77777777" w:rsidR="0037776C" w:rsidRDefault="0037776C" w:rsidP="00141A84">
            <w:pPr>
              <w:keepNext/>
              <w:keepLines/>
              <w:tabs>
                <w:tab w:val="decimal" w:pos="792"/>
              </w:tabs>
              <w:jc w:val="center"/>
            </w:pPr>
            <w:r>
              <w:t>56</w:t>
            </w:r>
          </w:p>
        </w:tc>
        <w:tc>
          <w:tcPr>
            <w:tcW w:w="1710" w:type="dxa"/>
            <w:tcBorders>
              <w:top w:val="single" w:sz="6" w:space="0" w:color="auto"/>
              <w:left w:val="single" w:sz="6" w:space="0" w:color="auto"/>
              <w:right w:val="single" w:sz="6" w:space="0" w:color="auto"/>
            </w:tcBorders>
            <w:vAlign w:val="center"/>
            <w:hideMark/>
          </w:tcPr>
          <w:p w14:paraId="7AF1279D" w14:textId="77777777" w:rsidR="0037776C" w:rsidRDefault="0037776C" w:rsidP="00141A84">
            <w:pPr>
              <w:keepNext/>
              <w:keepLines/>
              <w:tabs>
                <w:tab w:val="decimal" w:pos="576"/>
              </w:tabs>
              <w:jc w:val="center"/>
            </w:pPr>
            <w:r>
              <w:t>2</w:t>
            </w:r>
          </w:p>
        </w:tc>
        <w:tc>
          <w:tcPr>
            <w:tcW w:w="1350" w:type="dxa"/>
            <w:tcBorders>
              <w:top w:val="single" w:sz="6" w:space="0" w:color="auto"/>
              <w:left w:val="single" w:sz="6" w:space="0" w:color="auto"/>
              <w:bottom w:val="single" w:sz="6" w:space="0" w:color="auto"/>
              <w:right w:val="single" w:sz="6" w:space="0" w:color="auto"/>
            </w:tcBorders>
            <w:vAlign w:val="center"/>
            <w:hideMark/>
          </w:tcPr>
          <w:p w14:paraId="1089BB3B" w14:textId="77777777" w:rsidR="0037776C" w:rsidRDefault="0037776C" w:rsidP="00141A84">
            <w:pPr>
              <w:keepNext/>
              <w:keepLines/>
              <w:tabs>
                <w:tab w:val="decimal" w:pos="504"/>
              </w:tabs>
              <w:jc w:val="center"/>
            </w:pPr>
            <w:r>
              <w:t>1.0</w:t>
            </w:r>
          </w:p>
        </w:tc>
        <w:tc>
          <w:tcPr>
            <w:tcW w:w="1512" w:type="dxa"/>
            <w:tcBorders>
              <w:top w:val="single" w:sz="6" w:space="0" w:color="auto"/>
              <w:left w:val="single" w:sz="6" w:space="0" w:color="auto"/>
              <w:bottom w:val="single" w:sz="6" w:space="0" w:color="auto"/>
              <w:right w:val="single" w:sz="6" w:space="0" w:color="auto"/>
            </w:tcBorders>
            <w:vAlign w:val="center"/>
            <w:hideMark/>
          </w:tcPr>
          <w:p w14:paraId="0EE09064" w14:textId="77777777" w:rsidR="0037776C" w:rsidRDefault="0037776C" w:rsidP="00141A84">
            <w:pPr>
              <w:keepNext/>
              <w:keepLines/>
              <w:tabs>
                <w:tab w:val="decimal" w:pos="720"/>
              </w:tabs>
              <w:jc w:val="center"/>
            </w:pPr>
            <w:r>
              <w:t>112</w:t>
            </w:r>
          </w:p>
        </w:tc>
      </w:tr>
      <w:tr w:rsidR="0037776C" w14:paraId="13D7B974" w14:textId="77777777" w:rsidTr="00141A84">
        <w:trPr>
          <w:cantSplit/>
        </w:trPr>
        <w:tc>
          <w:tcPr>
            <w:tcW w:w="3578" w:type="dxa"/>
            <w:tcBorders>
              <w:top w:val="single" w:sz="6" w:space="0" w:color="auto"/>
              <w:left w:val="single" w:sz="6" w:space="0" w:color="auto"/>
              <w:bottom w:val="single" w:sz="6" w:space="0" w:color="auto"/>
              <w:right w:val="single" w:sz="6" w:space="0" w:color="auto"/>
            </w:tcBorders>
            <w:hideMark/>
          </w:tcPr>
          <w:p w14:paraId="7A706103" w14:textId="77777777" w:rsidR="0037776C" w:rsidRDefault="0037776C" w:rsidP="00141A84">
            <w:pPr>
              <w:keepNext/>
              <w:keepLines/>
            </w:pPr>
            <w:r>
              <w:t xml:space="preserve"> NWD Management Tool data collection and entry – Local  Level</w:t>
            </w:r>
          </w:p>
        </w:tc>
        <w:tc>
          <w:tcPr>
            <w:tcW w:w="1480" w:type="dxa"/>
            <w:tcBorders>
              <w:top w:val="single" w:sz="6" w:space="0" w:color="auto"/>
              <w:left w:val="single" w:sz="6" w:space="0" w:color="auto"/>
              <w:right w:val="single" w:sz="6" w:space="0" w:color="auto"/>
            </w:tcBorders>
            <w:vAlign w:val="center"/>
            <w:hideMark/>
          </w:tcPr>
          <w:p w14:paraId="4446A1FB" w14:textId="77777777" w:rsidR="0037776C" w:rsidRDefault="0037776C" w:rsidP="00141A84">
            <w:pPr>
              <w:keepNext/>
              <w:keepLines/>
              <w:tabs>
                <w:tab w:val="decimal" w:pos="792"/>
              </w:tabs>
              <w:jc w:val="center"/>
            </w:pPr>
            <w:r>
              <w:t>996</w:t>
            </w:r>
          </w:p>
        </w:tc>
        <w:tc>
          <w:tcPr>
            <w:tcW w:w="1710" w:type="dxa"/>
            <w:tcBorders>
              <w:top w:val="single" w:sz="6" w:space="0" w:color="auto"/>
              <w:left w:val="single" w:sz="6" w:space="0" w:color="auto"/>
              <w:right w:val="single" w:sz="6" w:space="0" w:color="auto"/>
            </w:tcBorders>
            <w:vAlign w:val="center"/>
          </w:tcPr>
          <w:p w14:paraId="64C0F79E" w14:textId="77777777" w:rsidR="0037776C" w:rsidRDefault="0037776C" w:rsidP="00141A84">
            <w:pPr>
              <w:keepNext/>
              <w:keepLines/>
              <w:tabs>
                <w:tab w:val="decimal" w:pos="576"/>
              </w:tabs>
              <w:jc w:val="center"/>
            </w:pPr>
            <w:r>
              <w:t>2</w:t>
            </w:r>
          </w:p>
        </w:tc>
        <w:tc>
          <w:tcPr>
            <w:tcW w:w="1350" w:type="dxa"/>
            <w:tcBorders>
              <w:top w:val="single" w:sz="6" w:space="0" w:color="auto"/>
              <w:left w:val="single" w:sz="6" w:space="0" w:color="auto"/>
              <w:bottom w:val="single" w:sz="6" w:space="0" w:color="auto"/>
              <w:right w:val="single" w:sz="6" w:space="0" w:color="auto"/>
            </w:tcBorders>
            <w:vAlign w:val="center"/>
          </w:tcPr>
          <w:p w14:paraId="59E855A5" w14:textId="77777777" w:rsidR="0037776C" w:rsidRDefault="0037776C" w:rsidP="00141A84">
            <w:pPr>
              <w:keepNext/>
              <w:keepLines/>
              <w:tabs>
                <w:tab w:val="decimal" w:pos="504"/>
              </w:tabs>
              <w:jc w:val="center"/>
            </w:pPr>
            <w:r>
              <w:t>4.0</w:t>
            </w:r>
          </w:p>
        </w:tc>
        <w:tc>
          <w:tcPr>
            <w:tcW w:w="1512" w:type="dxa"/>
            <w:tcBorders>
              <w:top w:val="single" w:sz="6" w:space="0" w:color="auto"/>
              <w:left w:val="single" w:sz="6" w:space="0" w:color="auto"/>
              <w:bottom w:val="single" w:sz="6" w:space="0" w:color="auto"/>
              <w:right w:val="single" w:sz="6" w:space="0" w:color="auto"/>
            </w:tcBorders>
            <w:vAlign w:val="center"/>
          </w:tcPr>
          <w:p w14:paraId="412A6E56" w14:textId="77777777" w:rsidR="0037776C" w:rsidRDefault="0037776C" w:rsidP="00141A84">
            <w:pPr>
              <w:keepNext/>
              <w:keepLines/>
              <w:tabs>
                <w:tab w:val="decimal" w:pos="720"/>
              </w:tabs>
              <w:jc w:val="center"/>
            </w:pPr>
            <w:r>
              <w:t>7,968</w:t>
            </w:r>
          </w:p>
        </w:tc>
      </w:tr>
      <w:tr w:rsidR="0037776C" w14:paraId="5E99C397" w14:textId="77777777" w:rsidTr="00141A84">
        <w:trPr>
          <w:cantSplit/>
        </w:trPr>
        <w:tc>
          <w:tcPr>
            <w:tcW w:w="3578" w:type="dxa"/>
            <w:tcBorders>
              <w:top w:val="single" w:sz="6" w:space="0" w:color="auto"/>
              <w:left w:val="single" w:sz="6" w:space="0" w:color="auto"/>
              <w:bottom w:val="single" w:sz="6" w:space="0" w:color="auto"/>
              <w:right w:val="single" w:sz="6" w:space="0" w:color="auto"/>
            </w:tcBorders>
          </w:tcPr>
          <w:p w14:paraId="55F2534F" w14:textId="77777777" w:rsidR="0037776C" w:rsidRDefault="0037776C" w:rsidP="00141A84">
            <w:pPr>
              <w:keepNext/>
              <w:keepLines/>
            </w:pPr>
            <w:r>
              <w:t>Veteran Directed Care Tool</w:t>
            </w:r>
          </w:p>
          <w:p w14:paraId="4C72D211" w14:textId="77777777" w:rsidR="0037776C" w:rsidRDefault="0037776C" w:rsidP="00141A84">
            <w:pPr>
              <w:keepNext/>
              <w:keepLines/>
            </w:pPr>
          </w:p>
        </w:tc>
        <w:tc>
          <w:tcPr>
            <w:tcW w:w="1480" w:type="dxa"/>
            <w:tcBorders>
              <w:left w:val="single" w:sz="6" w:space="0" w:color="auto"/>
              <w:bottom w:val="single" w:sz="6" w:space="0" w:color="auto"/>
              <w:right w:val="single" w:sz="6" w:space="0" w:color="auto"/>
            </w:tcBorders>
            <w:vAlign w:val="center"/>
          </w:tcPr>
          <w:p w14:paraId="6BF1C43E" w14:textId="77777777" w:rsidR="0037776C" w:rsidRDefault="0037776C" w:rsidP="00141A84">
            <w:pPr>
              <w:keepNext/>
              <w:keepLines/>
              <w:tabs>
                <w:tab w:val="decimal" w:pos="792"/>
              </w:tabs>
              <w:jc w:val="center"/>
            </w:pPr>
            <w:r>
              <w:t>400</w:t>
            </w:r>
          </w:p>
        </w:tc>
        <w:tc>
          <w:tcPr>
            <w:tcW w:w="1710" w:type="dxa"/>
            <w:tcBorders>
              <w:left w:val="single" w:sz="6" w:space="0" w:color="auto"/>
              <w:bottom w:val="single" w:sz="6" w:space="0" w:color="auto"/>
              <w:right w:val="single" w:sz="6" w:space="0" w:color="auto"/>
            </w:tcBorders>
            <w:vAlign w:val="center"/>
          </w:tcPr>
          <w:p w14:paraId="35027835" w14:textId="77777777" w:rsidR="0037776C" w:rsidRDefault="0037776C" w:rsidP="00141A84">
            <w:pPr>
              <w:keepNext/>
              <w:keepLines/>
              <w:tabs>
                <w:tab w:val="decimal" w:pos="576"/>
              </w:tabs>
              <w:jc w:val="center"/>
            </w:pPr>
            <w:r>
              <w:t>12</w:t>
            </w:r>
          </w:p>
        </w:tc>
        <w:tc>
          <w:tcPr>
            <w:tcW w:w="1350" w:type="dxa"/>
            <w:tcBorders>
              <w:top w:val="single" w:sz="6" w:space="0" w:color="auto"/>
              <w:left w:val="single" w:sz="6" w:space="0" w:color="auto"/>
              <w:bottom w:val="single" w:sz="6" w:space="0" w:color="auto"/>
              <w:right w:val="single" w:sz="6" w:space="0" w:color="auto"/>
            </w:tcBorders>
            <w:vAlign w:val="center"/>
          </w:tcPr>
          <w:p w14:paraId="3ACA627F" w14:textId="77777777" w:rsidR="0037776C" w:rsidRDefault="0037776C" w:rsidP="00141A84">
            <w:pPr>
              <w:keepNext/>
              <w:keepLines/>
              <w:tabs>
                <w:tab w:val="decimal" w:pos="504"/>
              </w:tabs>
              <w:jc w:val="center"/>
            </w:pPr>
            <w:r>
              <w:t>0.5</w:t>
            </w:r>
          </w:p>
        </w:tc>
        <w:tc>
          <w:tcPr>
            <w:tcW w:w="1512" w:type="dxa"/>
            <w:tcBorders>
              <w:top w:val="single" w:sz="6" w:space="0" w:color="auto"/>
              <w:left w:val="single" w:sz="6" w:space="0" w:color="auto"/>
              <w:bottom w:val="single" w:sz="6" w:space="0" w:color="auto"/>
              <w:right w:val="single" w:sz="6" w:space="0" w:color="auto"/>
            </w:tcBorders>
            <w:vAlign w:val="center"/>
          </w:tcPr>
          <w:p w14:paraId="0131626E" w14:textId="77777777" w:rsidR="0037776C" w:rsidRDefault="0037776C" w:rsidP="00141A84">
            <w:pPr>
              <w:keepNext/>
              <w:keepLines/>
              <w:tabs>
                <w:tab w:val="decimal" w:pos="720"/>
              </w:tabs>
              <w:jc w:val="center"/>
            </w:pPr>
            <w:r>
              <w:t>2,400</w:t>
            </w:r>
          </w:p>
        </w:tc>
      </w:tr>
      <w:tr w:rsidR="0037776C" w14:paraId="3980DF98" w14:textId="77777777" w:rsidTr="00141A84">
        <w:trPr>
          <w:cantSplit/>
        </w:trPr>
        <w:tc>
          <w:tcPr>
            <w:tcW w:w="3578" w:type="dxa"/>
            <w:tcBorders>
              <w:top w:val="single" w:sz="6" w:space="0" w:color="auto"/>
              <w:left w:val="single" w:sz="6" w:space="0" w:color="auto"/>
              <w:bottom w:val="single" w:sz="6" w:space="0" w:color="auto"/>
              <w:right w:val="single" w:sz="6" w:space="0" w:color="auto"/>
            </w:tcBorders>
            <w:hideMark/>
          </w:tcPr>
          <w:p w14:paraId="4BF16973" w14:textId="77777777" w:rsidR="0037776C" w:rsidRPr="005B0273" w:rsidRDefault="0037776C" w:rsidP="00141A84">
            <w:pPr>
              <w:keepNext/>
              <w:keepLines/>
              <w:tabs>
                <w:tab w:val="center" w:pos="1604"/>
              </w:tabs>
              <w:jc w:val="both"/>
              <w:rPr>
                <w:b/>
              </w:rPr>
            </w:pPr>
            <w:r w:rsidRPr="005B0273">
              <w:rPr>
                <w:b/>
              </w:rPr>
              <w:t>Total</w:t>
            </w:r>
            <w:r>
              <w:rPr>
                <w:b/>
              </w:rPr>
              <w:t>:</w:t>
            </w:r>
          </w:p>
        </w:tc>
        <w:tc>
          <w:tcPr>
            <w:tcW w:w="1480" w:type="dxa"/>
            <w:tcBorders>
              <w:top w:val="single" w:sz="6" w:space="0" w:color="auto"/>
              <w:left w:val="single" w:sz="6" w:space="0" w:color="auto"/>
              <w:bottom w:val="single" w:sz="6" w:space="0" w:color="auto"/>
              <w:right w:val="single" w:sz="6" w:space="0" w:color="auto"/>
            </w:tcBorders>
          </w:tcPr>
          <w:p w14:paraId="07672DCF" w14:textId="77777777" w:rsidR="0037776C" w:rsidRPr="00BF5A52" w:rsidRDefault="0037776C" w:rsidP="00141A84">
            <w:pPr>
              <w:keepNext/>
              <w:keepLines/>
              <w:tabs>
                <w:tab w:val="decimal" w:pos="792"/>
              </w:tabs>
              <w:jc w:val="center"/>
              <w:rPr>
                <w:b/>
              </w:rPr>
            </w:pPr>
            <w:r>
              <w:rPr>
                <w:b/>
              </w:rPr>
              <w:t>1,452</w:t>
            </w:r>
          </w:p>
        </w:tc>
        <w:tc>
          <w:tcPr>
            <w:tcW w:w="1710" w:type="dxa"/>
            <w:tcBorders>
              <w:top w:val="single" w:sz="6" w:space="0" w:color="auto"/>
              <w:left w:val="single" w:sz="6" w:space="0" w:color="auto"/>
              <w:bottom w:val="single" w:sz="6" w:space="0" w:color="auto"/>
              <w:right w:val="single" w:sz="6" w:space="0" w:color="auto"/>
            </w:tcBorders>
          </w:tcPr>
          <w:p w14:paraId="1C550730" w14:textId="277D36B9" w:rsidR="0037776C" w:rsidRPr="00E31D56" w:rsidRDefault="00E31D56" w:rsidP="00141A84">
            <w:pPr>
              <w:keepNext/>
              <w:keepLines/>
              <w:tabs>
                <w:tab w:val="decimal" w:pos="576"/>
              </w:tabs>
              <w:jc w:val="center"/>
              <w:rPr>
                <w:b/>
              </w:rPr>
            </w:pPr>
            <w:r w:rsidRPr="00E31D56">
              <w:rPr>
                <w:b/>
              </w:rPr>
              <w:t>6, 904</w:t>
            </w:r>
          </w:p>
        </w:tc>
        <w:tc>
          <w:tcPr>
            <w:tcW w:w="1350" w:type="dxa"/>
            <w:tcBorders>
              <w:top w:val="single" w:sz="6" w:space="0" w:color="auto"/>
              <w:left w:val="single" w:sz="6" w:space="0" w:color="auto"/>
              <w:bottom w:val="single" w:sz="6" w:space="0" w:color="auto"/>
              <w:right w:val="single" w:sz="6" w:space="0" w:color="auto"/>
            </w:tcBorders>
          </w:tcPr>
          <w:p w14:paraId="05017DA1" w14:textId="77777777" w:rsidR="0037776C" w:rsidRPr="0040513D" w:rsidRDefault="0037776C" w:rsidP="00141A84">
            <w:pPr>
              <w:keepNext/>
              <w:keepLines/>
              <w:tabs>
                <w:tab w:val="decimal" w:pos="504"/>
              </w:tabs>
              <w:jc w:val="center"/>
            </w:pPr>
            <w:r w:rsidRPr="0040513D">
              <w:t>-</w:t>
            </w:r>
          </w:p>
        </w:tc>
        <w:tc>
          <w:tcPr>
            <w:tcW w:w="1512" w:type="dxa"/>
            <w:tcBorders>
              <w:top w:val="single" w:sz="6" w:space="0" w:color="auto"/>
              <w:left w:val="single" w:sz="6" w:space="0" w:color="auto"/>
              <w:bottom w:val="single" w:sz="6" w:space="0" w:color="auto"/>
              <w:right w:val="single" w:sz="6" w:space="0" w:color="auto"/>
            </w:tcBorders>
          </w:tcPr>
          <w:p w14:paraId="253D3E04" w14:textId="77777777" w:rsidR="0037776C" w:rsidRPr="00317D5F" w:rsidRDefault="0037776C" w:rsidP="00141A84">
            <w:pPr>
              <w:keepNext/>
              <w:keepLines/>
              <w:tabs>
                <w:tab w:val="decimal" w:pos="720"/>
              </w:tabs>
              <w:jc w:val="center"/>
              <w:rPr>
                <w:b/>
              </w:rPr>
            </w:pPr>
            <w:r>
              <w:rPr>
                <w:b/>
              </w:rPr>
              <w:t>10,480</w:t>
            </w:r>
          </w:p>
        </w:tc>
      </w:tr>
    </w:tbl>
    <w:p w14:paraId="200E9047" w14:textId="77777777" w:rsidR="0037776C" w:rsidRDefault="0037776C" w:rsidP="009D0277">
      <w:pPr>
        <w:pStyle w:val="ListParagraph"/>
        <w:spacing w:before="0" w:after="0"/>
        <w:ind w:left="0"/>
        <w:rPr>
          <w:rStyle w:val="a"/>
          <w:color w:val="0070C0"/>
        </w:rPr>
      </w:pPr>
    </w:p>
    <w:p w14:paraId="69C1C743" w14:textId="77777777" w:rsidR="002758DA" w:rsidRDefault="002758DA" w:rsidP="009D0277">
      <w:pPr>
        <w:pStyle w:val="ListParagraph"/>
        <w:spacing w:before="0" w:after="0"/>
        <w:ind w:left="0"/>
        <w:rPr>
          <w:b/>
          <w:i/>
        </w:rPr>
      </w:pPr>
      <w:r w:rsidRPr="00C009B8">
        <w:rPr>
          <w:b/>
          <w:i/>
        </w:rPr>
        <w:t>12B. Costs to Respondents</w:t>
      </w:r>
    </w:p>
    <w:p w14:paraId="4A063C84" w14:textId="77777777" w:rsidR="0037776C" w:rsidRDefault="002758DA" w:rsidP="009D0277">
      <w:pPr>
        <w:pStyle w:val="ListParagraph"/>
        <w:spacing w:before="0" w:after="0"/>
        <w:ind w:left="0"/>
      </w:pPr>
      <w:r w:rsidRPr="00C009B8">
        <w:t xml:space="preserve">The annualized cost burden for respondents is estimated to be </w:t>
      </w:r>
      <w:r w:rsidR="0080575F">
        <w:t>$454,042</w:t>
      </w:r>
      <w:r w:rsidRPr="00C009B8">
        <w:t xml:space="preserve">.  </w:t>
      </w:r>
      <w:r>
        <w:t>The table below</w:t>
      </w:r>
      <w:r w:rsidRPr="00C009B8">
        <w:t xml:space="preserve"> shows the estimated annual cost burden to each type of respondent, based on their time to complete the data collection tools. The hourly rate</w:t>
      </w:r>
      <w:r w:rsidR="0080575F">
        <w:t>s</w:t>
      </w:r>
      <w:r w:rsidRPr="00C009B8">
        <w:t xml:space="preserve"> for the </w:t>
      </w:r>
      <w:r w:rsidR="0080575F">
        <w:t>state level administrator and local level program staff are</w:t>
      </w:r>
      <w:r w:rsidRPr="00C009B8">
        <w:t xml:space="preserve"> based upon the average wages of similar professions published by the Department of Labor, Bureau of Labor Statistics. </w:t>
      </w:r>
    </w:p>
    <w:tbl>
      <w:tblPr>
        <w:tblStyle w:val="TableGrid"/>
        <w:tblpPr w:leftFromText="180" w:rightFromText="180" w:vertAnchor="text" w:horzAnchor="margin" w:tblpXSpec="center" w:tblpY="200"/>
        <w:tblW w:w="9113" w:type="dxa"/>
        <w:tblLayout w:type="fixed"/>
        <w:tblLook w:val="04A0" w:firstRow="1" w:lastRow="0" w:firstColumn="1" w:lastColumn="0" w:noHBand="0" w:noVBand="1"/>
      </w:tblPr>
      <w:tblGrid>
        <w:gridCol w:w="3533"/>
        <w:gridCol w:w="2160"/>
        <w:gridCol w:w="1890"/>
        <w:gridCol w:w="1530"/>
      </w:tblGrid>
      <w:tr w:rsidR="00E31D56" w:rsidRPr="0037776C" w14:paraId="4B8D3899" w14:textId="77777777" w:rsidTr="00E31D56">
        <w:tc>
          <w:tcPr>
            <w:tcW w:w="3533" w:type="dxa"/>
          </w:tcPr>
          <w:p w14:paraId="2AC90ACD" w14:textId="77777777" w:rsidR="00E31D56" w:rsidRPr="0037776C" w:rsidRDefault="00E31D56" w:rsidP="00E31D56">
            <w:pPr>
              <w:pStyle w:val="ListParagraph"/>
              <w:spacing w:before="0" w:after="0"/>
              <w:ind w:left="0"/>
              <w:jc w:val="center"/>
              <w:rPr>
                <w:rStyle w:val="a"/>
              </w:rPr>
            </w:pPr>
            <w:r w:rsidRPr="0037776C">
              <w:rPr>
                <w:b/>
              </w:rPr>
              <w:t>Respondent/Data collection activity</w:t>
            </w:r>
          </w:p>
        </w:tc>
        <w:tc>
          <w:tcPr>
            <w:tcW w:w="2160" w:type="dxa"/>
          </w:tcPr>
          <w:p w14:paraId="7DB035A8" w14:textId="77777777" w:rsidR="00E31D56" w:rsidRPr="0037776C" w:rsidRDefault="00E31D56" w:rsidP="00E31D56">
            <w:pPr>
              <w:pStyle w:val="ListParagraph"/>
              <w:spacing w:before="0" w:after="0"/>
              <w:ind w:left="0"/>
              <w:jc w:val="center"/>
              <w:rPr>
                <w:b/>
              </w:rPr>
            </w:pPr>
            <w:r w:rsidRPr="0037776C">
              <w:rPr>
                <w:b/>
              </w:rPr>
              <w:t>Total Annual Burden Hours</w:t>
            </w:r>
          </w:p>
        </w:tc>
        <w:tc>
          <w:tcPr>
            <w:tcW w:w="1890" w:type="dxa"/>
          </w:tcPr>
          <w:p w14:paraId="747021B7" w14:textId="77777777" w:rsidR="00E31D56" w:rsidRPr="0037776C" w:rsidRDefault="00E31D56" w:rsidP="00E31D56">
            <w:pPr>
              <w:pStyle w:val="ListParagraph"/>
              <w:spacing w:before="0" w:after="0"/>
              <w:ind w:left="0"/>
              <w:jc w:val="center"/>
              <w:rPr>
                <w:b/>
              </w:rPr>
            </w:pPr>
            <w:r w:rsidRPr="0037776C">
              <w:rPr>
                <w:b/>
              </w:rPr>
              <w:t>Average Cost Per Hour</w:t>
            </w:r>
          </w:p>
        </w:tc>
        <w:tc>
          <w:tcPr>
            <w:tcW w:w="1530" w:type="dxa"/>
          </w:tcPr>
          <w:p w14:paraId="0CCA64E4" w14:textId="77777777" w:rsidR="00E31D56" w:rsidRPr="0037776C" w:rsidRDefault="00E31D56" w:rsidP="00E31D56">
            <w:pPr>
              <w:pStyle w:val="ListParagraph"/>
              <w:spacing w:before="0" w:after="0"/>
              <w:ind w:left="0"/>
              <w:jc w:val="center"/>
              <w:rPr>
                <w:b/>
              </w:rPr>
            </w:pPr>
            <w:r w:rsidRPr="0037776C">
              <w:rPr>
                <w:b/>
              </w:rPr>
              <w:t>Total Cost</w:t>
            </w:r>
          </w:p>
        </w:tc>
      </w:tr>
      <w:tr w:rsidR="00E31D56" w:rsidRPr="0037776C" w14:paraId="72D15ED6" w14:textId="77777777" w:rsidTr="00E31D56">
        <w:tc>
          <w:tcPr>
            <w:tcW w:w="3533" w:type="dxa"/>
          </w:tcPr>
          <w:p w14:paraId="03C12126" w14:textId="77777777" w:rsidR="00E31D56" w:rsidRPr="0037776C" w:rsidRDefault="00E31D56" w:rsidP="00E31D56">
            <w:pPr>
              <w:pStyle w:val="ListParagraph"/>
              <w:spacing w:before="0" w:after="0"/>
              <w:ind w:left="0"/>
            </w:pPr>
            <w:r>
              <w:t>NWD Management Tool data collection and entry – State Level Administrators</w:t>
            </w:r>
          </w:p>
        </w:tc>
        <w:tc>
          <w:tcPr>
            <w:tcW w:w="2160" w:type="dxa"/>
          </w:tcPr>
          <w:p w14:paraId="232160EF" w14:textId="77777777" w:rsidR="00E31D56" w:rsidRPr="002758DA" w:rsidRDefault="00E31D56" w:rsidP="00E31D56">
            <w:pPr>
              <w:pStyle w:val="ListParagraph"/>
              <w:spacing w:before="0" w:after="0"/>
              <w:ind w:left="0"/>
              <w:jc w:val="center"/>
            </w:pPr>
            <w:r w:rsidRPr="002758DA">
              <w:t>112</w:t>
            </w:r>
          </w:p>
        </w:tc>
        <w:tc>
          <w:tcPr>
            <w:tcW w:w="1890" w:type="dxa"/>
          </w:tcPr>
          <w:p w14:paraId="0B5E6D60" w14:textId="77777777" w:rsidR="00E31D56" w:rsidRPr="002758DA" w:rsidRDefault="00E31D56" w:rsidP="00E31D56">
            <w:pPr>
              <w:pStyle w:val="ListParagraph"/>
              <w:spacing w:before="0" w:after="0"/>
              <w:ind w:left="0"/>
              <w:jc w:val="center"/>
            </w:pPr>
            <w:r>
              <w:t>$67.82</w:t>
            </w:r>
            <w:r>
              <w:rPr>
                <w:rStyle w:val="FootnoteReference"/>
              </w:rPr>
              <w:footnoteReference w:id="7"/>
            </w:r>
          </w:p>
        </w:tc>
        <w:tc>
          <w:tcPr>
            <w:tcW w:w="1530" w:type="dxa"/>
          </w:tcPr>
          <w:p w14:paraId="4096C35B" w14:textId="77777777" w:rsidR="00E31D56" w:rsidRPr="002758DA" w:rsidRDefault="00E31D56" w:rsidP="00E31D56">
            <w:pPr>
              <w:pStyle w:val="ListParagraph"/>
              <w:spacing w:before="0" w:after="0"/>
              <w:ind w:left="0"/>
              <w:jc w:val="center"/>
            </w:pPr>
            <w:r>
              <w:t>$7,595.84</w:t>
            </w:r>
          </w:p>
        </w:tc>
      </w:tr>
      <w:tr w:rsidR="00E31D56" w:rsidRPr="0037776C" w14:paraId="0A35288F" w14:textId="77777777" w:rsidTr="00E31D56">
        <w:tc>
          <w:tcPr>
            <w:tcW w:w="3533" w:type="dxa"/>
          </w:tcPr>
          <w:p w14:paraId="65301D58" w14:textId="77777777" w:rsidR="00E31D56" w:rsidRPr="0037776C" w:rsidRDefault="00E31D56" w:rsidP="00E31D56">
            <w:pPr>
              <w:pStyle w:val="ListParagraph"/>
              <w:spacing w:before="0" w:after="0"/>
              <w:ind w:left="0"/>
            </w:pPr>
            <w:r>
              <w:t xml:space="preserve"> NWD Management Tool data collection and entry – Local  Level Program Staff</w:t>
            </w:r>
          </w:p>
        </w:tc>
        <w:tc>
          <w:tcPr>
            <w:tcW w:w="2160" w:type="dxa"/>
          </w:tcPr>
          <w:p w14:paraId="01E29E80" w14:textId="77777777" w:rsidR="00E31D56" w:rsidRPr="002758DA" w:rsidRDefault="00E31D56" w:rsidP="00E31D56">
            <w:pPr>
              <w:pStyle w:val="ListParagraph"/>
              <w:spacing w:before="0" w:after="0"/>
              <w:ind w:left="0"/>
              <w:jc w:val="center"/>
            </w:pPr>
            <w:r w:rsidRPr="002758DA">
              <w:t>7,968</w:t>
            </w:r>
          </w:p>
        </w:tc>
        <w:tc>
          <w:tcPr>
            <w:tcW w:w="1890" w:type="dxa"/>
          </w:tcPr>
          <w:p w14:paraId="5D762B58" w14:textId="77777777" w:rsidR="00E31D56" w:rsidRPr="002758DA" w:rsidRDefault="00E31D56" w:rsidP="00E31D56">
            <w:pPr>
              <w:pStyle w:val="ListParagraph"/>
              <w:spacing w:before="0" w:after="0"/>
              <w:ind w:left="0"/>
              <w:jc w:val="center"/>
            </w:pPr>
            <w:r>
              <w:t>$43.06</w:t>
            </w:r>
            <w:r>
              <w:rPr>
                <w:rStyle w:val="FootnoteReference"/>
              </w:rPr>
              <w:footnoteReference w:id="8"/>
            </w:r>
          </w:p>
        </w:tc>
        <w:tc>
          <w:tcPr>
            <w:tcW w:w="1530" w:type="dxa"/>
          </w:tcPr>
          <w:p w14:paraId="1969C848" w14:textId="77777777" w:rsidR="00E31D56" w:rsidRPr="002758DA" w:rsidRDefault="00E31D56" w:rsidP="00E31D56">
            <w:pPr>
              <w:pStyle w:val="ListParagraph"/>
              <w:spacing w:before="0" w:after="0"/>
              <w:ind w:left="0"/>
              <w:jc w:val="center"/>
            </w:pPr>
            <w:r>
              <w:t>$343,102.08</w:t>
            </w:r>
          </w:p>
        </w:tc>
      </w:tr>
      <w:tr w:rsidR="00E31D56" w:rsidRPr="0037776C" w14:paraId="494C99B2" w14:textId="77777777" w:rsidTr="00E31D56">
        <w:tc>
          <w:tcPr>
            <w:tcW w:w="3533" w:type="dxa"/>
          </w:tcPr>
          <w:p w14:paraId="3461A47B" w14:textId="77777777" w:rsidR="00E31D56" w:rsidRDefault="00E31D56" w:rsidP="00E31D56">
            <w:pPr>
              <w:keepNext/>
              <w:keepLines/>
            </w:pPr>
            <w:r>
              <w:t>Veteran Directed Care Tool – Local Level Program Staff</w:t>
            </w:r>
          </w:p>
          <w:p w14:paraId="20EFD4CF" w14:textId="77777777" w:rsidR="00E31D56" w:rsidRPr="0037776C" w:rsidRDefault="00E31D56" w:rsidP="00E31D56">
            <w:pPr>
              <w:pStyle w:val="ListParagraph"/>
              <w:spacing w:before="0" w:after="0"/>
              <w:ind w:left="0"/>
              <w:rPr>
                <w:rFonts w:ascii="Times" w:hAnsi="Times"/>
              </w:rPr>
            </w:pPr>
          </w:p>
        </w:tc>
        <w:tc>
          <w:tcPr>
            <w:tcW w:w="2160" w:type="dxa"/>
          </w:tcPr>
          <w:p w14:paraId="2BC3BFAC" w14:textId="77777777" w:rsidR="00E31D56" w:rsidRPr="002758DA" w:rsidRDefault="00E31D56" w:rsidP="00E31D56">
            <w:pPr>
              <w:pStyle w:val="ListParagraph"/>
              <w:spacing w:before="0" w:after="0"/>
              <w:ind w:left="0"/>
              <w:jc w:val="center"/>
            </w:pPr>
            <w:r w:rsidRPr="002758DA">
              <w:t>2,400</w:t>
            </w:r>
          </w:p>
        </w:tc>
        <w:tc>
          <w:tcPr>
            <w:tcW w:w="1890" w:type="dxa"/>
          </w:tcPr>
          <w:p w14:paraId="15E2F556" w14:textId="77777777" w:rsidR="00E31D56" w:rsidRPr="002758DA" w:rsidRDefault="00E31D56" w:rsidP="00E31D56">
            <w:pPr>
              <w:pStyle w:val="ListParagraph"/>
              <w:spacing w:before="0" w:after="0"/>
              <w:ind w:left="0"/>
              <w:jc w:val="center"/>
            </w:pPr>
            <w:r>
              <w:t>$43.06</w:t>
            </w:r>
            <w:r>
              <w:rPr>
                <w:rStyle w:val="FootnoteReference"/>
              </w:rPr>
              <w:footnoteReference w:id="9"/>
            </w:r>
          </w:p>
        </w:tc>
        <w:tc>
          <w:tcPr>
            <w:tcW w:w="1530" w:type="dxa"/>
          </w:tcPr>
          <w:p w14:paraId="3EEA9B17" w14:textId="77777777" w:rsidR="00E31D56" w:rsidRPr="002758DA" w:rsidRDefault="00E31D56" w:rsidP="00E31D56">
            <w:pPr>
              <w:pStyle w:val="ListParagraph"/>
              <w:spacing w:before="0" w:after="0"/>
              <w:ind w:left="0"/>
              <w:jc w:val="center"/>
            </w:pPr>
            <w:r>
              <w:t>$103,344.00</w:t>
            </w:r>
          </w:p>
        </w:tc>
      </w:tr>
      <w:tr w:rsidR="00E31D56" w:rsidRPr="0037776C" w14:paraId="6DC1CD30" w14:textId="77777777" w:rsidTr="00E31D56">
        <w:trPr>
          <w:trHeight w:val="377"/>
        </w:trPr>
        <w:tc>
          <w:tcPr>
            <w:tcW w:w="3533" w:type="dxa"/>
          </w:tcPr>
          <w:p w14:paraId="1AB1216D" w14:textId="77777777" w:rsidR="00E31D56" w:rsidRPr="0037776C" w:rsidRDefault="00E31D56" w:rsidP="00E31D56">
            <w:pPr>
              <w:pStyle w:val="ListParagraph"/>
              <w:spacing w:before="0" w:after="0"/>
              <w:ind w:left="0"/>
              <w:rPr>
                <w:b/>
              </w:rPr>
            </w:pPr>
            <w:r w:rsidRPr="0037776C">
              <w:rPr>
                <w:b/>
              </w:rPr>
              <w:t>Total</w:t>
            </w:r>
          </w:p>
        </w:tc>
        <w:tc>
          <w:tcPr>
            <w:tcW w:w="2160" w:type="dxa"/>
          </w:tcPr>
          <w:p w14:paraId="185C0B52" w14:textId="77777777" w:rsidR="00E31D56" w:rsidRPr="004638A1" w:rsidRDefault="00E31D56" w:rsidP="00E31D56">
            <w:pPr>
              <w:pStyle w:val="ListParagraph"/>
              <w:spacing w:before="0" w:after="0"/>
              <w:ind w:left="0"/>
              <w:jc w:val="center"/>
              <w:rPr>
                <w:b/>
              </w:rPr>
            </w:pPr>
            <w:r w:rsidRPr="004638A1">
              <w:rPr>
                <w:b/>
              </w:rPr>
              <w:t>10,480</w:t>
            </w:r>
          </w:p>
        </w:tc>
        <w:tc>
          <w:tcPr>
            <w:tcW w:w="1890" w:type="dxa"/>
          </w:tcPr>
          <w:p w14:paraId="74FF4D23" w14:textId="77777777" w:rsidR="00E31D56" w:rsidRPr="004638A1" w:rsidRDefault="00E31D56" w:rsidP="00E31D56">
            <w:pPr>
              <w:pStyle w:val="ListParagraph"/>
              <w:spacing w:before="0" w:after="0"/>
              <w:ind w:left="0"/>
              <w:jc w:val="center"/>
              <w:rPr>
                <w:b/>
              </w:rPr>
            </w:pPr>
          </w:p>
        </w:tc>
        <w:tc>
          <w:tcPr>
            <w:tcW w:w="1530" w:type="dxa"/>
          </w:tcPr>
          <w:p w14:paraId="013F202B" w14:textId="77777777" w:rsidR="00E31D56" w:rsidRPr="004638A1" w:rsidRDefault="00E31D56" w:rsidP="00E31D56">
            <w:pPr>
              <w:pStyle w:val="ListParagraph"/>
              <w:spacing w:before="0" w:after="0"/>
              <w:ind w:left="0"/>
              <w:jc w:val="center"/>
              <w:rPr>
                <w:b/>
              </w:rPr>
            </w:pPr>
            <w:r w:rsidRPr="004638A1">
              <w:rPr>
                <w:b/>
              </w:rPr>
              <w:t>$454,041.92</w:t>
            </w:r>
          </w:p>
        </w:tc>
      </w:tr>
    </w:tbl>
    <w:p w14:paraId="6C4C725C" w14:textId="77777777" w:rsidR="002514B4" w:rsidRPr="0037776C" w:rsidRDefault="002514B4" w:rsidP="009D0277">
      <w:pPr>
        <w:pStyle w:val="ListParagraph"/>
        <w:spacing w:before="0" w:after="0"/>
        <w:ind w:left="0"/>
        <w:rPr>
          <w:rStyle w:val="a"/>
        </w:rPr>
      </w:pPr>
    </w:p>
    <w:p w14:paraId="577505FB" w14:textId="77777777" w:rsidR="0037776C" w:rsidRDefault="0037776C" w:rsidP="009D0277">
      <w:pPr>
        <w:pStyle w:val="ListParagraph"/>
        <w:spacing w:before="0" w:after="0"/>
        <w:ind w:left="0"/>
        <w:rPr>
          <w:rStyle w:val="a"/>
          <w:color w:val="0070C0"/>
        </w:rPr>
      </w:pPr>
    </w:p>
    <w:p w14:paraId="3F734D1E" w14:textId="77777777" w:rsidR="0037776C" w:rsidRPr="00E0367B" w:rsidRDefault="0037776C" w:rsidP="009D0277">
      <w:pPr>
        <w:pStyle w:val="ListParagraph"/>
        <w:spacing w:before="0" w:after="0"/>
        <w:ind w:left="0"/>
        <w:rPr>
          <w:rStyle w:val="a"/>
          <w:color w:val="0070C0"/>
        </w:rPr>
      </w:pPr>
    </w:p>
    <w:p w14:paraId="70F757ED" w14:textId="21D1C48F" w:rsidR="00971E8D" w:rsidRPr="00971E8D" w:rsidRDefault="00971E8D" w:rsidP="00971E8D">
      <w:pPr>
        <w:pStyle w:val="ListParagraph"/>
        <w:spacing w:before="0" w:after="0"/>
        <w:ind w:left="0"/>
        <w:rPr>
          <w:b/>
          <w:u w:val="single"/>
        </w:rPr>
      </w:pPr>
    </w:p>
    <w:p w14:paraId="4562570F" w14:textId="7C234ABE" w:rsidR="00491FCC" w:rsidRPr="00770C12" w:rsidRDefault="00491FCC" w:rsidP="00D850AF">
      <w:pPr>
        <w:pStyle w:val="ListParagraph"/>
        <w:numPr>
          <w:ilvl w:val="0"/>
          <w:numId w:val="1"/>
        </w:numPr>
        <w:spacing w:before="0" w:after="0"/>
        <w:ind w:left="0"/>
        <w:rPr>
          <w:rStyle w:val="a"/>
          <w:b/>
          <w:u w:val="single"/>
        </w:rPr>
      </w:pPr>
      <w:r w:rsidRPr="00770C12">
        <w:rPr>
          <w:rFonts w:eastAsiaTheme="minorEastAsia"/>
          <w:b/>
          <w:color w:val="000000" w:themeColor="text1"/>
          <w:kern w:val="24"/>
          <w:u w:val="single"/>
        </w:rPr>
        <w:t>Estimates of Other Total Annual Cost Burden to Respondents and Record Keepers</w:t>
      </w:r>
    </w:p>
    <w:p w14:paraId="68B2A826" w14:textId="77777777" w:rsidR="00770C12" w:rsidRDefault="00770C12" w:rsidP="009D0277">
      <w:pPr>
        <w:pStyle w:val="ListParagraph"/>
        <w:spacing w:before="0" w:after="0"/>
        <w:ind w:left="0"/>
        <w:rPr>
          <w:color w:val="000000"/>
        </w:rPr>
      </w:pPr>
    </w:p>
    <w:p w14:paraId="28E9A182" w14:textId="77777777" w:rsidR="0037776C" w:rsidRDefault="0037776C" w:rsidP="009D0277">
      <w:pPr>
        <w:pStyle w:val="ListParagraph"/>
        <w:spacing w:before="0" w:after="0"/>
        <w:ind w:left="0"/>
        <w:rPr>
          <w:color w:val="000000"/>
        </w:rPr>
      </w:pPr>
      <w:r w:rsidRPr="0037776C">
        <w:rPr>
          <w:color w:val="000000"/>
        </w:rPr>
        <w:t xml:space="preserve">There is no annualized </w:t>
      </w:r>
      <w:r>
        <w:rPr>
          <w:color w:val="000000"/>
        </w:rPr>
        <w:t>capital or other</w:t>
      </w:r>
      <w:r w:rsidRPr="0037776C">
        <w:rPr>
          <w:color w:val="000000"/>
        </w:rPr>
        <w:t xml:space="preserve"> cost</w:t>
      </w:r>
      <w:r>
        <w:rPr>
          <w:color w:val="000000"/>
        </w:rPr>
        <w:t>s</w:t>
      </w:r>
      <w:r w:rsidRPr="0037776C">
        <w:rPr>
          <w:color w:val="000000"/>
        </w:rPr>
        <w:t xml:space="preserve"> associated with this data collection for respondents.  </w:t>
      </w:r>
    </w:p>
    <w:p w14:paraId="25E5BAB1" w14:textId="77777777" w:rsidR="0037776C" w:rsidRPr="0037776C" w:rsidRDefault="0037776C" w:rsidP="009D0277">
      <w:pPr>
        <w:pStyle w:val="ListParagraph"/>
        <w:spacing w:before="0" w:after="0"/>
        <w:ind w:left="0"/>
        <w:rPr>
          <w:b/>
          <w:color w:val="0070C0"/>
        </w:rPr>
      </w:pPr>
    </w:p>
    <w:p w14:paraId="7937D032" w14:textId="77777777" w:rsidR="00491FCC" w:rsidRPr="00770C12" w:rsidRDefault="00491FCC" w:rsidP="00D850AF">
      <w:pPr>
        <w:pStyle w:val="ListParagraph"/>
        <w:numPr>
          <w:ilvl w:val="0"/>
          <w:numId w:val="1"/>
        </w:numPr>
        <w:spacing w:before="0" w:after="0"/>
        <w:ind w:left="0"/>
        <w:rPr>
          <w:rStyle w:val="a"/>
          <w:b/>
          <w:u w:val="single"/>
        </w:rPr>
      </w:pPr>
      <w:r w:rsidRPr="00770C12">
        <w:rPr>
          <w:rFonts w:eastAsiaTheme="minorEastAsia"/>
          <w:b/>
          <w:color w:val="000000" w:themeColor="text1"/>
          <w:kern w:val="24"/>
          <w:u w:val="single"/>
        </w:rPr>
        <w:t>Annualized Cost to the Federal Government</w:t>
      </w:r>
    </w:p>
    <w:p w14:paraId="6D3AFB55" w14:textId="77777777" w:rsidR="00770C12" w:rsidRDefault="00770C12" w:rsidP="00DD4F63">
      <w:pPr>
        <w:pStyle w:val="ListParagraph"/>
        <w:ind w:left="0"/>
        <w:contextualSpacing/>
      </w:pPr>
    </w:p>
    <w:p w14:paraId="5933FD37" w14:textId="77777777" w:rsidR="007C6955" w:rsidRDefault="00544A5F" w:rsidP="00DD4F63">
      <w:pPr>
        <w:pStyle w:val="ListParagraph"/>
        <w:ind w:left="0"/>
        <w:contextualSpacing/>
      </w:pPr>
      <w:r>
        <w:t>ACL Project Officers will review and analyze data collected through the NWD MT and VDC Tool.</w:t>
      </w:r>
      <w:r w:rsidR="00DD4F63">
        <w:t xml:space="preserve"> </w:t>
      </w:r>
    </w:p>
    <w:p w14:paraId="164713DA" w14:textId="77777777" w:rsidR="007C6955" w:rsidRDefault="007C6955" w:rsidP="00DD4F63">
      <w:pPr>
        <w:pStyle w:val="ListParagraph"/>
        <w:ind w:left="0"/>
        <w:contextualSpacing/>
      </w:pPr>
    </w:p>
    <w:p w14:paraId="31A0B012" w14:textId="77777777" w:rsidR="007C6955" w:rsidRDefault="007C6955" w:rsidP="00DD4F63">
      <w:pPr>
        <w:pStyle w:val="ListParagraph"/>
        <w:ind w:left="0"/>
        <w:contextualSpacing/>
      </w:pPr>
    </w:p>
    <w:p w14:paraId="0AC8DEBF" w14:textId="19E642E3" w:rsidR="00DD4F63" w:rsidRDefault="00DD4F63" w:rsidP="00DD4F63">
      <w:pPr>
        <w:pStyle w:val="ListParagraph"/>
        <w:ind w:left="0"/>
        <w:contextualSpacing/>
      </w:pPr>
      <w:r>
        <w:rPr>
          <w:rStyle w:val="a"/>
        </w:rPr>
        <w:t>The total f</w:t>
      </w:r>
      <w:r w:rsidRPr="00154E21">
        <w:rPr>
          <w:rStyle w:val="a"/>
        </w:rPr>
        <w:t>ederal burden hours</w:t>
      </w:r>
      <w:r>
        <w:rPr>
          <w:rStyle w:val="a"/>
        </w:rPr>
        <w:t xml:space="preserve"> for two staff</w:t>
      </w:r>
      <w:r w:rsidRPr="00154E21">
        <w:rPr>
          <w:rStyle w:val="a"/>
        </w:rPr>
        <w:t xml:space="preserve"> spent reviewing and analyzing the program data are estimated to be 150 hours annually at an average salary rate of $</w:t>
      </w:r>
      <w:r>
        <w:rPr>
          <w:rStyle w:val="a"/>
        </w:rPr>
        <w:t xml:space="preserve">48.01 </w:t>
      </w:r>
      <w:r w:rsidRPr="00154E21">
        <w:rPr>
          <w:rStyle w:val="a"/>
        </w:rPr>
        <w:t>per hour</w:t>
      </w:r>
      <w:r w:rsidR="00DC2D35">
        <w:rPr>
          <w:rStyle w:val="FootnoteReference"/>
        </w:rPr>
        <w:footnoteReference w:id="10"/>
      </w:r>
      <w:r w:rsidRPr="00154E21">
        <w:rPr>
          <w:rStyle w:val="a"/>
        </w:rPr>
        <w:t xml:space="preserve"> for a total of $</w:t>
      </w:r>
      <w:r w:rsidR="006C56A1">
        <w:t>14,40</w:t>
      </w:r>
      <w:r w:rsidR="00F111B5">
        <w:t>3</w:t>
      </w:r>
      <w:r w:rsidRPr="00154E21">
        <w:rPr>
          <w:rStyle w:val="a"/>
        </w:rPr>
        <w:t>.</w:t>
      </w:r>
      <w:r w:rsidR="00383306">
        <w:t xml:space="preserve"> </w:t>
      </w:r>
      <w:r w:rsidR="00383306" w:rsidRPr="00383306">
        <w:t>A factor of 100% or $14,40</w:t>
      </w:r>
      <w:r w:rsidR="00F111B5">
        <w:t>3</w:t>
      </w:r>
      <w:r w:rsidR="00383306" w:rsidRPr="00383306">
        <w:t>, has been added to the base of $14,40</w:t>
      </w:r>
      <w:r w:rsidR="00F111B5">
        <w:t>3</w:t>
      </w:r>
      <w:r w:rsidR="00383306" w:rsidRPr="00383306">
        <w:t xml:space="preserve"> to account for benefits</w:t>
      </w:r>
      <w:r w:rsidR="00F36993">
        <w:t xml:space="preserve"> and overhead</w:t>
      </w:r>
      <w:r w:rsidR="00383306">
        <w:t>, for a final amount of $28,80</w:t>
      </w:r>
      <w:r w:rsidR="00F111B5">
        <w:t>6</w:t>
      </w:r>
      <w:r w:rsidR="00383306">
        <w:t xml:space="preserve">. </w:t>
      </w:r>
    </w:p>
    <w:p w14:paraId="57160A65" w14:textId="31971B31" w:rsidR="00BE082E" w:rsidRDefault="00BE082E" w:rsidP="00DD4F63">
      <w:pPr>
        <w:pStyle w:val="ListParagraph"/>
        <w:ind w:left="0"/>
        <w:contextualSpacing/>
      </w:pPr>
    </w:p>
    <w:p w14:paraId="50690F30" w14:textId="325B58C9" w:rsidR="00AC204C" w:rsidRDefault="00AC204C" w:rsidP="00AC204C">
      <w:pPr>
        <w:pStyle w:val="ListParagraph"/>
        <w:ind w:left="0"/>
        <w:contextualSpacing/>
        <w:rPr>
          <w:rStyle w:val="a"/>
        </w:rPr>
      </w:pPr>
      <w:r>
        <w:t>In addition, ACL has a contract for technical assistance and oversight of NWD and VDC. Technical assistance liaisons will assist ACL in reviewing and analyzing data. Annual contract costs total $37,200. The total cost to the Federal Government</w:t>
      </w:r>
    </w:p>
    <w:p w14:paraId="0CFAEEBC" w14:textId="77777777" w:rsidR="00AC204C" w:rsidRDefault="00AC204C" w:rsidP="00DD4F63">
      <w:pPr>
        <w:pStyle w:val="ListParagraph"/>
        <w:ind w:left="0"/>
        <w:contextualSpacing/>
      </w:pPr>
    </w:p>
    <w:p w14:paraId="37C2AD5F" w14:textId="5ADA87B5" w:rsidR="00F111B5" w:rsidRPr="00AC204C" w:rsidRDefault="00F111B5" w:rsidP="00AC204C">
      <w:pPr>
        <w:rPr>
          <w:sz w:val="22"/>
          <w:szCs w:val="22"/>
          <w:u w:val="single"/>
        </w:rPr>
      </w:pPr>
      <w:r w:rsidRPr="00AC204C">
        <w:rPr>
          <w:sz w:val="22"/>
          <w:szCs w:val="22"/>
          <w:u w:val="single"/>
        </w:rPr>
        <w:t>Staff Hours/Costs</w:t>
      </w:r>
    </w:p>
    <w:p w14:paraId="4281F040" w14:textId="0BDC0C1B" w:rsidR="00F111B5" w:rsidRPr="00AC204C" w:rsidRDefault="00F111B5" w:rsidP="00AC204C">
      <w:pPr>
        <w:rPr>
          <w:sz w:val="22"/>
          <w:szCs w:val="22"/>
        </w:rPr>
      </w:pPr>
      <w:r w:rsidRPr="00AC204C">
        <w:rPr>
          <w:sz w:val="22"/>
          <w:szCs w:val="22"/>
        </w:rPr>
        <w:t>Grade 13 Step 2: 150 hrs. x $48.01 per hour</w:t>
      </w:r>
      <w:r w:rsidRPr="00AC204C">
        <w:rPr>
          <w:sz w:val="22"/>
          <w:szCs w:val="22"/>
        </w:rPr>
        <w:tab/>
        <w:t>$   7,201.50</w:t>
      </w:r>
    </w:p>
    <w:p w14:paraId="0DEA9FD2" w14:textId="2744D2CC" w:rsidR="00F111B5" w:rsidRPr="00AC204C" w:rsidRDefault="00F111B5" w:rsidP="00AC204C">
      <w:pPr>
        <w:rPr>
          <w:sz w:val="22"/>
          <w:szCs w:val="22"/>
          <w:u w:val="single"/>
        </w:rPr>
      </w:pPr>
      <w:r w:rsidRPr="00AC204C">
        <w:rPr>
          <w:sz w:val="22"/>
          <w:szCs w:val="22"/>
        </w:rPr>
        <w:t>Grade 13 Step 2: 150 hrs. x $48.01 per hour</w:t>
      </w:r>
      <w:r w:rsidRPr="00AC204C">
        <w:rPr>
          <w:sz w:val="22"/>
          <w:szCs w:val="22"/>
        </w:rPr>
        <w:tab/>
        <w:t xml:space="preserve">$  </w:t>
      </w:r>
      <w:r w:rsidRPr="00AC204C">
        <w:rPr>
          <w:sz w:val="22"/>
          <w:szCs w:val="22"/>
          <w:u w:val="single"/>
        </w:rPr>
        <w:t xml:space="preserve"> 7,</w:t>
      </w:r>
      <w:r w:rsidR="00AC204C" w:rsidRPr="00AC204C">
        <w:rPr>
          <w:sz w:val="22"/>
          <w:szCs w:val="22"/>
          <w:u w:val="single"/>
        </w:rPr>
        <w:t>201.50</w:t>
      </w:r>
    </w:p>
    <w:p w14:paraId="7D01E339" w14:textId="19F11B79" w:rsidR="00F111B5" w:rsidRPr="00AC204C" w:rsidRDefault="00F111B5" w:rsidP="00F111B5">
      <w:pPr>
        <w:ind w:left="3607"/>
        <w:rPr>
          <w:sz w:val="22"/>
          <w:szCs w:val="22"/>
        </w:rPr>
      </w:pPr>
      <w:r w:rsidRPr="00AC204C">
        <w:rPr>
          <w:sz w:val="22"/>
          <w:szCs w:val="22"/>
        </w:rPr>
        <w:t xml:space="preserve">          </w:t>
      </w:r>
      <w:r w:rsidR="00AC204C">
        <w:rPr>
          <w:sz w:val="22"/>
          <w:szCs w:val="22"/>
        </w:rPr>
        <w:tab/>
      </w:r>
      <w:r w:rsidRPr="00AC204C">
        <w:rPr>
          <w:sz w:val="22"/>
          <w:szCs w:val="22"/>
        </w:rPr>
        <w:t xml:space="preserve">$ </w:t>
      </w:r>
      <w:r w:rsidR="00AC204C" w:rsidRPr="00AC204C">
        <w:rPr>
          <w:sz w:val="22"/>
          <w:szCs w:val="22"/>
        </w:rPr>
        <w:t>14,403</w:t>
      </w:r>
    </w:p>
    <w:p w14:paraId="4C76FACA" w14:textId="01BFAA2C" w:rsidR="00F111B5" w:rsidRPr="00AC204C" w:rsidRDefault="00B60817" w:rsidP="00AC204C">
      <w:pPr>
        <w:rPr>
          <w:sz w:val="22"/>
          <w:szCs w:val="22"/>
        </w:rPr>
      </w:pPr>
      <w:r>
        <w:rPr>
          <w:sz w:val="22"/>
          <w:szCs w:val="22"/>
        </w:rPr>
        <w:t xml:space="preserve">Overhead and Benefits </w:t>
      </w:r>
      <w:r>
        <w:rPr>
          <w:sz w:val="22"/>
          <w:szCs w:val="22"/>
        </w:rPr>
        <w:tab/>
      </w:r>
      <w:r w:rsidR="00AC204C" w:rsidRPr="00AC204C">
        <w:rPr>
          <w:sz w:val="22"/>
          <w:szCs w:val="22"/>
        </w:rPr>
        <w:tab/>
      </w:r>
      <w:r w:rsidR="00AC204C" w:rsidRPr="00AC204C">
        <w:rPr>
          <w:sz w:val="22"/>
          <w:szCs w:val="22"/>
        </w:rPr>
        <w:tab/>
      </w:r>
      <w:r w:rsidR="00AC204C" w:rsidRPr="00AC204C">
        <w:rPr>
          <w:sz w:val="22"/>
          <w:szCs w:val="22"/>
        </w:rPr>
        <w:tab/>
        <w:t>$28,806</w:t>
      </w:r>
    </w:p>
    <w:p w14:paraId="0B80059B" w14:textId="5C411594" w:rsidR="00F111B5" w:rsidRPr="00AC204C" w:rsidRDefault="00AC204C" w:rsidP="00AC204C">
      <w:pPr>
        <w:rPr>
          <w:sz w:val="22"/>
          <w:szCs w:val="22"/>
        </w:rPr>
      </w:pPr>
      <w:r w:rsidRPr="00AC204C">
        <w:rPr>
          <w:sz w:val="22"/>
          <w:szCs w:val="22"/>
        </w:rPr>
        <w:t>Annual Contract</w:t>
      </w:r>
      <w:r w:rsidRPr="00AC204C">
        <w:rPr>
          <w:sz w:val="22"/>
          <w:szCs w:val="22"/>
        </w:rPr>
        <w:tab/>
      </w:r>
      <w:r w:rsidR="00F111B5" w:rsidRPr="00AC204C">
        <w:rPr>
          <w:sz w:val="22"/>
          <w:szCs w:val="22"/>
        </w:rPr>
        <w:t xml:space="preserve">           </w:t>
      </w:r>
      <w:r w:rsidR="00F111B5" w:rsidRPr="00AC204C">
        <w:rPr>
          <w:sz w:val="22"/>
          <w:szCs w:val="22"/>
        </w:rPr>
        <w:tab/>
      </w:r>
      <w:r w:rsidR="00F111B5" w:rsidRPr="00AC204C">
        <w:rPr>
          <w:sz w:val="22"/>
          <w:szCs w:val="22"/>
        </w:rPr>
        <w:tab/>
      </w:r>
      <w:r w:rsidR="00F111B5" w:rsidRPr="00AC204C">
        <w:rPr>
          <w:sz w:val="22"/>
          <w:szCs w:val="22"/>
        </w:rPr>
        <w:tab/>
        <w:t>$</w:t>
      </w:r>
      <w:r w:rsidRPr="00AC204C">
        <w:rPr>
          <w:sz w:val="22"/>
          <w:szCs w:val="22"/>
          <w:u w:val="single"/>
        </w:rPr>
        <w:t>37,200</w:t>
      </w:r>
    </w:p>
    <w:p w14:paraId="4963C634" w14:textId="31C371A0" w:rsidR="00F111B5" w:rsidRPr="00AC204C" w:rsidRDefault="00F111B5" w:rsidP="00AC204C">
      <w:pPr>
        <w:rPr>
          <w:sz w:val="22"/>
          <w:szCs w:val="22"/>
        </w:rPr>
      </w:pPr>
      <w:r w:rsidRPr="00AC204C">
        <w:rPr>
          <w:sz w:val="22"/>
          <w:szCs w:val="22"/>
        </w:rPr>
        <w:t>Total Cost to Federal Government</w:t>
      </w:r>
      <w:r w:rsidRPr="00AC204C">
        <w:rPr>
          <w:sz w:val="22"/>
          <w:szCs w:val="22"/>
        </w:rPr>
        <w:tab/>
      </w:r>
      <w:r w:rsidRPr="00AC204C">
        <w:rPr>
          <w:sz w:val="22"/>
          <w:szCs w:val="22"/>
        </w:rPr>
        <w:tab/>
        <w:t>$</w:t>
      </w:r>
      <w:r w:rsidR="00AC204C" w:rsidRPr="00AC204C">
        <w:rPr>
          <w:sz w:val="22"/>
          <w:szCs w:val="22"/>
        </w:rPr>
        <w:t>66,006</w:t>
      </w:r>
    </w:p>
    <w:p w14:paraId="0B3DBA99" w14:textId="7F528150" w:rsidR="00F111B5" w:rsidRDefault="00F111B5" w:rsidP="00DD4F63">
      <w:pPr>
        <w:pStyle w:val="ListParagraph"/>
        <w:ind w:left="0"/>
        <w:contextualSpacing/>
      </w:pPr>
    </w:p>
    <w:p w14:paraId="1B37E249" w14:textId="77777777" w:rsidR="00F111B5" w:rsidRDefault="00F111B5" w:rsidP="00DD4F63">
      <w:pPr>
        <w:pStyle w:val="ListParagraph"/>
        <w:ind w:left="0"/>
        <w:contextualSpacing/>
      </w:pPr>
    </w:p>
    <w:p w14:paraId="6EF489F8" w14:textId="77777777" w:rsidR="0037776C" w:rsidRPr="00F303ED" w:rsidRDefault="0037776C" w:rsidP="009D0277">
      <w:pPr>
        <w:pStyle w:val="ListParagraph"/>
        <w:spacing w:before="0" w:after="0"/>
        <w:ind w:left="0"/>
        <w:rPr>
          <w:rStyle w:val="a"/>
        </w:rPr>
      </w:pPr>
    </w:p>
    <w:p w14:paraId="365DDA8B" w14:textId="77777777" w:rsidR="00491FCC" w:rsidRPr="00770C12" w:rsidRDefault="00491FCC" w:rsidP="00D850AF">
      <w:pPr>
        <w:pStyle w:val="ListParagraph"/>
        <w:numPr>
          <w:ilvl w:val="0"/>
          <w:numId w:val="1"/>
        </w:numPr>
        <w:spacing w:before="0" w:after="0"/>
        <w:ind w:left="0"/>
        <w:rPr>
          <w:b/>
          <w:u w:val="single"/>
        </w:rPr>
      </w:pPr>
      <w:r w:rsidRPr="00770C12">
        <w:rPr>
          <w:rFonts w:eastAsiaTheme="minorEastAsia"/>
          <w:b/>
          <w:color w:val="000000" w:themeColor="text1"/>
          <w:kern w:val="24"/>
          <w:u w:val="single"/>
        </w:rPr>
        <w:t>Explanation for Program Changes or Adjustments</w:t>
      </w:r>
    </w:p>
    <w:p w14:paraId="4995CC41" w14:textId="77777777" w:rsidR="00491FCC" w:rsidRDefault="00491FCC" w:rsidP="009D0277">
      <w:pPr>
        <w:pStyle w:val="ListParagraph"/>
        <w:spacing w:before="0" w:after="0"/>
        <w:ind w:left="0"/>
        <w:rPr>
          <w:color w:val="0070C0"/>
        </w:rPr>
      </w:pPr>
    </w:p>
    <w:p w14:paraId="5F9453B3" w14:textId="7B4059EA" w:rsidR="00770C12" w:rsidRDefault="00E31D56" w:rsidP="009D0277">
      <w:pPr>
        <w:pStyle w:val="ListParagraph"/>
        <w:spacing w:before="0" w:after="0"/>
        <w:ind w:left="0"/>
      </w:pPr>
      <w:r>
        <w:t xml:space="preserve">This is a new data collection, there is a program change increase of 10,480 annual burden hours. </w:t>
      </w:r>
    </w:p>
    <w:p w14:paraId="585BD6F0" w14:textId="77777777" w:rsidR="00D850AF" w:rsidRPr="00F303ED" w:rsidRDefault="00D850AF" w:rsidP="009D0277">
      <w:pPr>
        <w:pStyle w:val="ListParagraph"/>
        <w:spacing w:before="0" w:after="0"/>
        <w:ind w:left="0"/>
      </w:pPr>
    </w:p>
    <w:p w14:paraId="56519804" w14:textId="77777777" w:rsidR="00491FCC" w:rsidRPr="00770C12" w:rsidRDefault="00491FCC" w:rsidP="00D850AF">
      <w:pPr>
        <w:pStyle w:val="ListParagraph"/>
        <w:numPr>
          <w:ilvl w:val="0"/>
          <w:numId w:val="1"/>
        </w:numPr>
        <w:spacing w:before="0" w:after="0"/>
        <w:ind w:left="0"/>
        <w:rPr>
          <w:rStyle w:val="a"/>
          <w:b/>
          <w:u w:val="single"/>
        </w:rPr>
      </w:pPr>
      <w:r w:rsidRPr="00770C12">
        <w:rPr>
          <w:b/>
          <w:u w:val="single"/>
        </w:rPr>
        <w:t>Plans for Tabulation and Publication and Project Time Schedule</w:t>
      </w:r>
    </w:p>
    <w:p w14:paraId="1341C1B3" w14:textId="77777777" w:rsidR="00491FCC" w:rsidRPr="00491FCC" w:rsidRDefault="00491FCC" w:rsidP="00491FCC">
      <w:pPr>
        <w:pStyle w:val="ListParagraph"/>
        <w:spacing w:before="0" w:after="0"/>
        <w:ind w:left="0"/>
        <w:rPr>
          <w:rStyle w:val="a"/>
        </w:rPr>
      </w:pPr>
    </w:p>
    <w:p w14:paraId="4DDDF5DB" w14:textId="77777777" w:rsidR="008E3EA3" w:rsidRDefault="00BE082E" w:rsidP="009D0277">
      <w:pPr>
        <w:pStyle w:val="ListParagraph"/>
        <w:spacing w:before="0" w:after="0"/>
        <w:ind w:left="0"/>
      </w:pPr>
      <w:r>
        <w:t xml:space="preserve">Data will be collected monthly for the VDC tool and semi-annually for the NWD MT and will be reviewed </w:t>
      </w:r>
      <w:r w:rsidR="00ED7570">
        <w:t xml:space="preserve">by ACL project officers and </w:t>
      </w:r>
      <w:r w:rsidR="00E44897">
        <w:t xml:space="preserve">contracted </w:t>
      </w:r>
      <w:r w:rsidR="00ED7570">
        <w:t xml:space="preserve">technical assistance liaisons. </w:t>
      </w:r>
    </w:p>
    <w:p w14:paraId="5CB0A740" w14:textId="1F1D9B5D" w:rsidR="00BE082E" w:rsidRDefault="00E44897" w:rsidP="009D0277">
      <w:pPr>
        <w:pStyle w:val="ListParagraph"/>
        <w:spacing w:before="0" w:after="0"/>
        <w:ind w:left="0"/>
      </w:pPr>
      <w:r w:rsidRPr="00154E21">
        <w:t xml:space="preserve">If inconsistencies are noted, </w:t>
      </w:r>
      <w:r>
        <w:t>respondents</w:t>
      </w:r>
      <w:r w:rsidRPr="00154E21">
        <w:t xml:space="preserve"> will be asked to correct and resubmit their </w:t>
      </w:r>
      <w:r>
        <w:t>data</w:t>
      </w:r>
      <w:r w:rsidRPr="00154E21">
        <w:t>. Once all reports are verified, the data</w:t>
      </w:r>
      <w:r>
        <w:t xml:space="preserve"> will be aggregated and reviewed.</w:t>
      </w:r>
    </w:p>
    <w:p w14:paraId="000D1713" w14:textId="77777777" w:rsidR="00DC2D35" w:rsidRDefault="00DC2D35" w:rsidP="009D0277">
      <w:pPr>
        <w:pStyle w:val="ListParagraph"/>
        <w:spacing w:before="0" w:after="0"/>
        <w:ind w:left="0"/>
      </w:pPr>
    </w:p>
    <w:p w14:paraId="113AD8B2" w14:textId="22B4CA92" w:rsidR="00F36993" w:rsidRDefault="00F36993" w:rsidP="009D0277">
      <w:pPr>
        <w:pStyle w:val="ListParagraph"/>
        <w:spacing w:before="0" w:after="0"/>
        <w:ind w:left="0"/>
        <w:rPr>
          <w:rStyle w:val="a"/>
          <w:color w:val="0070C0"/>
        </w:rPr>
      </w:pPr>
      <w:r>
        <w:t>ACL will provide</w:t>
      </w:r>
      <w:r w:rsidRPr="00154E21">
        <w:t xml:space="preserve"> </w:t>
      </w:r>
      <w:r>
        <w:t>respondents</w:t>
      </w:r>
      <w:r w:rsidRPr="00154E21">
        <w:t xml:space="preserve"> access to the data in charts, graphs, and other summaries depic</w:t>
      </w:r>
      <w:r>
        <w:t>ting the national data and each respondent</w:t>
      </w:r>
      <w:r w:rsidRPr="00154E21">
        <w:t>’s data.</w:t>
      </w:r>
      <w:r w:rsidR="00ED7570">
        <w:t xml:space="preserve"> Aggregate summary data </w:t>
      </w:r>
      <w:r w:rsidR="00B20341">
        <w:t xml:space="preserve">will </w:t>
      </w:r>
      <w:r w:rsidR="00ED7570">
        <w:t>be posted publically on ACL’s NWD website</w:t>
      </w:r>
      <w:r w:rsidR="00B20341">
        <w:t xml:space="preserve"> to inform states and stakeholders about national data.</w:t>
      </w:r>
      <w:r w:rsidR="00E44897">
        <w:t xml:space="preserve"> </w:t>
      </w:r>
      <w:r w:rsidR="00B20341">
        <w:t xml:space="preserve">Data may also be </w:t>
      </w:r>
      <w:r w:rsidR="008C6229">
        <w:t>used in</w:t>
      </w:r>
      <w:r w:rsidR="00E44897">
        <w:t xml:space="preserve"> future funding opportunity announcements. </w:t>
      </w:r>
    </w:p>
    <w:p w14:paraId="1997DF43" w14:textId="77777777" w:rsidR="00F36993" w:rsidRDefault="00F36993" w:rsidP="009D0277">
      <w:pPr>
        <w:pStyle w:val="ListParagraph"/>
        <w:spacing w:before="0" w:after="0"/>
        <w:ind w:left="0"/>
        <w:rPr>
          <w:rStyle w:val="a"/>
          <w:color w:val="0070C0"/>
        </w:rPr>
      </w:pPr>
    </w:p>
    <w:p w14:paraId="725CD01E" w14:textId="77777777" w:rsidR="00A7551D" w:rsidRDefault="00C814D7" w:rsidP="009D0277">
      <w:pPr>
        <w:pStyle w:val="ListParagraph"/>
        <w:spacing w:before="0" w:after="0"/>
        <w:ind w:left="0"/>
        <w:rPr>
          <w:rStyle w:val="a"/>
        </w:rPr>
      </w:pPr>
      <w:r>
        <w:rPr>
          <w:rStyle w:val="a"/>
        </w:rPr>
        <w:t xml:space="preserve">  </w:t>
      </w:r>
    </w:p>
    <w:p w14:paraId="32C2141A" w14:textId="77777777" w:rsidR="00613407" w:rsidRDefault="00613407" w:rsidP="00613407">
      <w:pPr>
        <w:pStyle w:val="ListParagraph"/>
        <w:spacing w:before="0" w:after="0"/>
        <w:ind w:left="0"/>
        <w:rPr>
          <w:rStyle w:val="a"/>
          <w:b/>
          <w:u w:val="single"/>
        </w:rPr>
      </w:pPr>
    </w:p>
    <w:p w14:paraId="6DA9012E" w14:textId="3A7B99A5" w:rsidR="00B83FB3" w:rsidRPr="00770C12" w:rsidRDefault="00386054" w:rsidP="00D850AF">
      <w:pPr>
        <w:pStyle w:val="ListParagraph"/>
        <w:numPr>
          <w:ilvl w:val="0"/>
          <w:numId w:val="1"/>
        </w:numPr>
        <w:spacing w:before="0" w:after="0"/>
        <w:ind w:left="0"/>
        <w:rPr>
          <w:rStyle w:val="a"/>
          <w:b/>
          <w:u w:val="single"/>
        </w:rPr>
      </w:pPr>
      <w:r w:rsidRPr="00770C12">
        <w:rPr>
          <w:rStyle w:val="a"/>
          <w:b/>
          <w:u w:val="single"/>
        </w:rPr>
        <w:t>If seeking approval to not display the expiration date for OMB approval of the information collection, explain the reasons that display would be inappropriate.</w:t>
      </w:r>
    </w:p>
    <w:p w14:paraId="079F3A46" w14:textId="77777777" w:rsidR="00770C12" w:rsidRDefault="00770C12" w:rsidP="009D0277">
      <w:pPr>
        <w:pStyle w:val="ListParagraph"/>
        <w:spacing w:before="0" w:after="0"/>
        <w:ind w:left="0"/>
        <w:rPr>
          <w:rStyle w:val="a"/>
        </w:rPr>
      </w:pPr>
    </w:p>
    <w:p w14:paraId="028B4CF3" w14:textId="77777777" w:rsidR="00D850AF" w:rsidRDefault="00770C12" w:rsidP="009D0277">
      <w:pPr>
        <w:pStyle w:val="ListParagraph"/>
        <w:spacing w:before="0" w:after="0"/>
        <w:ind w:left="0"/>
        <w:rPr>
          <w:rStyle w:val="a"/>
        </w:rPr>
      </w:pPr>
      <w:r>
        <w:rPr>
          <w:rStyle w:val="a"/>
        </w:rPr>
        <w:t>Not applicable</w:t>
      </w:r>
      <w:r w:rsidR="007D36A1">
        <w:t>.</w:t>
      </w:r>
    </w:p>
    <w:p w14:paraId="3513BEA0" w14:textId="77777777" w:rsidR="00D850AF" w:rsidRPr="00D850AF" w:rsidRDefault="00D850AF" w:rsidP="009D0277">
      <w:pPr>
        <w:pStyle w:val="ListParagraph"/>
        <w:spacing w:before="0" w:after="0"/>
        <w:ind w:left="0"/>
        <w:rPr>
          <w:rStyle w:val="a"/>
        </w:rPr>
      </w:pPr>
    </w:p>
    <w:p w14:paraId="5184CA61" w14:textId="77777777" w:rsidR="00D920EB" w:rsidRPr="00770C12" w:rsidRDefault="00D920EB" w:rsidP="00D850AF">
      <w:pPr>
        <w:pStyle w:val="ListParagraph"/>
        <w:numPr>
          <w:ilvl w:val="0"/>
          <w:numId w:val="1"/>
        </w:numPr>
        <w:spacing w:before="0" w:after="0"/>
        <w:ind w:left="0"/>
        <w:rPr>
          <w:rStyle w:val="a"/>
          <w:b/>
          <w:u w:val="single"/>
        </w:rPr>
      </w:pPr>
      <w:r w:rsidRPr="00770C12">
        <w:rPr>
          <w:rFonts w:eastAsiaTheme="minorEastAsia"/>
          <w:b/>
          <w:color w:val="000000" w:themeColor="text1"/>
          <w:kern w:val="24"/>
          <w:u w:val="single"/>
        </w:rPr>
        <w:t>Exceptions to Certification for Paperwork Reduction Act Submissions</w:t>
      </w:r>
    </w:p>
    <w:p w14:paraId="6E54DC4D" w14:textId="77777777" w:rsidR="00D850AF" w:rsidRDefault="00D850AF" w:rsidP="009D0277">
      <w:pPr>
        <w:pStyle w:val="ListParagraph"/>
        <w:spacing w:before="0" w:after="0"/>
        <w:ind w:left="0"/>
        <w:rPr>
          <w:color w:val="0070C0"/>
        </w:rPr>
      </w:pPr>
    </w:p>
    <w:p w14:paraId="489479D9" w14:textId="77777777" w:rsidR="00D850AF" w:rsidRPr="00D850AF" w:rsidRDefault="00D850AF" w:rsidP="009D0277">
      <w:pPr>
        <w:pStyle w:val="ListParagraph"/>
        <w:spacing w:before="0" w:after="0"/>
        <w:ind w:left="0"/>
      </w:pPr>
      <w:r w:rsidRPr="00D850AF">
        <w:t>There are no exceptions to the certification statement.</w:t>
      </w:r>
    </w:p>
    <w:sectPr w:rsidR="00D850AF" w:rsidRPr="00D850AF" w:rsidSect="00744573">
      <w:footerReference w:type="default" r:id="rId14"/>
      <w:endnotePr>
        <w:numFmt w:val="decimal"/>
      </w:endnotePr>
      <w:type w:val="continuous"/>
      <w:pgSz w:w="12240" w:h="15840" w:code="1"/>
      <w:pgMar w:top="1440" w:right="1440" w:bottom="1440" w:left="1440" w:header="576" w:footer="70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A98F72" w14:textId="77777777" w:rsidR="00C93216" w:rsidRDefault="00C93216">
      <w:pPr>
        <w:spacing w:line="20" w:lineRule="exact"/>
      </w:pPr>
    </w:p>
  </w:endnote>
  <w:endnote w:type="continuationSeparator" w:id="0">
    <w:p w14:paraId="79B12BED" w14:textId="77777777" w:rsidR="00C93216" w:rsidRDefault="00C93216">
      <w:r>
        <w:t xml:space="preserve"> </w:t>
      </w:r>
    </w:p>
  </w:endnote>
  <w:endnote w:type="continuationNotice" w:id="1">
    <w:p w14:paraId="1AE28CE6" w14:textId="77777777" w:rsidR="00C93216" w:rsidRDefault="00C9321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07AF1" w14:textId="77777777" w:rsidR="004A6561" w:rsidRDefault="004A6561">
    <w:pPr>
      <w:tabs>
        <w:tab w:val="left" w:pos="0"/>
      </w:tabs>
      <w:suppressAutoHyphens/>
    </w:pPr>
    <w:r>
      <w:rPr>
        <w:noProof/>
      </w:rPr>
      <mc:AlternateContent>
        <mc:Choice Requires="wps">
          <w:drawing>
            <wp:anchor distT="0" distB="0" distL="114300" distR="114300" simplePos="0" relativeHeight="251657728" behindDoc="1" locked="0" layoutInCell="0" allowOverlap="1" wp14:anchorId="679092A7" wp14:editId="30570136">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F7A126B" w14:textId="672F3CDF" w:rsidR="004A6561" w:rsidRDefault="004A6561" w:rsidP="00431228">
                          <w:pPr>
                            <w:tabs>
                              <w:tab w:val="center" w:pos="4650"/>
                            </w:tabs>
                            <w:suppressAutoHyphens/>
                            <w:jc w:val="center"/>
                          </w:pPr>
                          <w:r>
                            <w:fldChar w:fldCharType="begin"/>
                          </w:r>
                          <w:r>
                            <w:instrText>page \* arabic</w:instrText>
                          </w:r>
                          <w:r>
                            <w:fldChar w:fldCharType="separate"/>
                          </w:r>
                          <w:r w:rsidR="002A5A9E">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4F7A126B" w14:textId="672F3CDF" w:rsidR="004A6561" w:rsidRDefault="004A6561" w:rsidP="00431228">
                    <w:pPr>
                      <w:tabs>
                        <w:tab w:val="center" w:pos="4650"/>
                      </w:tabs>
                      <w:suppressAutoHyphens/>
                      <w:jc w:val="center"/>
                    </w:pPr>
                    <w:r>
                      <w:fldChar w:fldCharType="begin"/>
                    </w:r>
                    <w:r>
                      <w:instrText>page \* arabic</w:instrText>
                    </w:r>
                    <w:r>
                      <w:fldChar w:fldCharType="separate"/>
                    </w:r>
                    <w:r w:rsidR="002A5A9E">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B18DF5" w14:textId="77777777" w:rsidR="00C93216" w:rsidRDefault="00C93216">
      <w:r>
        <w:separator/>
      </w:r>
    </w:p>
  </w:footnote>
  <w:footnote w:type="continuationSeparator" w:id="0">
    <w:p w14:paraId="2E6DE570" w14:textId="77777777" w:rsidR="00C93216" w:rsidRDefault="00C93216">
      <w:r>
        <w:continuationSeparator/>
      </w:r>
    </w:p>
  </w:footnote>
  <w:footnote w:id="1">
    <w:p w14:paraId="14D647B7" w14:textId="77777777" w:rsidR="00DF46EB" w:rsidRDefault="00DF46EB" w:rsidP="00DF46EB">
      <w:pPr>
        <w:pStyle w:val="FootnoteText"/>
      </w:pPr>
      <w:r>
        <w:rPr>
          <w:rStyle w:val="FootnoteReference"/>
        </w:rPr>
        <w:footnoteRef/>
      </w:r>
      <w:r w:rsidRPr="00F42C24">
        <w:rPr>
          <w:rFonts w:ascii="Tahoma" w:hAnsi="Tahoma" w:cs="Tahoma"/>
          <w:sz w:val="16"/>
        </w:rPr>
        <w:t xml:space="preserve"> Key Elements of a No Wrong Door (NWD) System of Access to LTSS for All Populations and Payers: https://nwd.acl.gov/pdf/NWD-National-Elements.pdf</w:t>
      </w:r>
    </w:p>
  </w:footnote>
  <w:footnote w:id="2">
    <w:p w14:paraId="7B89FBD0" w14:textId="77777777" w:rsidR="00DF46EB" w:rsidRDefault="00DF46EB" w:rsidP="00DF46EB">
      <w:pPr>
        <w:pStyle w:val="FootnoteText"/>
      </w:pPr>
      <w:r>
        <w:rPr>
          <w:rStyle w:val="FootnoteReference"/>
        </w:rPr>
        <w:footnoteRef/>
      </w:r>
      <w:r>
        <w:t xml:space="preserve"> </w:t>
      </w:r>
      <w:r w:rsidRPr="00A003EE">
        <w:rPr>
          <w:rFonts w:ascii="Tahoma" w:hAnsi="Tahoma" w:cs="Tahoma"/>
          <w:sz w:val="16"/>
        </w:rPr>
        <w:t>AARP. (June 2017). Picking Up the Pace of Change, 2017: A State Scorecard on Long-Term Services and Supports for Older Adults, People with Physical Disabilities, and Family Caregivers. Retrieved from http://www.longtermscorecard.org/2017-scorecard</w:t>
      </w:r>
    </w:p>
  </w:footnote>
  <w:footnote w:id="3">
    <w:p w14:paraId="778E4D93" w14:textId="77777777" w:rsidR="00DF46EB" w:rsidRPr="00A003EE" w:rsidRDefault="00DF46EB" w:rsidP="00DF46EB">
      <w:pPr>
        <w:pStyle w:val="FootnoteText"/>
        <w:rPr>
          <w:rFonts w:ascii="Tahoma" w:hAnsi="Tahoma" w:cs="Tahoma"/>
        </w:rPr>
      </w:pPr>
      <w:r w:rsidRPr="00D67B1E">
        <w:rPr>
          <w:rStyle w:val="FootnoteReference"/>
        </w:rPr>
        <w:footnoteRef/>
      </w:r>
      <w:r w:rsidRPr="00D67B1E">
        <w:rPr>
          <w:rFonts w:ascii="Courier New" w:hAnsi="Courier New" w:cs="Courier New"/>
        </w:rPr>
        <w:t xml:space="preserve"> </w:t>
      </w:r>
      <w:r w:rsidRPr="00A003EE">
        <w:rPr>
          <w:rFonts w:ascii="Tahoma" w:hAnsi="Tahoma" w:cs="Tahoma"/>
          <w:sz w:val="16"/>
        </w:rPr>
        <w:t>Fox-Grage, W., and Neill Bowen, C., (2017). No Wrong Door: Person- and Family-Centered Practices in Long-Term Services and Supports. Retrieved from http://www.longtermscorecard.org/~/media/Microsite/Files/2017/AARP_PromisingPrac_NoWrongDoor.pdf</w:t>
      </w:r>
    </w:p>
  </w:footnote>
  <w:footnote w:id="4">
    <w:p w14:paraId="2942F9B7" w14:textId="77777777" w:rsidR="00DF46EB" w:rsidRPr="00D67B1E" w:rsidRDefault="00DF46EB" w:rsidP="00DF46EB">
      <w:pPr>
        <w:pStyle w:val="FootnoteText"/>
        <w:rPr>
          <w:rFonts w:ascii="Tahoma" w:hAnsi="Tahoma" w:cs="Tahoma"/>
          <w:sz w:val="16"/>
          <w:szCs w:val="16"/>
        </w:rPr>
      </w:pPr>
      <w:r w:rsidRPr="00D67B1E">
        <w:rPr>
          <w:rStyle w:val="FootnoteReference"/>
        </w:rPr>
        <w:footnoteRef/>
      </w:r>
      <w:r w:rsidRPr="00D67B1E">
        <w:rPr>
          <w:rStyle w:val="FootnoteReference"/>
        </w:rPr>
        <w:t xml:space="preserve"> </w:t>
      </w:r>
      <w:r w:rsidRPr="00D67B1E">
        <w:rPr>
          <w:rFonts w:ascii="Tahoma" w:hAnsi="Tahoma" w:cs="Tahoma"/>
          <w:sz w:val="16"/>
          <w:szCs w:val="16"/>
        </w:rPr>
        <w:t>Stewart., K., and Irvin, C.V. (2018). Does Early Use of Community-Based Long-Term Services and Supports Lead to Less Use of Institutional Care? Retrieved from https://www.medicaid.gov/medicaid/ltss/downloads/money-follows-the-person/hcbsasadiversiontoiltc.pdf</w:t>
      </w:r>
    </w:p>
  </w:footnote>
  <w:footnote w:id="5">
    <w:p w14:paraId="097297F5" w14:textId="77777777" w:rsidR="00B17F11" w:rsidRDefault="00B17F11">
      <w:pPr>
        <w:pStyle w:val="FootnoteText"/>
      </w:pPr>
      <w:r>
        <w:rPr>
          <w:rStyle w:val="FootnoteReference"/>
        </w:rPr>
        <w:footnoteRef/>
      </w:r>
      <w:r>
        <w:rPr>
          <w:rFonts w:ascii="Tahoma" w:hAnsi="Tahoma" w:cs="Tahoma"/>
          <w:sz w:val="16"/>
          <w:szCs w:val="16"/>
        </w:rPr>
        <w:t xml:space="preserve">Government Publishing Office, Public Law 109-365, October 17, 2006: Older Americans Act Amendments of 2006. </w:t>
      </w:r>
      <w:r w:rsidRPr="00B17F11">
        <w:rPr>
          <w:rFonts w:ascii="Tahoma" w:hAnsi="Tahoma" w:cs="Tahoma"/>
          <w:sz w:val="16"/>
          <w:szCs w:val="16"/>
        </w:rPr>
        <w:t xml:space="preserve"> </w:t>
      </w:r>
      <w:r w:rsidRPr="00B17F11">
        <w:rPr>
          <w:rStyle w:val="Hyperlink"/>
          <w:rFonts w:ascii="Tahoma" w:hAnsi="Tahoma" w:cs="Tahoma"/>
          <w:sz w:val="16"/>
          <w:szCs w:val="16"/>
        </w:rPr>
        <w:t>https://www.gpo.gov/fdsys/pkg/PLAW-109publ365/pdf/PLAW-109publ365.pdf</w:t>
      </w:r>
    </w:p>
  </w:footnote>
  <w:footnote w:id="6">
    <w:p w14:paraId="0C3C4782" w14:textId="77777777" w:rsidR="00B17F11" w:rsidRDefault="00B17F11" w:rsidP="00B17F11">
      <w:pPr>
        <w:pStyle w:val="FootnoteText"/>
      </w:pPr>
      <w:r>
        <w:rPr>
          <w:rStyle w:val="FootnoteReference"/>
        </w:rPr>
        <w:footnoteRef/>
      </w:r>
      <w:r w:rsidRPr="00B17F11">
        <w:rPr>
          <w:rFonts w:ascii="Tahoma" w:hAnsi="Tahoma" w:cs="Tahoma"/>
          <w:sz w:val="16"/>
          <w:szCs w:val="16"/>
        </w:rPr>
        <w:t xml:space="preserve"> G</w:t>
      </w:r>
      <w:r>
        <w:rPr>
          <w:rFonts w:ascii="Tahoma" w:hAnsi="Tahoma" w:cs="Tahoma"/>
          <w:sz w:val="16"/>
          <w:szCs w:val="16"/>
        </w:rPr>
        <w:t xml:space="preserve">overnment Publishing Office, Public Law 111-352, January 4, 2011: </w:t>
      </w:r>
      <w:r w:rsidRPr="00B17F11">
        <w:rPr>
          <w:rFonts w:ascii="Tahoma" w:hAnsi="Tahoma" w:cs="Tahoma"/>
          <w:sz w:val="16"/>
        </w:rPr>
        <w:t>https://www.gpo.gov/fdsys/pkg/PLAW-111publ352/pdf/PLAW-111publ352.pdf</w:t>
      </w:r>
    </w:p>
  </w:footnote>
  <w:footnote w:id="7">
    <w:p w14:paraId="3EE993CA" w14:textId="77777777" w:rsidR="00E31D56" w:rsidRDefault="00E31D56" w:rsidP="00E31D56">
      <w:pPr>
        <w:pStyle w:val="FootnoteText"/>
      </w:pPr>
      <w:r>
        <w:rPr>
          <w:rStyle w:val="FootnoteReference"/>
        </w:rPr>
        <w:footnoteRef/>
      </w:r>
      <w:r>
        <w:t xml:space="preserve"> </w:t>
      </w:r>
      <w:r w:rsidRPr="000F4F10">
        <w:rPr>
          <w:rFonts w:ascii="Tahoma" w:hAnsi="Tahoma" w:cs="Tahoma"/>
          <w:color w:val="333333"/>
          <w:sz w:val="16"/>
          <w:szCs w:val="16"/>
        </w:rPr>
        <w:t xml:space="preserve">Bureau of Labor Statistics, U.S. Department of Labor, </w:t>
      </w:r>
      <w:r w:rsidRPr="004A6561">
        <w:rPr>
          <w:rStyle w:val="HTMLCite"/>
          <w:rFonts w:ascii="Tahoma" w:hAnsi="Tahoma" w:cs="Tahoma"/>
          <w:i w:val="0"/>
          <w:color w:val="333333"/>
          <w:sz w:val="16"/>
          <w:szCs w:val="16"/>
        </w:rPr>
        <w:t>Occupational Employment Statistics</w:t>
      </w:r>
      <w:r w:rsidRPr="004A6561">
        <w:rPr>
          <w:rFonts w:ascii="Tahoma" w:hAnsi="Tahoma" w:cs="Tahoma"/>
          <w:i/>
          <w:color w:val="333333"/>
          <w:sz w:val="16"/>
          <w:szCs w:val="16"/>
        </w:rPr>
        <w:t>,</w:t>
      </w:r>
      <w:r w:rsidRPr="000F4F10">
        <w:rPr>
          <w:rFonts w:ascii="Tahoma" w:hAnsi="Tahoma" w:cs="Tahoma"/>
          <w:color w:val="333333"/>
          <w:sz w:val="16"/>
          <w:szCs w:val="16"/>
        </w:rPr>
        <w:t xml:space="preserve"> </w:t>
      </w:r>
      <w:r>
        <w:rPr>
          <w:rFonts w:ascii="Tahoma" w:hAnsi="Tahoma" w:cs="Tahoma"/>
          <w:color w:val="333333"/>
          <w:sz w:val="16"/>
          <w:szCs w:val="16"/>
        </w:rPr>
        <w:t xml:space="preserve">Social and </w:t>
      </w:r>
      <w:r w:rsidRPr="000F4F10">
        <w:rPr>
          <w:rFonts w:ascii="Tahoma" w:hAnsi="Tahoma" w:cs="Tahoma"/>
          <w:color w:val="333333"/>
          <w:sz w:val="16"/>
          <w:szCs w:val="16"/>
        </w:rPr>
        <w:t xml:space="preserve">Community </w:t>
      </w:r>
      <w:r>
        <w:rPr>
          <w:rFonts w:ascii="Tahoma" w:hAnsi="Tahoma" w:cs="Tahoma"/>
          <w:color w:val="333333"/>
          <w:sz w:val="16"/>
          <w:szCs w:val="16"/>
        </w:rPr>
        <w:t>Service Managers.</w:t>
      </w:r>
      <w:r w:rsidRPr="000F4F10">
        <w:rPr>
          <w:rFonts w:ascii="Tahoma" w:hAnsi="Tahoma" w:cs="Tahoma"/>
          <w:color w:val="333333"/>
          <w:sz w:val="16"/>
          <w:szCs w:val="16"/>
        </w:rPr>
        <w:t xml:space="preserve"> Hourly wage of $</w:t>
      </w:r>
      <w:r>
        <w:rPr>
          <w:rFonts w:ascii="Tahoma" w:hAnsi="Tahoma" w:cs="Tahoma"/>
          <w:color w:val="333333"/>
          <w:sz w:val="16"/>
          <w:szCs w:val="16"/>
        </w:rPr>
        <w:t>33.91</w:t>
      </w:r>
      <w:r w:rsidRPr="000F4F10">
        <w:rPr>
          <w:rFonts w:ascii="Tahoma" w:hAnsi="Tahoma" w:cs="Tahoma"/>
          <w:color w:val="333333"/>
          <w:sz w:val="16"/>
          <w:szCs w:val="16"/>
        </w:rPr>
        <w:t>, plus a factor of 100% ($</w:t>
      </w:r>
      <w:r>
        <w:rPr>
          <w:rFonts w:ascii="Tahoma" w:hAnsi="Tahoma" w:cs="Tahoma"/>
          <w:color w:val="333333"/>
          <w:sz w:val="16"/>
          <w:szCs w:val="16"/>
        </w:rPr>
        <w:t>33.91</w:t>
      </w:r>
      <w:r w:rsidRPr="000F4F10">
        <w:rPr>
          <w:rFonts w:ascii="Tahoma" w:hAnsi="Tahoma" w:cs="Tahoma"/>
          <w:color w:val="333333"/>
          <w:sz w:val="16"/>
          <w:szCs w:val="16"/>
        </w:rPr>
        <w:t xml:space="preserve">) to account for benefits and overhead. Wage information available at: </w:t>
      </w:r>
      <w:r w:rsidRPr="004A6561">
        <w:rPr>
          <w:rFonts w:ascii="Tahoma" w:hAnsi="Tahoma" w:cs="Tahoma"/>
          <w:color w:val="003399"/>
          <w:sz w:val="16"/>
          <w:szCs w:val="16"/>
          <w:u w:val="single"/>
        </w:rPr>
        <w:t>https://www.bls.gov/oes/current/oes119151.htm</w:t>
      </w:r>
      <w:r w:rsidRPr="000F4F10">
        <w:rPr>
          <w:rFonts w:ascii="Tahoma" w:hAnsi="Tahoma" w:cs="Tahoma"/>
          <w:color w:val="333333"/>
          <w:sz w:val="16"/>
          <w:szCs w:val="16"/>
        </w:rPr>
        <w:t xml:space="preserve"> (visited </w:t>
      </w:r>
      <w:r w:rsidRPr="000F4F10">
        <w:rPr>
          <w:rStyle w:val="Emphasis"/>
          <w:rFonts w:ascii="Tahoma" w:hAnsi="Tahoma" w:cs="Tahoma"/>
          <w:color w:val="333333"/>
          <w:sz w:val="16"/>
          <w:szCs w:val="16"/>
        </w:rPr>
        <w:t>December 0</w:t>
      </w:r>
      <w:r>
        <w:rPr>
          <w:rStyle w:val="Emphasis"/>
          <w:rFonts w:ascii="Tahoma" w:hAnsi="Tahoma" w:cs="Tahoma"/>
          <w:color w:val="333333"/>
          <w:sz w:val="16"/>
          <w:szCs w:val="16"/>
        </w:rPr>
        <w:t>5</w:t>
      </w:r>
      <w:r w:rsidRPr="000F4F10">
        <w:rPr>
          <w:rStyle w:val="Emphasis"/>
          <w:rFonts w:ascii="Tahoma" w:hAnsi="Tahoma" w:cs="Tahoma"/>
          <w:color w:val="333333"/>
          <w:sz w:val="16"/>
          <w:szCs w:val="16"/>
        </w:rPr>
        <w:t>, 201</w:t>
      </w:r>
      <w:r>
        <w:rPr>
          <w:rStyle w:val="Emphasis"/>
          <w:rFonts w:ascii="Tahoma" w:hAnsi="Tahoma" w:cs="Tahoma"/>
          <w:color w:val="333333"/>
          <w:sz w:val="16"/>
          <w:szCs w:val="16"/>
        </w:rPr>
        <w:t>8</w:t>
      </w:r>
      <w:r w:rsidRPr="000F4F10">
        <w:rPr>
          <w:rFonts w:ascii="Tahoma" w:hAnsi="Tahoma" w:cs="Tahoma"/>
          <w:color w:val="333333"/>
          <w:sz w:val="16"/>
          <w:szCs w:val="16"/>
        </w:rPr>
        <w:t>).</w:t>
      </w:r>
    </w:p>
  </w:footnote>
  <w:footnote w:id="8">
    <w:p w14:paraId="21D77A3C" w14:textId="77777777" w:rsidR="00E31D56" w:rsidRDefault="00E31D56" w:rsidP="00E31D56">
      <w:pPr>
        <w:pStyle w:val="FootnoteText"/>
      </w:pPr>
      <w:r>
        <w:rPr>
          <w:rStyle w:val="FootnoteReference"/>
        </w:rPr>
        <w:footnoteRef/>
      </w:r>
      <w:r>
        <w:t xml:space="preserve"> </w:t>
      </w:r>
      <w:r w:rsidRPr="000F4F10">
        <w:rPr>
          <w:rFonts w:ascii="Tahoma" w:hAnsi="Tahoma" w:cs="Tahoma"/>
          <w:color w:val="333333"/>
          <w:sz w:val="16"/>
          <w:szCs w:val="16"/>
        </w:rPr>
        <w:t xml:space="preserve">Bureau of Labor Statistics, U.S. Department of Labor, </w:t>
      </w:r>
      <w:r w:rsidRPr="004A6561">
        <w:rPr>
          <w:rStyle w:val="HTMLCite"/>
          <w:rFonts w:ascii="Tahoma" w:hAnsi="Tahoma" w:cs="Tahoma"/>
          <w:i w:val="0"/>
          <w:color w:val="333333"/>
          <w:sz w:val="16"/>
          <w:szCs w:val="16"/>
        </w:rPr>
        <w:t>Occupational Employment Statistics</w:t>
      </w:r>
      <w:r w:rsidRPr="004A6561">
        <w:rPr>
          <w:rFonts w:ascii="Tahoma" w:hAnsi="Tahoma" w:cs="Tahoma"/>
          <w:i/>
          <w:color w:val="333333"/>
          <w:sz w:val="16"/>
          <w:szCs w:val="16"/>
        </w:rPr>
        <w:t>,</w:t>
      </w:r>
      <w:r w:rsidRPr="000F4F10">
        <w:rPr>
          <w:rFonts w:ascii="Tahoma" w:hAnsi="Tahoma" w:cs="Tahoma"/>
          <w:color w:val="333333"/>
          <w:sz w:val="16"/>
          <w:szCs w:val="16"/>
        </w:rPr>
        <w:t xml:space="preserve"> Community </w:t>
      </w:r>
      <w:r>
        <w:rPr>
          <w:rFonts w:ascii="Tahoma" w:hAnsi="Tahoma" w:cs="Tahoma"/>
          <w:color w:val="333333"/>
          <w:sz w:val="16"/>
          <w:szCs w:val="16"/>
        </w:rPr>
        <w:t>and Social Service Specialists.</w:t>
      </w:r>
      <w:r w:rsidRPr="000F4F10">
        <w:rPr>
          <w:rFonts w:ascii="Tahoma" w:hAnsi="Tahoma" w:cs="Tahoma"/>
          <w:color w:val="333333"/>
          <w:sz w:val="16"/>
          <w:szCs w:val="16"/>
        </w:rPr>
        <w:t xml:space="preserve"> Hourly wage of $21.</w:t>
      </w:r>
      <w:r>
        <w:rPr>
          <w:rFonts w:ascii="Tahoma" w:hAnsi="Tahoma" w:cs="Tahoma"/>
          <w:color w:val="333333"/>
          <w:sz w:val="16"/>
          <w:szCs w:val="16"/>
        </w:rPr>
        <w:t>53</w:t>
      </w:r>
      <w:r w:rsidRPr="000F4F10">
        <w:rPr>
          <w:rFonts w:ascii="Tahoma" w:hAnsi="Tahoma" w:cs="Tahoma"/>
          <w:color w:val="333333"/>
          <w:sz w:val="16"/>
          <w:szCs w:val="16"/>
        </w:rPr>
        <w:t>, plus a factor of 100% ($21.</w:t>
      </w:r>
      <w:r>
        <w:rPr>
          <w:rFonts w:ascii="Tahoma" w:hAnsi="Tahoma" w:cs="Tahoma"/>
          <w:color w:val="333333"/>
          <w:sz w:val="16"/>
          <w:szCs w:val="16"/>
        </w:rPr>
        <w:t>53</w:t>
      </w:r>
      <w:r w:rsidRPr="000F4F10">
        <w:rPr>
          <w:rFonts w:ascii="Tahoma" w:hAnsi="Tahoma" w:cs="Tahoma"/>
          <w:color w:val="333333"/>
          <w:sz w:val="16"/>
          <w:szCs w:val="16"/>
        </w:rPr>
        <w:t xml:space="preserve">) to account for benefits and overhead. Wage information available at: </w:t>
      </w:r>
      <w:r w:rsidRPr="004A6561">
        <w:rPr>
          <w:rFonts w:ascii="Tahoma" w:hAnsi="Tahoma" w:cs="Tahoma"/>
          <w:color w:val="003399"/>
          <w:sz w:val="16"/>
          <w:szCs w:val="16"/>
          <w:u w:val="single"/>
        </w:rPr>
        <w:t>https://www.bls.gov/oes/current/oes211099.htm</w:t>
      </w:r>
      <w:r w:rsidRPr="000F4F10">
        <w:rPr>
          <w:rFonts w:ascii="Tahoma" w:hAnsi="Tahoma" w:cs="Tahoma"/>
          <w:color w:val="333333"/>
          <w:sz w:val="16"/>
          <w:szCs w:val="16"/>
        </w:rPr>
        <w:t xml:space="preserve"> (visited </w:t>
      </w:r>
      <w:r w:rsidRPr="000F4F10">
        <w:rPr>
          <w:rStyle w:val="Emphasis"/>
          <w:rFonts w:ascii="Tahoma" w:hAnsi="Tahoma" w:cs="Tahoma"/>
          <w:color w:val="333333"/>
          <w:sz w:val="16"/>
          <w:szCs w:val="16"/>
        </w:rPr>
        <w:t>December 0</w:t>
      </w:r>
      <w:r>
        <w:rPr>
          <w:rStyle w:val="Emphasis"/>
          <w:rFonts w:ascii="Tahoma" w:hAnsi="Tahoma" w:cs="Tahoma"/>
          <w:color w:val="333333"/>
          <w:sz w:val="16"/>
          <w:szCs w:val="16"/>
        </w:rPr>
        <w:t>5</w:t>
      </w:r>
      <w:r w:rsidRPr="000F4F10">
        <w:rPr>
          <w:rStyle w:val="Emphasis"/>
          <w:rFonts w:ascii="Tahoma" w:hAnsi="Tahoma" w:cs="Tahoma"/>
          <w:color w:val="333333"/>
          <w:sz w:val="16"/>
          <w:szCs w:val="16"/>
        </w:rPr>
        <w:t>, 201</w:t>
      </w:r>
      <w:r>
        <w:rPr>
          <w:rStyle w:val="Emphasis"/>
          <w:rFonts w:ascii="Tahoma" w:hAnsi="Tahoma" w:cs="Tahoma"/>
          <w:color w:val="333333"/>
          <w:sz w:val="16"/>
          <w:szCs w:val="16"/>
        </w:rPr>
        <w:t>8</w:t>
      </w:r>
      <w:r w:rsidRPr="000F4F10">
        <w:rPr>
          <w:rFonts w:ascii="Tahoma" w:hAnsi="Tahoma" w:cs="Tahoma"/>
          <w:color w:val="333333"/>
          <w:sz w:val="16"/>
          <w:szCs w:val="16"/>
        </w:rPr>
        <w:t>).</w:t>
      </w:r>
    </w:p>
  </w:footnote>
  <w:footnote w:id="9">
    <w:p w14:paraId="62791F12" w14:textId="77777777" w:rsidR="00E31D56" w:rsidRDefault="00E31D56" w:rsidP="00E31D56">
      <w:pPr>
        <w:pStyle w:val="FootnoteText"/>
      </w:pPr>
      <w:r>
        <w:rPr>
          <w:rStyle w:val="FootnoteReference"/>
        </w:rPr>
        <w:footnoteRef/>
      </w:r>
      <w:r>
        <w:t xml:space="preserve"> </w:t>
      </w:r>
      <w:r w:rsidRPr="000F4F10">
        <w:rPr>
          <w:rFonts w:ascii="Tahoma" w:hAnsi="Tahoma" w:cs="Tahoma"/>
          <w:color w:val="333333"/>
          <w:sz w:val="16"/>
          <w:szCs w:val="16"/>
        </w:rPr>
        <w:t xml:space="preserve">Bureau of Labor Statistics, U.S. Department of Labor, </w:t>
      </w:r>
      <w:r w:rsidRPr="004A6561">
        <w:rPr>
          <w:rStyle w:val="HTMLCite"/>
          <w:rFonts w:ascii="Tahoma" w:hAnsi="Tahoma" w:cs="Tahoma"/>
          <w:i w:val="0"/>
          <w:color w:val="333333"/>
          <w:sz w:val="16"/>
          <w:szCs w:val="16"/>
        </w:rPr>
        <w:t>Occupational Employment Statistics</w:t>
      </w:r>
      <w:r w:rsidRPr="004A6561">
        <w:rPr>
          <w:rFonts w:ascii="Tahoma" w:hAnsi="Tahoma" w:cs="Tahoma"/>
          <w:i/>
          <w:color w:val="333333"/>
          <w:sz w:val="16"/>
          <w:szCs w:val="16"/>
        </w:rPr>
        <w:t>,</w:t>
      </w:r>
      <w:r w:rsidRPr="000F4F10">
        <w:rPr>
          <w:rFonts w:ascii="Tahoma" w:hAnsi="Tahoma" w:cs="Tahoma"/>
          <w:color w:val="333333"/>
          <w:sz w:val="16"/>
          <w:szCs w:val="16"/>
        </w:rPr>
        <w:t xml:space="preserve"> Community </w:t>
      </w:r>
      <w:r>
        <w:rPr>
          <w:rFonts w:ascii="Tahoma" w:hAnsi="Tahoma" w:cs="Tahoma"/>
          <w:color w:val="333333"/>
          <w:sz w:val="16"/>
          <w:szCs w:val="16"/>
        </w:rPr>
        <w:t>and Social Service Specialists.</w:t>
      </w:r>
      <w:r w:rsidRPr="000F4F10">
        <w:rPr>
          <w:rFonts w:ascii="Tahoma" w:hAnsi="Tahoma" w:cs="Tahoma"/>
          <w:color w:val="333333"/>
          <w:sz w:val="16"/>
          <w:szCs w:val="16"/>
        </w:rPr>
        <w:t xml:space="preserve"> Hourly wage of $21.</w:t>
      </w:r>
      <w:r>
        <w:rPr>
          <w:rFonts w:ascii="Tahoma" w:hAnsi="Tahoma" w:cs="Tahoma"/>
          <w:color w:val="333333"/>
          <w:sz w:val="16"/>
          <w:szCs w:val="16"/>
        </w:rPr>
        <w:t>53</w:t>
      </w:r>
      <w:r w:rsidRPr="000F4F10">
        <w:rPr>
          <w:rFonts w:ascii="Tahoma" w:hAnsi="Tahoma" w:cs="Tahoma"/>
          <w:color w:val="333333"/>
          <w:sz w:val="16"/>
          <w:szCs w:val="16"/>
        </w:rPr>
        <w:t>, plus a factor of 100% ($21.</w:t>
      </w:r>
      <w:r>
        <w:rPr>
          <w:rFonts w:ascii="Tahoma" w:hAnsi="Tahoma" w:cs="Tahoma"/>
          <w:color w:val="333333"/>
          <w:sz w:val="16"/>
          <w:szCs w:val="16"/>
        </w:rPr>
        <w:t>53</w:t>
      </w:r>
      <w:r w:rsidRPr="000F4F10">
        <w:rPr>
          <w:rFonts w:ascii="Tahoma" w:hAnsi="Tahoma" w:cs="Tahoma"/>
          <w:color w:val="333333"/>
          <w:sz w:val="16"/>
          <w:szCs w:val="16"/>
        </w:rPr>
        <w:t xml:space="preserve">) to account for benefits and overhead. Wage information available at: </w:t>
      </w:r>
      <w:r w:rsidRPr="004A6561">
        <w:rPr>
          <w:rFonts w:ascii="Tahoma" w:hAnsi="Tahoma" w:cs="Tahoma"/>
          <w:color w:val="003399"/>
          <w:sz w:val="16"/>
          <w:szCs w:val="16"/>
          <w:u w:val="single"/>
        </w:rPr>
        <w:t>https://www.bls.gov/oes/current/oes211099.htm</w:t>
      </w:r>
      <w:r w:rsidRPr="000F4F10">
        <w:rPr>
          <w:rFonts w:ascii="Tahoma" w:hAnsi="Tahoma" w:cs="Tahoma"/>
          <w:color w:val="333333"/>
          <w:sz w:val="16"/>
          <w:szCs w:val="16"/>
        </w:rPr>
        <w:t xml:space="preserve"> (visited </w:t>
      </w:r>
      <w:r w:rsidRPr="000F4F10">
        <w:rPr>
          <w:rStyle w:val="Emphasis"/>
          <w:rFonts w:ascii="Tahoma" w:hAnsi="Tahoma" w:cs="Tahoma"/>
          <w:color w:val="333333"/>
          <w:sz w:val="16"/>
          <w:szCs w:val="16"/>
        </w:rPr>
        <w:t>December 0</w:t>
      </w:r>
      <w:r>
        <w:rPr>
          <w:rStyle w:val="Emphasis"/>
          <w:rFonts w:ascii="Tahoma" w:hAnsi="Tahoma" w:cs="Tahoma"/>
          <w:color w:val="333333"/>
          <w:sz w:val="16"/>
          <w:szCs w:val="16"/>
        </w:rPr>
        <w:t>5</w:t>
      </w:r>
      <w:r w:rsidRPr="000F4F10">
        <w:rPr>
          <w:rStyle w:val="Emphasis"/>
          <w:rFonts w:ascii="Tahoma" w:hAnsi="Tahoma" w:cs="Tahoma"/>
          <w:color w:val="333333"/>
          <w:sz w:val="16"/>
          <w:szCs w:val="16"/>
        </w:rPr>
        <w:t>, 201</w:t>
      </w:r>
      <w:r>
        <w:rPr>
          <w:rStyle w:val="Emphasis"/>
          <w:rFonts w:ascii="Tahoma" w:hAnsi="Tahoma" w:cs="Tahoma"/>
          <w:color w:val="333333"/>
          <w:sz w:val="16"/>
          <w:szCs w:val="16"/>
        </w:rPr>
        <w:t>8</w:t>
      </w:r>
      <w:r w:rsidRPr="000F4F10">
        <w:rPr>
          <w:rFonts w:ascii="Tahoma" w:hAnsi="Tahoma" w:cs="Tahoma"/>
          <w:color w:val="333333"/>
          <w:sz w:val="16"/>
          <w:szCs w:val="16"/>
        </w:rPr>
        <w:t>).</w:t>
      </w:r>
    </w:p>
  </w:footnote>
  <w:footnote w:id="10">
    <w:p w14:paraId="05543C15" w14:textId="77777777" w:rsidR="00DC2D35" w:rsidRDefault="00DC2D35" w:rsidP="00DC2D35">
      <w:pPr>
        <w:pStyle w:val="CommentText"/>
      </w:pPr>
      <w:r>
        <w:rPr>
          <w:rStyle w:val="FootnoteReference"/>
        </w:rPr>
        <w:footnoteRef/>
      </w:r>
      <w:r>
        <w:t xml:space="preserve"> </w:t>
      </w:r>
      <w:r w:rsidRPr="000F4F10">
        <w:rPr>
          <w:rFonts w:ascii="Tahoma" w:hAnsi="Tahoma" w:cs="Tahoma"/>
          <w:sz w:val="16"/>
          <w:szCs w:val="16"/>
        </w:rPr>
        <w:t>F</w:t>
      </w:r>
      <w:r>
        <w:rPr>
          <w:rFonts w:ascii="Tahoma" w:hAnsi="Tahoma" w:cs="Tahoma"/>
          <w:sz w:val="16"/>
          <w:szCs w:val="16"/>
        </w:rPr>
        <w:t>ederal staff costs based on 2018 hourly wage rate of $48.01</w:t>
      </w:r>
      <w:r w:rsidRPr="000F4F10">
        <w:rPr>
          <w:rFonts w:ascii="Tahoma" w:hAnsi="Tahoma" w:cs="Tahoma"/>
          <w:sz w:val="16"/>
          <w:szCs w:val="16"/>
        </w:rPr>
        <w:t xml:space="preserve"> for </w:t>
      </w:r>
      <w:r>
        <w:rPr>
          <w:rFonts w:ascii="Tahoma" w:hAnsi="Tahoma" w:cs="Tahoma"/>
          <w:sz w:val="16"/>
          <w:szCs w:val="16"/>
        </w:rPr>
        <w:t>a Project Officer at the GS 13-2</w:t>
      </w:r>
      <w:r w:rsidRPr="000F4F10">
        <w:rPr>
          <w:rFonts w:ascii="Tahoma" w:hAnsi="Tahoma" w:cs="Tahoma"/>
          <w:sz w:val="16"/>
          <w:szCs w:val="16"/>
        </w:rPr>
        <w:t xml:space="preserve"> level. </w:t>
      </w:r>
      <w:hyperlink r:id="rId1" w:history="1">
        <w:r w:rsidRPr="006B5931">
          <w:rPr>
            <w:rStyle w:val="Hyperlink"/>
            <w:rFonts w:ascii="Tahoma" w:hAnsi="Tahoma" w:cs="Tahoma"/>
            <w:sz w:val="16"/>
            <w:szCs w:val="16"/>
          </w:rPr>
          <w:t>https://www.opm.gov/policy-data-oversight/pay-leave/salaries-wages/salary-tables/pdf/2018/DCB_h.pdf</w:t>
        </w:r>
      </w:hyperlink>
      <w:r>
        <w:rPr>
          <w:rStyle w:val="Hyperlink"/>
          <w:rFonts w:ascii="Tahoma" w:hAnsi="Tahoma" w:cs="Tahoma"/>
          <w:sz w:val="16"/>
          <w:szCs w:val="16"/>
        </w:rPr>
        <w:t xml:space="preserve">. </w:t>
      </w:r>
      <w:r w:rsidRPr="000F4F10">
        <w:rPr>
          <w:rFonts w:ascii="Tahoma" w:hAnsi="Tahoma" w:cs="Tahoma"/>
          <w:sz w:val="16"/>
          <w:szCs w:val="16"/>
        </w:rPr>
        <w:t xml:space="preserve">Accessed </w:t>
      </w:r>
      <w:r>
        <w:rPr>
          <w:rFonts w:ascii="Tahoma" w:hAnsi="Tahoma" w:cs="Tahoma"/>
          <w:sz w:val="16"/>
          <w:szCs w:val="16"/>
        </w:rPr>
        <w:t>November 29, 2018</w:t>
      </w:r>
      <w:r w:rsidRPr="000F4F10">
        <w:rPr>
          <w:rFonts w:ascii="Tahoma" w:hAnsi="Tahoma" w:cs="Tahoma"/>
          <w:sz w:val="16"/>
          <w:szCs w:val="16"/>
        </w:rPr>
        <w:t>.</w:t>
      </w:r>
    </w:p>
    <w:p w14:paraId="0B91AA5A" w14:textId="77777777" w:rsidR="00DC2D35" w:rsidRDefault="00DC2D35">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7558"/>
    <w:multiLevelType w:val="hybridMultilevel"/>
    <w:tmpl w:val="22C43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97EC4"/>
    <w:multiLevelType w:val="hybridMultilevel"/>
    <w:tmpl w:val="069E4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E71BE9"/>
    <w:multiLevelType w:val="hybridMultilevel"/>
    <w:tmpl w:val="F9AAA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DE1688"/>
    <w:multiLevelType w:val="hybridMultilevel"/>
    <w:tmpl w:val="A31E3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16D0C7A"/>
    <w:multiLevelType w:val="hybridMultilevel"/>
    <w:tmpl w:val="91864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1045FF"/>
    <w:multiLevelType w:val="hybridMultilevel"/>
    <w:tmpl w:val="10C6E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C0462E"/>
    <w:multiLevelType w:val="hybridMultilevel"/>
    <w:tmpl w:val="070EE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EC7D87"/>
    <w:multiLevelType w:val="hybridMultilevel"/>
    <w:tmpl w:val="E7D21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926DFF"/>
    <w:multiLevelType w:val="hybridMultilevel"/>
    <w:tmpl w:val="4B14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515ED0"/>
    <w:multiLevelType w:val="hybridMultilevel"/>
    <w:tmpl w:val="47D65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7D0684"/>
    <w:multiLevelType w:val="multilevel"/>
    <w:tmpl w:val="3CAE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58488E"/>
    <w:multiLevelType w:val="hybridMultilevel"/>
    <w:tmpl w:val="42E0F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AB4B5C"/>
    <w:multiLevelType w:val="hybridMultilevel"/>
    <w:tmpl w:val="B4549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70956"/>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14">
    <w:nsid w:val="6ACD161B"/>
    <w:multiLevelType w:val="hybridMultilevel"/>
    <w:tmpl w:val="731A3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4D6A23"/>
    <w:multiLevelType w:val="hybridMultilevel"/>
    <w:tmpl w:val="28EE7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236373"/>
    <w:multiLevelType w:val="hybridMultilevel"/>
    <w:tmpl w:val="0A804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4D7DAA"/>
    <w:multiLevelType w:val="hybridMultilevel"/>
    <w:tmpl w:val="74E2A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685652"/>
    <w:multiLevelType w:val="hybridMultilevel"/>
    <w:tmpl w:val="28EE7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93962CC"/>
    <w:multiLevelType w:val="hybridMultilevel"/>
    <w:tmpl w:val="148A79C0"/>
    <w:lvl w:ilvl="0" w:tplc="322AED3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F3332F"/>
    <w:multiLevelType w:val="hybridMultilevel"/>
    <w:tmpl w:val="0D18A776"/>
    <w:lvl w:ilvl="0" w:tplc="796C9964">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20"/>
  </w:num>
  <w:num w:numId="2">
    <w:abstractNumId w:val="3"/>
  </w:num>
  <w:num w:numId="3">
    <w:abstractNumId w:val="19"/>
  </w:num>
  <w:num w:numId="4">
    <w:abstractNumId w:val="21"/>
  </w:num>
  <w:num w:numId="5">
    <w:abstractNumId w:val="16"/>
  </w:num>
  <w:num w:numId="6">
    <w:abstractNumId w:val="4"/>
  </w:num>
  <w:num w:numId="7">
    <w:abstractNumId w:val="15"/>
  </w:num>
  <w:num w:numId="8">
    <w:abstractNumId w:val="18"/>
  </w:num>
  <w:num w:numId="9">
    <w:abstractNumId w:val="10"/>
  </w:num>
  <w:num w:numId="10">
    <w:abstractNumId w:val="0"/>
  </w:num>
  <w:num w:numId="11">
    <w:abstractNumId w:val="7"/>
  </w:num>
  <w:num w:numId="12">
    <w:abstractNumId w:val="6"/>
  </w:num>
  <w:num w:numId="13">
    <w:abstractNumId w:val="14"/>
  </w:num>
  <w:num w:numId="14">
    <w:abstractNumId w:val="13"/>
  </w:num>
  <w:num w:numId="15">
    <w:abstractNumId w:val="17"/>
  </w:num>
  <w:num w:numId="16">
    <w:abstractNumId w:val="5"/>
  </w:num>
  <w:num w:numId="17">
    <w:abstractNumId w:val="2"/>
  </w:num>
  <w:num w:numId="18">
    <w:abstractNumId w:val="11"/>
  </w:num>
  <w:num w:numId="19">
    <w:abstractNumId w:val="12"/>
  </w:num>
  <w:num w:numId="20">
    <w:abstractNumId w:val="1"/>
  </w:num>
  <w:num w:numId="21">
    <w:abstractNumId w:val="9"/>
  </w:num>
  <w:num w:numId="22">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5FFB"/>
    <w:rsid w:val="00016E14"/>
    <w:rsid w:val="000240AF"/>
    <w:rsid w:val="00024C5C"/>
    <w:rsid w:val="00032866"/>
    <w:rsid w:val="000363E6"/>
    <w:rsid w:val="00042B57"/>
    <w:rsid w:val="00050CBE"/>
    <w:rsid w:val="00056E3C"/>
    <w:rsid w:val="00062A98"/>
    <w:rsid w:val="0006442E"/>
    <w:rsid w:val="00064F02"/>
    <w:rsid w:val="00072840"/>
    <w:rsid w:val="000909E0"/>
    <w:rsid w:val="0009563E"/>
    <w:rsid w:val="000A2965"/>
    <w:rsid w:val="000B14D8"/>
    <w:rsid w:val="000B4AD9"/>
    <w:rsid w:val="000C3EBE"/>
    <w:rsid w:val="000C40BE"/>
    <w:rsid w:val="000C4F41"/>
    <w:rsid w:val="000D2304"/>
    <w:rsid w:val="000E592D"/>
    <w:rsid w:val="000E6879"/>
    <w:rsid w:val="000F175B"/>
    <w:rsid w:val="000F4B62"/>
    <w:rsid w:val="0010454B"/>
    <w:rsid w:val="00120149"/>
    <w:rsid w:val="001236F0"/>
    <w:rsid w:val="0012616B"/>
    <w:rsid w:val="0013360F"/>
    <w:rsid w:val="00141792"/>
    <w:rsid w:val="00141A84"/>
    <w:rsid w:val="001438AA"/>
    <w:rsid w:val="00143EFB"/>
    <w:rsid w:val="0014500F"/>
    <w:rsid w:val="00150EB2"/>
    <w:rsid w:val="00153F20"/>
    <w:rsid w:val="0015605D"/>
    <w:rsid w:val="00160F1D"/>
    <w:rsid w:val="001743A5"/>
    <w:rsid w:val="00180C21"/>
    <w:rsid w:val="0018279C"/>
    <w:rsid w:val="00184C9B"/>
    <w:rsid w:val="00185615"/>
    <w:rsid w:val="001A67C7"/>
    <w:rsid w:val="001B69B1"/>
    <w:rsid w:val="001C1954"/>
    <w:rsid w:val="001D21CC"/>
    <w:rsid w:val="001D599C"/>
    <w:rsid w:val="0020235E"/>
    <w:rsid w:val="002107EA"/>
    <w:rsid w:val="002261B6"/>
    <w:rsid w:val="002444BF"/>
    <w:rsid w:val="002470A1"/>
    <w:rsid w:val="002473CE"/>
    <w:rsid w:val="002514B4"/>
    <w:rsid w:val="00251A12"/>
    <w:rsid w:val="00265A72"/>
    <w:rsid w:val="002758DA"/>
    <w:rsid w:val="00282A0D"/>
    <w:rsid w:val="002A5A9E"/>
    <w:rsid w:val="002B0412"/>
    <w:rsid w:val="002B0A95"/>
    <w:rsid w:val="002C4D5B"/>
    <w:rsid w:val="002D22DA"/>
    <w:rsid w:val="002E671F"/>
    <w:rsid w:val="002E746D"/>
    <w:rsid w:val="002F2CAB"/>
    <w:rsid w:val="00302B69"/>
    <w:rsid w:val="00310B36"/>
    <w:rsid w:val="00322E02"/>
    <w:rsid w:val="00354E3B"/>
    <w:rsid w:val="00364ED4"/>
    <w:rsid w:val="0037776C"/>
    <w:rsid w:val="00383306"/>
    <w:rsid w:val="00386054"/>
    <w:rsid w:val="003B2A1A"/>
    <w:rsid w:val="003C29C2"/>
    <w:rsid w:val="003C7F70"/>
    <w:rsid w:val="003D2A5C"/>
    <w:rsid w:val="003E285A"/>
    <w:rsid w:val="003E539A"/>
    <w:rsid w:val="003F3477"/>
    <w:rsid w:val="00413FC6"/>
    <w:rsid w:val="00414A81"/>
    <w:rsid w:val="00415DD3"/>
    <w:rsid w:val="00427E4A"/>
    <w:rsid w:val="00431228"/>
    <w:rsid w:val="00437EFF"/>
    <w:rsid w:val="004638A1"/>
    <w:rsid w:val="00491FCC"/>
    <w:rsid w:val="004932B7"/>
    <w:rsid w:val="004945BC"/>
    <w:rsid w:val="004A2DBB"/>
    <w:rsid w:val="004A2E60"/>
    <w:rsid w:val="004A6561"/>
    <w:rsid w:val="004B6863"/>
    <w:rsid w:val="004C2219"/>
    <w:rsid w:val="004D0DE3"/>
    <w:rsid w:val="004D0FDB"/>
    <w:rsid w:val="004D6005"/>
    <w:rsid w:val="004D67B2"/>
    <w:rsid w:val="004E23D9"/>
    <w:rsid w:val="004F216F"/>
    <w:rsid w:val="004F692A"/>
    <w:rsid w:val="004F69EB"/>
    <w:rsid w:val="00512598"/>
    <w:rsid w:val="00512E6E"/>
    <w:rsid w:val="0053551D"/>
    <w:rsid w:val="0054125F"/>
    <w:rsid w:val="00543CA3"/>
    <w:rsid w:val="00544A5F"/>
    <w:rsid w:val="0055305F"/>
    <w:rsid w:val="00563CCF"/>
    <w:rsid w:val="005A1566"/>
    <w:rsid w:val="005A1DFC"/>
    <w:rsid w:val="005A3D14"/>
    <w:rsid w:val="005A4185"/>
    <w:rsid w:val="005B1293"/>
    <w:rsid w:val="005B38CF"/>
    <w:rsid w:val="005C3D86"/>
    <w:rsid w:val="005D2E7B"/>
    <w:rsid w:val="005D40A9"/>
    <w:rsid w:val="005D65F8"/>
    <w:rsid w:val="005E65FF"/>
    <w:rsid w:val="005F1387"/>
    <w:rsid w:val="00600FFF"/>
    <w:rsid w:val="0060116A"/>
    <w:rsid w:val="00604594"/>
    <w:rsid w:val="0060544D"/>
    <w:rsid w:val="00613407"/>
    <w:rsid w:val="00617A98"/>
    <w:rsid w:val="00621507"/>
    <w:rsid w:val="0063484C"/>
    <w:rsid w:val="00643D42"/>
    <w:rsid w:val="00644723"/>
    <w:rsid w:val="006473D8"/>
    <w:rsid w:val="00654305"/>
    <w:rsid w:val="00664F24"/>
    <w:rsid w:val="006737C0"/>
    <w:rsid w:val="00677BC2"/>
    <w:rsid w:val="00682B9A"/>
    <w:rsid w:val="00684B6B"/>
    <w:rsid w:val="006967B7"/>
    <w:rsid w:val="006A2330"/>
    <w:rsid w:val="006A3B5C"/>
    <w:rsid w:val="006A7795"/>
    <w:rsid w:val="006C01D0"/>
    <w:rsid w:val="006C56A1"/>
    <w:rsid w:val="006D2805"/>
    <w:rsid w:val="006E1A48"/>
    <w:rsid w:val="006E33C8"/>
    <w:rsid w:val="006F479E"/>
    <w:rsid w:val="00706C65"/>
    <w:rsid w:val="007364E6"/>
    <w:rsid w:val="00744573"/>
    <w:rsid w:val="00755424"/>
    <w:rsid w:val="007661D9"/>
    <w:rsid w:val="00770C12"/>
    <w:rsid w:val="00775FAE"/>
    <w:rsid w:val="00787B58"/>
    <w:rsid w:val="00792020"/>
    <w:rsid w:val="0079405B"/>
    <w:rsid w:val="00794D5A"/>
    <w:rsid w:val="00797E1A"/>
    <w:rsid w:val="007B14E8"/>
    <w:rsid w:val="007B7E18"/>
    <w:rsid w:val="007C12B5"/>
    <w:rsid w:val="007C6955"/>
    <w:rsid w:val="007D36A1"/>
    <w:rsid w:val="007D598D"/>
    <w:rsid w:val="007E1953"/>
    <w:rsid w:val="007E77FA"/>
    <w:rsid w:val="007F517F"/>
    <w:rsid w:val="007F673D"/>
    <w:rsid w:val="008011B6"/>
    <w:rsid w:val="0080575F"/>
    <w:rsid w:val="008070A0"/>
    <w:rsid w:val="00813759"/>
    <w:rsid w:val="00820C7C"/>
    <w:rsid w:val="00860293"/>
    <w:rsid w:val="00862F00"/>
    <w:rsid w:val="0086798F"/>
    <w:rsid w:val="00886713"/>
    <w:rsid w:val="00892227"/>
    <w:rsid w:val="00893883"/>
    <w:rsid w:val="008947F8"/>
    <w:rsid w:val="008A3F1D"/>
    <w:rsid w:val="008B59F8"/>
    <w:rsid w:val="008C2336"/>
    <w:rsid w:val="008C6229"/>
    <w:rsid w:val="008D70BA"/>
    <w:rsid w:val="008E3EA3"/>
    <w:rsid w:val="008F26EF"/>
    <w:rsid w:val="008F3062"/>
    <w:rsid w:val="008F5831"/>
    <w:rsid w:val="00901FBF"/>
    <w:rsid w:val="00921CB1"/>
    <w:rsid w:val="0094565E"/>
    <w:rsid w:val="009544A3"/>
    <w:rsid w:val="009615FD"/>
    <w:rsid w:val="00967A4A"/>
    <w:rsid w:val="00971E8D"/>
    <w:rsid w:val="00991B5B"/>
    <w:rsid w:val="009949A8"/>
    <w:rsid w:val="009A093D"/>
    <w:rsid w:val="009B426E"/>
    <w:rsid w:val="009B546C"/>
    <w:rsid w:val="009D0277"/>
    <w:rsid w:val="009E2680"/>
    <w:rsid w:val="009E2B4D"/>
    <w:rsid w:val="009F7E3C"/>
    <w:rsid w:val="00A003EE"/>
    <w:rsid w:val="00A01331"/>
    <w:rsid w:val="00A156A6"/>
    <w:rsid w:val="00A17D58"/>
    <w:rsid w:val="00A21615"/>
    <w:rsid w:val="00A2614C"/>
    <w:rsid w:val="00A30F6F"/>
    <w:rsid w:val="00A401D6"/>
    <w:rsid w:val="00A41F2C"/>
    <w:rsid w:val="00A7551D"/>
    <w:rsid w:val="00A85AD2"/>
    <w:rsid w:val="00A86B85"/>
    <w:rsid w:val="00A87940"/>
    <w:rsid w:val="00A90A56"/>
    <w:rsid w:val="00A94CCB"/>
    <w:rsid w:val="00AA459D"/>
    <w:rsid w:val="00AB0D7D"/>
    <w:rsid w:val="00AB2DA1"/>
    <w:rsid w:val="00AC0D7A"/>
    <w:rsid w:val="00AC204C"/>
    <w:rsid w:val="00AD3864"/>
    <w:rsid w:val="00AD3B33"/>
    <w:rsid w:val="00AE6D10"/>
    <w:rsid w:val="00AF085F"/>
    <w:rsid w:val="00AF6CF8"/>
    <w:rsid w:val="00B16D80"/>
    <w:rsid w:val="00B17647"/>
    <w:rsid w:val="00B17F11"/>
    <w:rsid w:val="00B20341"/>
    <w:rsid w:val="00B23EC0"/>
    <w:rsid w:val="00B44E81"/>
    <w:rsid w:val="00B578F4"/>
    <w:rsid w:val="00B60817"/>
    <w:rsid w:val="00B81F34"/>
    <w:rsid w:val="00B83FB3"/>
    <w:rsid w:val="00B84E67"/>
    <w:rsid w:val="00B93176"/>
    <w:rsid w:val="00BA13A2"/>
    <w:rsid w:val="00BA6F2D"/>
    <w:rsid w:val="00BB6619"/>
    <w:rsid w:val="00BC244F"/>
    <w:rsid w:val="00BD1325"/>
    <w:rsid w:val="00BD29BE"/>
    <w:rsid w:val="00BD5D7F"/>
    <w:rsid w:val="00BE082E"/>
    <w:rsid w:val="00BE6289"/>
    <w:rsid w:val="00BF2E53"/>
    <w:rsid w:val="00BF7877"/>
    <w:rsid w:val="00C072C0"/>
    <w:rsid w:val="00C23C7F"/>
    <w:rsid w:val="00C24B9B"/>
    <w:rsid w:val="00C30124"/>
    <w:rsid w:val="00C30F4C"/>
    <w:rsid w:val="00C36215"/>
    <w:rsid w:val="00C556A2"/>
    <w:rsid w:val="00C641E9"/>
    <w:rsid w:val="00C71525"/>
    <w:rsid w:val="00C723C2"/>
    <w:rsid w:val="00C8123A"/>
    <w:rsid w:val="00C814D7"/>
    <w:rsid w:val="00C906A1"/>
    <w:rsid w:val="00C93216"/>
    <w:rsid w:val="00C9556E"/>
    <w:rsid w:val="00CA0AA3"/>
    <w:rsid w:val="00CB0A34"/>
    <w:rsid w:val="00CB4C78"/>
    <w:rsid w:val="00CC2574"/>
    <w:rsid w:val="00CC6CBD"/>
    <w:rsid w:val="00CD1685"/>
    <w:rsid w:val="00CD75CE"/>
    <w:rsid w:val="00CE72AF"/>
    <w:rsid w:val="00CF487E"/>
    <w:rsid w:val="00CF7053"/>
    <w:rsid w:val="00D004BE"/>
    <w:rsid w:val="00D02DAB"/>
    <w:rsid w:val="00D05D15"/>
    <w:rsid w:val="00D10386"/>
    <w:rsid w:val="00D115BF"/>
    <w:rsid w:val="00D15EF4"/>
    <w:rsid w:val="00D269C3"/>
    <w:rsid w:val="00D45419"/>
    <w:rsid w:val="00D50E9C"/>
    <w:rsid w:val="00D51962"/>
    <w:rsid w:val="00D565A5"/>
    <w:rsid w:val="00D576FE"/>
    <w:rsid w:val="00D62CC0"/>
    <w:rsid w:val="00D67B1E"/>
    <w:rsid w:val="00D77545"/>
    <w:rsid w:val="00D850AF"/>
    <w:rsid w:val="00D91041"/>
    <w:rsid w:val="00D920EB"/>
    <w:rsid w:val="00DA0865"/>
    <w:rsid w:val="00DA11D5"/>
    <w:rsid w:val="00DA51A2"/>
    <w:rsid w:val="00DB2D1B"/>
    <w:rsid w:val="00DC2D35"/>
    <w:rsid w:val="00DD4F63"/>
    <w:rsid w:val="00DE1B39"/>
    <w:rsid w:val="00DE2256"/>
    <w:rsid w:val="00DE272B"/>
    <w:rsid w:val="00DF46EB"/>
    <w:rsid w:val="00DF4980"/>
    <w:rsid w:val="00E023B7"/>
    <w:rsid w:val="00E0367B"/>
    <w:rsid w:val="00E07290"/>
    <w:rsid w:val="00E22C81"/>
    <w:rsid w:val="00E24DFC"/>
    <w:rsid w:val="00E267F6"/>
    <w:rsid w:val="00E31D56"/>
    <w:rsid w:val="00E44897"/>
    <w:rsid w:val="00E52F91"/>
    <w:rsid w:val="00E55766"/>
    <w:rsid w:val="00E70E3D"/>
    <w:rsid w:val="00E71A43"/>
    <w:rsid w:val="00E8032A"/>
    <w:rsid w:val="00E82A54"/>
    <w:rsid w:val="00EA39D3"/>
    <w:rsid w:val="00EA3C1F"/>
    <w:rsid w:val="00EC2CC4"/>
    <w:rsid w:val="00EC3BB6"/>
    <w:rsid w:val="00EC4763"/>
    <w:rsid w:val="00ED2489"/>
    <w:rsid w:val="00ED7570"/>
    <w:rsid w:val="00EF7FF5"/>
    <w:rsid w:val="00F111B5"/>
    <w:rsid w:val="00F14C86"/>
    <w:rsid w:val="00F153D3"/>
    <w:rsid w:val="00F16D0E"/>
    <w:rsid w:val="00F303ED"/>
    <w:rsid w:val="00F313DF"/>
    <w:rsid w:val="00F336C4"/>
    <w:rsid w:val="00F36993"/>
    <w:rsid w:val="00F42C24"/>
    <w:rsid w:val="00F5099A"/>
    <w:rsid w:val="00F556EC"/>
    <w:rsid w:val="00F6107C"/>
    <w:rsid w:val="00F651D1"/>
    <w:rsid w:val="00F930A8"/>
    <w:rsid w:val="00FA27F6"/>
    <w:rsid w:val="00FB004A"/>
    <w:rsid w:val="00FB3DE9"/>
    <w:rsid w:val="00FD5909"/>
    <w:rsid w:val="00FD6998"/>
    <w:rsid w:val="00FE1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6C2FA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lsdException w:name="Strong" w:locked="1" w:semiHidden="0" w:uiPriority="0" w:unhideWhenUsed="0" w:qFormat="1"/>
    <w:lsdException w:name="Emphasis" w:locked="1" w:semiHidden="0" w:uiPriority="20" w:unhideWhenUsed="0" w:qFormat="1"/>
    <w:lsdException w:name="Table Grid" w:locked="1"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link w:val="EndnoteText"/>
    <w:uiPriority w:val="99"/>
    <w:semiHidden/>
    <w:locked/>
    <w:rsid w:val="00A41F2C"/>
    <w:rPr>
      <w:rFonts w:ascii="Courier" w:hAnsi="Courier" w:cs="Times New Roman"/>
      <w:sz w:val="20"/>
      <w:szCs w:val="20"/>
    </w:rPr>
  </w:style>
  <w:style w:type="character" w:styleId="EndnoteReference">
    <w:name w:val="endnote reference"/>
    <w:uiPriority w:val="99"/>
    <w:semiHidden/>
    <w:rsid w:val="00E07290"/>
    <w:rPr>
      <w:rFonts w:ascii="Courier" w:hAnsi="Courier" w:cs="Times New Roman"/>
      <w:sz w:val="24"/>
      <w:vertAlign w:val="superscript"/>
      <w:lang w:val="en-US"/>
    </w:rPr>
  </w:style>
  <w:style w:type="paragraph" w:styleId="FootnoteText">
    <w:name w:val="footnote text"/>
    <w:aliases w:val="F1"/>
    <w:basedOn w:val="Normal"/>
    <w:link w:val="FootnoteTextChar"/>
    <w:uiPriority w:val="99"/>
    <w:semiHidden/>
    <w:rsid w:val="00E07290"/>
    <w:pPr>
      <w:tabs>
        <w:tab w:val="left" w:pos="-720"/>
      </w:tabs>
      <w:suppressAutoHyphens/>
    </w:pPr>
  </w:style>
  <w:style w:type="character" w:customStyle="1" w:styleId="FootnoteTextChar">
    <w:name w:val="Footnote Text Char"/>
    <w:aliases w:val="F1 Char"/>
    <w:link w:val="FootnoteText"/>
    <w:uiPriority w:val="99"/>
    <w:semiHidden/>
    <w:locked/>
    <w:rsid w:val="00A41F2C"/>
    <w:rPr>
      <w:rFonts w:ascii="Courier" w:hAnsi="Courier" w:cs="Times New Roman"/>
      <w:sz w:val="20"/>
      <w:szCs w:val="20"/>
    </w:rPr>
  </w:style>
  <w:style w:type="character" w:styleId="FootnoteReference">
    <w:name w:val="footnote reference"/>
    <w:uiPriority w:val="99"/>
    <w:semiHidden/>
    <w:rsid w:val="00E07290"/>
    <w:rPr>
      <w:rFonts w:ascii="Courier" w:hAnsi="Courier" w:cs="Times New Roman"/>
      <w:sz w:val="24"/>
      <w:vertAlign w:val="superscript"/>
      <w:lang w:val="en-US"/>
    </w:rPr>
  </w:style>
  <w:style w:type="character" w:customStyle="1" w:styleId="DefaultParagraphFo">
    <w:name w:val="Default Paragraph Fo"/>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link w:val="Header"/>
    <w:uiPriority w:val="99"/>
    <w:semiHidden/>
    <w:locked/>
    <w:rsid w:val="00A41F2C"/>
    <w:rPr>
      <w:rFonts w:ascii="Courier" w:hAnsi="Courier" w:cs="Times New Roman"/>
      <w:sz w:val="20"/>
      <w:szCs w:val="20"/>
    </w:rPr>
  </w:style>
  <w:style w:type="character" w:styleId="PageNumber">
    <w:name w:val="page number"/>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link w:val="Title"/>
    <w:locked/>
    <w:rsid w:val="00B578F4"/>
    <w:rPr>
      <w:b/>
      <w:bCs/>
      <w:kern w:val="28"/>
      <w:sz w:val="24"/>
      <w:szCs w:val="24"/>
    </w:rPr>
  </w:style>
  <w:style w:type="character" w:styleId="CommentReference">
    <w:name w:val="annotation reference"/>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link w:val="Heading1"/>
    <w:rsid w:val="00B578F4"/>
    <w:rPr>
      <w:rFonts w:eastAsia="Times New Roman" w:cs="Arial"/>
      <w:b/>
      <w:snapToGrid w:val="0"/>
      <w:sz w:val="28"/>
    </w:rPr>
  </w:style>
  <w:style w:type="character" w:customStyle="1" w:styleId="Heading2Char">
    <w:name w:val="Heading 2 Char"/>
    <w:link w:val="Heading2"/>
    <w:rsid w:val="00B578F4"/>
    <w:rPr>
      <w:b/>
      <w:snapToGrid w:val="0"/>
      <w:sz w:val="24"/>
    </w:rPr>
  </w:style>
  <w:style w:type="character" w:customStyle="1" w:styleId="Heading3Char">
    <w:name w:val="Heading 3 Char"/>
    <w:link w:val="Heading3"/>
    <w:rsid w:val="00B578F4"/>
    <w:rPr>
      <w:rFonts w:cs="Arial"/>
      <w:b/>
      <w:i/>
      <w:snapToGrid w:val="0"/>
      <w:sz w:val="24"/>
    </w:rPr>
  </w:style>
  <w:style w:type="character" w:styleId="Strong">
    <w:name w:val="Strong"/>
    <w:qFormat/>
    <w:locked/>
    <w:rsid w:val="00B578F4"/>
    <w:rPr>
      <w:b/>
      <w:bCs/>
    </w:rPr>
  </w:style>
  <w:style w:type="character" w:styleId="IntenseEmphasis">
    <w:name w:val="Intense Emphasis"/>
    <w:uiPriority w:val="21"/>
    <w:qFormat/>
    <w:rsid w:val="00B578F4"/>
    <w:rPr>
      <w:b/>
      <w:bCs/>
      <w:i/>
      <w:iCs/>
      <w:color w:val="auto"/>
    </w:rPr>
  </w:style>
  <w:style w:type="character" w:styleId="Hyperlink">
    <w:name w:val="Hyperlink"/>
    <w:uiPriority w:val="99"/>
    <w:unhideWhenUsed/>
    <w:rsid w:val="00901FBF"/>
    <w:rPr>
      <w:color w:val="0000FF"/>
      <w:u w:val="single"/>
    </w:rPr>
  </w:style>
  <w:style w:type="paragraph" w:customStyle="1" w:styleId="SL-FlLftSgl">
    <w:name w:val="SL-Fl Lft Sgl"/>
    <w:rsid w:val="00E0367B"/>
    <w:pPr>
      <w:spacing w:line="240" w:lineRule="atLeast"/>
      <w:jc w:val="both"/>
    </w:pPr>
    <w:rPr>
      <w:sz w:val="22"/>
    </w:rPr>
  </w:style>
  <w:style w:type="paragraph" w:styleId="Revision">
    <w:name w:val="Revision"/>
    <w:hidden/>
    <w:uiPriority w:val="99"/>
    <w:semiHidden/>
    <w:rsid w:val="00FB3DE9"/>
    <w:rPr>
      <w:sz w:val="24"/>
      <w:szCs w:val="24"/>
    </w:rPr>
  </w:style>
  <w:style w:type="paragraph" w:styleId="BodyText">
    <w:name w:val="Body Text"/>
    <w:basedOn w:val="Normal"/>
    <w:link w:val="BodyTextChar"/>
    <w:uiPriority w:val="1"/>
    <w:qFormat/>
    <w:rsid w:val="008A3F1D"/>
    <w:pPr>
      <w:widowControl w:val="0"/>
      <w:spacing w:after="0"/>
      <w:ind w:left="1200"/>
    </w:pPr>
    <w:rPr>
      <w:rFonts w:cstheme="minorBidi"/>
    </w:rPr>
  </w:style>
  <w:style w:type="character" w:customStyle="1" w:styleId="BodyTextChar">
    <w:name w:val="Body Text Char"/>
    <w:basedOn w:val="DefaultParagraphFont"/>
    <w:link w:val="BodyText"/>
    <w:uiPriority w:val="1"/>
    <w:rsid w:val="008A3F1D"/>
    <w:rPr>
      <w:rFonts w:cstheme="minorBidi"/>
      <w:sz w:val="24"/>
      <w:szCs w:val="24"/>
    </w:rPr>
  </w:style>
  <w:style w:type="paragraph" w:styleId="NormalWeb">
    <w:name w:val="Normal (Web)"/>
    <w:basedOn w:val="Normal"/>
    <w:uiPriority w:val="99"/>
    <w:semiHidden/>
    <w:unhideWhenUsed/>
    <w:rsid w:val="00CA0AA3"/>
    <w:pPr>
      <w:spacing w:before="100" w:beforeAutospacing="1" w:after="100" w:afterAutospacing="1"/>
    </w:pPr>
  </w:style>
  <w:style w:type="paragraph" w:customStyle="1" w:styleId="BulletLevel1">
    <w:name w:val="Bullet Level 1"/>
    <w:basedOn w:val="Normal"/>
    <w:rsid w:val="000E6879"/>
    <w:pPr>
      <w:numPr>
        <w:numId w:val="14"/>
      </w:numPr>
      <w:spacing w:before="120"/>
      <w:jc w:val="both"/>
    </w:pPr>
    <w:rPr>
      <w:szCs w:val="20"/>
    </w:rPr>
  </w:style>
  <w:style w:type="paragraph" w:customStyle="1" w:styleId="SP-SglSpPara">
    <w:name w:val="SP-Sgl Sp Para"/>
    <w:basedOn w:val="Normal"/>
    <w:rsid w:val="00E70E3D"/>
    <w:pPr>
      <w:spacing w:after="0" w:line="240" w:lineRule="atLeast"/>
      <w:ind w:firstLine="576"/>
      <w:jc w:val="both"/>
    </w:pPr>
    <w:rPr>
      <w:rFonts w:eastAsiaTheme="minorHAnsi"/>
      <w:sz w:val="22"/>
      <w:szCs w:val="22"/>
    </w:rPr>
  </w:style>
  <w:style w:type="character" w:styleId="HTMLCite">
    <w:name w:val="HTML Cite"/>
    <w:uiPriority w:val="99"/>
    <w:unhideWhenUsed/>
    <w:rsid w:val="002758DA"/>
    <w:rPr>
      <w:i/>
      <w:iCs/>
    </w:rPr>
  </w:style>
  <w:style w:type="character" w:styleId="Emphasis">
    <w:name w:val="Emphasis"/>
    <w:basedOn w:val="DefaultParagraphFont"/>
    <w:uiPriority w:val="20"/>
    <w:qFormat/>
    <w:locked/>
    <w:rsid w:val="002758DA"/>
    <w:rPr>
      <w:i/>
      <w:iCs/>
    </w:rPr>
  </w:style>
  <w:style w:type="character" w:styleId="FollowedHyperlink">
    <w:name w:val="FollowedHyperlink"/>
    <w:basedOn w:val="DefaultParagraphFont"/>
    <w:uiPriority w:val="99"/>
    <w:semiHidden/>
    <w:unhideWhenUsed/>
    <w:rsid w:val="00DC2D3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lsdException w:name="Strong" w:locked="1" w:semiHidden="0" w:uiPriority="0" w:unhideWhenUsed="0" w:qFormat="1"/>
    <w:lsdException w:name="Emphasis" w:locked="1" w:semiHidden="0" w:uiPriority="20" w:unhideWhenUsed="0" w:qFormat="1"/>
    <w:lsdException w:name="Table Grid" w:locked="1"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link w:val="EndnoteText"/>
    <w:uiPriority w:val="99"/>
    <w:semiHidden/>
    <w:locked/>
    <w:rsid w:val="00A41F2C"/>
    <w:rPr>
      <w:rFonts w:ascii="Courier" w:hAnsi="Courier" w:cs="Times New Roman"/>
      <w:sz w:val="20"/>
      <w:szCs w:val="20"/>
    </w:rPr>
  </w:style>
  <w:style w:type="character" w:styleId="EndnoteReference">
    <w:name w:val="endnote reference"/>
    <w:uiPriority w:val="99"/>
    <w:semiHidden/>
    <w:rsid w:val="00E07290"/>
    <w:rPr>
      <w:rFonts w:ascii="Courier" w:hAnsi="Courier" w:cs="Times New Roman"/>
      <w:sz w:val="24"/>
      <w:vertAlign w:val="superscript"/>
      <w:lang w:val="en-US"/>
    </w:rPr>
  </w:style>
  <w:style w:type="paragraph" w:styleId="FootnoteText">
    <w:name w:val="footnote text"/>
    <w:aliases w:val="F1"/>
    <w:basedOn w:val="Normal"/>
    <w:link w:val="FootnoteTextChar"/>
    <w:uiPriority w:val="99"/>
    <w:semiHidden/>
    <w:rsid w:val="00E07290"/>
    <w:pPr>
      <w:tabs>
        <w:tab w:val="left" w:pos="-720"/>
      </w:tabs>
      <w:suppressAutoHyphens/>
    </w:pPr>
  </w:style>
  <w:style w:type="character" w:customStyle="1" w:styleId="FootnoteTextChar">
    <w:name w:val="Footnote Text Char"/>
    <w:aliases w:val="F1 Char"/>
    <w:link w:val="FootnoteText"/>
    <w:uiPriority w:val="99"/>
    <w:semiHidden/>
    <w:locked/>
    <w:rsid w:val="00A41F2C"/>
    <w:rPr>
      <w:rFonts w:ascii="Courier" w:hAnsi="Courier" w:cs="Times New Roman"/>
      <w:sz w:val="20"/>
      <w:szCs w:val="20"/>
    </w:rPr>
  </w:style>
  <w:style w:type="character" w:styleId="FootnoteReference">
    <w:name w:val="footnote reference"/>
    <w:uiPriority w:val="99"/>
    <w:semiHidden/>
    <w:rsid w:val="00E07290"/>
    <w:rPr>
      <w:rFonts w:ascii="Courier" w:hAnsi="Courier" w:cs="Times New Roman"/>
      <w:sz w:val="24"/>
      <w:vertAlign w:val="superscript"/>
      <w:lang w:val="en-US"/>
    </w:rPr>
  </w:style>
  <w:style w:type="character" w:customStyle="1" w:styleId="DefaultParagraphFo">
    <w:name w:val="Default Paragraph Fo"/>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link w:val="Header"/>
    <w:uiPriority w:val="99"/>
    <w:semiHidden/>
    <w:locked/>
    <w:rsid w:val="00A41F2C"/>
    <w:rPr>
      <w:rFonts w:ascii="Courier" w:hAnsi="Courier" w:cs="Times New Roman"/>
      <w:sz w:val="20"/>
      <w:szCs w:val="20"/>
    </w:rPr>
  </w:style>
  <w:style w:type="character" w:styleId="PageNumber">
    <w:name w:val="page number"/>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link w:val="Title"/>
    <w:locked/>
    <w:rsid w:val="00B578F4"/>
    <w:rPr>
      <w:b/>
      <w:bCs/>
      <w:kern w:val="28"/>
      <w:sz w:val="24"/>
      <w:szCs w:val="24"/>
    </w:rPr>
  </w:style>
  <w:style w:type="character" w:styleId="CommentReference">
    <w:name w:val="annotation reference"/>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link w:val="Heading1"/>
    <w:rsid w:val="00B578F4"/>
    <w:rPr>
      <w:rFonts w:eastAsia="Times New Roman" w:cs="Arial"/>
      <w:b/>
      <w:snapToGrid w:val="0"/>
      <w:sz w:val="28"/>
    </w:rPr>
  </w:style>
  <w:style w:type="character" w:customStyle="1" w:styleId="Heading2Char">
    <w:name w:val="Heading 2 Char"/>
    <w:link w:val="Heading2"/>
    <w:rsid w:val="00B578F4"/>
    <w:rPr>
      <w:b/>
      <w:snapToGrid w:val="0"/>
      <w:sz w:val="24"/>
    </w:rPr>
  </w:style>
  <w:style w:type="character" w:customStyle="1" w:styleId="Heading3Char">
    <w:name w:val="Heading 3 Char"/>
    <w:link w:val="Heading3"/>
    <w:rsid w:val="00B578F4"/>
    <w:rPr>
      <w:rFonts w:cs="Arial"/>
      <w:b/>
      <w:i/>
      <w:snapToGrid w:val="0"/>
      <w:sz w:val="24"/>
    </w:rPr>
  </w:style>
  <w:style w:type="character" w:styleId="Strong">
    <w:name w:val="Strong"/>
    <w:qFormat/>
    <w:locked/>
    <w:rsid w:val="00B578F4"/>
    <w:rPr>
      <w:b/>
      <w:bCs/>
    </w:rPr>
  </w:style>
  <w:style w:type="character" w:styleId="IntenseEmphasis">
    <w:name w:val="Intense Emphasis"/>
    <w:uiPriority w:val="21"/>
    <w:qFormat/>
    <w:rsid w:val="00B578F4"/>
    <w:rPr>
      <w:b/>
      <w:bCs/>
      <w:i/>
      <w:iCs/>
      <w:color w:val="auto"/>
    </w:rPr>
  </w:style>
  <w:style w:type="character" w:styleId="Hyperlink">
    <w:name w:val="Hyperlink"/>
    <w:uiPriority w:val="99"/>
    <w:unhideWhenUsed/>
    <w:rsid w:val="00901FBF"/>
    <w:rPr>
      <w:color w:val="0000FF"/>
      <w:u w:val="single"/>
    </w:rPr>
  </w:style>
  <w:style w:type="paragraph" w:customStyle="1" w:styleId="SL-FlLftSgl">
    <w:name w:val="SL-Fl Lft Sgl"/>
    <w:rsid w:val="00E0367B"/>
    <w:pPr>
      <w:spacing w:line="240" w:lineRule="atLeast"/>
      <w:jc w:val="both"/>
    </w:pPr>
    <w:rPr>
      <w:sz w:val="22"/>
    </w:rPr>
  </w:style>
  <w:style w:type="paragraph" w:styleId="Revision">
    <w:name w:val="Revision"/>
    <w:hidden/>
    <w:uiPriority w:val="99"/>
    <w:semiHidden/>
    <w:rsid w:val="00FB3DE9"/>
    <w:rPr>
      <w:sz w:val="24"/>
      <w:szCs w:val="24"/>
    </w:rPr>
  </w:style>
  <w:style w:type="paragraph" w:styleId="BodyText">
    <w:name w:val="Body Text"/>
    <w:basedOn w:val="Normal"/>
    <w:link w:val="BodyTextChar"/>
    <w:uiPriority w:val="1"/>
    <w:qFormat/>
    <w:rsid w:val="008A3F1D"/>
    <w:pPr>
      <w:widowControl w:val="0"/>
      <w:spacing w:after="0"/>
      <w:ind w:left="1200"/>
    </w:pPr>
    <w:rPr>
      <w:rFonts w:cstheme="minorBidi"/>
    </w:rPr>
  </w:style>
  <w:style w:type="character" w:customStyle="1" w:styleId="BodyTextChar">
    <w:name w:val="Body Text Char"/>
    <w:basedOn w:val="DefaultParagraphFont"/>
    <w:link w:val="BodyText"/>
    <w:uiPriority w:val="1"/>
    <w:rsid w:val="008A3F1D"/>
    <w:rPr>
      <w:rFonts w:cstheme="minorBidi"/>
      <w:sz w:val="24"/>
      <w:szCs w:val="24"/>
    </w:rPr>
  </w:style>
  <w:style w:type="paragraph" w:styleId="NormalWeb">
    <w:name w:val="Normal (Web)"/>
    <w:basedOn w:val="Normal"/>
    <w:uiPriority w:val="99"/>
    <w:semiHidden/>
    <w:unhideWhenUsed/>
    <w:rsid w:val="00CA0AA3"/>
    <w:pPr>
      <w:spacing w:before="100" w:beforeAutospacing="1" w:after="100" w:afterAutospacing="1"/>
    </w:pPr>
  </w:style>
  <w:style w:type="paragraph" w:customStyle="1" w:styleId="BulletLevel1">
    <w:name w:val="Bullet Level 1"/>
    <w:basedOn w:val="Normal"/>
    <w:rsid w:val="000E6879"/>
    <w:pPr>
      <w:numPr>
        <w:numId w:val="14"/>
      </w:numPr>
      <w:spacing w:before="120"/>
      <w:jc w:val="both"/>
    </w:pPr>
    <w:rPr>
      <w:szCs w:val="20"/>
    </w:rPr>
  </w:style>
  <w:style w:type="paragraph" w:customStyle="1" w:styleId="SP-SglSpPara">
    <w:name w:val="SP-Sgl Sp Para"/>
    <w:basedOn w:val="Normal"/>
    <w:rsid w:val="00E70E3D"/>
    <w:pPr>
      <w:spacing w:after="0" w:line="240" w:lineRule="atLeast"/>
      <w:ind w:firstLine="576"/>
      <w:jc w:val="both"/>
    </w:pPr>
    <w:rPr>
      <w:rFonts w:eastAsiaTheme="minorHAnsi"/>
      <w:sz w:val="22"/>
      <w:szCs w:val="22"/>
    </w:rPr>
  </w:style>
  <w:style w:type="character" w:styleId="HTMLCite">
    <w:name w:val="HTML Cite"/>
    <w:uiPriority w:val="99"/>
    <w:unhideWhenUsed/>
    <w:rsid w:val="002758DA"/>
    <w:rPr>
      <w:i/>
      <w:iCs/>
    </w:rPr>
  </w:style>
  <w:style w:type="character" w:styleId="Emphasis">
    <w:name w:val="Emphasis"/>
    <w:basedOn w:val="DefaultParagraphFont"/>
    <w:uiPriority w:val="20"/>
    <w:qFormat/>
    <w:locked/>
    <w:rsid w:val="002758DA"/>
    <w:rPr>
      <w:i/>
      <w:iCs/>
    </w:rPr>
  </w:style>
  <w:style w:type="character" w:styleId="FollowedHyperlink">
    <w:name w:val="FollowedHyperlink"/>
    <w:basedOn w:val="DefaultParagraphFont"/>
    <w:uiPriority w:val="99"/>
    <w:semiHidden/>
    <w:unhideWhenUsed/>
    <w:rsid w:val="00DC2D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06489">
      <w:bodyDiv w:val="1"/>
      <w:marLeft w:val="0"/>
      <w:marRight w:val="0"/>
      <w:marTop w:val="0"/>
      <w:marBottom w:val="0"/>
      <w:divBdr>
        <w:top w:val="none" w:sz="0" w:space="0" w:color="auto"/>
        <w:left w:val="none" w:sz="0" w:space="0" w:color="auto"/>
        <w:bottom w:val="none" w:sz="0" w:space="0" w:color="auto"/>
        <w:right w:val="none" w:sz="0" w:space="0" w:color="auto"/>
      </w:divBdr>
      <w:divsChild>
        <w:div w:id="1674456614">
          <w:marLeft w:val="547"/>
          <w:marRight w:val="0"/>
          <w:marTop w:val="86"/>
          <w:marBottom w:val="0"/>
          <w:divBdr>
            <w:top w:val="none" w:sz="0" w:space="0" w:color="auto"/>
            <w:left w:val="none" w:sz="0" w:space="0" w:color="auto"/>
            <w:bottom w:val="none" w:sz="0" w:space="0" w:color="auto"/>
            <w:right w:val="none" w:sz="0" w:space="0" w:color="auto"/>
          </w:divBdr>
        </w:div>
      </w:divsChild>
    </w:div>
    <w:div w:id="123156849">
      <w:bodyDiv w:val="1"/>
      <w:marLeft w:val="0"/>
      <w:marRight w:val="0"/>
      <w:marTop w:val="0"/>
      <w:marBottom w:val="0"/>
      <w:divBdr>
        <w:top w:val="none" w:sz="0" w:space="0" w:color="auto"/>
        <w:left w:val="none" w:sz="0" w:space="0" w:color="auto"/>
        <w:bottom w:val="none" w:sz="0" w:space="0" w:color="auto"/>
        <w:right w:val="none" w:sz="0" w:space="0" w:color="auto"/>
      </w:divBdr>
      <w:divsChild>
        <w:div w:id="1778258161">
          <w:marLeft w:val="547"/>
          <w:marRight w:val="0"/>
          <w:marTop w:val="86"/>
          <w:marBottom w:val="0"/>
          <w:divBdr>
            <w:top w:val="none" w:sz="0" w:space="0" w:color="auto"/>
            <w:left w:val="none" w:sz="0" w:space="0" w:color="auto"/>
            <w:bottom w:val="none" w:sz="0" w:space="0" w:color="auto"/>
            <w:right w:val="none" w:sz="0" w:space="0" w:color="auto"/>
          </w:divBdr>
        </w:div>
      </w:divsChild>
    </w:div>
    <w:div w:id="134490722">
      <w:bodyDiv w:val="1"/>
      <w:marLeft w:val="0"/>
      <w:marRight w:val="0"/>
      <w:marTop w:val="0"/>
      <w:marBottom w:val="0"/>
      <w:divBdr>
        <w:top w:val="none" w:sz="0" w:space="0" w:color="auto"/>
        <w:left w:val="none" w:sz="0" w:space="0" w:color="auto"/>
        <w:bottom w:val="none" w:sz="0" w:space="0" w:color="auto"/>
        <w:right w:val="none" w:sz="0" w:space="0" w:color="auto"/>
      </w:divBdr>
    </w:div>
    <w:div w:id="182135854">
      <w:bodyDiv w:val="1"/>
      <w:marLeft w:val="0"/>
      <w:marRight w:val="0"/>
      <w:marTop w:val="0"/>
      <w:marBottom w:val="0"/>
      <w:divBdr>
        <w:top w:val="none" w:sz="0" w:space="0" w:color="auto"/>
        <w:left w:val="none" w:sz="0" w:space="0" w:color="auto"/>
        <w:bottom w:val="none" w:sz="0" w:space="0" w:color="auto"/>
        <w:right w:val="none" w:sz="0" w:space="0" w:color="auto"/>
      </w:divBdr>
      <w:divsChild>
        <w:div w:id="2028405667">
          <w:marLeft w:val="547"/>
          <w:marRight w:val="0"/>
          <w:marTop w:val="86"/>
          <w:marBottom w:val="0"/>
          <w:divBdr>
            <w:top w:val="none" w:sz="0" w:space="0" w:color="auto"/>
            <w:left w:val="none" w:sz="0" w:space="0" w:color="auto"/>
            <w:bottom w:val="none" w:sz="0" w:space="0" w:color="auto"/>
            <w:right w:val="none" w:sz="0" w:space="0" w:color="auto"/>
          </w:divBdr>
        </w:div>
      </w:divsChild>
    </w:div>
    <w:div w:id="287515929">
      <w:bodyDiv w:val="1"/>
      <w:marLeft w:val="0"/>
      <w:marRight w:val="0"/>
      <w:marTop w:val="0"/>
      <w:marBottom w:val="0"/>
      <w:divBdr>
        <w:top w:val="none" w:sz="0" w:space="0" w:color="auto"/>
        <w:left w:val="none" w:sz="0" w:space="0" w:color="auto"/>
        <w:bottom w:val="none" w:sz="0" w:space="0" w:color="auto"/>
        <w:right w:val="none" w:sz="0" w:space="0" w:color="auto"/>
      </w:divBdr>
      <w:divsChild>
        <w:div w:id="1324309187">
          <w:marLeft w:val="547"/>
          <w:marRight w:val="0"/>
          <w:marTop w:val="86"/>
          <w:marBottom w:val="0"/>
          <w:divBdr>
            <w:top w:val="none" w:sz="0" w:space="0" w:color="auto"/>
            <w:left w:val="none" w:sz="0" w:space="0" w:color="auto"/>
            <w:bottom w:val="none" w:sz="0" w:space="0" w:color="auto"/>
            <w:right w:val="none" w:sz="0" w:space="0" w:color="auto"/>
          </w:divBdr>
        </w:div>
      </w:divsChild>
    </w:div>
    <w:div w:id="550699461">
      <w:bodyDiv w:val="1"/>
      <w:marLeft w:val="0"/>
      <w:marRight w:val="0"/>
      <w:marTop w:val="0"/>
      <w:marBottom w:val="0"/>
      <w:divBdr>
        <w:top w:val="none" w:sz="0" w:space="0" w:color="auto"/>
        <w:left w:val="none" w:sz="0" w:space="0" w:color="auto"/>
        <w:bottom w:val="none" w:sz="0" w:space="0" w:color="auto"/>
        <w:right w:val="none" w:sz="0" w:space="0" w:color="auto"/>
      </w:divBdr>
      <w:divsChild>
        <w:div w:id="137189646">
          <w:marLeft w:val="547"/>
          <w:marRight w:val="0"/>
          <w:marTop w:val="86"/>
          <w:marBottom w:val="0"/>
          <w:divBdr>
            <w:top w:val="none" w:sz="0" w:space="0" w:color="auto"/>
            <w:left w:val="none" w:sz="0" w:space="0" w:color="auto"/>
            <w:bottom w:val="none" w:sz="0" w:space="0" w:color="auto"/>
            <w:right w:val="none" w:sz="0" w:space="0" w:color="auto"/>
          </w:divBdr>
        </w:div>
      </w:divsChild>
    </w:div>
    <w:div w:id="661742738">
      <w:bodyDiv w:val="1"/>
      <w:marLeft w:val="0"/>
      <w:marRight w:val="0"/>
      <w:marTop w:val="0"/>
      <w:marBottom w:val="0"/>
      <w:divBdr>
        <w:top w:val="none" w:sz="0" w:space="0" w:color="auto"/>
        <w:left w:val="none" w:sz="0" w:space="0" w:color="auto"/>
        <w:bottom w:val="none" w:sz="0" w:space="0" w:color="auto"/>
        <w:right w:val="none" w:sz="0" w:space="0" w:color="auto"/>
      </w:divBdr>
      <w:divsChild>
        <w:div w:id="935477981">
          <w:marLeft w:val="547"/>
          <w:marRight w:val="0"/>
          <w:marTop w:val="86"/>
          <w:marBottom w:val="0"/>
          <w:divBdr>
            <w:top w:val="none" w:sz="0" w:space="0" w:color="auto"/>
            <w:left w:val="none" w:sz="0" w:space="0" w:color="auto"/>
            <w:bottom w:val="none" w:sz="0" w:space="0" w:color="auto"/>
            <w:right w:val="none" w:sz="0" w:space="0" w:color="auto"/>
          </w:divBdr>
        </w:div>
      </w:divsChild>
    </w:div>
    <w:div w:id="932401940">
      <w:bodyDiv w:val="1"/>
      <w:marLeft w:val="0"/>
      <w:marRight w:val="0"/>
      <w:marTop w:val="0"/>
      <w:marBottom w:val="0"/>
      <w:divBdr>
        <w:top w:val="none" w:sz="0" w:space="0" w:color="auto"/>
        <w:left w:val="none" w:sz="0" w:space="0" w:color="auto"/>
        <w:bottom w:val="none" w:sz="0" w:space="0" w:color="auto"/>
        <w:right w:val="none" w:sz="0" w:space="0" w:color="auto"/>
      </w:divBdr>
    </w:div>
    <w:div w:id="1360548525">
      <w:bodyDiv w:val="1"/>
      <w:marLeft w:val="0"/>
      <w:marRight w:val="0"/>
      <w:marTop w:val="0"/>
      <w:marBottom w:val="0"/>
      <w:divBdr>
        <w:top w:val="none" w:sz="0" w:space="0" w:color="auto"/>
        <w:left w:val="none" w:sz="0" w:space="0" w:color="auto"/>
        <w:bottom w:val="none" w:sz="0" w:space="0" w:color="auto"/>
        <w:right w:val="none" w:sz="0" w:space="0" w:color="auto"/>
      </w:divBdr>
      <w:divsChild>
        <w:div w:id="1979261212">
          <w:marLeft w:val="547"/>
          <w:marRight w:val="0"/>
          <w:marTop w:val="86"/>
          <w:marBottom w:val="0"/>
          <w:divBdr>
            <w:top w:val="none" w:sz="0" w:space="0" w:color="auto"/>
            <w:left w:val="none" w:sz="0" w:space="0" w:color="auto"/>
            <w:bottom w:val="none" w:sz="0" w:space="0" w:color="auto"/>
            <w:right w:val="none" w:sz="0" w:space="0" w:color="auto"/>
          </w:divBdr>
        </w:div>
      </w:divsChild>
    </w:div>
    <w:div w:id="1375230145">
      <w:bodyDiv w:val="1"/>
      <w:marLeft w:val="0"/>
      <w:marRight w:val="0"/>
      <w:marTop w:val="0"/>
      <w:marBottom w:val="0"/>
      <w:divBdr>
        <w:top w:val="none" w:sz="0" w:space="0" w:color="auto"/>
        <w:left w:val="none" w:sz="0" w:space="0" w:color="auto"/>
        <w:bottom w:val="none" w:sz="0" w:space="0" w:color="auto"/>
        <w:right w:val="none" w:sz="0" w:space="0" w:color="auto"/>
      </w:divBdr>
      <w:divsChild>
        <w:div w:id="980035706">
          <w:marLeft w:val="547"/>
          <w:marRight w:val="0"/>
          <w:marTop w:val="86"/>
          <w:marBottom w:val="0"/>
          <w:divBdr>
            <w:top w:val="none" w:sz="0" w:space="0" w:color="auto"/>
            <w:left w:val="none" w:sz="0" w:space="0" w:color="auto"/>
            <w:bottom w:val="none" w:sz="0" w:space="0" w:color="auto"/>
            <w:right w:val="none" w:sz="0" w:space="0" w:color="auto"/>
          </w:divBdr>
        </w:div>
      </w:divsChild>
    </w:div>
    <w:div w:id="1429234618">
      <w:bodyDiv w:val="1"/>
      <w:marLeft w:val="0"/>
      <w:marRight w:val="0"/>
      <w:marTop w:val="0"/>
      <w:marBottom w:val="0"/>
      <w:divBdr>
        <w:top w:val="none" w:sz="0" w:space="0" w:color="auto"/>
        <w:left w:val="none" w:sz="0" w:space="0" w:color="auto"/>
        <w:bottom w:val="none" w:sz="0" w:space="0" w:color="auto"/>
        <w:right w:val="none" w:sz="0" w:space="0" w:color="auto"/>
      </w:divBdr>
      <w:divsChild>
        <w:div w:id="135681536">
          <w:marLeft w:val="547"/>
          <w:marRight w:val="0"/>
          <w:marTop w:val="86"/>
          <w:marBottom w:val="0"/>
          <w:divBdr>
            <w:top w:val="none" w:sz="0" w:space="0" w:color="auto"/>
            <w:left w:val="none" w:sz="0" w:space="0" w:color="auto"/>
            <w:bottom w:val="none" w:sz="0" w:space="0" w:color="auto"/>
            <w:right w:val="none" w:sz="0" w:space="0" w:color="auto"/>
          </w:divBdr>
        </w:div>
      </w:divsChild>
    </w:div>
    <w:div w:id="1835292524">
      <w:bodyDiv w:val="1"/>
      <w:marLeft w:val="0"/>
      <w:marRight w:val="0"/>
      <w:marTop w:val="0"/>
      <w:marBottom w:val="0"/>
      <w:divBdr>
        <w:top w:val="none" w:sz="0" w:space="0" w:color="auto"/>
        <w:left w:val="none" w:sz="0" w:space="0" w:color="auto"/>
        <w:bottom w:val="none" w:sz="0" w:space="0" w:color="auto"/>
        <w:right w:val="none" w:sz="0" w:space="0" w:color="auto"/>
      </w:divBdr>
      <w:divsChild>
        <w:div w:id="1260259311">
          <w:marLeft w:val="547"/>
          <w:marRight w:val="0"/>
          <w:marTop w:val="86"/>
          <w:marBottom w:val="0"/>
          <w:divBdr>
            <w:top w:val="none" w:sz="0" w:space="0" w:color="auto"/>
            <w:left w:val="none" w:sz="0" w:space="0" w:color="auto"/>
            <w:bottom w:val="none" w:sz="0" w:space="0" w:color="auto"/>
            <w:right w:val="none" w:sz="0" w:space="0" w:color="auto"/>
          </w:divBdr>
        </w:div>
      </w:divsChild>
    </w:div>
    <w:div w:id="1884318622">
      <w:bodyDiv w:val="1"/>
      <w:marLeft w:val="0"/>
      <w:marRight w:val="0"/>
      <w:marTop w:val="0"/>
      <w:marBottom w:val="0"/>
      <w:divBdr>
        <w:top w:val="none" w:sz="0" w:space="0" w:color="auto"/>
        <w:left w:val="none" w:sz="0" w:space="0" w:color="auto"/>
        <w:bottom w:val="none" w:sz="0" w:space="0" w:color="auto"/>
        <w:right w:val="none" w:sz="0" w:space="0" w:color="auto"/>
      </w:divBdr>
      <w:divsChild>
        <w:div w:id="131869792">
          <w:marLeft w:val="547"/>
          <w:marRight w:val="0"/>
          <w:marTop w:val="86"/>
          <w:marBottom w:val="0"/>
          <w:divBdr>
            <w:top w:val="none" w:sz="0" w:space="0" w:color="auto"/>
            <w:left w:val="none" w:sz="0" w:space="0" w:color="auto"/>
            <w:bottom w:val="none" w:sz="0" w:space="0" w:color="auto"/>
            <w:right w:val="none" w:sz="0" w:space="0" w:color="auto"/>
          </w:divBdr>
        </w:div>
      </w:divsChild>
    </w:div>
    <w:div w:id="2065711019">
      <w:bodyDiv w:val="1"/>
      <w:marLeft w:val="0"/>
      <w:marRight w:val="0"/>
      <w:marTop w:val="0"/>
      <w:marBottom w:val="0"/>
      <w:divBdr>
        <w:top w:val="none" w:sz="0" w:space="0" w:color="auto"/>
        <w:left w:val="none" w:sz="0" w:space="0" w:color="auto"/>
        <w:bottom w:val="none" w:sz="0" w:space="0" w:color="auto"/>
        <w:right w:val="none" w:sz="0" w:space="0" w:color="auto"/>
      </w:divBdr>
    </w:div>
    <w:div w:id="2101020464">
      <w:bodyDiv w:val="1"/>
      <w:marLeft w:val="0"/>
      <w:marRight w:val="0"/>
      <w:marTop w:val="0"/>
      <w:marBottom w:val="0"/>
      <w:divBdr>
        <w:top w:val="none" w:sz="0" w:space="0" w:color="auto"/>
        <w:left w:val="none" w:sz="0" w:space="0" w:color="auto"/>
        <w:bottom w:val="none" w:sz="0" w:space="0" w:color="auto"/>
        <w:right w:val="none" w:sz="0" w:space="0" w:color="auto"/>
      </w:divBdr>
    </w:div>
    <w:div w:id="2136368160">
      <w:bodyDiv w:val="1"/>
      <w:marLeft w:val="0"/>
      <w:marRight w:val="0"/>
      <w:marTop w:val="0"/>
      <w:marBottom w:val="0"/>
      <w:divBdr>
        <w:top w:val="none" w:sz="0" w:space="0" w:color="auto"/>
        <w:left w:val="none" w:sz="0" w:space="0" w:color="auto"/>
        <w:bottom w:val="none" w:sz="0" w:space="0" w:color="auto"/>
        <w:right w:val="none" w:sz="0" w:space="0" w:color="auto"/>
      </w:divBdr>
      <w:divsChild>
        <w:div w:id="191038988">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18/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connectED Document</p:Name>
  <p:Description>connectED Document Policy</p:Description>
  <p:Statement>Policy enforces compliance</p:Statement>
  <p:PolicyItems>
    <p:PolicyItem featureId="Microsoft.Office.RecordsManagement.PolicyFeatures.Expiration" staticId="0x0101001C22A2B9DBEDBB4DB130C1FAF5F2F008|-367644455" UniqueId="a7660599-fdb5-408c-acb9-4a8c156e7706">
      <p:Name>Retention</p:Name>
      <p:Description>Automatic scheduling of content for processing, and performing a retention action on content that has reached its due date.</p:Description>
      <p:CustomData>
        <Schedules nextStageId="5">
          <Schedule type="Default">
            <stages>
              <data stageId="1">
                <formula id="Microsoft.Office.RecordsManagement.PolicyFeatures.Expiration.Formula.BuiltIn">
                  <number>0</number>
                  <property>ContentReviewDate</property>
                  <propertyId>e73c04b4-25ca-454b-b674-82c4e4755cf8</propertyId>
                  <period>days</period>
                </formula>
                <action type="workflow" id="60d0665c-dcbb-4028-99ad-96ae582eecae"/>
              </data>
              <data stageId="2">
                <formula id="Microsoft.Office.RecordsManagement.PolicyFeatures.Expiration.Formula.BuiltIn">
                  <number>8</number>
                  <property>ContentReviewDate</property>
                  <propertyId>e73c04b4-25ca-454b-b674-82c4e4755cf8</propertyId>
                  <period>days</period>
                </formula>
                <action type="workflow" id="53ca8787-625e-4df4-a4e8-684bd0d133ee"/>
              </data>
              <data stageId="3">
                <formula id="Microsoft.Office.RecordsManagement.PolicyFeatures.Expiration.Formula.BuiltIn">
                  <number>16</number>
                  <property>ContentReviewDate</property>
                  <propertyId>e73c04b4-25ca-454b-b674-82c4e4755cf8</propertyId>
                  <period>days</period>
                </formula>
                <action type="workflow" id="559740ac-bd52-4af6-8417-7a595b8abeea"/>
              </data>
              <data stageId="4">
                <formula id="Microsoft.Office.RecordsManagement.PolicyFeatures.Expiration.Formula.BuiltIn">
                  <number>16</number>
                  <property>ContentReviewDate</property>
                  <propertyId>e73c04b4-25ca-454b-b674-82c4e4755cf8</propertyId>
                  <period>days</period>
                </formula>
                <action type="workflow" id="09e82877-99f8-40b5-bc6e-d91eb025585e"/>
              </data>
            </stages>
          </Schedule>
        </Schedules>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ate_x0020_Content_x0020_Submitted xmlns="14f58531-a34f-43cb-b97b-60a4b8e60023" xsi:nil="true"/>
    <TaxCatchAll xmlns="14f58531-a34f-43cb-b97b-60a4b8e60023">
      <Value xmlns="14f58531-a34f-43cb-b97b-60a4b8e60023">218</Value>
      <Value xmlns="14f58531-a34f-43cb-b97b-60a4b8e60023">217</Value>
      <Value xmlns="14f58531-a34f-43cb-b97b-60a4b8e60023">93</Value>
    </TaxCatchAll>
    <ContentWebmasterEmail xmlns="14f58531-a34f-43cb-b97b-60a4b8e60023">om_connected@ed.gov</ContentWebmasterEmail>
    <ContentDisplayOrder xmlns="14f58531-a34f-43cb-b97b-60a4b8e60023">99</ContentDisplayOrder>
    <a7eab764dc2743638a036d2b83da4378 xmlns="f924c5de-8181-400e-a637-df6bd4c8735c">
      <Terms xmlns="http://schemas.microsoft.com/office/infopath/2007/PartnerControls">
        <TermInfo xmlns="http://schemas.microsoft.com/office/infopath/2007/PartnerControls">
          <TermName xmlns="http://schemas.microsoft.com/office/infopath/2007/PartnerControls">Documents ＆ Forms</TermName>
          <TermId xmlns="http://schemas.microsoft.com/office/infopath/2007/PartnerControls">0ba06c27-420e-43a0-bce2-ca749b3bd11c</TermId>
        </TermInfo>
      </Terms>
    </a7eab764dc2743638a036d2b83da4378>
    <Approver_x0020_Comments_x0020_Site_x0020_Column xmlns="14f58531-a34f-43cb-b97b-60a4b8e60023" xsi:nil="true"/>
    <hebfa55e97a440a4b0b631fde26adccc xmlns="14f58531-a34f-43cb-b97b-60a4b8e60023">
      <Terms xmlns="http://schemas.microsoft.com/office/infopath/2007/PartnerControls">
        <TermInfo xmlns="http://schemas.microsoft.com/office/infopath/2007/PartnerControls">
          <TermName xmlns="http://schemas.microsoft.com/office/infopath/2007/PartnerControls">OM</TermName>
          <TermId xmlns="http://schemas.microsoft.com/office/infopath/2007/PartnerControls">9e814648-7b3a-45e3-aa61-fb1d866783a6</TermId>
        </TermInfo>
      </Terms>
    </hebfa55e97a440a4b0b631fde26adccc>
    <LeadIn xmlns="14f58531-a34f-43cb-b97b-60a4b8e60023">Supporting Statement Part A
</LeadIn>
    <URL xmlns="http://schemas.microsoft.com/sharepoint/v3">
      <Url xsi:nil="true"/>
      <Description xsi:nil="true"/>
    </URL>
    <ContentReviewDate xmlns="14f58531-a34f-43cb-b97b-60a4b8e60023">2014-02-11T05:00:00+00:00</ContentReviewDate>
    <PublishingExpirationDate xmlns="http://schemas.microsoft.com/sharepoint/v3" xsi:nil="true"/>
    <ContentIsFeatured xmlns="14f58531-a34f-43cb-b97b-60a4b8e60023">No</ContentIsFeatured>
    <Content508Compliant xmlns="14f58531-a34f-43cb-b97b-60a4b8e60023">I confirm that this content is accessible</Content508Compliant>
    <f48095704fee46508d3f3ce5246af537 xmlns="f924c5de-8181-400e-a637-df6bd4c8735c">
      <Terms xmlns="http://schemas.microsoft.com/office/infopath/2007/PartnerControls">
        <TermInfo xmlns="http://schemas.microsoft.com/office/infopath/2007/PartnerControls">
          <TermName xmlns="http://schemas.microsoft.com/office/infopath/2007/PartnerControls">Documents ＆ Forms</TermName>
          <TermId xmlns="http://schemas.microsoft.com/office/infopath/2007/PartnerControls">e8992d00-2526-4b2a-a3c0-1863f5290483</TermId>
        </TermInfo>
      </Terms>
    </f48095704fee46508d3f3ce5246af537>
    <Approval_x0020_Status_x0020_Site_x0020_Column xmlns="14f58531-a34f-43cb-b97b-60a4b8e60023" xsi:nil="true"/>
    <PublishingStartDate xmlns="http://schemas.microsoft.com/sharepoint/v3" xsi:nil="true"/>
    <Content_x0020_Submitter xmlns="14f58531-a34f-43cb-b97b-60a4b8e60023" xsi:nil="true"/>
    <CheckIn_x0020_Comments xmlns="14f58531-a34f-43cb-b97b-60a4b8e60023" xsi:nil="true"/>
    <ContentStatus xmlns="14f58531-a34f-43cb-b97b-60a4b8e60023">Draft</ContentStatus>
  </documentManagement>
</p:properties>
</file>

<file path=customXml/item5.xml><?xml version="1.0" encoding="utf-8"?>
<ct:contentTypeSchema xmlns:ct="http://schemas.microsoft.com/office/2006/metadata/contentType" xmlns:ma="http://schemas.microsoft.com/office/2006/metadata/properties/metaAttributes" ct:_="" ma:_="" ma:contentTypeName="Office Document" ma:contentTypeID="0x0101001C22A2B9DBEDBB4DB130C1FAF5F2F0080006444156FEDF3F4CAEE85C308BC0B6C1" ma:contentTypeVersion="54" ma:contentTypeDescription="" ma:contentTypeScope="" ma:versionID="e4170d89f6cbf29e00b9bb7fdd7d4e0f">
  <xsd:schema xmlns:xsd="http://www.w3.org/2001/XMLSchema" xmlns:xs="http://www.w3.org/2001/XMLSchema" xmlns:p="http://schemas.microsoft.com/office/2006/metadata/properties" xmlns:ns1="http://schemas.microsoft.com/sharepoint/v3" xmlns:ns2="14f58531-a34f-43cb-b97b-60a4b8e60023" xmlns:ns4="f924c5de-8181-400e-a637-df6bd4c8735c" targetNamespace="http://schemas.microsoft.com/office/2006/metadata/properties" ma:root="true" ma:fieldsID="dd89c1d9de4cc92ba116450788173d3a" ns1:_="" ns2:_="" ns4:_="">
    <xsd:import namespace="http://schemas.microsoft.com/sharepoint/v3"/>
    <xsd:import namespace="14f58531-a34f-43cb-b97b-60a4b8e60023"/>
    <xsd:import namespace="f924c5de-8181-400e-a637-df6bd4c8735c"/>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2:Content508Compliant"/>
                <xsd:element ref="ns2:ContentWebmasterEmail"/>
                <xsd:element ref="ns2:ContentIsFeatured"/>
                <xsd:element ref="ns2:_dlc_DocIdUrl" minOccurs="0"/>
                <xsd:element ref="ns2:_dlc_DocIdPersistId" minOccurs="0"/>
                <xsd:element ref="ns2:hebfa55e97a440a4b0b631fde26adccc" minOccurs="0"/>
                <xsd:element ref="ns2:TaxCatchAll" minOccurs="0"/>
                <xsd:element ref="ns2:TaxCatchAllLabel" minOccurs="0"/>
                <xsd:element ref="ns2:ContentStatus" minOccurs="0"/>
                <xsd:element ref="ns2:ContentDisplayOrder" minOccurs="0"/>
                <xsd:element ref="ns1:_dlc_Exempt" minOccurs="0"/>
                <xsd:element ref="ns1:_dlc_ExpireDateSaved" minOccurs="0"/>
                <xsd:element ref="ns1:_dlc_ExpireDate" minOccurs="0"/>
                <xsd:element ref="ns2:_dlc_DocId" minOccurs="0"/>
                <xsd:element ref="ns4:a7eab764dc2743638a036d2b83da4378" minOccurs="0"/>
                <xsd:element ref="ns4:f48095704fee46508d3f3ce5246af537" minOccurs="0"/>
                <xsd:element ref="ns1:URL" minOccurs="0"/>
                <xsd:element ref="ns2:Approval_x0020_Status_x0020_Site_x0020_Column" minOccurs="0"/>
                <xsd:element ref="ns2:Approver_x0020_Comments_x0020_Site_x0020_Column" minOccurs="0"/>
                <xsd:element ref="ns2:CheckIn_x0020_Comments" minOccurs="0"/>
                <xsd:element ref="ns2:Content_x0020_Submitter" minOccurs="0"/>
                <xsd:element ref="ns2:Date_x0020_Content_x0020_Submit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6" nillable="true" ma:displayName="Scheduling End Date" ma:description="" ma:internalName="PublishingExpirationDat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element name="URL" ma:index="32" nillable="true" ma:displayName="URL" ma:description="The Description is the hyperlinked word or phrase the user will see in the browser."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5" ma:displayName="Review Date" ma:description="Default review date is 6 months from today; can be set up to one year from today." ma:format="DateOnly" ma:internalName="ContentReviewDate" ma:readOnly="false">
      <xsd:simpleType>
        <xsd:restriction base="dms:DateTime"/>
      </xsd:simpleType>
    </xsd:element>
    <xsd:element name="Content508Compliant" ma:index="7" ma:displayName="508 Compliance Check" ma:description="508 Compliance Check" ma:format="RadioButtons" ma:internalName="Content508Compliant" ma:readOnly="false">
      <xsd:simpleType>
        <xsd:restriction base="dms:Choice">
          <xsd:enumeration value="I confirm that this content is accessible"/>
          <xsd:enumeration value="This content is not fully accessible, but an accessible alternative has been provided"/>
          <xsd:enumeration value="A waiver has been granted for this content"/>
        </xsd:restriction>
      </xsd:simpleType>
    </xsd:element>
    <xsd:element name="ContentWebmasterEmail" ma:index="9" ma:displayName="Webmaster E-Mail Address" ma:default="om_connected@ed.gov" ma:description="Webmaster E-mail to use during notifications" ma:internalName="ContentWebmasterEmail">
      <xsd:simpleType>
        <xsd:restriction base="dms:Text">
          <xsd:maxLength value="255"/>
        </xsd:restriction>
      </xsd:simpleType>
    </xsd:element>
    <xsd:element name="ContentIsFeatured" ma:index="10" ma:displayName="Featured item" ma:default="Yes" ma:description="Should this item be featured on the site home page?  (The 5 most recent featured items will be displayed.)" ma:format="RadioButtons" ma:internalName="ContentIsFeatured" ma:readOnly="false">
      <xsd:simpleType>
        <xsd:restriction base="dms:Choice">
          <xsd:enumeration value="Yes"/>
          <xsd:enumeration value="No"/>
        </xsd:restriction>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hebfa55e97a440a4b0b631fde26adccc" ma:index="19" ma:taxonomy="true" ma:internalName="hebfa55e97a440a4b0b631fde26adccc" ma:taxonomyFieldName="ContentOffice" ma:displayName="Sponsoring Office" ma:fieldId="{1ebfa55e-97a4-40a4-b0b6-31fde26adccc}" ma:sspId="fc04c30f-b6b4-43b6-b622-0304433ef98f" ma:termSetId="8ffa1247-1441-48b7-a435-d4f2eb915362" ma:anchorId="00000000-0000-0000-0000-000000000000" ma:open="false" ma:isKeyword="false">
      <xsd:complexType>
        <xsd:sequence>
          <xsd:element ref="pc:Terms" minOccurs="0" maxOccurs="1"/>
        </xsd:sequence>
      </xsd:complexType>
    </xsd:element>
    <xsd:element name="TaxCatchAll" ma:index="20"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22"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ContentDisplayOrder" ma:index="23" nillable="true" ma:displayName="Display Order" ma:decimals="0" ma:default="99" ma:description="Order to display content" ma:hidden="true" ma:internalName="ContentDisplayOrder" ma:readOnly="false" ma:percentage="FALSE">
      <xsd:simpleType>
        <xsd:restriction base="dms:Number"/>
      </xsd:simpleType>
    </xsd:element>
    <xsd:element name="_dlc_DocId" ma:index="28" nillable="true" ma:displayName="Document ID Value" ma:description="The value of the document ID assigned to this item." ma:internalName="_dlc_DocId" ma:readOnly="true">
      <xsd:simpleType>
        <xsd:restriction base="dms:Text"/>
      </xsd:simpleType>
    </xsd:element>
    <xsd:element name="Approval_x0020_Status_x0020_Site_x0020_Column" ma:index="35" nillable="true" ma:displayName="Approval Status Site Column" ma:hidden="true" ma:internalName="Approval_x0020_Status_x0020_Site_x0020_Column" ma:readOnly="false">
      <xsd:simpleType>
        <xsd:restriction base="dms:Text">
          <xsd:maxLength value="255"/>
        </xsd:restriction>
      </xsd:simpleType>
    </xsd:element>
    <xsd:element name="Approver_x0020_Comments_x0020_Site_x0020_Column" ma:index="36" nillable="true" ma:displayName="Approver Comments Site Column" ma:hidden="true" ma:internalName="Approver_x0020_Comments_x0020_Site_x0020_Column" ma:readOnly="false">
      <xsd:simpleType>
        <xsd:restriction base="dms:Note"/>
      </xsd:simpleType>
    </xsd:element>
    <xsd:element name="CheckIn_x0020_Comments" ma:index="37" nillable="true" ma:displayName="CheckIn Comments" ma:hidden="true" ma:internalName="CheckIn_x0020_Comments" ma:readOnly="false">
      <xsd:simpleType>
        <xsd:restriction base="dms:Note"/>
      </xsd:simpleType>
    </xsd:element>
    <xsd:element name="Content_x0020_Submitter" ma:index="38" nillable="true" ma:displayName="Content Submitter" ma:hidden="true" ma:internalName="Content_x0020_Submitter" ma:readOnly="false">
      <xsd:simpleType>
        <xsd:restriction base="dms:Text">
          <xsd:maxLength value="255"/>
        </xsd:restriction>
      </xsd:simpleType>
    </xsd:element>
    <xsd:element name="Date_x0020_Content_x0020_Submitted" ma:index="39" nillable="true" ma:displayName="Date Content Submitted" ma:format="DateTime" ma:hidden="true" ma:internalName="Date_x0020_Content_x0020_Submit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24c5de-8181-400e-a637-df6bd4c8735c" elementFormDefault="qualified">
    <xsd:import namespace="http://schemas.microsoft.com/office/2006/documentManagement/types"/>
    <xsd:import namespace="http://schemas.microsoft.com/office/infopath/2007/PartnerControls"/>
    <xsd:element name="a7eab764dc2743638a036d2b83da4378" ma:index="30" ma:taxonomy="true" ma:internalName="a7eab764dc2743638a036d2b83da4378" ma:taxonomyFieldName="ContentNavigationSection" ma:displayName="Navigation Section" ma:readOnly="false" ma:default="" ma:fieldId="{a7eab764-dc27-4363-8a03-6d2b83da4378}" ma:sspId="fc04c30f-b6b4-43b6-b622-0304433ef98f" ma:termSetId="242a6b1d-baa4-4e82-8a8a-74600408b475" ma:anchorId="e9b6460f-53a4-499d-a47b-7dff755958cc" ma:open="false" ma:isKeyword="false">
      <xsd:complexType>
        <xsd:sequence>
          <xsd:element ref="pc:Terms" minOccurs="0" maxOccurs="1"/>
        </xsd:sequence>
      </xsd:complexType>
    </xsd:element>
    <xsd:element name="f48095704fee46508d3f3ce5246af537" ma:index="31" ma:taxonomy="true" ma:internalName="f48095704fee46508d3f3ce5246af537" ma:taxonomyFieldName="ContentCategoryTopic" ma:displayName="Category/Topic" ma:readOnly="false" ma:default="" ma:fieldId="{f4809570-4fee-4650-8d3f-3ce5246af537}" ma:sspId="fc04c30f-b6b4-43b6-b622-0304433ef98f" ma:termSetId="242a6b1d-baa4-4e82-8a8a-74600408b475" ma:anchorId="654fbb53-fcc5-4b11-a3bc-4fc45c0c49f9"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D97A1-A6F5-4197-A868-30B51E8CBF74}">
  <ds:schemaRefs>
    <ds:schemaRef ds:uri="office.server.policy"/>
  </ds:schemaRefs>
</ds:datastoreItem>
</file>

<file path=customXml/itemProps2.xml><?xml version="1.0" encoding="utf-8"?>
<ds:datastoreItem xmlns:ds="http://schemas.openxmlformats.org/officeDocument/2006/customXml" ds:itemID="{67B948B4-C201-49BD-B1EC-62A72013DB37}">
  <ds:schemaRefs>
    <ds:schemaRef ds:uri="http://schemas.microsoft.com/sharepoint/v3/contenttype/forms"/>
  </ds:schemaRefs>
</ds:datastoreItem>
</file>

<file path=customXml/itemProps3.xml><?xml version="1.0" encoding="utf-8"?>
<ds:datastoreItem xmlns:ds="http://schemas.openxmlformats.org/officeDocument/2006/customXml" ds:itemID="{921CF1C3-67AE-4A34-868B-6540F1A10046}">
  <ds:schemaRefs>
    <ds:schemaRef ds:uri="http://schemas.microsoft.com/sharepoint/events"/>
  </ds:schemaRefs>
</ds:datastoreItem>
</file>

<file path=customXml/itemProps4.xml><?xml version="1.0" encoding="utf-8"?>
<ds:datastoreItem xmlns:ds="http://schemas.openxmlformats.org/officeDocument/2006/customXml" ds:itemID="{0DB030A0-4C29-4FE9-9FAE-FD174C03FA7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3"/>
    <ds:schemaRef ds:uri="f924c5de-8181-400e-a637-df6bd4c8735c"/>
    <ds:schemaRef ds:uri="http://purl.org/dc/terms/"/>
    <ds:schemaRef ds:uri="14f58531-a34f-43cb-b97b-60a4b8e60023"/>
    <ds:schemaRef ds:uri="http://www.w3.org/XML/1998/namespace"/>
    <ds:schemaRef ds:uri="http://purl.org/dc/dcmitype/"/>
  </ds:schemaRefs>
</ds:datastoreItem>
</file>

<file path=customXml/itemProps5.xml><?xml version="1.0" encoding="utf-8"?>
<ds:datastoreItem xmlns:ds="http://schemas.openxmlformats.org/officeDocument/2006/customXml" ds:itemID="{0264291A-3AE8-4F8D-B45B-A71E0CEF7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f924c5de-8181-400e-a637-df6bd4c87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BAC4532-7236-4B78-9364-2266303AF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4036</Words>
  <Characters>23010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CSC-SSD</Company>
  <LinksUpToDate>false</LinksUpToDate>
  <CharactersWithSpaces>26993</CharactersWithSpaces>
  <SharedDoc>false</SharedDoc>
  <HLinks>
    <vt:vector size="12" baseType="variant">
      <vt:variant>
        <vt:i4>7733306</vt:i4>
      </vt:variant>
      <vt:variant>
        <vt:i4>3</vt:i4>
      </vt:variant>
      <vt:variant>
        <vt:i4>0</vt:i4>
      </vt:variant>
      <vt:variant>
        <vt:i4>5</vt:i4>
      </vt:variant>
      <vt:variant>
        <vt:lpwstr>http://cfr.regstoday.com/45cfr1329.aspx</vt:lpwstr>
      </vt:variant>
      <vt:variant>
        <vt:lpwstr/>
      </vt:variant>
      <vt:variant>
        <vt:i4>5505055</vt:i4>
      </vt:variant>
      <vt:variant>
        <vt:i4>0</vt:i4>
      </vt:variant>
      <vt:variant>
        <vt:i4>0</vt:i4>
      </vt:variant>
      <vt:variant>
        <vt:i4>5</vt:i4>
      </vt:variant>
      <vt:variant>
        <vt:lpwstr>http://acl.hhs.gov/display.cfm?pageid=279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Kenneth Smith</dc:creator>
  <cp:lastModifiedBy>SYSTEM</cp:lastModifiedBy>
  <cp:revision>2</cp:revision>
  <cp:lastPrinted>2019-03-06T18:03:00Z</cp:lastPrinted>
  <dcterms:created xsi:type="dcterms:W3CDTF">2019-03-20T16:18:00Z</dcterms:created>
  <dcterms:modified xsi:type="dcterms:W3CDTF">2019-03-20T16:18:00Z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/om/Documents</vt:lpwstr>
  </property>
  <property fmtid="{D5CDD505-2E9C-101B-9397-08002B2CF9AE}" pid="3" name="_dlc_DocIdItemGuid">
    <vt:lpwstr>e02f7a17-3a1d-4164-a99d-071ab84d35aa</vt:lpwstr>
  </property>
  <property fmtid="{D5CDD505-2E9C-101B-9397-08002B2CF9AE}" pid="4" name="ContentTypeId">
    <vt:lpwstr>0x0101001C22A2B9DBEDBB4DB130C1FAF5F2F0080006444156FEDF3F4CAEE85C308BC0B6C1</vt:lpwstr>
  </property>
  <property fmtid="{D5CDD505-2E9C-101B-9397-08002B2CF9AE}" pid="5" name="ItemRetentionFormula">
    <vt:lpwstr/>
  </property>
  <property fmtid="{D5CDD505-2E9C-101B-9397-08002B2CF9AE}" pid="6" name="ContentOffice">
    <vt:lpwstr>93;#OM|9e814648-7b3a-45e3-aa61-fb1d866783a6</vt:lpwstr>
  </property>
  <property fmtid="{D5CDD505-2E9C-101B-9397-08002B2CF9AE}" pid="7" name="ContentNavigationSection">
    <vt:lpwstr>217;#Documents ＆ Forms|0ba06c27-420e-43a0-bce2-ca749b3bd11c</vt:lpwstr>
  </property>
  <property fmtid="{D5CDD505-2E9C-101B-9397-08002B2CF9AE}" pid="8" name="ContentCategoryTopic">
    <vt:lpwstr>218;#Documents ＆ Forms|e8992d00-2526-4b2a-a3c0-1863f5290483</vt:lpwstr>
  </property>
  <property fmtid="{D5CDD505-2E9C-101B-9397-08002B2CF9AE}" pid="9" name="Order">
    <vt:r8>7200</vt:r8>
  </property>
  <property fmtid="{D5CDD505-2E9C-101B-9397-08002B2CF9AE}" pid="10" name="xd_Signature">
    <vt:bool>false</vt:bool>
  </property>
  <property fmtid="{D5CDD505-2E9C-101B-9397-08002B2CF9AE}" pid="11" name="xd_ProgID">
    <vt:lpwstr/>
  </property>
  <property fmtid="{D5CDD505-2E9C-101B-9397-08002B2CF9AE}" pid="12" name="Status">
    <vt:lpwstr/>
  </property>
  <property fmtid="{D5CDD505-2E9C-101B-9397-08002B2CF9AE}" pid="13" name="TemplateUrl">
    <vt:lpwstr/>
  </property>
  <property fmtid="{D5CDD505-2E9C-101B-9397-08002B2CF9AE}" pid="14" name="_dlc_LastRun">
    <vt:lpwstr>01/20/2013 00:01:50</vt:lpwstr>
  </property>
  <property fmtid="{D5CDD505-2E9C-101B-9397-08002B2CF9AE}" pid="15" name="_dlc_ItemStageId">
    <vt:lpwstr>3</vt:lpwstr>
  </property>
  <property fmtid="{D5CDD505-2E9C-101B-9397-08002B2CF9AE}" pid="16" name="WorkflowChangePath">
    <vt:lpwstr>acdd6972-125f-478e-9f19-4824fc853c6a,17;</vt:lpwstr>
  </property>
  <property fmtid="{D5CDD505-2E9C-101B-9397-08002B2CF9AE}" pid="17" name="_dlc_DocId">
    <vt:lpwstr>M44AFDR6A2NR-148-72</vt:lpwstr>
  </property>
  <property fmtid="{D5CDD505-2E9C-101B-9397-08002B2CF9AE}" pid="18" name="_dlc_DocIdUrl">
    <vt:lpwstr>https://share.ed.gov/om/_layouts/DocIdRedir.aspx?ID=M44AFDR6A2NR-148-72, M44AFDR6A2NR-148-72</vt:lpwstr>
  </property>
  <property fmtid="{D5CDD505-2E9C-101B-9397-08002B2CF9AE}" pid="19" name="_dlc_ExpireDateSaved">
    <vt:lpwstr/>
  </property>
  <property fmtid="{D5CDD505-2E9C-101B-9397-08002B2CF9AE}" pid="20" name="_dlc_ExpireDate">
    <vt:lpwstr/>
  </property>
  <property fmtid="{D5CDD505-2E9C-101B-9397-08002B2CF9AE}" pid="21" name="_dlc_Exempt">
    <vt:lpwstr>false</vt:lpwstr>
  </property>
  <property fmtid="{D5CDD505-2E9C-101B-9397-08002B2CF9AE}" pid="22" name="_dlc_DocIdPersistId">
    <vt:lpwstr>0</vt:lpwstr>
  </property>
</Properties>
</file>