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974831" w:rsidRDefault="00870D59" w:rsidP="00DF6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bookmarkStart w:id="0" w:name="_GoBack"/>
      <w:bookmarkEnd w:id="0"/>
      <w:r w:rsidRPr="00974831">
        <w:rPr>
          <w:bCs/>
          <w:sz w:val="24"/>
        </w:rPr>
        <w:t>Supporting Statement – Part A</w:t>
      </w:r>
    </w:p>
    <w:p w:rsidR="00870D59" w:rsidRPr="00974831" w:rsidRDefault="001F4781" w:rsidP="00DF61E3">
      <w:pPr>
        <w:tabs>
          <w:tab w:val="center" w:pos="4752"/>
          <w:tab w:val="left" w:pos="5040"/>
          <w:tab w:val="left" w:pos="5760"/>
          <w:tab w:val="left" w:pos="6480"/>
          <w:tab w:val="left" w:pos="7200"/>
          <w:tab w:val="left" w:pos="7920"/>
          <w:tab w:val="left" w:pos="8640"/>
          <w:tab w:val="left" w:pos="9360"/>
        </w:tabs>
        <w:jc w:val="center"/>
        <w:rPr>
          <w:sz w:val="24"/>
        </w:rPr>
      </w:pPr>
      <w:r w:rsidRPr="00974831">
        <w:rPr>
          <w:sz w:val="24"/>
        </w:rPr>
        <w:t>Electronic Visit Verification Compliance Survey</w:t>
      </w:r>
    </w:p>
    <w:p w:rsidR="001F4781" w:rsidRPr="00974831" w:rsidRDefault="001F4781" w:rsidP="00DF61E3">
      <w:pPr>
        <w:tabs>
          <w:tab w:val="center" w:pos="4752"/>
          <w:tab w:val="left" w:pos="5040"/>
          <w:tab w:val="left" w:pos="5760"/>
          <w:tab w:val="left" w:pos="6480"/>
          <w:tab w:val="left" w:pos="7200"/>
          <w:tab w:val="left" w:pos="7920"/>
          <w:tab w:val="left" w:pos="8640"/>
          <w:tab w:val="left" w:pos="9360"/>
        </w:tabs>
        <w:jc w:val="center"/>
        <w:rPr>
          <w:sz w:val="24"/>
        </w:rPr>
      </w:pPr>
      <w:r w:rsidRPr="00974831">
        <w:rPr>
          <w:sz w:val="24"/>
        </w:rPr>
        <w:t>CMS-</w:t>
      </w:r>
      <w:r w:rsidR="00E56DC4">
        <w:rPr>
          <w:sz w:val="24"/>
        </w:rPr>
        <w:t>10680</w:t>
      </w:r>
      <w:r w:rsidRPr="00974831">
        <w:rPr>
          <w:sz w:val="24"/>
        </w:rPr>
        <w:t>, OMB 0938-TBD</w:t>
      </w:r>
      <w:r w:rsidR="00DF61E3">
        <w:rPr>
          <w:sz w:val="24"/>
        </w:rPr>
        <w:t xml:space="preserve"> (New)</w:t>
      </w:r>
    </w:p>
    <w:p w:rsidR="00870D59" w:rsidRPr="00974831" w:rsidRDefault="00870D59" w:rsidP="00DF61E3">
      <w:pPr>
        <w:tabs>
          <w:tab w:val="center" w:pos="4752"/>
          <w:tab w:val="left" w:pos="5040"/>
          <w:tab w:val="left" w:pos="5760"/>
          <w:tab w:val="left" w:pos="6480"/>
          <w:tab w:val="left" w:pos="7200"/>
          <w:tab w:val="left" w:pos="7920"/>
          <w:tab w:val="left" w:pos="8640"/>
          <w:tab w:val="left" w:pos="9360"/>
        </w:tabs>
        <w:rPr>
          <w:sz w:val="24"/>
        </w:rPr>
      </w:pPr>
    </w:p>
    <w:p w:rsidR="008F1EB4" w:rsidRPr="001F4781" w:rsidRDefault="008F1EB4" w:rsidP="00DF61E3">
      <w:pPr>
        <w:pStyle w:val="Style1"/>
        <w:spacing w:before="0"/>
      </w:pPr>
      <w:r w:rsidRPr="001F4781">
        <w:t>Background</w:t>
      </w:r>
    </w:p>
    <w:p w:rsidR="00BE7C6A" w:rsidRDefault="00BE7C6A" w:rsidP="00DF6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7C6A" w:rsidRPr="00974831" w:rsidRDefault="00BE7C6A"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This collection entails an electronic, web-based survey that will allow states to self-report the</w:t>
      </w:r>
      <w:r w:rsidR="00B66C26" w:rsidRPr="00974831">
        <w:rPr>
          <w:sz w:val="24"/>
        </w:rPr>
        <w:t xml:space="preserve">ir progress in implementing electronic visit verification (EVV) for personal care services (PCS) and home health care services (HHCS), as required by section 1903(l) of the Social Security Act. The Center for </w:t>
      </w:r>
      <w:r w:rsidR="002D2838" w:rsidRPr="00974831">
        <w:rPr>
          <w:sz w:val="24"/>
        </w:rPr>
        <w:t>Medicare and Medicaid</w:t>
      </w:r>
      <w:r w:rsidR="00B66C26" w:rsidRPr="00974831">
        <w:rPr>
          <w:sz w:val="24"/>
        </w:rPr>
        <w:t xml:space="preserve"> Services (</w:t>
      </w:r>
      <w:r w:rsidR="002D2838" w:rsidRPr="00974831">
        <w:rPr>
          <w:sz w:val="24"/>
        </w:rPr>
        <w:t>CM</w:t>
      </w:r>
      <w:r w:rsidR="00B66C26" w:rsidRPr="00974831">
        <w:rPr>
          <w:sz w:val="24"/>
        </w:rPr>
        <w:t>S) will use the survey data to assess states’ compliance with section 1903(l)</w:t>
      </w:r>
      <w:r w:rsidR="000D4D05" w:rsidRPr="00974831">
        <w:rPr>
          <w:sz w:val="24"/>
        </w:rPr>
        <w:t xml:space="preserve"> of the Act</w:t>
      </w:r>
      <w:r w:rsidR="00CC5A3F" w:rsidRPr="00974831">
        <w:rPr>
          <w:sz w:val="24"/>
        </w:rPr>
        <w:t xml:space="preserve"> and levy FMAP reductions where necessary as required by </w:t>
      </w:r>
      <w:r w:rsidR="00CF06FB" w:rsidRPr="00974831">
        <w:rPr>
          <w:sz w:val="24"/>
        </w:rPr>
        <w:t>1903(l) of the</w:t>
      </w:r>
      <w:r w:rsidR="00CC5A3F" w:rsidRPr="00974831">
        <w:rPr>
          <w:sz w:val="24"/>
        </w:rPr>
        <w:t xml:space="preserve"> Act</w:t>
      </w:r>
      <w:r w:rsidR="00B66C26" w:rsidRPr="00974831">
        <w:rPr>
          <w:sz w:val="24"/>
        </w:rPr>
        <w:t>. Data collection will begin in November, 2019 and will end when all states have fully implemented EVV systems according to the requirements specified at section 1903(l)</w:t>
      </w:r>
      <w:r w:rsidR="000D4D05" w:rsidRPr="00974831">
        <w:rPr>
          <w:sz w:val="24"/>
        </w:rPr>
        <w:t xml:space="preserve"> of the Act</w:t>
      </w:r>
      <w:r w:rsidR="00B66C26" w:rsidRPr="00974831">
        <w:rPr>
          <w:sz w:val="24"/>
        </w:rPr>
        <w:t xml:space="preserve">. </w:t>
      </w:r>
    </w:p>
    <w:p w:rsidR="002D2838" w:rsidRPr="00974831" w:rsidRDefault="002D2838" w:rsidP="00B66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2D2838" w:rsidRPr="00974831" w:rsidRDefault="002D2838"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The survey will be disseminated to all 51 state Medicaid agencies (including the District of Columbia) and the Medicaid agencies of five US territories. States will be required to complete the survey in order to demonstrate that they are complaint with S</w:t>
      </w:r>
      <w:r w:rsidR="000D4D05" w:rsidRPr="00974831">
        <w:rPr>
          <w:sz w:val="24"/>
        </w:rPr>
        <w:t xml:space="preserve">ection 1903(l) of the </w:t>
      </w:r>
      <w:r w:rsidRPr="00974831">
        <w:rPr>
          <w:sz w:val="24"/>
        </w:rPr>
        <w:t>Act by reporting on their EVV implementation status for PCS provided under sections 1905(a)(24), 1915(c), 1915(i), 1915(j), 1915(k), and Sect</w:t>
      </w:r>
      <w:r w:rsidR="000D4D05" w:rsidRPr="00974831">
        <w:rPr>
          <w:sz w:val="24"/>
        </w:rPr>
        <w:t xml:space="preserve">ion 1115 of the </w:t>
      </w:r>
      <w:r w:rsidRPr="00974831">
        <w:rPr>
          <w:sz w:val="24"/>
        </w:rPr>
        <w:t>Act; and HHCS provided under 19</w:t>
      </w:r>
      <w:r w:rsidR="000D4D05" w:rsidRPr="00974831">
        <w:rPr>
          <w:sz w:val="24"/>
        </w:rPr>
        <w:t xml:space="preserve">05(a)(7) of the </w:t>
      </w:r>
      <w:r w:rsidRPr="00974831">
        <w:rPr>
          <w:sz w:val="24"/>
        </w:rPr>
        <w:t>Act or under a demonstration project or waiver (e.g., 1915(c)</w:t>
      </w:r>
      <w:r w:rsidR="000D4D05" w:rsidRPr="00974831">
        <w:rPr>
          <w:sz w:val="24"/>
        </w:rPr>
        <w:t xml:space="preserve"> or 1115 of the </w:t>
      </w:r>
      <w:r w:rsidRPr="00974831">
        <w:rPr>
          <w:sz w:val="24"/>
        </w:rPr>
        <w:t>Act).</w:t>
      </w:r>
    </w:p>
    <w:p w:rsidR="009E266F" w:rsidRPr="00974831" w:rsidRDefault="009E266F" w:rsidP="00B66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9E266F" w:rsidRPr="00974831" w:rsidRDefault="009E266F" w:rsidP="009809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 xml:space="preserve">The survey will be a live form, meaning states will have the ability to update their 1903(l) compliance status on a continuous basis. </w:t>
      </w:r>
      <w:r w:rsidR="00CC5A3F" w:rsidRPr="00974831">
        <w:rPr>
          <w:sz w:val="24"/>
        </w:rPr>
        <w:t>As FMAP reductions are assigned quarterly pe</w:t>
      </w:r>
      <w:r w:rsidR="00CF06FB" w:rsidRPr="00974831">
        <w:rPr>
          <w:sz w:val="24"/>
        </w:rPr>
        <w:t>r 1903(l</w:t>
      </w:r>
      <w:r w:rsidR="00754A91">
        <w:rPr>
          <w:sz w:val="24"/>
        </w:rPr>
        <w:t>)</w:t>
      </w:r>
      <w:r w:rsidR="00CF06FB" w:rsidRPr="00974831">
        <w:rPr>
          <w:sz w:val="24"/>
        </w:rPr>
        <w:t xml:space="preserve"> of the Act</w:t>
      </w:r>
      <w:r w:rsidR="00CC5A3F" w:rsidRPr="00974831">
        <w:rPr>
          <w:sz w:val="24"/>
        </w:rPr>
        <w:t>, s</w:t>
      </w:r>
      <w:r w:rsidRPr="00974831">
        <w:rPr>
          <w:sz w:val="24"/>
        </w:rPr>
        <w:t>tates who are not in compliance will be asked to review their survey information on a quarterly basis to ensure it is up-to-date and to update their survey responses as needed until they come into compliance.</w:t>
      </w:r>
      <w:r w:rsidR="000D4D05" w:rsidRPr="00974831">
        <w:rPr>
          <w:sz w:val="24"/>
        </w:rPr>
        <w:t xml:space="preserve"> </w:t>
      </w:r>
    </w:p>
    <w:p w:rsidR="008F1EB4" w:rsidRDefault="008F1EB4" w:rsidP="009809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F4781" w:rsidRDefault="001F4781" w:rsidP="00980923">
      <w:pPr>
        <w:pStyle w:val="Style1"/>
        <w:spacing w:before="0"/>
      </w:pPr>
      <w:r w:rsidRPr="001F4781">
        <w:t>A</w:t>
      </w:r>
      <w:r w:rsidR="008F1EB4" w:rsidRPr="001F4781">
        <w:t>.</w:t>
      </w:r>
      <w:r w:rsidR="008F1EB4" w:rsidRPr="001F4781">
        <w:tab/>
        <w:t>Justification</w:t>
      </w:r>
    </w:p>
    <w:p w:rsidR="008F1EB4" w:rsidRDefault="008F1EB4" w:rsidP="009809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980923">
      <w:pPr>
        <w:pStyle w:val="Style2"/>
        <w:spacing w:before="0"/>
      </w:pPr>
      <w:r w:rsidRPr="0081719E">
        <w:rPr>
          <w:u w:val="none"/>
        </w:rPr>
        <w:t>1.</w:t>
      </w:r>
      <w:r w:rsidRPr="0081719E">
        <w:rPr>
          <w:u w:val="none"/>
        </w:rPr>
        <w:tab/>
      </w:r>
      <w:r>
        <w:t>Need and Legal Basis</w:t>
      </w:r>
    </w:p>
    <w:p w:rsidR="008F1EB4" w:rsidRDefault="008F1EB4" w:rsidP="009809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66C26" w:rsidRPr="00974831" w:rsidRDefault="00B66C26"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Section 12006(a) of the 21</w:t>
      </w:r>
      <w:r w:rsidRPr="00974831">
        <w:rPr>
          <w:sz w:val="24"/>
          <w:vertAlign w:val="superscript"/>
        </w:rPr>
        <w:t>st</w:t>
      </w:r>
      <w:r w:rsidRPr="00974831">
        <w:rPr>
          <w:sz w:val="24"/>
        </w:rPr>
        <w:t xml:space="preserve"> Century Cures Act, signed into law on December 13, 2016, added section 1903(l) to the Social Security Act</w:t>
      </w:r>
      <w:r w:rsidR="00CD5E7E" w:rsidRPr="00CD5E7E">
        <w:rPr>
          <w:rStyle w:val="FootnoteReference"/>
          <w:sz w:val="24"/>
          <w:vertAlign w:val="superscript"/>
        </w:rPr>
        <w:footnoteReference w:id="1"/>
      </w:r>
      <w:r w:rsidRPr="00974831">
        <w:rPr>
          <w:sz w:val="24"/>
        </w:rPr>
        <w:t xml:space="preserve">, which mandates that states require electronic visit verification (EVV) use for Medicaid-funded personal care services and home health care services for in-home visits by a provider. </w:t>
      </w:r>
      <w:r w:rsidR="006A7621">
        <w:rPr>
          <w:sz w:val="24"/>
        </w:rPr>
        <w:t>S</w:t>
      </w:r>
      <w:r w:rsidRPr="00974831">
        <w:rPr>
          <w:sz w:val="24"/>
        </w:rPr>
        <w:t xml:space="preserve">tates </w:t>
      </w:r>
      <w:r w:rsidR="006A7621">
        <w:rPr>
          <w:sz w:val="24"/>
        </w:rPr>
        <w:t>are</w:t>
      </w:r>
      <w:r w:rsidRPr="00974831">
        <w:rPr>
          <w:sz w:val="24"/>
        </w:rPr>
        <w:t xml:space="preserve"> required to implement EVV for PCS by January 1, 20</w:t>
      </w:r>
      <w:r w:rsidR="006A7621">
        <w:rPr>
          <w:sz w:val="24"/>
        </w:rPr>
        <w:t>20</w:t>
      </w:r>
      <w:r w:rsidRPr="00974831">
        <w:rPr>
          <w:sz w:val="24"/>
        </w:rPr>
        <w:t xml:space="preserve"> and for HHCS by January 1, 2023. Otherwise, the state will be subject to incremental reductions in Federal Medical Assistance Percentage (FMAP) matching of PCS and HHCS expenditures </w:t>
      </w:r>
      <w:r w:rsidR="005F2055" w:rsidRPr="00974831">
        <w:rPr>
          <w:sz w:val="24"/>
        </w:rPr>
        <w:t xml:space="preserve">quarterly </w:t>
      </w:r>
      <w:r w:rsidRPr="00974831">
        <w:rPr>
          <w:sz w:val="24"/>
        </w:rPr>
        <w:t>over the first five years of the requirement that will eventually reach 1 percent. The 1 percent FMAP reductions will advance forward every quarter until compliance is achieved. This applies to PCS provided under sections 1905(a)(24), 1915(c), 1915(i), 1915(j), 1915(k), an</w:t>
      </w:r>
      <w:r w:rsidR="000D4D05" w:rsidRPr="00974831">
        <w:rPr>
          <w:sz w:val="24"/>
        </w:rPr>
        <w:t xml:space="preserve">d Section 1115 of the </w:t>
      </w:r>
      <w:r w:rsidRPr="00974831">
        <w:rPr>
          <w:sz w:val="24"/>
        </w:rPr>
        <w:t>Act; and HHCS provided under 19</w:t>
      </w:r>
      <w:r w:rsidR="000D4D05" w:rsidRPr="00974831">
        <w:rPr>
          <w:sz w:val="24"/>
        </w:rPr>
        <w:t xml:space="preserve">05(a)(7) of the </w:t>
      </w:r>
      <w:r w:rsidRPr="00974831">
        <w:rPr>
          <w:sz w:val="24"/>
        </w:rPr>
        <w:t>Act or under a demonstration project or waiver (e.g., 1915(c)</w:t>
      </w:r>
      <w:r w:rsidR="000D4D05" w:rsidRPr="00974831">
        <w:rPr>
          <w:sz w:val="24"/>
        </w:rPr>
        <w:t xml:space="preserve"> or 1115 of the </w:t>
      </w:r>
      <w:r w:rsidRPr="00974831">
        <w:rPr>
          <w:sz w:val="24"/>
        </w:rPr>
        <w:t>Act).</w:t>
      </w:r>
    </w:p>
    <w:p w:rsidR="00B66C26" w:rsidRPr="00974831" w:rsidRDefault="002F40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ab/>
      </w:r>
    </w:p>
    <w:p w:rsidR="002F405E" w:rsidRPr="00974831" w:rsidRDefault="002F405E"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CMS is responsible for ensuring that states comply with S</w:t>
      </w:r>
      <w:r w:rsidR="000D4D05" w:rsidRPr="00974831">
        <w:rPr>
          <w:sz w:val="24"/>
        </w:rPr>
        <w:t xml:space="preserve">ection 1903(l) of the </w:t>
      </w:r>
      <w:r w:rsidRPr="00974831">
        <w:rPr>
          <w:sz w:val="24"/>
        </w:rPr>
        <w:t>Act. In order to do so CMS requires a centralized structure that will enable states to notify CMS when they have implemented the provisions of Section 1903(l) for PCS and HHCS provided under the authorities listed above. The web-based survey proposed in this document will provide a mechanism for CMS to track EVV implementation nationwide and provide states a readily accessible and streamlined method for updating CMS on its EVV status. CMS will use the information provided to determine whether to apply FMAP reductions. In order for CMS to meet the statutory requirements at Section 1903(l), this survey must be active and availabl</w:t>
      </w:r>
      <w:r w:rsidR="009E266F" w:rsidRPr="00974831">
        <w:rPr>
          <w:sz w:val="24"/>
        </w:rPr>
        <w:t>e to states by November</w:t>
      </w:r>
      <w:r w:rsidRPr="00974831">
        <w:rPr>
          <w:sz w:val="24"/>
        </w:rPr>
        <w:t xml:space="preserve">, 2019. The survey will allow states to update their survey response in real-time as warranted by changes in their EVV implementation status. </w:t>
      </w:r>
      <w:r w:rsidR="005F2055" w:rsidRPr="00974831">
        <w:rPr>
          <w:sz w:val="24"/>
        </w:rPr>
        <w:t>As a result CMS will be able to both impose and/or lift the FM</w:t>
      </w:r>
      <w:r w:rsidR="00CF06FB" w:rsidRPr="00974831">
        <w:rPr>
          <w:sz w:val="24"/>
        </w:rPr>
        <w:t>A</w:t>
      </w:r>
      <w:r w:rsidR="005F2055" w:rsidRPr="00974831">
        <w:rPr>
          <w:sz w:val="24"/>
        </w:rPr>
        <w:t xml:space="preserve">P reduction in a timely (quarterly) manner, thereby avoiding any complicated payment corrections after the fact.  </w:t>
      </w:r>
      <w:r w:rsidRPr="00974831">
        <w:rPr>
          <w:sz w:val="24"/>
        </w:rPr>
        <w:t>Without this survey, CMS will not have a method for verifying states’ compliance with Section 1903(l) or for reliably effectuating FMAP reductions as required by statute.</w:t>
      </w:r>
    </w:p>
    <w:p w:rsidR="00B66C26" w:rsidRDefault="00B66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2.</w:t>
      </w:r>
      <w:r w:rsidRPr="0081719E">
        <w:rPr>
          <w:u w:val="none"/>
        </w:rPr>
        <w:tab/>
      </w:r>
      <w: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F405E" w:rsidRPr="00974831" w:rsidRDefault="002F405E"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The information will be used by the Disabled and Elderly and Health Programs Gro</w:t>
      </w:r>
      <w:r w:rsidR="000D4D05" w:rsidRPr="00974831">
        <w:rPr>
          <w:sz w:val="24"/>
        </w:rPr>
        <w:t>u</w:t>
      </w:r>
      <w:r w:rsidRPr="00974831">
        <w:rPr>
          <w:sz w:val="24"/>
        </w:rPr>
        <w:t>p</w:t>
      </w:r>
      <w:r w:rsidR="005F2055" w:rsidRPr="00974831">
        <w:rPr>
          <w:sz w:val="24"/>
        </w:rPr>
        <w:t>, Data Systems Group,</w:t>
      </w:r>
      <w:r w:rsidRPr="00974831">
        <w:rPr>
          <w:sz w:val="24"/>
        </w:rPr>
        <w:t xml:space="preserve"> and Financial Management Group within the Centers for Medicaid and CHIP Services, as well as their contractor, Lewis and Ellis, Inc.</w:t>
      </w:r>
      <w:r w:rsidR="00EE6009">
        <w:rPr>
          <w:sz w:val="24"/>
        </w:rPr>
        <w:t xml:space="preserve"> (including Lewis and Ellis’ subcontractors: Solutions by Design and Navigant Consulting)</w:t>
      </w:r>
      <w:r w:rsidRPr="00974831">
        <w:rPr>
          <w:sz w:val="24"/>
        </w:rPr>
        <w:t xml:space="preserve">, to monitor EVV implementation nationwide and assess state compliance with Section 1903(l) of the Social Security Act. The information will be accessed via an online portal that houses the survey and states’ responses, which allows </w:t>
      </w:r>
      <w:r w:rsidR="002D2838" w:rsidRPr="00974831">
        <w:rPr>
          <w:sz w:val="24"/>
        </w:rPr>
        <w:t>CMS and its contractor</w:t>
      </w:r>
      <w:r w:rsidRPr="00974831">
        <w:rPr>
          <w:sz w:val="24"/>
        </w:rPr>
        <w:t xml:space="preserve"> to view, query, and filter Section 1903(l) compliance data, and download reports based on those queries. </w:t>
      </w:r>
      <w:r w:rsidR="002D2838" w:rsidRPr="00974831">
        <w:rPr>
          <w:sz w:val="24"/>
        </w:rPr>
        <w:t>Collected information will be ac</w:t>
      </w:r>
      <w:r w:rsidR="00C379F6" w:rsidRPr="00974831">
        <w:rPr>
          <w:sz w:val="24"/>
        </w:rPr>
        <w:t xml:space="preserve">cessed by CMS staff on </w:t>
      </w:r>
      <w:r w:rsidR="002D2838" w:rsidRPr="00974831">
        <w:rPr>
          <w:sz w:val="24"/>
        </w:rPr>
        <w:t xml:space="preserve">a quarterly basis to determine states’ EVV implementation status and whether to effectuate FMAP reductions (for states that are non-compliant with </w:t>
      </w:r>
      <w:r w:rsidR="002D2838" w:rsidRPr="00974831">
        <w:rPr>
          <w:rFonts w:eastAsia="Calibri"/>
          <w:bCs/>
          <w:sz w:val="24"/>
        </w:rPr>
        <w:t>Section 1903(l)) or cease FMAP reductions (for states that were previously non-compliant and have demonstrated they have come into compliance).</w:t>
      </w:r>
    </w:p>
    <w:p w:rsidR="002F405E" w:rsidRDefault="002F40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8F1EB4" w:rsidRDefault="008F1EB4" w:rsidP="0081719E">
      <w:pPr>
        <w:pStyle w:val="Style2"/>
      </w:pPr>
      <w:r w:rsidRPr="0081719E">
        <w:rPr>
          <w:u w:val="none"/>
        </w:rPr>
        <w:t>3.</w:t>
      </w:r>
      <w:r w:rsidRPr="0081719E">
        <w:rPr>
          <w:u w:val="none"/>
        </w:rPr>
        <w:tab/>
      </w:r>
      <w: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D2838" w:rsidRPr="00974831" w:rsidRDefault="00247B83"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 xml:space="preserve">All information will be collected using a web-based survey and is available for completion electronically. This collection does not require a signature from respondents. </w:t>
      </w:r>
    </w:p>
    <w:p w:rsidR="002D2838" w:rsidRDefault="002D28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4.</w:t>
      </w:r>
      <w:r w:rsidRPr="0081719E">
        <w:rPr>
          <w:u w:val="none"/>
        </w:rPr>
        <w:tab/>
      </w:r>
      <w:r>
        <w:t>Duplication of Efforts</w:t>
      </w:r>
    </w:p>
    <w:p w:rsidR="009E266F" w:rsidRDefault="009E266F" w:rsidP="00C450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266F" w:rsidRPr="00974831" w:rsidRDefault="009E266F"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This information collection does not duplicate any other effort and the information cannot be obtained from any other source.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5.</w:t>
      </w:r>
      <w:r w:rsidRPr="0081719E">
        <w:rPr>
          <w:u w:val="none"/>
        </w:rPr>
        <w:tab/>
      </w:r>
      <w: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47B83" w:rsidRPr="00974831" w:rsidRDefault="00247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 xml:space="preserve">This collection does not impact small businesses or other small entities. </w:t>
      </w:r>
    </w:p>
    <w:p w:rsidR="00247B83" w:rsidRDefault="00247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6.</w:t>
      </w:r>
      <w:r w:rsidRPr="0081719E">
        <w:rPr>
          <w:u w:val="none"/>
        </w:rPr>
        <w:tab/>
      </w:r>
      <w: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47B83" w:rsidRPr="00974831" w:rsidRDefault="00754A91"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States will be required to complete the data collection at least twice (once to indicate their compliance with EVV requirements for PCS and once to indicate their compliance with EVV requirements for HHCS). </w:t>
      </w:r>
      <w:r w:rsidRPr="00974831">
        <w:rPr>
          <w:sz w:val="24"/>
        </w:rPr>
        <w:t>As FMAP reductions are assigned quarterly per 1903(l</w:t>
      </w:r>
      <w:r>
        <w:rPr>
          <w:sz w:val="24"/>
        </w:rPr>
        <w:t>)</w:t>
      </w:r>
      <w:r w:rsidRPr="00974831">
        <w:rPr>
          <w:sz w:val="24"/>
        </w:rPr>
        <w:t xml:space="preserve"> of the Act, states who are not in compliance will be asked to review their survey information on a quarterly basis to ensure it is up-to-date and to update their survey responses as needed until they come into compliance.</w:t>
      </w:r>
      <w:r>
        <w:rPr>
          <w:sz w:val="24"/>
        </w:rPr>
        <w:t xml:space="preserve"> </w:t>
      </w:r>
      <w:r w:rsidR="00247B83" w:rsidRPr="00974831">
        <w:rPr>
          <w:sz w:val="24"/>
        </w:rPr>
        <w:t xml:space="preserve">If </w:t>
      </w:r>
      <w:r>
        <w:rPr>
          <w:sz w:val="24"/>
        </w:rPr>
        <w:t>data were collected less frequently</w:t>
      </w:r>
      <w:r w:rsidR="00247B83" w:rsidRPr="00974831">
        <w:rPr>
          <w:sz w:val="24"/>
        </w:rPr>
        <w:t xml:space="preserve">, CMS </w:t>
      </w:r>
      <w:r>
        <w:rPr>
          <w:sz w:val="24"/>
        </w:rPr>
        <w:t>would not be able to reliably</w:t>
      </w:r>
      <w:r w:rsidR="00247B83" w:rsidRPr="00974831">
        <w:rPr>
          <w:sz w:val="24"/>
        </w:rPr>
        <w:t xml:space="preserve"> assess states’ compliance with </w:t>
      </w:r>
      <w:r w:rsidR="003B02F2" w:rsidRPr="00974831">
        <w:rPr>
          <w:sz w:val="24"/>
        </w:rPr>
        <w:t>S</w:t>
      </w:r>
      <w:r w:rsidR="00247B83" w:rsidRPr="00974831">
        <w:rPr>
          <w:sz w:val="24"/>
        </w:rPr>
        <w:t>ection 1903</w:t>
      </w:r>
      <w:r w:rsidR="003B02F2" w:rsidRPr="00974831">
        <w:rPr>
          <w:sz w:val="24"/>
        </w:rPr>
        <w:t>(l) of the A</w:t>
      </w:r>
      <w:r w:rsidR="00247B83" w:rsidRPr="00974831">
        <w:rPr>
          <w:sz w:val="24"/>
        </w:rPr>
        <w:t xml:space="preserve">ct </w:t>
      </w:r>
      <w:r>
        <w:rPr>
          <w:sz w:val="24"/>
        </w:rPr>
        <w:t>and</w:t>
      </w:r>
      <w:r w:rsidR="00247B83" w:rsidRPr="00974831">
        <w:rPr>
          <w:sz w:val="24"/>
        </w:rPr>
        <w:t xml:space="preserve"> determin</w:t>
      </w:r>
      <w:r>
        <w:rPr>
          <w:sz w:val="24"/>
        </w:rPr>
        <w:t>e</w:t>
      </w:r>
      <w:r w:rsidR="00247B83" w:rsidRPr="00974831">
        <w:rPr>
          <w:sz w:val="24"/>
        </w:rPr>
        <w:t xml:space="preserve"> whether to effectuate FMAP reductions due to non-compliance. As a result </w:t>
      </w:r>
      <w:r>
        <w:rPr>
          <w:sz w:val="24"/>
        </w:rPr>
        <w:t xml:space="preserve">states could be unfairly or improperly subjected to FMAP reductions and </w:t>
      </w:r>
      <w:r w:rsidR="00247B83" w:rsidRPr="00974831">
        <w:rPr>
          <w:sz w:val="24"/>
        </w:rPr>
        <w:t>CMS could be deemed out of compliance with its statutory mandate to administer Section 1903(l)</w:t>
      </w:r>
      <w:r w:rsidR="00C379F6" w:rsidRPr="00974831">
        <w:rPr>
          <w:sz w:val="24"/>
        </w:rPr>
        <w:t xml:space="preserve"> of the Act</w:t>
      </w:r>
      <w:r w:rsidR="00247B83" w:rsidRPr="00974831">
        <w:rPr>
          <w:sz w:val="24"/>
        </w:rPr>
        <w:t xml:space="preserve">. </w:t>
      </w:r>
    </w:p>
    <w:p w:rsidR="00247B83" w:rsidRDefault="00247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81719E" w:rsidRDefault="008F1EB4" w:rsidP="0081719E">
      <w:pPr>
        <w:pStyle w:val="Style2"/>
      </w:pPr>
      <w:r w:rsidRPr="0081719E">
        <w:rPr>
          <w:u w:val="none"/>
        </w:rPr>
        <w:t>7.</w:t>
      </w:r>
      <w:r w:rsidRPr="0081719E">
        <w:rPr>
          <w:u w:val="none"/>
        </w:rPr>
        <w:tab/>
      </w:r>
      <w:r w:rsidRPr="0081719E">
        <w:t>Special Circumstances</w:t>
      </w:r>
    </w:p>
    <w:p w:rsidR="003B02F2" w:rsidRDefault="003B0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0502" w:rsidRPr="00C450F6" w:rsidRDefault="00FC0502" w:rsidP="00A02048">
      <w:pPr>
        <w:ind w:right="-20"/>
        <w:rPr>
          <w:sz w:val="24"/>
        </w:rPr>
      </w:pPr>
      <w:r w:rsidRPr="00C450F6">
        <w:rPr>
          <w:sz w:val="24"/>
        </w:rPr>
        <w:t>There are no special circumstances that would require an information collection to be conducted in a manner that requires respondents to:</w:t>
      </w:r>
    </w:p>
    <w:p w:rsidR="00FC0502" w:rsidRPr="00C450F6" w:rsidRDefault="00FC0502" w:rsidP="00A02048">
      <w:pPr>
        <w:ind w:right="-20"/>
        <w:rPr>
          <w:sz w:val="24"/>
        </w:rPr>
      </w:pPr>
      <w:r w:rsidRPr="00C450F6">
        <w:rPr>
          <w:sz w:val="24"/>
        </w:rPr>
        <w:t>•</w:t>
      </w:r>
      <w:r w:rsidRPr="00C450F6">
        <w:rPr>
          <w:sz w:val="24"/>
        </w:rPr>
        <w:tab/>
        <w:t>Report information to the agency more often than quarterly;</w:t>
      </w:r>
    </w:p>
    <w:p w:rsidR="00FC0502" w:rsidRPr="00C450F6" w:rsidRDefault="00FC0502" w:rsidP="00A02048">
      <w:pPr>
        <w:ind w:right="-20"/>
        <w:rPr>
          <w:sz w:val="24"/>
        </w:rPr>
      </w:pPr>
      <w:r w:rsidRPr="00C450F6">
        <w:rPr>
          <w:sz w:val="24"/>
        </w:rPr>
        <w:t>•</w:t>
      </w:r>
      <w:r w:rsidRPr="00C450F6">
        <w:rPr>
          <w:sz w:val="24"/>
        </w:rPr>
        <w:tab/>
        <w:t xml:space="preserve">Prepare a written response to a collection of information in fewer than 30 days after receipt of it; </w:t>
      </w:r>
    </w:p>
    <w:p w:rsidR="00FC0502" w:rsidRPr="00C450F6" w:rsidRDefault="00FC0502" w:rsidP="00A02048">
      <w:pPr>
        <w:ind w:right="-20"/>
        <w:rPr>
          <w:sz w:val="24"/>
        </w:rPr>
      </w:pPr>
      <w:r w:rsidRPr="00C450F6">
        <w:rPr>
          <w:sz w:val="24"/>
        </w:rPr>
        <w:t>•</w:t>
      </w:r>
      <w:r w:rsidRPr="00C450F6">
        <w:rPr>
          <w:sz w:val="24"/>
        </w:rPr>
        <w:tab/>
        <w:t>Submit more than an original and two copies of any document;</w:t>
      </w:r>
    </w:p>
    <w:p w:rsidR="00FC0502" w:rsidRPr="00C450F6" w:rsidRDefault="00FC0502" w:rsidP="00A02048">
      <w:pPr>
        <w:ind w:right="-20"/>
        <w:rPr>
          <w:sz w:val="24"/>
        </w:rPr>
      </w:pPr>
      <w:r w:rsidRPr="00C450F6">
        <w:rPr>
          <w:sz w:val="24"/>
        </w:rPr>
        <w:t>•</w:t>
      </w:r>
      <w:r w:rsidRPr="00C450F6">
        <w:rPr>
          <w:sz w:val="24"/>
        </w:rPr>
        <w:tab/>
        <w:t>Retain records, other than health, medical, government contract, grant-in-aid, or tax records for more than three years;</w:t>
      </w:r>
    </w:p>
    <w:p w:rsidR="00FC0502" w:rsidRPr="00C450F6" w:rsidRDefault="00FC0502" w:rsidP="00A02048">
      <w:pPr>
        <w:ind w:right="-20"/>
        <w:rPr>
          <w:sz w:val="24"/>
        </w:rPr>
      </w:pPr>
      <w:r w:rsidRPr="00C450F6">
        <w:rPr>
          <w:sz w:val="24"/>
        </w:rPr>
        <w:t>•</w:t>
      </w:r>
      <w:r w:rsidRPr="00C450F6">
        <w:rPr>
          <w:sz w:val="24"/>
        </w:rPr>
        <w:tab/>
        <w:t>Collect data in connection with a statistical survey that is not designed to produce valid and reliable results that can be generalized to the universe of study,</w:t>
      </w:r>
    </w:p>
    <w:p w:rsidR="00FC0502" w:rsidRPr="00C450F6" w:rsidRDefault="00FC0502" w:rsidP="00A02048">
      <w:pPr>
        <w:ind w:right="-20"/>
        <w:rPr>
          <w:sz w:val="24"/>
        </w:rPr>
      </w:pPr>
      <w:r w:rsidRPr="00C450F6">
        <w:rPr>
          <w:sz w:val="24"/>
        </w:rPr>
        <w:t>•</w:t>
      </w:r>
      <w:r w:rsidRPr="00C450F6">
        <w:rPr>
          <w:sz w:val="24"/>
        </w:rPr>
        <w:tab/>
        <w:t>Use a statistical data classification that has not been reviewed and approved by OMB;</w:t>
      </w:r>
    </w:p>
    <w:p w:rsidR="00FC0502" w:rsidRPr="00C450F6" w:rsidRDefault="00FC0502" w:rsidP="00A02048">
      <w:pPr>
        <w:ind w:right="-20"/>
        <w:rPr>
          <w:sz w:val="24"/>
        </w:rPr>
      </w:pPr>
      <w:r w:rsidRPr="00C450F6">
        <w:rPr>
          <w:sz w:val="24"/>
        </w:rPr>
        <w:t>•</w:t>
      </w:r>
      <w:r w:rsidRPr="00C450F6">
        <w:rPr>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C0502" w:rsidRPr="00C450F6" w:rsidRDefault="00FC0502" w:rsidP="00A02048">
      <w:pPr>
        <w:ind w:right="-20"/>
        <w:rPr>
          <w:sz w:val="24"/>
        </w:rPr>
      </w:pPr>
      <w:r w:rsidRPr="00C450F6">
        <w:rPr>
          <w:sz w:val="24"/>
        </w:rPr>
        <w:t>•</w:t>
      </w:r>
      <w:r w:rsidRPr="00C450F6">
        <w:rPr>
          <w:sz w:val="24"/>
        </w:rPr>
        <w:tab/>
        <w:t>Submit proprietary trade secret, or other confidential information unless the agency can demonstrate that it has instituted procedures to protect the information's confidentiality to the extent permitted by law.</w:t>
      </w:r>
    </w:p>
    <w:p w:rsidR="0025205E" w:rsidRDefault="002520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8.</w:t>
      </w:r>
      <w:r w:rsidRPr="0081719E">
        <w:rPr>
          <w:u w:val="none"/>
        </w:rPr>
        <w:tab/>
      </w:r>
      <w: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2406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40611">
        <w:rPr>
          <w:sz w:val="24"/>
        </w:rPr>
        <w:t xml:space="preserve">The 60-day notice published in the Federal Register on </w:t>
      </w:r>
      <w:r>
        <w:rPr>
          <w:sz w:val="24"/>
        </w:rPr>
        <w:t>October 5</w:t>
      </w:r>
      <w:r w:rsidRPr="00240611">
        <w:rPr>
          <w:sz w:val="24"/>
        </w:rPr>
        <w:t xml:space="preserve">, 2018 (83 FR </w:t>
      </w:r>
      <w:r>
        <w:rPr>
          <w:sz w:val="24"/>
        </w:rPr>
        <w:t>50381</w:t>
      </w:r>
      <w:r w:rsidRPr="00240611">
        <w:rPr>
          <w:sz w:val="24"/>
        </w:rPr>
        <w:t xml:space="preserve">). </w:t>
      </w:r>
      <w:r>
        <w:rPr>
          <w:sz w:val="24"/>
        </w:rPr>
        <w:t>Comments were received. The comments are attached to this package along with our response and a crosswalk of changes.</w:t>
      </w:r>
    </w:p>
    <w:p w:rsidR="00240611" w:rsidRDefault="002406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2518C" w:rsidRDefault="0052518C" w:rsidP="005251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40611">
        <w:rPr>
          <w:sz w:val="24"/>
        </w:rPr>
        <w:t xml:space="preserve">The </w:t>
      </w:r>
      <w:r>
        <w:rPr>
          <w:sz w:val="24"/>
        </w:rPr>
        <w:t>3</w:t>
      </w:r>
      <w:r w:rsidRPr="00240611">
        <w:rPr>
          <w:sz w:val="24"/>
        </w:rPr>
        <w:t xml:space="preserve">0-day notice published in the Federal Register on </w:t>
      </w:r>
      <w:r w:rsidR="002A5AAB">
        <w:rPr>
          <w:sz w:val="24"/>
        </w:rPr>
        <w:t>February 14</w:t>
      </w:r>
      <w:r w:rsidRPr="00240611">
        <w:rPr>
          <w:sz w:val="24"/>
        </w:rPr>
        <w:t>, 201</w:t>
      </w:r>
      <w:r w:rsidR="002A5AAB">
        <w:rPr>
          <w:sz w:val="24"/>
        </w:rPr>
        <w:t>9</w:t>
      </w:r>
      <w:r w:rsidRPr="00240611">
        <w:rPr>
          <w:sz w:val="24"/>
        </w:rPr>
        <w:t xml:space="preserve"> (8</w:t>
      </w:r>
      <w:r w:rsidR="002A5AAB">
        <w:rPr>
          <w:sz w:val="24"/>
        </w:rPr>
        <w:t>4</w:t>
      </w:r>
      <w:r w:rsidRPr="00240611">
        <w:rPr>
          <w:sz w:val="24"/>
        </w:rPr>
        <w:t xml:space="preserve"> FR </w:t>
      </w:r>
      <w:r w:rsidR="002A5AAB">
        <w:rPr>
          <w:sz w:val="24"/>
        </w:rPr>
        <w:t>4073</w:t>
      </w:r>
      <w:r w:rsidRPr="00240611">
        <w:rPr>
          <w:sz w:val="24"/>
        </w:rPr>
        <w:t xml:space="preserve">). </w:t>
      </w:r>
      <w:r>
        <w:rPr>
          <w:sz w:val="24"/>
        </w:rPr>
        <w:t>Comments were received. The comments are attached to this package along with our response and a crosswalk of changes</w:t>
      </w:r>
      <w:r w:rsidR="00F233B3">
        <w:rPr>
          <w:sz w:val="24"/>
        </w:rPr>
        <w:t xml:space="preserve"> (see March 2019 for the 30-day changes)</w:t>
      </w:r>
      <w:r>
        <w:rPr>
          <w:sz w:val="24"/>
        </w:rPr>
        <w:t>.</w:t>
      </w:r>
    </w:p>
    <w:p w:rsidR="0052518C" w:rsidRDefault="005251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9.</w:t>
      </w:r>
      <w:r w:rsidRPr="0081719E">
        <w:rPr>
          <w:u w:val="none"/>
        </w:rPr>
        <w:tab/>
      </w:r>
      <w:r>
        <w:t>Payments/Gifts to Respondents</w:t>
      </w:r>
    </w:p>
    <w:p w:rsidR="003B02F2" w:rsidRDefault="003B0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02F2" w:rsidRPr="00974831" w:rsidRDefault="003B02F2"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 xml:space="preserve">Payments or gifts will not be provided to respondents.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10.</w:t>
      </w:r>
      <w:r w:rsidRPr="0081719E">
        <w:rPr>
          <w:u w:val="none"/>
        </w:rPr>
        <w:tab/>
      </w:r>
      <w:r>
        <w:t>Confidentiality</w:t>
      </w:r>
    </w:p>
    <w:p w:rsidR="003B02F2" w:rsidRPr="00974831" w:rsidRDefault="003B0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02F2" w:rsidRPr="00974831" w:rsidRDefault="003B02F2"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Assurances of confidentiality</w:t>
      </w:r>
      <w:r w:rsidR="007D75E0">
        <w:rPr>
          <w:sz w:val="24"/>
        </w:rPr>
        <w:t xml:space="preserve"> will not be provided to respondents. </w:t>
      </w:r>
      <w:r w:rsidR="00EE6009">
        <w:rPr>
          <w:sz w:val="24"/>
        </w:rPr>
        <w:t>R</w:t>
      </w:r>
      <w:r w:rsidR="00117D37">
        <w:rPr>
          <w:sz w:val="24"/>
        </w:rPr>
        <w:t>espondents (states) are expected to have made the information requested for this data collection public to their stakeholder communities per Section 1903(l)(2)(B) of the Act, which requires that states “</w:t>
      </w:r>
      <w:r w:rsidR="00117D37" w:rsidRPr="00117D37">
        <w:rPr>
          <w:sz w:val="24"/>
        </w:rPr>
        <w:t>take into account a stakeholder process that includes input from beneficiaries, family caregivers, individuals who furnish personal care services or home health care services, and other stakeholders, as determined by the State in accordance with guidance from the Secretary</w:t>
      </w:r>
      <w:r w:rsidR="00117D37">
        <w:rPr>
          <w:sz w:val="24"/>
        </w:rPr>
        <w:t>.” In addition, t</w:t>
      </w:r>
      <w:r w:rsidR="007D75E0">
        <w:rPr>
          <w:sz w:val="24"/>
        </w:rPr>
        <w:t xml:space="preserve">he information being requested for this data collection is intended to be publicly available upon request. CMS also intends to share states’ EVV implementation status with its stakeholder community (see #16 below). </w:t>
      </w:r>
      <w:r w:rsidR="006364C8">
        <w:rPr>
          <w:sz w:val="24"/>
        </w:rPr>
        <w:t>Further, as noted in #11 below, there are</w:t>
      </w:r>
      <w:r w:rsidR="006364C8" w:rsidRPr="006364C8">
        <w:rPr>
          <w:sz w:val="24"/>
        </w:rPr>
        <w:t xml:space="preserve"> </w:t>
      </w:r>
      <w:r w:rsidR="006364C8" w:rsidRPr="00F512DD">
        <w:rPr>
          <w:sz w:val="24"/>
        </w:rPr>
        <w:t xml:space="preserve">no sensitive questions associated with this collection. </w:t>
      </w:r>
    </w:p>
    <w:p w:rsidR="008F1EB4" w:rsidRPr="00974831"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11.</w:t>
      </w:r>
      <w:r w:rsidRPr="0081719E">
        <w:rPr>
          <w:u w:val="none"/>
        </w:rPr>
        <w:tab/>
      </w:r>
      <w:r>
        <w:t>Sensitive Questions</w:t>
      </w:r>
    </w:p>
    <w:p w:rsidR="003B02F2" w:rsidRDefault="003B0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512DD" w:rsidRDefault="00F512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512DD">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F512DD" w:rsidRDefault="00F512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12.</w:t>
      </w:r>
      <w:r w:rsidRPr="0081719E">
        <w:rPr>
          <w:u w:val="none"/>
        </w:rPr>
        <w:tab/>
      </w:r>
      <w: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7018" w:rsidRPr="00971F0C" w:rsidRDefault="00BA7018" w:rsidP="00A02048">
      <w:pPr>
        <w:ind w:right="-20" w:firstLine="5"/>
        <w:rPr>
          <w:i/>
          <w:sz w:val="24"/>
        </w:rPr>
      </w:pPr>
      <w:r w:rsidRPr="00971F0C">
        <w:rPr>
          <w:i/>
          <w:sz w:val="24"/>
        </w:rPr>
        <w:t>Wage Estimates</w:t>
      </w:r>
    </w:p>
    <w:p w:rsidR="00BA7018" w:rsidRDefault="00BA7018"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B02F2" w:rsidRPr="00974831" w:rsidRDefault="003B02F2"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To derive average costs, we are using data from the U.S. Bureau of Labor Statistics’ May 2017 National Occupational Employment and Wage Estimates for all salary estimates (</w:t>
      </w:r>
      <w:hyperlink r:id="rId9" w:history="1">
        <w:r w:rsidR="00A02048" w:rsidRPr="003120DB">
          <w:rPr>
            <w:rStyle w:val="Hyperlink"/>
            <w:sz w:val="24"/>
          </w:rPr>
          <w:t>http://www.bls.gov/oes/current/oes_nat.htm</w:t>
        </w:r>
      </w:hyperlink>
      <w:r w:rsidRPr="00974831">
        <w:rPr>
          <w:sz w:val="24"/>
        </w:rPr>
        <w:t>). In this regard, the following table presents the mean hourly wage, the cost of fringe benefits (calculated at 100 percent of salary), and the adjusted hourly wage.</w:t>
      </w:r>
    </w:p>
    <w:p w:rsidR="003B02F2" w:rsidRPr="00974831" w:rsidRDefault="003B0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843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1620"/>
        <w:gridCol w:w="990"/>
        <w:gridCol w:w="1350"/>
        <w:gridCol w:w="1980"/>
      </w:tblGrid>
      <w:tr w:rsidR="003B02F2" w:rsidRPr="00A84FFD" w:rsidTr="006D4948">
        <w:trPr>
          <w:trHeight w:val="926"/>
          <w:tblHeader/>
        </w:trPr>
        <w:tc>
          <w:tcPr>
            <w:tcW w:w="2497" w:type="dxa"/>
            <w:shd w:val="clear" w:color="auto" w:fill="auto"/>
          </w:tcPr>
          <w:p w:rsidR="003B02F2" w:rsidRPr="00A84FFD" w:rsidRDefault="003B02F2" w:rsidP="000D4D05">
            <w:pPr>
              <w:rPr>
                <w:b/>
                <w:sz w:val="22"/>
                <w:szCs w:val="22"/>
              </w:rPr>
            </w:pPr>
            <w:r w:rsidRPr="00A84FFD">
              <w:rPr>
                <w:b/>
                <w:sz w:val="22"/>
                <w:szCs w:val="22"/>
              </w:rPr>
              <w:t>Occupation Title</w:t>
            </w:r>
          </w:p>
        </w:tc>
        <w:tc>
          <w:tcPr>
            <w:tcW w:w="1620" w:type="dxa"/>
            <w:shd w:val="clear" w:color="auto" w:fill="auto"/>
          </w:tcPr>
          <w:p w:rsidR="003B02F2" w:rsidRPr="00A84FFD" w:rsidRDefault="003B02F2" w:rsidP="000D4D05">
            <w:pPr>
              <w:rPr>
                <w:b/>
                <w:sz w:val="22"/>
                <w:szCs w:val="22"/>
              </w:rPr>
            </w:pPr>
            <w:r w:rsidRPr="00A84FFD">
              <w:rPr>
                <w:b/>
                <w:sz w:val="22"/>
                <w:szCs w:val="22"/>
              </w:rPr>
              <w:t>Occupation Code</w:t>
            </w:r>
          </w:p>
        </w:tc>
        <w:tc>
          <w:tcPr>
            <w:tcW w:w="990" w:type="dxa"/>
            <w:shd w:val="clear" w:color="auto" w:fill="auto"/>
          </w:tcPr>
          <w:p w:rsidR="003B02F2" w:rsidRPr="00A84FFD" w:rsidRDefault="003B02F2" w:rsidP="000D4D05">
            <w:pPr>
              <w:rPr>
                <w:b/>
                <w:sz w:val="22"/>
                <w:szCs w:val="22"/>
              </w:rPr>
            </w:pPr>
            <w:r w:rsidRPr="00A84FFD">
              <w:rPr>
                <w:b/>
                <w:sz w:val="22"/>
                <w:szCs w:val="22"/>
              </w:rPr>
              <w:t>Mean Hourly Wage</w:t>
            </w:r>
          </w:p>
        </w:tc>
        <w:tc>
          <w:tcPr>
            <w:tcW w:w="1350" w:type="dxa"/>
            <w:shd w:val="clear" w:color="auto" w:fill="auto"/>
          </w:tcPr>
          <w:p w:rsidR="003B02F2" w:rsidRPr="00A84FFD" w:rsidRDefault="003B02F2" w:rsidP="000D4D05">
            <w:pPr>
              <w:rPr>
                <w:b/>
                <w:sz w:val="22"/>
                <w:szCs w:val="22"/>
              </w:rPr>
            </w:pPr>
            <w:r w:rsidRPr="00A84FFD">
              <w:rPr>
                <w:b/>
                <w:sz w:val="22"/>
                <w:szCs w:val="22"/>
              </w:rPr>
              <w:t>Fringe Benefit</w:t>
            </w:r>
            <w:r w:rsidR="00066189" w:rsidRPr="00A84FFD">
              <w:rPr>
                <w:b/>
                <w:sz w:val="22"/>
                <w:szCs w:val="22"/>
              </w:rPr>
              <w:t>s and Overhead</w:t>
            </w:r>
          </w:p>
        </w:tc>
        <w:tc>
          <w:tcPr>
            <w:tcW w:w="1980" w:type="dxa"/>
          </w:tcPr>
          <w:p w:rsidR="003B02F2" w:rsidRPr="00A84FFD" w:rsidRDefault="003B02F2" w:rsidP="000D4D05">
            <w:pPr>
              <w:rPr>
                <w:b/>
                <w:sz w:val="22"/>
                <w:szCs w:val="22"/>
              </w:rPr>
            </w:pPr>
            <w:r w:rsidRPr="00A84FFD">
              <w:rPr>
                <w:b/>
                <w:sz w:val="22"/>
                <w:szCs w:val="22"/>
              </w:rPr>
              <w:t>Adjusted Hourly Wage</w:t>
            </w:r>
          </w:p>
        </w:tc>
      </w:tr>
      <w:tr w:rsidR="003B02F2" w:rsidRPr="00A84FFD" w:rsidTr="006D4948">
        <w:tc>
          <w:tcPr>
            <w:tcW w:w="2497" w:type="dxa"/>
            <w:shd w:val="clear" w:color="auto" w:fill="auto"/>
          </w:tcPr>
          <w:p w:rsidR="003B02F2" w:rsidRPr="00A84FFD" w:rsidRDefault="003B02F2" w:rsidP="000D4D05">
            <w:pPr>
              <w:rPr>
                <w:sz w:val="22"/>
                <w:szCs w:val="22"/>
              </w:rPr>
            </w:pPr>
            <w:r w:rsidRPr="00A84FFD">
              <w:rPr>
                <w:sz w:val="22"/>
                <w:szCs w:val="22"/>
              </w:rPr>
              <w:t>Social and Community Service Managers</w:t>
            </w:r>
          </w:p>
        </w:tc>
        <w:tc>
          <w:tcPr>
            <w:tcW w:w="1620" w:type="dxa"/>
            <w:shd w:val="clear" w:color="auto" w:fill="auto"/>
          </w:tcPr>
          <w:p w:rsidR="003B02F2" w:rsidRPr="00A84FFD" w:rsidRDefault="003B02F2" w:rsidP="000D4D05">
            <w:pPr>
              <w:rPr>
                <w:sz w:val="22"/>
                <w:szCs w:val="22"/>
              </w:rPr>
            </w:pPr>
            <w:r w:rsidRPr="00A84FFD">
              <w:rPr>
                <w:sz w:val="22"/>
                <w:szCs w:val="22"/>
              </w:rPr>
              <w:t>11-9151</w:t>
            </w:r>
          </w:p>
        </w:tc>
        <w:tc>
          <w:tcPr>
            <w:tcW w:w="990" w:type="dxa"/>
            <w:shd w:val="clear" w:color="auto" w:fill="auto"/>
          </w:tcPr>
          <w:p w:rsidR="003B02F2" w:rsidRPr="00A84FFD" w:rsidRDefault="003B02F2" w:rsidP="000D4D05">
            <w:pPr>
              <w:rPr>
                <w:sz w:val="22"/>
                <w:szCs w:val="22"/>
              </w:rPr>
            </w:pPr>
            <w:r w:rsidRPr="00A84FFD">
              <w:rPr>
                <w:sz w:val="22"/>
                <w:szCs w:val="22"/>
              </w:rPr>
              <w:t>$33.70/hr</w:t>
            </w:r>
          </w:p>
        </w:tc>
        <w:tc>
          <w:tcPr>
            <w:tcW w:w="1350" w:type="dxa"/>
            <w:shd w:val="clear" w:color="auto" w:fill="auto"/>
          </w:tcPr>
          <w:p w:rsidR="003B02F2" w:rsidRPr="00A84FFD" w:rsidRDefault="003B02F2" w:rsidP="000D4D05">
            <w:pPr>
              <w:rPr>
                <w:sz w:val="22"/>
                <w:szCs w:val="22"/>
              </w:rPr>
            </w:pPr>
            <w:r w:rsidRPr="00A84FFD">
              <w:rPr>
                <w:sz w:val="22"/>
                <w:szCs w:val="22"/>
              </w:rPr>
              <w:t>$33.70/hr</w:t>
            </w:r>
          </w:p>
        </w:tc>
        <w:tc>
          <w:tcPr>
            <w:tcW w:w="1980" w:type="dxa"/>
          </w:tcPr>
          <w:p w:rsidR="003B02F2" w:rsidRPr="00A84FFD" w:rsidRDefault="003B02F2" w:rsidP="000D4D05">
            <w:pPr>
              <w:rPr>
                <w:sz w:val="22"/>
                <w:szCs w:val="22"/>
              </w:rPr>
            </w:pPr>
            <w:r w:rsidRPr="00A84FFD">
              <w:rPr>
                <w:sz w:val="22"/>
                <w:szCs w:val="22"/>
              </w:rPr>
              <w:t>$67.40/hr</w:t>
            </w:r>
          </w:p>
        </w:tc>
      </w:tr>
    </w:tbl>
    <w:p w:rsidR="003B02F2" w:rsidRPr="00974831" w:rsidRDefault="003B0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71BF9" w:rsidRPr="00974831" w:rsidRDefault="00B71BF9"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w:t>
      </w:r>
      <w:r w:rsidR="001D3F89">
        <w:rPr>
          <w:sz w:val="24"/>
        </w:rPr>
        <w:t xml:space="preserve">m study to study. Nonetheless, </w:t>
      </w:r>
      <w:r w:rsidRPr="00974831">
        <w:rPr>
          <w:sz w:val="24"/>
        </w:rPr>
        <w:t>we believe that doubling the hourly wage to estimate total cost is a reasonably accurate estimation method.</w:t>
      </w:r>
    </w:p>
    <w:p w:rsidR="00B71BF9" w:rsidRDefault="00B71BF9"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B1694" w:rsidRPr="00116C9F" w:rsidRDefault="00AB1694" w:rsidP="00A02048">
      <w:pPr>
        <w:ind w:right="-20" w:firstLine="5"/>
        <w:rPr>
          <w:sz w:val="24"/>
        </w:rPr>
      </w:pPr>
      <w:r>
        <w:rPr>
          <w:i/>
          <w:sz w:val="24"/>
        </w:rPr>
        <w:t xml:space="preserve">Collection of Information Requirements and Associated </w:t>
      </w:r>
      <w:r w:rsidRPr="00116C9F">
        <w:rPr>
          <w:i/>
          <w:sz w:val="24"/>
        </w:rPr>
        <w:t>Burden Estimates</w:t>
      </w:r>
    </w:p>
    <w:p w:rsidR="00AB1694" w:rsidRPr="00974831" w:rsidRDefault="00AB1694"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71BF9" w:rsidRPr="00974831" w:rsidRDefault="00B71BF9"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This survey will be disseminated to all state Medicaid agencies. We estimate there will be a total of 56 respondents from (50, DC, and five territories). The state will be required to complete the survey to indicate their initial EVV implementation s</w:t>
      </w:r>
      <w:r w:rsidR="00F02009" w:rsidRPr="00974831">
        <w:rPr>
          <w:sz w:val="24"/>
        </w:rPr>
        <w:t>tatus for PCS by January 1, 2020</w:t>
      </w:r>
      <w:r w:rsidRPr="00974831">
        <w:rPr>
          <w:sz w:val="24"/>
        </w:rPr>
        <w:t xml:space="preserve"> and a</w:t>
      </w:r>
      <w:r w:rsidR="009337CB">
        <w:rPr>
          <w:sz w:val="24"/>
        </w:rPr>
        <w:t>gain for HHCS by January 1, 2023</w:t>
      </w:r>
      <w:r w:rsidRPr="00974831">
        <w:rPr>
          <w:sz w:val="24"/>
        </w:rPr>
        <w:t>.  We estimate that it will take 2</w:t>
      </w:r>
      <w:r w:rsidR="00961010">
        <w:rPr>
          <w:sz w:val="24"/>
        </w:rPr>
        <w:t>.5</w:t>
      </w:r>
      <w:r w:rsidRPr="00974831">
        <w:rPr>
          <w:sz w:val="24"/>
        </w:rPr>
        <w:t xml:space="preserve"> hours for a social/community service manager to complete the survey with the state’s initial EVV implementation status for PCS and an additional 2</w:t>
      </w:r>
      <w:r w:rsidR="00961010">
        <w:rPr>
          <w:sz w:val="24"/>
        </w:rPr>
        <w:t>.5</w:t>
      </w:r>
      <w:r w:rsidRPr="00974831">
        <w:rPr>
          <w:sz w:val="24"/>
        </w:rPr>
        <w:t xml:space="preserve"> hours to initially complete the survey for HHCS. We estimate this state burden at 2</w:t>
      </w:r>
      <w:r w:rsidR="00961010">
        <w:rPr>
          <w:sz w:val="24"/>
        </w:rPr>
        <w:t>80</w:t>
      </w:r>
      <w:r w:rsidRPr="00974831">
        <w:rPr>
          <w:sz w:val="24"/>
        </w:rPr>
        <w:t xml:space="preserve"> hr (56 respondents x 2 responses x 2</w:t>
      </w:r>
      <w:r w:rsidR="00961010">
        <w:rPr>
          <w:sz w:val="24"/>
        </w:rPr>
        <w:t>.5</w:t>
      </w:r>
      <w:r w:rsidRPr="00974831">
        <w:rPr>
          <w:sz w:val="24"/>
        </w:rPr>
        <w:t xml:space="preserve"> h</w:t>
      </w:r>
      <w:r w:rsidR="00B907B9">
        <w:rPr>
          <w:sz w:val="24"/>
        </w:rPr>
        <w:t>r</w:t>
      </w:r>
      <w:r w:rsidRPr="00974831">
        <w:rPr>
          <w:sz w:val="24"/>
        </w:rPr>
        <w:t>) and $1</w:t>
      </w:r>
      <w:r w:rsidR="00961010">
        <w:rPr>
          <w:sz w:val="24"/>
        </w:rPr>
        <w:t>8</w:t>
      </w:r>
      <w:r w:rsidRPr="00974831">
        <w:rPr>
          <w:sz w:val="24"/>
        </w:rPr>
        <w:t>,</w:t>
      </w:r>
      <w:r w:rsidR="00961010">
        <w:rPr>
          <w:sz w:val="24"/>
        </w:rPr>
        <w:t>872</w:t>
      </w:r>
      <w:r w:rsidRPr="00974831">
        <w:rPr>
          <w:sz w:val="24"/>
        </w:rPr>
        <w:t xml:space="preserve"> (2</w:t>
      </w:r>
      <w:r w:rsidR="00961010">
        <w:rPr>
          <w:sz w:val="24"/>
        </w:rPr>
        <w:t>80</w:t>
      </w:r>
      <w:r w:rsidRPr="00974831">
        <w:rPr>
          <w:sz w:val="24"/>
        </w:rPr>
        <w:t xml:space="preserve"> hr x $67.40/hr). </w:t>
      </w:r>
    </w:p>
    <w:p w:rsidR="00B71BF9" w:rsidRPr="00974831" w:rsidRDefault="00B71BF9"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71BF9" w:rsidRPr="00974831" w:rsidRDefault="00B71BF9"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We also estimate a burden related to survey updates. We estimate an average of four survey updates per state during their EVV implementation period and that it will take 1 hour for a social/community service manager to perform each update. We estimate a burden for survey updates of 224 hr</w:t>
      </w:r>
      <w:r w:rsidR="003F24B9">
        <w:rPr>
          <w:sz w:val="24"/>
        </w:rPr>
        <w:t xml:space="preserve"> </w:t>
      </w:r>
      <w:r w:rsidRPr="00974831">
        <w:rPr>
          <w:sz w:val="24"/>
        </w:rPr>
        <w:t>(56 respondents x 4 responses x 1 hr) and $15,098 (224 hr x $67.40/hr).</w:t>
      </w:r>
    </w:p>
    <w:p w:rsidR="00B71BF9" w:rsidRPr="00974831" w:rsidRDefault="00B71BF9"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71BF9" w:rsidRPr="00974831" w:rsidRDefault="00B71BF9"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 xml:space="preserve">This yields a total </w:t>
      </w:r>
      <w:r w:rsidR="002C01CC" w:rsidRPr="00974831">
        <w:rPr>
          <w:sz w:val="24"/>
        </w:rPr>
        <w:t>respondent</w:t>
      </w:r>
      <w:r w:rsidRPr="00974831">
        <w:rPr>
          <w:sz w:val="24"/>
        </w:rPr>
        <w:t xml:space="preserve"> burden of $3</w:t>
      </w:r>
      <w:r w:rsidR="00961010">
        <w:rPr>
          <w:sz w:val="24"/>
        </w:rPr>
        <w:t>3</w:t>
      </w:r>
      <w:r w:rsidRPr="00974831">
        <w:rPr>
          <w:sz w:val="24"/>
        </w:rPr>
        <w:t>,</w:t>
      </w:r>
      <w:r w:rsidR="00961010">
        <w:rPr>
          <w:sz w:val="24"/>
        </w:rPr>
        <w:t>970</w:t>
      </w:r>
      <w:r w:rsidRPr="00974831">
        <w:rPr>
          <w:sz w:val="24"/>
        </w:rPr>
        <w:t xml:space="preserve">. </w:t>
      </w:r>
      <w:r w:rsidR="00F02009" w:rsidRPr="00974831">
        <w:rPr>
          <w:sz w:val="24"/>
        </w:rPr>
        <w:t>We anticipate that survey responses (both the initial response and subsequent updates, if needed) will span two years on average (one year for PCS and one year for HHCS), therefore we</w:t>
      </w:r>
      <w:r w:rsidRPr="00974831">
        <w:rPr>
          <w:sz w:val="24"/>
        </w:rPr>
        <w:t xml:space="preserve"> </w:t>
      </w:r>
      <w:r w:rsidR="00F02009" w:rsidRPr="00974831">
        <w:rPr>
          <w:sz w:val="24"/>
        </w:rPr>
        <w:t>anticipate</w:t>
      </w:r>
      <w:r w:rsidRPr="00974831">
        <w:rPr>
          <w:sz w:val="24"/>
        </w:rPr>
        <w:t xml:space="preserve"> an annualized burden of $</w:t>
      </w:r>
      <w:r w:rsidR="00F02009" w:rsidRPr="00974831">
        <w:rPr>
          <w:sz w:val="24"/>
        </w:rPr>
        <w:t>1</w:t>
      </w:r>
      <w:r w:rsidR="00961010">
        <w:rPr>
          <w:sz w:val="24"/>
        </w:rPr>
        <w:t>6</w:t>
      </w:r>
      <w:r w:rsidRPr="00974831">
        <w:rPr>
          <w:sz w:val="24"/>
        </w:rPr>
        <w:t>,</w:t>
      </w:r>
      <w:r w:rsidR="00961010">
        <w:rPr>
          <w:sz w:val="24"/>
        </w:rPr>
        <w:t>985</w:t>
      </w:r>
      <w:r w:rsidR="00F02009" w:rsidRPr="00974831">
        <w:rPr>
          <w:sz w:val="24"/>
        </w:rPr>
        <w:t xml:space="preserve"> </w:t>
      </w:r>
      <w:r w:rsidR="002C01CC" w:rsidRPr="00974831">
        <w:rPr>
          <w:sz w:val="24"/>
        </w:rPr>
        <w:t>each year for a period of two years for all respondents ($</w:t>
      </w:r>
      <w:r w:rsidR="00961010">
        <w:rPr>
          <w:sz w:val="24"/>
        </w:rPr>
        <w:t>303</w:t>
      </w:r>
      <w:r w:rsidR="002C01CC" w:rsidRPr="00974831">
        <w:rPr>
          <w:sz w:val="24"/>
        </w:rPr>
        <w:t xml:space="preserve"> per respondent per year).</w:t>
      </w:r>
      <w:r w:rsidR="00F02009" w:rsidRPr="00974831">
        <w:rPr>
          <w:sz w:val="24"/>
        </w:rPr>
        <w:t xml:space="preserve"> </w:t>
      </w:r>
    </w:p>
    <w:p w:rsidR="00B71BF9" w:rsidRDefault="00B71BF9" w:rsidP="00A020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646AD" w:rsidRPr="00EE6274" w:rsidRDefault="00F646AD" w:rsidP="00A02048">
      <w:pPr>
        <w:tabs>
          <w:tab w:val="left" w:pos="720"/>
        </w:tabs>
        <w:ind w:right="-20"/>
        <w:rPr>
          <w:i/>
          <w:sz w:val="23"/>
          <w:szCs w:val="23"/>
        </w:rPr>
      </w:pPr>
      <w:r w:rsidRPr="001715C6">
        <w:rPr>
          <w:i/>
          <w:sz w:val="23"/>
          <w:szCs w:val="23"/>
        </w:rPr>
        <w:t>Burden Summary</w:t>
      </w:r>
    </w:p>
    <w:p w:rsidR="00F646AD" w:rsidRDefault="00F646AD" w:rsidP="00F646AD">
      <w:pPr>
        <w:tabs>
          <w:tab w:val="left" w:pos="720"/>
        </w:tabs>
        <w:ind w:left="190" w:right="-20"/>
        <w:rPr>
          <w:sz w:val="23"/>
          <w:szCs w:val="23"/>
        </w:rPr>
      </w:pP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0"/>
        <w:gridCol w:w="1239"/>
        <w:gridCol w:w="1123"/>
        <w:gridCol w:w="1021"/>
        <w:gridCol w:w="935"/>
        <w:gridCol w:w="1093"/>
        <w:gridCol w:w="1254"/>
      </w:tblGrid>
      <w:tr w:rsidR="00F646AD" w:rsidRPr="00093859" w:rsidTr="004256E9">
        <w:trPr>
          <w:tblHeader/>
          <w:jc w:val="center"/>
        </w:trPr>
        <w:tc>
          <w:tcPr>
            <w:tcW w:w="1250" w:type="dxa"/>
            <w:vAlign w:val="bottom"/>
          </w:tcPr>
          <w:p w:rsidR="00F646AD" w:rsidRPr="00093859" w:rsidRDefault="00F646AD" w:rsidP="00F646AD">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93859">
              <w:rPr>
                <w:bCs/>
                <w:color w:val="000000"/>
                <w:szCs w:val="20"/>
              </w:rPr>
              <w:t>Re</w:t>
            </w:r>
            <w:r>
              <w:rPr>
                <w:bCs/>
                <w:color w:val="000000"/>
                <w:szCs w:val="20"/>
              </w:rPr>
              <w:t>q</w:t>
            </w:r>
            <w:r w:rsidRPr="00093859">
              <w:rPr>
                <w:bCs/>
                <w:color w:val="000000"/>
                <w:szCs w:val="20"/>
              </w:rPr>
              <w:t>u</w:t>
            </w:r>
            <w:r>
              <w:rPr>
                <w:bCs/>
                <w:color w:val="000000"/>
                <w:szCs w:val="20"/>
              </w:rPr>
              <w:t>irement</w:t>
            </w:r>
          </w:p>
        </w:tc>
        <w:tc>
          <w:tcPr>
            <w:tcW w:w="1239" w:type="dxa"/>
            <w:vAlign w:val="bottom"/>
          </w:tcPr>
          <w:p w:rsidR="00F646AD" w:rsidRPr="00093859" w:rsidRDefault="00F646AD"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93859">
              <w:rPr>
                <w:bCs/>
                <w:color w:val="000000"/>
                <w:szCs w:val="20"/>
              </w:rPr>
              <w:t>Respondents</w:t>
            </w:r>
          </w:p>
        </w:tc>
        <w:tc>
          <w:tcPr>
            <w:tcW w:w="1123" w:type="dxa"/>
            <w:vAlign w:val="bottom"/>
          </w:tcPr>
          <w:p w:rsidR="00F646AD" w:rsidRPr="00093859" w:rsidRDefault="00F646AD"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93859">
              <w:rPr>
                <w:bCs/>
                <w:color w:val="000000"/>
                <w:szCs w:val="20"/>
              </w:rPr>
              <w:t>Responses</w:t>
            </w:r>
          </w:p>
        </w:tc>
        <w:tc>
          <w:tcPr>
            <w:tcW w:w="1021" w:type="dxa"/>
            <w:vAlign w:val="bottom"/>
          </w:tcPr>
          <w:p w:rsidR="00F646AD" w:rsidRPr="00093859" w:rsidRDefault="00F646AD"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93859">
              <w:rPr>
                <w:bCs/>
                <w:color w:val="000000"/>
                <w:szCs w:val="20"/>
              </w:rPr>
              <w:t>Burden per Response</w:t>
            </w:r>
          </w:p>
        </w:tc>
        <w:tc>
          <w:tcPr>
            <w:tcW w:w="935" w:type="dxa"/>
            <w:vAlign w:val="bottom"/>
          </w:tcPr>
          <w:p w:rsidR="00F646AD" w:rsidRPr="00093859" w:rsidRDefault="00F646AD"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93859">
              <w:rPr>
                <w:bCs/>
                <w:color w:val="000000"/>
                <w:szCs w:val="20"/>
              </w:rPr>
              <w:t>Total Annual Burden (hours)</w:t>
            </w:r>
          </w:p>
        </w:tc>
        <w:tc>
          <w:tcPr>
            <w:tcW w:w="1093" w:type="dxa"/>
            <w:vAlign w:val="bottom"/>
          </w:tcPr>
          <w:p w:rsidR="00F646AD" w:rsidRPr="00093859" w:rsidRDefault="00F646AD" w:rsidP="00676460">
            <w:pPr>
              <w:jc w:val="center"/>
              <w:rPr>
                <w:szCs w:val="20"/>
              </w:rPr>
            </w:pPr>
            <w:r w:rsidRPr="00093859">
              <w:rPr>
                <w:bCs/>
                <w:color w:val="000000"/>
                <w:szCs w:val="20"/>
              </w:rPr>
              <w:t>Labor Cost</w:t>
            </w:r>
            <w:r>
              <w:rPr>
                <w:bCs/>
                <w:color w:val="000000"/>
                <w:szCs w:val="20"/>
              </w:rPr>
              <w:t xml:space="preserve"> ($/hr)</w:t>
            </w:r>
          </w:p>
        </w:tc>
        <w:tc>
          <w:tcPr>
            <w:tcW w:w="1254" w:type="dxa"/>
            <w:vAlign w:val="bottom"/>
          </w:tcPr>
          <w:p w:rsidR="00F646AD" w:rsidRPr="00093859" w:rsidRDefault="00F646AD"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93859">
              <w:rPr>
                <w:szCs w:val="20"/>
              </w:rPr>
              <w:t>Total Cost</w:t>
            </w:r>
          </w:p>
          <w:p w:rsidR="00F646AD" w:rsidRPr="00093859" w:rsidRDefault="00F646AD"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sidRPr="00093859">
              <w:rPr>
                <w:szCs w:val="20"/>
              </w:rPr>
              <w:t>($)</w:t>
            </w:r>
          </w:p>
        </w:tc>
      </w:tr>
      <w:tr w:rsidR="00F646AD" w:rsidRPr="00806F84" w:rsidTr="004256E9">
        <w:trPr>
          <w:jc w:val="center"/>
        </w:trPr>
        <w:tc>
          <w:tcPr>
            <w:tcW w:w="1250" w:type="dxa"/>
          </w:tcPr>
          <w:p w:rsidR="00F646AD" w:rsidRPr="00093859" w:rsidRDefault="00C77083" w:rsidP="00C770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Initial survey for PCS &amp; HHCS</w:t>
            </w:r>
          </w:p>
        </w:tc>
        <w:tc>
          <w:tcPr>
            <w:tcW w:w="1239" w:type="dxa"/>
          </w:tcPr>
          <w:p w:rsidR="00F646AD" w:rsidRPr="00093859" w:rsidRDefault="00C77083"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56</w:t>
            </w:r>
          </w:p>
        </w:tc>
        <w:tc>
          <w:tcPr>
            <w:tcW w:w="1123" w:type="dxa"/>
          </w:tcPr>
          <w:p w:rsidR="00F646AD" w:rsidRPr="00093859" w:rsidRDefault="00C77083" w:rsidP="0067646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szCs w:val="20"/>
              </w:rPr>
              <w:t>112</w:t>
            </w:r>
          </w:p>
        </w:tc>
        <w:tc>
          <w:tcPr>
            <w:tcW w:w="1021" w:type="dxa"/>
          </w:tcPr>
          <w:p w:rsidR="00F646AD" w:rsidRPr="00093859" w:rsidRDefault="00C77083"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2</w:t>
            </w:r>
            <w:r w:rsidR="00961010">
              <w:rPr>
                <w:szCs w:val="20"/>
              </w:rPr>
              <w:t>.5</w:t>
            </w:r>
            <w:r>
              <w:rPr>
                <w:szCs w:val="20"/>
              </w:rPr>
              <w:t xml:space="preserve"> hours</w:t>
            </w:r>
          </w:p>
        </w:tc>
        <w:tc>
          <w:tcPr>
            <w:tcW w:w="935" w:type="dxa"/>
          </w:tcPr>
          <w:p w:rsidR="00F646AD" w:rsidRPr="00093859" w:rsidRDefault="00F23713" w:rsidP="0067646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szCs w:val="20"/>
              </w:rPr>
              <w:t>280</w:t>
            </w:r>
          </w:p>
        </w:tc>
        <w:tc>
          <w:tcPr>
            <w:tcW w:w="1093" w:type="dxa"/>
          </w:tcPr>
          <w:p w:rsidR="00F646AD" w:rsidRPr="00093859" w:rsidRDefault="00C77083"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67.40</w:t>
            </w:r>
          </w:p>
        </w:tc>
        <w:tc>
          <w:tcPr>
            <w:tcW w:w="1254" w:type="dxa"/>
          </w:tcPr>
          <w:p w:rsidR="00F646AD" w:rsidRPr="00093859" w:rsidRDefault="00C77083"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1</w:t>
            </w:r>
            <w:r w:rsidR="00961010">
              <w:rPr>
                <w:szCs w:val="20"/>
              </w:rPr>
              <w:t>8</w:t>
            </w:r>
            <w:r>
              <w:rPr>
                <w:szCs w:val="20"/>
              </w:rPr>
              <w:t>,</w:t>
            </w:r>
            <w:r w:rsidR="00961010">
              <w:rPr>
                <w:szCs w:val="20"/>
              </w:rPr>
              <w:t>872</w:t>
            </w:r>
          </w:p>
        </w:tc>
      </w:tr>
      <w:tr w:rsidR="00F646AD" w:rsidRPr="00806F84" w:rsidTr="004256E9">
        <w:trPr>
          <w:jc w:val="center"/>
        </w:trPr>
        <w:tc>
          <w:tcPr>
            <w:tcW w:w="1250" w:type="dxa"/>
          </w:tcPr>
          <w:p w:rsidR="00F646AD" w:rsidRPr="00093859" w:rsidRDefault="00C77083" w:rsidP="00C770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Updates for PCS &amp; HHCS</w:t>
            </w:r>
          </w:p>
        </w:tc>
        <w:tc>
          <w:tcPr>
            <w:tcW w:w="1239" w:type="dxa"/>
          </w:tcPr>
          <w:p w:rsidR="00F646AD" w:rsidRPr="00093859" w:rsidRDefault="00C77083"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56</w:t>
            </w:r>
          </w:p>
        </w:tc>
        <w:tc>
          <w:tcPr>
            <w:tcW w:w="1123" w:type="dxa"/>
          </w:tcPr>
          <w:p w:rsidR="00F646AD" w:rsidRPr="00093859" w:rsidRDefault="00C77083" w:rsidP="00C770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szCs w:val="20"/>
              </w:rPr>
              <w:t>224</w:t>
            </w:r>
          </w:p>
        </w:tc>
        <w:tc>
          <w:tcPr>
            <w:tcW w:w="1021" w:type="dxa"/>
          </w:tcPr>
          <w:p w:rsidR="00F646AD" w:rsidRPr="00093859" w:rsidRDefault="00C77083"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1 hour</w:t>
            </w:r>
          </w:p>
        </w:tc>
        <w:tc>
          <w:tcPr>
            <w:tcW w:w="935" w:type="dxa"/>
          </w:tcPr>
          <w:p w:rsidR="00F646AD" w:rsidRPr="00093859" w:rsidRDefault="0029394D" w:rsidP="0067646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0"/>
              </w:rPr>
            </w:pPr>
            <w:r>
              <w:rPr>
                <w:szCs w:val="20"/>
              </w:rPr>
              <w:t>224</w:t>
            </w:r>
          </w:p>
        </w:tc>
        <w:tc>
          <w:tcPr>
            <w:tcW w:w="1093" w:type="dxa"/>
          </w:tcPr>
          <w:p w:rsidR="00F646AD" w:rsidRPr="00093859" w:rsidRDefault="00C77083"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67.40</w:t>
            </w:r>
          </w:p>
        </w:tc>
        <w:tc>
          <w:tcPr>
            <w:tcW w:w="1254" w:type="dxa"/>
          </w:tcPr>
          <w:p w:rsidR="00F646AD" w:rsidRPr="00093859" w:rsidRDefault="00C77083"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Cs w:val="20"/>
              </w:rPr>
            </w:pPr>
            <w:r>
              <w:rPr>
                <w:szCs w:val="20"/>
              </w:rPr>
              <w:t>15,098</w:t>
            </w:r>
          </w:p>
        </w:tc>
      </w:tr>
      <w:tr w:rsidR="004256E9" w:rsidRPr="003F24B9" w:rsidTr="003F24B9">
        <w:trPr>
          <w:jc w:val="center"/>
        </w:trPr>
        <w:tc>
          <w:tcPr>
            <w:tcW w:w="1250" w:type="dxa"/>
            <w:shd w:val="clear" w:color="auto" w:fill="D9D9D9" w:themeFill="background1" w:themeFillShade="D9"/>
          </w:tcPr>
          <w:p w:rsidR="004256E9" w:rsidRPr="003F24B9" w:rsidRDefault="00EB2AB3" w:rsidP="00C770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r w:rsidRPr="003F24B9">
              <w:rPr>
                <w:b/>
                <w:szCs w:val="20"/>
              </w:rPr>
              <w:t>TOTAL</w:t>
            </w:r>
          </w:p>
        </w:tc>
        <w:tc>
          <w:tcPr>
            <w:tcW w:w="1239" w:type="dxa"/>
            <w:shd w:val="clear" w:color="auto" w:fill="D9D9D9" w:themeFill="background1" w:themeFillShade="D9"/>
          </w:tcPr>
          <w:p w:rsidR="004256E9" w:rsidRPr="003F24B9" w:rsidRDefault="007327D9"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3F24B9">
              <w:rPr>
                <w:b/>
                <w:szCs w:val="20"/>
              </w:rPr>
              <w:t>56</w:t>
            </w:r>
          </w:p>
        </w:tc>
        <w:tc>
          <w:tcPr>
            <w:tcW w:w="1123" w:type="dxa"/>
            <w:shd w:val="clear" w:color="auto" w:fill="D9D9D9" w:themeFill="background1" w:themeFillShade="D9"/>
          </w:tcPr>
          <w:p w:rsidR="004256E9" w:rsidRPr="003F24B9" w:rsidRDefault="007327D9" w:rsidP="00C7708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0"/>
              </w:rPr>
            </w:pPr>
            <w:r w:rsidRPr="003F24B9">
              <w:rPr>
                <w:b/>
                <w:szCs w:val="20"/>
              </w:rPr>
              <w:t>336</w:t>
            </w:r>
          </w:p>
        </w:tc>
        <w:tc>
          <w:tcPr>
            <w:tcW w:w="1021" w:type="dxa"/>
            <w:shd w:val="clear" w:color="auto" w:fill="D9D9D9" w:themeFill="background1" w:themeFillShade="D9"/>
          </w:tcPr>
          <w:p w:rsidR="004256E9" w:rsidRPr="003F24B9" w:rsidRDefault="007327D9"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3F24B9">
              <w:rPr>
                <w:b/>
                <w:szCs w:val="20"/>
              </w:rPr>
              <w:t>varies</w:t>
            </w:r>
          </w:p>
        </w:tc>
        <w:tc>
          <w:tcPr>
            <w:tcW w:w="935" w:type="dxa"/>
            <w:shd w:val="clear" w:color="auto" w:fill="D9D9D9" w:themeFill="background1" w:themeFillShade="D9"/>
          </w:tcPr>
          <w:p w:rsidR="004256E9" w:rsidRPr="003F24B9" w:rsidRDefault="003F24B9" w:rsidP="0067646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0"/>
              </w:rPr>
            </w:pPr>
            <w:r w:rsidRPr="003F24B9">
              <w:rPr>
                <w:b/>
                <w:szCs w:val="20"/>
              </w:rPr>
              <w:t>504</w:t>
            </w:r>
          </w:p>
        </w:tc>
        <w:tc>
          <w:tcPr>
            <w:tcW w:w="1093" w:type="dxa"/>
            <w:shd w:val="clear" w:color="auto" w:fill="D9D9D9" w:themeFill="background1" w:themeFillShade="D9"/>
          </w:tcPr>
          <w:p w:rsidR="004256E9" w:rsidRPr="003F24B9" w:rsidRDefault="003F24B9"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3F24B9">
              <w:rPr>
                <w:b/>
                <w:szCs w:val="20"/>
              </w:rPr>
              <w:t>67.40</w:t>
            </w:r>
          </w:p>
        </w:tc>
        <w:tc>
          <w:tcPr>
            <w:tcW w:w="1254" w:type="dxa"/>
            <w:shd w:val="clear" w:color="auto" w:fill="D9D9D9" w:themeFill="background1" w:themeFillShade="D9"/>
          </w:tcPr>
          <w:p w:rsidR="004256E9" w:rsidRPr="003F24B9" w:rsidRDefault="004256E9" w:rsidP="00676460">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Cs w:val="20"/>
              </w:rPr>
            </w:pPr>
            <w:r w:rsidRPr="003F24B9">
              <w:rPr>
                <w:b/>
                <w:szCs w:val="20"/>
              </w:rPr>
              <w:t>3</w:t>
            </w:r>
            <w:r w:rsidR="00961010" w:rsidRPr="003F24B9">
              <w:rPr>
                <w:b/>
                <w:szCs w:val="20"/>
              </w:rPr>
              <w:t>3</w:t>
            </w:r>
            <w:r w:rsidRPr="003F24B9">
              <w:rPr>
                <w:b/>
                <w:szCs w:val="20"/>
              </w:rPr>
              <w:t>,</w:t>
            </w:r>
            <w:r w:rsidR="00961010" w:rsidRPr="003F24B9">
              <w:rPr>
                <w:b/>
                <w:szCs w:val="20"/>
              </w:rPr>
              <w:t>970</w:t>
            </w:r>
          </w:p>
        </w:tc>
      </w:tr>
    </w:tbl>
    <w:p w:rsidR="00F646AD" w:rsidRDefault="00F646AD" w:rsidP="00F646AD">
      <w:pPr>
        <w:tabs>
          <w:tab w:val="left" w:pos="720"/>
        </w:tabs>
        <w:ind w:left="190" w:right="-20"/>
        <w:rPr>
          <w:sz w:val="23"/>
          <w:szCs w:val="23"/>
        </w:rPr>
      </w:pPr>
    </w:p>
    <w:p w:rsidR="00F646AD" w:rsidRPr="00506108" w:rsidRDefault="00F646AD" w:rsidP="00E51703">
      <w:pPr>
        <w:tabs>
          <w:tab w:val="left" w:pos="720"/>
        </w:tabs>
        <w:ind w:right="-20"/>
        <w:rPr>
          <w:i/>
          <w:sz w:val="23"/>
          <w:szCs w:val="23"/>
        </w:rPr>
      </w:pPr>
      <w:r w:rsidRPr="00506108">
        <w:rPr>
          <w:i/>
          <w:sz w:val="23"/>
          <w:szCs w:val="23"/>
        </w:rPr>
        <w:t>Collection of Information Instruments and Instruction/Guidance Documents</w:t>
      </w:r>
    </w:p>
    <w:p w:rsidR="00F646AD" w:rsidRDefault="00F646AD" w:rsidP="00E517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2"/>
        <w:rPr>
          <w:sz w:val="24"/>
        </w:rPr>
      </w:pPr>
    </w:p>
    <w:p w:rsidR="00F646AD" w:rsidRPr="001715C6" w:rsidRDefault="001715C6" w:rsidP="001715C6">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715C6">
        <w:rPr>
          <w:sz w:val="24"/>
        </w:rPr>
        <w:t>EVV Home Health Care Services (HHCS) Survey</w:t>
      </w:r>
    </w:p>
    <w:p w:rsidR="001715C6" w:rsidRPr="001715C6" w:rsidRDefault="001715C6" w:rsidP="001715C6">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715C6">
        <w:rPr>
          <w:sz w:val="24"/>
        </w:rPr>
        <w:t>EVV Personal Care Services (PCS) Survey</w:t>
      </w:r>
    </w:p>
    <w:p w:rsidR="00F646AD" w:rsidRPr="001715C6" w:rsidRDefault="0029695E" w:rsidP="001715C6">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firstLine="0"/>
        <w:rPr>
          <w:sz w:val="24"/>
        </w:rPr>
      </w:pPr>
      <w:r w:rsidRPr="001715C6">
        <w:rPr>
          <w:sz w:val="24"/>
        </w:rPr>
        <w:t>EVV complian</w:t>
      </w:r>
      <w:r w:rsidR="00323560">
        <w:rPr>
          <w:sz w:val="24"/>
        </w:rPr>
        <w:t>ce survey instructions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13.</w:t>
      </w:r>
      <w:r w:rsidRPr="0081719E">
        <w:rPr>
          <w:u w:val="none"/>
        </w:rPr>
        <w:tab/>
      </w:r>
      <w: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2009" w:rsidRDefault="00F02009" w:rsidP="00E70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CMS does not anticipate that any capital costs will be required for this collection.</w:t>
      </w:r>
    </w:p>
    <w:p w:rsidR="00E703FC" w:rsidRDefault="00E703FC" w:rsidP="00E703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14.</w:t>
      </w:r>
      <w:r w:rsidRPr="0081719E">
        <w:rPr>
          <w:u w:val="none"/>
        </w:rPr>
        <w:tab/>
      </w:r>
      <w: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0287" w:rsidRPr="00974831" w:rsidRDefault="00DD7E76" w:rsidP="00E517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The table below shows estimates of the average annual cost of the project to the Federal government. Contractor costs are based on GSA labor categories</w:t>
      </w:r>
      <w:r w:rsidR="00703A93" w:rsidRPr="00C450F6">
        <w:rPr>
          <w:rStyle w:val="FootnoteReference"/>
          <w:sz w:val="24"/>
          <w:vertAlign w:val="superscript"/>
        </w:rPr>
        <w:footnoteReference w:id="2"/>
      </w:r>
      <w:r w:rsidRPr="00974831">
        <w:rPr>
          <w:sz w:val="24"/>
        </w:rPr>
        <w:t xml:space="preserve"> and account for development and maintenance of the web-based survey portal, website hosting, data analysis, </w:t>
      </w:r>
      <w:r w:rsidR="0058363E" w:rsidRPr="00974831">
        <w:rPr>
          <w:sz w:val="24"/>
        </w:rPr>
        <w:t xml:space="preserve">report development, </w:t>
      </w:r>
      <w:r w:rsidR="00DA3F35" w:rsidRPr="00974831">
        <w:rPr>
          <w:sz w:val="24"/>
        </w:rPr>
        <w:t xml:space="preserve">responding to inquiries, </w:t>
      </w:r>
      <w:r w:rsidRPr="00974831">
        <w:rPr>
          <w:sz w:val="24"/>
        </w:rPr>
        <w:t>and general and administrative costs. CMS staff costs are based on OPM GS wage tables</w:t>
      </w:r>
      <w:r w:rsidR="00703A93" w:rsidRPr="00C450F6">
        <w:rPr>
          <w:rStyle w:val="FootnoteReference"/>
          <w:sz w:val="24"/>
          <w:vertAlign w:val="superscript"/>
        </w:rPr>
        <w:footnoteReference w:id="3"/>
      </w:r>
      <w:r w:rsidRPr="00974831">
        <w:rPr>
          <w:sz w:val="24"/>
        </w:rPr>
        <w:t xml:space="preserve"> and account for </w:t>
      </w:r>
      <w:r w:rsidR="00DA3F35" w:rsidRPr="00974831">
        <w:rPr>
          <w:sz w:val="24"/>
        </w:rPr>
        <w:t xml:space="preserve">survey dissemination, </w:t>
      </w:r>
      <w:r w:rsidRPr="00974831">
        <w:rPr>
          <w:sz w:val="24"/>
        </w:rPr>
        <w:t>quarterly review of survey data, ass</w:t>
      </w:r>
      <w:r w:rsidR="00DA3F35" w:rsidRPr="00974831">
        <w:rPr>
          <w:sz w:val="24"/>
        </w:rPr>
        <w:t>essing need for FMAP reductions,</w:t>
      </w:r>
      <w:r w:rsidRPr="00974831">
        <w:rPr>
          <w:sz w:val="24"/>
        </w:rPr>
        <w:t xml:space="preserve"> contract management, and comparison to Advanced Planning Documents (APDs). </w:t>
      </w:r>
    </w:p>
    <w:p w:rsidR="00DD7E76" w:rsidRPr="00974831" w:rsidRDefault="00DD7E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F6B04" w:rsidRDefault="00164AA4" w:rsidP="00E517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The average annual cost</w:t>
      </w:r>
      <w:r w:rsidR="00DD7E76" w:rsidRPr="00974831">
        <w:rPr>
          <w:sz w:val="24"/>
        </w:rPr>
        <w:t xml:space="preserve"> account</w:t>
      </w:r>
      <w:r w:rsidRPr="00974831">
        <w:rPr>
          <w:sz w:val="24"/>
        </w:rPr>
        <w:t>s</w:t>
      </w:r>
      <w:r w:rsidR="00DD7E76" w:rsidRPr="00974831">
        <w:rPr>
          <w:sz w:val="24"/>
        </w:rPr>
        <w:t xml:space="preserve"> for a 2% annual inflation rate and assume</w:t>
      </w:r>
      <w:r w:rsidRPr="00974831">
        <w:rPr>
          <w:sz w:val="24"/>
        </w:rPr>
        <w:t>s</w:t>
      </w:r>
      <w:r w:rsidR="00DD7E76" w:rsidRPr="00974831">
        <w:rPr>
          <w:sz w:val="24"/>
        </w:rPr>
        <w:t xml:space="preserve"> the survey will be active through federal fiscal year 2025 (8 years total), however this is subject to change based on budgetary decisions and the rate at which states come into compliance with EVV requirements.</w:t>
      </w:r>
    </w:p>
    <w:p w:rsidR="007F6B04" w:rsidRPr="005A541C" w:rsidRDefault="007F6B04" w:rsidP="007F6B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5A541C">
        <w:rPr>
          <w:i/>
          <w:sz w:val="24"/>
        </w:rPr>
        <w:t xml:space="preserve"> </w:t>
      </w:r>
    </w:p>
    <w:p w:rsidR="005A541C" w:rsidRPr="00E51703" w:rsidRDefault="005A541C" w:rsidP="00E517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51703">
        <w:rPr>
          <w:sz w:val="24"/>
        </w:rPr>
        <w:t>Table of CMS Contractor Costs</w:t>
      </w:r>
    </w:p>
    <w:tbl>
      <w:tblPr>
        <w:tblW w:w="807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1350"/>
        <w:gridCol w:w="1823"/>
        <w:gridCol w:w="1237"/>
      </w:tblGrid>
      <w:tr w:rsidR="005A541C" w:rsidRPr="00974831" w:rsidTr="004256E9">
        <w:trPr>
          <w:trHeight w:val="1134"/>
          <w:tblHeader/>
        </w:trPr>
        <w:tc>
          <w:tcPr>
            <w:tcW w:w="3667" w:type="dxa"/>
            <w:shd w:val="clear" w:color="auto" w:fill="auto"/>
            <w:noWrap/>
            <w:vAlign w:val="bottom"/>
            <w:hideMark/>
          </w:tcPr>
          <w:p w:rsidR="005A541C" w:rsidRPr="00974831" w:rsidRDefault="005A541C" w:rsidP="00BE4BD2">
            <w:pPr>
              <w:widowControl/>
              <w:autoSpaceDE/>
              <w:autoSpaceDN/>
              <w:adjustRightInd/>
              <w:rPr>
                <w:b/>
                <w:sz w:val="22"/>
                <w:szCs w:val="22"/>
              </w:rPr>
            </w:pPr>
            <w:r w:rsidRPr="00974831">
              <w:rPr>
                <w:b/>
                <w:sz w:val="22"/>
                <w:szCs w:val="22"/>
              </w:rPr>
              <w:t>Title</w:t>
            </w:r>
          </w:p>
        </w:tc>
        <w:tc>
          <w:tcPr>
            <w:tcW w:w="1350" w:type="dxa"/>
            <w:shd w:val="clear" w:color="auto" w:fill="auto"/>
            <w:noWrap/>
            <w:vAlign w:val="bottom"/>
            <w:hideMark/>
          </w:tcPr>
          <w:p w:rsidR="005A541C" w:rsidRPr="00974831" w:rsidRDefault="005A541C" w:rsidP="00BE4BD2">
            <w:pPr>
              <w:widowControl/>
              <w:autoSpaceDE/>
              <w:autoSpaceDN/>
              <w:adjustRightInd/>
              <w:rPr>
                <w:b/>
                <w:sz w:val="22"/>
                <w:szCs w:val="22"/>
              </w:rPr>
            </w:pPr>
            <w:r w:rsidRPr="00974831">
              <w:rPr>
                <w:b/>
                <w:sz w:val="22"/>
                <w:szCs w:val="22"/>
              </w:rPr>
              <w:t>Rate (FFY18 Wage &amp; Benefits)</w:t>
            </w:r>
          </w:p>
        </w:tc>
        <w:tc>
          <w:tcPr>
            <w:tcW w:w="1823" w:type="dxa"/>
            <w:shd w:val="clear" w:color="auto" w:fill="auto"/>
            <w:noWrap/>
            <w:vAlign w:val="bottom"/>
            <w:hideMark/>
          </w:tcPr>
          <w:p w:rsidR="005A541C" w:rsidRPr="00974831" w:rsidRDefault="005A541C" w:rsidP="00BE4BD2">
            <w:pPr>
              <w:widowControl/>
              <w:autoSpaceDE/>
              <w:autoSpaceDN/>
              <w:adjustRightInd/>
              <w:rPr>
                <w:b/>
                <w:sz w:val="22"/>
                <w:szCs w:val="22"/>
              </w:rPr>
            </w:pPr>
            <w:r w:rsidRPr="00974831">
              <w:rPr>
                <w:b/>
                <w:sz w:val="22"/>
                <w:szCs w:val="22"/>
              </w:rPr>
              <w:t>Average Annual Hours</w:t>
            </w:r>
          </w:p>
        </w:tc>
        <w:tc>
          <w:tcPr>
            <w:tcW w:w="1237" w:type="dxa"/>
            <w:shd w:val="clear" w:color="auto" w:fill="auto"/>
            <w:noWrap/>
            <w:vAlign w:val="bottom"/>
            <w:hideMark/>
          </w:tcPr>
          <w:p w:rsidR="005A541C" w:rsidRPr="00974831" w:rsidRDefault="005A541C" w:rsidP="00BE4BD2">
            <w:pPr>
              <w:widowControl/>
              <w:autoSpaceDE/>
              <w:autoSpaceDN/>
              <w:adjustRightInd/>
              <w:rPr>
                <w:b/>
                <w:sz w:val="22"/>
                <w:szCs w:val="22"/>
              </w:rPr>
            </w:pPr>
            <w:r w:rsidRPr="00974831">
              <w:rPr>
                <w:b/>
                <w:sz w:val="22"/>
                <w:szCs w:val="22"/>
              </w:rPr>
              <w:t>Average Annual Cost*</w:t>
            </w:r>
          </w:p>
        </w:tc>
      </w:tr>
      <w:tr w:rsidR="005A541C" w:rsidRPr="00974831" w:rsidTr="004256E9">
        <w:trPr>
          <w:trHeight w:val="300"/>
        </w:trPr>
        <w:tc>
          <w:tcPr>
            <w:tcW w:w="3667" w:type="dxa"/>
            <w:shd w:val="clear" w:color="auto" w:fill="auto"/>
            <w:noWrap/>
            <w:vAlign w:val="bottom"/>
            <w:hideMark/>
          </w:tcPr>
          <w:p w:rsidR="005A541C" w:rsidRPr="00974831" w:rsidRDefault="005A541C" w:rsidP="00BE4BD2">
            <w:pPr>
              <w:widowControl/>
              <w:autoSpaceDE/>
              <w:autoSpaceDN/>
              <w:adjustRightInd/>
              <w:rPr>
                <w:sz w:val="22"/>
                <w:szCs w:val="22"/>
              </w:rPr>
            </w:pPr>
            <w:r w:rsidRPr="00974831">
              <w:rPr>
                <w:sz w:val="22"/>
                <w:szCs w:val="22"/>
              </w:rPr>
              <w:t>Senior Managing Actuary</w:t>
            </w:r>
          </w:p>
        </w:tc>
        <w:tc>
          <w:tcPr>
            <w:tcW w:w="1350"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$379</w:t>
            </w:r>
          </w:p>
        </w:tc>
        <w:tc>
          <w:tcPr>
            <w:tcW w:w="1823"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3</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$1,275</w:t>
            </w:r>
          </w:p>
        </w:tc>
      </w:tr>
      <w:tr w:rsidR="005A541C" w:rsidRPr="00974831" w:rsidTr="004256E9">
        <w:trPr>
          <w:trHeight w:val="300"/>
        </w:trPr>
        <w:tc>
          <w:tcPr>
            <w:tcW w:w="3667" w:type="dxa"/>
            <w:shd w:val="clear" w:color="auto" w:fill="auto"/>
            <w:noWrap/>
            <w:vAlign w:val="bottom"/>
            <w:hideMark/>
          </w:tcPr>
          <w:p w:rsidR="005A541C" w:rsidRPr="00974831" w:rsidRDefault="005A541C" w:rsidP="00BE4BD2">
            <w:pPr>
              <w:widowControl/>
              <w:autoSpaceDE/>
              <w:autoSpaceDN/>
              <w:adjustRightInd/>
              <w:rPr>
                <w:sz w:val="22"/>
                <w:szCs w:val="22"/>
              </w:rPr>
            </w:pPr>
            <w:r w:rsidRPr="00974831">
              <w:rPr>
                <w:sz w:val="22"/>
                <w:szCs w:val="22"/>
              </w:rPr>
              <w:t>Actuarial Technician</w:t>
            </w:r>
          </w:p>
        </w:tc>
        <w:tc>
          <w:tcPr>
            <w:tcW w:w="1350"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$129</w:t>
            </w:r>
          </w:p>
        </w:tc>
        <w:tc>
          <w:tcPr>
            <w:tcW w:w="1823"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$138</w:t>
            </w:r>
          </w:p>
        </w:tc>
      </w:tr>
      <w:tr w:rsidR="005A541C" w:rsidRPr="00974831" w:rsidTr="004256E9">
        <w:trPr>
          <w:trHeight w:val="300"/>
        </w:trPr>
        <w:tc>
          <w:tcPr>
            <w:tcW w:w="3667" w:type="dxa"/>
            <w:shd w:val="clear" w:color="auto" w:fill="auto"/>
            <w:noWrap/>
            <w:vAlign w:val="bottom"/>
            <w:hideMark/>
          </w:tcPr>
          <w:p w:rsidR="005A541C" w:rsidRPr="00974831" w:rsidRDefault="005A541C" w:rsidP="00BE4BD2">
            <w:pPr>
              <w:widowControl/>
              <w:autoSpaceDE/>
              <w:autoSpaceDN/>
              <w:adjustRightInd/>
              <w:rPr>
                <w:sz w:val="22"/>
                <w:szCs w:val="22"/>
              </w:rPr>
            </w:pPr>
            <w:r w:rsidRPr="00974831">
              <w:rPr>
                <w:sz w:val="22"/>
                <w:szCs w:val="22"/>
              </w:rPr>
              <w:t>Senior Analyst</w:t>
            </w:r>
          </w:p>
        </w:tc>
        <w:tc>
          <w:tcPr>
            <w:tcW w:w="1350"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$135</w:t>
            </w:r>
          </w:p>
        </w:tc>
        <w:tc>
          <w:tcPr>
            <w:tcW w:w="1823"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150</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$21,201</w:t>
            </w:r>
          </w:p>
        </w:tc>
      </w:tr>
      <w:tr w:rsidR="005A541C" w:rsidRPr="00974831" w:rsidTr="004256E9">
        <w:trPr>
          <w:trHeight w:val="300"/>
        </w:trPr>
        <w:tc>
          <w:tcPr>
            <w:tcW w:w="3667" w:type="dxa"/>
            <w:shd w:val="clear" w:color="auto" w:fill="auto"/>
            <w:noWrap/>
            <w:vAlign w:val="bottom"/>
            <w:hideMark/>
          </w:tcPr>
          <w:p w:rsidR="005A541C" w:rsidRPr="00974831" w:rsidRDefault="005A541C" w:rsidP="00984527">
            <w:pPr>
              <w:widowControl/>
              <w:autoSpaceDE/>
              <w:autoSpaceDN/>
              <w:adjustRightInd/>
              <w:rPr>
                <w:sz w:val="22"/>
                <w:szCs w:val="22"/>
              </w:rPr>
            </w:pPr>
            <w:r w:rsidRPr="00974831">
              <w:rPr>
                <w:sz w:val="22"/>
                <w:szCs w:val="22"/>
              </w:rPr>
              <w:t>Senior Database Administrator</w:t>
            </w:r>
          </w:p>
        </w:tc>
        <w:tc>
          <w:tcPr>
            <w:tcW w:w="1350"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$135</w:t>
            </w:r>
          </w:p>
        </w:tc>
        <w:tc>
          <w:tcPr>
            <w:tcW w:w="1823"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120</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$17,096</w:t>
            </w:r>
          </w:p>
        </w:tc>
      </w:tr>
      <w:tr w:rsidR="005A541C" w:rsidRPr="00974831" w:rsidTr="004256E9">
        <w:trPr>
          <w:trHeight w:val="300"/>
        </w:trPr>
        <w:tc>
          <w:tcPr>
            <w:tcW w:w="3667" w:type="dxa"/>
            <w:shd w:val="clear" w:color="auto" w:fill="auto"/>
            <w:noWrap/>
            <w:vAlign w:val="bottom"/>
            <w:hideMark/>
          </w:tcPr>
          <w:p w:rsidR="005A541C" w:rsidRPr="00974831" w:rsidRDefault="005A541C" w:rsidP="00BE4BD2">
            <w:pPr>
              <w:widowControl/>
              <w:autoSpaceDE/>
              <w:autoSpaceDN/>
              <w:adjustRightInd/>
              <w:rPr>
                <w:sz w:val="22"/>
                <w:szCs w:val="22"/>
              </w:rPr>
            </w:pPr>
            <w:r w:rsidRPr="00974831">
              <w:rPr>
                <w:sz w:val="22"/>
                <w:szCs w:val="22"/>
              </w:rPr>
              <w:t>Senior Developer</w:t>
            </w:r>
          </w:p>
        </w:tc>
        <w:tc>
          <w:tcPr>
            <w:tcW w:w="1350"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$135</w:t>
            </w:r>
          </w:p>
        </w:tc>
        <w:tc>
          <w:tcPr>
            <w:tcW w:w="1823"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130</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$18,473</w:t>
            </w:r>
          </w:p>
        </w:tc>
      </w:tr>
      <w:tr w:rsidR="005A541C" w:rsidRPr="00974831" w:rsidTr="004256E9">
        <w:trPr>
          <w:trHeight w:val="300"/>
        </w:trPr>
        <w:tc>
          <w:tcPr>
            <w:tcW w:w="3667" w:type="dxa"/>
            <w:shd w:val="clear" w:color="auto" w:fill="auto"/>
            <w:noWrap/>
            <w:vAlign w:val="bottom"/>
            <w:hideMark/>
          </w:tcPr>
          <w:p w:rsidR="005A541C" w:rsidRPr="00974831" w:rsidRDefault="005A541C" w:rsidP="00BE4BD2">
            <w:pPr>
              <w:widowControl/>
              <w:autoSpaceDE/>
              <w:autoSpaceDN/>
              <w:adjustRightInd/>
              <w:rPr>
                <w:sz w:val="22"/>
                <w:szCs w:val="22"/>
              </w:rPr>
            </w:pPr>
            <w:r w:rsidRPr="00974831">
              <w:rPr>
                <w:sz w:val="22"/>
                <w:szCs w:val="22"/>
              </w:rPr>
              <w:t>Developer</w:t>
            </w:r>
          </w:p>
        </w:tc>
        <w:tc>
          <w:tcPr>
            <w:tcW w:w="1350"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$129</w:t>
            </w:r>
          </w:p>
        </w:tc>
        <w:tc>
          <w:tcPr>
            <w:tcW w:w="1823"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45</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$5,863</w:t>
            </w:r>
          </w:p>
        </w:tc>
      </w:tr>
      <w:tr w:rsidR="005A541C" w:rsidRPr="00974831" w:rsidTr="004256E9">
        <w:trPr>
          <w:trHeight w:val="300"/>
        </w:trPr>
        <w:tc>
          <w:tcPr>
            <w:tcW w:w="3667" w:type="dxa"/>
            <w:shd w:val="clear" w:color="auto" w:fill="auto"/>
            <w:noWrap/>
            <w:vAlign w:val="bottom"/>
            <w:hideMark/>
          </w:tcPr>
          <w:p w:rsidR="005A541C" w:rsidRPr="00974831" w:rsidRDefault="005A541C" w:rsidP="00BE4BD2">
            <w:pPr>
              <w:widowControl/>
              <w:autoSpaceDE/>
              <w:autoSpaceDN/>
              <w:adjustRightInd/>
              <w:rPr>
                <w:sz w:val="22"/>
                <w:szCs w:val="22"/>
              </w:rPr>
            </w:pPr>
            <w:r w:rsidRPr="00974831">
              <w:rPr>
                <w:sz w:val="22"/>
                <w:szCs w:val="22"/>
              </w:rPr>
              <w:t>Senior Consultant</w:t>
            </w:r>
          </w:p>
        </w:tc>
        <w:tc>
          <w:tcPr>
            <w:tcW w:w="1350"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$145</w:t>
            </w:r>
          </w:p>
        </w:tc>
        <w:tc>
          <w:tcPr>
            <w:tcW w:w="1823"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w:t>
            </w:r>
            <w:r w:rsidR="001C4CC9">
              <w:rPr>
                <w:sz w:val="22"/>
                <w:szCs w:val="22"/>
              </w:rPr>
              <w:t>49</w:t>
            </w:r>
          </w:p>
        </w:tc>
        <w:tc>
          <w:tcPr>
            <w:tcW w:w="1237" w:type="dxa"/>
            <w:shd w:val="clear" w:color="auto" w:fill="auto"/>
            <w:noWrap/>
            <w:vAlign w:val="bottom"/>
            <w:hideMark/>
          </w:tcPr>
          <w:p w:rsidR="005A541C" w:rsidRPr="00974831" w:rsidRDefault="005A541C" w:rsidP="001C4CC9">
            <w:pPr>
              <w:widowControl/>
              <w:autoSpaceDE/>
              <w:autoSpaceDN/>
              <w:adjustRightInd/>
              <w:jc w:val="right"/>
              <w:rPr>
                <w:sz w:val="22"/>
                <w:szCs w:val="22"/>
              </w:rPr>
            </w:pPr>
            <w:r w:rsidRPr="00974831">
              <w:rPr>
                <w:sz w:val="22"/>
                <w:szCs w:val="22"/>
              </w:rPr>
              <w:t>$</w:t>
            </w:r>
            <w:r w:rsidR="001C4CC9">
              <w:rPr>
                <w:sz w:val="22"/>
                <w:szCs w:val="22"/>
              </w:rPr>
              <w:t>23,336</w:t>
            </w:r>
          </w:p>
        </w:tc>
      </w:tr>
      <w:tr w:rsidR="005A541C" w:rsidRPr="00974831" w:rsidTr="004256E9">
        <w:trPr>
          <w:trHeight w:val="300"/>
        </w:trPr>
        <w:tc>
          <w:tcPr>
            <w:tcW w:w="3667" w:type="dxa"/>
            <w:shd w:val="clear" w:color="auto" w:fill="auto"/>
            <w:noWrap/>
            <w:vAlign w:val="bottom"/>
            <w:hideMark/>
          </w:tcPr>
          <w:p w:rsidR="005A541C" w:rsidRPr="00974831" w:rsidRDefault="005A541C" w:rsidP="00BE4BD2">
            <w:pPr>
              <w:widowControl/>
              <w:autoSpaceDE/>
              <w:autoSpaceDN/>
              <w:adjustRightInd/>
              <w:rPr>
                <w:sz w:val="22"/>
                <w:szCs w:val="22"/>
              </w:rPr>
            </w:pPr>
            <w:r w:rsidRPr="00974831">
              <w:rPr>
                <w:sz w:val="22"/>
                <w:szCs w:val="22"/>
              </w:rPr>
              <w:t>Managing Consultant</w:t>
            </w:r>
          </w:p>
        </w:tc>
        <w:tc>
          <w:tcPr>
            <w:tcW w:w="1350"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$199</w:t>
            </w:r>
          </w:p>
        </w:tc>
        <w:tc>
          <w:tcPr>
            <w:tcW w:w="1823" w:type="dxa"/>
            <w:shd w:val="clear" w:color="auto" w:fill="auto"/>
            <w:noWrap/>
            <w:vAlign w:val="bottom"/>
            <w:hideMark/>
          </w:tcPr>
          <w:p w:rsidR="005A541C" w:rsidRPr="00974831" w:rsidRDefault="001C4CC9" w:rsidP="00BE4BD2">
            <w:pPr>
              <w:widowControl/>
              <w:autoSpaceDE/>
              <w:autoSpaceDN/>
              <w:adjustRightInd/>
              <w:jc w:val="right"/>
              <w:rPr>
                <w:sz w:val="22"/>
                <w:szCs w:val="22"/>
              </w:rPr>
            </w:pPr>
            <w:r>
              <w:rPr>
                <w:sz w:val="22"/>
                <w:szCs w:val="22"/>
              </w:rPr>
              <w:t>47</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w:t>
            </w:r>
            <w:r w:rsidR="001C4CC9">
              <w:rPr>
                <w:sz w:val="22"/>
                <w:szCs w:val="22"/>
              </w:rPr>
              <w:t>8,851</w:t>
            </w:r>
          </w:p>
        </w:tc>
      </w:tr>
      <w:tr w:rsidR="005A541C" w:rsidRPr="00974831" w:rsidTr="004256E9">
        <w:trPr>
          <w:trHeight w:val="300"/>
        </w:trPr>
        <w:tc>
          <w:tcPr>
            <w:tcW w:w="3667" w:type="dxa"/>
            <w:shd w:val="clear" w:color="auto" w:fill="auto"/>
            <w:noWrap/>
            <w:vAlign w:val="bottom"/>
            <w:hideMark/>
          </w:tcPr>
          <w:p w:rsidR="005A541C" w:rsidRPr="00974831" w:rsidRDefault="005A541C" w:rsidP="00BE4BD2">
            <w:pPr>
              <w:widowControl/>
              <w:autoSpaceDE/>
              <w:autoSpaceDN/>
              <w:adjustRightInd/>
              <w:rPr>
                <w:sz w:val="22"/>
                <w:szCs w:val="22"/>
              </w:rPr>
            </w:pPr>
            <w:r w:rsidRPr="00974831">
              <w:rPr>
                <w:sz w:val="22"/>
                <w:szCs w:val="22"/>
              </w:rPr>
              <w:t>Assistant Director</w:t>
            </w:r>
          </w:p>
        </w:tc>
        <w:tc>
          <w:tcPr>
            <w:tcW w:w="1350"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$250</w:t>
            </w:r>
          </w:p>
        </w:tc>
        <w:tc>
          <w:tcPr>
            <w:tcW w:w="1823" w:type="dxa"/>
            <w:shd w:val="clear" w:color="auto" w:fill="auto"/>
            <w:noWrap/>
            <w:vAlign w:val="bottom"/>
            <w:hideMark/>
          </w:tcPr>
          <w:p w:rsidR="005A541C" w:rsidRPr="00974831" w:rsidRDefault="001C4CC9" w:rsidP="00BE4BD2">
            <w:pPr>
              <w:widowControl/>
              <w:autoSpaceDE/>
              <w:autoSpaceDN/>
              <w:adjustRightInd/>
              <w:jc w:val="right"/>
              <w:rPr>
                <w:sz w:val="22"/>
                <w:szCs w:val="22"/>
              </w:rPr>
            </w:pPr>
            <w:r>
              <w:rPr>
                <w:sz w:val="22"/>
                <w:szCs w:val="22"/>
              </w:rPr>
              <w:t>47</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w:t>
            </w:r>
            <w:r w:rsidR="001C4CC9">
              <w:rPr>
                <w:sz w:val="22"/>
                <w:szCs w:val="22"/>
              </w:rPr>
              <w:t>12,465</w:t>
            </w:r>
          </w:p>
        </w:tc>
      </w:tr>
      <w:tr w:rsidR="005A541C" w:rsidRPr="00974831" w:rsidTr="004256E9">
        <w:trPr>
          <w:trHeight w:val="300"/>
        </w:trPr>
        <w:tc>
          <w:tcPr>
            <w:tcW w:w="3667" w:type="dxa"/>
            <w:shd w:val="clear" w:color="auto" w:fill="auto"/>
            <w:noWrap/>
            <w:vAlign w:val="bottom"/>
            <w:hideMark/>
          </w:tcPr>
          <w:p w:rsidR="005A541C" w:rsidRPr="00974831" w:rsidRDefault="005A541C" w:rsidP="00BE4BD2">
            <w:pPr>
              <w:widowControl/>
              <w:autoSpaceDE/>
              <w:autoSpaceDN/>
              <w:adjustRightInd/>
              <w:rPr>
                <w:sz w:val="22"/>
                <w:szCs w:val="22"/>
              </w:rPr>
            </w:pPr>
            <w:r w:rsidRPr="00974831">
              <w:rPr>
                <w:sz w:val="22"/>
                <w:szCs w:val="22"/>
              </w:rPr>
              <w:t>Director</w:t>
            </w:r>
          </w:p>
        </w:tc>
        <w:tc>
          <w:tcPr>
            <w:tcW w:w="1350"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$278</w:t>
            </w:r>
          </w:p>
        </w:tc>
        <w:tc>
          <w:tcPr>
            <w:tcW w:w="1823"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5</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$1,598</w:t>
            </w:r>
          </w:p>
        </w:tc>
      </w:tr>
      <w:tr w:rsidR="005A541C" w:rsidRPr="00974831" w:rsidTr="004256E9">
        <w:trPr>
          <w:trHeight w:val="300"/>
        </w:trPr>
        <w:tc>
          <w:tcPr>
            <w:tcW w:w="3667" w:type="dxa"/>
            <w:shd w:val="clear" w:color="auto" w:fill="FFFFFF"/>
            <w:noWrap/>
            <w:vAlign w:val="bottom"/>
            <w:hideMark/>
          </w:tcPr>
          <w:p w:rsidR="005A541C" w:rsidRPr="00974831" w:rsidRDefault="005A541C" w:rsidP="00BE4BD2">
            <w:pPr>
              <w:widowControl/>
              <w:autoSpaceDE/>
              <w:autoSpaceDN/>
              <w:adjustRightInd/>
              <w:rPr>
                <w:sz w:val="22"/>
                <w:szCs w:val="22"/>
              </w:rPr>
            </w:pPr>
            <w:r w:rsidRPr="00974831">
              <w:rPr>
                <w:sz w:val="22"/>
                <w:szCs w:val="22"/>
              </w:rPr>
              <w:t>G&amp;A</w:t>
            </w:r>
          </w:p>
        </w:tc>
        <w:tc>
          <w:tcPr>
            <w:tcW w:w="1350" w:type="dxa"/>
            <w:shd w:val="clear" w:color="auto" w:fill="FFFFFF"/>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n/a</w:t>
            </w:r>
          </w:p>
        </w:tc>
        <w:tc>
          <w:tcPr>
            <w:tcW w:w="1823"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n/a</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$10,437</w:t>
            </w:r>
          </w:p>
        </w:tc>
      </w:tr>
      <w:tr w:rsidR="005A541C" w:rsidRPr="00974831" w:rsidTr="004256E9">
        <w:trPr>
          <w:trHeight w:val="300"/>
        </w:trPr>
        <w:tc>
          <w:tcPr>
            <w:tcW w:w="3667" w:type="dxa"/>
            <w:shd w:val="clear" w:color="auto" w:fill="FFFFFF"/>
            <w:noWrap/>
            <w:vAlign w:val="bottom"/>
            <w:hideMark/>
          </w:tcPr>
          <w:p w:rsidR="005A541C" w:rsidRPr="00974831" w:rsidRDefault="005A541C" w:rsidP="00BE4BD2">
            <w:pPr>
              <w:widowControl/>
              <w:autoSpaceDE/>
              <w:autoSpaceDN/>
              <w:adjustRightInd/>
              <w:rPr>
                <w:sz w:val="22"/>
                <w:szCs w:val="22"/>
              </w:rPr>
            </w:pPr>
            <w:r w:rsidRPr="00974831">
              <w:rPr>
                <w:sz w:val="22"/>
                <w:szCs w:val="22"/>
              </w:rPr>
              <w:t>ODCs</w:t>
            </w:r>
          </w:p>
        </w:tc>
        <w:tc>
          <w:tcPr>
            <w:tcW w:w="1350" w:type="dxa"/>
            <w:shd w:val="clear" w:color="auto" w:fill="FFFFFF"/>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n/a</w:t>
            </w:r>
          </w:p>
        </w:tc>
        <w:tc>
          <w:tcPr>
            <w:tcW w:w="1823"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n/a</w:t>
            </w:r>
          </w:p>
        </w:tc>
        <w:tc>
          <w:tcPr>
            <w:tcW w:w="1237" w:type="dxa"/>
            <w:shd w:val="clear" w:color="auto" w:fill="auto"/>
            <w:noWrap/>
            <w:vAlign w:val="bottom"/>
            <w:hideMark/>
          </w:tcPr>
          <w:p w:rsidR="005A541C" w:rsidRPr="00974831" w:rsidRDefault="005A541C" w:rsidP="00BE4BD2">
            <w:pPr>
              <w:widowControl/>
              <w:autoSpaceDE/>
              <w:autoSpaceDN/>
              <w:adjustRightInd/>
              <w:jc w:val="right"/>
              <w:rPr>
                <w:sz w:val="22"/>
                <w:szCs w:val="22"/>
              </w:rPr>
            </w:pPr>
            <w:r w:rsidRPr="00974831">
              <w:rPr>
                <w:sz w:val="22"/>
                <w:szCs w:val="22"/>
              </w:rPr>
              <w:t>$35,313</w:t>
            </w:r>
          </w:p>
        </w:tc>
      </w:tr>
    </w:tbl>
    <w:p w:rsidR="005A541C" w:rsidRPr="00E558EA" w:rsidRDefault="00E558EA" w:rsidP="00E558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18"/>
          <w:szCs w:val="18"/>
        </w:rPr>
      </w:pPr>
      <w:r w:rsidRPr="00974831">
        <w:rPr>
          <w:sz w:val="18"/>
          <w:szCs w:val="18"/>
        </w:rPr>
        <w:t>* Accounts for a 2% annual inflation rate and assumes survey will be active through FFY 2025 (8 years total)</w:t>
      </w:r>
    </w:p>
    <w:p w:rsidR="005A541C" w:rsidRPr="005A541C" w:rsidRDefault="005A541C">
      <w:pPr>
        <w:rPr>
          <w:sz w:val="24"/>
        </w:rPr>
      </w:pPr>
    </w:p>
    <w:p w:rsidR="005A541C" w:rsidRPr="0040316F" w:rsidRDefault="005A541C" w:rsidP="0040316F">
      <w:pPr>
        <w:jc w:val="center"/>
        <w:rPr>
          <w:sz w:val="24"/>
        </w:rPr>
      </w:pPr>
      <w:r w:rsidRPr="0040316F">
        <w:rPr>
          <w:sz w:val="24"/>
        </w:rPr>
        <w:t>Table of CMS Staff Costs</w:t>
      </w:r>
      <w:r w:rsidR="00E558EA" w:rsidRPr="0040316F">
        <w:rPr>
          <w:sz w:val="24"/>
        </w:rPr>
        <w:t>^</w:t>
      </w:r>
    </w:p>
    <w:tbl>
      <w:tblPr>
        <w:tblW w:w="807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474"/>
        <w:gridCol w:w="1823"/>
        <w:gridCol w:w="1237"/>
      </w:tblGrid>
      <w:tr w:rsidR="005A541C" w:rsidRPr="00974831" w:rsidTr="004256E9">
        <w:trPr>
          <w:cantSplit/>
          <w:trHeight w:val="302"/>
        </w:trPr>
        <w:tc>
          <w:tcPr>
            <w:tcW w:w="3543" w:type="dxa"/>
            <w:shd w:val="clear" w:color="auto" w:fill="auto"/>
            <w:vAlign w:val="bottom"/>
          </w:tcPr>
          <w:p w:rsidR="005A541C" w:rsidRPr="00974831" w:rsidRDefault="005A541C" w:rsidP="005A541C">
            <w:pPr>
              <w:widowControl/>
              <w:autoSpaceDE/>
              <w:autoSpaceDN/>
              <w:adjustRightInd/>
              <w:rPr>
                <w:b/>
                <w:sz w:val="22"/>
                <w:szCs w:val="22"/>
              </w:rPr>
            </w:pPr>
            <w:r w:rsidRPr="00974831">
              <w:rPr>
                <w:b/>
                <w:sz w:val="22"/>
                <w:szCs w:val="22"/>
              </w:rPr>
              <w:t>Title</w:t>
            </w:r>
          </w:p>
        </w:tc>
        <w:tc>
          <w:tcPr>
            <w:tcW w:w="1474" w:type="dxa"/>
            <w:shd w:val="clear" w:color="auto" w:fill="auto"/>
            <w:vAlign w:val="bottom"/>
          </w:tcPr>
          <w:p w:rsidR="005A541C" w:rsidRPr="00974831" w:rsidRDefault="005A541C" w:rsidP="005A541C">
            <w:pPr>
              <w:widowControl/>
              <w:autoSpaceDE/>
              <w:autoSpaceDN/>
              <w:adjustRightInd/>
              <w:rPr>
                <w:b/>
                <w:sz w:val="22"/>
                <w:szCs w:val="22"/>
              </w:rPr>
            </w:pPr>
            <w:r w:rsidRPr="00974831">
              <w:rPr>
                <w:b/>
                <w:sz w:val="22"/>
                <w:szCs w:val="22"/>
              </w:rPr>
              <w:t>Rate (FFY18 Wage &amp; Benefits)</w:t>
            </w:r>
          </w:p>
        </w:tc>
        <w:tc>
          <w:tcPr>
            <w:tcW w:w="1823" w:type="dxa"/>
            <w:shd w:val="clear" w:color="auto" w:fill="auto"/>
            <w:noWrap/>
            <w:vAlign w:val="bottom"/>
          </w:tcPr>
          <w:p w:rsidR="005A541C" w:rsidRPr="00974831" w:rsidRDefault="005A541C" w:rsidP="005A541C">
            <w:pPr>
              <w:widowControl/>
              <w:autoSpaceDE/>
              <w:autoSpaceDN/>
              <w:adjustRightInd/>
              <w:rPr>
                <w:b/>
                <w:sz w:val="22"/>
                <w:szCs w:val="22"/>
              </w:rPr>
            </w:pPr>
            <w:r w:rsidRPr="00974831">
              <w:rPr>
                <w:b/>
                <w:sz w:val="22"/>
                <w:szCs w:val="22"/>
              </w:rPr>
              <w:t>Average Annual Hours</w:t>
            </w:r>
          </w:p>
        </w:tc>
        <w:tc>
          <w:tcPr>
            <w:tcW w:w="1237" w:type="dxa"/>
            <w:shd w:val="clear" w:color="auto" w:fill="auto"/>
            <w:noWrap/>
            <w:vAlign w:val="bottom"/>
          </w:tcPr>
          <w:p w:rsidR="005A541C" w:rsidRPr="00974831" w:rsidRDefault="005A541C" w:rsidP="005A541C">
            <w:pPr>
              <w:widowControl/>
              <w:autoSpaceDE/>
              <w:autoSpaceDN/>
              <w:adjustRightInd/>
              <w:rPr>
                <w:b/>
                <w:sz w:val="22"/>
                <w:szCs w:val="22"/>
              </w:rPr>
            </w:pPr>
            <w:r w:rsidRPr="00974831">
              <w:rPr>
                <w:b/>
                <w:sz w:val="22"/>
                <w:szCs w:val="22"/>
              </w:rPr>
              <w:t>Average Annual Cost*</w:t>
            </w:r>
          </w:p>
        </w:tc>
      </w:tr>
      <w:tr w:rsidR="005A541C" w:rsidRPr="00974831" w:rsidTr="004256E9">
        <w:trPr>
          <w:cantSplit/>
          <w:trHeight w:val="302"/>
        </w:trPr>
        <w:tc>
          <w:tcPr>
            <w:tcW w:w="3543" w:type="dxa"/>
            <w:shd w:val="clear" w:color="auto" w:fill="auto"/>
            <w:vAlign w:val="center"/>
            <w:hideMark/>
          </w:tcPr>
          <w:p w:rsidR="005A541C" w:rsidRPr="00974831" w:rsidRDefault="005A541C" w:rsidP="005A541C">
            <w:pPr>
              <w:widowControl/>
              <w:autoSpaceDE/>
              <w:autoSpaceDN/>
              <w:adjustRightInd/>
              <w:rPr>
                <w:sz w:val="22"/>
                <w:szCs w:val="22"/>
              </w:rPr>
            </w:pPr>
            <w:r w:rsidRPr="00974831">
              <w:rPr>
                <w:sz w:val="22"/>
                <w:szCs w:val="22"/>
              </w:rPr>
              <w:t>Division Director (GS-15)</w:t>
            </w:r>
          </w:p>
        </w:tc>
        <w:tc>
          <w:tcPr>
            <w:tcW w:w="1474" w:type="dxa"/>
            <w:shd w:val="clear" w:color="auto" w:fill="auto"/>
            <w:vAlign w:val="center"/>
            <w:hideMark/>
          </w:tcPr>
          <w:p w:rsidR="005A541C" w:rsidRPr="00974831" w:rsidRDefault="005A541C" w:rsidP="005A541C">
            <w:pPr>
              <w:widowControl/>
              <w:autoSpaceDE/>
              <w:autoSpaceDN/>
              <w:adjustRightInd/>
              <w:jc w:val="right"/>
              <w:rPr>
                <w:sz w:val="22"/>
                <w:szCs w:val="22"/>
              </w:rPr>
            </w:pPr>
            <w:r w:rsidRPr="00974831">
              <w:rPr>
                <w:sz w:val="22"/>
                <w:szCs w:val="22"/>
              </w:rPr>
              <w:t>$147</w:t>
            </w:r>
          </w:p>
        </w:tc>
        <w:tc>
          <w:tcPr>
            <w:tcW w:w="1823" w:type="dxa"/>
            <w:shd w:val="clear" w:color="auto" w:fill="auto"/>
            <w:noWrap/>
            <w:vAlign w:val="bottom"/>
            <w:hideMark/>
          </w:tcPr>
          <w:p w:rsidR="005A541C" w:rsidRPr="00974831" w:rsidRDefault="001C4CC9" w:rsidP="005A541C">
            <w:pPr>
              <w:widowControl/>
              <w:autoSpaceDE/>
              <w:autoSpaceDN/>
              <w:adjustRightInd/>
              <w:jc w:val="right"/>
              <w:rPr>
                <w:sz w:val="22"/>
                <w:szCs w:val="22"/>
              </w:rPr>
            </w:pPr>
            <w:r>
              <w:rPr>
                <w:sz w:val="22"/>
                <w:szCs w:val="22"/>
              </w:rPr>
              <w:t>11</w:t>
            </w:r>
          </w:p>
        </w:tc>
        <w:tc>
          <w:tcPr>
            <w:tcW w:w="1237" w:type="dxa"/>
            <w:shd w:val="clear" w:color="auto" w:fill="auto"/>
            <w:noWrap/>
            <w:vAlign w:val="bottom"/>
            <w:hideMark/>
          </w:tcPr>
          <w:p w:rsidR="005A541C" w:rsidRPr="00974831" w:rsidRDefault="005A541C" w:rsidP="005A541C">
            <w:pPr>
              <w:widowControl/>
              <w:autoSpaceDE/>
              <w:autoSpaceDN/>
              <w:adjustRightInd/>
              <w:jc w:val="right"/>
              <w:rPr>
                <w:sz w:val="22"/>
                <w:szCs w:val="22"/>
              </w:rPr>
            </w:pPr>
            <w:r w:rsidRPr="00974831">
              <w:rPr>
                <w:sz w:val="22"/>
                <w:szCs w:val="22"/>
              </w:rPr>
              <w:t>$1,</w:t>
            </w:r>
            <w:r w:rsidR="001C4CC9">
              <w:rPr>
                <w:sz w:val="22"/>
                <w:szCs w:val="22"/>
              </w:rPr>
              <w:t>678</w:t>
            </w:r>
          </w:p>
        </w:tc>
      </w:tr>
      <w:tr w:rsidR="005A541C" w:rsidRPr="00974831" w:rsidTr="004256E9">
        <w:trPr>
          <w:cantSplit/>
          <w:trHeight w:val="302"/>
        </w:trPr>
        <w:tc>
          <w:tcPr>
            <w:tcW w:w="3543" w:type="dxa"/>
            <w:shd w:val="clear" w:color="auto" w:fill="auto"/>
            <w:vAlign w:val="center"/>
            <w:hideMark/>
          </w:tcPr>
          <w:p w:rsidR="005A541C" w:rsidRPr="00974831" w:rsidRDefault="005A541C" w:rsidP="005A541C">
            <w:pPr>
              <w:widowControl/>
              <w:autoSpaceDE/>
              <w:autoSpaceDN/>
              <w:adjustRightInd/>
              <w:rPr>
                <w:sz w:val="22"/>
                <w:szCs w:val="22"/>
              </w:rPr>
            </w:pPr>
            <w:r w:rsidRPr="00974831">
              <w:rPr>
                <w:sz w:val="22"/>
                <w:szCs w:val="22"/>
              </w:rPr>
              <w:t>Deputy Division Director (GS-14)</w:t>
            </w:r>
          </w:p>
        </w:tc>
        <w:tc>
          <w:tcPr>
            <w:tcW w:w="1474" w:type="dxa"/>
            <w:shd w:val="clear" w:color="auto" w:fill="auto"/>
            <w:vAlign w:val="center"/>
            <w:hideMark/>
          </w:tcPr>
          <w:p w:rsidR="005A541C" w:rsidRPr="00974831" w:rsidRDefault="005A541C" w:rsidP="005A541C">
            <w:pPr>
              <w:widowControl/>
              <w:autoSpaceDE/>
              <w:autoSpaceDN/>
              <w:adjustRightInd/>
              <w:jc w:val="right"/>
              <w:rPr>
                <w:sz w:val="22"/>
                <w:szCs w:val="22"/>
              </w:rPr>
            </w:pPr>
            <w:r w:rsidRPr="00974831">
              <w:rPr>
                <w:sz w:val="22"/>
                <w:szCs w:val="22"/>
              </w:rPr>
              <w:t>$125</w:t>
            </w:r>
          </w:p>
        </w:tc>
        <w:tc>
          <w:tcPr>
            <w:tcW w:w="1823" w:type="dxa"/>
            <w:shd w:val="clear" w:color="auto" w:fill="auto"/>
            <w:noWrap/>
            <w:vAlign w:val="bottom"/>
            <w:hideMark/>
          </w:tcPr>
          <w:p w:rsidR="005A541C" w:rsidRPr="00974831" w:rsidRDefault="001C4CC9" w:rsidP="005A541C">
            <w:pPr>
              <w:widowControl/>
              <w:autoSpaceDE/>
              <w:autoSpaceDN/>
              <w:adjustRightInd/>
              <w:jc w:val="right"/>
              <w:rPr>
                <w:sz w:val="22"/>
                <w:szCs w:val="22"/>
              </w:rPr>
            </w:pPr>
            <w:r>
              <w:rPr>
                <w:sz w:val="22"/>
                <w:szCs w:val="22"/>
              </w:rPr>
              <w:t>11</w:t>
            </w:r>
          </w:p>
        </w:tc>
        <w:tc>
          <w:tcPr>
            <w:tcW w:w="1237" w:type="dxa"/>
            <w:shd w:val="clear" w:color="auto" w:fill="auto"/>
            <w:noWrap/>
            <w:vAlign w:val="bottom"/>
            <w:hideMark/>
          </w:tcPr>
          <w:p w:rsidR="005A541C" w:rsidRPr="00974831" w:rsidRDefault="005A541C" w:rsidP="001C4CC9">
            <w:pPr>
              <w:widowControl/>
              <w:autoSpaceDE/>
              <w:autoSpaceDN/>
              <w:adjustRightInd/>
              <w:jc w:val="right"/>
              <w:rPr>
                <w:sz w:val="22"/>
                <w:szCs w:val="22"/>
              </w:rPr>
            </w:pPr>
            <w:r w:rsidRPr="00974831">
              <w:rPr>
                <w:sz w:val="22"/>
                <w:szCs w:val="22"/>
              </w:rPr>
              <w:t>$1,</w:t>
            </w:r>
            <w:r w:rsidR="001C4CC9">
              <w:rPr>
                <w:sz w:val="22"/>
                <w:szCs w:val="22"/>
              </w:rPr>
              <w:t>427</w:t>
            </w:r>
          </w:p>
        </w:tc>
      </w:tr>
      <w:tr w:rsidR="005A541C" w:rsidRPr="00974831" w:rsidTr="004256E9">
        <w:trPr>
          <w:cantSplit/>
          <w:trHeight w:val="302"/>
        </w:trPr>
        <w:tc>
          <w:tcPr>
            <w:tcW w:w="3543" w:type="dxa"/>
            <w:shd w:val="clear" w:color="auto" w:fill="auto"/>
            <w:vAlign w:val="center"/>
            <w:hideMark/>
          </w:tcPr>
          <w:p w:rsidR="005A541C" w:rsidRPr="00974831" w:rsidRDefault="005A541C" w:rsidP="005A541C">
            <w:pPr>
              <w:widowControl/>
              <w:autoSpaceDE/>
              <w:autoSpaceDN/>
              <w:adjustRightInd/>
              <w:rPr>
                <w:sz w:val="22"/>
                <w:szCs w:val="22"/>
              </w:rPr>
            </w:pPr>
            <w:r w:rsidRPr="00974831">
              <w:rPr>
                <w:sz w:val="22"/>
                <w:szCs w:val="22"/>
              </w:rPr>
              <w:t>Technical Director (GS-14)</w:t>
            </w:r>
          </w:p>
        </w:tc>
        <w:tc>
          <w:tcPr>
            <w:tcW w:w="1474" w:type="dxa"/>
            <w:shd w:val="clear" w:color="auto" w:fill="auto"/>
            <w:vAlign w:val="center"/>
            <w:hideMark/>
          </w:tcPr>
          <w:p w:rsidR="005A541C" w:rsidRPr="00974831" w:rsidRDefault="005A541C" w:rsidP="005A541C">
            <w:pPr>
              <w:widowControl/>
              <w:autoSpaceDE/>
              <w:autoSpaceDN/>
              <w:adjustRightInd/>
              <w:jc w:val="right"/>
              <w:rPr>
                <w:sz w:val="22"/>
                <w:szCs w:val="22"/>
              </w:rPr>
            </w:pPr>
            <w:r w:rsidRPr="00974831">
              <w:rPr>
                <w:sz w:val="22"/>
                <w:szCs w:val="22"/>
              </w:rPr>
              <w:t>$125</w:t>
            </w:r>
          </w:p>
        </w:tc>
        <w:tc>
          <w:tcPr>
            <w:tcW w:w="1823" w:type="dxa"/>
            <w:shd w:val="clear" w:color="auto" w:fill="auto"/>
            <w:noWrap/>
            <w:vAlign w:val="bottom"/>
            <w:hideMark/>
          </w:tcPr>
          <w:p w:rsidR="005A541C" w:rsidRPr="00974831" w:rsidRDefault="001C4CC9" w:rsidP="005A541C">
            <w:pPr>
              <w:widowControl/>
              <w:autoSpaceDE/>
              <w:autoSpaceDN/>
              <w:adjustRightInd/>
              <w:jc w:val="right"/>
              <w:rPr>
                <w:sz w:val="22"/>
                <w:szCs w:val="22"/>
              </w:rPr>
            </w:pPr>
            <w:r>
              <w:rPr>
                <w:sz w:val="22"/>
                <w:szCs w:val="22"/>
              </w:rPr>
              <w:t>6</w:t>
            </w:r>
          </w:p>
        </w:tc>
        <w:tc>
          <w:tcPr>
            <w:tcW w:w="1237" w:type="dxa"/>
            <w:shd w:val="clear" w:color="auto" w:fill="auto"/>
            <w:noWrap/>
            <w:vAlign w:val="bottom"/>
            <w:hideMark/>
          </w:tcPr>
          <w:p w:rsidR="005A541C" w:rsidRPr="00974831" w:rsidRDefault="005A541C" w:rsidP="001C4CC9">
            <w:pPr>
              <w:widowControl/>
              <w:autoSpaceDE/>
              <w:autoSpaceDN/>
              <w:adjustRightInd/>
              <w:jc w:val="right"/>
              <w:rPr>
                <w:sz w:val="22"/>
                <w:szCs w:val="22"/>
              </w:rPr>
            </w:pPr>
            <w:r w:rsidRPr="00974831">
              <w:rPr>
                <w:sz w:val="22"/>
                <w:szCs w:val="22"/>
              </w:rPr>
              <w:t>$</w:t>
            </w:r>
            <w:r w:rsidR="001C4CC9">
              <w:rPr>
                <w:sz w:val="22"/>
                <w:szCs w:val="22"/>
              </w:rPr>
              <w:t>773</w:t>
            </w:r>
          </w:p>
        </w:tc>
      </w:tr>
      <w:tr w:rsidR="005A541C" w:rsidRPr="00974831" w:rsidTr="004256E9">
        <w:trPr>
          <w:cantSplit/>
          <w:trHeight w:val="302"/>
        </w:trPr>
        <w:tc>
          <w:tcPr>
            <w:tcW w:w="3543" w:type="dxa"/>
            <w:shd w:val="clear" w:color="auto" w:fill="auto"/>
            <w:vAlign w:val="center"/>
            <w:hideMark/>
          </w:tcPr>
          <w:p w:rsidR="005A541C" w:rsidRPr="00974831" w:rsidRDefault="005A541C" w:rsidP="005A541C">
            <w:pPr>
              <w:widowControl/>
              <w:autoSpaceDE/>
              <w:autoSpaceDN/>
              <w:adjustRightInd/>
              <w:rPr>
                <w:sz w:val="22"/>
                <w:szCs w:val="22"/>
              </w:rPr>
            </w:pPr>
            <w:r w:rsidRPr="00974831">
              <w:rPr>
                <w:sz w:val="22"/>
                <w:szCs w:val="22"/>
              </w:rPr>
              <w:t>Health Insurance Specialist (GS-13)</w:t>
            </w:r>
          </w:p>
        </w:tc>
        <w:tc>
          <w:tcPr>
            <w:tcW w:w="1474" w:type="dxa"/>
            <w:shd w:val="clear" w:color="auto" w:fill="auto"/>
            <w:vAlign w:val="center"/>
            <w:hideMark/>
          </w:tcPr>
          <w:p w:rsidR="005A541C" w:rsidRPr="00974831" w:rsidRDefault="005A541C" w:rsidP="005A541C">
            <w:pPr>
              <w:widowControl/>
              <w:autoSpaceDE/>
              <w:autoSpaceDN/>
              <w:adjustRightInd/>
              <w:jc w:val="right"/>
              <w:rPr>
                <w:sz w:val="22"/>
                <w:szCs w:val="22"/>
              </w:rPr>
            </w:pPr>
            <w:r w:rsidRPr="00974831">
              <w:rPr>
                <w:sz w:val="22"/>
                <w:szCs w:val="22"/>
              </w:rPr>
              <w:t>$106</w:t>
            </w:r>
          </w:p>
        </w:tc>
        <w:tc>
          <w:tcPr>
            <w:tcW w:w="1823" w:type="dxa"/>
            <w:shd w:val="clear" w:color="auto" w:fill="auto"/>
            <w:noWrap/>
            <w:vAlign w:val="bottom"/>
            <w:hideMark/>
          </w:tcPr>
          <w:p w:rsidR="005A541C" w:rsidRPr="00974831" w:rsidRDefault="005A4950" w:rsidP="005A541C">
            <w:pPr>
              <w:widowControl/>
              <w:autoSpaceDE/>
              <w:autoSpaceDN/>
              <w:adjustRightInd/>
              <w:jc w:val="right"/>
              <w:rPr>
                <w:sz w:val="22"/>
                <w:szCs w:val="22"/>
              </w:rPr>
            </w:pPr>
            <w:r>
              <w:rPr>
                <w:sz w:val="22"/>
                <w:szCs w:val="22"/>
              </w:rPr>
              <w:t>28</w:t>
            </w:r>
          </w:p>
        </w:tc>
        <w:tc>
          <w:tcPr>
            <w:tcW w:w="1237" w:type="dxa"/>
            <w:shd w:val="clear" w:color="auto" w:fill="auto"/>
            <w:noWrap/>
            <w:vAlign w:val="bottom"/>
            <w:hideMark/>
          </w:tcPr>
          <w:p w:rsidR="005A541C" w:rsidRPr="00974831" w:rsidRDefault="005A541C" w:rsidP="005A541C">
            <w:pPr>
              <w:widowControl/>
              <w:autoSpaceDE/>
              <w:autoSpaceDN/>
              <w:adjustRightInd/>
              <w:jc w:val="right"/>
              <w:rPr>
                <w:sz w:val="22"/>
                <w:szCs w:val="22"/>
              </w:rPr>
            </w:pPr>
            <w:r w:rsidRPr="00974831">
              <w:rPr>
                <w:sz w:val="22"/>
                <w:szCs w:val="22"/>
              </w:rPr>
              <w:t>$</w:t>
            </w:r>
            <w:r w:rsidR="001C4CC9">
              <w:rPr>
                <w:sz w:val="22"/>
                <w:szCs w:val="22"/>
              </w:rPr>
              <w:t>3</w:t>
            </w:r>
            <w:r w:rsidRPr="00974831">
              <w:rPr>
                <w:sz w:val="22"/>
                <w:szCs w:val="22"/>
              </w:rPr>
              <w:t>,</w:t>
            </w:r>
            <w:r w:rsidR="005A4950">
              <w:rPr>
                <w:sz w:val="22"/>
                <w:szCs w:val="22"/>
              </w:rPr>
              <w:t>135</w:t>
            </w:r>
          </w:p>
        </w:tc>
      </w:tr>
      <w:tr w:rsidR="005A541C" w:rsidRPr="00974831" w:rsidTr="004256E9">
        <w:trPr>
          <w:cantSplit/>
          <w:trHeight w:val="302"/>
        </w:trPr>
        <w:tc>
          <w:tcPr>
            <w:tcW w:w="3543" w:type="dxa"/>
            <w:shd w:val="clear" w:color="auto" w:fill="auto"/>
            <w:vAlign w:val="center"/>
            <w:hideMark/>
          </w:tcPr>
          <w:p w:rsidR="005A541C" w:rsidRPr="00974831" w:rsidRDefault="005A541C" w:rsidP="005A541C">
            <w:pPr>
              <w:widowControl/>
              <w:autoSpaceDE/>
              <w:autoSpaceDN/>
              <w:adjustRightInd/>
              <w:rPr>
                <w:sz w:val="22"/>
                <w:szCs w:val="22"/>
              </w:rPr>
            </w:pPr>
            <w:r w:rsidRPr="00974831">
              <w:rPr>
                <w:sz w:val="22"/>
                <w:szCs w:val="22"/>
              </w:rPr>
              <w:t>Contract Specialist (GS-13)</w:t>
            </w:r>
          </w:p>
        </w:tc>
        <w:tc>
          <w:tcPr>
            <w:tcW w:w="1474" w:type="dxa"/>
            <w:shd w:val="clear" w:color="auto" w:fill="auto"/>
            <w:vAlign w:val="center"/>
            <w:hideMark/>
          </w:tcPr>
          <w:p w:rsidR="005A541C" w:rsidRPr="00974831" w:rsidRDefault="005A541C" w:rsidP="005A541C">
            <w:pPr>
              <w:widowControl/>
              <w:autoSpaceDE/>
              <w:autoSpaceDN/>
              <w:adjustRightInd/>
              <w:jc w:val="right"/>
              <w:rPr>
                <w:sz w:val="22"/>
                <w:szCs w:val="22"/>
              </w:rPr>
            </w:pPr>
            <w:r w:rsidRPr="00974831">
              <w:rPr>
                <w:sz w:val="22"/>
                <w:szCs w:val="22"/>
              </w:rPr>
              <w:t>$106</w:t>
            </w:r>
          </w:p>
        </w:tc>
        <w:tc>
          <w:tcPr>
            <w:tcW w:w="1823" w:type="dxa"/>
            <w:shd w:val="clear" w:color="auto" w:fill="auto"/>
            <w:noWrap/>
            <w:vAlign w:val="bottom"/>
            <w:hideMark/>
          </w:tcPr>
          <w:p w:rsidR="005A541C" w:rsidRPr="00974831" w:rsidRDefault="005A541C" w:rsidP="005A541C">
            <w:pPr>
              <w:widowControl/>
              <w:autoSpaceDE/>
              <w:autoSpaceDN/>
              <w:adjustRightInd/>
              <w:jc w:val="right"/>
              <w:rPr>
                <w:sz w:val="22"/>
                <w:szCs w:val="22"/>
              </w:rPr>
            </w:pPr>
            <w:r w:rsidRPr="00974831">
              <w:rPr>
                <w:sz w:val="22"/>
                <w:szCs w:val="22"/>
              </w:rPr>
              <w:t>8</w:t>
            </w:r>
          </w:p>
        </w:tc>
        <w:tc>
          <w:tcPr>
            <w:tcW w:w="1237" w:type="dxa"/>
            <w:shd w:val="clear" w:color="auto" w:fill="auto"/>
            <w:noWrap/>
            <w:vAlign w:val="bottom"/>
            <w:hideMark/>
          </w:tcPr>
          <w:p w:rsidR="005A541C" w:rsidRPr="00974831" w:rsidRDefault="005A541C" w:rsidP="005A541C">
            <w:pPr>
              <w:widowControl/>
              <w:autoSpaceDE/>
              <w:autoSpaceDN/>
              <w:adjustRightInd/>
              <w:jc w:val="right"/>
              <w:rPr>
                <w:sz w:val="22"/>
                <w:szCs w:val="22"/>
              </w:rPr>
            </w:pPr>
            <w:r w:rsidRPr="00974831">
              <w:rPr>
                <w:sz w:val="22"/>
                <w:szCs w:val="22"/>
              </w:rPr>
              <w:t>$907</w:t>
            </w:r>
          </w:p>
        </w:tc>
      </w:tr>
      <w:tr w:rsidR="004256E9" w:rsidRPr="00974831" w:rsidTr="004256E9">
        <w:trPr>
          <w:cantSplit/>
          <w:trHeight w:val="302"/>
        </w:trPr>
        <w:tc>
          <w:tcPr>
            <w:tcW w:w="3543" w:type="dxa"/>
            <w:shd w:val="clear" w:color="auto" w:fill="D9D9D9" w:themeFill="background1" w:themeFillShade="D9"/>
            <w:vAlign w:val="center"/>
          </w:tcPr>
          <w:p w:rsidR="004256E9" w:rsidRPr="00974831" w:rsidRDefault="004256E9" w:rsidP="005A541C">
            <w:pPr>
              <w:widowControl/>
              <w:autoSpaceDE/>
              <w:autoSpaceDN/>
              <w:adjustRightInd/>
              <w:rPr>
                <w:sz w:val="22"/>
                <w:szCs w:val="22"/>
              </w:rPr>
            </w:pPr>
          </w:p>
        </w:tc>
        <w:tc>
          <w:tcPr>
            <w:tcW w:w="1474" w:type="dxa"/>
            <w:shd w:val="clear" w:color="auto" w:fill="D9D9D9" w:themeFill="background1" w:themeFillShade="D9"/>
            <w:vAlign w:val="center"/>
          </w:tcPr>
          <w:p w:rsidR="004256E9" w:rsidRPr="00974831" w:rsidRDefault="004256E9" w:rsidP="005A541C">
            <w:pPr>
              <w:widowControl/>
              <w:autoSpaceDE/>
              <w:autoSpaceDN/>
              <w:adjustRightInd/>
              <w:jc w:val="right"/>
              <w:rPr>
                <w:sz w:val="22"/>
                <w:szCs w:val="22"/>
              </w:rPr>
            </w:pPr>
          </w:p>
        </w:tc>
        <w:tc>
          <w:tcPr>
            <w:tcW w:w="1823" w:type="dxa"/>
            <w:shd w:val="clear" w:color="auto" w:fill="auto"/>
            <w:noWrap/>
            <w:vAlign w:val="bottom"/>
          </w:tcPr>
          <w:p w:rsidR="004256E9" w:rsidRPr="00974831" w:rsidRDefault="004256E9" w:rsidP="005A541C">
            <w:pPr>
              <w:widowControl/>
              <w:autoSpaceDE/>
              <w:autoSpaceDN/>
              <w:adjustRightInd/>
              <w:jc w:val="right"/>
              <w:rPr>
                <w:sz w:val="22"/>
                <w:szCs w:val="22"/>
              </w:rPr>
            </w:pPr>
            <w:r w:rsidRPr="00974831">
              <w:rPr>
                <w:b/>
                <w:sz w:val="22"/>
                <w:szCs w:val="22"/>
              </w:rPr>
              <w:t>Total Average Annual Cost</w:t>
            </w:r>
            <w:r>
              <w:rPr>
                <w:b/>
                <w:sz w:val="22"/>
                <w:szCs w:val="22"/>
              </w:rPr>
              <w:t xml:space="preserve"> (CMS Staff and Contractors)</w:t>
            </w:r>
          </w:p>
        </w:tc>
        <w:tc>
          <w:tcPr>
            <w:tcW w:w="1237" w:type="dxa"/>
            <w:shd w:val="clear" w:color="auto" w:fill="auto"/>
            <w:noWrap/>
          </w:tcPr>
          <w:p w:rsidR="004256E9" w:rsidRPr="00974831" w:rsidRDefault="004256E9" w:rsidP="005A4950">
            <w:pPr>
              <w:widowControl/>
              <w:autoSpaceDE/>
              <w:autoSpaceDN/>
              <w:adjustRightInd/>
              <w:jc w:val="right"/>
              <w:rPr>
                <w:sz w:val="22"/>
                <w:szCs w:val="22"/>
              </w:rPr>
            </w:pPr>
            <w:r w:rsidRPr="00974831">
              <w:rPr>
                <w:b/>
                <w:sz w:val="22"/>
                <w:szCs w:val="22"/>
              </w:rPr>
              <w:t>$1</w:t>
            </w:r>
            <w:r w:rsidR="005A4950">
              <w:rPr>
                <w:b/>
                <w:sz w:val="22"/>
                <w:szCs w:val="22"/>
              </w:rPr>
              <w:t>63</w:t>
            </w:r>
            <w:r w:rsidRPr="00974831">
              <w:rPr>
                <w:b/>
                <w:sz w:val="22"/>
                <w:szCs w:val="22"/>
              </w:rPr>
              <w:t>,</w:t>
            </w:r>
            <w:r w:rsidR="005A4950">
              <w:rPr>
                <w:b/>
                <w:sz w:val="22"/>
                <w:szCs w:val="22"/>
              </w:rPr>
              <w:t>966</w:t>
            </w:r>
          </w:p>
        </w:tc>
      </w:tr>
    </w:tbl>
    <w:p w:rsidR="00BE4BD2" w:rsidRDefault="00DA3F35" w:rsidP="00DA3F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18"/>
          <w:szCs w:val="18"/>
        </w:rPr>
      </w:pPr>
      <w:r w:rsidRPr="00974831">
        <w:rPr>
          <w:sz w:val="18"/>
          <w:szCs w:val="18"/>
        </w:rPr>
        <w:t>* Accounts for a 2% annual inflation rate and assumes survey will be active through FFY 2025 (8 years total)</w:t>
      </w:r>
    </w:p>
    <w:p w:rsidR="000F5CFB" w:rsidRPr="005A541C" w:rsidRDefault="002D1D71" w:rsidP="005A54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18"/>
          <w:szCs w:val="18"/>
        </w:rPr>
      </w:pPr>
      <w:r>
        <w:rPr>
          <w:sz w:val="18"/>
          <w:szCs w:val="18"/>
        </w:rPr>
        <w:t>^ All CMS staf</w:t>
      </w:r>
      <w:r w:rsidR="008A28AE">
        <w:rPr>
          <w:sz w:val="18"/>
          <w:szCs w:val="18"/>
        </w:rPr>
        <w:t xml:space="preserve">f costs assume a step level of </w:t>
      </w:r>
      <w:r>
        <w:rPr>
          <w:sz w:val="18"/>
          <w:szCs w:val="18"/>
        </w:rPr>
        <w:t>5</w:t>
      </w:r>
    </w:p>
    <w:p w:rsidR="000F5CFB" w:rsidRDefault="000F5C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15.</w:t>
      </w:r>
      <w:r w:rsidRPr="0081719E">
        <w:rPr>
          <w:u w:val="none"/>
        </w:rPr>
        <w:tab/>
      </w:r>
      <w: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2009" w:rsidRPr="00974831" w:rsidRDefault="00F020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N/A, there are no changes to the burden</w:t>
      </w:r>
      <w:r w:rsidR="0058363E" w:rsidRPr="00974831">
        <w:rPr>
          <w:sz w:val="24"/>
        </w:rPr>
        <w:t xml:space="preserve"> as this is a new submission. </w:t>
      </w:r>
    </w:p>
    <w:p w:rsidR="00F02009" w:rsidRDefault="00F020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16.</w:t>
      </w:r>
      <w:r w:rsidRPr="0081719E">
        <w:rPr>
          <w:u w:val="none"/>
        </w:rPr>
        <w:tab/>
      </w:r>
      <w: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81389" w:rsidRPr="00974831" w:rsidRDefault="00F02009" w:rsidP="004031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4831">
        <w:rPr>
          <w:sz w:val="24"/>
        </w:rPr>
        <w:t>CMS does not have plans to release any public reports at this time, however plans to present the nationwide status of EVV implementation at the NASUAD HCBS Conference held in August/September each year, starting in 2020.</w:t>
      </w:r>
      <w:r w:rsidR="00496A80" w:rsidRPr="00974831">
        <w:rPr>
          <w:sz w:val="24"/>
        </w:rPr>
        <w:t xml:space="preserve"> Responses received during the year preceding the conference will be aggregated and carried forward each year. T</w:t>
      </w:r>
      <w:r w:rsidRPr="00974831">
        <w:rPr>
          <w:sz w:val="24"/>
        </w:rPr>
        <w:t>his will entail basic descriptive statistics of the number/percentage of states that have implemented EVV and the EVV models they have selected. CMS may also include the gathered information in a future Medicaid Scorecard</w:t>
      </w:r>
      <w:r w:rsidR="00117D37">
        <w:rPr>
          <w:sz w:val="24"/>
        </w:rPr>
        <w:t xml:space="preserve"> beginning in </w:t>
      </w:r>
      <w:r w:rsidR="0058448A">
        <w:rPr>
          <w:sz w:val="24"/>
        </w:rPr>
        <w:t>April</w:t>
      </w:r>
      <w:r w:rsidR="00117D37">
        <w:rPr>
          <w:sz w:val="24"/>
        </w:rPr>
        <w:t>, 2020</w:t>
      </w:r>
      <w:r w:rsidRPr="00974831">
        <w:rPr>
          <w:sz w:val="24"/>
        </w:rPr>
        <w:t>.</w:t>
      </w:r>
      <w:r w:rsidR="00281389" w:rsidRPr="00974831">
        <w:rPr>
          <w:sz w:val="24"/>
        </w:rPr>
        <w:t xml:space="preserve"> There is no predetermined end-date for the project as states may update their survey status at any time when warranted by a change in their EVV implementation status.</w:t>
      </w:r>
    </w:p>
    <w:p w:rsidR="00F02009" w:rsidRDefault="00F020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17.</w:t>
      </w:r>
      <w:r w:rsidRPr="0081719E">
        <w:rPr>
          <w:u w:val="none"/>
        </w:rPr>
        <w:tab/>
      </w:r>
      <w:r>
        <w:t>Expiration 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E480A" w:rsidRPr="00974831" w:rsidRDefault="00BE480A" w:rsidP="004031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E480A">
        <w:rPr>
          <w:sz w:val="24"/>
        </w:rPr>
        <w:t>The expiration date is displayed</w:t>
      </w:r>
      <w:r>
        <w:rPr>
          <w:sz w:val="24"/>
        </w:rPr>
        <w:t xml:space="preserve"> along with the PRA Disclosure Statement</w:t>
      </w:r>
      <w:r w:rsidRPr="00BE480A">
        <w:rPr>
          <w:sz w:val="24"/>
        </w:rPr>
        <w:t>.</w:t>
      </w:r>
    </w:p>
    <w:p w:rsidR="00496A80" w:rsidRPr="00974831" w:rsidRDefault="00496A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81719E">
      <w:pPr>
        <w:pStyle w:val="Style2"/>
      </w:pPr>
      <w:r w:rsidRPr="0081719E">
        <w:rPr>
          <w:u w:val="none"/>
        </w:rPr>
        <w:t>18.</w:t>
      </w:r>
      <w:r w:rsidRPr="0081719E">
        <w:rPr>
          <w:u w:val="none"/>
        </w:rPr>
        <w:tab/>
      </w:r>
      <w: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Pr="00672840" w:rsidRDefault="00672840" w:rsidP="006728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672840">
        <w:rPr>
          <w:bCs/>
          <w:sz w:val="24"/>
        </w:rPr>
        <w:t>There is no exception to the certification statement identified in Item 19, "Certification for Paperwork Reduction Act Submissions," of OMB Form 83-1.</w:t>
      </w:r>
    </w:p>
    <w:p w:rsidR="00496A80" w:rsidRDefault="00496A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496A80">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69" w:rsidRDefault="002D6F69">
      <w:r>
        <w:separator/>
      </w:r>
    </w:p>
  </w:endnote>
  <w:endnote w:type="continuationSeparator" w:id="0">
    <w:p w:rsidR="002D6F69" w:rsidRDefault="002D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D05" w:rsidRDefault="000D4D05">
    <w:pPr>
      <w:spacing w:line="240" w:lineRule="exact"/>
    </w:pPr>
  </w:p>
  <w:p w:rsidR="000D4D05" w:rsidRDefault="000D4D05">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233B3">
      <w:rPr>
        <w:noProof/>
        <w:sz w:val="24"/>
      </w:rPr>
      <w:t>4</w:t>
    </w:r>
    <w:r>
      <w:rPr>
        <w:sz w:val="24"/>
      </w:rPr>
      <w:fldChar w:fldCharType="end"/>
    </w:r>
  </w:p>
  <w:p w:rsidR="000D4D05" w:rsidRDefault="000D4D05">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69" w:rsidRDefault="002D6F69">
      <w:r>
        <w:separator/>
      </w:r>
    </w:p>
  </w:footnote>
  <w:footnote w:type="continuationSeparator" w:id="0">
    <w:p w:rsidR="002D6F69" w:rsidRDefault="002D6F69">
      <w:r>
        <w:continuationSeparator/>
      </w:r>
    </w:p>
  </w:footnote>
  <w:footnote w:id="1">
    <w:p w:rsidR="00CD5E7E" w:rsidRDefault="00CD5E7E">
      <w:pPr>
        <w:pStyle w:val="FootnoteText"/>
        <w:rPr>
          <w:sz w:val="24"/>
        </w:rPr>
      </w:pPr>
      <w:r>
        <w:rPr>
          <w:rStyle w:val="FootnoteReference"/>
        </w:rPr>
        <w:footnoteRef/>
      </w:r>
      <w:r>
        <w:t xml:space="preserve"> </w:t>
      </w:r>
      <w:hyperlink r:id="rId1" w:history="1">
        <w:r w:rsidR="00E703FC" w:rsidRPr="00E703FC">
          <w:rPr>
            <w:rStyle w:val="Hyperlink"/>
            <w:sz w:val="24"/>
          </w:rPr>
          <w:t>Full text of Section 1903 of the Social Security Act</w:t>
        </w:r>
      </w:hyperlink>
    </w:p>
    <w:p w:rsidR="00CD5E7E" w:rsidRDefault="00CD5E7E">
      <w:pPr>
        <w:pStyle w:val="FootnoteText"/>
      </w:pPr>
    </w:p>
  </w:footnote>
  <w:footnote w:id="2">
    <w:p w:rsidR="00703A93" w:rsidRPr="00EE6009" w:rsidRDefault="00703A93">
      <w:pPr>
        <w:pStyle w:val="FootnoteText"/>
        <w:rPr>
          <w:sz w:val="18"/>
          <w:szCs w:val="18"/>
        </w:rPr>
      </w:pPr>
      <w:r w:rsidRPr="00703A93">
        <w:rPr>
          <w:rStyle w:val="FootnoteReference"/>
          <w:sz w:val="18"/>
          <w:szCs w:val="18"/>
        </w:rPr>
        <w:footnoteRef/>
      </w:r>
      <w:r w:rsidRPr="00703A93">
        <w:rPr>
          <w:sz w:val="18"/>
          <w:szCs w:val="18"/>
        </w:rPr>
        <w:t xml:space="preserve"> Sources for contractor </w:t>
      </w:r>
      <w:r w:rsidRPr="002D1D71">
        <w:rPr>
          <w:sz w:val="18"/>
          <w:szCs w:val="18"/>
        </w:rPr>
        <w:t>lab</w:t>
      </w:r>
      <w:r w:rsidRPr="00D055F8">
        <w:rPr>
          <w:sz w:val="18"/>
          <w:szCs w:val="18"/>
        </w:rPr>
        <w:t xml:space="preserve">or categories used in this cost projection are </w:t>
      </w:r>
      <w:r w:rsidR="00E703FC">
        <w:rPr>
          <w:sz w:val="18"/>
          <w:szCs w:val="18"/>
        </w:rPr>
        <w:t>listed below:</w:t>
      </w:r>
    </w:p>
    <w:p w:rsidR="00703A93" w:rsidRPr="00703A93" w:rsidRDefault="00CF35D5" w:rsidP="00703A93">
      <w:pPr>
        <w:pStyle w:val="FootnoteText"/>
        <w:numPr>
          <w:ilvl w:val="0"/>
          <w:numId w:val="1"/>
        </w:numPr>
        <w:rPr>
          <w:sz w:val="18"/>
          <w:szCs w:val="18"/>
        </w:rPr>
      </w:pPr>
      <w:hyperlink r:id="rId2" w:history="1">
        <w:r w:rsidR="00E703FC" w:rsidRPr="00E703FC">
          <w:rPr>
            <w:rStyle w:val="Hyperlink"/>
            <w:sz w:val="18"/>
            <w:szCs w:val="18"/>
          </w:rPr>
          <w:t>GSA Text Reference File for L&amp;E</w:t>
        </w:r>
      </w:hyperlink>
    </w:p>
    <w:p w:rsidR="00E703FC" w:rsidRDefault="00CF35D5" w:rsidP="0012438B">
      <w:pPr>
        <w:pStyle w:val="FootnoteText"/>
        <w:numPr>
          <w:ilvl w:val="0"/>
          <w:numId w:val="1"/>
        </w:numPr>
        <w:rPr>
          <w:sz w:val="18"/>
          <w:szCs w:val="18"/>
        </w:rPr>
      </w:pPr>
      <w:hyperlink r:id="rId3" w:history="1">
        <w:r w:rsidR="00E703FC" w:rsidRPr="00E703FC">
          <w:rPr>
            <w:rStyle w:val="Hyperlink"/>
            <w:sz w:val="18"/>
            <w:szCs w:val="18"/>
          </w:rPr>
          <w:t>GSA Text Reference File for Solutions By Design</w:t>
        </w:r>
      </w:hyperlink>
    </w:p>
    <w:p w:rsidR="00703A93" w:rsidRPr="00E703FC" w:rsidRDefault="00CF35D5" w:rsidP="0012438B">
      <w:pPr>
        <w:pStyle w:val="FootnoteText"/>
        <w:numPr>
          <w:ilvl w:val="0"/>
          <w:numId w:val="1"/>
        </w:numPr>
        <w:rPr>
          <w:sz w:val="18"/>
          <w:szCs w:val="18"/>
        </w:rPr>
      </w:pPr>
      <w:hyperlink r:id="rId4" w:history="1">
        <w:r w:rsidR="00E703FC" w:rsidRPr="00E703FC">
          <w:rPr>
            <w:rStyle w:val="Hyperlink"/>
            <w:sz w:val="18"/>
            <w:szCs w:val="18"/>
          </w:rPr>
          <w:t>GSA Text Reference File for Navigant Consulting</w:t>
        </w:r>
      </w:hyperlink>
      <w:r w:rsidR="00E703FC" w:rsidRPr="00E703FC">
        <w:rPr>
          <w:sz w:val="18"/>
          <w:szCs w:val="18"/>
        </w:rPr>
        <w:t xml:space="preserve"> </w:t>
      </w:r>
    </w:p>
  </w:footnote>
  <w:footnote w:id="3">
    <w:p w:rsidR="005A541C" w:rsidRPr="005A541C" w:rsidRDefault="00703A93">
      <w:pPr>
        <w:pStyle w:val="FootnoteText"/>
        <w:rPr>
          <w:sz w:val="18"/>
          <w:szCs w:val="18"/>
        </w:rPr>
      </w:pPr>
      <w:r w:rsidRPr="00703A93">
        <w:rPr>
          <w:rStyle w:val="FootnoteReference"/>
          <w:sz w:val="18"/>
          <w:szCs w:val="18"/>
        </w:rPr>
        <w:footnoteRef/>
      </w:r>
      <w:r w:rsidRPr="00703A93">
        <w:rPr>
          <w:sz w:val="18"/>
          <w:szCs w:val="18"/>
        </w:rPr>
        <w:t xml:space="preserve"> </w:t>
      </w:r>
      <w:hyperlink r:id="rId5" w:history="1">
        <w:r w:rsidR="00E703FC" w:rsidRPr="00E703FC">
          <w:rPr>
            <w:rStyle w:val="Hyperlink"/>
            <w:sz w:val="18"/>
            <w:szCs w:val="18"/>
          </w:rPr>
          <w:t>CMS Wage Table used to develop staff costs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7B77"/>
    <w:multiLevelType w:val="hybridMultilevel"/>
    <w:tmpl w:val="8B884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CEC4297"/>
    <w:multiLevelType w:val="hybridMultilevel"/>
    <w:tmpl w:val="D936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66189"/>
    <w:rsid w:val="000D4D05"/>
    <w:rsid w:val="000F3AF4"/>
    <w:rsid w:val="000F5CFB"/>
    <w:rsid w:val="00102D7A"/>
    <w:rsid w:val="00114667"/>
    <w:rsid w:val="00117D37"/>
    <w:rsid w:val="00164AA4"/>
    <w:rsid w:val="001715C6"/>
    <w:rsid w:val="00195A1B"/>
    <w:rsid w:val="001B1BC9"/>
    <w:rsid w:val="001C4CC9"/>
    <w:rsid w:val="001C6FE8"/>
    <w:rsid w:val="001D3F89"/>
    <w:rsid w:val="001E0B2D"/>
    <w:rsid w:val="001F4781"/>
    <w:rsid w:val="002156EF"/>
    <w:rsid w:val="00216C02"/>
    <w:rsid w:val="00240611"/>
    <w:rsid w:val="002441BD"/>
    <w:rsid w:val="00247B83"/>
    <w:rsid w:val="0025205E"/>
    <w:rsid w:val="00281389"/>
    <w:rsid w:val="0029394D"/>
    <w:rsid w:val="0029695E"/>
    <w:rsid w:val="002A5AAB"/>
    <w:rsid w:val="002C01CC"/>
    <w:rsid w:val="002D1D71"/>
    <w:rsid w:val="002D2838"/>
    <w:rsid w:val="002D6F69"/>
    <w:rsid w:val="002F1FC5"/>
    <w:rsid w:val="002F405E"/>
    <w:rsid w:val="002F736A"/>
    <w:rsid w:val="00314A0A"/>
    <w:rsid w:val="00323560"/>
    <w:rsid w:val="003739D8"/>
    <w:rsid w:val="00377413"/>
    <w:rsid w:val="00381CA0"/>
    <w:rsid w:val="003B02F2"/>
    <w:rsid w:val="003F24B9"/>
    <w:rsid w:val="0040316F"/>
    <w:rsid w:val="004256E9"/>
    <w:rsid w:val="004457C5"/>
    <w:rsid w:val="004967B1"/>
    <w:rsid w:val="00496A80"/>
    <w:rsid w:val="004E7650"/>
    <w:rsid w:val="0050174F"/>
    <w:rsid w:val="0052072D"/>
    <w:rsid w:val="0052518C"/>
    <w:rsid w:val="00547455"/>
    <w:rsid w:val="0058363E"/>
    <w:rsid w:val="0058448A"/>
    <w:rsid w:val="00586116"/>
    <w:rsid w:val="005A4950"/>
    <w:rsid w:val="005A541C"/>
    <w:rsid w:val="005A731C"/>
    <w:rsid w:val="005B619D"/>
    <w:rsid w:val="005F2055"/>
    <w:rsid w:val="00612852"/>
    <w:rsid w:val="006348AF"/>
    <w:rsid w:val="006364C8"/>
    <w:rsid w:val="00672840"/>
    <w:rsid w:val="00676460"/>
    <w:rsid w:val="006A7621"/>
    <w:rsid w:val="006C65FC"/>
    <w:rsid w:val="006D4948"/>
    <w:rsid w:val="006E2F33"/>
    <w:rsid w:val="00703A93"/>
    <w:rsid w:val="007327D9"/>
    <w:rsid w:val="00733AE5"/>
    <w:rsid w:val="00737601"/>
    <w:rsid w:val="00745239"/>
    <w:rsid w:val="00754A91"/>
    <w:rsid w:val="00767423"/>
    <w:rsid w:val="007B39EB"/>
    <w:rsid w:val="007D5088"/>
    <w:rsid w:val="007D75E0"/>
    <w:rsid w:val="007F6B04"/>
    <w:rsid w:val="0081719E"/>
    <w:rsid w:val="0081744A"/>
    <w:rsid w:val="008221CC"/>
    <w:rsid w:val="008565BF"/>
    <w:rsid w:val="008700DF"/>
    <w:rsid w:val="00870D59"/>
    <w:rsid w:val="008A28AE"/>
    <w:rsid w:val="008F0287"/>
    <w:rsid w:val="008F1EB4"/>
    <w:rsid w:val="00901696"/>
    <w:rsid w:val="009337CB"/>
    <w:rsid w:val="00961010"/>
    <w:rsid w:val="009677A4"/>
    <w:rsid w:val="00974831"/>
    <w:rsid w:val="00980923"/>
    <w:rsid w:val="00984527"/>
    <w:rsid w:val="009A2384"/>
    <w:rsid w:val="009B3B0B"/>
    <w:rsid w:val="009E266F"/>
    <w:rsid w:val="00A02048"/>
    <w:rsid w:val="00A27295"/>
    <w:rsid w:val="00A84FFD"/>
    <w:rsid w:val="00AB1694"/>
    <w:rsid w:val="00AB7687"/>
    <w:rsid w:val="00AC6AE2"/>
    <w:rsid w:val="00AD096F"/>
    <w:rsid w:val="00AD49AE"/>
    <w:rsid w:val="00AE2FDA"/>
    <w:rsid w:val="00AE58CD"/>
    <w:rsid w:val="00AF0C3F"/>
    <w:rsid w:val="00AF4894"/>
    <w:rsid w:val="00B32669"/>
    <w:rsid w:val="00B66C26"/>
    <w:rsid w:val="00B71BF9"/>
    <w:rsid w:val="00B7471B"/>
    <w:rsid w:val="00B74DD9"/>
    <w:rsid w:val="00B907B9"/>
    <w:rsid w:val="00BA55C1"/>
    <w:rsid w:val="00BA7018"/>
    <w:rsid w:val="00BD75FB"/>
    <w:rsid w:val="00BE480A"/>
    <w:rsid w:val="00BE4BD2"/>
    <w:rsid w:val="00BE7C6A"/>
    <w:rsid w:val="00BF139F"/>
    <w:rsid w:val="00C02CCC"/>
    <w:rsid w:val="00C379F6"/>
    <w:rsid w:val="00C450F6"/>
    <w:rsid w:val="00C64200"/>
    <w:rsid w:val="00C77083"/>
    <w:rsid w:val="00CC5A3F"/>
    <w:rsid w:val="00CD4CE1"/>
    <w:rsid w:val="00CD5E7E"/>
    <w:rsid w:val="00CD7D29"/>
    <w:rsid w:val="00CF06FB"/>
    <w:rsid w:val="00CF35D5"/>
    <w:rsid w:val="00D0523D"/>
    <w:rsid w:val="00D055F8"/>
    <w:rsid w:val="00D81EF2"/>
    <w:rsid w:val="00DA3F35"/>
    <w:rsid w:val="00DA4DA4"/>
    <w:rsid w:val="00DD7E76"/>
    <w:rsid w:val="00DF61E3"/>
    <w:rsid w:val="00E14C25"/>
    <w:rsid w:val="00E42A56"/>
    <w:rsid w:val="00E51703"/>
    <w:rsid w:val="00E558EA"/>
    <w:rsid w:val="00E56DC4"/>
    <w:rsid w:val="00E703FC"/>
    <w:rsid w:val="00EB2AB3"/>
    <w:rsid w:val="00EB7A5D"/>
    <w:rsid w:val="00EE6009"/>
    <w:rsid w:val="00F02009"/>
    <w:rsid w:val="00F05DB7"/>
    <w:rsid w:val="00F233B3"/>
    <w:rsid w:val="00F23713"/>
    <w:rsid w:val="00F46ECA"/>
    <w:rsid w:val="00F512DD"/>
    <w:rsid w:val="00F646AD"/>
    <w:rsid w:val="00F64D65"/>
    <w:rsid w:val="00F82C86"/>
    <w:rsid w:val="00F97969"/>
    <w:rsid w:val="00FC0502"/>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817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8171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2F405E"/>
    <w:rPr>
      <w:color w:val="0563C1"/>
      <w:u w:val="single"/>
    </w:rPr>
  </w:style>
  <w:style w:type="character" w:styleId="CommentReference">
    <w:name w:val="annotation reference"/>
    <w:uiPriority w:val="99"/>
    <w:rsid w:val="003B02F2"/>
    <w:rPr>
      <w:sz w:val="16"/>
      <w:szCs w:val="16"/>
    </w:rPr>
  </w:style>
  <w:style w:type="paragraph" w:styleId="CommentText">
    <w:name w:val="annotation text"/>
    <w:basedOn w:val="Normal"/>
    <w:link w:val="CommentTextChar"/>
    <w:rsid w:val="003B02F2"/>
    <w:rPr>
      <w:szCs w:val="20"/>
    </w:rPr>
  </w:style>
  <w:style w:type="character" w:customStyle="1" w:styleId="CommentTextChar">
    <w:name w:val="Comment Text Char"/>
    <w:basedOn w:val="DefaultParagraphFont"/>
    <w:link w:val="CommentText"/>
    <w:rsid w:val="003B02F2"/>
  </w:style>
  <w:style w:type="paragraph" w:styleId="CommentSubject">
    <w:name w:val="annotation subject"/>
    <w:basedOn w:val="CommentText"/>
    <w:next w:val="CommentText"/>
    <w:link w:val="CommentSubjectChar"/>
    <w:rsid w:val="003B02F2"/>
    <w:rPr>
      <w:b/>
      <w:bCs/>
    </w:rPr>
  </w:style>
  <w:style w:type="character" w:customStyle="1" w:styleId="CommentSubjectChar">
    <w:name w:val="Comment Subject Char"/>
    <w:link w:val="CommentSubject"/>
    <w:rsid w:val="003B02F2"/>
    <w:rPr>
      <w:b/>
      <w:bCs/>
    </w:rPr>
  </w:style>
  <w:style w:type="paragraph" w:styleId="BalloonText">
    <w:name w:val="Balloon Text"/>
    <w:basedOn w:val="Normal"/>
    <w:link w:val="BalloonTextChar"/>
    <w:rsid w:val="003B02F2"/>
    <w:rPr>
      <w:rFonts w:ascii="Segoe UI" w:hAnsi="Segoe UI" w:cs="Segoe UI"/>
      <w:sz w:val="18"/>
      <w:szCs w:val="18"/>
    </w:rPr>
  </w:style>
  <w:style w:type="character" w:customStyle="1" w:styleId="BalloonTextChar">
    <w:name w:val="Balloon Text Char"/>
    <w:link w:val="BalloonText"/>
    <w:rsid w:val="003B02F2"/>
    <w:rPr>
      <w:rFonts w:ascii="Segoe UI" w:hAnsi="Segoe UI" w:cs="Segoe UI"/>
      <w:sz w:val="18"/>
      <w:szCs w:val="18"/>
    </w:rPr>
  </w:style>
  <w:style w:type="paragraph" w:styleId="FootnoteText">
    <w:name w:val="footnote text"/>
    <w:basedOn w:val="Normal"/>
    <w:link w:val="FootnoteTextChar"/>
    <w:rsid w:val="00703A93"/>
    <w:rPr>
      <w:szCs w:val="20"/>
    </w:rPr>
  </w:style>
  <w:style w:type="character" w:customStyle="1" w:styleId="FootnoteTextChar">
    <w:name w:val="Footnote Text Char"/>
    <w:basedOn w:val="DefaultParagraphFont"/>
    <w:link w:val="FootnoteText"/>
    <w:rsid w:val="00703A93"/>
  </w:style>
  <w:style w:type="character" w:styleId="FollowedHyperlink">
    <w:name w:val="FollowedHyperlink"/>
    <w:rsid w:val="00CD5E7E"/>
    <w:rPr>
      <w:color w:val="954F72"/>
      <w:u w:val="single"/>
    </w:rPr>
  </w:style>
  <w:style w:type="table" w:styleId="TableGrid">
    <w:name w:val="Table Grid"/>
    <w:basedOn w:val="TableNormal"/>
    <w:rsid w:val="000F5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8171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bCs/>
      <w:color w:val="auto"/>
      <w:sz w:val="24"/>
    </w:rPr>
  </w:style>
  <w:style w:type="paragraph" w:customStyle="1" w:styleId="Style2">
    <w:name w:val="Style2"/>
    <w:basedOn w:val="Heading2"/>
    <w:link w:val="Style2Char"/>
    <w:qFormat/>
    <w:rsid w:val="008171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rFonts w:ascii="Times New Roman" w:hAnsi="Times New Roman"/>
      <w:color w:val="auto"/>
      <w:sz w:val="24"/>
      <w:u w:val="single"/>
    </w:rPr>
  </w:style>
  <w:style w:type="character" w:customStyle="1" w:styleId="Style1Char">
    <w:name w:val="Style1 Char"/>
    <w:basedOn w:val="DefaultParagraphFont"/>
    <w:link w:val="Style1"/>
    <w:rsid w:val="0081719E"/>
    <w:rPr>
      <w:rFonts w:eastAsiaTheme="majorEastAsia" w:cstheme="majorBidi"/>
      <w:b/>
      <w:bCs/>
      <w:sz w:val="24"/>
      <w:szCs w:val="32"/>
    </w:rPr>
  </w:style>
  <w:style w:type="character" w:customStyle="1" w:styleId="Heading1Char">
    <w:name w:val="Heading 1 Char"/>
    <w:basedOn w:val="DefaultParagraphFont"/>
    <w:link w:val="Heading1"/>
    <w:rsid w:val="008171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81719E"/>
    <w:rPr>
      <w:rFonts w:asciiTheme="majorHAnsi" w:eastAsiaTheme="majorEastAsia" w:hAnsiTheme="majorHAnsi" w:cstheme="majorBidi"/>
      <w:color w:val="2E74B5" w:themeColor="accent1" w:themeShade="BF"/>
      <w:sz w:val="26"/>
      <w:szCs w:val="26"/>
    </w:rPr>
  </w:style>
  <w:style w:type="character" w:customStyle="1" w:styleId="Style2Char">
    <w:name w:val="Style2 Char"/>
    <w:basedOn w:val="Heading2Char"/>
    <w:link w:val="Style2"/>
    <w:rsid w:val="0081719E"/>
    <w:rPr>
      <w:rFonts w:asciiTheme="majorHAnsi" w:eastAsiaTheme="majorEastAsia" w:hAnsiTheme="majorHAnsi" w:cstheme="majorBidi"/>
      <w:color w:val="2E74B5" w:themeColor="accent1" w:themeShade="BF"/>
      <w:sz w:val="24"/>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817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8171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2F405E"/>
    <w:rPr>
      <w:color w:val="0563C1"/>
      <w:u w:val="single"/>
    </w:rPr>
  </w:style>
  <w:style w:type="character" w:styleId="CommentReference">
    <w:name w:val="annotation reference"/>
    <w:uiPriority w:val="99"/>
    <w:rsid w:val="003B02F2"/>
    <w:rPr>
      <w:sz w:val="16"/>
      <w:szCs w:val="16"/>
    </w:rPr>
  </w:style>
  <w:style w:type="paragraph" w:styleId="CommentText">
    <w:name w:val="annotation text"/>
    <w:basedOn w:val="Normal"/>
    <w:link w:val="CommentTextChar"/>
    <w:rsid w:val="003B02F2"/>
    <w:rPr>
      <w:szCs w:val="20"/>
    </w:rPr>
  </w:style>
  <w:style w:type="character" w:customStyle="1" w:styleId="CommentTextChar">
    <w:name w:val="Comment Text Char"/>
    <w:basedOn w:val="DefaultParagraphFont"/>
    <w:link w:val="CommentText"/>
    <w:rsid w:val="003B02F2"/>
  </w:style>
  <w:style w:type="paragraph" w:styleId="CommentSubject">
    <w:name w:val="annotation subject"/>
    <w:basedOn w:val="CommentText"/>
    <w:next w:val="CommentText"/>
    <w:link w:val="CommentSubjectChar"/>
    <w:rsid w:val="003B02F2"/>
    <w:rPr>
      <w:b/>
      <w:bCs/>
    </w:rPr>
  </w:style>
  <w:style w:type="character" w:customStyle="1" w:styleId="CommentSubjectChar">
    <w:name w:val="Comment Subject Char"/>
    <w:link w:val="CommentSubject"/>
    <w:rsid w:val="003B02F2"/>
    <w:rPr>
      <w:b/>
      <w:bCs/>
    </w:rPr>
  </w:style>
  <w:style w:type="paragraph" w:styleId="BalloonText">
    <w:name w:val="Balloon Text"/>
    <w:basedOn w:val="Normal"/>
    <w:link w:val="BalloonTextChar"/>
    <w:rsid w:val="003B02F2"/>
    <w:rPr>
      <w:rFonts w:ascii="Segoe UI" w:hAnsi="Segoe UI" w:cs="Segoe UI"/>
      <w:sz w:val="18"/>
      <w:szCs w:val="18"/>
    </w:rPr>
  </w:style>
  <w:style w:type="character" w:customStyle="1" w:styleId="BalloonTextChar">
    <w:name w:val="Balloon Text Char"/>
    <w:link w:val="BalloonText"/>
    <w:rsid w:val="003B02F2"/>
    <w:rPr>
      <w:rFonts w:ascii="Segoe UI" w:hAnsi="Segoe UI" w:cs="Segoe UI"/>
      <w:sz w:val="18"/>
      <w:szCs w:val="18"/>
    </w:rPr>
  </w:style>
  <w:style w:type="paragraph" w:styleId="FootnoteText">
    <w:name w:val="footnote text"/>
    <w:basedOn w:val="Normal"/>
    <w:link w:val="FootnoteTextChar"/>
    <w:rsid w:val="00703A93"/>
    <w:rPr>
      <w:szCs w:val="20"/>
    </w:rPr>
  </w:style>
  <w:style w:type="character" w:customStyle="1" w:styleId="FootnoteTextChar">
    <w:name w:val="Footnote Text Char"/>
    <w:basedOn w:val="DefaultParagraphFont"/>
    <w:link w:val="FootnoteText"/>
    <w:rsid w:val="00703A93"/>
  </w:style>
  <w:style w:type="character" w:styleId="FollowedHyperlink">
    <w:name w:val="FollowedHyperlink"/>
    <w:rsid w:val="00CD5E7E"/>
    <w:rPr>
      <w:color w:val="954F72"/>
      <w:u w:val="single"/>
    </w:rPr>
  </w:style>
  <w:style w:type="table" w:styleId="TableGrid">
    <w:name w:val="Table Grid"/>
    <w:basedOn w:val="TableNormal"/>
    <w:rsid w:val="000F5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8171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bCs/>
      <w:color w:val="auto"/>
      <w:sz w:val="24"/>
    </w:rPr>
  </w:style>
  <w:style w:type="paragraph" w:customStyle="1" w:styleId="Style2">
    <w:name w:val="Style2"/>
    <w:basedOn w:val="Heading2"/>
    <w:link w:val="Style2Char"/>
    <w:qFormat/>
    <w:rsid w:val="008171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rFonts w:ascii="Times New Roman" w:hAnsi="Times New Roman"/>
      <w:color w:val="auto"/>
      <w:sz w:val="24"/>
      <w:u w:val="single"/>
    </w:rPr>
  </w:style>
  <w:style w:type="character" w:customStyle="1" w:styleId="Style1Char">
    <w:name w:val="Style1 Char"/>
    <w:basedOn w:val="DefaultParagraphFont"/>
    <w:link w:val="Style1"/>
    <w:rsid w:val="0081719E"/>
    <w:rPr>
      <w:rFonts w:eastAsiaTheme="majorEastAsia" w:cstheme="majorBidi"/>
      <w:b/>
      <w:bCs/>
      <w:sz w:val="24"/>
      <w:szCs w:val="32"/>
    </w:rPr>
  </w:style>
  <w:style w:type="character" w:customStyle="1" w:styleId="Heading1Char">
    <w:name w:val="Heading 1 Char"/>
    <w:basedOn w:val="DefaultParagraphFont"/>
    <w:link w:val="Heading1"/>
    <w:rsid w:val="008171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81719E"/>
    <w:rPr>
      <w:rFonts w:asciiTheme="majorHAnsi" w:eastAsiaTheme="majorEastAsia" w:hAnsiTheme="majorHAnsi" w:cstheme="majorBidi"/>
      <w:color w:val="2E74B5" w:themeColor="accent1" w:themeShade="BF"/>
      <w:sz w:val="26"/>
      <w:szCs w:val="26"/>
    </w:rPr>
  </w:style>
  <w:style w:type="character" w:customStyle="1" w:styleId="Style2Char">
    <w:name w:val="Style2 Char"/>
    <w:basedOn w:val="Heading2Char"/>
    <w:link w:val="Style2"/>
    <w:rsid w:val="0081719E"/>
    <w:rPr>
      <w:rFonts w:asciiTheme="majorHAnsi" w:eastAsiaTheme="majorEastAsia" w:hAnsiTheme="majorHAnsi" w:cstheme="majorBidi"/>
      <w:color w:val="2E74B5" w:themeColor="accent1" w:themeShade="BF"/>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8075">
      <w:bodyDiv w:val="1"/>
      <w:marLeft w:val="0"/>
      <w:marRight w:val="0"/>
      <w:marTop w:val="0"/>
      <w:marBottom w:val="0"/>
      <w:divBdr>
        <w:top w:val="none" w:sz="0" w:space="0" w:color="auto"/>
        <w:left w:val="none" w:sz="0" w:space="0" w:color="auto"/>
        <w:bottom w:val="none" w:sz="0" w:space="0" w:color="auto"/>
        <w:right w:val="none" w:sz="0" w:space="0" w:color="auto"/>
      </w:divBdr>
    </w:div>
    <w:div w:id="870804692">
      <w:bodyDiv w:val="1"/>
      <w:marLeft w:val="0"/>
      <w:marRight w:val="0"/>
      <w:marTop w:val="0"/>
      <w:marBottom w:val="0"/>
      <w:divBdr>
        <w:top w:val="none" w:sz="0" w:space="0" w:color="auto"/>
        <w:left w:val="none" w:sz="0" w:space="0" w:color="auto"/>
        <w:bottom w:val="none" w:sz="0" w:space="0" w:color="auto"/>
        <w:right w:val="none" w:sz="0" w:space="0" w:color="auto"/>
      </w:divBdr>
    </w:div>
    <w:div w:id="12180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saadvantage.gov/ref_text/GS35F242GA/0RA4BN.3H6IE7_GS-35F-242GA_GS35F242GA.PDF" TargetMode="External"/><Relationship Id="rId2" Type="http://schemas.openxmlformats.org/officeDocument/2006/relationships/hyperlink" Target="https://www.gsaadvantage.gov/ref_text/GS23F0083N/0TBUDM.3N88BJ_GS-23F-0083N_REFTEXTFILE2017PRICES.HTM" TargetMode="External"/><Relationship Id="rId1" Type="http://schemas.openxmlformats.org/officeDocument/2006/relationships/hyperlink" Target="https://www.ssa.gov/OP_Home/ssact/title19/1903.htm" TargetMode="External"/><Relationship Id="rId5" Type="http://schemas.openxmlformats.org/officeDocument/2006/relationships/hyperlink" Target="https://www.opm.gov/policy-data-oversight/pay-leave/salaries-wages/salary-tables/18Tables/html/DCB.aspx" TargetMode="External"/><Relationship Id="rId4" Type="http://schemas.openxmlformats.org/officeDocument/2006/relationships/hyperlink" Target="https://www.gsaadvantage.gov/ref_text/GS00F094CA/0OKOC6.36RVCQ_GS-00F-094CA_NCIGS00F094CACATALOGUE625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DC84-46D6-424E-88DA-F635C4E7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2376</Words>
  <Characters>13545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15890</CharactersWithSpaces>
  <SharedDoc>false</SharedDoc>
  <HLinks>
    <vt:vector size="30" baseType="variant">
      <vt:variant>
        <vt:i4>7012467</vt:i4>
      </vt:variant>
      <vt:variant>
        <vt:i4>12</vt:i4>
      </vt:variant>
      <vt:variant>
        <vt:i4>0</vt:i4>
      </vt:variant>
      <vt:variant>
        <vt:i4>5</vt:i4>
      </vt:variant>
      <vt:variant>
        <vt:lpwstr>https://www.opm.gov/policy-data-oversight/pay-leave/salaries-wages/salary-tables/18Tables/html/DCB.aspx</vt:lpwstr>
      </vt:variant>
      <vt:variant>
        <vt:lpwstr/>
      </vt:variant>
      <vt:variant>
        <vt:i4>3735575</vt:i4>
      </vt:variant>
      <vt:variant>
        <vt:i4>9</vt:i4>
      </vt:variant>
      <vt:variant>
        <vt:i4>0</vt:i4>
      </vt:variant>
      <vt:variant>
        <vt:i4>5</vt:i4>
      </vt:variant>
      <vt:variant>
        <vt:lpwstr>https://www.gsaadvantage.gov/ref_text/GS00F094CA/0OKOC6.36RVCQ_GS-00F-094CA_NCIGS00F094CACATALOGUE6252015.PDF</vt:lpwstr>
      </vt:variant>
      <vt:variant>
        <vt:lpwstr/>
      </vt:variant>
      <vt:variant>
        <vt:i4>196640</vt:i4>
      </vt:variant>
      <vt:variant>
        <vt:i4>6</vt:i4>
      </vt:variant>
      <vt:variant>
        <vt:i4>0</vt:i4>
      </vt:variant>
      <vt:variant>
        <vt:i4>5</vt:i4>
      </vt:variant>
      <vt:variant>
        <vt:lpwstr>https://www.gsaadvantage.gov/ref_text/GS35F242GA/0RA4BN.3H6IE7_GS-35F-242GA_GS35F242GA.PDF</vt:lpwstr>
      </vt:variant>
      <vt:variant>
        <vt:lpwstr/>
      </vt:variant>
      <vt:variant>
        <vt:i4>2883605</vt:i4>
      </vt:variant>
      <vt:variant>
        <vt:i4>3</vt:i4>
      </vt:variant>
      <vt:variant>
        <vt:i4>0</vt:i4>
      </vt:variant>
      <vt:variant>
        <vt:i4>5</vt:i4>
      </vt:variant>
      <vt:variant>
        <vt:lpwstr>https://www.gsaadvantage.gov/ref_text/GS23F0083N/0TBUDM.3N88BJ_GS-23F-0083N_REFTEXTFILE2017PRICES.HTM</vt:lpwstr>
      </vt:variant>
      <vt:variant>
        <vt:lpwstr/>
      </vt:variant>
      <vt:variant>
        <vt:i4>2359320</vt:i4>
      </vt:variant>
      <vt:variant>
        <vt:i4>0</vt:i4>
      </vt:variant>
      <vt:variant>
        <vt:i4>0</vt:i4>
      </vt:variant>
      <vt:variant>
        <vt:i4>5</vt:i4>
      </vt:variant>
      <vt:variant>
        <vt:lpwstr>https://www.ssa.gov/OP_Home/ssact/title19/1903.htm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dcterms:created xsi:type="dcterms:W3CDTF">2019-03-29T11:11:00Z</dcterms:created>
  <dcterms:modified xsi:type="dcterms:W3CDTF">2019-03-29T11:11:00Z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-975293372</vt:i4>
  </property>
  <property fmtid="{D5CDD505-2E9C-101B-9397-08002B2CF9AE}" pid="4" name="_EmailSubject">
    <vt:lpwstr>Action Needed (Response to Public Comments) &gt; RE: ***Please Disregard*** &gt; RRE: For PRA - EVV Compliance Survey (CMS-10680)</vt:lpwstr>
  </property>
  <property fmtid="{D5CDD505-2E9C-101B-9397-08002B2CF9AE}" pid="5" name="_AuthorEmail">
    <vt:lpwstr>Ryan.Shannahan@cms.hhs.gov</vt:lpwstr>
  </property>
  <property fmtid="{D5CDD505-2E9C-101B-9397-08002B2CF9AE}" pid="6" name="_AuthorEmailDisplayName">
    <vt:lpwstr>Shannahan, Ryan I. (CMS/CMCS)</vt:lpwstr>
  </property>
  <property fmtid="{D5CDD505-2E9C-101B-9397-08002B2CF9AE}" pid="7" name="_PreviousAdHocReviewCycleID">
    <vt:i4>-975293372</vt:i4>
  </property>
  <property fmtid="{D5CDD505-2E9C-101B-9397-08002B2CF9AE}" pid="8" name="_ReviewingToolsShownOnce">
    <vt:lpwstr/>
  </property>
</Properties>
</file>