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90" w:rsidRDefault="00F61F90" w:rsidP="00F61F90">
      <w:bookmarkStart w:id="0" w:name="_Hlk350955"/>
      <w:bookmarkStart w:id="1" w:name="_GoBack"/>
      <w:bookmarkEnd w:id="1"/>
      <w:r>
        <w:t>DATE:</w:t>
      </w:r>
      <w:r>
        <w:tab/>
      </w:r>
      <w:r>
        <w:tab/>
      </w:r>
      <w:r w:rsidR="003B1063">
        <w:t xml:space="preserve">February </w:t>
      </w:r>
      <w:r w:rsidR="00A47B7A">
        <w:t>13</w:t>
      </w:r>
      <w:r>
        <w:t>, 2019</w:t>
      </w:r>
    </w:p>
    <w:p w:rsidR="00F61F90" w:rsidRDefault="00F61F90" w:rsidP="00F61F90"/>
    <w:p w:rsidR="00F61F90" w:rsidRDefault="00F61F90" w:rsidP="00F61F90">
      <w:r>
        <w:t>TO:</w:t>
      </w:r>
      <w:r>
        <w:tab/>
      </w:r>
      <w:r>
        <w:tab/>
        <w:t>Dr. Julie Wise</w:t>
      </w:r>
    </w:p>
    <w:p w:rsidR="00F61F90" w:rsidRDefault="00F61F90" w:rsidP="00F61F90">
      <w:r>
        <w:tab/>
      </w:r>
      <w:r>
        <w:tab/>
        <w:t>Office of Management and Budget</w:t>
      </w:r>
    </w:p>
    <w:p w:rsidR="00F61F90" w:rsidRDefault="00F61F90" w:rsidP="00F61F90">
      <w:r>
        <w:tab/>
      </w:r>
      <w:r>
        <w:tab/>
        <w:t>Office of Information and Regulatory Affairs</w:t>
      </w:r>
    </w:p>
    <w:p w:rsidR="00F61F90" w:rsidRDefault="00F61F90" w:rsidP="00F61F90"/>
    <w:p w:rsidR="00F61F90" w:rsidRDefault="00F61F90" w:rsidP="00F61F90">
      <w:r>
        <w:t>FROM:</w:t>
      </w:r>
      <w:r>
        <w:tab/>
      </w:r>
      <w:r>
        <w:tab/>
        <w:t>Dr. Laura Cole</w:t>
      </w:r>
    </w:p>
    <w:p w:rsidR="00EE75E8" w:rsidRDefault="00EE75E8" w:rsidP="00F61F90">
      <w:r>
        <w:tab/>
      </w:r>
      <w:r>
        <w:tab/>
        <w:t>Planning and Evaluation Officer</w:t>
      </w:r>
    </w:p>
    <w:p w:rsidR="00F61F90" w:rsidRDefault="00F61F90" w:rsidP="00F61F90">
      <w:r>
        <w:tab/>
      </w:r>
      <w:r>
        <w:tab/>
        <w:t>National Institute on Deafness and Other Communication Disorders (NIDCD)</w:t>
      </w:r>
    </w:p>
    <w:p w:rsidR="00F61F90" w:rsidRDefault="00F61F90" w:rsidP="00F61F90"/>
    <w:p w:rsidR="00F61F90" w:rsidRPr="00F61F90" w:rsidRDefault="00F61F90" w:rsidP="00FA1286">
      <w:pPr>
        <w:ind w:left="1440" w:hanging="1440"/>
        <w:rPr>
          <w:rFonts w:cstheme="minorHAnsi"/>
          <w:b/>
        </w:rPr>
      </w:pPr>
      <w:r>
        <w:t>SUBJECT:</w:t>
      </w:r>
      <w:r>
        <w:tab/>
        <w:t>Request for Change to the NIEHS DERT Extramural Data Collection (</w:t>
      </w:r>
      <w:r w:rsidRPr="00F61F90">
        <w:rPr>
          <w:rFonts w:cstheme="minorHAnsi"/>
        </w:rPr>
        <w:t>OMB Control No.</w:t>
      </w:r>
      <w:r w:rsidRPr="002D30BC">
        <w:rPr>
          <w:rFonts w:cstheme="minorHAnsi"/>
          <w:b/>
        </w:rPr>
        <w:t xml:space="preserve"> </w:t>
      </w:r>
      <w:r w:rsidRPr="002D30BC">
        <w:rPr>
          <w:rFonts w:cstheme="minorHAnsi"/>
        </w:rPr>
        <w:t>0925-0</w:t>
      </w:r>
      <w:r>
        <w:rPr>
          <w:rFonts w:cstheme="minorHAnsi"/>
        </w:rPr>
        <w:t>7</w:t>
      </w:r>
      <w:r w:rsidRPr="002D30BC">
        <w:rPr>
          <w:rFonts w:cstheme="minorHAnsi"/>
        </w:rPr>
        <w:t>57</w:t>
      </w:r>
      <w:r>
        <w:t xml:space="preserve">, Expiration Date: </w:t>
      </w:r>
      <w:r w:rsidR="00FA1286" w:rsidRPr="002D30BC">
        <w:rPr>
          <w:rFonts w:cstheme="minorHAnsi"/>
        </w:rPr>
        <w:t>11/30/2021</w:t>
      </w:r>
      <w:r>
        <w:t>)</w:t>
      </w:r>
    </w:p>
    <w:p w:rsidR="00F61F90" w:rsidRDefault="00F61F90" w:rsidP="00F61F90">
      <w:pPr>
        <w:ind w:left="1440" w:hanging="1440"/>
      </w:pPr>
    </w:p>
    <w:p w:rsidR="00F61F90" w:rsidRDefault="00F61F90" w:rsidP="00F61F90">
      <w:pPr>
        <w:ind w:left="1440" w:hanging="1440"/>
      </w:pPr>
      <w:r>
        <w:t>CC:</w:t>
      </w:r>
      <w:r>
        <w:tab/>
      </w:r>
      <w:r w:rsidR="00A47B7A">
        <w:t xml:space="preserve">Dr. </w:t>
      </w:r>
      <w:r w:rsidR="0065741A">
        <w:t>Kelly King</w:t>
      </w:r>
      <w:r w:rsidR="00A47B7A">
        <w:t xml:space="preserve"> (NIDCD)</w:t>
      </w:r>
    </w:p>
    <w:p w:rsidR="00F61F90" w:rsidRDefault="00F61F90" w:rsidP="00F61F90">
      <w:pPr>
        <w:pBdr>
          <w:bottom w:val="single" w:sz="12" w:space="1" w:color="auto"/>
        </w:pBdr>
        <w:ind w:left="1440" w:hanging="1440"/>
      </w:pPr>
    </w:p>
    <w:p w:rsidR="00CE0829" w:rsidRDefault="00CE0829"/>
    <w:p w:rsidR="0065741A" w:rsidRDefault="0065741A" w:rsidP="0065741A">
      <w:r>
        <w:t>In lieu of requesting a new clearance for second simplified data collection form, we would like to request a change to the NIEHS Division of Extramural Research and Training (DERT) Extramural Grantee Data Collection (</w:t>
      </w:r>
      <w:r w:rsidRPr="00F61F90">
        <w:rPr>
          <w:rFonts w:cstheme="minorHAnsi"/>
        </w:rPr>
        <w:t>OMB Control No.</w:t>
      </w:r>
      <w:r w:rsidRPr="002D30BC">
        <w:rPr>
          <w:rFonts w:cstheme="minorHAnsi"/>
          <w:b/>
        </w:rPr>
        <w:t xml:space="preserve"> </w:t>
      </w:r>
      <w:r w:rsidRPr="002D30BC">
        <w:rPr>
          <w:rFonts w:cstheme="minorHAnsi"/>
        </w:rPr>
        <w:t>0925-0</w:t>
      </w:r>
      <w:r>
        <w:rPr>
          <w:rFonts w:cstheme="minorHAnsi"/>
        </w:rPr>
        <w:t>7</w:t>
      </w:r>
      <w:r w:rsidRPr="002D30BC">
        <w:rPr>
          <w:rFonts w:cstheme="minorHAnsi"/>
        </w:rPr>
        <w:t>57</w:t>
      </w:r>
      <w:r>
        <w:t xml:space="preserve">, Expiration Date: </w:t>
      </w:r>
      <w:r w:rsidRPr="002D30BC">
        <w:rPr>
          <w:rFonts w:cstheme="minorHAnsi"/>
        </w:rPr>
        <w:t>11/30/2021</w:t>
      </w:r>
      <w:r>
        <w:t>; Attachment A).</w:t>
      </w:r>
      <w:r w:rsidR="00526AB9">
        <w:t xml:space="preserve">  NIDCD is one of the Institutes and Centers approved to use this form.</w:t>
      </w:r>
    </w:p>
    <w:p w:rsidR="0065741A" w:rsidRDefault="0065741A"/>
    <w:p w:rsidR="00E04C0A" w:rsidRDefault="00E04C0A" w:rsidP="00E04C0A">
      <w:r>
        <w:rPr>
          <w:rFonts w:cs="Arial"/>
          <w:color w:val="000000"/>
        </w:rPr>
        <w:t xml:space="preserve">To minimize the data collection burden on grantees, we have created a simplified data collection form (Attachment B) that asks a defined set of sub-questions from our approved form </w:t>
      </w:r>
      <w:r w:rsidR="005D6693">
        <w:t>(</w:t>
      </w:r>
      <w:r w:rsidR="005D6693" w:rsidRPr="00F61F90">
        <w:rPr>
          <w:rFonts w:cstheme="minorHAnsi"/>
        </w:rPr>
        <w:t>OMB Control No.</w:t>
      </w:r>
      <w:r w:rsidR="005D6693" w:rsidRPr="002D30BC">
        <w:rPr>
          <w:rFonts w:cstheme="minorHAnsi"/>
          <w:b/>
        </w:rPr>
        <w:t xml:space="preserve"> </w:t>
      </w:r>
      <w:r w:rsidR="005D6693" w:rsidRPr="002D30BC">
        <w:rPr>
          <w:rFonts w:cstheme="minorHAnsi"/>
        </w:rPr>
        <w:t>0925-0</w:t>
      </w:r>
      <w:r w:rsidR="005D6693">
        <w:rPr>
          <w:rFonts w:cstheme="minorHAnsi"/>
        </w:rPr>
        <w:t>7</w:t>
      </w:r>
      <w:r w:rsidR="005D6693" w:rsidRPr="002D30BC">
        <w:rPr>
          <w:rFonts w:cstheme="minorHAnsi"/>
        </w:rPr>
        <w:t>57</w:t>
      </w:r>
      <w:r w:rsidR="005D6693">
        <w:t xml:space="preserve">, Expiration Date: </w:t>
      </w:r>
      <w:r w:rsidR="005D6693" w:rsidRPr="002D30BC">
        <w:rPr>
          <w:rFonts w:cstheme="minorHAnsi"/>
        </w:rPr>
        <w:t>11/30/2021</w:t>
      </w:r>
      <w:r>
        <w:t xml:space="preserve">). We have also attached a document that connects the questions from the previously approved form to the new form (Attachment C). </w:t>
      </w:r>
    </w:p>
    <w:p w:rsidR="006B6117" w:rsidRDefault="006B6117" w:rsidP="006B6117"/>
    <w:p w:rsidR="006B6117" w:rsidRDefault="006B6117" w:rsidP="006B6117">
      <w:r>
        <w:t xml:space="preserve">We propose to send the new simplified form (Attachment B) to grantees supported by the NIDCD Accessible and Affordable Hearing Health Care program. All data submitted to NIDCD using the new form would be voluntary and all submitted forms </w:t>
      </w:r>
      <w:r w:rsidR="000B502C">
        <w:t xml:space="preserve">would count </w:t>
      </w:r>
      <w:r>
        <w:t xml:space="preserve">towards our </w:t>
      </w:r>
      <w:r w:rsidR="000B502C">
        <w:t xml:space="preserve">limit of </w:t>
      </w:r>
      <w:r>
        <w:t xml:space="preserve">200 approved surveys per year. </w:t>
      </w:r>
    </w:p>
    <w:p w:rsidR="006B6117" w:rsidRDefault="006B6117" w:rsidP="006B6117"/>
    <w:p w:rsidR="0069252D" w:rsidRPr="0069252D" w:rsidRDefault="0069252D" w:rsidP="0069252D">
      <w:pPr>
        <w:rPr>
          <w:rFonts w:ascii="Calibri" w:eastAsia="Calibri" w:hAnsi="Calibri" w:cs="Times New Roman"/>
        </w:rPr>
      </w:pPr>
      <w:r w:rsidRPr="0069252D">
        <w:rPr>
          <w:rFonts w:ascii="Calibri" w:eastAsia="Calibri" w:hAnsi="Calibri" w:cs="Times New Roman"/>
          <w:b/>
          <w:bCs/>
        </w:rPr>
        <w:t xml:space="preserve">The </w:t>
      </w:r>
      <w:r>
        <w:rPr>
          <w:rFonts w:ascii="Calibri" w:eastAsia="Calibri" w:hAnsi="Calibri" w:cs="Times New Roman"/>
          <w:b/>
          <w:bCs/>
        </w:rPr>
        <w:t>data</w:t>
      </w:r>
      <w:r w:rsidRPr="0069252D">
        <w:rPr>
          <w:rFonts w:ascii="Calibri" w:eastAsia="Calibri" w:hAnsi="Calibri" w:cs="Times New Roman"/>
          <w:b/>
          <w:bCs/>
        </w:rPr>
        <w:t xml:space="preserve"> provided to </w:t>
      </w:r>
      <w:r>
        <w:rPr>
          <w:rFonts w:ascii="Calibri" w:eastAsia="Calibri" w:hAnsi="Calibri" w:cs="Times New Roman"/>
          <w:b/>
          <w:bCs/>
        </w:rPr>
        <w:t>NIDCD Program Staff through this form will be used</w:t>
      </w:r>
      <w:r w:rsidRPr="0069252D">
        <w:rPr>
          <w:rFonts w:ascii="Calibri" w:eastAsia="Calibri" w:hAnsi="Calibri" w:cs="Times New Roman"/>
          <w:b/>
          <w:bCs/>
        </w:rPr>
        <w:t xml:space="preserve"> for </w:t>
      </w:r>
      <w:r w:rsidR="001D41C9">
        <w:rPr>
          <w:rFonts w:ascii="Calibri" w:eastAsia="Calibri" w:hAnsi="Calibri" w:cs="Times New Roman"/>
          <w:b/>
          <w:bCs/>
        </w:rPr>
        <w:t xml:space="preserve">several </w:t>
      </w:r>
      <w:r w:rsidRPr="0069252D">
        <w:rPr>
          <w:rFonts w:ascii="Calibri" w:eastAsia="Calibri" w:hAnsi="Calibri" w:cs="Times New Roman"/>
          <w:b/>
          <w:bCs/>
        </w:rPr>
        <w:t>purposes:</w:t>
      </w:r>
    </w:p>
    <w:p w:rsidR="00571AA5" w:rsidRDefault="00F67A27" w:rsidP="0069252D">
      <w:pPr>
        <w:numPr>
          <w:ilvl w:val="0"/>
          <w:numId w:val="2"/>
        </w:numPr>
        <w:rPr>
          <w:rFonts w:ascii="Calibri" w:eastAsia="Calibri" w:hAnsi="Calibri" w:cs="Times New Roman"/>
        </w:rPr>
      </w:pPr>
      <w:r>
        <w:rPr>
          <w:rFonts w:ascii="Calibri" w:eastAsia="Calibri" w:hAnsi="Calibri" w:cs="Times New Roman"/>
        </w:rPr>
        <w:t>NIDCD launched its Accessible and Affordable Hearing Health Care</w:t>
      </w:r>
      <w:r w:rsidR="003C304A">
        <w:rPr>
          <w:rFonts w:ascii="Calibri" w:eastAsia="Calibri" w:hAnsi="Calibri" w:cs="Times New Roman"/>
        </w:rPr>
        <w:t xml:space="preserve"> (AAHHC)</w:t>
      </w:r>
      <w:r>
        <w:rPr>
          <w:rFonts w:ascii="Calibri" w:eastAsia="Calibri" w:hAnsi="Calibri" w:cs="Times New Roman"/>
        </w:rPr>
        <w:t xml:space="preserve"> program 10 years ago, with a workshop held in 2009</w:t>
      </w:r>
      <w:r w:rsidRPr="0069252D">
        <w:rPr>
          <w:rFonts w:ascii="Calibri" w:eastAsia="Calibri" w:hAnsi="Calibri" w:cs="Times New Roman"/>
        </w:rPr>
        <w:t>.</w:t>
      </w:r>
      <w:r>
        <w:rPr>
          <w:rFonts w:ascii="Calibri" w:eastAsia="Calibri" w:hAnsi="Calibri" w:cs="Times New Roman"/>
        </w:rPr>
        <w:t xml:space="preserve">  Survey data will be used t</w:t>
      </w:r>
      <w:r w:rsidR="0069252D" w:rsidRPr="0069252D">
        <w:rPr>
          <w:rFonts w:ascii="Calibri" w:eastAsia="Calibri" w:hAnsi="Calibri" w:cs="Times New Roman"/>
        </w:rPr>
        <w:t xml:space="preserve">o </w:t>
      </w:r>
      <w:r>
        <w:rPr>
          <w:rFonts w:ascii="Calibri" w:eastAsia="Calibri" w:hAnsi="Calibri" w:cs="Times New Roman"/>
        </w:rPr>
        <w:t>develop a</w:t>
      </w:r>
      <w:r w:rsidR="001D41C9">
        <w:rPr>
          <w:rFonts w:ascii="Calibri" w:eastAsia="Calibri" w:hAnsi="Calibri" w:cs="Times New Roman"/>
        </w:rPr>
        <w:t xml:space="preserve"> 10-year update </w:t>
      </w:r>
      <w:r w:rsidR="003C304A">
        <w:rPr>
          <w:rFonts w:ascii="Calibri" w:eastAsia="Calibri" w:hAnsi="Calibri" w:cs="Times New Roman"/>
        </w:rPr>
        <w:t xml:space="preserve">on progress in AAHHC </w:t>
      </w:r>
      <w:r w:rsidR="001D41C9">
        <w:rPr>
          <w:rFonts w:ascii="Calibri" w:eastAsia="Calibri" w:hAnsi="Calibri" w:cs="Times New Roman"/>
        </w:rPr>
        <w:t>to the National Deafness and Other Communication Disorders (NDCD) Advisory Committee</w:t>
      </w:r>
      <w:r w:rsidR="0069252D" w:rsidRPr="0069252D">
        <w:rPr>
          <w:rFonts w:ascii="Calibri" w:eastAsia="Calibri" w:hAnsi="Calibri" w:cs="Times New Roman"/>
        </w:rPr>
        <w:t>.</w:t>
      </w:r>
    </w:p>
    <w:p w:rsidR="0069252D" w:rsidRPr="0069252D" w:rsidRDefault="00571AA5" w:rsidP="0069252D">
      <w:pPr>
        <w:numPr>
          <w:ilvl w:val="0"/>
          <w:numId w:val="2"/>
        </w:numPr>
        <w:rPr>
          <w:rFonts w:ascii="Calibri" w:eastAsia="Calibri" w:hAnsi="Calibri" w:cs="Times New Roman"/>
        </w:rPr>
      </w:pPr>
      <w:r>
        <w:rPr>
          <w:rFonts w:ascii="Calibri" w:eastAsia="Calibri" w:hAnsi="Calibri" w:cs="Times New Roman"/>
        </w:rPr>
        <w:t>To evaluate NIDCD’s progress towards achieving the recommendations made by experts who attended the 2009 workshop</w:t>
      </w:r>
      <w:r w:rsidR="009D38DA">
        <w:rPr>
          <w:rFonts w:ascii="Calibri" w:eastAsia="Calibri" w:hAnsi="Calibri" w:cs="Times New Roman"/>
        </w:rPr>
        <w:t xml:space="preserve"> “</w:t>
      </w:r>
      <w:hyperlink r:id="rId6" w:history="1">
        <w:r w:rsidR="009D38DA" w:rsidRPr="00E7577C">
          <w:rPr>
            <w:rStyle w:val="Hyperlink"/>
            <w:rFonts w:ascii="Calibri" w:eastAsia="Calibri" w:hAnsi="Calibri" w:cs="Times New Roman"/>
          </w:rPr>
          <w:t>NIDCD Working Group on Accessible and Affordable Hearing Health Care for Adults with Mild to Moderate Hearing Loss</w:t>
        </w:r>
      </w:hyperlink>
      <w:r w:rsidR="009D38DA">
        <w:rPr>
          <w:rFonts w:ascii="Calibri" w:eastAsia="Calibri" w:hAnsi="Calibri" w:cs="Times New Roman"/>
        </w:rPr>
        <w:t>.”</w:t>
      </w:r>
    </w:p>
    <w:p w:rsidR="0069252D" w:rsidRPr="0069252D" w:rsidRDefault="0069252D" w:rsidP="001D41C9">
      <w:pPr>
        <w:numPr>
          <w:ilvl w:val="0"/>
          <w:numId w:val="2"/>
        </w:numPr>
        <w:rPr>
          <w:rFonts w:ascii="Calibri" w:eastAsia="Calibri" w:hAnsi="Calibri" w:cs="Times New Roman"/>
        </w:rPr>
      </w:pPr>
      <w:r w:rsidRPr="0069252D">
        <w:rPr>
          <w:rFonts w:ascii="Calibri" w:eastAsia="Calibri" w:hAnsi="Calibri" w:cs="Times New Roman"/>
        </w:rPr>
        <w:t xml:space="preserve">To </w:t>
      </w:r>
      <w:r w:rsidR="001D41C9">
        <w:rPr>
          <w:rFonts w:ascii="Calibri" w:eastAsia="Calibri" w:hAnsi="Calibri" w:cs="Times New Roman"/>
        </w:rPr>
        <w:t xml:space="preserve">evaluate NIDCD’s progress towards achieving the recommendations </w:t>
      </w:r>
      <w:r w:rsidR="0035227B">
        <w:rPr>
          <w:rFonts w:ascii="Calibri" w:eastAsia="Calibri" w:hAnsi="Calibri" w:cs="Times New Roman"/>
        </w:rPr>
        <w:t>directed at the</w:t>
      </w:r>
      <w:r w:rsidR="00AF6581">
        <w:rPr>
          <w:rFonts w:ascii="Calibri" w:eastAsia="Calibri" w:hAnsi="Calibri" w:cs="Times New Roman"/>
        </w:rPr>
        <w:t xml:space="preserve"> NIH/NIDCD</w:t>
      </w:r>
      <w:r w:rsidR="001D41C9">
        <w:rPr>
          <w:rFonts w:ascii="Calibri" w:eastAsia="Calibri" w:hAnsi="Calibri" w:cs="Times New Roman"/>
        </w:rPr>
        <w:t xml:space="preserve"> in the National Academies of Science</w:t>
      </w:r>
      <w:r w:rsidR="00AF6581">
        <w:rPr>
          <w:rFonts w:ascii="Calibri" w:eastAsia="Calibri" w:hAnsi="Calibri" w:cs="Times New Roman"/>
        </w:rPr>
        <w:t>s, Engineering,</w:t>
      </w:r>
      <w:r w:rsidR="001D41C9">
        <w:rPr>
          <w:rFonts w:ascii="Calibri" w:eastAsia="Calibri" w:hAnsi="Calibri" w:cs="Times New Roman"/>
        </w:rPr>
        <w:t xml:space="preserve"> and Medicine (NASEM)</w:t>
      </w:r>
      <w:r w:rsidR="00AF6581">
        <w:rPr>
          <w:rFonts w:ascii="Calibri" w:eastAsia="Calibri" w:hAnsi="Calibri" w:cs="Times New Roman"/>
        </w:rPr>
        <w:t>’s June 2016 report entitled “</w:t>
      </w:r>
      <w:hyperlink r:id="rId7" w:history="1">
        <w:r w:rsidR="00AF6581" w:rsidRPr="00DB0650">
          <w:rPr>
            <w:rStyle w:val="Hyperlink"/>
            <w:rFonts w:ascii="Calibri" w:eastAsia="Calibri" w:hAnsi="Calibri" w:cs="Times New Roman"/>
          </w:rPr>
          <w:t>Hearing Health Care for Adults: Priorities for Improving Access and Affordability</w:t>
        </w:r>
      </w:hyperlink>
      <w:r w:rsidR="00AF6581">
        <w:rPr>
          <w:rFonts w:ascii="Calibri" w:eastAsia="Calibri" w:hAnsi="Calibri" w:cs="Times New Roman"/>
        </w:rPr>
        <w:t>.”</w:t>
      </w:r>
    </w:p>
    <w:p w:rsidR="0069252D" w:rsidRPr="0069252D" w:rsidRDefault="0069252D" w:rsidP="0069252D">
      <w:pPr>
        <w:numPr>
          <w:ilvl w:val="0"/>
          <w:numId w:val="2"/>
        </w:numPr>
        <w:rPr>
          <w:rFonts w:ascii="Calibri" w:eastAsia="Calibri" w:hAnsi="Calibri" w:cs="Times New Roman"/>
        </w:rPr>
      </w:pPr>
      <w:r w:rsidRPr="0069252D">
        <w:rPr>
          <w:rFonts w:ascii="Calibri" w:eastAsia="Calibri" w:hAnsi="Calibri" w:cs="Times New Roman"/>
        </w:rPr>
        <w:t xml:space="preserve">To </w:t>
      </w:r>
      <w:r w:rsidR="001D41C9">
        <w:rPr>
          <w:rFonts w:ascii="Calibri" w:eastAsia="Calibri" w:hAnsi="Calibri" w:cs="Times New Roman"/>
        </w:rPr>
        <w:t>inform development of new Funding Opportunity Announcements for the Accessible and Affordable Hearing Health Care program.</w:t>
      </w:r>
    </w:p>
    <w:p w:rsidR="0069252D" w:rsidRPr="0069252D" w:rsidRDefault="0069252D" w:rsidP="0069252D">
      <w:pPr>
        <w:rPr>
          <w:rFonts w:ascii="Calibri" w:eastAsia="Calibri" w:hAnsi="Calibri" w:cs="Arial"/>
          <w:color w:val="000000"/>
        </w:rPr>
      </w:pPr>
    </w:p>
    <w:p w:rsidR="0069252D" w:rsidRPr="0069252D" w:rsidRDefault="0069252D" w:rsidP="0069252D">
      <w:pPr>
        <w:rPr>
          <w:rFonts w:ascii="Calibri" w:eastAsia="Calibri" w:hAnsi="Calibri" w:cs="Arial"/>
          <w:color w:val="000000"/>
        </w:rPr>
      </w:pPr>
      <w:r w:rsidRPr="0069252D">
        <w:rPr>
          <w:rFonts w:ascii="Calibri" w:eastAsia="Calibri" w:hAnsi="Calibri" w:cs="Arial"/>
          <w:color w:val="000000"/>
        </w:rPr>
        <w:lastRenderedPageBreak/>
        <w:t>The updated burden estimate table below includes a new row for the number of grantees who would use this shortened form.</w:t>
      </w:r>
    </w:p>
    <w:p w:rsidR="0069252D" w:rsidRPr="0069252D" w:rsidRDefault="0069252D" w:rsidP="0069252D">
      <w:pPr>
        <w:rPr>
          <w:rFonts w:ascii="Calibri" w:eastAsia="Calibri" w:hAnsi="Calibri" w:cs="Arial"/>
          <w:color w:val="000000"/>
        </w:rPr>
      </w:pPr>
    </w:p>
    <w:p w:rsidR="0069252D" w:rsidRPr="0069252D" w:rsidRDefault="0069252D" w:rsidP="0069252D">
      <w:pPr>
        <w:spacing w:line="480" w:lineRule="auto"/>
        <w:ind w:left="1440" w:firstLine="720"/>
        <w:rPr>
          <w:rFonts w:ascii="Times New Roman" w:eastAsia="Times New Roman" w:hAnsi="Times New Roman" w:cs="Times New Roman"/>
          <w:b/>
          <w:sz w:val="24"/>
          <w:szCs w:val="24"/>
        </w:rPr>
      </w:pPr>
      <w:r w:rsidRPr="0069252D">
        <w:rPr>
          <w:rFonts w:ascii="Times New Roman" w:eastAsia="Times New Roman" w:hAnsi="Times New Roman" w:cs="Times New Roman"/>
          <w:b/>
          <w:sz w:val="24"/>
          <w:szCs w:val="24"/>
        </w:rPr>
        <w:t xml:space="preserve">A.12 – 1  Estimates of Annual Hour Burden </w:t>
      </w:r>
    </w:p>
    <w:tbl>
      <w:tblPr>
        <w:tblW w:w="8208"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530"/>
        <w:gridCol w:w="1386"/>
        <w:gridCol w:w="1854"/>
        <w:gridCol w:w="1386"/>
      </w:tblGrid>
      <w:tr w:rsidR="0069252D" w:rsidRPr="0069252D" w:rsidTr="00183D96">
        <w:trPr>
          <w:trHeight w:val="546"/>
        </w:trPr>
        <w:tc>
          <w:tcPr>
            <w:tcW w:w="2052" w:type="dxa"/>
            <w:tcBorders>
              <w:top w:val="double" w:sz="4" w:space="0" w:color="auto"/>
              <w:bottom w:val="single" w:sz="4" w:space="0" w:color="auto"/>
            </w:tcBorders>
            <w:shd w:val="clear" w:color="auto" w:fill="auto"/>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Type of Respondent</w:t>
            </w:r>
          </w:p>
        </w:tc>
        <w:tc>
          <w:tcPr>
            <w:tcW w:w="1530" w:type="dxa"/>
            <w:tcBorders>
              <w:top w:val="double" w:sz="4" w:space="0" w:color="auto"/>
              <w:bottom w:val="single" w:sz="4" w:space="0" w:color="auto"/>
            </w:tcBorders>
            <w:shd w:val="clear" w:color="auto" w:fill="auto"/>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Number of Respondents</w:t>
            </w:r>
          </w:p>
        </w:tc>
        <w:tc>
          <w:tcPr>
            <w:tcW w:w="1386" w:type="dxa"/>
            <w:tcBorders>
              <w:top w:val="double" w:sz="4" w:space="0" w:color="auto"/>
              <w:bottom w:val="single" w:sz="4" w:space="0" w:color="auto"/>
            </w:tcBorders>
            <w:shd w:val="clear" w:color="auto" w:fill="auto"/>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Frequency of Response</w:t>
            </w:r>
          </w:p>
        </w:tc>
        <w:tc>
          <w:tcPr>
            <w:tcW w:w="1854" w:type="dxa"/>
            <w:tcBorders>
              <w:top w:val="double" w:sz="4" w:space="0" w:color="auto"/>
              <w:bottom w:val="single" w:sz="4" w:space="0" w:color="auto"/>
            </w:tcBorders>
            <w:shd w:val="clear" w:color="auto" w:fill="auto"/>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 xml:space="preserve">Average Time per Response </w:t>
            </w:r>
          </w:p>
        </w:tc>
        <w:tc>
          <w:tcPr>
            <w:tcW w:w="1386" w:type="dxa"/>
            <w:tcBorders>
              <w:top w:val="double" w:sz="4" w:space="0" w:color="auto"/>
              <w:bottom w:val="single" w:sz="4" w:space="0" w:color="auto"/>
            </w:tcBorders>
            <w:shd w:val="clear" w:color="auto" w:fill="auto"/>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Annual Hour Burden</w:t>
            </w:r>
          </w:p>
        </w:tc>
      </w:tr>
      <w:tr w:rsidR="0069252D" w:rsidRPr="0069252D" w:rsidTr="00183D96">
        <w:trPr>
          <w:cantSplit/>
          <w:trHeight w:val="576"/>
        </w:trPr>
        <w:tc>
          <w:tcPr>
            <w:tcW w:w="2052" w:type="dxa"/>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NICHD Grantee</w:t>
            </w:r>
          </w:p>
        </w:tc>
        <w:tc>
          <w:tcPr>
            <w:tcW w:w="1530" w:type="dxa"/>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200</w:t>
            </w:r>
          </w:p>
        </w:tc>
        <w:tc>
          <w:tcPr>
            <w:tcW w:w="1386" w:type="dxa"/>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1</w:t>
            </w:r>
          </w:p>
        </w:tc>
        <w:tc>
          <w:tcPr>
            <w:tcW w:w="1854" w:type="dxa"/>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30/60</w:t>
            </w:r>
          </w:p>
        </w:tc>
        <w:tc>
          <w:tcPr>
            <w:tcW w:w="1386" w:type="dxa"/>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 xml:space="preserve">100 </w:t>
            </w:r>
          </w:p>
        </w:tc>
      </w:tr>
      <w:tr w:rsidR="0069252D" w:rsidRPr="0069252D" w:rsidTr="00183D96">
        <w:trPr>
          <w:cantSplit/>
          <w:trHeight w:val="576"/>
        </w:trPr>
        <w:tc>
          <w:tcPr>
            <w:tcW w:w="2052" w:type="dxa"/>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NIMH Grantee</w:t>
            </w:r>
          </w:p>
        </w:tc>
        <w:tc>
          <w:tcPr>
            <w:tcW w:w="1530" w:type="dxa"/>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200</w:t>
            </w:r>
          </w:p>
        </w:tc>
        <w:tc>
          <w:tcPr>
            <w:tcW w:w="1386" w:type="dxa"/>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1</w:t>
            </w:r>
          </w:p>
        </w:tc>
        <w:tc>
          <w:tcPr>
            <w:tcW w:w="1854" w:type="dxa"/>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30/60</w:t>
            </w:r>
          </w:p>
        </w:tc>
        <w:tc>
          <w:tcPr>
            <w:tcW w:w="1386" w:type="dxa"/>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 xml:space="preserve">100 </w:t>
            </w:r>
          </w:p>
        </w:tc>
      </w:tr>
      <w:tr w:rsidR="0069252D" w:rsidRPr="0069252D" w:rsidTr="00183D96">
        <w:trPr>
          <w:cantSplit/>
          <w:trHeight w:val="576"/>
        </w:trPr>
        <w:tc>
          <w:tcPr>
            <w:tcW w:w="2052" w:type="dxa"/>
            <w:tcBorders>
              <w:bottom w:val="single" w:sz="4" w:space="0" w:color="auto"/>
            </w:tcBorders>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NINDS Grantee</w:t>
            </w:r>
          </w:p>
        </w:tc>
        <w:tc>
          <w:tcPr>
            <w:tcW w:w="1530" w:type="dxa"/>
            <w:tcBorders>
              <w:bottom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200</w:t>
            </w:r>
          </w:p>
        </w:tc>
        <w:tc>
          <w:tcPr>
            <w:tcW w:w="1386" w:type="dxa"/>
            <w:tcBorders>
              <w:bottom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1</w:t>
            </w:r>
          </w:p>
        </w:tc>
        <w:tc>
          <w:tcPr>
            <w:tcW w:w="1854" w:type="dxa"/>
            <w:tcBorders>
              <w:bottom w:val="sing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30/60</w:t>
            </w:r>
          </w:p>
        </w:tc>
        <w:tc>
          <w:tcPr>
            <w:tcW w:w="1386" w:type="dxa"/>
            <w:tcBorders>
              <w:bottom w:val="sing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 xml:space="preserve">100 </w:t>
            </w:r>
          </w:p>
        </w:tc>
      </w:tr>
      <w:tr w:rsidR="0069252D" w:rsidRPr="0069252D" w:rsidTr="00183D96">
        <w:trPr>
          <w:cantSplit/>
          <w:trHeight w:val="576"/>
        </w:trPr>
        <w:tc>
          <w:tcPr>
            <w:tcW w:w="2052" w:type="dxa"/>
            <w:tcBorders>
              <w:top w:val="single" w:sz="4" w:space="0" w:color="auto"/>
              <w:left w:val="double" w:sz="4" w:space="0" w:color="auto"/>
              <w:bottom w:val="single" w:sz="4" w:space="0" w:color="auto"/>
            </w:tcBorders>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NCI Grantee</w:t>
            </w:r>
          </w:p>
        </w:tc>
        <w:tc>
          <w:tcPr>
            <w:tcW w:w="1530" w:type="dxa"/>
            <w:tcBorders>
              <w:top w:val="single" w:sz="4" w:space="0" w:color="auto"/>
              <w:bottom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400</w:t>
            </w:r>
          </w:p>
        </w:tc>
        <w:tc>
          <w:tcPr>
            <w:tcW w:w="1386" w:type="dxa"/>
            <w:tcBorders>
              <w:top w:val="single" w:sz="4" w:space="0" w:color="auto"/>
              <w:bottom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1</w:t>
            </w:r>
          </w:p>
        </w:tc>
        <w:tc>
          <w:tcPr>
            <w:tcW w:w="1854" w:type="dxa"/>
            <w:tcBorders>
              <w:top w:val="single" w:sz="4" w:space="0" w:color="auto"/>
              <w:bottom w:val="sing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30/60</w:t>
            </w:r>
          </w:p>
        </w:tc>
        <w:tc>
          <w:tcPr>
            <w:tcW w:w="1386" w:type="dxa"/>
            <w:tcBorders>
              <w:top w:val="single" w:sz="4" w:space="0" w:color="auto"/>
              <w:bottom w:val="sing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200</w:t>
            </w:r>
          </w:p>
        </w:tc>
      </w:tr>
      <w:tr w:rsidR="0069252D" w:rsidRPr="0069252D" w:rsidTr="00183D96">
        <w:trPr>
          <w:cantSplit/>
          <w:trHeight w:val="576"/>
        </w:trPr>
        <w:tc>
          <w:tcPr>
            <w:tcW w:w="2052" w:type="dxa"/>
            <w:tcBorders>
              <w:top w:val="single" w:sz="4" w:space="0" w:color="auto"/>
              <w:left w:val="double" w:sz="4" w:space="0" w:color="auto"/>
              <w:bottom w:val="single" w:sz="4" w:space="0" w:color="auto"/>
              <w:right w:val="single" w:sz="4" w:space="0" w:color="auto"/>
            </w:tcBorders>
          </w:tcPr>
          <w:p w:rsidR="0069252D" w:rsidRPr="0069252D" w:rsidRDefault="0069252D" w:rsidP="0069252D">
            <w:pPr>
              <w:ind w:left="180"/>
              <w:rPr>
                <w:rFonts w:ascii="Cambria" w:eastAsia="Times New Roman" w:hAnsi="Cambria" w:cs="Times New Roman"/>
              </w:rPr>
            </w:pPr>
            <w:r w:rsidRPr="0069252D">
              <w:rPr>
                <w:rFonts w:ascii="Cambria" w:eastAsia="Times New Roman" w:hAnsi="Cambria" w:cs="Times New Roman"/>
              </w:rPr>
              <w:t xml:space="preserve">NIEHS Grantee </w:t>
            </w:r>
          </w:p>
        </w:tc>
        <w:tc>
          <w:tcPr>
            <w:tcW w:w="1530" w:type="dxa"/>
            <w:tcBorders>
              <w:top w:val="single" w:sz="4" w:space="0" w:color="auto"/>
              <w:left w:val="single" w:sz="4" w:space="0" w:color="auto"/>
              <w:bottom w:val="single" w:sz="4" w:space="0" w:color="auto"/>
              <w:right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 xml:space="preserve">200 </w:t>
            </w:r>
          </w:p>
        </w:tc>
        <w:tc>
          <w:tcPr>
            <w:tcW w:w="1386" w:type="dxa"/>
            <w:tcBorders>
              <w:top w:val="single" w:sz="4" w:space="0" w:color="auto"/>
              <w:left w:val="single" w:sz="4" w:space="0" w:color="auto"/>
              <w:bottom w:val="single" w:sz="4" w:space="0" w:color="auto"/>
              <w:right w:val="single" w:sz="4" w:space="0" w:color="auto"/>
            </w:tcBorders>
          </w:tcPr>
          <w:p w:rsidR="0069252D" w:rsidRPr="0069252D" w:rsidRDefault="0069252D" w:rsidP="0069252D">
            <w:pPr>
              <w:ind w:left="72"/>
              <w:rPr>
                <w:rFonts w:ascii="Cambria" w:eastAsia="Times New Roman" w:hAnsi="Cambria" w:cs="Times New Roman"/>
              </w:rPr>
            </w:pPr>
            <w:r w:rsidRPr="0069252D">
              <w:rPr>
                <w:rFonts w:ascii="Cambria" w:eastAsia="Times New Roman" w:hAnsi="Cambria" w:cs="Times New Roman"/>
              </w:rPr>
              <w:t>1</w:t>
            </w:r>
          </w:p>
        </w:tc>
        <w:tc>
          <w:tcPr>
            <w:tcW w:w="1854" w:type="dxa"/>
            <w:tcBorders>
              <w:top w:val="single" w:sz="4" w:space="0" w:color="auto"/>
              <w:left w:val="single" w:sz="4" w:space="0" w:color="auto"/>
              <w:bottom w:val="single" w:sz="4" w:space="0" w:color="auto"/>
              <w:right w:val="sing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30/60</w:t>
            </w:r>
          </w:p>
        </w:tc>
        <w:tc>
          <w:tcPr>
            <w:tcW w:w="1386" w:type="dxa"/>
            <w:tcBorders>
              <w:top w:val="single" w:sz="4" w:space="0" w:color="auto"/>
              <w:left w:val="single" w:sz="4" w:space="0" w:color="auto"/>
              <w:bottom w:val="single" w:sz="4" w:space="0" w:color="auto"/>
              <w:right w:val="double" w:sz="4" w:space="0" w:color="auto"/>
            </w:tcBorders>
          </w:tcPr>
          <w:p w:rsidR="0069252D" w:rsidRPr="0069252D" w:rsidRDefault="0069252D" w:rsidP="0069252D">
            <w:pPr>
              <w:rPr>
                <w:rFonts w:ascii="Cambria" w:eastAsia="Times New Roman" w:hAnsi="Cambria" w:cs="Times New Roman"/>
              </w:rPr>
            </w:pPr>
            <w:r w:rsidRPr="0069252D">
              <w:rPr>
                <w:rFonts w:ascii="Cambria" w:eastAsia="Times New Roman" w:hAnsi="Cambria" w:cs="Times New Roman"/>
              </w:rPr>
              <w:t>100</w:t>
            </w:r>
          </w:p>
        </w:tc>
      </w:tr>
      <w:tr w:rsidR="002A7D15" w:rsidRPr="0069252D" w:rsidTr="00183D96">
        <w:trPr>
          <w:cantSplit/>
          <w:trHeight w:val="576"/>
        </w:trPr>
        <w:tc>
          <w:tcPr>
            <w:tcW w:w="2052" w:type="dxa"/>
            <w:tcBorders>
              <w:top w:val="single" w:sz="4" w:space="0" w:color="auto"/>
              <w:left w:val="double" w:sz="4" w:space="0" w:color="auto"/>
              <w:bottom w:val="single" w:sz="4" w:space="0" w:color="auto"/>
              <w:right w:val="single" w:sz="4" w:space="0" w:color="auto"/>
            </w:tcBorders>
          </w:tcPr>
          <w:p w:rsidR="002A7D15" w:rsidRDefault="002A7D15" w:rsidP="002A7D15">
            <w:pPr>
              <w:ind w:left="180"/>
              <w:rPr>
                <w:rFonts w:ascii="Cambria" w:eastAsia="Times New Roman" w:hAnsi="Cambria" w:cs="Times New Roman"/>
              </w:rPr>
            </w:pPr>
            <w:r w:rsidRPr="0069252D">
              <w:rPr>
                <w:rFonts w:ascii="Cambria" w:eastAsia="Times New Roman" w:hAnsi="Cambria" w:cs="Times New Roman"/>
              </w:rPr>
              <w:t>NIDCD Grantee</w:t>
            </w:r>
          </w:p>
          <w:p w:rsidR="002A7D15" w:rsidRPr="0069252D" w:rsidRDefault="002A7D15" w:rsidP="002A7D15">
            <w:pPr>
              <w:ind w:left="180"/>
              <w:rPr>
                <w:rFonts w:ascii="Cambria" w:eastAsia="Times New Roman" w:hAnsi="Cambria" w:cs="Times New Roman"/>
              </w:rPr>
            </w:pPr>
            <w:r>
              <w:rPr>
                <w:rFonts w:ascii="Cambria" w:eastAsia="Times New Roman" w:hAnsi="Cambria" w:cs="Times New Roman"/>
              </w:rPr>
              <w:t>(long form)</w:t>
            </w:r>
          </w:p>
        </w:tc>
        <w:tc>
          <w:tcPr>
            <w:tcW w:w="1530" w:type="dxa"/>
            <w:tcBorders>
              <w:top w:val="single" w:sz="4" w:space="0" w:color="auto"/>
              <w:left w:val="single" w:sz="4" w:space="0" w:color="auto"/>
              <w:bottom w:val="single" w:sz="4" w:space="0" w:color="auto"/>
              <w:right w:val="single" w:sz="4" w:space="0" w:color="auto"/>
            </w:tcBorders>
          </w:tcPr>
          <w:p w:rsidR="002A7D15" w:rsidRPr="0069252D" w:rsidRDefault="002A7D15" w:rsidP="002A7D15">
            <w:pPr>
              <w:ind w:left="72"/>
              <w:rPr>
                <w:rFonts w:ascii="Cambria" w:eastAsia="Times New Roman" w:hAnsi="Cambria" w:cs="Times New Roman"/>
              </w:rPr>
            </w:pPr>
            <w:r w:rsidRPr="0069252D">
              <w:rPr>
                <w:rFonts w:ascii="Cambria" w:eastAsia="Times New Roman" w:hAnsi="Cambria" w:cs="Times New Roman"/>
              </w:rPr>
              <w:t>200</w:t>
            </w:r>
          </w:p>
        </w:tc>
        <w:tc>
          <w:tcPr>
            <w:tcW w:w="1386" w:type="dxa"/>
            <w:tcBorders>
              <w:top w:val="single" w:sz="4" w:space="0" w:color="auto"/>
              <w:left w:val="single" w:sz="4" w:space="0" w:color="auto"/>
              <w:bottom w:val="single" w:sz="4" w:space="0" w:color="auto"/>
              <w:right w:val="single" w:sz="4" w:space="0" w:color="auto"/>
            </w:tcBorders>
          </w:tcPr>
          <w:p w:rsidR="002A7D15" w:rsidRPr="0069252D" w:rsidRDefault="002A7D15" w:rsidP="002A7D15">
            <w:pPr>
              <w:ind w:left="72"/>
              <w:rPr>
                <w:rFonts w:ascii="Cambria" w:eastAsia="Times New Roman" w:hAnsi="Cambria" w:cs="Times New Roman"/>
              </w:rPr>
            </w:pPr>
            <w:r w:rsidRPr="0069252D">
              <w:rPr>
                <w:rFonts w:ascii="Cambria" w:eastAsia="Times New Roman" w:hAnsi="Cambria" w:cs="Times New Roman"/>
              </w:rPr>
              <w:t>1</w:t>
            </w:r>
          </w:p>
        </w:tc>
        <w:tc>
          <w:tcPr>
            <w:tcW w:w="1854" w:type="dxa"/>
            <w:tcBorders>
              <w:top w:val="single" w:sz="4" w:space="0" w:color="auto"/>
              <w:left w:val="single" w:sz="4" w:space="0" w:color="auto"/>
              <w:bottom w:val="single" w:sz="4" w:space="0" w:color="auto"/>
              <w:right w:val="single" w:sz="4" w:space="0" w:color="auto"/>
            </w:tcBorders>
          </w:tcPr>
          <w:p w:rsidR="002A7D15" w:rsidRPr="0069252D" w:rsidRDefault="002A7D15" w:rsidP="002A7D15">
            <w:pPr>
              <w:rPr>
                <w:rFonts w:ascii="Cambria" w:eastAsia="Times New Roman" w:hAnsi="Cambria" w:cs="Times New Roman"/>
              </w:rPr>
            </w:pPr>
            <w:r w:rsidRPr="0069252D">
              <w:rPr>
                <w:rFonts w:ascii="Cambria" w:eastAsia="Times New Roman" w:hAnsi="Cambria" w:cs="Times New Roman"/>
              </w:rPr>
              <w:t>30/60</w:t>
            </w:r>
          </w:p>
        </w:tc>
        <w:tc>
          <w:tcPr>
            <w:tcW w:w="1386" w:type="dxa"/>
            <w:tcBorders>
              <w:top w:val="single" w:sz="4" w:space="0" w:color="auto"/>
              <w:left w:val="single" w:sz="4" w:space="0" w:color="auto"/>
              <w:bottom w:val="single" w:sz="4" w:space="0" w:color="auto"/>
              <w:right w:val="double" w:sz="4" w:space="0" w:color="auto"/>
            </w:tcBorders>
          </w:tcPr>
          <w:p w:rsidR="002A7D15" w:rsidRPr="0069252D" w:rsidRDefault="002A7D15" w:rsidP="002A7D15">
            <w:pPr>
              <w:rPr>
                <w:rFonts w:ascii="Cambria" w:eastAsia="Times New Roman" w:hAnsi="Cambria" w:cs="Times New Roman"/>
              </w:rPr>
            </w:pPr>
            <w:r w:rsidRPr="0069252D">
              <w:rPr>
                <w:rFonts w:ascii="Cambria" w:eastAsia="Times New Roman" w:hAnsi="Cambria" w:cs="Times New Roman"/>
              </w:rPr>
              <w:t xml:space="preserve">100 </w:t>
            </w:r>
          </w:p>
        </w:tc>
      </w:tr>
      <w:tr w:rsidR="0069252D" w:rsidRPr="002A7D15" w:rsidTr="00183D96">
        <w:trPr>
          <w:cantSplit/>
          <w:trHeight w:val="576"/>
        </w:trPr>
        <w:tc>
          <w:tcPr>
            <w:tcW w:w="2052" w:type="dxa"/>
            <w:tcBorders>
              <w:top w:val="single" w:sz="4" w:space="0" w:color="auto"/>
              <w:left w:val="double" w:sz="4" w:space="0" w:color="auto"/>
              <w:bottom w:val="single" w:sz="4" w:space="0" w:color="auto"/>
              <w:right w:val="single" w:sz="4" w:space="0" w:color="auto"/>
            </w:tcBorders>
          </w:tcPr>
          <w:p w:rsidR="0069252D" w:rsidRPr="00067958" w:rsidRDefault="0069252D" w:rsidP="0069252D">
            <w:pPr>
              <w:ind w:left="180"/>
              <w:rPr>
                <w:rFonts w:ascii="Cambria" w:eastAsia="Times New Roman" w:hAnsi="Cambria" w:cs="Times New Roman"/>
                <w:highlight w:val="yellow"/>
              </w:rPr>
            </w:pPr>
            <w:r w:rsidRPr="00067958">
              <w:rPr>
                <w:rFonts w:ascii="Cambria" w:eastAsia="Times New Roman" w:hAnsi="Cambria" w:cs="Times New Roman"/>
                <w:highlight w:val="yellow"/>
              </w:rPr>
              <w:t>NI</w:t>
            </w:r>
            <w:r w:rsidR="00BC2534" w:rsidRPr="00067958">
              <w:rPr>
                <w:rFonts w:ascii="Cambria" w:eastAsia="Times New Roman" w:hAnsi="Cambria" w:cs="Times New Roman"/>
                <w:highlight w:val="yellow"/>
              </w:rPr>
              <w:t>DCD</w:t>
            </w:r>
            <w:r w:rsidRPr="00067958">
              <w:rPr>
                <w:rFonts w:ascii="Cambria" w:eastAsia="Times New Roman" w:hAnsi="Cambria" w:cs="Times New Roman"/>
                <w:highlight w:val="yellow"/>
              </w:rPr>
              <w:t xml:space="preserve"> Grantee</w:t>
            </w:r>
          </w:p>
          <w:p w:rsidR="0069252D" w:rsidRPr="00067958" w:rsidRDefault="0069252D" w:rsidP="0069252D">
            <w:pPr>
              <w:ind w:left="180"/>
              <w:rPr>
                <w:rFonts w:ascii="Cambria" w:eastAsia="Times New Roman" w:hAnsi="Cambria" w:cs="Times New Roman"/>
                <w:highlight w:val="yellow"/>
              </w:rPr>
            </w:pPr>
            <w:r w:rsidRPr="00067958">
              <w:rPr>
                <w:rFonts w:ascii="Cambria" w:eastAsia="Times New Roman" w:hAnsi="Cambria" w:cs="Times New Roman"/>
                <w:highlight w:val="yellow"/>
              </w:rPr>
              <w:t>(short form</w:t>
            </w:r>
            <w:r w:rsidR="002A7D15" w:rsidRPr="00067958">
              <w:rPr>
                <w:rFonts w:ascii="Cambria" w:eastAsia="Times New Roman" w:hAnsi="Cambria" w:cs="Times New Roman"/>
                <w:highlight w:val="yellow"/>
              </w:rPr>
              <w:t>)</w:t>
            </w:r>
          </w:p>
        </w:tc>
        <w:tc>
          <w:tcPr>
            <w:tcW w:w="1530" w:type="dxa"/>
            <w:tcBorders>
              <w:top w:val="single" w:sz="4" w:space="0" w:color="auto"/>
              <w:left w:val="single" w:sz="4" w:space="0" w:color="auto"/>
              <w:bottom w:val="single" w:sz="4" w:space="0" w:color="auto"/>
              <w:right w:val="single" w:sz="4" w:space="0" w:color="auto"/>
            </w:tcBorders>
          </w:tcPr>
          <w:p w:rsidR="0069252D" w:rsidRPr="00067958" w:rsidRDefault="00BC2534" w:rsidP="0069252D">
            <w:pPr>
              <w:ind w:left="72"/>
              <w:rPr>
                <w:rFonts w:ascii="Cambria" w:eastAsia="Times New Roman" w:hAnsi="Cambria" w:cs="Times New Roman"/>
                <w:highlight w:val="yellow"/>
              </w:rPr>
            </w:pPr>
            <w:r w:rsidRPr="00067958">
              <w:rPr>
                <w:rFonts w:ascii="Cambria" w:eastAsia="Times New Roman" w:hAnsi="Cambria" w:cs="Times New Roman"/>
                <w:highlight w:val="yellow"/>
              </w:rPr>
              <w:t>60</w:t>
            </w:r>
          </w:p>
        </w:tc>
        <w:tc>
          <w:tcPr>
            <w:tcW w:w="1386" w:type="dxa"/>
            <w:tcBorders>
              <w:top w:val="single" w:sz="4" w:space="0" w:color="auto"/>
              <w:left w:val="single" w:sz="4" w:space="0" w:color="auto"/>
              <w:bottom w:val="single" w:sz="4" w:space="0" w:color="auto"/>
              <w:right w:val="single" w:sz="4" w:space="0" w:color="auto"/>
            </w:tcBorders>
          </w:tcPr>
          <w:p w:rsidR="0069252D" w:rsidRPr="00067958" w:rsidRDefault="0069252D" w:rsidP="0069252D">
            <w:pPr>
              <w:ind w:left="72"/>
              <w:rPr>
                <w:rFonts w:ascii="Cambria" w:eastAsia="Times New Roman" w:hAnsi="Cambria" w:cs="Times New Roman"/>
                <w:highlight w:val="yellow"/>
              </w:rPr>
            </w:pPr>
            <w:r w:rsidRPr="00067958">
              <w:rPr>
                <w:rFonts w:ascii="Cambria" w:eastAsia="Times New Roman" w:hAnsi="Cambria" w:cs="Times New Roman"/>
                <w:highlight w:val="yellow"/>
              </w:rPr>
              <w:t>1</w:t>
            </w:r>
          </w:p>
        </w:tc>
        <w:tc>
          <w:tcPr>
            <w:tcW w:w="1854" w:type="dxa"/>
            <w:tcBorders>
              <w:top w:val="single" w:sz="4" w:space="0" w:color="auto"/>
              <w:left w:val="single" w:sz="4" w:space="0" w:color="auto"/>
              <w:bottom w:val="single" w:sz="4" w:space="0" w:color="auto"/>
              <w:right w:val="single" w:sz="4" w:space="0" w:color="auto"/>
            </w:tcBorders>
          </w:tcPr>
          <w:p w:rsidR="0069252D" w:rsidRPr="00067958" w:rsidRDefault="00BC2534" w:rsidP="0069252D">
            <w:pPr>
              <w:rPr>
                <w:rFonts w:ascii="Cambria" w:eastAsia="Times New Roman" w:hAnsi="Cambria" w:cs="Times New Roman"/>
                <w:highlight w:val="yellow"/>
              </w:rPr>
            </w:pPr>
            <w:r w:rsidRPr="00067958">
              <w:rPr>
                <w:rFonts w:ascii="Cambria" w:eastAsia="Times New Roman" w:hAnsi="Cambria" w:cs="Times New Roman"/>
                <w:highlight w:val="yellow"/>
              </w:rPr>
              <w:t>2</w:t>
            </w:r>
            <w:r w:rsidR="0069252D" w:rsidRPr="00067958">
              <w:rPr>
                <w:rFonts w:ascii="Cambria" w:eastAsia="Times New Roman" w:hAnsi="Cambria" w:cs="Times New Roman"/>
                <w:highlight w:val="yellow"/>
              </w:rPr>
              <w:t>0/60</w:t>
            </w:r>
          </w:p>
        </w:tc>
        <w:tc>
          <w:tcPr>
            <w:tcW w:w="1386" w:type="dxa"/>
            <w:tcBorders>
              <w:top w:val="single" w:sz="4" w:space="0" w:color="auto"/>
              <w:left w:val="single" w:sz="4" w:space="0" w:color="auto"/>
              <w:bottom w:val="single" w:sz="4" w:space="0" w:color="auto"/>
              <w:right w:val="double" w:sz="4" w:space="0" w:color="auto"/>
            </w:tcBorders>
          </w:tcPr>
          <w:p w:rsidR="0069252D" w:rsidRPr="00067958" w:rsidRDefault="00BC2534" w:rsidP="0069252D">
            <w:pPr>
              <w:rPr>
                <w:rFonts w:ascii="Cambria" w:eastAsia="Times New Roman" w:hAnsi="Cambria" w:cs="Times New Roman"/>
                <w:highlight w:val="yellow"/>
              </w:rPr>
            </w:pPr>
            <w:r w:rsidRPr="00067958">
              <w:rPr>
                <w:rFonts w:ascii="Cambria" w:eastAsia="Times New Roman" w:hAnsi="Cambria" w:cs="Times New Roman"/>
                <w:highlight w:val="yellow"/>
              </w:rPr>
              <w:t>2</w:t>
            </w:r>
            <w:r w:rsidR="0069252D" w:rsidRPr="00067958">
              <w:rPr>
                <w:rFonts w:ascii="Cambria" w:eastAsia="Times New Roman" w:hAnsi="Cambria" w:cs="Times New Roman"/>
                <w:highlight w:val="yellow"/>
              </w:rPr>
              <w:t>0</w:t>
            </w:r>
          </w:p>
        </w:tc>
      </w:tr>
      <w:tr w:rsidR="0069252D" w:rsidRPr="0069252D" w:rsidTr="00183D96">
        <w:trPr>
          <w:cantSplit/>
          <w:trHeight w:val="576"/>
        </w:trPr>
        <w:tc>
          <w:tcPr>
            <w:tcW w:w="2052" w:type="dxa"/>
            <w:tcBorders>
              <w:top w:val="single" w:sz="4" w:space="0" w:color="auto"/>
              <w:left w:val="double" w:sz="4" w:space="0" w:color="auto"/>
              <w:bottom w:val="double" w:sz="4" w:space="0" w:color="auto"/>
              <w:right w:val="single" w:sz="4" w:space="0" w:color="auto"/>
            </w:tcBorders>
          </w:tcPr>
          <w:p w:rsidR="0069252D" w:rsidRPr="0069252D" w:rsidRDefault="0069252D" w:rsidP="0069252D">
            <w:pPr>
              <w:ind w:left="180"/>
              <w:rPr>
                <w:rFonts w:ascii="Cambria" w:eastAsia="Times New Roman" w:hAnsi="Cambria" w:cs="Times New Roman"/>
                <w:b/>
              </w:rPr>
            </w:pPr>
            <w:r w:rsidRPr="0069252D">
              <w:rPr>
                <w:rFonts w:ascii="Cambria" w:eastAsia="Times New Roman" w:hAnsi="Cambria" w:cs="Times New Roman"/>
                <w:b/>
              </w:rPr>
              <w:t>Total</w:t>
            </w:r>
          </w:p>
        </w:tc>
        <w:tc>
          <w:tcPr>
            <w:tcW w:w="1530" w:type="dxa"/>
            <w:tcBorders>
              <w:top w:val="single" w:sz="4" w:space="0" w:color="auto"/>
              <w:left w:val="single" w:sz="4" w:space="0" w:color="auto"/>
              <w:bottom w:val="double" w:sz="4" w:space="0" w:color="auto"/>
              <w:right w:val="single" w:sz="4" w:space="0" w:color="auto"/>
            </w:tcBorders>
          </w:tcPr>
          <w:p w:rsidR="0069252D" w:rsidRPr="0069252D" w:rsidRDefault="0069252D" w:rsidP="0069252D">
            <w:pPr>
              <w:ind w:left="72"/>
              <w:rPr>
                <w:rFonts w:ascii="Cambria" w:eastAsia="Times New Roman" w:hAnsi="Cambria" w:cs="Times New Roman"/>
                <w:b/>
              </w:rPr>
            </w:pPr>
            <w:r w:rsidRPr="0069252D">
              <w:rPr>
                <w:rFonts w:ascii="Cambria" w:eastAsia="Times New Roman" w:hAnsi="Cambria" w:cs="Times New Roman"/>
                <w:b/>
              </w:rPr>
              <w:t>1,</w:t>
            </w:r>
            <w:r w:rsidR="009268DF">
              <w:rPr>
                <w:rFonts w:ascii="Cambria" w:eastAsia="Times New Roman" w:hAnsi="Cambria" w:cs="Times New Roman"/>
                <w:b/>
              </w:rPr>
              <w:t>460</w:t>
            </w:r>
          </w:p>
        </w:tc>
        <w:tc>
          <w:tcPr>
            <w:tcW w:w="1386" w:type="dxa"/>
            <w:tcBorders>
              <w:top w:val="single" w:sz="4" w:space="0" w:color="auto"/>
              <w:left w:val="single" w:sz="4" w:space="0" w:color="auto"/>
              <w:bottom w:val="double" w:sz="4" w:space="0" w:color="auto"/>
              <w:right w:val="single" w:sz="4" w:space="0" w:color="auto"/>
            </w:tcBorders>
          </w:tcPr>
          <w:p w:rsidR="0069252D" w:rsidRPr="0069252D" w:rsidRDefault="0069252D" w:rsidP="0069252D">
            <w:pPr>
              <w:ind w:left="72"/>
              <w:rPr>
                <w:rFonts w:ascii="Cambria" w:eastAsia="Times New Roman" w:hAnsi="Cambria" w:cs="Times New Roman"/>
                <w:b/>
              </w:rPr>
            </w:pPr>
          </w:p>
        </w:tc>
        <w:tc>
          <w:tcPr>
            <w:tcW w:w="1854" w:type="dxa"/>
            <w:tcBorders>
              <w:top w:val="single" w:sz="4" w:space="0" w:color="auto"/>
              <w:left w:val="single" w:sz="4" w:space="0" w:color="auto"/>
              <w:bottom w:val="double" w:sz="4" w:space="0" w:color="auto"/>
              <w:right w:val="single" w:sz="4" w:space="0" w:color="auto"/>
            </w:tcBorders>
          </w:tcPr>
          <w:p w:rsidR="0069252D" w:rsidRPr="0069252D" w:rsidRDefault="0069252D" w:rsidP="0069252D">
            <w:pPr>
              <w:rPr>
                <w:rFonts w:ascii="Cambria" w:eastAsia="Times New Roman" w:hAnsi="Cambria" w:cs="Times New Roman"/>
                <w:b/>
              </w:rPr>
            </w:pPr>
          </w:p>
        </w:tc>
        <w:tc>
          <w:tcPr>
            <w:tcW w:w="1386" w:type="dxa"/>
            <w:tcBorders>
              <w:top w:val="single" w:sz="4" w:space="0" w:color="auto"/>
              <w:left w:val="single" w:sz="4" w:space="0" w:color="auto"/>
              <w:bottom w:val="double" w:sz="4" w:space="0" w:color="auto"/>
              <w:right w:val="double" w:sz="4" w:space="0" w:color="auto"/>
            </w:tcBorders>
          </w:tcPr>
          <w:p w:rsidR="0069252D" w:rsidRPr="0069252D" w:rsidRDefault="0069252D" w:rsidP="0069252D">
            <w:pPr>
              <w:rPr>
                <w:rFonts w:ascii="Cambria" w:eastAsia="Times New Roman" w:hAnsi="Cambria" w:cs="Times New Roman"/>
                <w:b/>
              </w:rPr>
            </w:pPr>
            <w:r w:rsidRPr="0069252D">
              <w:rPr>
                <w:rFonts w:ascii="Cambria" w:eastAsia="Times New Roman" w:hAnsi="Cambria" w:cs="Times New Roman"/>
                <w:b/>
              </w:rPr>
              <w:t>7</w:t>
            </w:r>
            <w:r w:rsidR="009268DF">
              <w:rPr>
                <w:rFonts w:ascii="Cambria" w:eastAsia="Times New Roman" w:hAnsi="Cambria" w:cs="Times New Roman"/>
                <w:b/>
              </w:rPr>
              <w:t>2</w:t>
            </w:r>
            <w:r w:rsidRPr="0069252D">
              <w:rPr>
                <w:rFonts w:ascii="Cambria" w:eastAsia="Times New Roman" w:hAnsi="Cambria" w:cs="Times New Roman"/>
                <w:b/>
              </w:rPr>
              <w:t>0 hours</w:t>
            </w:r>
          </w:p>
        </w:tc>
      </w:tr>
    </w:tbl>
    <w:p w:rsidR="0069252D" w:rsidRPr="0069252D" w:rsidRDefault="0069252D" w:rsidP="0069252D">
      <w:pPr>
        <w:rPr>
          <w:rFonts w:ascii="Calibri" w:eastAsia="Calibri" w:hAnsi="Calibri" w:cs="Arial"/>
          <w:color w:val="000000"/>
        </w:rPr>
      </w:pPr>
    </w:p>
    <w:p w:rsidR="0069252D" w:rsidRPr="0069252D" w:rsidRDefault="0069252D" w:rsidP="0069252D">
      <w:pPr>
        <w:rPr>
          <w:rFonts w:ascii="Calibri" w:eastAsia="Calibri" w:hAnsi="Calibri" w:cs="Times New Roman"/>
        </w:rPr>
      </w:pPr>
    </w:p>
    <w:p w:rsidR="0069252D" w:rsidRPr="0069252D" w:rsidRDefault="0069252D" w:rsidP="0069252D">
      <w:pPr>
        <w:rPr>
          <w:rFonts w:ascii="Calibri" w:eastAsia="Calibri" w:hAnsi="Calibri" w:cs="Times New Roman"/>
          <w:b/>
        </w:rPr>
      </w:pPr>
      <w:r w:rsidRPr="0069252D">
        <w:rPr>
          <w:rFonts w:ascii="Calibri" w:eastAsia="Calibri" w:hAnsi="Calibri" w:cs="Times New Roman"/>
          <w:b/>
        </w:rPr>
        <w:t>Attachments:</w:t>
      </w:r>
    </w:p>
    <w:p w:rsidR="0069252D" w:rsidRPr="00A47B7A" w:rsidRDefault="00FA03CB" w:rsidP="00A47B7A">
      <w:pPr>
        <w:numPr>
          <w:ilvl w:val="0"/>
          <w:numId w:val="1"/>
        </w:numPr>
        <w:contextualSpacing/>
        <w:rPr>
          <w:rFonts w:ascii="Calibri" w:eastAsia="Calibri" w:hAnsi="Calibri" w:cs="Times New Roman"/>
        </w:rPr>
      </w:pPr>
      <w:r>
        <w:rPr>
          <w:rFonts w:cstheme="minorHAnsi"/>
        </w:rPr>
        <w:t xml:space="preserve">A - </w:t>
      </w:r>
      <w:r w:rsidR="0069252D" w:rsidRPr="00A47B7A">
        <w:rPr>
          <w:rFonts w:ascii="Calibri" w:eastAsia="Calibri" w:hAnsi="Calibri" w:cs="Times New Roman"/>
        </w:rPr>
        <w:t>New simplified data collection form</w:t>
      </w:r>
    </w:p>
    <w:p w:rsidR="006B6117" w:rsidRPr="00A47B7A" w:rsidRDefault="00A47B7A" w:rsidP="00A47B7A">
      <w:pPr>
        <w:numPr>
          <w:ilvl w:val="0"/>
          <w:numId w:val="1"/>
        </w:numPr>
        <w:contextualSpacing/>
        <w:rPr>
          <w:rFonts w:ascii="Calibri" w:eastAsia="Calibri" w:hAnsi="Calibri" w:cs="Times New Roman"/>
        </w:rPr>
      </w:pPr>
      <w:r>
        <w:rPr>
          <w:rFonts w:ascii="Calibri" w:eastAsia="Calibri" w:hAnsi="Calibri" w:cs="Times New Roman"/>
        </w:rPr>
        <w:t>B</w:t>
      </w:r>
      <w:r w:rsidR="00FA03CB">
        <w:rPr>
          <w:rFonts w:ascii="Calibri" w:eastAsia="Calibri" w:hAnsi="Calibri" w:cs="Times New Roman"/>
        </w:rPr>
        <w:t xml:space="preserve"> - </w:t>
      </w:r>
      <w:r w:rsidR="0069252D" w:rsidRPr="0069252D">
        <w:rPr>
          <w:rFonts w:ascii="Calibri" w:eastAsia="Calibri" w:hAnsi="Calibri" w:cs="Times New Roman"/>
        </w:rPr>
        <w:t>Documentation of connection between questions on approved form and questions on new simplified form</w:t>
      </w:r>
      <w:bookmarkEnd w:id="0"/>
    </w:p>
    <w:sectPr w:rsidR="006B6117" w:rsidRPr="00A4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B95445"/>
    <w:multiLevelType w:val="hybridMultilevel"/>
    <w:tmpl w:val="410A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90"/>
    <w:rsid w:val="00067958"/>
    <w:rsid w:val="000B502C"/>
    <w:rsid w:val="001D41C9"/>
    <w:rsid w:val="002A7D15"/>
    <w:rsid w:val="0035227B"/>
    <w:rsid w:val="003B1063"/>
    <w:rsid w:val="003C02C9"/>
    <w:rsid w:val="003C304A"/>
    <w:rsid w:val="0049018E"/>
    <w:rsid w:val="00526AB9"/>
    <w:rsid w:val="00571AA5"/>
    <w:rsid w:val="005D6693"/>
    <w:rsid w:val="0065741A"/>
    <w:rsid w:val="0069252D"/>
    <w:rsid w:val="006B6117"/>
    <w:rsid w:val="008A615F"/>
    <w:rsid w:val="009268DF"/>
    <w:rsid w:val="009D38DA"/>
    <w:rsid w:val="00A47B7A"/>
    <w:rsid w:val="00A6444F"/>
    <w:rsid w:val="00AF6581"/>
    <w:rsid w:val="00B06A77"/>
    <w:rsid w:val="00BC2534"/>
    <w:rsid w:val="00CE0829"/>
    <w:rsid w:val="00DB0650"/>
    <w:rsid w:val="00E04C0A"/>
    <w:rsid w:val="00E7577C"/>
    <w:rsid w:val="00EE75E8"/>
    <w:rsid w:val="00F61F90"/>
    <w:rsid w:val="00F67A27"/>
    <w:rsid w:val="00FA03CB"/>
    <w:rsid w:val="00FA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650"/>
    <w:rPr>
      <w:color w:val="0563C1" w:themeColor="hyperlink"/>
      <w:u w:val="single"/>
    </w:rPr>
  </w:style>
  <w:style w:type="character" w:customStyle="1" w:styleId="UnresolvedMention">
    <w:name w:val="Unresolved Mention"/>
    <w:basedOn w:val="DefaultParagraphFont"/>
    <w:uiPriority w:val="99"/>
    <w:semiHidden/>
    <w:unhideWhenUsed/>
    <w:rsid w:val="00DB0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650"/>
    <w:rPr>
      <w:color w:val="0563C1" w:themeColor="hyperlink"/>
      <w:u w:val="single"/>
    </w:rPr>
  </w:style>
  <w:style w:type="character" w:customStyle="1" w:styleId="UnresolvedMention">
    <w:name w:val="Unresolved Mention"/>
    <w:basedOn w:val="DefaultParagraphFont"/>
    <w:uiPriority w:val="99"/>
    <w:semiHidden/>
    <w:unhideWhenUsed/>
    <w:rsid w:val="00DB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ationalacademies.org/hmd/reports/2016/Hearing-Health-Care-for-Adul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cd.nih.gov/research/workshops/accessible-and-affordable-hearing-health-care/20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Laura (NIH/NIDCD) [E]</dc:creator>
  <cp:keywords/>
  <dc:description/>
  <cp:lastModifiedBy>SYSTEM</cp:lastModifiedBy>
  <cp:revision>2</cp:revision>
  <dcterms:created xsi:type="dcterms:W3CDTF">2019-02-13T18:51:00Z</dcterms:created>
  <dcterms:modified xsi:type="dcterms:W3CDTF">2019-02-13T18:51:00Z</dcterms:modified>
</cp:coreProperties>
</file>