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1C5EC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9613449">
            <w:pPr>
              <w:rPr>
                <w:rFonts w:eastAsiaTheme="minorHAnsi"/>
                <w:sz w:val="22"/>
                <w:szCs w:val="22"/>
              </w:rPr>
            </w:pPr>
            <w:r>
              <w:rPr>
                <w:rFonts w:eastAsiaTheme="minorHAnsi"/>
                <w:sz w:val="22"/>
                <w:szCs w:val="22"/>
              </w:rPr>
              <w:t>[</w:t>
            </w:r>
            <w:r w:rsidR="009930A5">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12CDB02">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8EF1FE5">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0DA9DF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774D7AD">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6DEAD615">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3F567454">
            <w:pPr>
              <w:rPr>
                <w:rFonts w:eastAsiaTheme="minorHAnsi"/>
                <w:sz w:val="22"/>
                <w:szCs w:val="22"/>
              </w:rPr>
            </w:pPr>
            <w:r>
              <w:rPr>
                <w:rFonts w:eastAsiaTheme="minorHAnsi"/>
                <w:sz w:val="22"/>
                <w:szCs w:val="22"/>
              </w:rPr>
              <w:t xml:space="preserve">[ </w:t>
            </w:r>
            <w:r w:rsidR="00C06C93">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E85FB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3FFDC2C">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CAC9F97">
            <w:pPr>
              <w:widowControl w:val="0"/>
              <w:rPr>
                <w:sz w:val="22"/>
                <w:szCs w:val="22"/>
              </w:rPr>
            </w:pPr>
            <w:r>
              <w:rPr>
                <w:rFonts w:eastAsiaTheme="minorHAnsi"/>
                <w:sz w:val="22"/>
                <w:szCs w:val="22"/>
              </w:rPr>
              <w:t xml:space="preserve">[  ] Yes     [ </w:t>
            </w:r>
            <w:r w:rsidR="0024035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9AE5CDA">
            <w:pPr>
              <w:rPr>
                <w:sz w:val="22"/>
                <w:szCs w:val="22"/>
              </w:rPr>
            </w:pPr>
            <w:r w:rsidRPr="003C4F49">
              <w:rPr>
                <w:rFonts w:eastAsiaTheme="minorHAnsi"/>
                <w:sz w:val="22"/>
                <w:szCs w:val="22"/>
              </w:rPr>
              <w:t>[</w:t>
            </w:r>
            <w:r w:rsidR="0024035B">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Pr="00D75A5A" w:rsidR="00B46F2C" w:rsidP="00434E33" w:rsidRDefault="00CB16E4" w14:paraId="6D607A79" w14:textId="4949AD51">
      <w:r>
        <w:rPr>
          <w:b/>
        </w:rPr>
        <w:br/>
      </w:r>
      <w:r w:rsidR="003A4C87">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46A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F931C0">
        <w:t>Stakeholder Engagement and Feedback</w:t>
      </w:r>
      <w:r w:rsidR="00F931C0">
        <w:rPr>
          <w:noProof/>
        </w:rPr>
        <w:t xml:space="preserve"> </w:t>
      </w:r>
      <w:r w:rsidR="00D75A5A">
        <w:rPr>
          <w:noProof/>
        </w:rPr>
        <mc:AlternateContent>
          <mc:Choice Requires="wps">
            <w:drawing>
              <wp:anchor distT="0" distB="0" distL="114300" distR="114300" simplePos="0" relativeHeight="251663360" behindDoc="0" locked="0" layoutInCell="1" hidden="0" allowOverlap="1" wp14:editId="629F1C49" wp14:anchorId="1E70A60E">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2F35BDEE">
                <v:path fillok="f" arrowok="t" o:connecttype="none"/>
                <o:lock v:ext="edit" shapetype="t"/>
              </v:shapetype>
              <v:shape id="Straight Arrow Connector 6"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editId="45203B6C" wp14:anchorId="0D0CF503">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 id="Straight Arrow Connector 5"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w14:anchorId="77B1F4AE">
                <v:stroke startarrowwidth="narrow" startarrowlength="short" endarrowwidth="narrow" endarrowlength="short"/>
              </v:shape>
            </w:pict>
          </mc:Fallback>
        </mc:AlternateContent>
      </w:r>
      <w:r w:rsidR="00F931C0">
        <w:rPr>
          <w:noProof/>
        </w:rPr>
        <w:t>-</w:t>
      </w:r>
      <w:r>
        <w:t>Management of Acute and Chronic Pain</w:t>
      </w:r>
    </w:p>
    <w:p w:rsidR="00B46F2C" w:rsidRDefault="00B46F2C" w14:paraId="29476A1F" w14:textId="77777777"/>
    <w:p w:rsidR="00C06C93" w:rsidP="005E4948" w:rsidRDefault="00B46F2C" w14:paraId="1F61EC1C" w14:textId="407D0E2A">
      <w:pPr>
        <w:rPr>
          <w:szCs w:val="22"/>
        </w:rPr>
      </w:pPr>
      <w:r>
        <w:rPr>
          <w:b/>
        </w:rPr>
        <w:t>PURPOSE</w:t>
      </w:r>
      <w:r w:rsidRPr="009239AA">
        <w:rPr>
          <w:b/>
        </w:rPr>
        <w:t xml:space="preserve">: </w:t>
      </w:r>
      <w:r w:rsidRPr="005E7FC4" w:rsidR="005E7FC4">
        <w:t>In 2016,</w:t>
      </w:r>
      <w:r w:rsidR="005E7FC4">
        <w:rPr>
          <w:b/>
        </w:rPr>
        <w:t xml:space="preserve"> </w:t>
      </w:r>
      <w:r w:rsidR="00CC214B">
        <w:t xml:space="preserve">CDC developed and published the </w:t>
      </w:r>
      <w:hyperlink w:history="1" r:id="rId11">
        <w:r w:rsidR="00CC214B">
          <w:rPr>
            <w:rStyle w:val="Hyperlink"/>
            <w:rFonts w:eastAsiaTheme="minorEastAsia"/>
            <w:i/>
            <w:iCs/>
          </w:rPr>
          <w:t>CDC Guideline for Prescribing Opioids for Chronic Pain</w:t>
        </w:r>
      </w:hyperlink>
      <w:r w:rsidR="00CC214B">
        <w:t xml:space="preserve"> to provide recommendations for the prescribing of opioid pain medication for patients 18</w:t>
      </w:r>
      <w:r w:rsidR="00787EE4">
        <w:t xml:space="preserve"> years</w:t>
      </w:r>
      <w:r w:rsidR="00CC214B">
        <w:t xml:space="preserve"> and older in primary care settings. Improving the way opioids are prescribed through clinical practice guidelines can ensure patients have access to safer, more effective chronic pain treatment while reducing the number of people who misuse or overdose from these drugs.</w:t>
      </w:r>
      <w:r w:rsidRPr="00A845F5" w:rsidR="00CC214B">
        <w:rPr>
          <w:szCs w:val="22"/>
        </w:rPr>
        <w:t xml:space="preserve"> </w:t>
      </w:r>
      <w:r w:rsidRPr="009239AA">
        <w:rPr>
          <w:b/>
        </w:rPr>
        <w:t xml:space="preserve"> </w:t>
      </w:r>
      <w:r w:rsidRPr="00A845F5" w:rsidR="00CB16E4">
        <w:rPr>
          <w:szCs w:val="22"/>
        </w:rPr>
        <w:t>The purpose of this project</w:t>
      </w:r>
      <w:r w:rsidRPr="00A845F5" w:rsidR="00A845F5">
        <w:rPr>
          <w:szCs w:val="22"/>
        </w:rPr>
        <w:t xml:space="preserve"> is to</w:t>
      </w:r>
      <w:r w:rsidRPr="00A845F5" w:rsidR="00CB16E4">
        <w:rPr>
          <w:szCs w:val="22"/>
        </w:rPr>
        <w:t xml:space="preserve"> </w:t>
      </w:r>
      <w:r w:rsidRPr="00A845F5" w:rsidR="00A845F5">
        <w:rPr>
          <w:szCs w:val="22"/>
        </w:rPr>
        <w:t xml:space="preserve">inform CDC’s understanding of stakeholders’ values and preferences related to pain and pain management and will complement CDC’s ongoing work assessing the need for updating or expanding the </w:t>
      </w:r>
      <w:r w:rsidRPr="005E7FC4" w:rsidR="00A845F5">
        <w:rPr>
          <w:i/>
          <w:szCs w:val="22"/>
        </w:rPr>
        <w:t>CDC Guideline for Prescribing Opioids for Chronic Pain</w:t>
      </w:r>
      <w:r w:rsidR="00CC214B">
        <w:rPr>
          <w:szCs w:val="22"/>
        </w:rPr>
        <w:t>.</w:t>
      </w:r>
      <w:r w:rsidRPr="00A845F5" w:rsidR="00A845F5">
        <w:rPr>
          <w:szCs w:val="22"/>
        </w:rPr>
        <w:t xml:space="preserve"> </w:t>
      </w:r>
      <w:r w:rsidRPr="00A845F5" w:rsidR="005E4948">
        <w:rPr>
          <w:szCs w:val="22"/>
        </w:rPr>
        <w:t>This project is non-research; results are non-generalizable and will be used internally to improve service delivery around the CDC Guideline for Prescribing Opioids for Chronic Pain.</w:t>
      </w:r>
      <w:r w:rsidR="005E4948">
        <w:rPr>
          <w:szCs w:val="22"/>
        </w:rPr>
        <w:br/>
      </w:r>
      <w:r w:rsidR="005E4948">
        <w:rPr>
          <w:szCs w:val="22"/>
        </w:rPr>
        <w:br/>
      </w:r>
      <w:r w:rsidRPr="00A845F5" w:rsidR="00A845F5">
        <w:rPr>
          <w:szCs w:val="22"/>
        </w:rPr>
        <w:t xml:space="preserve">Specifically, CDC will gather perspectives on pain and pain management, including but not limited to the benefits and harms of opioid use, from patients with acute or chronic pain, patients’ family members </w:t>
      </w:r>
      <w:r w:rsidR="00A67FA7">
        <w:rPr>
          <w:szCs w:val="22"/>
        </w:rPr>
        <w:t>and/</w:t>
      </w:r>
      <w:r w:rsidRPr="00A845F5" w:rsidR="00A845F5">
        <w:rPr>
          <w:szCs w:val="22"/>
        </w:rPr>
        <w:t>or caregivers, and health care providers who care for patients with pain or conditions that can complicate pain management (e.g., opioid use disorder or overdose).</w:t>
      </w:r>
      <w:r w:rsidRPr="00A845F5" w:rsidR="00CB16E4">
        <w:rPr>
          <w:szCs w:val="22"/>
        </w:rPr>
        <w:t xml:space="preserve"> Project activities include up to 12 stakeholder sessions (up to 3 groups of up to 20 participants in each of the 4 geographic sites), and up to 120 individual conversations (up to 30 conversations in each of the 4 geographic sites). </w:t>
      </w:r>
      <w:r w:rsidR="00C06C93">
        <w:rPr>
          <w:szCs w:val="22"/>
        </w:rPr>
        <w:t xml:space="preserve">Those four geographic sites include </w:t>
      </w:r>
      <w:r w:rsidRPr="005E4948" w:rsidR="00C06C93">
        <w:t>(Birmingham, Alabama; Boise, Idaho; Jeffersonville, Indiana; and Pittsburgh, Pennsylvania</w:t>
      </w:r>
      <w:r w:rsidR="00C06C93">
        <w:rPr>
          <w:szCs w:val="22"/>
        </w:rPr>
        <w:t xml:space="preserve">. </w:t>
      </w:r>
    </w:p>
    <w:p w:rsidR="00C06C93" w:rsidP="005E4948" w:rsidRDefault="00C06C93" w14:paraId="788FCA81" w14:textId="77777777">
      <w:pPr>
        <w:rPr>
          <w:szCs w:val="22"/>
        </w:rPr>
      </w:pPr>
    </w:p>
    <w:p w:rsidR="005E4948" w:rsidP="005E4948" w:rsidRDefault="005E4948" w14:paraId="767A74ED" w14:textId="0AABB6C8">
      <w:pPr>
        <w:rPr>
          <w:szCs w:val="22"/>
        </w:rPr>
      </w:pPr>
      <w:r>
        <w:rPr>
          <w:szCs w:val="22"/>
        </w:rPr>
        <w:t xml:space="preserve">During the stakeholder sessions and individual conversations, CDC will invite input </w:t>
      </w:r>
      <w:r w:rsidRPr="005E4948">
        <w:rPr>
          <w:szCs w:val="22"/>
        </w:rPr>
        <w:t xml:space="preserve">specifically on topics focused on using or prescribing opioid pain medications, non-opioid medications, or non-pharmacological treatments (e.g., exercise therapy or cognitive behavioral therapy). These topics are: </w:t>
      </w:r>
    </w:p>
    <w:p w:rsidR="005E4948" w:rsidP="005E4948" w:rsidRDefault="005E4948" w14:paraId="6C63C303" w14:textId="272905B4">
      <w:pPr>
        <w:pStyle w:val="ListParagraph"/>
        <w:numPr>
          <w:ilvl w:val="0"/>
          <w:numId w:val="19"/>
        </w:numPr>
        <w:rPr>
          <w:szCs w:val="22"/>
        </w:rPr>
      </w:pPr>
      <w:r w:rsidRPr="005E4948">
        <w:rPr>
          <w:szCs w:val="22"/>
        </w:rPr>
        <w:t>Experiences managing pain, which might include benefits, risks, and/or harms of the pain management options listed above.</w:t>
      </w:r>
    </w:p>
    <w:p w:rsidRPr="005E4948" w:rsidR="005E4948" w:rsidP="005E4948" w:rsidRDefault="005E4948" w14:paraId="045952A9" w14:textId="77777777">
      <w:pPr>
        <w:pStyle w:val="ListParagraph"/>
        <w:numPr>
          <w:ilvl w:val="0"/>
          <w:numId w:val="19"/>
        </w:numPr>
      </w:pPr>
      <w:r w:rsidRPr="005E4948">
        <w:rPr>
          <w:szCs w:val="22"/>
        </w:rPr>
        <w:t xml:space="preserve">Experiences choosing among the pain management options listed above, including </w:t>
      </w:r>
      <w:r w:rsidRPr="005E4948">
        <w:t>considering factors such as each option’s accessibility, cost, benefits, and/or risks.</w:t>
      </w:r>
    </w:p>
    <w:p w:rsidRPr="005E4948" w:rsidR="005E4948" w:rsidP="00434E33" w:rsidRDefault="005E4948" w14:paraId="788BE1A0" w14:textId="77777777">
      <w:pPr>
        <w:pStyle w:val="ListParagraph"/>
        <w:numPr>
          <w:ilvl w:val="0"/>
          <w:numId w:val="19"/>
        </w:numPr>
      </w:pPr>
      <w:r w:rsidRPr="005E4948">
        <w:t xml:space="preserve">Experiences getting information needed to make pain management decisions. </w:t>
      </w:r>
    </w:p>
    <w:p w:rsidRPr="005E4948" w:rsidR="00B46F2C" w:rsidP="005E4948" w:rsidRDefault="005E4948" w14:paraId="53CD42CA" w14:textId="4ACFD08A">
      <w:pPr>
        <w:rPr>
          <w:szCs w:val="22"/>
        </w:rPr>
      </w:pPr>
      <w:r w:rsidRPr="005E4948">
        <w:t xml:space="preserve">Prior to summarizing and analyzing the input gathered through the </w:t>
      </w:r>
      <w:r>
        <w:t>i</w:t>
      </w:r>
      <w:r w:rsidRPr="005E4948">
        <w:t xml:space="preserve">ndividual </w:t>
      </w:r>
      <w:r>
        <w:t>c</w:t>
      </w:r>
      <w:r w:rsidRPr="005E4948">
        <w:t xml:space="preserve">onversations and </w:t>
      </w:r>
      <w:r>
        <w:t>s</w:t>
      </w:r>
      <w:r w:rsidRPr="005E4948">
        <w:t xml:space="preserve">takeholder </w:t>
      </w:r>
      <w:r>
        <w:t>s</w:t>
      </w:r>
      <w:r w:rsidRPr="005E4948">
        <w:t>essions, all personally-identifiable information that might have been provided</w:t>
      </w:r>
      <w:r>
        <w:t xml:space="preserve"> will be removed</w:t>
      </w:r>
      <w:r w:rsidRPr="005E4948">
        <w:t>.</w:t>
      </w:r>
      <w:r w:rsidRPr="005E4948" w:rsidR="00A845F5">
        <w:rPr>
          <w:rFonts w:ascii="Verdana" w:hAnsi="Verdana" w:cs="Courier New"/>
          <w:sz w:val="18"/>
          <w:szCs w:val="20"/>
        </w:rPr>
        <w:br/>
      </w:r>
    </w:p>
    <w:p w:rsidRPr="005E4948" w:rsidR="00B46F2C" w:rsidP="00D75A5A" w:rsidRDefault="00B46F2C" w14:paraId="54A2E4B0" w14:textId="18952AFD">
      <w:pPr>
        <w:widowControl w:val="0"/>
        <w:pBdr>
          <w:top w:val="nil"/>
          <w:left w:val="nil"/>
          <w:bottom w:val="nil"/>
          <w:right w:val="nil"/>
          <w:between w:val="nil"/>
        </w:pBdr>
        <w:tabs>
          <w:tab w:val="center" w:pos="4320"/>
          <w:tab w:val="right" w:pos="8640"/>
        </w:tabs>
        <w:rPr>
          <w:b/>
          <w:color w:val="000000"/>
        </w:rPr>
      </w:pPr>
      <w:r w:rsidRPr="00434E33">
        <w:rPr>
          <w:b/>
        </w:rPr>
        <w:t>DESCRIPTION OF RESPONDENTS</w:t>
      </w:r>
      <w:r w:rsidRPr="005E4948">
        <w:t xml:space="preserve">: </w:t>
      </w:r>
      <w:r w:rsidR="00B41972">
        <w:t xml:space="preserve">Respondents will include volunteers who self-identify as one or more of the following stakeholder groups: </w:t>
      </w:r>
      <w:r w:rsidRPr="00B41972" w:rsidR="00B41972">
        <w:t>patients with acute or chronic pain, patients’ family members</w:t>
      </w:r>
      <w:r w:rsidR="00A67FA7">
        <w:t xml:space="preserve"> and/</w:t>
      </w:r>
      <w:r w:rsidRPr="00B41972" w:rsidR="00B41972">
        <w:t>or caregivers, and health care providers who care for patients with pain or conditions that can complicate pain management (e.g., opioid use disorder or overdose)</w:t>
      </w:r>
      <w:r w:rsidR="00B41972">
        <w:t>.</w:t>
      </w:r>
      <w:r w:rsidR="00D60460">
        <w:t xml:space="preserve"> These are the groups primarily impacted by CDC’s prescribing guideline. </w:t>
      </w:r>
    </w:p>
    <w:p w:rsidRPr="005E4948"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218011AE">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493307FE">
      <w:pPr>
        <w:pStyle w:val="BodyTextIndent"/>
        <w:tabs>
          <w:tab w:val="left" w:pos="360"/>
        </w:tabs>
        <w:ind w:left="0"/>
        <w:rPr>
          <w:bCs/>
          <w:sz w:val="24"/>
        </w:rPr>
      </w:pPr>
      <w:r w:rsidRPr="00F06866">
        <w:rPr>
          <w:bCs/>
          <w:sz w:val="24"/>
        </w:rPr>
        <w:lastRenderedPageBreak/>
        <w:t>[ ] Usability</w:t>
      </w:r>
      <w:r>
        <w:rPr>
          <w:bCs/>
          <w:sz w:val="24"/>
        </w:rPr>
        <w:t xml:space="preserve"> Testing (e.g., Website or Software</w:t>
      </w:r>
      <w:r>
        <w:rPr>
          <w:bCs/>
          <w:sz w:val="24"/>
        </w:rPr>
        <w:tab/>
        <w:t xml:space="preserve">[ </w:t>
      </w:r>
      <w:r w:rsidR="005E4948">
        <w:rPr>
          <w:bCs/>
          <w:sz w:val="24"/>
        </w:rPr>
        <w:t>X</w:t>
      </w:r>
      <w:r>
        <w:rPr>
          <w:bCs/>
          <w:sz w:val="24"/>
        </w:rPr>
        <w:t>] Small Discussion Group</w:t>
      </w:r>
    </w:p>
    <w:p w:rsidRPr="00F06866" w:rsidR="00B46F2C" w:rsidP="0096108F" w:rsidRDefault="00B46F2C" w14:paraId="22FFEFCD" w14:textId="34D3D010">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5E4948">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5E4948">
        <w:rPr>
          <w:bCs/>
          <w:sz w:val="24"/>
          <w:u w:val="single"/>
        </w:rPr>
        <w:t xml:space="preserve">Individual Conversations </w:t>
      </w:r>
      <w:r w:rsidRPr="00F06866">
        <w:rPr>
          <w:bCs/>
          <w:sz w:val="24"/>
          <w:u w:val="single"/>
        </w:rPr>
        <w:t>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6D16063E">
      <w:r>
        <w:t>Name:_______________</w:t>
      </w:r>
      <w:r w:rsidR="005E4948">
        <w:t xml:space="preserve"> </w:t>
      </w:r>
      <w:r w:rsidR="001D48C6">
        <w:t>Karen Angel</w:t>
      </w:r>
      <w:r>
        <w:t>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1184A3A0">
      <w:pPr>
        <w:pStyle w:val="ListParagraph"/>
        <w:numPr>
          <w:ilvl w:val="0"/>
          <w:numId w:val="18"/>
        </w:numPr>
      </w:pPr>
      <w:r>
        <w:t>Is personally identifiable information (PII) collected?  [  ] Yes  [</w:t>
      </w:r>
      <w:r w:rsidR="00D75A5A">
        <w:t>X</w:t>
      </w:r>
      <w:r>
        <w:t xml:space="preserve"> ]  No </w:t>
      </w:r>
    </w:p>
    <w:p w:rsidR="00B46F2C" w:rsidP="00C86E91" w:rsidRDefault="00B46F2C" w14:paraId="059C2C9E" w14:textId="32FEC0DC">
      <w:pPr>
        <w:pStyle w:val="ListParagraph"/>
        <w:numPr>
          <w:ilvl w:val="0"/>
          <w:numId w:val="18"/>
        </w:numPr>
      </w:pPr>
      <w:r>
        <w:t xml:space="preserve">If Yes, is the information that will be collected included in records that are subject to the Privacy Act of 1974?   [  ] Yes [ </w:t>
      </w:r>
      <w:r w:rsidR="00D75A5A">
        <w:t>X</w:t>
      </w:r>
      <w:r>
        <w:t xml:space="preserve">] No   </w:t>
      </w:r>
    </w:p>
    <w:p w:rsidR="00B46F2C" w:rsidP="00C86E91" w:rsidRDefault="00B46F2C" w14:paraId="53684D4A" w14:textId="723991E8">
      <w:pPr>
        <w:pStyle w:val="ListParagraph"/>
        <w:numPr>
          <w:ilvl w:val="0"/>
          <w:numId w:val="18"/>
        </w:numPr>
      </w:pPr>
      <w:r>
        <w:t>If Applicable, has a System or Records Notice been published?  [  ] Yes  [</w:t>
      </w:r>
      <w:r w:rsidR="00D75A5A">
        <w:t>X</w:t>
      </w:r>
      <w:r>
        <w:t xml:space="preserve">  ] No</w:t>
      </w:r>
    </w:p>
    <w:p w:rsidR="00FC3E98" w:rsidP="00FC3E98" w:rsidRDefault="00FC3E98" w14:paraId="11ECEEA9" w14:textId="77777777">
      <w:pPr>
        <w:pStyle w:val="ListParagraph"/>
        <w:ind w:left="360"/>
      </w:pPr>
    </w:p>
    <w:p w:rsidRPr="00357ADA" w:rsidR="00FC3E98" w:rsidP="00FC3E98" w:rsidRDefault="00FC3E98" w14:paraId="7AB9BD48" w14:textId="1C45FAB1">
      <w:pPr>
        <w:pStyle w:val="ListParagraph"/>
        <w:ind w:left="360"/>
      </w:pPr>
      <w:r w:rsidRPr="00357ADA">
        <w:t>Privacy Act does not apply for this information collection request</w:t>
      </w:r>
      <w:r>
        <w:t xml:space="preserve"> </w:t>
      </w:r>
      <w:r w:rsidRPr="00357ADA">
        <w:t xml:space="preserve">(Attachment </w:t>
      </w:r>
      <w:r w:rsidR="00982293">
        <w:t>3</w:t>
      </w:r>
      <w:r>
        <w:t xml:space="preserve">). </w:t>
      </w:r>
      <w:r w:rsidRPr="005E4948">
        <w:t xml:space="preserve">Persons from the general public who are interested in participating in either </w:t>
      </w:r>
      <w:r w:rsidRPr="005E4948" w:rsidR="00982293">
        <w:t xml:space="preserve">an individual conversation </w:t>
      </w:r>
      <w:r w:rsidRPr="00357ADA" w:rsidR="00982293">
        <w:t xml:space="preserve">(Attachment </w:t>
      </w:r>
      <w:r w:rsidR="00982293">
        <w:t xml:space="preserve">1) </w:t>
      </w:r>
      <w:r w:rsidRPr="005E4948">
        <w:t xml:space="preserve">or </w:t>
      </w:r>
      <w:r w:rsidRPr="005E4948" w:rsidR="00982293">
        <w:t xml:space="preserve">a stakeholder session </w:t>
      </w:r>
      <w:r w:rsidRPr="00357ADA" w:rsidR="00B01938">
        <w:t xml:space="preserve">(Attachment </w:t>
      </w:r>
      <w:r w:rsidR="00982293">
        <w:t>2</w:t>
      </w:r>
      <w:r w:rsidR="00B01938">
        <w:t xml:space="preserve">) </w:t>
      </w:r>
      <w:r w:rsidRPr="005E4948">
        <w:t>will be directed to email CDC (</w:t>
      </w:r>
      <w:r>
        <w:t xml:space="preserve">a </w:t>
      </w:r>
      <w:r w:rsidRPr="005E4948">
        <w:t>specific email address will be posted in the Federal Register Notice)</w:t>
      </w:r>
      <w:r>
        <w:t xml:space="preserve">. </w:t>
      </w:r>
      <w:r w:rsidRPr="005E4948">
        <w:t>From among those people who express interest by the deadline posted in the Federal Register Notice, CDC will select names at random</w:t>
      </w:r>
      <w:r>
        <w:t>.</w:t>
      </w:r>
      <w:r w:rsidRPr="00004D0A">
        <w:t xml:space="preserve"> </w:t>
      </w:r>
      <w:r w:rsidRPr="00357ADA">
        <w:t xml:space="preserve">All data will be reported in aggregate unlinked form. </w:t>
      </w:r>
      <w:r w:rsidRPr="00004D0A">
        <w:t xml:space="preserve">All procedures have been developed, in accordance with federal, state, and local guidelines, to ensure </w:t>
      </w:r>
      <w:r w:rsidRPr="00357ADA">
        <w:t xml:space="preserve">that the rights and privacy of respondents will be protected and maintained. </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59F7741">
      <w:r>
        <w:t xml:space="preserve">Is an incentive (e.g., money or reimbursement of expenses, token of appreciation) provided to participants?  [  ] Yes [ </w:t>
      </w:r>
      <w:r w:rsidR="00D75A5A">
        <w:t>X</w:t>
      </w:r>
      <w:r>
        <w:t xml:space="preserve"> ]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rsidRDefault="00B46F2C" w14:paraId="5BFDF9FE" w14:textId="77777777">
      <w:pPr>
        <w:rPr>
          <w:b/>
        </w:rPr>
      </w:pPr>
    </w:p>
    <w:p w:rsidRPr="001612AF" w:rsidR="00B46F2C" w:rsidP="001612AF" w:rsidRDefault="00B46F2C" w14:paraId="0F6F775B" w14:textId="42D20DD0">
      <w:pPr>
        <w:rPr>
          <w:i/>
        </w:rPr>
      </w:pPr>
      <w:r>
        <w:rPr>
          <w:b/>
        </w:rPr>
        <w:t>BURDEN HOURS</w:t>
      </w:r>
      <w:r>
        <w:t xml:space="preserve"> </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085"/>
        <w:gridCol w:w="1575"/>
        <w:gridCol w:w="1575"/>
        <w:gridCol w:w="1125"/>
      </w:tblGrid>
      <w:tr w:rsidR="001612AF" w:rsidTr="006D6116" w14:paraId="3C1D3739" w14:textId="77777777">
        <w:trPr>
          <w:trHeight w:val="540"/>
        </w:trPr>
        <w:tc>
          <w:tcPr>
            <w:tcW w:w="5085" w:type="dxa"/>
          </w:tcPr>
          <w:p w:rsidR="001612AF" w:rsidP="006D6116" w:rsidRDefault="001612AF" w14:paraId="318CE377" w14:textId="77777777">
            <w:pPr>
              <w:rPr>
                <w:b/>
              </w:rPr>
            </w:pPr>
            <w:r>
              <w:rPr>
                <w:b/>
              </w:rPr>
              <w:t xml:space="preserve">Category of Respondent </w:t>
            </w:r>
          </w:p>
        </w:tc>
        <w:tc>
          <w:tcPr>
            <w:tcW w:w="1575" w:type="dxa"/>
          </w:tcPr>
          <w:p w:rsidR="001612AF" w:rsidP="006D6116" w:rsidRDefault="001612AF" w14:paraId="04FF0781" w14:textId="77777777">
            <w:pPr>
              <w:rPr>
                <w:b/>
              </w:rPr>
            </w:pPr>
            <w:r>
              <w:rPr>
                <w:b/>
              </w:rPr>
              <w:t>No. of Respondents</w:t>
            </w:r>
          </w:p>
        </w:tc>
        <w:tc>
          <w:tcPr>
            <w:tcW w:w="1575" w:type="dxa"/>
          </w:tcPr>
          <w:p w:rsidR="001612AF" w:rsidP="006D6116" w:rsidRDefault="001612AF" w14:paraId="46CF86FA" w14:textId="5C541C59">
            <w:pPr>
              <w:rPr>
                <w:b/>
              </w:rPr>
            </w:pPr>
            <w:r>
              <w:rPr>
                <w:b/>
              </w:rPr>
              <w:t>Participation Time</w:t>
            </w:r>
            <w:r w:rsidR="00D81D8B">
              <w:rPr>
                <w:b/>
              </w:rPr>
              <w:t xml:space="preserve"> (Hours)</w:t>
            </w:r>
          </w:p>
        </w:tc>
        <w:tc>
          <w:tcPr>
            <w:tcW w:w="1125" w:type="dxa"/>
          </w:tcPr>
          <w:p w:rsidR="00F13C71" w:rsidP="006D6116" w:rsidRDefault="00F13C71" w14:paraId="1770F54C" w14:textId="77777777">
            <w:pPr>
              <w:rPr>
                <w:b/>
              </w:rPr>
            </w:pPr>
            <w:r>
              <w:rPr>
                <w:b/>
              </w:rPr>
              <w:t xml:space="preserve">Total </w:t>
            </w:r>
            <w:r w:rsidR="001612AF">
              <w:rPr>
                <w:b/>
              </w:rPr>
              <w:t>Burden</w:t>
            </w:r>
          </w:p>
          <w:p w:rsidR="001612AF" w:rsidP="006D6116" w:rsidRDefault="00F13C71" w14:paraId="2279F79E" w14:textId="6EDFFCC7">
            <w:pPr>
              <w:rPr>
                <w:b/>
              </w:rPr>
            </w:pPr>
            <w:r>
              <w:rPr>
                <w:b/>
              </w:rPr>
              <w:t>(Hours)</w:t>
            </w:r>
          </w:p>
        </w:tc>
      </w:tr>
      <w:tr w:rsidR="001612AF" w:rsidTr="006D6116" w14:paraId="70D7882C" w14:textId="77777777">
        <w:tc>
          <w:tcPr>
            <w:tcW w:w="5085" w:type="dxa"/>
          </w:tcPr>
          <w:p w:rsidR="001612AF" w:rsidP="005D2AE5" w:rsidRDefault="005D2AE5" w14:paraId="47DC62D8" w14:textId="4A78D388">
            <w:bookmarkStart w:name="_GoBack" w:id="0"/>
            <w:bookmarkEnd w:id="0"/>
            <w:r w:rsidRPr="005D2AE5">
              <w:t>Patients with acute or chronic pain</w:t>
            </w:r>
            <w:r>
              <w:t xml:space="preserve">, </w:t>
            </w:r>
            <w:r w:rsidRPr="005D2AE5">
              <w:t>Patients’ family members and/or caregivers</w:t>
            </w:r>
            <w:r>
              <w:t xml:space="preserve"> and </w:t>
            </w:r>
            <w:r w:rsidRPr="005D2AE5">
              <w:t>Healthcare providers</w:t>
            </w:r>
            <w:r>
              <w:t xml:space="preserve"> </w:t>
            </w:r>
            <w:r>
              <w:t xml:space="preserve">- </w:t>
            </w:r>
            <w:r w:rsidR="00476014">
              <w:t>Individual conversations</w:t>
            </w:r>
            <w:r w:rsidR="00982293">
              <w:t xml:space="preserve"> (Att. 1)</w:t>
            </w:r>
          </w:p>
        </w:tc>
        <w:tc>
          <w:tcPr>
            <w:tcW w:w="1575" w:type="dxa"/>
          </w:tcPr>
          <w:p w:rsidR="001612AF" w:rsidP="006D6116" w:rsidRDefault="005D2AE5" w14:paraId="6CC8C9D7" w14:textId="1BB87AEB">
            <w:sdt>
              <w:sdtPr>
                <w:tag w:val="goog_rdk_1"/>
                <w:id w:val="1962609136"/>
              </w:sdtPr>
              <w:sdtEndPr/>
              <w:sdtContent>
                <w:r>
                  <w:t>120</w:t>
                </w:r>
              </w:sdtContent>
            </w:sdt>
          </w:p>
        </w:tc>
        <w:tc>
          <w:tcPr>
            <w:tcW w:w="1575" w:type="dxa"/>
          </w:tcPr>
          <w:p w:rsidR="001612AF" w:rsidP="006D6116" w:rsidRDefault="00F13C71" w14:paraId="6DF420FB" w14:textId="29033AA1">
            <w:r>
              <w:t>1.5</w:t>
            </w:r>
          </w:p>
        </w:tc>
        <w:tc>
          <w:tcPr>
            <w:tcW w:w="1125" w:type="dxa"/>
          </w:tcPr>
          <w:p w:rsidRPr="000B1668" w:rsidR="001612AF" w:rsidP="006D6116" w:rsidRDefault="005D2AE5" w14:paraId="49A24255" w14:textId="27A3D379">
            <w:pPr>
              <w:rPr>
                <w:color w:val="000000" w:themeColor="text1"/>
              </w:rPr>
            </w:pPr>
            <w:r>
              <w:rPr>
                <w:color w:val="000000" w:themeColor="text1"/>
              </w:rPr>
              <w:t>180</w:t>
            </w:r>
          </w:p>
        </w:tc>
      </w:tr>
      <w:tr w:rsidR="00476014" w:rsidTr="006D6116" w14:paraId="73831CC7" w14:textId="77777777">
        <w:tc>
          <w:tcPr>
            <w:tcW w:w="5085" w:type="dxa"/>
          </w:tcPr>
          <w:p w:rsidR="00476014" w:rsidP="005D2AE5" w:rsidRDefault="005D2AE5" w14:paraId="1328E973" w14:textId="392B3F3B">
            <w:r w:rsidRPr="005D2AE5">
              <w:lastRenderedPageBreak/>
              <w:t>Patients with acute or chronic pain</w:t>
            </w:r>
            <w:r>
              <w:t xml:space="preserve">, </w:t>
            </w:r>
            <w:r w:rsidRPr="005D2AE5">
              <w:t>Patients’ family members and/or caregivers</w:t>
            </w:r>
            <w:r>
              <w:t xml:space="preserve"> and </w:t>
            </w:r>
            <w:r w:rsidRPr="005D2AE5">
              <w:t>Healthcare providers</w:t>
            </w:r>
            <w:r>
              <w:t xml:space="preserve"> - </w:t>
            </w:r>
            <w:r w:rsidR="00476014">
              <w:t>Stakeholder sessions</w:t>
            </w:r>
            <w:r w:rsidR="00982293">
              <w:t xml:space="preserve"> (Att. 2)</w:t>
            </w:r>
          </w:p>
        </w:tc>
        <w:tc>
          <w:tcPr>
            <w:tcW w:w="1575" w:type="dxa"/>
          </w:tcPr>
          <w:p w:rsidR="00476014" w:rsidP="006D6116" w:rsidRDefault="005D2AE5" w14:paraId="23908FC2" w14:textId="3007695A">
            <w:r>
              <w:t>240</w:t>
            </w:r>
          </w:p>
        </w:tc>
        <w:tc>
          <w:tcPr>
            <w:tcW w:w="1575" w:type="dxa"/>
          </w:tcPr>
          <w:p w:rsidR="00476014" w:rsidP="006D6116" w:rsidRDefault="00D81D8B" w14:paraId="7BE7DB0B" w14:textId="4ED0F1C4">
            <w:r>
              <w:t>2</w:t>
            </w:r>
          </w:p>
        </w:tc>
        <w:tc>
          <w:tcPr>
            <w:tcW w:w="1125" w:type="dxa"/>
          </w:tcPr>
          <w:p w:rsidR="00476014" w:rsidP="006D6116" w:rsidRDefault="005D2AE5" w14:paraId="08CB1F79" w14:textId="0D9EB6F0">
            <w:pPr>
              <w:rPr>
                <w:color w:val="000000" w:themeColor="text1"/>
              </w:rPr>
            </w:pPr>
            <w:r>
              <w:rPr>
                <w:color w:val="000000" w:themeColor="text1"/>
              </w:rPr>
              <w:t>480</w:t>
            </w:r>
          </w:p>
        </w:tc>
      </w:tr>
      <w:tr w:rsidR="001612AF" w:rsidTr="006D6116" w14:paraId="5C77FA5A" w14:textId="77777777">
        <w:tc>
          <w:tcPr>
            <w:tcW w:w="5085" w:type="dxa"/>
            <w:shd w:val="clear" w:color="auto" w:fill="auto"/>
            <w:tcMar>
              <w:top w:w="100" w:type="dxa"/>
              <w:left w:w="100" w:type="dxa"/>
              <w:bottom w:w="100" w:type="dxa"/>
              <w:right w:w="100" w:type="dxa"/>
            </w:tcMar>
          </w:tcPr>
          <w:p w:rsidR="001612AF" w:rsidP="006D6116" w:rsidRDefault="001612AF" w14:paraId="27B3AD7E" w14:textId="77777777">
            <w:r>
              <w:rPr>
                <w:b/>
              </w:rPr>
              <w:t>Totals</w:t>
            </w:r>
          </w:p>
        </w:tc>
        <w:tc>
          <w:tcPr>
            <w:tcW w:w="1575" w:type="dxa"/>
            <w:shd w:val="clear" w:color="auto" w:fill="auto"/>
            <w:tcMar>
              <w:top w:w="100" w:type="dxa"/>
              <w:left w:w="100" w:type="dxa"/>
              <w:bottom w:w="100" w:type="dxa"/>
              <w:right w:w="100" w:type="dxa"/>
            </w:tcMar>
          </w:tcPr>
          <w:p w:rsidRPr="000B1668" w:rsidR="001612AF" w:rsidP="006D6116" w:rsidRDefault="001612AF" w14:paraId="33137106" w14:textId="434962C1">
            <w:pPr>
              <w:widowControl w:val="0"/>
              <w:pBdr>
                <w:top w:val="nil"/>
                <w:left w:val="nil"/>
                <w:bottom w:val="nil"/>
                <w:right w:val="nil"/>
                <w:between w:val="nil"/>
              </w:pBdr>
              <w:rPr>
                <w:color w:val="000000" w:themeColor="text1"/>
              </w:rPr>
            </w:pPr>
          </w:p>
        </w:tc>
        <w:tc>
          <w:tcPr>
            <w:tcW w:w="1575" w:type="dxa"/>
            <w:shd w:val="clear" w:color="auto" w:fill="auto"/>
            <w:tcMar>
              <w:top w:w="100" w:type="dxa"/>
              <w:left w:w="100" w:type="dxa"/>
              <w:bottom w:w="100" w:type="dxa"/>
              <w:right w:w="100" w:type="dxa"/>
            </w:tcMar>
          </w:tcPr>
          <w:p w:rsidR="001612AF" w:rsidP="006D6116" w:rsidRDefault="001612AF" w14:paraId="0BE3BA24" w14:textId="3A0A80F0">
            <w:pPr>
              <w:widowControl w:val="0"/>
              <w:pBdr>
                <w:top w:val="nil"/>
                <w:left w:val="nil"/>
                <w:bottom w:val="nil"/>
                <w:right w:val="nil"/>
                <w:between w:val="nil"/>
              </w:pBdr>
            </w:pPr>
          </w:p>
        </w:tc>
        <w:tc>
          <w:tcPr>
            <w:tcW w:w="1125" w:type="dxa"/>
            <w:shd w:val="clear" w:color="auto" w:fill="auto"/>
            <w:tcMar>
              <w:top w:w="100" w:type="dxa"/>
              <w:left w:w="100" w:type="dxa"/>
              <w:bottom w:w="100" w:type="dxa"/>
              <w:right w:w="100" w:type="dxa"/>
            </w:tcMar>
          </w:tcPr>
          <w:p w:rsidRPr="006567F7" w:rsidR="001612AF" w:rsidP="006D6116" w:rsidRDefault="00F2535F" w14:paraId="3A68AB14" w14:textId="6269B7C4">
            <w:pPr>
              <w:widowControl w:val="0"/>
              <w:pBdr>
                <w:top w:val="nil"/>
                <w:left w:val="nil"/>
                <w:bottom w:val="nil"/>
                <w:right w:val="nil"/>
                <w:between w:val="nil"/>
              </w:pBdr>
              <w:rPr>
                <w:color w:val="000000" w:themeColor="text1"/>
              </w:rPr>
            </w:pPr>
            <w:r>
              <w:rPr>
                <w:color w:val="000000" w:themeColor="text1"/>
              </w:rPr>
              <w:t>6</w:t>
            </w:r>
            <w:r w:rsidR="00F13C71">
              <w:rPr>
                <w:color w:val="000000" w:themeColor="text1"/>
              </w:rPr>
              <w:t>60</w:t>
            </w:r>
          </w:p>
        </w:tc>
      </w:tr>
    </w:tbl>
    <w:p w:rsidR="00B46F2C" w:rsidP="00F3170F" w:rsidRDefault="00B46F2C" w14:paraId="1AB33144" w14:textId="77777777"/>
    <w:p w:rsidR="00B46F2C" w:rsidRDefault="00B46F2C" w14:paraId="6775AEDB" w14:textId="56B7F0FF">
      <w:pPr>
        <w:rPr>
          <w:b/>
        </w:rPr>
      </w:pPr>
      <w:r>
        <w:rPr>
          <w:b/>
        </w:rPr>
        <w:t xml:space="preserve">FEDERAL COST:  </w:t>
      </w:r>
      <w:r>
        <w:t xml:space="preserve">The estimated annual cost to the Federal government is </w:t>
      </w:r>
      <w:r w:rsidR="00C91EF6">
        <w:t>2,120</w:t>
      </w:r>
      <w:r w:rsidR="001612AF">
        <w:t xml:space="preserve">. </w:t>
      </w:r>
    </w:p>
    <w:p w:rsidR="00B46F2C" w:rsidRDefault="00B46F2C" w14:paraId="28C1E765" w14:textId="77777777">
      <w:pPr>
        <w:rPr>
          <w:b/>
          <w:bCs/>
          <w:u w:val="single"/>
        </w:rPr>
      </w:pPr>
    </w:p>
    <w:p w:rsidR="00B46F2C" w:rsidP="00F06866" w:rsidRDefault="00B46F2C" w14:paraId="31D6CD62" w14:textId="517F7181">
      <w:pPr>
        <w:rPr>
          <w:b/>
        </w:rPr>
      </w:pPr>
      <w:r>
        <w:rPr>
          <w:b/>
          <w:bCs/>
          <w:u w:val="single"/>
        </w:rPr>
        <w:t xml:space="preserve">If you are conducting a focus group, survey, or plan to employ statistical methods, </w:t>
      </w:r>
      <w:r w:rsidR="00D81D8B">
        <w:rPr>
          <w:b/>
          <w:bCs/>
          <w:u w:val="single"/>
        </w:rPr>
        <w:t>please provide</w:t>
      </w:r>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799BB6D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6D7F5E">
        <w:t>X</w:t>
      </w:r>
      <w:r>
        <w:t xml:space="preserve">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07FE33B">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053D14F2" w14:textId="13593878"/>
    <w:p w:rsidRPr="005E4948" w:rsidR="006D7F5E" w:rsidP="006D7F5E" w:rsidRDefault="006D7F5E" w14:paraId="2A3C1DA1" w14:textId="502EA831">
      <w:pPr>
        <w:widowControl w:val="0"/>
        <w:pBdr>
          <w:top w:val="nil"/>
          <w:left w:val="nil"/>
          <w:bottom w:val="nil"/>
          <w:right w:val="nil"/>
          <w:between w:val="nil"/>
        </w:pBdr>
        <w:tabs>
          <w:tab w:val="center" w:pos="4320"/>
          <w:tab w:val="right" w:pos="8640"/>
        </w:tabs>
        <w:rPr>
          <w:b/>
          <w:color w:val="000000"/>
        </w:rPr>
      </w:pPr>
      <w:r w:rsidRPr="005E4948">
        <w:t>Persons from the general public who are interested in participating in either a stakeholder session or an individual conversation will be directed to email CDC (specific email address will be posted in the Federal Register Notice)</w:t>
      </w:r>
      <w:r>
        <w:t xml:space="preserve"> expressing their interest and providing additional information (e.g., contact information, preferred geographic site, preferred engagement type, self-identified stakeholder group)</w:t>
      </w:r>
      <w:r w:rsidRPr="005E4948">
        <w:t>. From among those people who express interest by the deadline posted in the Federal Register Notice, CDC will select names at random from within three</w:t>
      </w:r>
      <w:r>
        <w:t xml:space="preserve"> self-identified</w:t>
      </w:r>
      <w:r w:rsidRPr="005E4948">
        <w:t xml:space="preserve"> stakeholder groups: </w:t>
      </w:r>
      <w:r w:rsidRPr="00D60460" w:rsidR="00D60460">
        <w:t xml:space="preserve">patients with acute or chronic pain who have experienced benefits or harms of opioid pain medication use, </w:t>
      </w:r>
      <w:r w:rsidR="0039734D">
        <w:t>patients’</w:t>
      </w:r>
      <w:r w:rsidR="00787EE4">
        <w:t xml:space="preserve"> </w:t>
      </w:r>
      <w:r w:rsidRPr="00D60460" w:rsidR="00D60460">
        <w:t xml:space="preserve">family members </w:t>
      </w:r>
      <w:r w:rsidR="00A67FA7">
        <w:t>and/</w:t>
      </w:r>
      <w:r w:rsidRPr="00D60460" w:rsidR="00D60460">
        <w:t>or caregivers, and health care providers who care for patients with pain or conditions that can complicate pain management</w:t>
      </w:r>
      <w:r w:rsidRPr="005E4948">
        <w:t>. Participants will need to live in or travel to one of the four geographic sites (Birmingham, Alabama; Boise, Idaho; Jeffersonville, Indiana; and Pittsburgh, Pennsylvania) in order to participate. The participants in the stakeholder sessions</w:t>
      </w:r>
      <w:r w:rsidR="00B01938">
        <w:t xml:space="preserve"> </w:t>
      </w:r>
      <w:r w:rsidRPr="005E4948">
        <w:t>will be different from the participants in the individual conversations (i.e., one person cannot participate in both).</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4279B7A2">
      <w:pPr>
        <w:ind w:left="720"/>
      </w:pPr>
      <w:r>
        <w:t>[</w:t>
      </w:r>
      <w:r w:rsidR="00B41972">
        <w:t xml:space="preserve"> </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1132256D">
      <w:pPr>
        <w:ind w:left="720"/>
      </w:pPr>
      <w:r>
        <w:t>[</w:t>
      </w:r>
      <w:r w:rsidR="00B41972">
        <w:t>X</w:t>
      </w:r>
      <w:r>
        <w:t xml:space="preserve">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5F07B9A1">
      <w:pPr>
        <w:pStyle w:val="ListParagraph"/>
        <w:numPr>
          <w:ilvl w:val="0"/>
          <w:numId w:val="17"/>
        </w:numPr>
      </w:pPr>
      <w:r>
        <w:t>Will interviewers or facilitators be used?  [</w:t>
      </w:r>
      <w:r w:rsidR="00B41972">
        <w:t>X</w:t>
      </w:r>
      <w:r>
        <w:t>] Yes [  ] No</w:t>
      </w:r>
    </w:p>
    <w:p w:rsidR="00B46F2C" w:rsidP="00F24CFC" w:rsidRDefault="00B46F2C" w14:paraId="1BB31248" w14:textId="77777777">
      <w:pPr>
        <w:pStyle w:val="ListParagraph"/>
        <w:ind w:left="360"/>
      </w:pPr>
      <w:r>
        <w:t xml:space="preserve"> </w:t>
      </w:r>
    </w:p>
    <w:p w:rsidRPr="00F24CFC" w:rsidR="003A4C87" w:rsidP="0024521E" w:rsidRDefault="00B46F2C" w14:paraId="557FB116" w14:textId="242FFEA7">
      <w:pPr>
        <w:rPr>
          <w:b/>
        </w:rPr>
      </w:pPr>
      <w:r w:rsidRPr="00F24CFC">
        <w:rPr>
          <w:b/>
        </w:rPr>
        <w:t>Please make sure that all instruments, instructions, and scripts are submitted with the request.</w:t>
      </w:r>
    </w:p>
    <w:sectPr w:rsidRPr="00F24CFC" w:rsidR="003A4C87"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BD3C2" w14:textId="77777777" w:rsidR="00CB0B7D" w:rsidRDefault="00CB0B7D">
      <w:r>
        <w:separator/>
      </w:r>
    </w:p>
  </w:endnote>
  <w:endnote w:type="continuationSeparator" w:id="0">
    <w:p w14:paraId="1DD835C3" w14:textId="77777777" w:rsidR="00CB0B7D" w:rsidRDefault="00CB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BAF9" w14:textId="77777777" w:rsidR="00CB0B7D" w:rsidRDefault="00CB0B7D">
      <w:r>
        <w:separator/>
      </w:r>
    </w:p>
  </w:footnote>
  <w:footnote w:type="continuationSeparator" w:id="0">
    <w:p w14:paraId="2DA1930A" w14:textId="77777777" w:rsidR="00CB0B7D" w:rsidRDefault="00CB0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2E324FD"/>
    <w:multiLevelType w:val="hybridMultilevel"/>
    <w:tmpl w:val="4ACE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634C"/>
    <w:rsid w:val="00067329"/>
    <w:rsid w:val="000B2838"/>
    <w:rsid w:val="000D44CA"/>
    <w:rsid w:val="000E200B"/>
    <w:rsid w:val="000F68BE"/>
    <w:rsid w:val="000F6D85"/>
    <w:rsid w:val="00145293"/>
    <w:rsid w:val="00146B20"/>
    <w:rsid w:val="001612AF"/>
    <w:rsid w:val="00170D16"/>
    <w:rsid w:val="001819B2"/>
    <w:rsid w:val="001920EE"/>
    <w:rsid w:val="001927A4"/>
    <w:rsid w:val="00194AC6"/>
    <w:rsid w:val="001A23B0"/>
    <w:rsid w:val="001A25CC"/>
    <w:rsid w:val="001B0AAA"/>
    <w:rsid w:val="001C39F7"/>
    <w:rsid w:val="001D48C6"/>
    <w:rsid w:val="00237B48"/>
    <w:rsid w:val="0024035B"/>
    <w:rsid w:val="0024521E"/>
    <w:rsid w:val="00263C3D"/>
    <w:rsid w:val="00265236"/>
    <w:rsid w:val="00274D0B"/>
    <w:rsid w:val="002821FF"/>
    <w:rsid w:val="00291893"/>
    <w:rsid w:val="002B3C95"/>
    <w:rsid w:val="002D0B92"/>
    <w:rsid w:val="002E52CD"/>
    <w:rsid w:val="003675DB"/>
    <w:rsid w:val="003859BC"/>
    <w:rsid w:val="00391BB4"/>
    <w:rsid w:val="0039734D"/>
    <w:rsid w:val="003A4C87"/>
    <w:rsid w:val="003C4F49"/>
    <w:rsid w:val="003D5BBE"/>
    <w:rsid w:val="003E05AC"/>
    <w:rsid w:val="003E3C61"/>
    <w:rsid w:val="003F1C5B"/>
    <w:rsid w:val="0040417A"/>
    <w:rsid w:val="0041337D"/>
    <w:rsid w:val="00434E33"/>
    <w:rsid w:val="00441434"/>
    <w:rsid w:val="00443C35"/>
    <w:rsid w:val="00450CC2"/>
    <w:rsid w:val="0045264C"/>
    <w:rsid w:val="00476014"/>
    <w:rsid w:val="004876EC"/>
    <w:rsid w:val="004A52CE"/>
    <w:rsid w:val="004D6E14"/>
    <w:rsid w:val="004E1C18"/>
    <w:rsid w:val="005009B0"/>
    <w:rsid w:val="00512CA7"/>
    <w:rsid w:val="005A1006"/>
    <w:rsid w:val="005A1ED9"/>
    <w:rsid w:val="005D2AE5"/>
    <w:rsid w:val="005D51C8"/>
    <w:rsid w:val="005E4948"/>
    <w:rsid w:val="005E714A"/>
    <w:rsid w:val="005E7FC4"/>
    <w:rsid w:val="006140A0"/>
    <w:rsid w:val="00621E79"/>
    <w:rsid w:val="00636621"/>
    <w:rsid w:val="00642B49"/>
    <w:rsid w:val="00655F9E"/>
    <w:rsid w:val="00660A3F"/>
    <w:rsid w:val="006832D9"/>
    <w:rsid w:val="0069403B"/>
    <w:rsid w:val="006C11EF"/>
    <w:rsid w:val="006D7F5E"/>
    <w:rsid w:val="006F3DDE"/>
    <w:rsid w:val="00704678"/>
    <w:rsid w:val="007425E7"/>
    <w:rsid w:val="00787EE4"/>
    <w:rsid w:val="007B05B4"/>
    <w:rsid w:val="00802607"/>
    <w:rsid w:val="008101A5"/>
    <w:rsid w:val="00822664"/>
    <w:rsid w:val="00843796"/>
    <w:rsid w:val="008806F1"/>
    <w:rsid w:val="00895229"/>
    <w:rsid w:val="008E6AFD"/>
    <w:rsid w:val="008F0203"/>
    <w:rsid w:val="008F50D4"/>
    <w:rsid w:val="009239AA"/>
    <w:rsid w:val="00935927"/>
    <w:rsid w:val="00935ADA"/>
    <w:rsid w:val="00946B6C"/>
    <w:rsid w:val="00955A71"/>
    <w:rsid w:val="0096108F"/>
    <w:rsid w:val="00982293"/>
    <w:rsid w:val="009930A5"/>
    <w:rsid w:val="009C13B9"/>
    <w:rsid w:val="009D01A2"/>
    <w:rsid w:val="009F5923"/>
    <w:rsid w:val="00A403BB"/>
    <w:rsid w:val="00A674DF"/>
    <w:rsid w:val="00A67FA7"/>
    <w:rsid w:val="00A83AA6"/>
    <w:rsid w:val="00A845F5"/>
    <w:rsid w:val="00AD3D72"/>
    <w:rsid w:val="00AE1809"/>
    <w:rsid w:val="00B01938"/>
    <w:rsid w:val="00B41972"/>
    <w:rsid w:val="00B46F2C"/>
    <w:rsid w:val="00B76F71"/>
    <w:rsid w:val="00B80D76"/>
    <w:rsid w:val="00B876F2"/>
    <w:rsid w:val="00BA2105"/>
    <w:rsid w:val="00BA7E06"/>
    <w:rsid w:val="00BB43B5"/>
    <w:rsid w:val="00BB6219"/>
    <w:rsid w:val="00BD290F"/>
    <w:rsid w:val="00C008AA"/>
    <w:rsid w:val="00C06C93"/>
    <w:rsid w:val="00C14CC4"/>
    <w:rsid w:val="00C3263D"/>
    <w:rsid w:val="00C33C52"/>
    <w:rsid w:val="00C40D8B"/>
    <w:rsid w:val="00C809B5"/>
    <w:rsid w:val="00C8407A"/>
    <w:rsid w:val="00C8488C"/>
    <w:rsid w:val="00C86E91"/>
    <w:rsid w:val="00C91EF6"/>
    <w:rsid w:val="00C9606B"/>
    <w:rsid w:val="00CA2650"/>
    <w:rsid w:val="00CB0B7D"/>
    <w:rsid w:val="00CB1078"/>
    <w:rsid w:val="00CB16E4"/>
    <w:rsid w:val="00CC214B"/>
    <w:rsid w:val="00CC6FAF"/>
    <w:rsid w:val="00CE7721"/>
    <w:rsid w:val="00CF03AE"/>
    <w:rsid w:val="00D24698"/>
    <w:rsid w:val="00D60460"/>
    <w:rsid w:val="00D6383F"/>
    <w:rsid w:val="00D71221"/>
    <w:rsid w:val="00D75A5A"/>
    <w:rsid w:val="00D81D8B"/>
    <w:rsid w:val="00DB59D0"/>
    <w:rsid w:val="00DC33D3"/>
    <w:rsid w:val="00DD15C3"/>
    <w:rsid w:val="00DF2869"/>
    <w:rsid w:val="00E02391"/>
    <w:rsid w:val="00E252F3"/>
    <w:rsid w:val="00E25411"/>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3C71"/>
    <w:rsid w:val="00F15956"/>
    <w:rsid w:val="00F24CFC"/>
    <w:rsid w:val="00F2535F"/>
    <w:rsid w:val="00F3170F"/>
    <w:rsid w:val="00F3472B"/>
    <w:rsid w:val="00F4017B"/>
    <w:rsid w:val="00F54F1F"/>
    <w:rsid w:val="00F6098D"/>
    <w:rsid w:val="00F60CA9"/>
    <w:rsid w:val="00F931C0"/>
    <w:rsid w:val="00F976B0"/>
    <w:rsid w:val="00FA6DE7"/>
    <w:rsid w:val="00FC0A8E"/>
    <w:rsid w:val="00FC3E98"/>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character" w:styleId="Emphasis">
    <w:name w:val="Emphasis"/>
    <w:basedOn w:val="DefaultParagraphFont"/>
    <w:uiPriority w:val="20"/>
    <w:qFormat/>
    <w:locked/>
    <w:rsid w:val="00CC214B"/>
    <w:rPr>
      <w:i/>
      <w:iCs/>
    </w:rPr>
  </w:style>
  <w:style w:type="character" w:styleId="FollowedHyperlink">
    <w:name w:val="FollowedHyperlink"/>
    <w:basedOn w:val="DefaultParagraphFont"/>
    <w:uiPriority w:val="99"/>
    <w:semiHidden/>
    <w:unhideWhenUsed/>
    <w:rsid w:val="003973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mmwr/volumes/65/rr/rr6501e1er.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32e9042a27a91fd5ddaabea2df16ae9c">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eb680d4fab9f11738afb476b96c4c62"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E131-3164-4662-9641-EDB10E8F089C}">
  <ds:schemaRefs>
    <ds:schemaRef ds:uri="http://schemas.microsoft.com/sharepoint/v3/contenttype/forms"/>
  </ds:schemaRefs>
</ds:datastoreItem>
</file>

<file path=customXml/itemProps2.xml><?xml version="1.0" encoding="utf-8"?>
<ds:datastoreItem xmlns:ds="http://schemas.openxmlformats.org/officeDocument/2006/customXml" ds:itemID="{C750C1E1-CA4F-411E-89C3-2BFFD9B5625C}">
  <ds:schemaRefs>
    <ds:schemaRef ds:uri="http://purl.org/dc/elements/1.1/"/>
    <ds:schemaRef ds:uri="http://schemas.microsoft.com/sharepoint/v3"/>
    <ds:schemaRef ds:uri="http://schemas.microsoft.com/office/2006/metadata/properties"/>
    <ds:schemaRef ds:uri="http://purl.org/dc/terms/"/>
    <ds:schemaRef ds:uri="0c96800b-b425-4f1f-a293-d10a6021442d"/>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3b77f1f-da53-454b-89e0-50f1aaf16bdf"/>
    <ds:schemaRef ds:uri="http://purl.org/dc/dcmitype/"/>
  </ds:schemaRefs>
</ds:datastoreItem>
</file>

<file path=customXml/itemProps3.xml><?xml version="1.0" encoding="utf-8"?>
<ds:datastoreItem xmlns:ds="http://schemas.openxmlformats.org/officeDocument/2006/customXml" ds:itemID="{F840DB01-5D40-4E4D-99F0-EA17132EC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83F75-8EB7-40A3-AB1A-9E478D45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1645</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9</cp:revision>
  <cp:lastPrinted>2019-03-29T13:58:00Z</cp:lastPrinted>
  <dcterms:created xsi:type="dcterms:W3CDTF">2020-02-19T19:29:00Z</dcterms:created>
  <dcterms:modified xsi:type="dcterms:W3CDTF">2020-02-24T19:29:00Z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0x01010053FF0E117DAFE54CBE067C431C77F64B</vt:lpwstr>
  </property>
  <property fmtid="{D5CDD505-2E9C-101B-9397-08002B2CF9AE}" pid="4" name="_dlc_DocIdItemGuid">
    <vt:lpwstr>aa2b5423-a490-4fed-b7e1-48e84837fcd2</vt:lpwstr>
  </property>
  <property fmtid="{D5CDD505-2E9C-101B-9397-08002B2CF9AE}" pid="5" name="Order0">
    <vt:r8>4</vt:r8>
  </property>
</Properties>
</file>