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689D7" w14:textId="77777777" w:rsidR="00D24067" w:rsidRDefault="00D24067" w:rsidP="00D24067">
      <w:pPr>
        <w:jc w:val="center"/>
        <w:rPr>
          <w:b/>
          <w:color w:val="000000"/>
        </w:rPr>
      </w:pPr>
      <w:bookmarkStart w:id="0" w:name="_Toc67387400"/>
      <w:bookmarkStart w:id="1" w:name="_GoBack"/>
      <w:bookmarkEnd w:id="1"/>
      <w:r w:rsidRPr="00A84D72">
        <w:rPr>
          <w:b/>
          <w:color w:val="000000"/>
        </w:rPr>
        <w:t>Information Collection Request</w:t>
      </w:r>
    </w:p>
    <w:p w14:paraId="3022D718" w14:textId="77777777" w:rsidR="008452E5" w:rsidRDefault="008452E5" w:rsidP="008452E5">
      <w:pPr>
        <w:pStyle w:val="Cov-Date"/>
      </w:pPr>
    </w:p>
    <w:p w14:paraId="43A29354" w14:textId="77777777" w:rsidR="00D24067" w:rsidRPr="00A84D72" w:rsidRDefault="00D24067" w:rsidP="00D24067">
      <w:pPr>
        <w:jc w:val="center"/>
        <w:rPr>
          <w:b/>
          <w:color w:val="000000"/>
        </w:rPr>
      </w:pPr>
      <w:r>
        <w:rPr>
          <w:b/>
          <w:color w:val="000000"/>
        </w:rPr>
        <w:t>New</w:t>
      </w:r>
    </w:p>
    <w:p w14:paraId="4EFACEAA" w14:textId="77777777" w:rsidR="008452E5" w:rsidRDefault="008452E5" w:rsidP="008452E5">
      <w:pPr>
        <w:pStyle w:val="Cov-Date"/>
      </w:pPr>
    </w:p>
    <w:p w14:paraId="05C2D703" w14:textId="53D94C49" w:rsidR="00A84D72" w:rsidRDefault="00974C8C" w:rsidP="00A84D72">
      <w:pPr>
        <w:jc w:val="center"/>
        <w:rPr>
          <w:b/>
          <w:color w:val="000000"/>
        </w:rPr>
      </w:pPr>
      <w:bookmarkStart w:id="2" w:name="_Hlk532388909"/>
      <w:bookmarkStart w:id="3" w:name="_Hlk532389812"/>
      <w:r w:rsidRPr="00974C8C">
        <w:rPr>
          <w:b/>
        </w:rPr>
        <w:t>Costs of Implementing Community-Based Sodium Reduction Strategies</w:t>
      </w:r>
      <w:bookmarkEnd w:id="2"/>
      <w:r w:rsidDel="00974C8C">
        <w:rPr>
          <w:b/>
          <w:bCs/>
          <w:szCs w:val="20"/>
        </w:rPr>
        <w:t xml:space="preserve"> </w:t>
      </w:r>
      <w:bookmarkEnd w:id="3"/>
    </w:p>
    <w:p w14:paraId="1EBF30DC" w14:textId="77777777" w:rsidR="00D24067" w:rsidRDefault="00D24067" w:rsidP="00A84D72">
      <w:pPr>
        <w:jc w:val="center"/>
        <w:rPr>
          <w:color w:val="000000"/>
          <w:szCs w:val="20"/>
        </w:rPr>
      </w:pPr>
    </w:p>
    <w:p w14:paraId="27C22630" w14:textId="77777777" w:rsidR="00A84D72" w:rsidRPr="00920D6E" w:rsidRDefault="00A84D72" w:rsidP="00A84D72">
      <w:pPr>
        <w:jc w:val="center"/>
        <w:rPr>
          <w:b/>
          <w:color w:val="000000"/>
          <w:szCs w:val="20"/>
        </w:rPr>
      </w:pPr>
      <w:r w:rsidRPr="00920D6E">
        <w:rPr>
          <w:b/>
          <w:color w:val="000000"/>
          <w:szCs w:val="20"/>
        </w:rPr>
        <w:t>Supporting Statement</w:t>
      </w:r>
      <w:r w:rsidR="00D24067">
        <w:rPr>
          <w:b/>
          <w:color w:val="000000"/>
          <w:szCs w:val="20"/>
        </w:rPr>
        <w:t>: Part A</w:t>
      </w:r>
    </w:p>
    <w:p w14:paraId="5E3FD71A" w14:textId="77777777" w:rsidR="00A84D72" w:rsidRDefault="00A84D72" w:rsidP="00A84D72">
      <w:pPr>
        <w:jc w:val="center"/>
        <w:rPr>
          <w:color w:val="000000"/>
          <w:szCs w:val="20"/>
        </w:rPr>
      </w:pPr>
    </w:p>
    <w:p w14:paraId="522BEE37" w14:textId="77777777" w:rsidR="008452E5" w:rsidRDefault="008452E5" w:rsidP="008452E5">
      <w:pPr>
        <w:pStyle w:val="Cov-Date"/>
      </w:pPr>
    </w:p>
    <w:p w14:paraId="7A5E91CA" w14:textId="77777777" w:rsidR="008452E5" w:rsidRDefault="008452E5" w:rsidP="008452E5">
      <w:pPr>
        <w:pStyle w:val="Cov-Date"/>
      </w:pPr>
    </w:p>
    <w:p w14:paraId="190BDC1C" w14:textId="77777777" w:rsidR="008452E5" w:rsidRDefault="008452E5" w:rsidP="008452E5">
      <w:pPr>
        <w:pStyle w:val="Cov-Date"/>
      </w:pPr>
    </w:p>
    <w:p w14:paraId="7707DD09" w14:textId="77777777" w:rsidR="008452E5" w:rsidRDefault="008452E5" w:rsidP="008452E5">
      <w:pPr>
        <w:pStyle w:val="Cov-Date"/>
      </w:pPr>
    </w:p>
    <w:p w14:paraId="03B78B53" w14:textId="77777777" w:rsidR="008452E5" w:rsidRDefault="008452E5" w:rsidP="008452E5">
      <w:pPr>
        <w:pStyle w:val="Cov-Date"/>
      </w:pPr>
    </w:p>
    <w:p w14:paraId="336895BE" w14:textId="77777777" w:rsidR="008452E5" w:rsidRDefault="008452E5" w:rsidP="008452E5">
      <w:pPr>
        <w:jc w:val="center"/>
        <w:rPr>
          <w:b/>
          <w:color w:val="000000"/>
        </w:rPr>
      </w:pPr>
    </w:p>
    <w:p w14:paraId="4E456267" w14:textId="77777777" w:rsidR="008452E5" w:rsidRDefault="008452E5" w:rsidP="008452E5">
      <w:pPr>
        <w:jc w:val="center"/>
        <w:rPr>
          <w:b/>
          <w:color w:val="000000"/>
        </w:rPr>
      </w:pPr>
    </w:p>
    <w:p w14:paraId="56DCF517" w14:textId="77777777" w:rsidR="008452E5" w:rsidRDefault="008452E5" w:rsidP="008452E5">
      <w:pPr>
        <w:jc w:val="center"/>
        <w:rPr>
          <w:b/>
          <w:color w:val="000000"/>
        </w:rPr>
      </w:pPr>
    </w:p>
    <w:p w14:paraId="75B34DDE" w14:textId="77777777" w:rsidR="008452E5" w:rsidRDefault="008452E5" w:rsidP="008452E5">
      <w:pPr>
        <w:jc w:val="center"/>
        <w:rPr>
          <w:b/>
          <w:color w:val="000000"/>
        </w:rPr>
      </w:pPr>
    </w:p>
    <w:p w14:paraId="7ABF27AB" w14:textId="77777777" w:rsidR="00D24067" w:rsidRDefault="00D24067" w:rsidP="008452E5">
      <w:pPr>
        <w:jc w:val="center"/>
        <w:rPr>
          <w:b/>
          <w:color w:val="000000"/>
        </w:rPr>
      </w:pPr>
    </w:p>
    <w:p w14:paraId="1261CC3A" w14:textId="77777777" w:rsidR="00D24067" w:rsidRDefault="00D24067" w:rsidP="008452E5">
      <w:pPr>
        <w:jc w:val="center"/>
        <w:rPr>
          <w:b/>
          <w:color w:val="000000"/>
        </w:rPr>
      </w:pPr>
    </w:p>
    <w:p w14:paraId="4CE47F59" w14:textId="77777777" w:rsidR="00D24067" w:rsidRDefault="00D24067" w:rsidP="008452E5">
      <w:pPr>
        <w:jc w:val="center"/>
        <w:rPr>
          <w:b/>
          <w:color w:val="000000"/>
        </w:rPr>
      </w:pPr>
    </w:p>
    <w:p w14:paraId="74F64E99" w14:textId="77777777" w:rsidR="00D24067" w:rsidRDefault="00D24067" w:rsidP="008452E5">
      <w:pPr>
        <w:jc w:val="center"/>
        <w:rPr>
          <w:b/>
          <w:color w:val="000000"/>
        </w:rPr>
      </w:pPr>
    </w:p>
    <w:p w14:paraId="2832388C" w14:textId="77777777" w:rsidR="00D24067" w:rsidRDefault="00D24067" w:rsidP="008452E5">
      <w:pPr>
        <w:jc w:val="center"/>
        <w:rPr>
          <w:color w:val="000000"/>
        </w:rPr>
      </w:pPr>
      <w:r w:rsidRPr="00920D6E">
        <w:rPr>
          <w:b/>
          <w:color w:val="000000"/>
          <w:u w:val="single"/>
        </w:rPr>
        <w:t>Program Official/Contact</w:t>
      </w:r>
    </w:p>
    <w:p w14:paraId="29B01B2B" w14:textId="77777777" w:rsidR="00DA28AA" w:rsidRPr="00DA28AA" w:rsidRDefault="00DA28AA" w:rsidP="00DA28AA">
      <w:pPr>
        <w:jc w:val="center"/>
        <w:rPr>
          <w:b/>
          <w:color w:val="000000"/>
        </w:rPr>
      </w:pPr>
      <w:r w:rsidRPr="00DA28AA">
        <w:rPr>
          <w:b/>
          <w:color w:val="000000"/>
        </w:rPr>
        <w:t>John M. Whitehill</w:t>
      </w:r>
    </w:p>
    <w:p w14:paraId="640EFEF6" w14:textId="77777777" w:rsidR="00DA28AA" w:rsidRPr="00DA28AA" w:rsidRDefault="00DA28AA" w:rsidP="00DA28AA">
      <w:pPr>
        <w:jc w:val="center"/>
        <w:rPr>
          <w:color w:val="000000"/>
        </w:rPr>
      </w:pPr>
      <w:r w:rsidRPr="00DA28AA">
        <w:rPr>
          <w:color w:val="000000"/>
        </w:rPr>
        <w:t>Centers for Disease Control and Prevention</w:t>
      </w:r>
    </w:p>
    <w:p w14:paraId="2E580201" w14:textId="77777777" w:rsidR="00DA28AA" w:rsidRPr="00DA28AA" w:rsidRDefault="00DA28AA" w:rsidP="00DA28AA">
      <w:pPr>
        <w:jc w:val="center"/>
        <w:rPr>
          <w:color w:val="000000"/>
        </w:rPr>
      </w:pPr>
      <w:r w:rsidRPr="00DA28AA">
        <w:rPr>
          <w:color w:val="000000"/>
        </w:rPr>
        <w:t>Division for Heart Disease and Stroke Prevention (K-72)</w:t>
      </w:r>
    </w:p>
    <w:p w14:paraId="0151A3A7" w14:textId="77777777" w:rsidR="00DA28AA" w:rsidRPr="00DA28AA" w:rsidRDefault="00DA28AA" w:rsidP="00DA28AA">
      <w:pPr>
        <w:jc w:val="center"/>
        <w:rPr>
          <w:color w:val="000000"/>
        </w:rPr>
      </w:pPr>
      <w:r w:rsidRPr="00DA28AA">
        <w:rPr>
          <w:color w:val="000000"/>
        </w:rPr>
        <w:t>NCCDPHP</w:t>
      </w:r>
    </w:p>
    <w:p w14:paraId="7D79A29C" w14:textId="77777777" w:rsidR="00DA28AA" w:rsidRPr="00DA28AA" w:rsidRDefault="00DA28AA" w:rsidP="00501709">
      <w:pPr>
        <w:pStyle w:val="CommentText"/>
        <w:jc w:val="center"/>
        <w:rPr>
          <w:color w:val="000000"/>
          <w:sz w:val="24"/>
          <w:szCs w:val="24"/>
        </w:rPr>
      </w:pPr>
      <w:r w:rsidRPr="00DA28AA">
        <w:rPr>
          <w:color w:val="000000"/>
          <w:sz w:val="24"/>
          <w:szCs w:val="24"/>
        </w:rPr>
        <w:t>Atlanta, GA 30341-3724</w:t>
      </w:r>
    </w:p>
    <w:p w14:paraId="3E603D16" w14:textId="77777777" w:rsidR="00501709" w:rsidRPr="00DA28AA" w:rsidRDefault="00501709" w:rsidP="00DA28AA">
      <w:pPr>
        <w:pStyle w:val="CommentText"/>
        <w:jc w:val="center"/>
        <w:rPr>
          <w:sz w:val="24"/>
          <w:szCs w:val="24"/>
        </w:rPr>
      </w:pPr>
      <w:r w:rsidRPr="00DA28AA">
        <w:rPr>
          <w:sz w:val="24"/>
          <w:szCs w:val="24"/>
        </w:rPr>
        <w:t xml:space="preserve">Phone: </w:t>
      </w:r>
      <w:r w:rsidR="00DA28AA" w:rsidRPr="00DA28AA">
        <w:rPr>
          <w:sz w:val="24"/>
          <w:szCs w:val="24"/>
        </w:rPr>
        <w:t xml:space="preserve">770.208.1959 </w:t>
      </w:r>
    </w:p>
    <w:p w14:paraId="0D144159" w14:textId="77777777" w:rsidR="008452E5" w:rsidRPr="00DA28AA" w:rsidRDefault="00501709" w:rsidP="00501709">
      <w:pPr>
        <w:jc w:val="center"/>
        <w:rPr>
          <w:b/>
          <w:color w:val="000000"/>
        </w:rPr>
      </w:pPr>
      <w:r w:rsidRPr="00DA28AA">
        <w:t>Fax: 770.488.8151</w:t>
      </w:r>
    </w:p>
    <w:p w14:paraId="5D1BAA54" w14:textId="77777777" w:rsidR="00D24067" w:rsidRPr="00DA28AA" w:rsidRDefault="00D24067" w:rsidP="00D24067">
      <w:pPr>
        <w:pStyle w:val="CommentText"/>
        <w:jc w:val="center"/>
        <w:rPr>
          <w:sz w:val="24"/>
          <w:szCs w:val="24"/>
        </w:rPr>
      </w:pPr>
      <w:r w:rsidRPr="00DA28AA">
        <w:rPr>
          <w:sz w:val="24"/>
          <w:szCs w:val="24"/>
        </w:rPr>
        <w:t xml:space="preserve">Email: </w:t>
      </w:r>
      <w:hyperlink r:id="rId9" w:history="1">
        <w:r w:rsidRPr="00DA28AA">
          <w:rPr>
            <w:rStyle w:val="Hyperlink"/>
            <w:color w:val="0000FF"/>
            <w:sz w:val="24"/>
            <w:szCs w:val="24"/>
          </w:rPr>
          <w:t>JMWhitehill@cdc.gov</w:t>
        </w:r>
      </w:hyperlink>
    </w:p>
    <w:p w14:paraId="09623ECC" w14:textId="77777777" w:rsidR="008452E5" w:rsidRDefault="008452E5" w:rsidP="008452E5">
      <w:pPr>
        <w:jc w:val="center"/>
        <w:rPr>
          <w:b/>
          <w:color w:val="000000"/>
        </w:rPr>
      </w:pPr>
    </w:p>
    <w:p w14:paraId="190FC944" w14:textId="77777777" w:rsidR="008452E5" w:rsidRDefault="008452E5" w:rsidP="008452E5">
      <w:pPr>
        <w:jc w:val="center"/>
        <w:rPr>
          <w:b/>
          <w:color w:val="000000"/>
        </w:rPr>
      </w:pPr>
    </w:p>
    <w:p w14:paraId="0DA8EF2D" w14:textId="77777777" w:rsidR="008452E5" w:rsidRDefault="008452E5" w:rsidP="008452E5">
      <w:pPr>
        <w:jc w:val="center"/>
        <w:rPr>
          <w:b/>
          <w:color w:val="000000"/>
        </w:rPr>
      </w:pPr>
    </w:p>
    <w:p w14:paraId="24EC510A" w14:textId="77777777" w:rsidR="008452E5" w:rsidRDefault="008452E5" w:rsidP="008452E5">
      <w:pPr>
        <w:jc w:val="center"/>
        <w:rPr>
          <w:b/>
          <w:color w:val="000000"/>
        </w:rPr>
      </w:pPr>
    </w:p>
    <w:p w14:paraId="18EDAF3F" w14:textId="77777777" w:rsidR="00D24067" w:rsidRDefault="00D24067" w:rsidP="008452E5">
      <w:pPr>
        <w:jc w:val="center"/>
        <w:rPr>
          <w:b/>
          <w:color w:val="000000"/>
        </w:rPr>
      </w:pPr>
    </w:p>
    <w:p w14:paraId="7168C9B8" w14:textId="77777777" w:rsidR="00D24067" w:rsidRDefault="00D24067" w:rsidP="008452E5">
      <w:pPr>
        <w:jc w:val="center"/>
        <w:rPr>
          <w:b/>
          <w:color w:val="000000"/>
        </w:rPr>
      </w:pPr>
    </w:p>
    <w:p w14:paraId="5C0F7CC5" w14:textId="7CFE95F7" w:rsidR="00D24067" w:rsidRDefault="00F94DDD" w:rsidP="008452E5">
      <w:pPr>
        <w:jc w:val="center"/>
        <w:rPr>
          <w:b/>
          <w:color w:val="000000"/>
        </w:rPr>
      </w:pPr>
      <w:r>
        <w:rPr>
          <w:b/>
          <w:color w:val="000000"/>
        </w:rPr>
        <w:t>January 3</w:t>
      </w:r>
      <w:r w:rsidR="001237A5">
        <w:rPr>
          <w:b/>
          <w:color w:val="000000"/>
        </w:rPr>
        <w:t>, 201</w:t>
      </w:r>
      <w:r>
        <w:rPr>
          <w:b/>
          <w:color w:val="000000"/>
        </w:rPr>
        <w:t>9</w:t>
      </w:r>
    </w:p>
    <w:p w14:paraId="5932852E" w14:textId="77777777" w:rsidR="008452E5" w:rsidRDefault="008452E5" w:rsidP="008452E5">
      <w:pPr>
        <w:jc w:val="center"/>
        <w:rPr>
          <w:b/>
          <w:color w:val="000000"/>
        </w:rPr>
      </w:pPr>
    </w:p>
    <w:bookmarkEnd w:id="0"/>
    <w:p w14:paraId="022C19F8" w14:textId="77777777" w:rsidR="008452E5" w:rsidRDefault="008452E5"/>
    <w:p w14:paraId="70ECF3EA" w14:textId="77777777" w:rsidR="008452E5" w:rsidRDefault="008452E5"/>
    <w:p w14:paraId="4D565A63" w14:textId="77777777" w:rsidR="008452E5" w:rsidRDefault="008452E5"/>
    <w:p w14:paraId="04D6549F" w14:textId="20C35A7F" w:rsidR="008452E5" w:rsidRDefault="008452E5"/>
    <w:p w14:paraId="01737602" w14:textId="77777777" w:rsidR="001237A5" w:rsidRDefault="001237A5"/>
    <w:p w14:paraId="2D790445" w14:textId="77777777" w:rsidR="008452E5" w:rsidRDefault="008452E5"/>
    <w:p w14:paraId="00A12664" w14:textId="77777777" w:rsidR="005242B5" w:rsidRDefault="005242B5" w:rsidP="008452E5">
      <w:pPr>
        <w:pStyle w:val="TOC0"/>
      </w:pPr>
      <w:r>
        <w:br w:type="page"/>
      </w:r>
    </w:p>
    <w:p w14:paraId="16A5A0DD" w14:textId="19237737" w:rsidR="008452E5" w:rsidRDefault="008452E5" w:rsidP="008452E5">
      <w:pPr>
        <w:pStyle w:val="TOC0"/>
        <w:rPr>
          <w:bCs/>
        </w:rPr>
      </w:pPr>
      <w:r>
        <w:lastRenderedPageBreak/>
        <w:fldChar w:fldCharType="begin"/>
      </w:r>
      <w:r>
        <w:instrText xml:space="preserve"> SEQ CHAPTER \h \r 1</w:instrText>
      </w:r>
      <w:r>
        <w:fldChar w:fldCharType="end"/>
      </w:r>
      <w:r>
        <w:rPr>
          <w:bCs/>
        </w:rPr>
        <w:t>TABLE OF CONTENTS</w:t>
      </w:r>
    </w:p>
    <w:p w14:paraId="6B18F0EF" w14:textId="77777777" w:rsidR="007D0768" w:rsidRDefault="007D0768" w:rsidP="008452E5">
      <w:pPr>
        <w:pStyle w:val="TOC0"/>
      </w:pPr>
    </w:p>
    <w:p w14:paraId="36DFF8EF" w14:textId="77777777" w:rsidR="007D0768" w:rsidRPr="003F7B8F" w:rsidRDefault="007D0768" w:rsidP="007D0768">
      <w:pPr>
        <w:pStyle w:val="BodyTextaft-12"/>
        <w:numPr>
          <w:ilvl w:val="0"/>
          <w:numId w:val="22"/>
        </w:numPr>
        <w:tabs>
          <w:tab w:val="left" w:pos="810"/>
        </w:tabs>
        <w:spacing w:before="0" w:after="0"/>
        <w:ind w:hanging="720"/>
        <w:rPr>
          <w:b/>
          <w:sz w:val="24"/>
          <w:szCs w:val="24"/>
        </w:rPr>
      </w:pPr>
      <w:r>
        <w:rPr>
          <w:b/>
          <w:sz w:val="24"/>
          <w:szCs w:val="24"/>
        </w:rPr>
        <w:t>JUSTIFICATION</w:t>
      </w:r>
    </w:p>
    <w:p w14:paraId="495DC942" w14:textId="77777777" w:rsidR="007D0768" w:rsidRPr="003F7B8F" w:rsidRDefault="007D0768" w:rsidP="007D0768">
      <w:pPr>
        <w:pStyle w:val="BodyTextaft-12"/>
        <w:spacing w:before="0" w:after="0"/>
        <w:rPr>
          <w:sz w:val="24"/>
          <w:szCs w:val="24"/>
        </w:rPr>
      </w:pPr>
      <w:r w:rsidRPr="003F7B8F">
        <w:rPr>
          <w:sz w:val="24"/>
          <w:szCs w:val="24"/>
        </w:rPr>
        <w:t>A1.</w:t>
      </w:r>
      <w:r>
        <w:rPr>
          <w:sz w:val="24"/>
          <w:szCs w:val="24"/>
        </w:rPr>
        <w:t xml:space="preserve">      </w:t>
      </w:r>
      <w:r w:rsidRPr="003F7B8F">
        <w:rPr>
          <w:sz w:val="24"/>
          <w:szCs w:val="24"/>
        </w:rPr>
        <w:t>Circumstances Making the Collection of Information Necessary</w:t>
      </w:r>
    </w:p>
    <w:p w14:paraId="2DFEBA0D" w14:textId="77777777" w:rsidR="007D0768" w:rsidRPr="003F7B8F" w:rsidRDefault="007D0768" w:rsidP="007D0768">
      <w:pPr>
        <w:pStyle w:val="BodyTextaft-12"/>
        <w:spacing w:before="0" w:after="0"/>
        <w:rPr>
          <w:sz w:val="24"/>
          <w:szCs w:val="24"/>
        </w:rPr>
      </w:pPr>
      <w:r w:rsidRPr="003F7B8F">
        <w:rPr>
          <w:sz w:val="24"/>
          <w:szCs w:val="24"/>
        </w:rPr>
        <w:t>A2.</w:t>
      </w:r>
      <w:r w:rsidRPr="003F7B8F">
        <w:rPr>
          <w:sz w:val="24"/>
          <w:szCs w:val="24"/>
        </w:rPr>
        <w:tab/>
        <w:t>Purpose and Use of the Information Collection</w:t>
      </w:r>
    </w:p>
    <w:p w14:paraId="20344CBB" w14:textId="77777777" w:rsidR="007D0768" w:rsidRPr="003F7B8F" w:rsidRDefault="007D0768" w:rsidP="007D0768">
      <w:pPr>
        <w:pStyle w:val="BodyTextaft-12"/>
        <w:spacing w:before="0" w:after="0"/>
        <w:rPr>
          <w:sz w:val="24"/>
          <w:szCs w:val="24"/>
        </w:rPr>
      </w:pPr>
      <w:r w:rsidRPr="003F7B8F">
        <w:rPr>
          <w:sz w:val="24"/>
          <w:szCs w:val="24"/>
        </w:rPr>
        <w:t>A3.</w:t>
      </w:r>
      <w:r>
        <w:rPr>
          <w:sz w:val="24"/>
          <w:szCs w:val="24"/>
        </w:rPr>
        <w:t xml:space="preserve">      </w:t>
      </w:r>
      <w:r w:rsidRPr="003F7B8F">
        <w:rPr>
          <w:sz w:val="24"/>
          <w:szCs w:val="24"/>
        </w:rPr>
        <w:t>Use of Improved Information Technology and Burden Reduction</w:t>
      </w:r>
    </w:p>
    <w:p w14:paraId="11706AC4" w14:textId="77777777" w:rsidR="007D0768" w:rsidRPr="00532002" w:rsidRDefault="007D0768" w:rsidP="007D0768">
      <w:pPr>
        <w:widowControl w:val="0"/>
        <w:tabs>
          <w:tab w:val="left" w:pos="720"/>
        </w:tabs>
        <w:ind w:left="720" w:hanging="720"/>
      </w:pPr>
      <w:r w:rsidRPr="00532002">
        <w:t>A4.</w:t>
      </w:r>
      <w:r w:rsidRPr="00532002">
        <w:tab/>
        <w:t>Efforts to Identify Duplication and Use of Similar Information</w:t>
      </w:r>
    </w:p>
    <w:p w14:paraId="20BCA9F6" w14:textId="77777777" w:rsidR="007D0768" w:rsidRPr="00532002" w:rsidRDefault="007D0768" w:rsidP="007D0768">
      <w:pPr>
        <w:widowControl w:val="0"/>
        <w:tabs>
          <w:tab w:val="left" w:pos="720"/>
          <w:tab w:val="right" w:pos="9360"/>
        </w:tabs>
        <w:ind w:left="720" w:hanging="720"/>
      </w:pPr>
      <w:r w:rsidRPr="00532002">
        <w:t>A5.</w:t>
      </w:r>
      <w:r w:rsidRPr="00532002">
        <w:tab/>
        <w:t>Impact on Small Businesses or Other Small Entities</w:t>
      </w:r>
    </w:p>
    <w:p w14:paraId="00D10429" w14:textId="77777777" w:rsidR="007D0768" w:rsidRPr="00532002" w:rsidRDefault="007D0768" w:rsidP="007D0768">
      <w:pPr>
        <w:widowControl w:val="0"/>
        <w:tabs>
          <w:tab w:val="left" w:pos="720"/>
          <w:tab w:val="right" w:pos="9360"/>
        </w:tabs>
        <w:ind w:left="720" w:hanging="720"/>
      </w:pPr>
      <w:r w:rsidRPr="00532002">
        <w:t>A6.</w:t>
      </w:r>
      <w:r>
        <w:t xml:space="preserve">      </w:t>
      </w:r>
      <w:r w:rsidRPr="00532002">
        <w:t>Consequences of Collecting the Information Less Frequently</w:t>
      </w:r>
    </w:p>
    <w:p w14:paraId="6D993870" w14:textId="77777777" w:rsidR="007D0768" w:rsidRPr="00532002" w:rsidRDefault="007D0768" w:rsidP="007D0768">
      <w:pPr>
        <w:widowControl w:val="0"/>
        <w:tabs>
          <w:tab w:val="left" w:pos="720"/>
          <w:tab w:val="right" w:pos="9360"/>
        </w:tabs>
        <w:ind w:left="720" w:hanging="720"/>
      </w:pPr>
      <w:r w:rsidRPr="00532002">
        <w:t>A7.</w:t>
      </w:r>
      <w:r w:rsidRPr="00532002">
        <w:tab/>
        <w:t>Special Circumstances Relating to the Guidelines of 5 CFR 1320.5</w:t>
      </w:r>
    </w:p>
    <w:p w14:paraId="2A170C96" w14:textId="77777777" w:rsidR="007D0768" w:rsidRDefault="007D0768" w:rsidP="007D0768">
      <w:pPr>
        <w:widowControl w:val="0"/>
        <w:tabs>
          <w:tab w:val="left" w:pos="990"/>
          <w:tab w:val="right" w:pos="9360"/>
        </w:tabs>
        <w:ind w:left="720" w:hanging="720"/>
      </w:pPr>
      <w:r w:rsidRPr="00532002">
        <w:t xml:space="preserve">A8. </w:t>
      </w:r>
      <w:r w:rsidRPr="00532002">
        <w:tab/>
        <w:t xml:space="preserve">Comments in Response to the Federal Register Notice and Efforts to Consult Outside </w:t>
      </w:r>
      <w:r>
        <w:t xml:space="preserve"> </w:t>
      </w:r>
    </w:p>
    <w:p w14:paraId="514AAB16" w14:textId="77777777" w:rsidR="007D0768" w:rsidRPr="00532002" w:rsidRDefault="007D0768" w:rsidP="007D0768">
      <w:pPr>
        <w:widowControl w:val="0"/>
        <w:tabs>
          <w:tab w:val="left" w:pos="990"/>
          <w:tab w:val="right" w:pos="9360"/>
        </w:tabs>
        <w:ind w:left="720" w:hanging="720"/>
      </w:pPr>
      <w:r>
        <w:t xml:space="preserve">            </w:t>
      </w:r>
      <w:r w:rsidRPr="00532002">
        <w:t>the Agency</w:t>
      </w:r>
    </w:p>
    <w:p w14:paraId="3892479B" w14:textId="77777777" w:rsidR="007D0768" w:rsidRPr="00532002" w:rsidRDefault="007D0768" w:rsidP="007D0768">
      <w:pPr>
        <w:widowControl w:val="0"/>
        <w:tabs>
          <w:tab w:val="left" w:pos="720"/>
          <w:tab w:val="right" w:pos="9360"/>
        </w:tabs>
        <w:ind w:left="720" w:hanging="720"/>
      </w:pPr>
      <w:r w:rsidRPr="00532002">
        <w:t>A9.</w:t>
      </w:r>
      <w:r w:rsidRPr="00532002">
        <w:tab/>
        <w:t>Explanation of Any Payment or Gift to Respondents</w:t>
      </w:r>
    </w:p>
    <w:p w14:paraId="5ED1CC44" w14:textId="77777777" w:rsidR="007D0768" w:rsidRDefault="007D0768" w:rsidP="007D0768">
      <w:pPr>
        <w:widowControl w:val="0"/>
        <w:tabs>
          <w:tab w:val="left" w:pos="720"/>
          <w:tab w:val="right" w:pos="9360"/>
        </w:tabs>
        <w:ind w:left="720" w:hanging="720"/>
      </w:pPr>
      <w:r>
        <w:t xml:space="preserve">A10.    </w:t>
      </w:r>
      <w:r w:rsidRPr="00532002">
        <w:t xml:space="preserve">Protection of the Privacy and Confidentiality of Information Provided by </w:t>
      </w:r>
      <w:r>
        <w:t xml:space="preserve">  </w:t>
      </w:r>
    </w:p>
    <w:p w14:paraId="31962711" w14:textId="77777777" w:rsidR="007D0768" w:rsidRPr="00532002" w:rsidRDefault="007D0768" w:rsidP="007D0768">
      <w:pPr>
        <w:widowControl w:val="0"/>
        <w:tabs>
          <w:tab w:val="left" w:pos="720"/>
          <w:tab w:val="right" w:pos="9360"/>
        </w:tabs>
        <w:ind w:left="720" w:hanging="720"/>
      </w:pPr>
      <w:r>
        <w:t xml:space="preserve">            </w:t>
      </w:r>
      <w:r w:rsidRPr="00532002">
        <w:t>Respondents</w:t>
      </w:r>
    </w:p>
    <w:p w14:paraId="68659343" w14:textId="77777777" w:rsidR="007D0768" w:rsidRPr="00532002" w:rsidRDefault="007D0768" w:rsidP="007D0768">
      <w:pPr>
        <w:widowControl w:val="0"/>
        <w:tabs>
          <w:tab w:val="left" w:pos="720"/>
          <w:tab w:val="right" w:pos="9360"/>
        </w:tabs>
        <w:ind w:left="720" w:hanging="720"/>
      </w:pPr>
      <w:r>
        <w:t xml:space="preserve">A11.    </w:t>
      </w:r>
      <w:r w:rsidRPr="00532002">
        <w:t>Institutional Review Board (IRB) and Justification for Sensitive Questions</w:t>
      </w:r>
    </w:p>
    <w:p w14:paraId="1BCF543F" w14:textId="77777777" w:rsidR="007D0768" w:rsidRPr="00532002" w:rsidRDefault="007D0768" w:rsidP="007D0768">
      <w:pPr>
        <w:widowControl w:val="0"/>
        <w:tabs>
          <w:tab w:val="left" w:pos="720"/>
          <w:tab w:val="right" w:pos="9360"/>
        </w:tabs>
        <w:ind w:left="720" w:hanging="720"/>
      </w:pPr>
      <w:r>
        <w:t xml:space="preserve">A12.    </w:t>
      </w:r>
      <w:r w:rsidRPr="00532002">
        <w:t>Estimates of Annualized Burden Hours and Costs</w:t>
      </w:r>
    </w:p>
    <w:p w14:paraId="7BDFC5BB" w14:textId="77777777" w:rsidR="007D0768" w:rsidRPr="00532002" w:rsidRDefault="007D0768" w:rsidP="007D0768">
      <w:pPr>
        <w:widowControl w:val="0"/>
        <w:ind w:left="720" w:hanging="720"/>
      </w:pPr>
      <w:r>
        <w:t xml:space="preserve">A13.    </w:t>
      </w:r>
      <w:r w:rsidRPr="00532002">
        <w:t>Estimates of Other Total Annual Cost Burden to Respondents or Record Keepers</w:t>
      </w:r>
    </w:p>
    <w:p w14:paraId="52B196C3" w14:textId="77777777" w:rsidR="007D0768" w:rsidRPr="00532002" w:rsidRDefault="007D0768" w:rsidP="007D0768">
      <w:pPr>
        <w:widowControl w:val="0"/>
        <w:tabs>
          <w:tab w:val="left" w:pos="720"/>
          <w:tab w:val="right" w:pos="9360"/>
        </w:tabs>
        <w:ind w:left="720" w:hanging="720"/>
      </w:pPr>
      <w:r>
        <w:t xml:space="preserve">A14.    </w:t>
      </w:r>
      <w:r w:rsidRPr="00532002">
        <w:t>Annualized Cost to the Federal Government</w:t>
      </w:r>
    </w:p>
    <w:p w14:paraId="01F18C30" w14:textId="77777777" w:rsidR="007D0768" w:rsidRDefault="007D0768" w:rsidP="007D0768">
      <w:pPr>
        <w:widowControl w:val="0"/>
        <w:tabs>
          <w:tab w:val="left" w:pos="720"/>
          <w:tab w:val="right" w:pos="9360"/>
        </w:tabs>
        <w:ind w:left="720" w:hanging="720"/>
      </w:pPr>
      <w:r>
        <w:t xml:space="preserve">A15.    </w:t>
      </w:r>
      <w:r w:rsidRPr="00532002">
        <w:t>Explanation for Program Changes or Adjustments</w:t>
      </w:r>
    </w:p>
    <w:p w14:paraId="2A9BBCA5" w14:textId="77777777" w:rsidR="007D0768" w:rsidRPr="00532002" w:rsidRDefault="007D0768" w:rsidP="007D0768">
      <w:pPr>
        <w:widowControl w:val="0"/>
        <w:tabs>
          <w:tab w:val="left" w:pos="720"/>
          <w:tab w:val="right" w:pos="9360"/>
        </w:tabs>
        <w:ind w:left="720" w:hanging="720"/>
      </w:pPr>
      <w:r>
        <w:t xml:space="preserve">A16.    </w:t>
      </w:r>
      <w:r w:rsidRPr="00532002">
        <w:t>Plans for Tabulation and Publication and Project Time Schedule</w:t>
      </w:r>
    </w:p>
    <w:p w14:paraId="33A0CA0E" w14:textId="77777777" w:rsidR="007D0768" w:rsidRPr="00532002" w:rsidRDefault="007D0768" w:rsidP="007D0768">
      <w:pPr>
        <w:widowControl w:val="0"/>
        <w:tabs>
          <w:tab w:val="left" w:pos="720"/>
          <w:tab w:val="right" w:pos="9360"/>
        </w:tabs>
        <w:ind w:left="720" w:hanging="720"/>
      </w:pPr>
      <w:r>
        <w:t xml:space="preserve">A17.    </w:t>
      </w:r>
      <w:r w:rsidRPr="00532002">
        <w:t>Reason(s) Display of OMB Expiration Date is Inappropriate</w:t>
      </w:r>
    </w:p>
    <w:p w14:paraId="3A7449D6" w14:textId="77777777" w:rsidR="007D0768" w:rsidRPr="00532002" w:rsidRDefault="007D0768" w:rsidP="007D0768">
      <w:pPr>
        <w:widowControl w:val="0"/>
        <w:tabs>
          <w:tab w:val="left" w:pos="720"/>
        </w:tabs>
        <w:ind w:left="720" w:hanging="720"/>
      </w:pPr>
      <w:r>
        <w:t xml:space="preserve">A18.    </w:t>
      </w:r>
      <w:r w:rsidRPr="00532002">
        <w:t>Exceptions to Certification for Paperwork Reduction Act Submissions</w:t>
      </w:r>
    </w:p>
    <w:sdt>
      <w:sdtPr>
        <w:id w:val="-78601882"/>
        <w:docPartObj>
          <w:docPartGallery w:val="Table of Contents"/>
          <w:docPartUnique/>
        </w:docPartObj>
      </w:sdtPr>
      <w:sdtEndPr>
        <w:rPr>
          <w:b/>
          <w:bCs/>
          <w:noProof/>
        </w:rPr>
      </w:sdtEndPr>
      <w:sdtContent>
        <w:p w14:paraId="1A416CEA" w14:textId="77777777" w:rsidR="007D0768" w:rsidRDefault="007D0768" w:rsidP="00920D6E">
          <w:pPr>
            <w:pStyle w:val="TOC1"/>
          </w:pPr>
        </w:p>
        <w:p w14:paraId="5AFBFC23" w14:textId="77777777" w:rsidR="002B3E95" w:rsidRDefault="00E302AA" w:rsidP="00920D6E">
          <w:pPr>
            <w:pStyle w:val="TOC1"/>
          </w:pPr>
        </w:p>
      </w:sdtContent>
    </w:sdt>
    <w:p w14:paraId="1004AE39" w14:textId="77777777" w:rsidR="002B3E95" w:rsidRPr="00920D6E" w:rsidRDefault="007D0768" w:rsidP="00920D6E">
      <w:pPr>
        <w:pStyle w:val="Default"/>
        <w:spacing w:after="67"/>
        <w:rPr>
          <w:rFonts w:ascii="Times New Roman" w:hAnsi="Times New Roman" w:cs="Times New Roman"/>
          <w:b/>
          <w:szCs w:val="22"/>
        </w:rPr>
      </w:pPr>
      <w:r w:rsidRPr="00920D6E">
        <w:rPr>
          <w:rFonts w:ascii="Times New Roman" w:hAnsi="Times New Roman" w:cs="Times New Roman"/>
          <w:b/>
          <w:szCs w:val="22"/>
        </w:rPr>
        <w:t>REFERENCES</w:t>
      </w:r>
    </w:p>
    <w:p w14:paraId="1E9C7C94" w14:textId="77777777" w:rsidR="008452E5" w:rsidRPr="008452E5" w:rsidRDefault="008452E5">
      <w:pPr>
        <w:rPr>
          <w:sz w:val="28"/>
        </w:rPr>
      </w:pPr>
    </w:p>
    <w:p w14:paraId="363DD0E4" w14:textId="77777777" w:rsidR="00E903CB" w:rsidRDefault="00E903CB" w:rsidP="00E903CB">
      <w:pPr>
        <w:rPr>
          <w:sz w:val="28"/>
        </w:rPr>
      </w:pPr>
    </w:p>
    <w:p w14:paraId="7C839BA2" w14:textId="14D9BF5C" w:rsidR="00E903CB" w:rsidRDefault="00B65FBB" w:rsidP="00E903CB">
      <w:pPr>
        <w:rPr>
          <w:b/>
        </w:rPr>
      </w:pPr>
      <w:r>
        <w:rPr>
          <w:b/>
        </w:rPr>
        <w:t>ATTACHMENT</w:t>
      </w:r>
      <w:r w:rsidR="00E903CB" w:rsidRPr="00B144B1">
        <w:rPr>
          <w:b/>
        </w:rPr>
        <w:t>S</w:t>
      </w:r>
    </w:p>
    <w:p w14:paraId="57C1BB16" w14:textId="77777777" w:rsidR="00E903CB" w:rsidRDefault="00E903CB" w:rsidP="00E903CB">
      <w:pPr>
        <w:rPr>
          <w:b/>
        </w:rPr>
      </w:pPr>
    </w:p>
    <w:p w14:paraId="5FF689C4" w14:textId="77777777" w:rsidR="00E903CB" w:rsidRPr="00920D6E" w:rsidRDefault="00E903CB" w:rsidP="00E903CB">
      <w:pPr>
        <w:rPr>
          <w:bCs/>
        </w:rPr>
      </w:pPr>
      <w:r w:rsidRPr="00920D6E">
        <w:t>1.</w:t>
      </w:r>
      <w:r>
        <w:rPr>
          <w:b/>
        </w:rPr>
        <w:t xml:space="preserve">    </w:t>
      </w:r>
      <w:r w:rsidRPr="00920D6E">
        <w:rPr>
          <w:bCs/>
        </w:rPr>
        <w:t xml:space="preserve">Public Health Service Act (42 U.S.C. 241) </w:t>
      </w:r>
    </w:p>
    <w:p w14:paraId="100FFE0C" w14:textId="23FBF92E" w:rsidR="00E903CB" w:rsidRDefault="00E903CB" w:rsidP="00E903CB">
      <w:pPr>
        <w:rPr>
          <w:bCs/>
        </w:rPr>
      </w:pPr>
      <w:r w:rsidRPr="00175F92">
        <w:rPr>
          <w:bCs/>
        </w:rPr>
        <w:t>2.</w:t>
      </w:r>
      <w:r>
        <w:rPr>
          <w:bCs/>
        </w:rPr>
        <w:t xml:space="preserve">    </w:t>
      </w:r>
      <w:r w:rsidR="00E90C5C">
        <w:rPr>
          <w:bCs/>
        </w:rPr>
        <w:t xml:space="preserve">SRCP </w:t>
      </w:r>
      <w:r>
        <w:rPr>
          <w:bCs/>
        </w:rPr>
        <w:t xml:space="preserve">Partner </w:t>
      </w:r>
      <w:r w:rsidR="00E90C5C">
        <w:rPr>
          <w:bCs/>
        </w:rPr>
        <w:t xml:space="preserve">Cost </w:t>
      </w:r>
      <w:r>
        <w:rPr>
          <w:bCs/>
        </w:rPr>
        <w:t>Survey</w:t>
      </w:r>
    </w:p>
    <w:p w14:paraId="5091BDAB" w14:textId="6DFF7C21" w:rsidR="00E903CB" w:rsidRDefault="00E903CB" w:rsidP="00E903CB">
      <w:pPr>
        <w:rPr>
          <w:bCs/>
        </w:rPr>
      </w:pPr>
      <w:r w:rsidRPr="00175F92">
        <w:rPr>
          <w:bCs/>
        </w:rPr>
        <w:t>3</w:t>
      </w:r>
      <w:r w:rsidR="00157DB7">
        <w:rPr>
          <w:bCs/>
        </w:rPr>
        <w:t>a</w:t>
      </w:r>
      <w:r w:rsidRPr="00175F92">
        <w:rPr>
          <w:bCs/>
        </w:rPr>
        <w:t>.</w:t>
      </w:r>
      <w:r w:rsidR="00157DB7">
        <w:rPr>
          <w:bCs/>
        </w:rPr>
        <w:t xml:space="preserve">  </w:t>
      </w:r>
      <w:r w:rsidR="001237A5">
        <w:rPr>
          <w:bCs/>
        </w:rPr>
        <w:t xml:space="preserve">60 Day </w:t>
      </w:r>
      <w:r>
        <w:rPr>
          <w:bCs/>
        </w:rPr>
        <w:t>Federal Register Notice</w:t>
      </w:r>
    </w:p>
    <w:p w14:paraId="0A7BC1B9" w14:textId="10640967" w:rsidR="00E903CB" w:rsidRDefault="00E903CB" w:rsidP="00E903CB">
      <w:pPr>
        <w:rPr>
          <w:bCs/>
        </w:rPr>
      </w:pPr>
      <w:r>
        <w:rPr>
          <w:bCs/>
        </w:rPr>
        <w:t>3</w:t>
      </w:r>
      <w:r w:rsidR="00157DB7">
        <w:rPr>
          <w:bCs/>
        </w:rPr>
        <w:t>b.  Summary</w:t>
      </w:r>
      <w:r>
        <w:rPr>
          <w:bCs/>
        </w:rPr>
        <w:t xml:space="preserve"> </w:t>
      </w:r>
      <w:r w:rsidR="00B074FD">
        <w:rPr>
          <w:bCs/>
        </w:rPr>
        <w:t>o</w:t>
      </w:r>
      <w:r>
        <w:rPr>
          <w:bCs/>
        </w:rPr>
        <w:t xml:space="preserve">f </w:t>
      </w:r>
      <w:r w:rsidR="00B074FD">
        <w:rPr>
          <w:bCs/>
        </w:rPr>
        <w:t xml:space="preserve">Public </w:t>
      </w:r>
      <w:r>
        <w:rPr>
          <w:bCs/>
        </w:rPr>
        <w:t>Comments</w:t>
      </w:r>
      <w:r w:rsidR="00B074FD">
        <w:rPr>
          <w:bCs/>
        </w:rPr>
        <w:t xml:space="preserve"> from 60-Day FRN</w:t>
      </w:r>
    </w:p>
    <w:p w14:paraId="02262284" w14:textId="77777777" w:rsidR="00E903CB" w:rsidRDefault="00E903CB" w:rsidP="00E903CB">
      <w:pPr>
        <w:rPr>
          <w:bCs/>
        </w:rPr>
      </w:pPr>
      <w:r>
        <w:rPr>
          <w:bCs/>
        </w:rPr>
        <w:t xml:space="preserve">4a.  </w:t>
      </w:r>
      <w:r w:rsidRPr="00E9208E">
        <w:rPr>
          <w:bCs/>
        </w:rPr>
        <w:t>Introductory Email to Grantees for Partner Contact Information</w:t>
      </w:r>
    </w:p>
    <w:p w14:paraId="0C06C9D2" w14:textId="19EE9808" w:rsidR="00E903CB" w:rsidRDefault="00E903CB" w:rsidP="00E903CB">
      <w:pPr>
        <w:rPr>
          <w:bCs/>
        </w:rPr>
      </w:pPr>
      <w:r>
        <w:rPr>
          <w:bCs/>
        </w:rPr>
        <w:t xml:space="preserve">4b.  </w:t>
      </w:r>
      <w:r w:rsidRPr="00E9208E">
        <w:rPr>
          <w:bCs/>
        </w:rPr>
        <w:t>Introductory</w:t>
      </w:r>
      <w:r w:rsidR="002C22FE">
        <w:rPr>
          <w:bCs/>
        </w:rPr>
        <w:t xml:space="preserve"> </w:t>
      </w:r>
      <w:r w:rsidRPr="00E9208E">
        <w:rPr>
          <w:bCs/>
        </w:rPr>
        <w:t>Invitation and Reminder Email for Partner Cost Data Collection</w:t>
      </w:r>
    </w:p>
    <w:p w14:paraId="7B7922AD" w14:textId="6BC7D107" w:rsidR="00E903CB" w:rsidRDefault="00E903CB" w:rsidP="00E903CB">
      <w:pPr>
        <w:rPr>
          <w:bCs/>
        </w:rPr>
      </w:pPr>
      <w:r>
        <w:rPr>
          <w:bCs/>
        </w:rPr>
        <w:t xml:space="preserve">4c.  </w:t>
      </w:r>
      <w:r w:rsidRPr="00E9208E">
        <w:rPr>
          <w:bCs/>
        </w:rPr>
        <w:t>Thank You E</w:t>
      </w:r>
      <w:r w:rsidR="002C22FE">
        <w:rPr>
          <w:bCs/>
        </w:rPr>
        <w:t>m</w:t>
      </w:r>
      <w:r w:rsidRPr="00E9208E">
        <w:rPr>
          <w:bCs/>
        </w:rPr>
        <w:t>ail for</w:t>
      </w:r>
      <w:r>
        <w:rPr>
          <w:bCs/>
        </w:rPr>
        <w:t xml:space="preserve"> Partner Cost Data Collection</w:t>
      </w:r>
    </w:p>
    <w:p w14:paraId="505EF7D7" w14:textId="3FBBC59B" w:rsidR="00E903CB" w:rsidRDefault="00E903CB" w:rsidP="00E903CB">
      <w:pPr>
        <w:rPr>
          <w:bCs/>
        </w:rPr>
      </w:pPr>
      <w:r>
        <w:rPr>
          <w:bCs/>
        </w:rPr>
        <w:t xml:space="preserve">5.  </w:t>
      </w:r>
      <w:r w:rsidRPr="00175F92">
        <w:rPr>
          <w:bCs/>
        </w:rPr>
        <w:t xml:space="preserve">  </w:t>
      </w:r>
      <w:r w:rsidR="005242B5">
        <w:rPr>
          <w:bCs/>
        </w:rPr>
        <w:t>List of SRCP Grantees by Funding Opportunity Announcement</w:t>
      </w:r>
      <w:r w:rsidR="005242B5" w:rsidDel="005242B5">
        <w:rPr>
          <w:bCs/>
        </w:rPr>
        <w:t xml:space="preserve"> </w:t>
      </w:r>
    </w:p>
    <w:p w14:paraId="5F186709" w14:textId="07D7CCC4" w:rsidR="00974C8C" w:rsidRPr="002E246E" w:rsidRDefault="00E903CB" w:rsidP="00E903CB">
      <w:pPr>
        <w:rPr>
          <w:bCs/>
        </w:rPr>
      </w:pPr>
      <w:r>
        <w:rPr>
          <w:bCs/>
        </w:rPr>
        <w:t xml:space="preserve">6.    </w:t>
      </w:r>
      <w:r w:rsidRPr="00E9208E">
        <w:rPr>
          <w:bCs/>
        </w:rPr>
        <w:t>Institutional Review Board Approval Notification o</w:t>
      </w:r>
      <w:r w:rsidR="002C22FE">
        <w:rPr>
          <w:bCs/>
        </w:rPr>
        <w:t>f</w:t>
      </w:r>
      <w:r w:rsidRPr="00E9208E">
        <w:rPr>
          <w:bCs/>
        </w:rPr>
        <w:t xml:space="preserve"> Exemption Determination</w:t>
      </w:r>
      <w:bookmarkStart w:id="4" w:name="_Hlk532389890"/>
    </w:p>
    <w:bookmarkEnd w:id="4"/>
    <w:p w14:paraId="7EF4E3AD" w14:textId="77777777" w:rsidR="00E903CB" w:rsidRDefault="00E903CB" w:rsidP="00E903CB"/>
    <w:p w14:paraId="7463F242" w14:textId="77777777" w:rsidR="008452E5" w:rsidRDefault="008452E5">
      <w:pPr>
        <w:rPr>
          <w:sz w:val="28"/>
        </w:rPr>
      </w:pPr>
    </w:p>
    <w:p w14:paraId="3951CC88" w14:textId="34A65AAA" w:rsidR="005242B5" w:rsidRDefault="005242B5">
      <w:pPr>
        <w:rPr>
          <w:sz w:val="28"/>
        </w:rPr>
      </w:pPr>
      <w:r>
        <w:rPr>
          <w:sz w:val="28"/>
        </w:rPr>
        <w:br w:type="page"/>
      </w:r>
    </w:p>
    <w:p w14:paraId="6CF0FD34" w14:textId="77777777" w:rsidR="008452E5" w:rsidRDefault="008452E5">
      <w:pPr>
        <w:rPr>
          <w:sz w:val="28"/>
        </w:rPr>
      </w:pPr>
    </w:p>
    <w:p w14:paraId="1476332B" w14:textId="0AF9A24E" w:rsidR="00B074FD" w:rsidRDefault="00172EB8" w:rsidP="00B074FD">
      <w:r w:rsidRPr="0028539C">
        <w:rPr>
          <w:noProof/>
        </w:rPr>
        <mc:AlternateContent>
          <mc:Choice Requires="wps">
            <w:drawing>
              <wp:anchor distT="45720" distB="45720" distL="114300" distR="114300" simplePos="0" relativeHeight="251659264" behindDoc="0" locked="0" layoutInCell="1" allowOverlap="1" wp14:anchorId="41A5F22D" wp14:editId="42758D77">
                <wp:simplePos x="0" y="0"/>
                <wp:positionH relativeFrom="column">
                  <wp:posOffset>-259080</wp:posOffset>
                </wp:positionH>
                <wp:positionV relativeFrom="paragraph">
                  <wp:posOffset>347980</wp:posOffset>
                </wp:positionV>
                <wp:extent cx="6278880" cy="589026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5890260"/>
                        </a:xfrm>
                        <a:prstGeom prst="rect">
                          <a:avLst/>
                        </a:prstGeom>
                        <a:solidFill>
                          <a:srgbClr val="FFFFFF"/>
                        </a:solidFill>
                        <a:ln w="9525">
                          <a:solidFill>
                            <a:srgbClr val="000000"/>
                          </a:solidFill>
                          <a:miter lim="800000"/>
                          <a:headEnd/>
                          <a:tailEnd/>
                        </a:ln>
                      </wps:spPr>
                      <wps:txbx>
                        <w:txbxContent>
                          <w:p w14:paraId="726AFDCF" w14:textId="77777777" w:rsidR="00DA28AA" w:rsidRDefault="00DA28AA" w:rsidP="0028539C">
                            <w:pPr>
                              <w:pStyle w:val="ListParagraph"/>
                              <w:spacing w:after="200"/>
                              <w:ind w:left="0"/>
                              <w:rPr>
                                <w:b/>
                              </w:rPr>
                            </w:pPr>
                          </w:p>
                          <w:p w14:paraId="0D97D2C2" w14:textId="5615715E" w:rsidR="00DA28AA" w:rsidRPr="001E732D" w:rsidRDefault="00DA28AA" w:rsidP="001E732D">
                            <w:pPr>
                              <w:pStyle w:val="ListParagraph"/>
                              <w:numPr>
                                <w:ilvl w:val="0"/>
                                <w:numId w:val="18"/>
                              </w:numPr>
                              <w:spacing w:after="200"/>
                              <w:ind w:left="360"/>
                              <w:rPr>
                                <w:b/>
                              </w:rPr>
                            </w:pPr>
                            <w:r w:rsidRPr="001E732D">
                              <w:rPr>
                                <w:b/>
                              </w:rPr>
                              <w:t xml:space="preserve">Goal of the </w:t>
                            </w:r>
                            <w:r w:rsidR="00045438">
                              <w:rPr>
                                <w:b/>
                              </w:rPr>
                              <w:t>study</w:t>
                            </w:r>
                            <w:r w:rsidRPr="001E732D">
                              <w:rPr>
                                <w:b/>
                              </w:rPr>
                              <w:t>:</w:t>
                            </w:r>
                            <w:r w:rsidRPr="001E732D">
                              <w:t xml:space="preserve"> CDC and RTI International propose to </w:t>
                            </w:r>
                            <w:r w:rsidR="00172EB8">
                              <w:t>survey</w:t>
                            </w:r>
                            <w:r w:rsidRPr="001E732D">
                              <w:t xml:space="preserve"> </w:t>
                            </w:r>
                            <w:r w:rsidR="00410E8C">
                              <w:t>all</w:t>
                            </w:r>
                            <w:r w:rsidR="000B7A0F">
                              <w:t xml:space="preserve"> of the</w:t>
                            </w:r>
                            <w:r w:rsidR="00263131" w:rsidRPr="001E732D">
                              <w:t xml:space="preserve"> </w:t>
                            </w:r>
                            <w:r w:rsidRPr="001E732D">
                              <w:t>partners of Sodium Reduction in Community Program (SRCP) Round 3 grantees</w:t>
                            </w:r>
                            <w:r w:rsidR="00172EB8">
                              <w:t>. Respondents will report data</w:t>
                            </w:r>
                            <w:r w:rsidRPr="001E732D">
                              <w:t xml:space="preserve"> on staff time</w:t>
                            </w:r>
                            <w:r w:rsidR="00F8785F" w:rsidRPr="001E732D">
                              <w:t xml:space="preserve">, </w:t>
                            </w:r>
                            <w:r w:rsidRPr="001E732D">
                              <w:t>materials used</w:t>
                            </w:r>
                            <w:r w:rsidR="00F8785F" w:rsidRPr="001E732D">
                              <w:t>, and activities completed</w:t>
                            </w:r>
                            <w:r w:rsidRPr="001E732D">
                              <w:t xml:space="preserve"> to support sodium reduction efforts</w:t>
                            </w:r>
                            <w:r w:rsidR="00172EB8">
                              <w:t xml:space="preserve">. </w:t>
                            </w:r>
                            <w:r w:rsidR="00C732AC">
                              <w:t>These</w:t>
                            </w:r>
                            <w:r w:rsidR="00172EB8">
                              <w:t xml:space="preserve"> data will be used </w:t>
                            </w:r>
                            <w:r w:rsidRPr="001E732D">
                              <w:t>to estimate the costs to SRCP partners of implementing sodium reduction strategies</w:t>
                            </w:r>
                            <w:r w:rsidR="00976A80">
                              <w:t>.</w:t>
                            </w:r>
                          </w:p>
                          <w:p w14:paraId="147D06F7" w14:textId="77777777" w:rsidR="001E732D" w:rsidRPr="001E732D" w:rsidRDefault="001E732D" w:rsidP="001E732D">
                            <w:pPr>
                              <w:pStyle w:val="ListParagraph"/>
                              <w:spacing w:after="200"/>
                              <w:ind w:left="360"/>
                            </w:pPr>
                          </w:p>
                          <w:p w14:paraId="1B80E4D6" w14:textId="1012B788" w:rsidR="00DA28AA" w:rsidRPr="001E732D" w:rsidRDefault="00DA28AA" w:rsidP="0034521D">
                            <w:pPr>
                              <w:pStyle w:val="ListParagraph"/>
                              <w:numPr>
                                <w:ilvl w:val="0"/>
                                <w:numId w:val="18"/>
                              </w:numPr>
                              <w:spacing w:after="200"/>
                              <w:ind w:left="360"/>
                            </w:pPr>
                            <w:r w:rsidRPr="001E732D">
                              <w:rPr>
                                <w:b/>
                              </w:rPr>
                              <w:t xml:space="preserve">Intended use of the resulting data: </w:t>
                            </w:r>
                            <w:r w:rsidRPr="001E732D">
                              <w:t xml:space="preserve">The insights to be gained from this data collection will be critical to understanding the full costs of implementing </w:t>
                            </w:r>
                            <w:r w:rsidR="006F501E">
                              <w:t>community-ba</w:t>
                            </w:r>
                            <w:r w:rsidR="00092C6C">
                              <w:t xml:space="preserve">sed sodium reduction strategies. CDC will use findings </w:t>
                            </w:r>
                            <w:r w:rsidR="00172EB8">
                              <w:t>for</w:t>
                            </w:r>
                            <w:r w:rsidRPr="001E732D">
                              <w:t xml:space="preserve"> </w:t>
                            </w:r>
                            <w:r w:rsidR="00092C6C">
                              <w:t>SRCP</w:t>
                            </w:r>
                            <w:r w:rsidRPr="001E732D">
                              <w:t xml:space="preserve"> planning </w:t>
                            </w:r>
                            <w:r w:rsidR="00092C6C">
                              <w:t>and technical assistance to SRCP awardees and other entities that are interested in community-based sodium reduction strategies. Findings will also be disseminated to</w:t>
                            </w:r>
                            <w:r w:rsidR="00B16BE4">
                              <w:t xml:space="preserve"> state and local organizations to</w:t>
                            </w:r>
                            <w:r w:rsidR="00092C6C">
                              <w:t xml:space="preserve"> inform </w:t>
                            </w:r>
                            <w:r w:rsidR="006A63E6">
                              <w:t xml:space="preserve">planning and sustainability of </w:t>
                            </w:r>
                            <w:r w:rsidR="00092C6C">
                              <w:t>other community-based public health initiatives</w:t>
                            </w:r>
                            <w:r w:rsidRPr="001E732D">
                              <w:t>.</w:t>
                            </w:r>
                          </w:p>
                          <w:p w14:paraId="3AD79493" w14:textId="77777777" w:rsidR="00DA28AA" w:rsidRPr="001E732D" w:rsidRDefault="00DA28AA" w:rsidP="00437F5F">
                            <w:pPr>
                              <w:pStyle w:val="ListParagraph"/>
                              <w:rPr>
                                <w:b/>
                              </w:rPr>
                            </w:pPr>
                          </w:p>
                          <w:p w14:paraId="7B6B9308" w14:textId="13F39C6C" w:rsidR="006D56B8" w:rsidRPr="00920D6E" w:rsidRDefault="00DA28AA" w:rsidP="006D56B8">
                            <w:pPr>
                              <w:pStyle w:val="ListParagraph"/>
                              <w:numPr>
                                <w:ilvl w:val="0"/>
                                <w:numId w:val="18"/>
                              </w:numPr>
                              <w:spacing w:after="200"/>
                              <w:ind w:left="360"/>
                              <w:rPr>
                                <w:b/>
                              </w:rPr>
                            </w:pPr>
                            <w:r w:rsidRPr="001E732D">
                              <w:rPr>
                                <w:b/>
                              </w:rPr>
                              <w:t xml:space="preserve">Methods to be used to collect: </w:t>
                            </w:r>
                            <w:r w:rsidRPr="001E732D">
                              <w:t>Data</w:t>
                            </w:r>
                            <w:r>
                              <w:t xml:space="preserve"> collection will be conducted through the use of a survey, originally developed </w:t>
                            </w:r>
                            <w:r w:rsidR="00F8785F">
                              <w:t xml:space="preserve">and piloted with </w:t>
                            </w:r>
                            <w:r w:rsidR="00C732AC">
                              <w:t xml:space="preserve">eight </w:t>
                            </w:r>
                            <w:r w:rsidR="00F8785F">
                              <w:t xml:space="preserve">partners </w:t>
                            </w:r>
                            <w:r>
                              <w:t xml:space="preserve">during the evaluation of SRCP </w:t>
                            </w:r>
                            <w:r w:rsidR="00C732AC">
                              <w:t>R</w:t>
                            </w:r>
                            <w:r>
                              <w:t xml:space="preserve">ound 2 and revised based on lessons learned from the </w:t>
                            </w:r>
                            <w:r w:rsidR="00C732AC">
                              <w:t>R</w:t>
                            </w:r>
                            <w:r>
                              <w:t>ound 2 evaluation and consultation with CDC and other stakeholders. We are collecting</w:t>
                            </w:r>
                            <w:r w:rsidR="00172EB8">
                              <w:t xml:space="preserve"> only</w:t>
                            </w:r>
                            <w:r>
                              <w:t xml:space="preserve"> program-level cost data</w:t>
                            </w:r>
                            <w:r w:rsidR="00172EB8">
                              <w:t xml:space="preserve"> and no</w:t>
                            </w:r>
                            <w:r w:rsidR="00C732AC">
                              <w:t xml:space="preserve"> </w:t>
                            </w:r>
                            <w:r>
                              <w:t xml:space="preserve">individual-level data. </w:t>
                            </w:r>
                            <w:r w:rsidR="00F94DDD">
                              <w:t>We are</w:t>
                            </w:r>
                            <w:r>
                              <w:t xml:space="preserve"> not request</w:t>
                            </w:r>
                            <w:r w:rsidR="00F94DDD">
                              <w:t>ing</w:t>
                            </w:r>
                            <w:r>
                              <w:t xml:space="preserve"> sensitive or personally identifiable information. </w:t>
                            </w:r>
                          </w:p>
                          <w:p w14:paraId="68F48C9F" w14:textId="77777777" w:rsidR="00045438" w:rsidRPr="00920D6E" w:rsidRDefault="00045438" w:rsidP="00920D6E">
                            <w:pPr>
                              <w:pStyle w:val="ListParagraph"/>
                              <w:rPr>
                                <w:b/>
                              </w:rPr>
                            </w:pPr>
                          </w:p>
                          <w:p w14:paraId="08C38D33" w14:textId="641140C6" w:rsidR="00045438" w:rsidRPr="00961960" w:rsidRDefault="00045438" w:rsidP="00961960">
                            <w:pPr>
                              <w:pStyle w:val="ListParagraph"/>
                              <w:numPr>
                                <w:ilvl w:val="0"/>
                                <w:numId w:val="18"/>
                              </w:numPr>
                              <w:spacing w:after="200"/>
                              <w:ind w:left="360"/>
                              <w:rPr>
                                <w:b/>
                              </w:rPr>
                            </w:pPr>
                            <w:r w:rsidRPr="00961960">
                              <w:rPr>
                                <w:b/>
                              </w:rPr>
                              <w:t xml:space="preserve">The subpopulation to be studied: </w:t>
                            </w:r>
                            <w:r w:rsidR="00961960" w:rsidRPr="00EB2324">
                              <w:t>Food service partners of SRCP grantees</w:t>
                            </w:r>
                            <w:r w:rsidR="00976A80">
                              <w:t>.</w:t>
                            </w:r>
                          </w:p>
                          <w:p w14:paraId="510CA469" w14:textId="77777777" w:rsidR="006D56B8" w:rsidRPr="006D56B8" w:rsidRDefault="006D56B8" w:rsidP="006D56B8">
                            <w:pPr>
                              <w:pStyle w:val="ListParagraph"/>
                              <w:rPr>
                                <w:b/>
                              </w:rPr>
                            </w:pPr>
                          </w:p>
                          <w:p w14:paraId="6D0C238A" w14:textId="5F241442" w:rsidR="00DA28AA" w:rsidRPr="006D56B8" w:rsidRDefault="00DA28AA" w:rsidP="006D56B8">
                            <w:pPr>
                              <w:pStyle w:val="ListParagraph"/>
                              <w:numPr>
                                <w:ilvl w:val="0"/>
                                <w:numId w:val="18"/>
                              </w:numPr>
                              <w:spacing w:after="200"/>
                              <w:ind w:left="360"/>
                              <w:rPr>
                                <w:b/>
                              </w:rPr>
                            </w:pPr>
                            <w:r w:rsidRPr="001E732D">
                              <w:rPr>
                                <w:b/>
                              </w:rPr>
                              <w:t>How data will be analyzed:</w:t>
                            </w:r>
                            <w:r w:rsidR="002C0585">
                              <w:t xml:space="preserve"> </w:t>
                            </w:r>
                            <w:r w:rsidR="00DD68AC">
                              <w:t xml:space="preserve">We will examine the average cost per partner overall and stratified by organizational size. We will also examine the change in revenue and profit from implementing sodium reduction strategies. </w:t>
                            </w:r>
                            <w:r w:rsidR="006A63E6">
                              <w:t xml:space="preserve">These analyses will provide preliminary estimates of the costs of implementing community-based sodium reduction strategies.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pt;margin-top:27.4pt;width:494.4pt;height:46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">
                <v:textbox>
                  <w:txbxContent>
                    <w:p w14:paraId="726AFDCF" w14:textId="77777777" w:rsidR="00DA28AA" w:rsidRDefault="00DA28AA" w:rsidP="0028539C">
                      <w:pPr>
                        <w:pStyle w:val="ListParagraph"/>
                        <w:spacing w:after="200"/>
                        <w:ind w:left="0"/>
                        <w:rPr>
                          <w:b/>
                        </w:rPr>
                      </w:pPr>
                    </w:p>
                    <w:p w14:paraId="0D97D2C2" w14:textId="5615715E" w:rsidR="00DA28AA" w:rsidRPr="001E732D" w:rsidRDefault="00DA28AA" w:rsidP="001E732D">
                      <w:pPr>
                        <w:pStyle w:val="ListParagraph"/>
                        <w:numPr>
                          <w:ilvl w:val="0"/>
                          <w:numId w:val="18"/>
                        </w:numPr>
                        <w:spacing w:after="200"/>
                        <w:ind w:left="360"/>
                        <w:rPr>
                          <w:b/>
                        </w:rPr>
                      </w:pPr>
                      <w:r w:rsidRPr="001E732D">
                        <w:rPr>
                          <w:b/>
                        </w:rPr>
                        <w:t xml:space="preserve">Goal of the </w:t>
                      </w:r>
                      <w:r w:rsidR="00045438">
                        <w:rPr>
                          <w:b/>
                        </w:rPr>
                        <w:t>study</w:t>
                      </w:r>
                      <w:r w:rsidRPr="001E732D">
                        <w:rPr>
                          <w:b/>
                        </w:rPr>
                        <w:t>:</w:t>
                      </w:r>
                      <w:r w:rsidRPr="001E732D">
                        <w:t xml:space="preserve"> CDC and RTI International propose to </w:t>
                      </w:r>
                      <w:r w:rsidR="00172EB8">
                        <w:t>survey</w:t>
                      </w:r>
                      <w:r w:rsidRPr="001E732D">
                        <w:t xml:space="preserve"> </w:t>
                      </w:r>
                      <w:r w:rsidR="00410E8C">
                        <w:t>all</w:t>
                      </w:r>
                      <w:r w:rsidR="000B7A0F">
                        <w:t xml:space="preserve"> of the</w:t>
                      </w:r>
                      <w:r w:rsidR="00263131" w:rsidRPr="001E732D">
                        <w:t xml:space="preserve"> </w:t>
                      </w:r>
                      <w:r w:rsidRPr="001E732D">
                        <w:t>partners of Sodium Reduction in Community Program (SRCP) Round 3 grantees</w:t>
                      </w:r>
                      <w:r w:rsidR="00172EB8">
                        <w:t>. Respondents will report data</w:t>
                      </w:r>
                      <w:r w:rsidRPr="001E732D">
                        <w:t xml:space="preserve"> on staff time</w:t>
                      </w:r>
                      <w:r w:rsidR="00F8785F" w:rsidRPr="001E732D">
                        <w:t xml:space="preserve">, </w:t>
                      </w:r>
                      <w:r w:rsidRPr="001E732D">
                        <w:t>materials used</w:t>
                      </w:r>
                      <w:r w:rsidR="00F8785F" w:rsidRPr="001E732D">
                        <w:t>, and activities completed</w:t>
                      </w:r>
                      <w:r w:rsidRPr="001E732D">
                        <w:t xml:space="preserve"> to support sodium reduction efforts</w:t>
                      </w:r>
                      <w:r w:rsidR="00172EB8">
                        <w:t xml:space="preserve">. </w:t>
                      </w:r>
                      <w:r w:rsidR="00C732AC">
                        <w:t>These</w:t>
                      </w:r>
                      <w:r w:rsidR="00172EB8">
                        <w:t xml:space="preserve"> data will be used </w:t>
                      </w:r>
                      <w:r w:rsidRPr="001E732D">
                        <w:t>to estimate the costs to SRCP partners of implementing sodium reduction strategies</w:t>
                      </w:r>
                      <w:r w:rsidR="00976A80">
                        <w:t>.</w:t>
                      </w:r>
                    </w:p>
                    <w:p w14:paraId="147D06F7" w14:textId="77777777" w:rsidR="001E732D" w:rsidRPr="001E732D" w:rsidRDefault="001E732D" w:rsidP="001E732D">
                      <w:pPr>
                        <w:pStyle w:val="ListParagraph"/>
                        <w:spacing w:after="200"/>
                        <w:ind w:left="360"/>
                      </w:pPr>
                    </w:p>
                    <w:p w14:paraId="1B80E4D6" w14:textId="1012B788" w:rsidR="00DA28AA" w:rsidRPr="001E732D" w:rsidRDefault="00DA28AA" w:rsidP="0034521D">
                      <w:pPr>
                        <w:pStyle w:val="ListParagraph"/>
                        <w:numPr>
                          <w:ilvl w:val="0"/>
                          <w:numId w:val="18"/>
                        </w:numPr>
                        <w:spacing w:after="200"/>
                        <w:ind w:left="360"/>
                      </w:pPr>
                      <w:r w:rsidRPr="001E732D">
                        <w:rPr>
                          <w:b/>
                        </w:rPr>
                        <w:t xml:space="preserve">Intended use of the resulting data: </w:t>
                      </w:r>
                      <w:r w:rsidRPr="001E732D">
                        <w:t xml:space="preserve">The insights to be gained from this data collection will be critical to understanding the full costs of implementing </w:t>
                      </w:r>
                      <w:r w:rsidR="006F501E">
                        <w:t>community-ba</w:t>
                      </w:r>
                      <w:r w:rsidR="00092C6C">
                        <w:t xml:space="preserve">sed sodium reduction strategies. CDC will use findings </w:t>
                      </w:r>
                      <w:r w:rsidR="00172EB8">
                        <w:t>for</w:t>
                      </w:r>
                      <w:r w:rsidRPr="001E732D">
                        <w:t xml:space="preserve"> </w:t>
                      </w:r>
                      <w:r w:rsidR="00092C6C">
                        <w:t>SRCP</w:t>
                      </w:r>
                      <w:r w:rsidRPr="001E732D">
                        <w:t xml:space="preserve"> planning </w:t>
                      </w:r>
                      <w:r w:rsidR="00092C6C">
                        <w:t>and technical assistance to SRCP awardees and other entities that are interested in community-based sodium reduction strategies. Findings will also be disseminated to</w:t>
                      </w:r>
                      <w:r w:rsidR="00B16BE4">
                        <w:t xml:space="preserve"> state and local organizations to</w:t>
                      </w:r>
                      <w:r w:rsidR="00092C6C">
                        <w:t xml:space="preserve"> inform </w:t>
                      </w:r>
                      <w:r w:rsidR="006A63E6">
                        <w:t xml:space="preserve">planning and sustainability of </w:t>
                      </w:r>
                      <w:r w:rsidR="00092C6C">
                        <w:t>other community-based public health initiatives</w:t>
                      </w:r>
                      <w:r w:rsidRPr="001E732D">
                        <w:t>.</w:t>
                      </w:r>
                    </w:p>
                    <w:p w14:paraId="3AD79493" w14:textId="77777777" w:rsidR="00DA28AA" w:rsidRPr="001E732D" w:rsidRDefault="00DA28AA" w:rsidP="00437F5F">
                      <w:pPr>
                        <w:pStyle w:val="ListParagraph"/>
                        <w:rPr>
                          <w:b/>
                        </w:rPr>
                      </w:pPr>
                    </w:p>
                    <w:p w14:paraId="7B6B9308" w14:textId="13F39C6C" w:rsidR="006D56B8" w:rsidRPr="00920D6E" w:rsidRDefault="00DA28AA" w:rsidP="006D56B8">
                      <w:pPr>
                        <w:pStyle w:val="ListParagraph"/>
                        <w:numPr>
                          <w:ilvl w:val="0"/>
                          <w:numId w:val="18"/>
                        </w:numPr>
                        <w:spacing w:after="200"/>
                        <w:ind w:left="360"/>
                        <w:rPr>
                          <w:b/>
                        </w:rPr>
                      </w:pPr>
                      <w:r w:rsidRPr="001E732D">
                        <w:rPr>
                          <w:b/>
                        </w:rPr>
                        <w:t xml:space="preserve">Methods to be used to collect: </w:t>
                      </w:r>
                      <w:r w:rsidRPr="001E732D">
                        <w:t>Data</w:t>
                      </w:r>
                      <w:r>
                        <w:t xml:space="preserve"> collection will be conducted through the use of a survey, originally developed </w:t>
                      </w:r>
                      <w:r w:rsidR="00F8785F">
                        <w:t xml:space="preserve">and piloted with </w:t>
                      </w:r>
                      <w:r w:rsidR="00C732AC">
                        <w:t xml:space="preserve">eight </w:t>
                      </w:r>
                      <w:r w:rsidR="00F8785F">
                        <w:t xml:space="preserve">partners </w:t>
                      </w:r>
                      <w:r>
                        <w:t xml:space="preserve">during the evaluation of SRCP </w:t>
                      </w:r>
                      <w:r w:rsidR="00C732AC">
                        <w:t>R</w:t>
                      </w:r>
                      <w:r>
                        <w:t xml:space="preserve">ound 2 and revised based on lessons learned from the </w:t>
                      </w:r>
                      <w:r w:rsidR="00C732AC">
                        <w:t>R</w:t>
                      </w:r>
                      <w:r>
                        <w:t>ound 2 evaluation and consultation with CDC and other stakeholders. We are collecting</w:t>
                      </w:r>
                      <w:r w:rsidR="00172EB8">
                        <w:t xml:space="preserve"> only</w:t>
                      </w:r>
                      <w:r>
                        <w:t xml:space="preserve"> program-level cost data</w:t>
                      </w:r>
                      <w:r w:rsidR="00172EB8">
                        <w:t xml:space="preserve"> and no</w:t>
                      </w:r>
                      <w:r w:rsidR="00C732AC">
                        <w:t xml:space="preserve"> </w:t>
                      </w:r>
                      <w:r>
                        <w:t xml:space="preserve">individual-level data. </w:t>
                      </w:r>
                      <w:r w:rsidR="00F94DDD">
                        <w:t>We are</w:t>
                      </w:r>
                      <w:r>
                        <w:t xml:space="preserve"> not request</w:t>
                      </w:r>
                      <w:r w:rsidR="00F94DDD">
                        <w:t>ing</w:t>
                      </w:r>
                      <w:r>
                        <w:t xml:space="preserve"> sensitive or personally identifiable information. </w:t>
                      </w:r>
                    </w:p>
                    <w:p w14:paraId="68F48C9F" w14:textId="77777777" w:rsidR="00045438" w:rsidRPr="00920D6E" w:rsidRDefault="00045438" w:rsidP="00920D6E">
                      <w:pPr>
                        <w:pStyle w:val="ListParagraph"/>
                        <w:rPr>
                          <w:b/>
                        </w:rPr>
                      </w:pPr>
                    </w:p>
                    <w:p w14:paraId="08C38D33" w14:textId="641140C6" w:rsidR="00045438" w:rsidRPr="00961960" w:rsidRDefault="00045438" w:rsidP="00961960">
                      <w:pPr>
                        <w:pStyle w:val="ListParagraph"/>
                        <w:numPr>
                          <w:ilvl w:val="0"/>
                          <w:numId w:val="18"/>
                        </w:numPr>
                        <w:spacing w:after="200"/>
                        <w:ind w:left="360"/>
                        <w:rPr>
                          <w:b/>
                        </w:rPr>
                      </w:pPr>
                      <w:r w:rsidRPr="00961960">
                        <w:rPr>
                          <w:b/>
                        </w:rPr>
                        <w:t xml:space="preserve">The subpopulation to be studied: </w:t>
                      </w:r>
                      <w:r w:rsidR="00961960" w:rsidRPr="00EB2324">
                        <w:t>Food service partners of SRCP grantees</w:t>
                      </w:r>
                      <w:r w:rsidR="00976A80">
                        <w:t>.</w:t>
                      </w:r>
                    </w:p>
                    <w:p w14:paraId="510CA469" w14:textId="77777777" w:rsidR="006D56B8" w:rsidRPr="006D56B8" w:rsidRDefault="006D56B8" w:rsidP="006D56B8">
                      <w:pPr>
                        <w:pStyle w:val="ListParagraph"/>
                        <w:rPr>
                          <w:b/>
                        </w:rPr>
                      </w:pPr>
                    </w:p>
                    <w:p w14:paraId="6D0C238A" w14:textId="5F241442" w:rsidR="00DA28AA" w:rsidRPr="006D56B8" w:rsidRDefault="00DA28AA" w:rsidP="006D56B8">
                      <w:pPr>
                        <w:pStyle w:val="ListParagraph"/>
                        <w:numPr>
                          <w:ilvl w:val="0"/>
                          <w:numId w:val="18"/>
                        </w:numPr>
                        <w:spacing w:after="200"/>
                        <w:ind w:left="360"/>
                        <w:rPr>
                          <w:b/>
                        </w:rPr>
                      </w:pPr>
                      <w:r w:rsidRPr="001E732D">
                        <w:rPr>
                          <w:b/>
                        </w:rPr>
                        <w:t>How data will be analyzed:</w:t>
                      </w:r>
                      <w:r w:rsidR="002C0585">
                        <w:t xml:space="preserve"> </w:t>
                      </w:r>
                      <w:r w:rsidR="00DD68AC">
                        <w:t xml:space="preserve">We will examine the average cost per partner overall and stratified by organizational size. We will also examine the change in revenue and profit from implementing sodium reduction strategies. </w:t>
                      </w:r>
                      <w:r w:rsidR="006A63E6">
                        <w:t xml:space="preserve">These analyses will provide preliminary estimates of the costs of implementing community-based sodium reduction strategies. </w:t>
                      </w:r>
                    </w:p>
                  </w:txbxContent>
                </v:textbox>
                <w10:wrap type="square"/>
              </v:shape>
            </w:pict>
          </mc:Fallback>
        </mc:AlternateContent>
      </w:r>
    </w:p>
    <w:p w14:paraId="2B5C7CB8" w14:textId="77777777" w:rsidR="00B074FD" w:rsidRPr="00B074FD" w:rsidRDefault="00B074FD" w:rsidP="00B074FD"/>
    <w:p w14:paraId="56B3D7E0" w14:textId="444E4D56" w:rsidR="00045438" w:rsidRDefault="00045438" w:rsidP="00920D6E">
      <w:pPr>
        <w:pStyle w:val="Heading2"/>
        <w:spacing w:before="0"/>
        <w:rPr>
          <w:rFonts w:ascii="Times New Roman" w:hAnsi="Times New Roman" w:cs="Times New Roman"/>
          <w:b/>
          <w:color w:val="auto"/>
          <w:sz w:val="24"/>
          <w:szCs w:val="24"/>
        </w:rPr>
      </w:pPr>
      <w:bookmarkStart w:id="5" w:name="_Toc506283053"/>
      <w:bookmarkStart w:id="6" w:name="_Toc88033460"/>
      <w:bookmarkStart w:id="7" w:name="_Toc317196257"/>
    </w:p>
    <w:p w14:paraId="68BA1517" w14:textId="77777777" w:rsidR="00B074FD" w:rsidRDefault="00B074FD">
      <w:pPr>
        <w:spacing w:after="160" w:line="259" w:lineRule="auto"/>
        <w:rPr>
          <w:rFonts w:eastAsiaTheme="majorEastAsia"/>
        </w:rPr>
      </w:pPr>
      <w:r>
        <w:br w:type="page"/>
      </w:r>
    </w:p>
    <w:p w14:paraId="4C6D87C9" w14:textId="7501FFAA" w:rsidR="00045438" w:rsidRDefault="00045438" w:rsidP="00920D6E">
      <w:pPr>
        <w:pStyle w:val="Heading2"/>
        <w:spacing w:before="0"/>
        <w:rPr>
          <w:rFonts w:ascii="Times New Roman" w:hAnsi="Times New Roman" w:cs="Times New Roman"/>
          <w:b/>
          <w:color w:val="auto"/>
          <w:sz w:val="24"/>
          <w:szCs w:val="24"/>
        </w:rPr>
      </w:pPr>
      <w:r w:rsidRPr="00920D6E">
        <w:rPr>
          <w:rFonts w:ascii="Times New Roman" w:hAnsi="Times New Roman" w:cs="Times New Roman"/>
          <w:color w:val="auto"/>
          <w:sz w:val="24"/>
          <w:szCs w:val="24"/>
        </w:rPr>
        <w:t>A.</w:t>
      </w:r>
      <w:r>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JUSTIFICATION</w:t>
      </w:r>
    </w:p>
    <w:p w14:paraId="20FF1AF0" w14:textId="77777777" w:rsidR="008452E5" w:rsidRPr="001E732D" w:rsidRDefault="008452E5" w:rsidP="00920D6E">
      <w:pPr>
        <w:pStyle w:val="Heading2"/>
        <w:spacing w:before="0"/>
        <w:rPr>
          <w:rFonts w:ascii="Times New Roman" w:hAnsi="Times New Roman" w:cs="Times New Roman"/>
          <w:b/>
          <w:color w:val="auto"/>
          <w:sz w:val="24"/>
          <w:szCs w:val="24"/>
        </w:rPr>
      </w:pPr>
      <w:r w:rsidRPr="00920D6E">
        <w:rPr>
          <w:rFonts w:ascii="Times New Roman" w:hAnsi="Times New Roman" w:cs="Times New Roman"/>
          <w:color w:val="auto"/>
          <w:sz w:val="24"/>
          <w:szCs w:val="24"/>
        </w:rPr>
        <w:t>1</w:t>
      </w:r>
      <w:r w:rsidR="00045438" w:rsidRPr="00920D6E">
        <w:rPr>
          <w:rFonts w:ascii="Times New Roman" w:hAnsi="Times New Roman" w:cs="Times New Roman"/>
          <w:color w:val="auto"/>
          <w:sz w:val="24"/>
          <w:szCs w:val="24"/>
        </w:rPr>
        <w:t>.</w:t>
      </w:r>
      <w:r w:rsidR="002A701B" w:rsidRPr="001E732D">
        <w:rPr>
          <w:rFonts w:ascii="Times New Roman" w:hAnsi="Times New Roman" w:cs="Times New Roman"/>
          <w:b/>
          <w:color w:val="auto"/>
          <w:sz w:val="24"/>
          <w:szCs w:val="24"/>
        </w:rPr>
        <w:t xml:space="preserve"> </w:t>
      </w:r>
      <w:r w:rsidR="002A701B" w:rsidRPr="00920D6E">
        <w:rPr>
          <w:rFonts w:ascii="Times New Roman" w:hAnsi="Times New Roman" w:cs="Times New Roman"/>
          <w:color w:val="auto"/>
          <w:sz w:val="24"/>
          <w:szCs w:val="24"/>
          <w:u w:val="single"/>
        </w:rPr>
        <w:t>Circumstances Making the Collection of Information Necessary</w:t>
      </w:r>
      <w:bookmarkEnd w:id="5"/>
    </w:p>
    <w:p w14:paraId="75B938C2" w14:textId="4F185045" w:rsidR="002B3E95" w:rsidRPr="001E732D" w:rsidRDefault="002B3E95" w:rsidP="001E732D">
      <w:pPr>
        <w:tabs>
          <w:tab w:val="left" w:pos="720"/>
          <w:tab w:val="left" w:pos="1080"/>
          <w:tab w:val="left" w:pos="1440"/>
          <w:tab w:val="left" w:pos="1800"/>
        </w:tabs>
        <w:autoSpaceDE w:val="0"/>
        <w:autoSpaceDN w:val="0"/>
        <w:adjustRightInd w:val="0"/>
        <w:spacing w:after="120" w:line="276" w:lineRule="auto"/>
        <w:ind w:firstLine="720"/>
        <w:rPr>
          <w:rFonts w:eastAsia="Batang"/>
        </w:rPr>
      </w:pPr>
      <w:r w:rsidRPr="001E732D">
        <w:rPr>
          <w:rFonts w:eastAsia="Batang"/>
        </w:rPr>
        <w:t>This is a new Information Collection Request (ICR)</w:t>
      </w:r>
      <w:r w:rsidR="004566A4">
        <w:rPr>
          <w:rFonts w:eastAsia="Batang"/>
        </w:rPr>
        <w:t>. CDC’s authorization to collect this information is provided</w:t>
      </w:r>
      <w:r w:rsidR="00B65FBB">
        <w:rPr>
          <w:rFonts w:eastAsia="Batang"/>
        </w:rPr>
        <w:t xml:space="preserve"> by the Public Health Service Act (Attachment 1)</w:t>
      </w:r>
      <w:r w:rsidRPr="001E732D">
        <w:rPr>
          <w:rFonts w:eastAsia="Batang"/>
        </w:rPr>
        <w:t>.</w:t>
      </w:r>
    </w:p>
    <w:p w14:paraId="5DC366EE" w14:textId="77777777" w:rsidR="00611F72" w:rsidRPr="001E732D" w:rsidRDefault="00611F72" w:rsidP="001E732D">
      <w:pPr>
        <w:spacing w:after="120" w:line="276" w:lineRule="auto"/>
        <w:rPr>
          <w:u w:val="single"/>
        </w:rPr>
      </w:pPr>
      <w:r w:rsidRPr="001E732D">
        <w:rPr>
          <w:u w:val="single"/>
        </w:rPr>
        <w:t>Background</w:t>
      </w:r>
    </w:p>
    <w:p w14:paraId="2C50AD6D" w14:textId="77777777" w:rsidR="00F8785F" w:rsidRDefault="00F8785F" w:rsidP="007439D4">
      <w:pPr>
        <w:autoSpaceDE w:val="0"/>
        <w:autoSpaceDN w:val="0"/>
        <w:adjustRightInd w:val="0"/>
        <w:spacing w:after="120" w:line="276" w:lineRule="auto"/>
        <w:ind w:firstLine="720"/>
        <w:rPr>
          <w:rFonts w:eastAsiaTheme="minorHAnsi"/>
        </w:rPr>
      </w:pPr>
      <w:bookmarkStart w:id="8" w:name="_Hlk494866355"/>
      <w:r w:rsidRPr="001E732D">
        <w:rPr>
          <w:rFonts w:eastAsiaTheme="minorHAnsi"/>
        </w:rPr>
        <w:t>The Centers for Disease Control and Prevention (CDC) is the primary Federal agency for 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w:t>
      </w:r>
    </w:p>
    <w:p w14:paraId="2E19F6D4" w14:textId="49E63BE1" w:rsidR="00204ACC" w:rsidRPr="001E732D" w:rsidRDefault="00204ACC" w:rsidP="007439D4">
      <w:pPr>
        <w:autoSpaceDE w:val="0"/>
        <w:autoSpaceDN w:val="0"/>
        <w:adjustRightInd w:val="0"/>
        <w:spacing w:after="120" w:line="276" w:lineRule="auto"/>
        <w:ind w:firstLine="720"/>
        <w:rPr>
          <w:rFonts w:eastAsiaTheme="minorHAnsi"/>
        </w:rPr>
      </w:pPr>
      <w:r w:rsidRPr="001E732D">
        <w:rPr>
          <w:rFonts w:eastAsiaTheme="minorHAnsi"/>
        </w:rPr>
        <w:t xml:space="preserve">Sodium reduction is a public health imperative. Although the </w:t>
      </w:r>
      <w:r w:rsidRPr="001E732D">
        <w:rPr>
          <w:rFonts w:eastAsiaTheme="minorHAnsi"/>
          <w:i/>
          <w:iCs/>
        </w:rPr>
        <w:t xml:space="preserve">2015–2020 Dietary Guidelines for Americans </w:t>
      </w:r>
      <w:r w:rsidRPr="001E732D">
        <w:rPr>
          <w:rFonts w:eastAsiaTheme="minorHAnsi"/>
        </w:rPr>
        <w:t>(USDA/USDHHS, 2015) recommends no more than 2,300 mg/day of sodium for adults, U.S. adults consume an average of more than 3,500 mg/day (USDA, 2014). Centers for Disease Control and Prevention (CDC) National Health and Nutrition Examination Survey (NHANES) data from 201</w:t>
      </w:r>
      <w:r w:rsidR="00120515">
        <w:rPr>
          <w:rFonts w:eastAsiaTheme="minorHAnsi"/>
        </w:rPr>
        <w:t>3</w:t>
      </w:r>
      <w:r w:rsidRPr="001E732D">
        <w:rPr>
          <w:rFonts w:eastAsiaTheme="minorHAnsi"/>
        </w:rPr>
        <w:t>–201</w:t>
      </w:r>
      <w:r w:rsidR="00120515">
        <w:rPr>
          <w:rFonts w:eastAsiaTheme="minorHAnsi"/>
        </w:rPr>
        <w:t>4</w:t>
      </w:r>
      <w:r w:rsidRPr="001E732D">
        <w:rPr>
          <w:rFonts w:eastAsiaTheme="minorHAnsi"/>
        </w:rPr>
        <w:t xml:space="preserve"> indicate that men </w:t>
      </w:r>
      <w:r w:rsidR="00120515">
        <w:rPr>
          <w:rFonts w:eastAsiaTheme="minorHAnsi"/>
        </w:rPr>
        <w:t xml:space="preserve">over the </w:t>
      </w:r>
      <w:r w:rsidRPr="001E732D">
        <w:rPr>
          <w:rFonts w:eastAsiaTheme="minorHAnsi"/>
        </w:rPr>
        <w:t xml:space="preserve">age </w:t>
      </w:r>
      <w:r w:rsidR="00120515">
        <w:rPr>
          <w:rFonts w:eastAsiaTheme="minorHAnsi"/>
        </w:rPr>
        <w:t xml:space="preserve">of </w:t>
      </w:r>
      <w:r w:rsidRPr="001E732D">
        <w:rPr>
          <w:rFonts w:eastAsiaTheme="minorHAnsi"/>
        </w:rPr>
        <w:t xml:space="preserve">20 consume an average of </w:t>
      </w:r>
      <w:r w:rsidR="00120515">
        <w:rPr>
          <w:rFonts w:eastAsiaTheme="minorHAnsi"/>
        </w:rPr>
        <w:t>4,099</w:t>
      </w:r>
      <w:r w:rsidRPr="001E732D">
        <w:rPr>
          <w:rFonts w:eastAsiaTheme="minorHAnsi"/>
        </w:rPr>
        <w:t xml:space="preserve"> mg/day of sodium (</w:t>
      </w:r>
      <w:r w:rsidR="00744BA7">
        <w:rPr>
          <w:rFonts w:eastAsiaTheme="minorHAnsi"/>
        </w:rPr>
        <w:t xml:space="preserve">US Department of </w:t>
      </w:r>
      <w:r w:rsidR="00744BA7" w:rsidRPr="004C2837">
        <w:rPr>
          <w:rFonts w:eastAsiaTheme="minorHAnsi"/>
        </w:rPr>
        <w:t>Agriculture</w:t>
      </w:r>
      <w:r w:rsidRPr="004C2837">
        <w:rPr>
          <w:rFonts w:eastAsiaTheme="minorHAnsi"/>
        </w:rPr>
        <w:t>, 201</w:t>
      </w:r>
      <w:r w:rsidR="004C2837" w:rsidRPr="004C2837">
        <w:rPr>
          <w:rFonts w:eastAsiaTheme="minorHAnsi"/>
        </w:rPr>
        <w:t>5</w:t>
      </w:r>
      <w:r w:rsidRPr="004C2837">
        <w:rPr>
          <w:rFonts w:eastAsiaTheme="minorHAnsi"/>
        </w:rPr>
        <w:t>). The</w:t>
      </w:r>
      <w:r w:rsidRPr="001E732D">
        <w:rPr>
          <w:rFonts w:eastAsiaTheme="minorHAnsi"/>
        </w:rPr>
        <w:t xml:space="preserve"> significant gap between recommended intake and average intake poses a serious public health risk; high sodium intake leads to hypertension, a common and costly health risk in the United States. The number of American adults with hypertension, estimated at 77.9 million (Go et al., 2013), continues to grow. The increasing prevalence of hypertension is especially troubling because high blood pressure leads to serious health issues, including cardiovascular disease (CVD), stroke, and kidney disease. One study projected that the real direct medical costs of CVD will triple between 2010 and 2030, from $273 billion to $818 billion (Heidenreich et al., 2011). Recent studies have shown that even modest population-level sodium reductions can lead to significant decreases in blood pressure and to potentially enormous savings—in lives and in dollars (</w:t>
      </w:r>
      <w:r w:rsidR="003F621A" w:rsidRPr="00120515">
        <w:t>Aburto</w:t>
      </w:r>
      <w:r w:rsidR="003F621A">
        <w:t xml:space="preserve"> et al., 2013; </w:t>
      </w:r>
      <w:r w:rsidR="003F621A">
        <w:rPr>
          <w:rFonts w:eastAsiaTheme="minorHAnsi"/>
          <w:szCs w:val="20"/>
        </w:rPr>
        <w:t xml:space="preserve">Adler et al., 2014; </w:t>
      </w:r>
      <w:r w:rsidRPr="001E732D">
        <w:rPr>
          <w:rFonts w:eastAsiaTheme="minorHAnsi"/>
        </w:rPr>
        <w:t xml:space="preserve">Bibbins-Domingo et al., 2010; Coxson et al., 2013; </w:t>
      </w:r>
      <w:r w:rsidR="003F621A" w:rsidRPr="00120515">
        <w:t>He</w:t>
      </w:r>
      <w:r w:rsidR="003F621A">
        <w:t xml:space="preserve"> et al., 2013; </w:t>
      </w:r>
      <w:r w:rsidRPr="001E732D">
        <w:rPr>
          <w:rFonts w:eastAsiaTheme="minorHAnsi"/>
        </w:rPr>
        <w:t>Palar &amp; Sturm, 2009; Smith-Spangler et al., 2010).</w:t>
      </w:r>
    </w:p>
    <w:p w14:paraId="351F00C0" w14:textId="77777777" w:rsidR="00204ACC" w:rsidRPr="001E732D" w:rsidRDefault="00204ACC" w:rsidP="007439D4">
      <w:pPr>
        <w:autoSpaceDE w:val="0"/>
        <w:autoSpaceDN w:val="0"/>
        <w:adjustRightInd w:val="0"/>
        <w:spacing w:after="120" w:line="276" w:lineRule="auto"/>
        <w:ind w:firstLine="720"/>
        <w:rPr>
          <w:rFonts w:eastAsiaTheme="minorHAnsi"/>
        </w:rPr>
      </w:pPr>
      <w:r w:rsidRPr="001E732D">
        <w:rPr>
          <w:rFonts w:eastAsiaTheme="minorHAnsi"/>
        </w:rPr>
        <w:t>Reducing sodium levels presents a special set of challenges for public health programs because high sodium intake is largely the result of sodium found in processed foods and foods prepared in restaurants. Commonly used to enhance flavor, texture, and viscosity or to preserve foods, salt is often hidden and difficult for consumers to recognize (IOM, 2010). Past sodium reduction initiatives that focused on consumer outreach and education succeeded in creating awareness of the link between sodium and hypertension, but failed to make a significant impact on consumption levels. Although consumer outreach and education should be a part of any sodium reduction strategy, these strategies are independently insufficient (IOM, 2010). As such, multiple reports by the Institute of Medicine (IOM) and the Food and Drug Administration (FDA) have asserted the need for large-scale, population-based efforts to decrease sodium consumption.</w:t>
      </w:r>
    </w:p>
    <w:p w14:paraId="016CA882" w14:textId="20FE0465" w:rsidR="00204ACC" w:rsidRPr="001E732D" w:rsidRDefault="00204ACC" w:rsidP="007439D4">
      <w:pPr>
        <w:autoSpaceDE w:val="0"/>
        <w:autoSpaceDN w:val="0"/>
        <w:adjustRightInd w:val="0"/>
        <w:spacing w:after="120" w:line="276" w:lineRule="auto"/>
        <w:ind w:firstLine="720"/>
        <w:rPr>
          <w:rFonts w:eastAsiaTheme="minorHAnsi"/>
        </w:rPr>
      </w:pPr>
      <w:r w:rsidRPr="001E732D">
        <w:rPr>
          <w:rFonts w:eastAsiaTheme="minorHAnsi"/>
        </w:rPr>
        <w:t xml:space="preserve">Recognizing the importance of population-based approaches, CDC launched the first round of the Sodium Reduction in Communities Program (SRCP) in 2010 to reduce sodium intake by helping to create healthier food environments (Mugavero et al., 2012) and a second round in 2013 to reduce sodium intake in food environments through population-based sodium reduction strategies. SRCP’s project goals include increasing access to and availability of lower-sodium food options. The long-term goal of the initiative is to reduce sodium intake to within the recommended levels in the </w:t>
      </w:r>
      <w:r w:rsidRPr="001E732D">
        <w:rPr>
          <w:rFonts w:eastAsiaTheme="minorHAnsi"/>
          <w:i/>
          <w:iCs/>
        </w:rPr>
        <w:t xml:space="preserve">Dietary Guidelines for Americans. </w:t>
      </w:r>
      <w:r w:rsidRPr="001E732D">
        <w:rPr>
          <w:rFonts w:eastAsiaTheme="minorHAnsi"/>
        </w:rPr>
        <w:t xml:space="preserve">The </w:t>
      </w:r>
      <w:bookmarkEnd w:id="8"/>
      <w:r w:rsidRPr="001E732D">
        <w:rPr>
          <w:rFonts w:eastAsiaTheme="minorHAnsi"/>
        </w:rPr>
        <w:t>2010 SRCP awardees implemented strategies in a variety of venues, including worksites, schools, independent restaurants, grocery and convenience stores, hospitals, and venues serving meals for older adults (e.g., senior and congregate meal sites). RTI International led the cross-site evaluation for these communities and found that achievements at the</w:t>
      </w:r>
      <w:r w:rsidR="002B67BF" w:rsidRPr="001E732D">
        <w:rPr>
          <w:rFonts w:eastAsiaTheme="minorHAnsi"/>
        </w:rPr>
        <w:t xml:space="preserve"> </w:t>
      </w:r>
      <w:r w:rsidRPr="001E732D">
        <w:rPr>
          <w:rFonts w:eastAsiaTheme="minorHAnsi"/>
        </w:rPr>
        <w:t xml:space="preserve">community level have the potential to bolster ongoing efforts at the individual, organizational, and national levels, and vice versa. Thus, community-based sodium reduction strategies play an important role in supporting broader changes and individual behavior changes. RTI is currently wrapping up the evaluation of the second round of SRCP, and preliminary findings demonstrate a strong impact of the program on availability, accessibility, and purchase of lower sodium options. RTI in collaboration with CDC will publish final results from the evaluation in </w:t>
      </w:r>
      <w:r w:rsidR="00A91564">
        <w:rPr>
          <w:rFonts w:eastAsiaTheme="minorHAnsi"/>
        </w:rPr>
        <w:t>2019.</w:t>
      </w:r>
    </w:p>
    <w:p w14:paraId="40894623" w14:textId="130C18A8" w:rsidR="00DE715A" w:rsidRPr="001E732D" w:rsidRDefault="003E72C0" w:rsidP="00F94DDD">
      <w:pPr>
        <w:shd w:val="clear" w:color="auto" w:fill="FFFFFF" w:themeFill="background1"/>
        <w:autoSpaceDE w:val="0"/>
        <w:autoSpaceDN w:val="0"/>
        <w:adjustRightInd w:val="0"/>
        <w:spacing w:after="120" w:line="276" w:lineRule="auto"/>
        <w:ind w:firstLine="720"/>
        <w:rPr>
          <w:rFonts w:eastAsia="Calibri"/>
        </w:rPr>
      </w:pPr>
      <w:r>
        <w:rPr>
          <w:rFonts w:eastAsiaTheme="minorHAnsi"/>
        </w:rPr>
        <w:t xml:space="preserve">In 2016, </w:t>
      </w:r>
      <w:r w:rsidR="00204ACC" w:rsidRPr="001E732D">
        <w:rPr>
          <w:rFonts w:eastAsiaTheme="minorHAnsi"/>
        </w:rPr>
        <w:t xml:space="preserve">CDC funded eight </w:t>
      </w:r>
      <w:r>
        <w:rPr>
          <w:rFonts w:eastAsiaTheme="minorHAnsi"/>
        </w:rPr>
        <w:t>grantees (</w:t>
      </w:r>
      <w:r w:rsidR="00204ACC" w:rsidRPr="001E732D">
        <w:rPr>
          <w:rFonts w:eastAsiaTheme="minorHAnsi"/>
        </w:rPr>
        <w:t>SRCP</w:t>
      </w:r>
      <w:r>
        <w:rPr>
          <w:rFonts w:eastAsiaTheme="minorHAnsi"/>
        </w:rPr>
        <w:t xml:space="preserve"> Round 3)</w:t>
      </w:r>
      <w:r w:rsidR="00204ACC" w:rsidRPr="001E732D">
        <w:rPr>
          <w:rFonts w:eastAsiaTheme="minorHAnsi"/>
        </w:rPr>
        <w:t xml:space="preserve"> to continue improving community and environmental supports for sodium reduction and to build practice-based evidence around effective population-based strategies to reduce sodium consumption. </w:t>
      </w:r>
      <w:r w:rsidR="00172EB8">
        <w:rPr>
          <w:rFonts w:eastAsiaTheme="minorHAnsi"/>
        </w:rPr>
        <w:t xml:space="preserve">Grantees included state and local health departments and one university medical center. </w:t>
      </w:r>
      <w:r w:rsidR="00DA28AA" w:rsidRPr="001E732D">
        <w:rPr>
          <w:rFonts w:eastAsiaTheme="minorHAnsi"/>
        </w:rPr>
        <w:t xml:space="preserve">These communities are partnering with organizations to implement sodium reduction strategies in their food service venues. </w:t>
      </w:r>
      <w:r w:rsidR="00204ACC" w:rsidRPr="001E732D">
        <w:rPr>
          <w:rFonts w:eastAsiaTheme="minorHAnsi"/>
        </w:rPr>
        <w:t xml:space="preserve">By creating a healthier environment, CDC seeks to decrease the population-wide burden of sodium intake. </w:t>
      </w:r>
      <w:r w:rsidR="00F94DDD">
        <w:rPr>
          <w:rFonts w:eastAsiaTheme="minorHAnsi"/>
        </w:rPr>
        <w:t>A list of grantees from each SRCP funding opportunity announcement is provided in Attachment 5.</w:t>
      </w:r>
    </w:p>
    <w:p w14:paraId="6D548E6C" w14:textId="77777777" w:rsidR="00495B5A" w:rsidRPr="001E732D" w:rsidRDefault="00495B5A" w:rsidP="001E732D">
      <w:pPr>
        <w:shd w:val="clear" w:color="auto" w:fill="FFFFFF" w:themeFill="background1"/>
        <w:autoSpaceDE w:val="0"/>
        <w:autoSpaceDN w:val="0"/>
        <w:adjustRightInd w:val="0"/>
        <w:spacing w:after="120" w:line="276" w:lineRule="auto"/>
        <w:ind w:firstLine="720"/>
        <w:rPr>
          <w:rFonts w:eastAsia="Calibri"/>
        </w:rPr>
      </w:pPr>
    </w:p>
    <w:p w14:paraId="5FE8A524" w14:textId="77777777" w:rsidR="00611F72" w:rsidRPr="001E732D" w:rsidRDefault="00611F72" w:rsidP="001E732D">
      <w:pPr>
        <w:autoSpaceDE w:val="0"/>
        <w:autoSpaceDN w:val="0"/>
        <w:adjustRightInd w:val="0"/>
        <w:spacing w:after="120" w:line="276" w:lineRule="auto"/>
        <w:rPr>
          <w:u w:val="single"/>
        </w:rPr>
      </w:pPr>
      <w:r w:rsidRPr="001E732D">
        <w:rPr>
          <w:u w:val="single"/>
        </w:rPr>
        <w:t>Overview of the Proposed Assessment</w:t>
      </w:r>
    </w:p>
    <w:p w14:paraId="2AAAD385" w14:textId="351F9677" w:rsidR="00C61D44" w:rsidRPr="001E732D" w:rsidRDefault="0020408F" w:rsidP="007439D4">
      <w:pPr>
        <w:autoSpaceDE w:val="0"/>
        <w:autoSpaceDN w:val="0"/>
        <w:adjustRightInd w:val="0"/>
        <w:spacing w:after="120" w:line="276" w:lineRule="auto"/>
        <w:ind w:firstLine="720"/>
        <w:rPr>
          <w:rFonts w:eastAsiaTheme="minorHAnsi"/>
        </w:rPr>
      </w:pPr>
      <w:r w:rsidRPr="001E732D">
        <w:t xml:space="preserve">CDC </w:t>
      </w:r>
      <w:r w:rsidR="00BC5DA8" w:rsidRPr="001E732D">
        <w:t>and RTI International propose</w:t>
      </w:r>
      <w:r w:rsidRPr="001E732D">
        <w:t xml:space="preserve"> </w:t>
      </w:r>
      <w:r w:rsidR="00F44E92" w:rsidRPr="001E732D">
        <w:t>to</w:t>
      </w:r>
      <w:r w:rsidRPr="001E732D">
        <w:t xml:space="preserve"> collect information from</w:t>
      </w:r>
      <w:r w:rsidR="00204ACC" w:rsidRPr="001E732D">
        <w:t xml:space="preserve"> all partners of SRCP grantees that are willing to participate</w:t>
      </w:r>
      <w:r w:rsidR="00F8785F" w:rsidRPr="001E732D">
        <w:t xml:space="preserve"> in order to estimate the costs to SRCP partners of implementing sodium reduction strategies</w:t>
      </w:r>
      <w:r w:rsidR="00204ACC" w:rsidRPr="001E732D">
        <w:t xml:space="preserve">. </w:t>
      </w:r>
      <w:r w:rsidR="00667833" w:rsidRPr="001E732D">
        <w:t xml:space="preserve">Partner organizations are those that work to implement the sodium reduction strategies </w:t>
      </w:r>
      <w:r w:rsidR="007643B7" w:rsidRPr="001E732D">
        <w:t xml:space="preserve">in their food services </w:t>
      </w:r>
      <w:r w:rsidR="00667833" w:rsidRPr="001E732D">
        <w:t xml:space="preserve">and can include worksites, schools, universities, hospitals, </w:t>
      </w:r>
      <w:r w:rsidR="007643B7" w:rsidRPr="001E732D">
        <w:t xml:space="preserve">senior meal programs, food banks, and restaurants. </w:t>
      </w:r>
      <w:r w:rsidR="00204ACC" w:rsidRPr="001E732D">
        <w:t>The information collection will occur via a cost data collection survey</w:t>
      </w:r>
      <w:r w:rsidR="00D92005">
        <w:t xml:space="preserve"> (Attachment 2)</w:t>
      </w:r>
      <w:r w:rsidR="00204ACC" w:rsidRPr="001E732D">
        <w:t xml:space="preserve">, in which respondents will be asked about a key set of sodium reduction activities that were developed </w:t>
      </w:r>
      <w:r w:rsidR="009460AA">
        <w:t>based on</w:t>
      </w:r>
      <w:r w:rsidR="009460AA" w:rsidRPr="001E732D">
        <w:t xml:space="preserve"> </w:t>
      </w:r>
      <w:r w:rsidR="009460AA">
        <w:t xml:space="preserve">a pilot study with 8 partners during </w:t>
      </w:r>
      <w:r w:rsidR="00204ACC" w:rsidRPr="001E732D">
        <w:t xml:space="preserve">the evaluation of SRCP </w:t>
      </w:r>
      <w:r w:rsidR="00046808">
        <w:t>R</w:t>
      </w:r>
      <w:r w:rsidR="00204ACC" w:rsidRPr="001E732D">
        <w:t xml:space="preserve">ound 2. </w:t>
      </w:r>
      <w:r w:rsidR="002C22FE">
        <w:t xml:space="preserve">Activities include: establishing nutrition guidelines, developing lower sodium products or recipes, preparing lower-sodium food, promoting lower-sodium foods, and attending additional meetings. </w:t>
      </w:r>
      <w:r w:rsidR="00DD68AC" w:rsidRPr="001E732D">
        <w:t xml:space="preserve">Respondents are asked to report on all costs since beginning work on sodium reduction strategies as part of SRCP. While grantees began work on SRCP in 2016, partners began work at different times, so the time period of costs will vary by partner. Therefore, we also ask how long they have been working on sodium reduction. </w:t>
      </w:r>
      <w:r w:rsidR="00204ACC" w:rsidRPr="001E732D">
        <w:t xml:space="preserve">For each activity, respondents will be asked the number and types of staff that worked on the activity, the average monthly number of hours worked on that </w:t>
      </w:r>
      <w:r w:rsidR="00204ACC" w:rsidRPr="001E732D">
        <w:rPr>
          <w:rFonts w:eastAsiaTheme="minorHAnsi"/>
        </w:rPr>
        <w:t>activity for each staff member, the number of months worked by each staff member</w:t>
      </w:r>
      <w:r w:rsidR="006D56B8" w:rsidRPr="001E732D">
        <w:rPr>
          <w:rFonts w:eastAsiaTheme="minorHAnsi"/>
        </w:rPr>
        <w:t>, and how long the activity will continue</w:t>
      </w:r>
      <w:r w:rsidR="00204ACC" w:rsidRPr="001E732D">
        <w:rPr>
          <w:rFonts w:eastAsiaTheme="minorHAnsi"/>
        </w:rPr>
        <w:t>. Additionally, for each activity, respondents will be asked to report any non</w:t>
      </w:r>
      <w:r w:rsidR="005A58DC">
        <w:rPr>
          <w:rFonts w:eastAsiaTheme="minorHAnsi"/>
        </w:rPr>
        <w:t>-</w:t>
      </w:r>
      <w:r w:rsidR="00204ACC" w:rsidRPr="001E732D">
        <w:rPr>
          <w:rFonts w:eastAsiaTheme="minorHAnsi"/>
        </w:rPr>
        <w:t xml:space="preserve">labor expenditures on materials or supplies. RTI will work with CDC and grantees to reach out to partners and request their participation in the survey. </w:t>
      </w:r>
    </w:p>
    <w:p w14:paraId="535EFAEF" w14:textId="62830436" w:rsidR="0020408F" w:rsidRPr="001E732D" w:rsidRDefault="00204ACC" w:rsidP="00712F57">
      <w:pPr>
        <w:autoSpaceDE w:val="0"/>
        <w:autoSpaceDN w:val="0"/>
        <w:adjustRightInd w:val="0"/>
        <w:spacing w:after="120" w:line="276" w:lineRule="auto"/>
        <w:ind w:firstLine="720"/>
      </w:pPr>
      <w:r w:rsidRPr="00DE67E9">
        <w:rPr>
          <w:rFonts w:eastAsiaTheme="minorHAnsi"/>
        </w:rPr>
        <w:t>We will analyze partner cost data to assess the implementation costs incurred by partners for sodium reduction activities to date. These costs will be divided into startup and ongoing costs.</w:t>
      </w:r>
      <w:r w:rsidR="0013296E" w:rsidRPr="00DE67E9">
        <w:rPr>
          <w:rFonts w:eastAsiaTheme="minorHAnsi"/>
        </w:rPr>
        <w:t xml:space="preserve"> It is important to understand this distinction because, while startup costs are generally only incurred once, ongoing costs are those required for program sustainability. Analyzing startup and ongoing costs will inform CDC, recipients, and future partners’ budgets and will better enable them to plan for future sodium reduction activities. </w:t>
      </w:r>
      <w:r w:rsidR="00D21993" w:rsidRPr="00DE67E9">
        <w:rPr>
          <w:rFonts w:eastAsiaTheme="minorHAnsi"/>
        </w:rPr>
        <w:t>Additionally, partners will likely be at different stages of implementation since they started work at different times, so categorizing costs into startup and ongoing, will help to explain potential differences in costs between partners.</w:t>
      </w:r>
      <w:r w:rsidRPr="00DE67E9">
        <w:rPr>
          <w:rFonts w:eastAsiaTheme="minorHAnsi"/>
        </w:rPr>
        <w:t xml:space="preserve"> We will examine per capita costs by dividing total implementation costs by the number of people reached by the partner. </w:t>
      </w:r>
      <w:r w:rsidR="006D56B8" w:rsidRPr="001E732D">
        <w:t>The insights to be gained from this data collection will be critical to understanding the full costs of implementing SRCP</w:t>
      </w:r>
      <w:r w:rsidR="00DE67E9">
        <w:t xml:space="preserve">. </w:t>
      </w:r>
      <w:r w:rsidR="00D74107">
        <w:t xml:space="preserve">Estimates will be considered preliminary and not externally generalizable, but can provide a basis for future planning and evaluation. </w:t>
      </w:r>
      <w:r w:rsidR="00DE67E9">
        <w:t>Understanding the costs to partners</w:t>
      </w:r>
      <w:r w:rsidR="00DE67E9" w:rsidRPr="001E732D">
        <w:t xml:space="preserve"> is important </w:t>
      </w:r>
      <w:r w:rsidR="00DE67E9">
        <w:t>for</w:t>
      </w:r>
      <w:r w:rsidR="00DE67E9" w:rsidRPr="001E732D">
        <w:t xml:space="preserve"> program planning </w:t>
      </w:r>
      <w:r w:rsidR="00DE67E9">
        <w:t>to</w:t>
      </w:r>
      <w:r w:rsidR="00DE67E9" w:rsidRPr="001E732D">
        <w:t xml:space="preserve"> </w:t>
      </w:r>
      <w:r w:rsidR="00DE67E9">
        <w:t>support</w:t>
      </w:r>
      <w:r w:rsidR="00DE67E9" w:rsidRPr="001E732D">
        <w:t xml:space="preserve"> program longevity and sustainability</w:t>
      </w:r>
      <w:r w:rsidR="00DE67E9">
        <w:t>. For example, CDC can use the estimate to provide guidance or technical assistance to entities that are interested in population-based strategies for reducing sodium consumption</w:t>
      </w:r>
      <w:r w:rsidR="00DE67E9" w:rsidRPr="001E732D">
        <w:t>.</w:t>
      </w:r>
      <w:r w:rsidR="004C2837">
        <w:t xml:space="preserve"> Results will also be disseminated to other state and local organizations to inform planning and sustainability of other community-based public health initiatives</w:t>
      </w:r>
      <w:r w:rsidR="004C2837" w:rsidRPr="001E732D">
        <w:t>.</w:t>
      </w:r>
    </w:p>
    <w:p w14:paraId="7DCD8F8B" w14:textId="77777777" w:rsidR="00DE715A" w:rsidRPr="001E732D" w:rsidRDefault="0020408F" w:rsidP="007439D4">
      <w:pPr>
        <w:shd w:val="clear" w:color="auto" w:fill="FFFFFF" w:themeFill="background1"/>
        <w:autoSpaceDE w:val="0"/>
        <w:autoSpaceDN w:val="0"/>
        <w:adjustRightInd w:val="0"/>
        <w:spacing w:after="120" w:line="276" w:lineRule="auto"/>
        <w:ind w:firstLine="720"/>
        <w:rPr>
          <w:rFonts w:eastAsia="Calibri"/>
        </w:rPr>
      </w:pPr>
      <w:r w:rsidRPr="001E732D">
        <w:t xml:space="preserve">OMB approval is requested for </w:t>
      </w:r>
      <w:r w:rsidR="006D56B8" w:rsidRPr="001E732D">
        <w:t>one</w:t>
      </w:r>
      <w:r w:rsidRPr="001E732D">
        <w:t xml:space="preserve"> </w:t>
      </w:r>
      <w:r w:rsidR="006D56B8" w:rsidRPr="001E732D">
        <w:t>year</w:t>
      </w:r>
      <w:r w:rsidRPr="001E732D">
        <w:t>.</w:t>
      </w:r>
    </w:p>
    <w:p w14:paraId="5208B6D7" w14:textId="77777777" w:rsidR="0020408F" w:rsidRPr="001E732D" w:rsidRDefault="0020408F" w:rsidP="001E732D">
      <w:pPr>
        <w:shd w:val="clear" w:color="auto" w:fill="FFFFFF" w:themeFill="background1"/>
        <w:autoSpaceDE w:val="0"/>
        <w:autoSpaceDN w:val="0"/>
        <w:adjustRightInd w:val="0"/>
        <w:spacing w:after="120" w:line="276" w:lineRule="auto"/>
        <w:ind w:firstLine="720"/>
        <w:rPr>
          <w:rFonts w:eastAsia="Calibri"/>
        </w:rPr>
      </w:pPr>
    </w:p>
    <w:p w14:paraId="335B2CF3" w14:textId="77777777" w:rsidR="008452E5" w:rsidRPr="001E732D" w:rsidRDefault="008452E5" w:rsidP="001E732D">
      <w:pPr>
        <w:pStyle w:val="Heading2"/>
        <w:spacing w:after="120" w:line="276" w:lineRule="auto"/>
        <w:rPr>
          <w:rFonts w:ascii="Times New Roman" w:hAnsi="Times New Roman" w:cs="Times New Roman"/>
          <w:b/>
          <w:color w:val="auto"/>
          <w:sz w:val="24"/>
          <w:szCs w:val="24"/>
        </w:rPr>
      </w:pPr>
      <w:bookmarkStart w:id="9" w:name="_Toc506283054"/>
      <w:r w:rsidRPr="00920D6E">
        <w:rPr>
          <w:rFonts w:ascii="Times New Roman" w:hAnsi="Times New Roman" w:cs="Times New Roman"/>
          <w:color w:val="auto"/>
          <w:sz w:val="24"/>
          <w:szCs w:val="24"/>
        </w:rPr>
        <w:t>2</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Purposes and Use of the Information</w:t>
      </w:r>
      <w:bookmarkEnd w:id="6"/>
      <w:r w:rsidRPr="00920D6E">
        <w:rPr>
          <w:rFonts w:ascii="Times New Roman" w:hAnsi="Times New Roman" w:cs="Times New Roman"/>
          <w:color w:val="auto"/>
          <w:sz w:val="24"/>
          <w:szCs w:val="24"/>
          <w:u w:val="single"/>
        </w:rPr>
        <w:t xml:space="preserve"> Collection</w:t>
      </w:r>
      <w:bookmarkEnd w:id="7"/>
      <w:bookmarkEnd w:id="9"/>
    </w:p>
    <w:p w14:paraId="4BD82DC2" w14:textId="54F14C69" w:rsidR="005C4212" w:rsidRPr="001E732D" w:rsidRDefault="005127D9" w:rsidP="007439D4">
      <w:pPr>
        <w:autoSpaceDE w:val="0"/>
        <w:autoSpaceDN w:val="0"/>
        <w:adjustRightInd w:val="0"/>
        <w:spacing w:after="120" w:line="276" w:lineRule="auto"/>
        <w:ind w:firstLine="720"/>
      </w:pPr>
      <w:r w:rsidRPr="001E732D">
        <w:t xml:space="preserve">The purpose of the assessment is to </w:t>
      </w:r>
      <w:r w:rsidR="009460AA">
        <w:t>estimate</w:t>
      </w:r>
      <w:r w:rsidR="009460AA" w:rsidRPr="001E732D">
        <w:t xml:space="preserve"> </w:t>
      </w:r>
      <w:r w:rsidRPr="001E732D">
        <w:t xml:space="preserve">the actual partner costs of </w:t>
      </w:r>
      <w:r w:rsidR="00204ACC" w:rsidRPr="001E732D">
        <w:t>implementing sodium reduction strategies as part of SRCP</w:t>
      </w:r>
      <w:r w:rsidRPr="001E732D">
        <w:t>.</w:t>
      </w:r>
      <w:r w:rsidR="00F9105D" w:rsidRPr="001E732D">
        <w:t xml:space="preserve"> </w:t>
      </w:r>
      <w:r w:rsidR="00204ACC" w:rsidRPr="001E732D">
        <w:t xml:space="preserve">The information collection will occur via a cost data collection survey, in which respondents will be asked about </w:t>
      </w:r>
      <w:r w:rsidR="006D56B8" w:rsidRPr="001E732D">
        <w:t xml:space="preserve">costs incurred on </w:t>
      </w:r>
      <w:r w:rsidR="00204ACC" w:rsidRPr="001E732D">
        <w:t xml:space="preserve">a key set of sodium reduction activities </w:t>
      </w:r>
    </w:p>
    <w:p w14:paraId="3F605041" w14:textId="77777777" w:rsidR="006E57A1" w:rsidRPr="001E732D" w:rsidRDefault="008452E5" w:rsidP="007439D4">
      <w:pPr>
        <w:spacing w:after="120" w:line="276" w:lineRule="auto"/>
        <w:ind w:firstLine="720"/>
      </w:pPr>
      <w:r w:rsidRPr="001E732D">
        <w:t>The goal of the information collection is to provide</w:t>
      </w:r>
      <w:r w:rsidR="00495B5A" w:rsidRPr="001E732D">
        <w:t xml:space="preserve"> CDC</w:t>
      </w:r>
      <w:r w:rsidR="006D56B8" w:rsidRPr="001E732D">
        <w:t>,</w:t>
      </w:r>
      <w:r w:rsidR="00713205" w:rsidRPr="001E732D">
        <w:t xml:space="preserve"> grantees</w:t>
      </w:r>
      <w:r w:rsidR="00495B5A" w:rsidRPr="001E732D">
        <w:t>, and their partners</w:t>
      </w:r>
      <w:r w:rsidRPr="001E732D">
        <w:t xml:space="preserve"> with the ability to analyze data related to the </w:t>
      </w:r>
      <w:r w:rsidR="007448F7" w:rsidRPr="001E732D">
        <w:t>partner costs</w:t>
      </w:r>
      <w:r w:rsidRPr="001E732D">
        <w:t xml:space="preserve"> associated with </w:t>
      </w:r>
      <w:r w:rsidR="007448F7" w:rsidRPr="001E732D">
        <w:t>the implementation of sodium reduction strategies</w:t>
      </w:r>
      <w:r w:rsidRPr="001E732D">
        <w:t xml:space="preserve">. These data collected by RTI </w:t>
      </w:r>
      <w:r w:rsidR="0049699E" w:rsidRPr="001E732D">
        <w:t xml:space="preserve">International </w:t>
      </w:r>
      <w:r w:rsidRPr="001E732D">
        <w:t>will be used to</w:t>
      </w:r>
      <w:r w:rsidR="007448F7" w:rsidRPr="001E732D">
        <w:t xml:space="preserve"> conduct a series of economic analyses assessing the costs of implementing the program to inform future program planning and cost-effectiveness analysis of the current program.</w:t>
      </w:r>
    </w:p>
    <w:p w14:paraId="6CF3B337" w14:textId="77777777" w:rsidR="006E57A1" w:rsidRPr="001E732D" w:rsidRDefault="006D56B8" w:rsidP="007439D4">
      <w:pPr>
        <w:spacing w:after="120" w:line="276" w:lineRule="auto"/>
        <w:ind w:firstLine="720"/>
        <w:rPr>
          <w:vertAlign w:val="superscript"/>
        </w:rPr>
      </w:pPr>
      <w:r w:rsidRPr="001E732D">
        <w:t xml:space="preserve">Cost data are currently limited for implementation of sodium reduction strategies at the community level. </w:t>
      </w:r>
      <w:r w:rsidR="008452E5" w:rsidRPr="001E732D">
        <w:t xml:space="preserve">Economic analysis will provide critical information </w:t>
      </w:r>
      <w:r w:rsidR="00DB4112" w:rsidRPr="001E732D">
        <w:t>for</w:t>
      </w:r>
      <w:r w:rsidR="008452E5" w:rsidRPr="001E732D">
        <w:t xml:space="preserve"> decision making by assessing the actual costs of </w:t>
      </w:r>
      <w:r w:rsidR="00331F97" w:rsidRPr="001E732D">
        <w:t>implementing sodium reduction strategies</w:t>
      </w:r>
      <w:r w:rsidR="008452E5" w:rsidRPr="001E732D">
        <w:t>. The literature contains numerous examples of using costing methodologies to obtain detailed cost data to perform economic evaluations of health programs in the United States and internationally. In the United States, there is a long history of using an activity-based costing approach to perform cost-effectiveness evaluations of substance abuse programs, which recently has been extended to cancer interventions</w:t>
      </w:r>
      <w:r w:rsidR="007866CD" w:rsidRPr="001E732D">
        <w:t xml:space="preserve"> and a significant proportion of costs are shared by program partners</w:t>
      </w:r>
      <w:r w:rsidR="008452E5" w:rsidRPr="001E732D">
        <w:t>.</w:t>
      </w:r>
    </w:p>
    <w:p w14:paraId="230A2F3A" w14:textId="36FB6DE2" w:rsidR="008452E5" w:rsidRPr="001E732D" w:rsidRDefault="008452E5" w:rsidP="001E732D">
      <w:pPr>
        <w:spacing w:after="120" w:line="276" w:lineRule="auto"/>
      </w:pPr>
    </w:p>
    <w:p w14:paraId="58C283E8" w14:textId="77777777" w:rsidR="00DE715A" w:rsidRPr="00920D6E" w:rsidRDefault="00DE715A" w:rsidP="001E732D">
      <w:pPr>
        <w:pStyle w:val="Heading2"/>
        <w:spacing w:after="120" w:line="276" w:lineRule="auto"/>
        <w:rPr>
          <w:rFonts w:ascii="Times New Roman" w:hAnsi="Times New Roman" w:cs="Times New Roman"/>
          <w:color w:val="auto"/>
          <w:sz w:val="24"/>
          <w:szCs w:val="24"/>
          <w:u w:val="single"/>
        </w:rPr>
      </w:pPr>
      <w:bookmarkStart w:id="10" w:name="_Toc506283055"/>
      <w:r w:rsidRPr="00920D6E">
        <w:rPr>
          <w:rFonts w:ascii="Times New Roman" w:hAnsi="Times New Roman" w:cs="Times New Roman"/>
          <w:color w:val="auto"/>
          <w:sz w:val="24"/>
          <w:szCs w:val="24"/>
        </w:rPr>
        <w:t>3</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Use of Improved Information Technology and Burden Reduction</w:t>
      </w:r>
      <w:bookmarkEnd w:id="10"/>
      <w:r w:rsidRPr="00920D6E">
        <w:rPr>
          <w:rFonts w:ascii="Times New Roman" w:hAnsi="Times New Roman" w:cs="Times New Roman"/>
          <w:color w:val="auto"/>
          <w:sz w:val="24"/>
          <w:szCs w:val="24"/>
          <w:u w:val="single"/>
        </w:rPr>
        <w:t xml:space="preserve"> </w:t>
      </w:r>
    </w:p>
    <w:p w14:paraId="199D05C2" w14:textId="5C3186BC" w:rsidR="008E6558" w:rsidRPr="001E732D" w:rsidRDefault="00DE715A" w:rsidP="004C2837">
      <w:pPr>
        <w:spacing w:after="120" w:line="276" w:lineRule="auto"/>
        <w:ind w:firstLine="720"/>
      </w:pPr>
      <w:r w:rsidRPr="002C0585">
        <w:t xml:space="preserve">All </w:t>
      </w:r>
      <w:r w:rsidR="00625859" w:rsidRPr="002C0585">
        <w:t xml:space="preserve">cost </w:t>
      </w:r>
      <w:r w:rsidRPr="002C0585">
        <w:t>data will be collected electronically via</w:t>
      </w:r>
      <w:r w:rsidR="006D56B8" w:rsidRPr="002C0585">
        <w:t xml:space="preserve"> email using </w:t>
      </w:r>
      <w:r w:rsidRPr="002C0585">
        <w:t>a</w:t>
      </w:r>
      <w:r w:rsidR="006D56B8" w:rsidRPr="002C0585">
        <w:t>n electron</w:t>
      </w:r>
      <w:r w:rsidR="006B1197" w:rsidRPr="002C0585">
        <w:t>ic</w:t>
      </w:r>
      <w:r w:rsidR="006D56B8" w:rsidRPr="002C0585">
        <w:t xml:space="preserve"> survey </w:t>
      </w:r>
      <w:r w:rsidRPr="002C0585">
        <w:t>instrument to reduce respondent burden, data collection errors, and delays in receiving data.</w:t>
      </w:r>
      <w:r w:rsidR="0053226E" w:rsidRPr="002C0585">
        <w:t xml:space="preserve"> </w:t>
      </w:r>
      <w:r w:rsidR="002C0585">
        <w:t>T</w:t>
      </w:r>
      <w:r w:rsidR="0053226E" w:rsidRPr="002C0585">
        <w:t>he survey will be provided</w:t>
      </w:r>
      <w:r w:rsidR="002C0585">
        <w:t xml:space="preserve"> via email as an attachment an</w:t>
      </w:r>
      <w:r w:rsidR="00553108">
        <w:t>d</w:t>
      </w:r>
      <w:r w:rsidR="0053226E" w:rsidRPr="001E732D">
        <w:t xml:space="preserve"> will be</w:t>
      </w:r>
      <w:r w:rsidR="002C0585">
        <w:t xml:space="preserve"> sent and</w:t>
      </w:r>
      <w:r w:rsidR="0053226E" w:rsidRPr="001E732D">
        <w:t xml:space="preserve"> re</w:t>
      </w:r>
      <w:r w:rsidR="002C0585">
        <w:t>ceived on RTI’s secure servers. N</w:t>
      </w:r>
      <w:r w:rsidR="0053226E" w:rsidRPr="001E732D">
        <w:t>o sensitive information will be collected.</w:t>
      </w:r>
      <w:r w:rsidRPr="001E732D">
        <w:t xml:space="preserve"> </w:t>
      </w:r>
      <w:r w:rsidR="002444B3" w:rsidRPr="001E732D">
        <w:t xml:space="preserve">The survey </w:t>
      </w:r>
      <w:r w:rsidR="006B1197" w:rsidRPr="001E732D">
        <w:t xml:space="preserve">includes </w:t>
      </w:r>
      <w:r w:rsidR="007643B7" w:rsidRPr="001E732D">
        <w:t xml:space="preserve">13 </w:t>
      </w:r>
      <w:r w:rsidR="006B1197" w:rsidRPr="001E732D">
        <w:t xml:space="preserve">items and </w:t>
      </w:r>
      <w:r w:rsidR="002444B3" w:rsidRPr="001E732D">
        <w:t xml:space="preserve">can be completed at the convenience of the respondent. </w:t>
      </w:r>
      <w:r w:rsidRPr="001E732D">
        <w:t>A</w:t>
      </w:r>
      <w:r w:rsidR="008C4A39" w:rsidRPr="001E732D">
        <w:t xml:space="preserve"> Microsoft Word-based</w:t>
      </w:r>
      <w:r w:rsidRPr="001E732D">
        <w:t xml:space="preserve"> draft version of the </w:t>
      </w:r>
      <w:r w:rsidR="008C4A39" w:rsidRPr="001E732D">
        <w:t>cost survey</w:t>
      </w:r>
      <w:r w:rsidRPr="001E732D">
        <w:t xml:space="preserve"> </w:t>
      </w:r>
      <w:r w:rsidR="008C4A39" w:rsidRPr="001E732D">
        <w:t>was</w:t>
      </w:r>
      <w:r w:rsidRPr="001E732D">
        <w:t xml:space="preserve"> pilot tested </w:t>
      </w:r>
      <w:r w:rsidR="008C4A39" w:rsidRPr="001E732D">
        <w:t>during the evaluation of SRCP Round 2</w:t>
      </w:r>
      <w:r w:rsidRPr="001E732D">
        <w:t xml:space="preserve"> to assess its ability to provide requested data and identify approaches to minimize burden. </w:t>
      </w:r>
      <w:r w:rsidR="002444B3" w:rsidRPr="001E732D">
        <w:t xml:space="preserve">The tool </w:t>
      </w:r>
      <w:r w:rsidR="008C4A39" w:rsidRPr="001E732D">
        <w:t>has been revised</w:t>
      </w:r>
      <w:r w:rsidR="002444B3" w:rsidRPr="001E732D">
        <w:t xml:space="preserve"> to only include the most important questions to inform the relevant evaluation questions; therefore, no extraneous information will be collected.</w:t>
      </w:r>
      <w:r w:rsidR="0053226E" w:rsidRPr="001E732D">
        <w:t xml:space="preserve"> The survey will also include detailed instructions for completion, which have been revised based on feedback from the pilot test.</w:t>
      </w:r>
    </w:p>
    <w:p w14:paraId="37F2A2CB" w14:textId="77777777" w:rsidR="00DE715A" w:rsidRPr="001E732D" w:rsidRDefault="00DE715A" w:rsidP="001E732D">
      <w:pPr>
        <w:spacing w:after="120" w:line="276" w:lineRule="auto"/>
        <w:ind w:firstLine="720"/>
      </w:pPr>
      <w:r w:rsidRPr="001E732D">
        <w:t>RTI will collect and ta</w:t>
      </w:r>
      <w:r w:rsidR="00A4720D" w:rsidRPr="001E732D">
        <w:t xml:space="preserve">bulate the data provided by program </w:t>
      </w:r>
      <w:r w:rsidR="008E6558" w:rsidRPr="001E732D">
        <w:t>partners</w:t>
      </w:r>
      <w:r w:rsidRPr="001E732D">
        <w:t xml:space="preserve">. We expect to collect minimum information necessary to address the project’s </w:t>
      </w:r>
      <w:r w:rsidR="00C96EBF" w:rsidRPr="001E732D">
        <w:t>evaluation</w:t>
      </w:r>
      <w:r w:rsidRPr="001E732D">
        <w:t xml:space="preserve"> questions. </w:t>
      </w:r>
      <w:r w:rsidRPr="001E732D">
        <w:rPr>
          <w:bCs/>
        </w:rPr>
        <w:t>Efforts have been made to design the instrument to be brief, easy to use, and understandable. The study investigators have carefully considered the content, appropriateness, and phrasing of the questions</w:t>
      </w:r>
      <w:r w:rsidRPr="001E732D">
        <w:t>.</w:t>
      </w:r>
    </w:p>
    <w:p w14:paraId="725C0BE0" w14:textId="77777777" w:rsidR="00625859" w:rsidRPr="001E732D" w:rsidRDefault="00625859" w:rsidP="001E732D">
      <w:pPr>
        <w:spacing w:after="120" w:line="276" w:lineRule="auto"/>
      </w:pPr>
    </w:p>
    <w:p w14:paraId="5040912D" w14:textId="77777777" w:rsidR="00DE715A" w:rsidRPr="001E732D" w:rsidRDefault="00DE715A" w:rsidP="001E732D">
      <w:pPr>
        <w:spacing w:after="120" w:line="276" w:lineRule="auto"/>
        <w:rPr>
          <w:rFonts w:eastAsiaTheme="majorEastAsia"/>
          <w:b/>
        </w:rPr>
      </w:pPr>
      <w:r w:rsidRPr="00920D6E">
        <w:t>4</w:t>
      </w:r>
      <w:r w:rsidR="002333E9" w:rsidRPr="00920D6E">
        <w:t>.</w:t>
      </w:r>
      <w:r w:rsidR="002333E9">
        <w:rPr>
          <w:b/>
        </w:rPr>
        <w:t xml:space="preserve">   </w:t>
      </w:r>
      <w:r w:rsidRPr="00920D6E">
        <w:rPr>
          <w:u w:val="single"/>
        </w:rPr>
        <w:t xml:space="preserve">Efforts to Identify Duplication and Use of Similar Information </w:t>
      </w:r>
    </w:p>
    <w:p w14:paraId="580E4E7A" w14:textId="77777777" w:rsidR="00832135" w:rsidRPr="001E732D" w:rsidRDefault="00832135" w:rsidP="001E732D">
      <w:pPr>
        <w:spacing w:after="120" w:line="276" w:lineRule="auto"/>
        <w:ind w:firstLine="720"/>
      </w:pPr>
      <w:r w:rsidRPr="001E732D">
        <w:t xml:space="preserve">During the evaluation of SRCP Round 2, RTI developed a partner cost data collection survey based on interviews with SRCP partners. The survey was piloted to eight SRCP partners. </w:t>
      </w:r>
      <w:r w:rsidR="007643B7" w:rsidRPr="001E732D">
        <w:t xml:space="preserve">None of these eight partners will be surveyed again as part of this data collection. </w:t>
      </w:r>
      <w:r w:rsidRPr="001E732D">
        <w:t>The survey has been revised to reflect lessons learned and consultation with CDC and other stakeholders, such as grantees and key partner contacts.</w:t>
      </w:r>
    </w:p>
    <w:p w14:paraId="37E58413" w14:textId="730ABEEC" w:rsidR="00E577FB" w:rsidRPr="001E732D" w:rsidRDefault="00E577FB" w:rsidP="001E732D">
      <w:pPr>
        <w:spacing w:after="120" w:line="276" w:lineRule="auto"/>
      </w:pPr>
      <w:r w:rsidRPr="001E732D">
        <w:tab/>
      </w:r>
      <w:r w:rsidR="006E57A1" w:rsidRPr="001E732D">
        <w:t>While</w:t>
      </w:r>
      <w:r w:rsidR="00046808">
        <w:t xml:space="preserve"> the</w:t>
      </w:r>
      <w:r w:rsidR="006E57A1" w:rsidRPr="001E732D">
        <w:t xml:space="preserve"> </w:t>
      </w:r>
      <w:r w:rsidR="007448F7" w:rsidRPr="001E732D">
        <w:t xml:space="preserve">SRCP </w:t>
      </w:r>
      <w:r w:rsidR="006E57A1" w:rsidRPr="001E732D">
        <w:t>has existed since 20</w:t>
      </w:r>
      <w:r w:rsidR="007448F7" w:rsidRPr="001E732D">
        <w:t>10</w:t>
      </w:r>
      <w:r w:rsidR="006E57A1" w:rsidRPr="001E732D">
        <w:t xml:space="preserve">, the </w:t>
      </w:r>
      <w:r w:rsidR="00ED113F" w:rsidRPr="001E732D">
        <w:t>goal and mission of the program has evolved with each funding cycle. The 201</w:t>
      </w:r>
      <w:r w:rsidR="007448F7" w:rsidRPr="001E732D">
        <w:t>6</w:t>
      </w:r>
      <w:r w:rsidR="00ED113F" w:rsidRPr="001E732D">
        <w:t>-20</w:t>
      </w:r>
      <w:r w:rsidR="00C96EBF" w:rsidRPr="001E732D">
        <w:t>21</w:t>
      </w:r>
      <w:r w:rsidR="00ED113F" w:rsidRPr="001E732D">
        <w:t xml:space="preserve"> funding cycle</w:t>
      </w:r>
      <w:r w:rsidR="00416EC2" w:rsidRPr="001E732D">
        <w:t xml:space="preserve"> (Round 3)</w:t>
      </w:r>
      <w:r w:rsidR="00ED113F" w:rsidRPr="001E732D">
        <w:t xml:space="preserve"> is the first such initiative to </w:t>
      </w:r>
      <w:r w:rsidR="007448F7" w:rsidRPr="001E732D">
        <w:t xml:space="preserve">include as a </w:t>
      </w:r>
      <w:r w:rsidR="00ED113F" w:rsidRPr="001E732D">
        <w:t xml:space="preserve">focus </w:t>
      </w:r>
      <w:r w:rsidR="007448F7" w:rsidRPr="001E732D">
        <w:t xml:space="preserve">the </w:t>
      </w:r>
      <w:r w:rsidR="00C96EBF" w:rsidRPr="001E732D">
        <w:t>cost</w:t>
      </w:r>
      <w:r w:rsidR="007448F7" w:rsidRPr="001E732D">
        <w:t xml:space="preserve"> of implementing sodium reduction strategies on partner organizations</w:t>
      </w:r>
      <w:r w:rsidR="00ED113F" w:rsidRPr="001E732D">
        <w:t>.</w:t>
      </w:r>
      <w:r w:rsidR="00416EC2" w:rsidRPr="001E732D">
        <w:t xml:space="preserve"> The evaluation of </w:t>
      </w:r>
      <w:r w:rsidR="00046808">
        <w:t xml:space="preserve">SRCP </w:t>
      </w:r>
      <w:r w:rsidR="00416EC2" w:rsidRPr="001E732D">
        <w:t>Round 2 did include a small pilot study on partner costs, but this is the first large-scale effort to collect these costs.</w:t>
      </w:r>
      <w:r w:rsidR="00576A24" w:rsidRPr="001E732D">
        <w:t xml:space="preserve"> </w:t>
      </w:r>
      <w:r w:rsidR="006C0C2E" w:rsidRPr="001E732D">
        <w:t xml:space="preserve">The proposed information collection is unique in that there are no other surveys administered to </w:t>
      </w:r>
      <w:r w:rsidR="00416EC2" w:rsidRPr="001E732D">
        <w:t xml:space="preserve">partners of SRCP </w:t>
      </w:r>
      <w:r w:rsidR="006C0C2E" w:rsidRPr="001E732D">
        <w:t xml:space="preserve">funded </w:t>
      </w:r>
      <w:r w:rsidR="00416EC2" w:rsidRPr="001E732D">
        <w:t xml:space="preserve">grantees </w:t>
      </w:r>
      <w:r w:rsidR="006C0C2E" w:rsidRPr="001E732D">
        <w:t xml:space="preserve">that assess </w:t>
      </w:r>
      <w:r w:rsidR="00416EC2" w:rsidRPr="001E732D">
        <w:t>the partner costs associated with implementing sodium reduction strategies</w:t>
      </w:r>
      <w:r w:rsidR="006C0C2E" w:rsidRPr="001E732D">
        <w:t xml:space="preserve">. This is the first data collection effort to assess an initiative of this nature. In addition, the </w:t>
      </w:r>
      <w:r w:rsidR="00346321" w:rsidRPr="001E732D">
        <w:t xml:space="preserve">partner </w:t>
      </w:r>
      <w:r w:rsidR="006C0C2E" w:rsidRPr="001E732D">
        <w:t>cost data will provide complementary information that is not obtain</w:t>
      </w:r>
      <w:r w:rsidR="00346321" w:rsidRPr="001E732D">
        <w:t>ed</w:t>
      </w:r>
      <w:r w:rsidR="006C0C2E" w:rsidRPr="001E732D">
        <w:t xml:space="preserve"> through regular grantee progress </w:t>
      </w:r>
      <w:r w:rsidR="00E155D0" w:rsidRPr="001E732D">
        <w:t>reporting to</w:t>
      </w:r>
      <w:r w:rsidR="006C0C2E" w:rsidRPr="001E732D">
        <w:t xml:space="preserve"> </w:t>
      </w:r>
      <w:r w:rsidR="00416EC2" w:rsidRPr="001E732D">
        <w:t>CDC</w:t>
      </w:r>
      <w:r w:rsidR="006C0C2E" w:rsidRPr="001E732D">
        <w:t xml:space="preserve">. </w:t>
      </w:r>
      <w:r w:rsidR="00416EC2" w:rsidRPr="001E732D">
        <w:t>The partner cost data collection instrument was</w:t>
      </w:r>
      <w:r w:rsidRPr="001E732D">
        <w:t xml:space="preserve"> developed by a </w:t>
      </w:r>
      <w:r w:rsidR="00576A24" w:rsidRPr="001E732D">
        <w:t xml:space="preserve">panel of evaluators from RTI and CDC </w:t>
      </w:r>
      <w:r w:rsidRPr="001E732D">
        <w:t>to ensure that the most useful questions were being asked and to minimize redundancy.</w:t>
      </w:r>
      <w:r w:rsidR="00416EC2" w:rsidRPr="001E732D">
        <w:t xml:space="preserve"> Content was informed by a series of structured interviews with partners conducted by RTI during the evaluation of SRCP Round 2. The tool was piloted with a small group of Round 2 partner organizations, and modified based on lessons learned and discussions with CDC and other stakeholders.</w:t>
      </w:r>
      <w:r w:rsidR="006C0C2E" w:rsidRPr="001E732D">
        <w:t xml:space="preserve"> </w:t>
      </w:r>
    </w:p>
    <w:p w14:paraId="7B089A00" w14:textId="77777777" w:rsidR="00FF75EF" w:rsidRPr="001E732D" w:rsidRDefault="00E577FB" w:rsidP="001E732D">
      <w:pPr>
        <w:spacing w:after="120" w:line="276" w:lineRule="auto"/>
      </w:pPr>
      <w:r w:rsidRPr="001E732D">
        <w:rPr>
          <w:bCs/>
        </w:rPr>
        <w:tab/>
        <w:t xml:space="preserve">CDC project officers communicate with </w:t>
      </w:r>
      <w:r w:rsidR="00416EC2" w:rsidRPr="001E732D">
        <w:rPr>
          <w:bCs/>
        </w:rPr>
        <w:t xml:space="preserve">SRCP </w:t>
      </w:r>
      <w:r w:rsidR="00576A24" w:rsidRPr="001E732D">
        <w:rPr>
          <w:bCs/>
        </w:rPr>
        <w:t>grantees</w:t>
      </w:r>
      <w:r w:rsidRPr="001E732D">
        <w:rPr>
          <w:bCs/>
        </w:rPr>
        <w:t xml:space="preserve"> on an ongoing basis, including th</w:t>
      </w:r>
      <w:r w:rsidR="00E155D0" w:rsidRPr="001E732D">
        <w:rPr>
          <w:bCs/>
        </w:rPr>
        <w:t>o</w:t>
      </w:r>
      <w:r w:rsidRPr="001E732D">
        <w:rPr>
          <w:bCs/>
        </w:rPr>
        <w:t xml:space="preserve">rough monthly conference calls.  However, routine calls and progress reports do not provide a systematic overview of </w:t>
      </w:r>
      <w:r w:rsidR="00416EC2" w:rsidRPr="001E732D">
        <w:rPr>
          <w:bCs/>
        </w:rPr>
        <w:t>the costs realized by partner organizations during the implementation of sodium reduction strategies.</w:t>
      </w:r>
      <w:r w:rsidR="00576A24" w:rsidRPr="001E732D">
        <w:rPr>
          <w:bCs/>
        </w:rPr>
        <w:t xml:space="preserve"> </w:t>
      </w:r>
      <w:r w:rsidR="006C0C2E" w:rsidRPr="001E732D">
        <w:rPr>
          <w:bCs/>
        </w:rPr>
        <w:t>Similarly, the financial reporting required of grantees, the Federal Financial Report (FFRs) and program budgets, do not include detailed information of the true program costs</w:t>
      </w:r>
      <w:r w:rsidR="00346321" w:rsidRPr="001E732D">
        <w:rPr>
          <w:bCs/>
        </w:rPr>
        <w:t>, including partner cost contributions</w:t>
      </w:r>
      <w:r w:rsidR="006C0C2E" w:rsidRPr="001E732D">
        <w:rPr>
          <w:bCs/>
        </w:rPr>
        <w:t xml:space="preserve">. </w:t>
      </w:r>
    </w:p>
    <w:p w14:paraId="1408EEAF" w14:textId="77777777" w:rsidR="00FF75EF" w:rsidRPr="001E732D" w:rsidRDefault="00FF75EF" w:rsidP="001E732D">
      <w:pPr>
        <w:spacing w:after="120" w:line="276" w:lineRule="auto"/>
      </w:pPr>
    </w:p>
    <w:p w14:paraId="35B96CA4" w14:textId="77777777" w:rsidR="00FF75EF" w:rsidRPr="001E732D" w:rsidRDefault="00FF75EF" w:rsidP="001E732D">
      <w:pPr>
        <w:pStyle w:val="Heading2"/>
        <w:spacing w:after="120" w:line="276" w:lineRule="auto"/>
        <w:rPr>
          <w:rFonts w:ascii="Times New Roman" w:hAnsi="Times New Roman" w:cs="Times New Roman"/>
          <w:b/>
          <w:color w:val="auto"/>
          <w:sz w:val="24"/>
          <w:szCs w:val="24"/>
        </w:rPr>
      </w:pPr>
      <w:bookmarkStart w:id="11" w:name="_Toc506283056"/>
      <w:r w:rsidRPr="00920D6E">
        <w:rPr>
          <w:rFonts w:ascii="Times New Roman" w:hAnsi="Times New Roman" w:cs="Times New Roman"/>
          <w:color w:val="auto"/>
          <w:sz w:val="24"/>
          <w:szCs w:val="24"/>
        </w:rPr>
        <w:t>5</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Impact on Small Businesses or Other Small Entities</w:t>
      </w:r>
      <w:bookmarkEnd w:id="11"/>
      <w:r w:rsidRPr="001E732D">
        <w:rPr>
          <w:rFonts w:ascii="Times New Roman" w:hAnsi="Times New Roman" w:cs="Times New Roman"/>
          <w:b/>
          <w:color w:val="auto"/>
          <w:sz w:val="24"/>
          <w:szCs w:val="24"/>
        </w:rPr>
        <w:t xml:space="preserve"> </w:t>
      </w:r>
    </w:p>
    <w:p w14:paraId="2589AAD8" w14:textId="77777777" w:rsidR="002444B3" w:rsidRPr="001E732D" w:rsidRDefault="002444B3" w:rsidP="007439D4">
      <w:pPr>
        <w:spacing w:after="120" w:line="276" w:lineRule="auto"/>
        <w:ind w:firstLine="720"/>
      </w:pPr>
      <w:r w:rsidRPr="001E732D">
        <w:t xml:space="preserve">Small businesses and other small entities will not be </w:t>
      </w:r>
      <w:r w:rsidR="00C96EBF" w:rsidRPr="001E732D">
        <w:t xml:space="preserve">specifically </w:t>
      </w:r>
      <w:r w:rsidRPr="001E732D">
        <w:t xml:space="preserve">targeted to participate in this assessment. Recruited participants will </w:t>
      </w:r>
      <w:r w:rsidR="0034503E">
        <w:t>be</w:t>
      </w:r>
      <w:r w:rsidRPr="001E732D">
        <w:t xml:space="preserve"> </w:t>
      </w:r>
      <w:r w:rsidR="00C96EBF" w:rsidRPr="001E732D">
        <w:t>organizations partnering with SRCP grantees</w:t>
      </w:r>
      <w:r w:rsidRPr="001E732D">
        <w:t xml:space="preserve">. It is possible that some partners who will be recruited to complete the </w:t>
      </w:r>
      <w:r w:rsidR="00C96EBF" w:rsidRPr="001E732D">
        <w:t>cost survey</w:t>
      </w:r>
      <w:r w:rsidRPr="001E732D">
        <w:t xml:space="preserve"> </w:t>
      </w:r>
      <w:r w:rsidR="008B2B6E" w:rsidRPr="001E732D">
        <w:t>may be</w:t>
      </w:r>
      <w:r w:rsidRPr="001E732D">
        <w:t xml:space="preserve"> representatives of a small business. However, </w:t>
      </w:r>
      <w:r w:rsidR="00C96EBF" w:rsidRPr="001E732D">
        <w:t>t</w:t>
      </w:r>
      <w:r w:rsidRPr="001E732D">
        <w:t xml:space="preserve">here are no specific requirements for small businesses. </w:t>
      </w:r>
    </w:p>
    <w:p w14:paraId="1E0D6CCF" w14:textId="465474F2" w:rsidR="00545E70" w:rsidRDefault="002444B3" w:rsidP="00B074FD">
      <w:pPr>
        <w:spacing w:after="120" w:line="276" w:lineRule="auto"/>
        <w:ind w:firstLine="720"/>
      </w:pPr>
      <w:r w:rsidRPr="001E732D">
        <w:t>In addition, because the survey</w:t>
      </w:r>
      <w:r w:rsidR="008B2B6E" w:rsidRPr="001E732D">
        <w:t xml:space="preserve"> </w:t>
      </w:r>
      <w:r w:rsidR="00832135" w:rsidRPr="001E732D">
        <w:t>is</w:t>
      </w:r>
      <w:r w:rsidRPr="001E732D">
        <w:t xml:space="preserve"> voluntary and each recruited participant will indicate their desire to participate at the start of the survey, </w:t>
      </w:r>
      <w:r w:rsidR="00832135" w:rsidRPr="001E732D">
        <w:t xml:space="preserve">we anticipate that </w:t>
      </w:r>
      <w:r w:rsidRPr="001E732D">
        <w:t>the impact of the information collection on respondents</w:t>
      </w:r>
      <w:r w:rsidR="00832135" w:rsidRPr="001E732D">
        <w:t xml:space="preserve"> will</w:t>
      </w:r>
      <w:r w:rsidRPr="001E732D">
        <w:t xml:space="preserve"> be minimal. The administration of the survey will allow respondents to complete the survey in multiple sessions at their convenience over several weeks, which will also minimize the burden on small employers.</w:t>
      </w:r>
      <w:r w:rsidR="00832135" w:rsidRPr="001E732D">
        <w:t xml:space="preserve"> Furthermore, we will provide $50 gift cards as incentives for completing the survey. </w:t>
      </w:r>
    </w:p>
    <w:p w14:paraId="311735B1" w14:textId="77777777" w:rsidR="00B074FD" w:rsidRPr="00B074FD" w:rsidRDefault="00B074FD" w:rsidP="00B074FD">
      <w:pPr>
        <w:spacing w:after="120" w:line="276" w:lineRule="auto"/>
        <w:ind w:firstLine="720"/>
      </w:pPr>
    </w:p>
    <w:p w14:paraId="0414168C" w14:textId="77777777" w:rsidR="00FF75EF" w:rsidRPr="001E732D" w:rsidRDefault="00FF75EF" w:rsidP="001E732D">
      <w:pPr>
        <w:pStyle w:val="Heading2"/>
        <w:spacing w:after="120" w:line="276" w:lineRule="auto"/>
        <w:rPr>
          <w:rFonts w:ascii="Times New Roman" w:hAnsi="Times New Roman" w:cs="Times New Roman"/>
          <w:b/>
          <w:color w:val="auto"/>
          <w:sz w:val="24"/>
          <w:szCs w:val="24"/>
        </w:rPr>
      </w:pPr>
      <w:bookmarkStart w:id="12" w:name="_Toc506283057"/>
      <w:r w:rsidRPr="00920D6E">
        <w:rPr>
          <w:rFonts w:ascii="Times New Roman" w:hAnsi="Times New Roman" w:cs="Times New Roman"/>
          <w:color w:val="auto"/>
          <w:sz w:val="24"/>
          <w:szCs w:val="24"/>
        </w:rPr>
        <w:t>6</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Consequences of Collecting the Information Less Frequently</w:t>
      </w:r>
      <w:bookmarkEnd w:id="12"/>
      <w:r w:rsidRPr="001E732D">
        <w:rPr>
          <w:rFonts w:ascii="Times New Roman" w:hAnsi="Times New Roman" w:cs="Times New Roman"/>
          <w:b/>
          <w:color w:val="auto"/>
          <w:sz w:val="24"/>
          <w:szCs w:val="24"/>
        </w:rPr>
        <w:t xml:space="preserve"> </w:t>
      </w:r>
    </w:p>
    <w:p w14:paraId="11B1A811" w14:textId="7E4B61C3" w:rsidR="00FF75EF" w:rsidRPr="001E732D" w:rsidRDefault="008E6558" w:rsidP="007439D4">
      <w:pPr>
        <w:spacing w:after="120" w:line="276" w:lineRule="auto"/>
        <w:ind w:firstLine="720"/>
      </w:pPr>
      <w:r w:rsidRPr="001E732D">
        <w:t xml:space="preserve">Without these cost data, </w:t>
      </w:r>
      <w:r w:rsidR="00207B0B" w:rsidRPr="001E732D">
        <w:t>CDC</w:t>
      </w:r>
      <w:r w:rsidRPr="001E732D">
        <w:t xml:space="preserve"> will not be able to assess the cost </w:t>
      </w:r>
      <w:r w:rsidR="00832135" w:rsidRPr="001E732D">
        <w:t>burden</w:t>
      </w:r>
      <w:r w:rsidRPr="001E732D">
        <w:t xml:space="preserve"> associated with </w:t>
      </w:r>
      <w:r w:rsidR="00832135" w:rsidRPr="001E732D">
        <w:t xml:space="preserve">the implementation of sodium reduction </w:t>
      </w:r>
      <w:r w:rsidR="00891828" w:rsidRPr="001E732D">
        <w:t>strategies</w:t>
      </w:r>
      <w:r w:rsidRPr="001E732D">
        <w:t>. This economic analysis will provide critical information to inform decision making and future resource allocation by assessing the actual costs</w:t>
      </w:r>
      <w:r w:rsidR="00891828" w:rsidRPr="001E732D">
        <w:t xml:space="preserve"> </w:t>
      </w:r>
      <w:r w:rsidR="00D317FF" w:rsidRPr="001E732D">
        <w:t xml:space="preserve">of </w:t>
      </w:r>
      <w:r w:rsidR="00832135" w:rsidRPr="001E732D">
        <w:t xml:space="preserve">SRCP </w:t>
      </w:r>
      <w:r w:rsidR="00891828" w:rsidRPr="001E732D">
        <w:t>grantees and their partners</w:t>
      </w:r>
      <w:r w:rsidRPr="001E732D">
        <w:t xml:space="preserve">. This information is vital to the overall evaluation of the </w:t>
      </w:r>
      <w:r w:rsidR="00832135" w:rsidRPr="001E732D">
        <w:t xml:space="preserve">SRCP </w:t>
      </w:r>
      <w:r w:rsidRPr="001E732D">
        <w:t>program and essential for future, successful program planning</w:t>
      </w:r>
      <w:r w:rsidR="00D317FF" w:rsidRPr="001E732D">
        <w:t xml:space="preserve">, </w:t>
      </w:r>
      <w:r w:rsidRPr="001E732D">
        <w:t>implementation</w:t>
      </w:r>
      <w:r w:rsidR="00D317FF" w:rsidRPr="001E732D">
        <w:t>, and sustainability</w:t>
      </w:r>
      <w:r w:rsidRPr="001E732D">
        <w:t xml:space="preserve">. It is anticipated that over the </w:t>
      </w:r>
      <w:r w:rsidR="00C96EBF" w:rsidRPr="001E732D">
        <w:t>two</w:t>
      </w:r>
      <w:r w:rsidRPr="001E732D">
        <w:t xml:space="preserve">-year </w:t>
      </w:r>
      <w:r w:rsidR="00B010C0" w:rsidRPr="001E732D">
        <w:t>evaluation</w:t>
      </w:r>
      <w:r w:rsidRPr="001E732D">
        <w:t xml:space="preserve"> period, </w:t>
      </w:r>
      <w:r w:rsidR="00A4720D" w:rsidRPr="001E732D">
        <w:t xml:space="preserve">program partners </w:t>
      </w:r>
      <w:r w:rsidRPr="001E732D">
        <w:t xml:space="preserve">will collect and report these cost data </w:t>
      </w:r>
      <w:r w:rsidR="00832135" w:rsidRPr="001E732D">
        <w:t>once</w:t>
      </w:r>
      <w:r w:rsidR="008C4A39" w:rsidRPr="001E732D">
        <w:t xml:space="preserve">, in </w:t>
      </w:r>
      <w:r w:rsidR="00B27993">
        <w:t>Spring</w:t>
      </w:r>
      <w:r w:rsidR="008C4A39" w:rsidRPr="001E732D">
        <w:t xml:space="preserve"> 2019</w:t>
      </w:r>
      <w:r w:rsidRPr="001E732D">
        <w:t xml:space="preserve">. </w:t>
      </w:r>
    </w:p>
    <w:p w14:paraId="67895849" w14:textId="77777777" w:rsidR="00E155D0" w:rsidRPr="00FF75EF" w:rsidRDefault="00E155D0" w:rsidP="00FF75EF"/>
    <w:p w14:paraId="1B0CC6A2" w14:textId="77777777" w:rsidR="00FF75EF" w:rsidRDefault="00FF75EF" w:rsidP="00FF75EF">
      <w:pPr>
        <w:pStyle w:val="Heading2"/>
        <w:rPr>
          <w:rFonts w:ascii="Times New Roman" w:hAnsi="Times New Roman" w:cs="Times New Roman"/>
          <w:b/>
          <w:color w:val="auto"/>
          <w:sz w:val="24"/>
          <w:szCs w:val="24"/>
        </w:rPr>
      </w:pPr>
      <w:bookmarkStart w:id="13" w:name="_Toc506283058"/>
      <w:r w:rsidRPr="00FF75EF">
        <w:rPr>
          <w:rFonts w:ascii="Times New Roman" w:hAnsi="Times New Roman" w:cs="Times New Roman"/>
          <w:b/>
          <w:color w:val="auto"/>
          <w:sz w:val="24"/>
          <w:szCs w:val="24"/>
        </w:rPr>
        <w:t>7</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Special Circumstances Relating to the Guidelines of 5 CFR 1320.5</w:t>
      </w:r>
      <w:bookmarkEnd w:id="13"/>
      <w:r w:rsidRPr="00FF75EF">
        <w:rPr>
          <w:rFonts w:ascii="Times New Roman" w:hAnsi="Times New Roman" w:cs="Times New Roman"/>
          <w:b/>
          <w:color w:val="auto"/>
          <w:sz w:val="24"/>
          <w:szCs w:val="24"/>
        </w:rPr>
        <w:t xml:space="preserve"> </w:t>
      </w:r>
    </w:p>
    <w:p w14:paraId="542CEDB9" w14:textId="77777777" w:rsidR="00FF75EF" w:rsidRDefault="00FF75EF" w:rsidP="00FF75EF"/>
    <w:p w14:paraId="5AA8A6E0" w14:textId="77777777" w:rsidR="008B2B6E" w:rsidRPr="005B2A0E" w:rsidRDefault="008B2B6E" w:rsidP="0034521D">
      <w:pPr>
        <w:autoSpaceDE w:val="0"/>
        <w:autoSpaceDN w:val="0"/>
        <w:adjustRightInd w:val="0"/>
        <w:spacing w:line="276" w:lineRule="auto"/>
        <w:ind w:firstLine="720"/>
      </w:pPr>
      <w:r w:rsidRPr="005B2A0E">
        <w:t>There are no special circumstances relating to the guidelines of 5 CFR 1320.5, and the project fully complies with the regulation.</w:t>
      </w:r>
    </w:p>
    <w:p w14:paraId="1316C2F5" w14:textId="77777777" w:rsidR="005B2A0E" w:rsidRPr="00064AC5" w:rsidRDefault="005B2A0E" w:rsidP="008B2B6E">
      <w:pPr>
        <w:rPr>
          <w:bCs/>
        </w:rPr>
      </w:pPr>
    </w:p>
    <w:p w14:paraId="5F678C1B" w14:textId="242B2AC5" w:rsidR="00073E01" w:rsidRPr="00B074FD" w:rsidRDefault="00FF75EF" w:rsidP="00B074FD">
      <w:pPr>
        <w:pStyle w:val="Heading2"/>
        <w:ind w:left="360" w:hanging="360"/>
        <w:rPr>
          <w:rFonts w:ascii="Times New Roman" w:hAnsi="Times New Roman" w:cs="Times New Roman"/>
          <w:color w:val="auto"/>
          <w:sz w:val="24"/>
          <w:szCs w:val="24"/>
          <w:u w:val="single"/>
        </w:rPr>
      </w:pPr>
      <w:bookmarkStart w:id="14" w:name="_Toc506283059"/>
      <w:r w:rsidRPr="00920D6E">
        <w:rPr>
          <w:rFonts w:ascii="Times New Roman" w:hAnsi="Times New Roman" w:cs="Times New Roman"/>
          <w:color w:val="auto"/>
          <w:sz w:val="24"/>
          <w:szCs w:val="24"/>
        </w:rPr>
        <w:t>8</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Comments in Response to the Federal Register Notice and Efforts to Consult Outside</w:t>
      </w:r>
      <w:r w:rsidR="00B074FD">
        <w:rPr>
          <w:rFonts w:ascii="Times New Roman" w:hAnsi="Times New Roman" w:cs="Times New Roman"/>
          <w:color w:val="auto"/>
          <w:sz w:val="24"/>
          <w:szCs w:val="24"/>
          <w:u w:val="single"/>
        </w:rPr>
        <w:t xml:space="preserve"> </w:t>
      </w:r>
      <w:r w:rsidRPr="00920D6E">
        <w:rPr>
          <w:rFonts w:ascii="Times New Roman" w:hAnsi="Times New Roman" w:cs="Times New Roman"/>
          <w:color w:val="auto"/>
          <w:sz w:val="24"/>
          <w:szCs w:val="24"/>
          <w:u w:val="single"/>
        </w:rPr>
        <w:t>the Agency</w:t>
      </w:r>
      <w:bookmarkEnd w:id="14"/>
      <w:r w:rsidRPr="00920D6E">
        <w:rPr>
          <w:rFonts w:ascii="Times New Roman" w:hAnsi="Times New Roman" w:cs="Times New Roman"/>
          <w:color w:val="auto"/>
          <w:sz w:val="24"/>
          <w:szCs w:val="24"/>
          <w:u w:val="single"/>
        </w:rPr>
        <w:t xml:space="preserve"> </w:t>
      </w:r>
    </w:p>
    <w:p w14:paraId="13E3F7BD" w14:textId="77777777" w:rsidR="00B074FD" w:rsidRDefault="00B074FD" w:rsidP="00B074FD"/>
    <w:p w14:paraId="01603C74" w14:textId="14E5303A" w:rsidR="00B074FD" w:rsidRPr="00473FA9" w:rsidRDefault="00B074FD" w:rsidP="00B074FD">
      <w:r>
        <w:t xml:space="preserve">A 60-day Federal Register Notice was published in the </w:t>
      </w:r>
      <w:r>
        <w:rPr>
          <w:i/>
        </w:rPr>
        <w:t xml:space="preserve">Federal Register </w:t>
      </w:r>
      <w:r>
        <w:t xml:space="preserve">on </w:t>
      </w:r>
      <w:r w:rsidR="00157DB7">
        <w:t>June 1</w:t>
      </w:r>
      <w:r>
        <w:t>, 2018</w:t>
      </w:r>
      <w:r w:rsidR="00442DC1">
        <w:t xml:space="preserve">, </w:t>
      </w:r>
      <w:r w:rsidR="00B65FBB">
        <w:t>V</w:t>
      </w:r>
      <w:r w:rsidR="00442DC1">
        <w:t xml:space="preserve">ol. </w:t>
      </w:r>
      <w:r w:rsidR="00157DB7">
        <w:t>83</w:t>
      </w:r>
      <w:r w:rsidR="00442DC1">
        <w:t xml:space="preserve">, No. </w:t>
      </w:r>
      <w:r w:rsidR="00157DB7">
        <w:t>106</w:t>
      </w:r>
      <w:r w:rsidR="00442DC1">
        <w:t>, pp</w:t>
      </w:r>
      <w:r w:rsidR="00B65FBB">
        <w:t>.</w:t>
      </w:r>
      <w:r w:rsidR="00157DB7">
        <w:t xml:space="preserve"> 25458-25460</w:t>
      </w:r>
      <w:r w:rsidR="00442DC1">
        <w:t xml:space="preserve"> (see </w:t>
      </w:r>
      <w:r w:rsidR="00B65FBB">
        <w:t>Attachment</w:t>
      </w:r>
      <w:r w:rsidR="00442DC1">
        <w:t xml:space="preserve"> </w:t>
      </w:r>
      <w:r w:rsidR="00157DB7">
        <w:t>3a</w:t>
      </w:r>
      <w:r w:rsidR="00442DC1">
        <w:t>)</w:t>
      </w:r>
      <w:r w:rsidR="00157DB7">
        <w:t>.</w:t>
      </w:r>
      <w:r>
        <w:t xml:space="preserve"> </w:t>
      </w:r>
      <w:r w:rsidRPr="00F735E3">
        <w:t xml:space="preserve">CDC received two </w:t>
      </w:r>
      <w:r w:rsidR="00B27993">
        <w:t xml:space="preserve">non-substantive </w:t>
      </w:r>
      <w:r w:rsidRPr="00F735E3">
        <w:t xml:space="preserve">comments </w:t>
      </w:r>
      <w:r w:rsidR="00442DC1">
        <w:t xml:space="preserve">(see </w:t>
      </w:r>
      <w:r w:rsidR="00B65FBB">
        <w:t>Attachment</w:t>
      </w:r>
      <w:r w:rsidR="00442DC1">
        <w:t xml:space="preserve"> 3b)</w:t>
      </w:r>
      <w:r w:rsidRPr="00F735E3">
        <w:t>.</w:t>
      </w:r>
      <w:r>
        <w:t xml:space="preserve"> </w:t>
      </w:r>
    </w:p>
    <w:p w14:paraId="3F7CF920" w14:textId="386E2781" w:rsidR="00442DC1" w:rsidRDefault="00442DC1" w:rsidP="00AA0285"/>
    <w:p w14:paraId="460034A7" w14:textId="48C80373" w:rsidR="00AA0285" w:rsidRDefault="00442DC1" w:rsidP="00AA0285">
      <w:r>
        <w:t xml:space="preserve">There were no additional efforts to consult outside the agency.  </w:t>
      </w:r>
    </w:p>
    <w:p w14:paraId="3C39269F" w14:textId="77777777" w:rsidR="00442DC1" w:rsidRPr="00AA0285" w:rsidRDefault="00442DC1" w:rsidP="00AA0285"/>
    <w:p w14:paraId="10F0B2E7" w14:textId="77777777" w:rsidR="00FF75EF" w:rsidRDefault="00FF75EF" w:rsidP="00FF75EF">
      <w:pPr>
        <w:pStyle w:val="Heading2"/>
        <w:rPr>
          <w:rFonts w:ascii="Times New Roman" w:hAnsi="Times New Roman" w:cs="Times New Roman"/>
          <w:b/>
          <w:color w:val="auto"/>
          <w:sz w:val="24"/>
          <w:szCs w:val="24"/>
        </w:rPr>
      </w:pPr>
      <w:bookmarkStart w:id="15" w:name="_Toc506283060"/>
      <w:r w:rsidRPr="00920D6E">
        <w:rPr>
          <w:rFonts w:ascii="Times New Roman" w:hAnsi="Times New Roman" w:cs="Times New Roman"/>
          <w:color w:val="auto"/>
          <w:sz w:val="24"/>
          <w:szCs w:val="24"/>
        </w:rPr>
        <w:t>9</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Explanation of Any Payment or Gift to Respondents</w:t>
      </w:r>
      <w:bookmarkEnd w:id="15"/>
      <w:r w:rsidRPr="00920D6E">
        <w:rPr>
          <w:rFonts w:ascii="Times New Roman" w:hAnsi="Times New Roman" w:cs="Times New Roman"/>
          <w:color w:val="auto"/>
          <w:sz w:val="24"/>
          <w:szCs w:val="24"/>
          <w:u w:val="single"/>
        </w:rPr>
        <w:t xml:space="preserve"> </w:t>
      </w:r>
    </w:p>
    <w:p w14:paraId="7D0BFF49" w14:textId="77777777" w:rsidR="00FF75EF" w:rsidRDefault="00FF75EF" w:rsidP="00FF75EF"/>
    <w:p w14:paraId="504D9CA3" w14:textId="68D1EE44" w:rsidR="00FF75EF" w:rsidRPr="005B2A0E" w:rsidRDefault="001D16DD" w:rsidP="0034521D">
      <w:pPr>
        <w:autoSpaceDE w:val="0"/>
        <w:autoSpaceDN w:val="0"/>
        <w:adjustRightInd w:val="0"/>
        <w:spacing w:line="276" w:lineRule="auto"/>
        <w:ind w:firstLine="720"/>
      </w:pPr>
      <w:r>
        <w:t>Participating SRCP partners will be provided $</w:t>
      </w:r>
      <w:r w:rsidR="009460AA">
        <w:t xml:space="preserve">50 </w:t>
      </w:r>
      <w:r>
        <w:t>gift cards as incentives for completing the survey. It is essential to incentivize participation from partners, because they are busy organizations that may be reluctant to devote the time to participate.</w:t>
      </w:r>
      <w:r w:rsidR="00803326">
        <w:t xml:space="preserve"> Incentives have been shown to significantly increase participation rates </w:t>
      </w:r>
      <w:r w:rsidR="00712F57">
        <w:t>and $50 has been shown as an important threshold to achieve with on</w:t>
      </w:r>
      <w:r w:rsidR="00F94DDD">
        <w:t>e</w:t>
      </w:r>
      <w:r w:rsidR="00712F57">
        <w:t xml:space="preserve"> study estimating a 30% increase in response with incentives $50 or greater compared to incentives less than $50 (Goritz 2006, Asire 2017)</w:t>
      </w:r>
    </w:p>
    <w:p w14:paraId="4C7F02A3" w14:textId="77777777" w:rsidR="00C32371" w:rsidRPr="00FF75EF" w:rsidRDefault="00C32371" w:rsidP="00FF75EF"/>
    <w:p w14:paraId="3F9516DC" w14:textId="77777777" w:rsidR="00FF75EF" w:rsidRDefault="00FF75EF" w:rsidP="00FF75EF">
      <w:pPr>
        <w:pStyle w:val="Heading2"/>
        <w:rPr>
          <w:rFonts w:ascii="Times New Roman" w:hAnsi="Times New Roman" w:cs="Times New Roman"/>
          <w:b/>
          <w:color w:val="auto"/>
          <w:sz w:val="24"/>
          <w:szCs w:val="24"/>
        </w:rPr>
      </w:pPr>
      <w:bookmarkStart w:id="16" w:name="_Toc506283061"/>
      <w:r w:rsidRPr="00920D6E">
        <w:rPr>
          <w:rFonts w:ascii="Times New Roman" w:hAnsi="Times New Roman" w:cs="Times New Roman"/>
          <w:color w:val="auto"/>
          <w:sz w:val="24"/>
          <w:szCs w:val="24"/>
        </w:rPr>
        <w:t>10</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Protection of the Privacy and Confidentiality of Information Provided by Respondents</w:t>
      </w:r>
      <w:bookmarkEnd w:id="16"/>
      <w:r w:rsidRPr="00920D6E">
        <w:rPr>
          <w:rFonts w:ascii="Times New Roman" w:hAnsi="Times New Roman" w:cs="Times New Roman"/>
          <w:color w:val="auto"/>
          <w:sz w:val="24"/>
          <w:szCs w:val="24"/>
          <w:u w:val="single"/>
        </w:rPr>
        <w:t xml:space="preserve"> </w:t>
      </w:r>
    </w:p>
    <w:p w14:paraId="559AC21F" w14:textId="77777777" w:rsidR="00FF75EF" w:rsidRDefault="00FF75EF" w:rsidP="00FF75EF"/>
    <w:p w14:paraId="4C215927" w14:textId="37C87974" w:rsidR="00807936" w:rsidRDefault="00807936" w:rsidP="00830D48">
      <w:pPr>
        <w:pStyle w:val="BodyText1"/>
        <w:spacing w:line="276" w:lineRule="auto"/>
        <w:ind w:firstLine="360"/>
      </w:pPr>
      <w:r>
        <w:t>The CDC Privacy Office has reviewed this submission and determined that the Privacy Act does not apply. Although a primary contact person will be identified for each organization, the contact person will be speaking from their role as a representative of the responding SRCP partner’s organization. The information collection does not involve collection of sensitive or personal information.</w:t>
      </w:r>
    </w:p>
    <w:p w14:paraId="2D16150D" w14:textId="29BFA6FF" w:rsidR="000E6544" w:rsidRDefault="00C32371" w:rsidP="0034521D">
      <w:pPr>
        <w:autoSpaceDE w:val="0"/>
        <w:autoSpaceDN w:val="0"/>
        <w:adjustRightInd w:val="0"/>
        <w:spacing w:line="276" w:lineRule="auto"/>
        <w:ind w:firstLine="720"/>
      </w:pPr>
      <w:r>
        <w:t>Respondents are</w:t>
      </w:r>
      <w:r w:rsidR="001D16DD">
        <w:t xml:space="preserve"> </w:t>
      </w:r>
      <w:r w:rsidR="007A536D">
        <w:t>organizations</w:t>
      </w:r>
      <w:r w:rsidR="001D16DD">
        <w:t xml:space="preserve"> partnering with SRCP grantees</w:t>
      </w:r>
      <w:r>
        <w:t xml:space="preserve"> that are providing information on their</w:t>
      </w:r>
      <w:r w:rsidR="001D16DD">
        <w:t xml:space="preserve"> staff </w:t>
      </w:r>
      <w:r w:rsidR="007A536D">
        <w:t>time costs</w:t>
      </w:r>
      <w:r w:rsidR="001D16DD">
        <w:t xml:space="preserve"> and non</w:t>
      </w:r>
      <w:r w:rsidR="005A58DC">
        <w:t>-</w:t>
      </w:r>
      <w:r w:rsidR="001D16DD">
        <w:t>labor expenditures on materials or supplies</w:t>
      </w:r>
      <w:r>
        <w:t xml:space="preserve">.  </w:t>
      </w:r>
      <w:r w:rsidR="00712F57">
        <w:t xml:space="preserve">Minimum </w:t>
      </w:r>
      <w:r w:rsidR="000E6544">
        <w:t>information in identifiable form (</w:t>
      </w:r>
      <w:r>
        <w:t>I</w:t>
      </w:r>
      <w:r w:rsidR="000E6544">
        <w:t>I</w:t>
      </w:r>
      <w:r>
        <w:t>F</w:t>
      </w:r>
      <w:r w:rsidR="000E6544">
        <w:t>)</w:t>
      </w:r>
      <w:r>
        <w:t xml:space="preserve"> is being collected</w:t>
      </w:r>
      <w:r w:rsidR="00551E2A">
        <w:t>.</w:t>
      </w:r>
      <w:r w:rsidR="000E6544" w:rsidRPr="000E6544">
        <w:t xml:space="preserve"> </w:t>
      </w:r>
      <w:r w:rsidR="000E6544">
        <w:t xml:space="preserve">Information collection </w:t>
      </w:r>
      <w:r w:rsidR="00E20DF1">
        <w:t xml:space="preserve">is for the purpose of </w:t>
      </w:r>
      <w:r w:rsidR="000E6544">
        <w:t>assessing CDC-funded programs’ activities at the</w:t>
      </w:r>
      <w:r w:rsidR="007A536D">
        <w:t xml:space="preserve"> partner organizational level</w:t>
      </w:r>
      <w:r w:rsidR="000E6544">
        <w:t xml:space="preserve">. </w:t>
      </w:r>
    </w:p>
    <w:p w14:paraId="43325BE1" w14:textId="77777777" w:rsidR="00C32371" w:rsidRDefault="00C32371" w:rsidP="000E6544">
      <w:pPr>
        <w:pStyle w:val="BodyText1"/>
        <w:spacing w:line="276" w:lineRule="auto"/>
        <w:ind w:firstLine="0"/>
      </w:pPr>
    </w:p>
    <w:p w14:paraId="7DFB9D80" w14:textId="1604349E" w:rsidR="000E6544" w:rsidRPr="00920D6E" w:rsidRDefault="000E6544" w:rsidP="000E6544">
      <w:pPr>
        <w:autoSpaceDE w:val="0"/>
        <w:autoSpaceDN w:val="0"/>
        <w:adjustRightInd w:val="0"/>
      </w:pPr>
      <w:r w:rsidRPr="00920D6E">
        <w:t xml:space="preserve">Privacy </w:t>
      </w:r>
    </w:p>
    <w:p w14:paraId="38D644BE" w14:textId="77777777" w:rsidR="000E6544" w:rsidRDefault="000E6544" w:rsidP="000E6544">
      <w:pPr>
        <w:autoSpaceDE w:val="0"/>
        <w:autoSpaceDN w:val="0"/>
        <w:adjustRightInd w:val="0"/>
      </w:pPr>
    </w:p>
    <w:p w14:paraId="0F17EFA3" w14:textId="3F06981B" w:rsidR="000E6544" w:rsidRDefault="000E6544" w:rsidP="007439D4">
      <w:pPr>
        <w:autoSpaceDE w:val="0"/>
        <w:autoSpaceDN w:val="0"/>
        <w:adjustRightInd w:val="0"/>
        <w:spacing w:line="276" w:lineRule="auto"/>
        <w:ind w:firstLine="720"/>
      </w:pPr>
      <w:r w:rsidRPr="001D0C95">
        <w:t>The proposed study</w:t>
      </w:r>
      <w:r>
        <w:t xml:space="preserve"> involves a minimum amount of </w:t>
      </w:r>
      <w:r w:rsidRPr="001D0C95">
        <w:t>IIF</w:t>
      </w:r>
      <w:r>
        <w:t xml:space="preserve">, and includes only </w:t>
      </w:r>
      <w:r w:rsidR="001D3E90">
        <w:t xml:space="preserve">business </w:t>
      </w:r>
      <w:r>
        <w:t>contact information for each respondent (i.e., name, telephone number, and email address).</w:t>
      </w:r>
      <w:r w:rsidRPr="001D0C95">
        <w:t xml:space="preserve"> </w:t>
      </w:r>
      <w:r>
        <w:t>T</w:t>
      </w:r>
      <w:r w:rsidRPr="001D0C95">
        <w:t xml:space="preserve">he information to be obtained through surveys </w:t>
      </w:r>
      <w:r w:rsidR="00F03BF2">
        <w:t>concern</w:t>
      </w:r>
      <w:r w:rsidR="00F94DDD">
        <w:t>s</w:t>
      </w:r>
      <w:r w:rsidRPr="001D0C95">
        <w:t xml:space="preserve"> organizational activities </w:t>
      </w:r>
      <w:r w:rsidR="00F03BF2">
        <w:t xml:space="preserve">and costs </w:t>
      </w:r>
      <w:r w:rsidRPr="001D0C95">
        <w:t>rather than personal matters and is not considered highly sensitive</w:t>
      </w:r>
      <w:r w:rsidR="00F03BF2">
        <w:t xml:space="preserve">. Within </w:t>
      </w:r>
      <w:r w:rsidR="001D16DD">
        <w:t>surveys</w:t>
      </w:r>
      <w:r w:rsidRPr="001D0C95">
        <w:t xml:space="preserve">, respondents </w:t>
      </w:r>
      <w:r>
        <w:t>will be asked to identify</w:t>
      </w:r>
      <w:r w:rsidR="001D16DD">
        <w:t xml:space="preserve"> the number and types of staff involved in the implementation</w:t>
      </w:r>
      <w:r w:rsidR="007A536D">
        <w:t xml:space="preserve"> of sodium reduction strategies</w:t>
      </w:r>
      <w:r w:rsidRPr="001D0C95">
        <w:t xml:space="preserve">, but </w:t>
      </w:r>
      <w:r>
        <w:t xml:space="preserve">they </w:t>
      </w:r>
      <w:r w:rsidRPr="001D0C95">
        <w:t xml:space="preserve">will not be asked to provide specific names or information about individual program staff or partners. </w:t>
      </w:r>
      <w:r w:rsidR="006C0C2E">
        <w:t>The cost information collected will focus on programmatic spending</w:t>
      </w:r>
      <w:r w:rsidR="00302CEE">
        <w:t xml:space="preserve">; </w:t>
      </w:r>
      <w:r w:rsidR="001D16DD">
        <w:t xml:space="preserve">the survey </w:t>
      </w:r>
      <w:r w:rsidR="00302CEE">
        <w:t xml:space="preserve">will not ask </w:t>
      </w:r>
      <w:r w:rsidR="001D3E90">
        <w:t>respondent</w:t>
      </w:r>
      <w:r w:rsidR="00302CEE">
        <w:t xml:space="preserve">s to input any </w:t>
      </w:r>
      <w:r w:rsidR="00410E8C">
        <w:t>information about themselves</w:t>
      </w:r>
      <w:r w:rsidR="00302CEE">
        <w:t xml:space="preserve">. </w:t>
      </w:r>
    </w:p>
    <w:p w14:paraId="2451060D" w14:textId="77777777" w:rsidR="007439D4" w:rsidRDefault="007439D4" w:rsidP="007439D4">
      <w:pPr>
        <w:autoSpaceDE w:val="0"/>
        <w:autoSpaceDN w:val="0"/>
        <w:adjustRightInd w:val="0"/>
        <w:spacing w:line="276" w:lineRule="auto"/>
        <w:ind w:firstLine="720"/>
      </w:pPr>
    </w:p>
    <w:p w14:paraId="5361DF49" w14:textId="30889080" w:rsidR="000E6544" w:rsidRPr="001D0C95" w:rsidRDefault="000E6544" w:rsidP="0034521D">
      <w:pPr>
        <w:autoSpaceDE w:val="0"/>
        <w:autoSpaceDN w:val="0"/>
        <w:adjustRightInd w:val="0"/>
        <w:spacing w:line="276" w:lineRule="auto"/>
        <w:ind w:firstLine="720"/>
      </w:pPr>
      <w:r>
        <w:t xml:space="preserve">Survey responses </w:t>
      </w:r>
      <w:r w:rsidR="00712F57">
        <w:t xml:space="preserve">from partner organizations </w:t>
      </w:r>
      <w:r>
        <w:t>will be linked to</w:t>
      </w:r>
      <w:r w:rsidR="00712F57">
        <w:t xml:space="preserve"> the SRCP that the organization partners with </w:t>
      </w:r>
      <w:r w:rsidR="00207B0B">
        <w:t xml:space="preserve">to ensure that </w:t>
      </w:r>
      <w:r>
        <w:t>findings ca</w:t>
      </w:r>
      <w:r w:rsidR="00F03BF2">
        <w:t>n be linked to other existing organizational data</w:t>
      </w:r>
      <w:r w:rsidR="00712F57">
        <w:t xml:space="preserve"> from SRCP grantees</w:t>
      </w:r>
      <w:r>
        <w:t xml:space="preserve">. </w:t>
      </w:r>
      <w:r w:rsidR="00F03BF2">
        <w:t>RTI</w:t>
      </w:r>
      <w:r>
        <w:t>, t</w:t>
      </w:r>
      <w:r w:rsidRPr="001D0C95">
        <w:t xml:space="preserve">he data collection contractor, will have access to </w:t>
      </w:r>
      <w:r>
        <w:t xml:space="preserve">IIF for </w:t>
      </w:r>
      <w:r w:rsidRPr="001D0C95">
        <w:t xml:space="preserve">program </w:t>
      </w:r>
      <w:r>
        <w:t xml:space="preserve">leadership and </w:t>
      </w:r>
      <w:r w:rsidRPr="001D0C95">
        <w:t xml:space="preserve">staff </w:t>
      </w:r>
      <w:r>
        <w:t>recruited for participation.</w:t>
      </w:r>
      <w:r w:rsidRPr="001D0C95">
        <w:t xml:space="preserve"> No other personal identifiers will be collected.</w:t>
      </w:r>
    </w:p>
    <w:p w14:paraId="6CBFE70E" w14:textId="77777777" w:rsidR="000E6544" w:rsidRPr="00767AB3" w:rsidRDefault="000E6544" w:rsidP="0034521D">
      <w:pPr>
        <w:autoSpaceDE w:val="0"/>
        <w:autoSpaceDN w:val="0"/>
        <w:adjustRightInd w:val="0"/>
        <w:spacing w:line="276" w:lineRule="auto"/>
        <w:ind w:firstLine="720"/>
      </w:pPr>
    </w:p>
    <w:p w14:paraId="191007BD" w14:textId="093498E6" w:rsidR="000E6544" w:rsidRDefault="00410E8C" w:rsidP="0034521D">
      <w:pPr>
        <w:autoSpaceDE w:val="0"/>
        <w:autoSpaceDN w:val="0"/>
        <w:adjustRightInd w:val="0"/>
        <w:spacing w:line="276" w:lineRule="auto"/>
        <w:ind w:firstLine="720"/>
      </w:pPr>
      <w:r>
        <w:t>Cont</w:t>
      </w:r>
      <w:r w:rsidR="001D3E90">
        <w:t>ac</w:t>
      </w:r>
      <w:r>
        <w:t>t inform</w:t>
      </w:r>
      <w:r w:rsidR="001D3E90">
        <w:t>a</w:t>
      </w:r>
      <w:r>
        <w:t>tion</w:t>
      </w:r>
      <w:r w:rsidRPr="00FD714A">
        <w:t xml:space="preserve"> </w:t>
      </w:r>
      <w:r w:rsidR="000E6544" w:rsidRPr="00FD714A">
        <w:t>will be stored separately from response data. A linking file will be created and available o</w:t>
      </w:r>
      <w:r w:rsidR="00F03BF2">
        <w:t>nly to project management at RTI</w:t>
      </w:r>
      <w:r w:rsidR="000E6544" w:rsidRPr="00FD714A">
        <w:t xml:space="preserve"> International. This information will </w:t>
      </w:r>
      <w:r w:rsidR="000E6544">
        <w:t xml:space="preserve">only </w:t>
      </w:r>
      <w:r w:rsidR="000E6544" w:rsidRPr="00FD714A">
        <w:t>be used to ensure completeness of the data files. The linking file will include the role of the respondent and their organization (and will not include the individual’s name or contact information), the date of survey</w:t>
      </w:r>
      <w:r w:rsidR="00207B0B">
        <w:t>/interview</w:t>
      </w:r>
      <w:r w:rsidR="000E6544" w:rsidRPr="00FD714A">
        <w:t xml:space="preserve"> completion, and the code assigned to the data file. This will ensure that no</w:t>
      </w:r>
      <w:r w:rsidR="000E6544">
        <w:t xml:space="preserve"> IIF </w:t>
      </w:r>
      <w:r w:rsidR="000E6544" w:rsidRPr="00FD714A">
        <w:t xml:space="preserve">outside of the individual’s role and organization is re-linkable. </w:t>
      </w:r>
      <w:r w:rsidR="000E6544">
        <w:t xml:space="preserve">All data files will be stored in a secure electronic folder on a password-protected shared computer drive that is only accessible by authorized project staff.  </w:t>
      </w:r>
    </w:p>
    <w:p w14:paraId="170596AF" w14:textId="77777777" w:rsidR="0034521D" w:rsidRPr="0034521D" w:rsidRDefault="0034521D" w:rsidP="0034521D">
      <w:pPr>
        <w:pStyle w:val="BodyText1"/>
        <w:spacing w:line="276" w:lineRule="auto"/>
        <w:ind w:left="1080" w:firstLine="0"/>
      </w:pPr>
    </w:p>
    <w:p w14:paraId="5DD1F443" w14:textId="107C06FF" w:rsidR="005B2A0E" w:rsidRDefault="00C32371" w:rsidP="00830D48">
      <w:pPr>
        <w:pStyle w:val="BodyText1"/>
        <w:numPr>
          <w:ilvl w:val="0"/>
          <w:numId w:val="10"/>
        </w:numPr>
        <w:spacing w:line="276" w:lineRule="auto"/>
      </w:pPr>
      <w:r>
        <w:rPr>
          <w:u w:val="single"/>
        </w:rPr>
        <w:t>Safeguards</w:t>
      </w:r>
      <w:r>
        <w:t xml:space="preserve">.  </w:t>
      </w:r>
      <w:r w:rsidR="001D16DD">
        <w:t>Data</w:t>
      </w:r>
      <w:r w:rsidR="005B2A0E">
        <w:t xml:space="preserve"> collection will be conducted via </w:t>
      </w:r>
      <w:r w:rsidR="00770793">
        <w:t>email using an electronic survey document</w:t>
      </w:r>
      <w:r w:rsidR="005B2A0E">
        <w:t xml:space="preserve">. Data will be submitted to CDC according to approved Internet-based communication protocols. </w:t>
      </w:r>
      <w:r w:rsidR="003373BD">
        <w:t>Identifiable partner data will not be shared with grantees</w:t>
      </w:r>
      <w:r w:rsidR="005B2A0E">
        <w:t xml:space="preserve">. </w:t>
      </w:r>
      <w:r w:rsidR="00520108">
        <w:t xml:space="preserve">Grantees will only receive data in aggregate. </w:t>
      </w:r>
      <w:r w:rsidR="005B2A0E">
        <w:t xml:space="preserve">The systems to be put in place will ensure that stored information is accessible to authorized users yet secure. Study information and data, including contact information for respondents, </w:t>
      </w:r>
      <w:r w:rsidR="00961F02">
        <w:t xml:space="preserve">linking identifiers, and </w:t>
      </w:r>
      <w:r w:rsidR="005B2A0E">
        <w:t xml:space="preserve">responses, will be destroyed within </w:t>
      </w:r>
      <w:r w:rsidR="00E20DF1">
        <w:t>3</w:t>
      </w:r>
      <w:r w:rsidR="005B2A0E">
        <w:t xml:space="preserve"> </w:t>
      </w:r>
      <w:r w:rsidR="005B2A0E" w:rsidRPr="00D67C5B">
        <w:t>years</w:t>
      </w:r>
      <w:r w:rsidR="005B2A0E">
        <w:t xml:space="preserve"> of the project end date. </w:t>
      </w:r>
      <w:r w:rsidR="005B2A0E" w:rsidRPr="00C57D73">
        <w:t xml:space="preserve">All electronic </w:t>
      </w:r>
      <w:r w:rsidR="005B2A0E">
        <w:t>data files</w:t>
      </w:r>
      <w:r w:rsidR="005B2A0E" w:rsidRPr="00C57D73">
        <w:t xml:space="preserve"> will be stored at </w:t>
      </w:r>
      <w:r w:rsidR="005B2A0E">
        <w:t>RTI</w:t>
      </w:r>
      <w:r w:rsidR="005B2A0E" w:rsidRPr="00C57D73">
        <w:t xml:space="preserve"> on a project share</w:t>
      </w:r>
      <w:r w:rsidR="005B2A0E">
        <w:t>d</w:t>
      </w:r>
      <w:r w:rsidR="005B2A0E" w:rsidRPr="00C57D73">
        <w:t xml:space="preserve"> drive on </w:t>
      </w:r>
      <w:r w:rsidR="005B2A0E">
        <w:t>RTI’s</w:t>
      </w:r>
      <w:r w:rsidR="005B2A0E" w:rsidRPr="00C57D73">
        <w:t xml:space="preserve"> secure network servers; only project staff who have been authorized by the project </w:t>
      </w:r>
      <w:r w:rsidR="005B2A0E">
        <w:t>manager</w:t>
      </w:r>
      <w:r w:rsidR="005B2A0E" w:rsidRPr="00C57D73">
        <w:t xml:space="preserve"> can access the share</w:t>
      </w:r>
      <w:r w:rsidR="005B2A0E">
        <w:t>d</w:t>
      </w:r>
      <w:r w:rsidR="005B2A0E" w:rsidRPr="00C57D73">
        <w:t xml:space="preserve"> drive</w:t>
      </w:r>
      <w:r w:rsidR="005B2A0E">
        <w:t xml:space="preserve">. </w:t>
      </w:r>
    </w:p>
    <w:p w14:paraId="5A94984A" w14:textId="0668AA3B" w:rsidR="008A4364" w:rsidRPr="008A4364" w:rsidRDefault="00C32371" w:rsidP="008A4364">
      <w:pPr>
        <w:pStyle w:val="BodyText1"/>
        <w:numPr>
          <w:ilvl w:val="0"/>
          <w:numId w:val="10"/>
        </w:numPr>
        <w:spacing w:line="276" w:lineRule="auto"/>
      </w:pPr>
      <w:r w:rsidRPr="005B2A0E">
        <w:rPr>
          <w:u w:val="single"/>
        </w:rPr>
        <w:t>Consent</w:t>
      </w:r>
      <w:r>
        <w:t xml:space="preserve">.  </w:t>
      </w:r>
      <w:r w:rsidR="003316E0" w:rsidRPr="008A4364">
        <w:rPr>
          <w:bCs/>
        </w:rPr>
        <w:t>An informed consent statement will be included on the cover page of the survey instrument</w:t>
      </w:r>
      <w:r w:rsidR="004D37A0" w:rsidRPr="008A4364">
        <w:rPr>
          <w:bCs/>
        </w:rPr>
        <w:t xml:space="preserve"> </w:t>
      </w:r>
      <w:r w:rsidR="003316E0" w:rsidRPr="008A4364">
        <w:rPr>
          <w:bCs/>
        </w:rPr>
        <w:t xml:space="preserve">prior to the instrument questions. </w:t>
      </w:r>
    </w:p>
    <w:p w14:paraId="11A32295" w14:textId="66747E80" w:rsidR="008A4364" w:rsidRPr="008A4364" w:rsidRDefault="003316E0" w:rsidP="008C4A39">
      <w:pPr>
        <w:pStyle w:val="BodyText1"/>
        <w:spacing w:line="276" w:lineRule="auto"/>
        <w:ind w:left="1080" w:firstLine="0"/>
      </w:pPr>
      <w:r w:rsidRPr="008A4364">
        <w:rPr>
          <w:bCs/>
        </w:rPr>
        <w:t xml:space="preserve">The consent statement informs </w:t>
      </w:r>
      <w:r w:rsidR="001D3E90">
        <w:rPr>
          <w:bCs/>
        </w:rPr>
        <w:t>respondent</w:t>
      </w:r>
      <w:r w:rsidRPr="008A4364">
        <w:rPr>
          <w:bCs/>
        </w:rPr>
        <w:t xml:space="preserve">s </w:t>
      </w:r>
      <w:r w:rsidR="004D37A0" w:rsidRPr="008A4364">
        <w:rPr>
          <w:bCs/>
        </w:rPr>
        <w:t xml:space="preserve">of how the data will be used and </w:t>
      </w:r>
      <w:r w:rsidRPr="008A4364">
        <w:rPr>
          <w:bCs/>
        </w:rPr>
        <w:t>that their participation i</w:t>
      </w:r>
      <w:r w:rsidR="004D37A0" w:rsidRPr="008A4364">
        <w:rPr>
          <w:bCs/>
        </w:rPr>
        <w:t>n the survey is voluntary. T</w:t>
      </w:r>
      <w:r w:rsidRPr="008A4364">
        <w:rPr>
          <w:bCs/>
        </w:rPr>
        <w:t>hey can choose not to answer individual questions, end the survey</w:t>
      </w:r>
      <w:r w:rsidR="004D37A0" w:rsidRPr="008A4364">
        <w:rPr>
          <w:bCs/>
        </w:rPr>
        <w:t xml:space="preserve"> or interview</w:t>
      </w:r>
      <w:r w:rsidRPr="008A4364">
        <w:rPr>
          <w:bCs/>
        </w:rPr>
        <w:t xml:space="preserve"> at any time, or decline participation without penalty. Whether or not individuals choose to participate will not impact current or future funding.  Respondents will be required to either agree to or decline participation prior to completing the survey</w:t>
      </w:r>
      <w:r w:rsidR="008A4364">
        <w:rPr>
          <w:bCs/>
        </w:rPr>
        <w:t>.</w:t>
      </w:r>
      <w:r w:rsidR="008A4364">
        <w:t xml:space="preserve"> </w:t>
      </w:r>
    </w:p>
    <w:p w14:paraId="3A725D7C" w14:textId="0840A08B" w:rsidR="00C32371" w:rsidRDefault="00C32371" w:rsidP="00377EAD">
      <w:pPr>
        <w:pStyle w:val="BodyText1"/>
        <w:numPr>
          <w:ilvl w:val="0"/>
          <w:numId w:val="10"/>
        </w:numPr>
        <w:spacing w:line="276" w:lineRule="auto"/>
      </w:pPr>
      <w:r>
        <w:rPr>
          <w:u w:val="single"/>
        </w:rPr>
        <w:t>Nature of Response</w:t>
      </w:r>
      <w:r>
        <w:t xml:space="preserve">.  </w:t>
      </w:r>
      <w:r w:rsidR="005F404C">
        <w:t>Participation in the survey is voluntary for all participants; respondents who decline participation will not face penalty of any kind.</w:t>
      </w:r>
    </w:p>
    <w:p w14:paraId="50793018" w14:textId="77777777" w:rsidR="00C32371" w:rsidRPr="00FF75EF" w:rsidRDefault="00C32371" w:rsidP="00FF75EF"/>
    <w:p w14:paraId="58060079" w14:textId="77777777" w:rsidR="00FF75EF" w:rsidRDefault="00FF75EF" w:rsidP="00FF75EF">
      <w:pPr>
        <w:pStyle w:val="Heading2"/>
        <w:rPr>
          <w:rFonts w:ascii="Times New Roman" w:hAnsi="Times New Roman" w:cs="Times New Roman"/>
          <w:b/>
          <w:color w:val="auto"/>
          <w:sz w:val="24"/>
          <w:szCs w:val="24"/>
        </w:rPr>
      </w:pPr>
      <w:bookmarkStart w:id="17" w:name="_Toc506283062"/>
      <w:r w:rsidRPr="00920D6E">
        <w:rPr>
          <w:rFonts w:ascii="Times New Roman" w:hAnsi="Times New Roman" w:cs="Times New Roman"/>
          <w:color w:val="auto"/>
          <w:sz w:val="24"/>
          <w:szCs w:val="24"/>
        </w:rPr>
        <w:t>11</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Institutional Review Board (IRB) and Justification for Sensitive Questions</w:t>
      </w:r>
      <w:bookmarkEnd w:id="17"/>
      <w:r w:rsidRPr="00FF75EF">
        <w:rPr>
          <w:rFonts w:ascii="Times New Roman" w:hAnsi="Times New Roman" w:cs="Times New Roman"/>
          <w:b/>
          <w:color w:val="auto"/>
          <w:sz w:val="24"/>
          <w:szCs w:val="24"/>
        </w:rPr>
        <w:t xml:space="preserve"> </w:t>
      </w:r>
    </w:p>
    <w:p w14:paraId="794D15F1" w14:textId="77777777" w:rsidR="00FF75EF" w:rsidRDefault="00FF75EF" w:rsidP="00FF75EF"/>
    <w:p w14:paraId="1D4FC5A6" w14:textId="782C9C53" w:rsidR="003A0622" w:rsidRDefault="00C32371" w:rsidP="00377EAD">
      <w:pPr>
        <w:pStyle w:val="BodyText1"/>
        <w:spacing w:line="276" w:lineRule="auto"/>
      </w:pPr>
      <w:r>
        <w:t xml:space="preserve">We are collecting program-level cost </w:t>
      </w:r>
      <w:r w:rsidR="00576A24">
        <w:t xml:space="preserve">implementation data. We are </w:t>
      </w:r>
      <w:r w:rsidR="008E6558">
        <w:t xml:space="preserve">not </w:t>
      </w:r>
      <w:r w:rsidR="00576A24">
        <w:t xml:space="preserve">collecting </w:t>
      </w:r>
      <w:r w:rsidR="008E6558">
        <w:t xml:space="preserve">individual-level data. This </w:t>
      </w:r>
      <w:r w:rsidR="001D3E90">
        <w:t>information collection</w:t>
      </w:r>
      <w:r w:rsidR="008E6558">
        <w:t xml:space="preserve"> </w:t>
      </w:r>
      <w:r>
        <w:t>does not request sensitive or personal</w:t>
      </w:r>
      <w:r w:rsidR="001D3E90">
        <w:t xml:space="preserve"> </w:t>
      </w:r>
      <w:r>
        <w:t>information.</w:t>
      </w:r>
      <w:r w:rsidR="002F0CA6">
        <w:t xml:space="preserve"> </w:t>
      </w:r>
    </w:p>
    <w:p w14:paraId="185E37F7" w14:textId="54077F1A" w:rsidR="002F0CA6" w:rsidRPr="00073E01" w:rsidRDefault="004236A2" w:rsidP="00073E01">
      <w:pPr>
        <w:pStyle w:val="BodyText"/>
        <w:spacing w:line="276" w:lineRule="auto"/>
        <w:ind w:firstLine="720"/>
        <w:rPr>
          <w:b/>
          <w:bCs/>
        </w:rPr>
      </w:pPr>
      <w:r>
        <w:rPr>
          <w:rFonts w:ascii="Times New Roman" w:hAnsi="Times New Roman"/>
          <w:lang w:val="en-US"/>
        </w:rPr>
        <w:t xml:space="preserve">The Institutional Review Board (IRB) of </w:t>
      </w:r>
      <w:r w:rsidR="003316E0">
        <w:rPr>
          <w:rFonts w:ascii="Times New Roman" w:hAnsi="Times New Roman"/>
          <w:lang w:val="en-US"/>
        </w:rPr>
        <w:t>CDC’s</w:t>
      </w:r>
      <w:r w:rsidR="002F0CA6">
        <w:rPr>
          <w:rFonts w:ascii="Times New Roman" w:hAnsi="Times New Roman"/>
          <w:lang w:val="en-US"/>
        </w:rPr>
        <w:t xml:space="preserve"> information collection contractor</w:t>
      </w:r>
      <w:r>
        <w:rPr>
          <w:rFonts w:ascii="Times New Roman" w:hAnsi="Times New Roman"/>
          <w:lang w:val="en-US"/>
        </w:rPr>
        <w:t xml:space="preserve"> </w:t>
      </w:r>
      <w:r w:rsidR="002F0CA6">
        <w:rPr>
          <w:rFonts w:ascii="Times New Roman" w:hAnsi="Times New Roman"/>
          <w:lang w:val="en-US"/>
        </w:rPr>
        <w:t>determined that this project does not constitute research with human subjects as defined by the US Code of Federal Regulations (45 CFR 46.102)</w:t>
      </w:r>
      <w:r w:rsidR="001D3E90">
        <w:rPr>
          <w:rFonts w:ascii="Times New Roman" w:hAnsi="Times New Roman"/>
          <w:lang w:val="en-US"/>
        </w:rPr>
        <w:t xml:space="preserve"> (see </w:t>
      </w:r>
      <w:r w:rsidR="00B65FBB">
        <w:rPr>
          <w:rFonts w:ascii="Times New Roman" w:hAnsi="Times New Roman"/>
          <w:lang w:val="en-US"/>
        </w:rPr>
        <w:t>Attachment</w:t>
      </w:r>
      <w:r w:rsidR="001D3E90">
        <w:rPr>
          <w:rFonts w:ascii="Times New Roman" w:hAnsi="Times New Roman"/>
          <w:lang w:val="en-US"/>
        </w:rPr>
        <w:t xml:space="preserve"> 6)</w:t>
      </w:r>
      <w:r w:rsidR="002F0CA6">
        <w:rPr>
          <w:rFonts w:ascii="Times New Roman" w:hAnsi="Times New Roman"/>
          <w:lang w:val="en-US"/>
        </w:rPr>
        <w:t xml:space="preserve">. </w:t>
      </w:r>
    </w:p>
    <w:p w14:paraId="7195BD38" w14:textId="77777777" w:rsidR="00FF75EF" w:rsidRDefault="00FF75EF" w:rsidP="00FF75EF">
      <w:pPr>
        <w:pStyle w:val="Heading2"/>
        <w:rPr>
          <w:rFonts w:ascii="Times New Roman" w:hAnsi="Times New Roman" w:cs="Times New Roman"/>
          <w:b/>
          <w:color w:val="auto"/>
          <w:sz w:val="24"/>
          <w:szCs w:val="24"/>
        </w:rPr>
      </w:pPr>
      <w:bookmarkStart w:id="18" w:name="_Toc506283063"/>
      <w:r w:rsidRPr="00920D6E">
        <w:rPr>
          <w:rFonts w:ascii="Times New Roman" w:hAnsi="Times New Roman" w:cs="Times New Roman"/>
          <w:color w:val="auto"/>
          <w:sz w:val="24"/>
          <w:szCs w:val="24"/>
        </w:rPr>
        <w:t>12</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Estimates of Annualized Burden Hours and Costs</w:t>
      </w:r>
      <w:bookmarkEnd w:id="18"/>
      <w:r w:rsidRPr="00FF75EF">
        <w:rPr>
          <w:rFonts w:ascii="Times New Roman" w:hAnsi="Times New Roman" w:cs="Times New Roman"/>
          <w:b/>
          <w:color w:val="auto"/>
          <w:sz w:val="24"/>
          <w:szCs w:val="24"/>
        </w:rPr>
        <w:t xml:space="preserve"> </w:t>
      </w:r>
    </w:p>
    <w:p w14:paraId="1888F9EB" w14:textId="77777777" w:rsidR="00FF75EF" w:rsidRDefault="00FF75EF" w:rsidP="00FF75EF"/>
    <w:p w14:paraId="59E8677D" w14:textId="77777777" w:rsidR="008B05B7" w:rsidRPr="008B05B7" w:rsidRDefault="008B05B7" w:rsidP="008B05B7">
      <w:pPr>
        <w:rPr>
          <w:b/>
          <w:bCs/>
          <w:i/>
          <w:iCs/>
        </w:rPr>
      </w:pPr>
      <w:bookmarkStart w:id="19" w:name="_Toc275433774"/>
      <w:bookmarkStart w:id="20" w:name="_Toc307224707"/>
      <w:r w:rsidRPr="00920D6E">
        <w:rPr>
          <w:bCs/>
          <w:iCs/>
        </w:rPr>
        <w:t>12.</w:t>
      </w:r>
      <w:r w:rsidR="00FC6295" w:rsidRPr="00920D6E">
        <w:rPr>
          <w:bCs/>
          <w:iCs/>
        </w:rPr>
        <w:t>a</w:t>
      </w:r>
      <w:r w:rsidRPr="008B05B7">
        <w:rPr>
          <w:b/>
          <w:bCs/>
          <w:i/>
          <w:iCs/>
        </w:rPr>
        <w:tab/>
      </w:r>
      <w:r w:rsidRPr="00920D6E">
        <w:rPr>
          <w:bCs/>
          <w:iCs/>
          <w:u w:val="single"/>
        </w:rPr>
        <w:t>Estimated Annualized Burden Hours</w:t>
      </w:r>
      <w:bookmarkEnd w:id="19"/>
      <w:bookmarkEnd w:id="20"/>
    </w:p>
    <w:p w14:paraId="43D70C50" w14:textId="77777777" w:rsidR="003A0622" w:rsidRDefault="003A0622" w:rsidP="00FF75EF"/>
    <w:p w14:paraId="2C00341A" w14:textId="305A7767" w:rsidR="003316E0" w:rsidRDefault="00E577FB" w:rsidP="0034521D">
      <w:pPr>
        <w:autoSpaceDE w:val="0"/>
        <w:autoSpaceDN w:val="0"/>
        <w:adjustRightInd w:val="0"/>
        <w:spacing w:line="276" w:lineRule="auto"/>
        <w:rPr>
          <w:bCs/>
        </w:rPr>
      </w:pPr>
      <w:r>
        <w:tab/>
      </w:r>
      <w:r w:rsidR="003316E0" w:rsidRPr="00770793">
        <w:rPr>
          <w:bCs/>
        </w:rPr>
        <w:t xml:space="preserve">OMB approval is requested for </w:t>
      </w:r>
      <w:r w:rsidR="00770793" w:rsidRPr="00770793">
        <w:rPr>
          <w:bCs/>
        </w:rPr>
        <w:t>one year</w:t>
      </w:r>
      <w:r w:rsidR="003316E0" w:rsidRPr="00770793">
        <w:rPr>
          <w:bCs/>
        </w:rPr>
        <w:t xml:space="preserve">. </w:t>
      </w:r>
      <w:r w:rsidR="003316E0" w:rsidRPr="0065318D">
        <w:rPr>
          <w:bCs/>
        </w:rPr>
        <w:t xml:space="preserve">Annualized estimates of the number of respondents involved in </w:t>
      </w:r>
      <w:r w:rsidR="003316E0">
        <w:rPr>
          <w:bCs/>
        </w:rPr>
        <w:t>the information collection activities</w:t>
      </w:r>
      <w:r w:rsidR="003316E0" w:rsidRPr="0065318D">
        <w:rPr>
          <w:bCs/>
        </w:rPr>
        <w:t xml:space="preserve"> are provided below</w:t>
      </w:r>
      <w:r w:rsidR="003316E0">
        <w:rPr>
          <w:bCs/>
        </w:rPr>
        <w:t>.</w:t>
      </w:r>
      <w:r w:rsidR="003316E0" w:rsidRPr="00CD7036">
        <w:rPr>
          <w:bCs/>
        </w:rPr>
        <w:t xml:space="preserve"> </w:t>
      </w:r>
    </w:p>
    <w:p w14:paraId="1EDB9786" w14:textId="77777777" w:rsidR="0034521D" w:rsidRDefault="0034521D" w:rsidP="0034521D">
      <w:pPr>
        <w:pStyle w:val="ListParagraph"/>
        <w:autoSpaceDE w:val="0"/>
        <w:autoSpaceDN w:val="0"/>
        <w:adjustRightInd w:val="0"/>
        <w:spacing w:line="276" w:lineRule="auto"/>
      </w:pPr>
    </w:p>
    <w:p w14:paraId="6950AD7E" w14:textId="1D2A64D3" w:rsidR="00C03277" w:rsidRDefault="00C03277" w:rsidP="00520108">
      <w:pPr>
        <w:autoSpaceDE w:val="0"/>
        <w:autoSpaceDN w:val="0"/>
        <w:adjustRightInd w:val="0"/>
        <w:spacing w:line="276" w:lineRule="auto"/>
        <w:ind w:left="360"/>
      </w:pPr>
      <w:r w:rsidRPr="0034503E">
        <w:t>The estimated burden per response</w:t>
      </w:r>
      <w:r w:rsidR="00D46D91">
        <w:t xml:space="preserve"> for the SRCP Partner Cost Survey</w:t>
      </w:r>
      <w:r w:rsidRPr="0034503E">
        <w:t xml:space="preserve"> is </w:t>
      </w:r>
      <w:r w:rsidR="00770793" w:rsidRPr="0034503E">
        <w:t>1 hour</w:t>
      </w:r>
      <w:r w:rsidRPr="001D0C56">
        <w:t xml:space="preserve">. </w:t>
      </w:r>
      <w:r w:rsidR="00770793">
        <w:t>There are 88 partner organizations across all SRCP grantees and we assume a 50% response rate</w:t>
      </w:r>
      <w:r w:rsidR="00770793" w:rsidRPr="001D0C56">
        <w:t xml:space="preserve"> </w:t>
      </w:r>
      <w:r w:rsidR="00770793">
        <w:t xml:space="preserve">so the </w:t>
      </w:r>
      <w:r w:rsidRPr="001D0C56">
        <w:t xml:space="preserve">total estimated annualized number of respondents is </w:t>
      </w:r>
      <w:r w:rsidR="00770793">
        <w:t>44</w:t>
      </w:r>
      <w:r w:rsidRPr="001D0C56">
        <w:t xml:space="preserve"> and the total estimated annualized burden is </w:t>
      </w:r>
      <w:r w:rsidR="00770793">
        <w:t>44</w:t>
      </w:r>
      <w:r w:rsidRPr="001D0C56">
        <w:t xml:space="preserve"> hours</w:t>
      </w:r>
      <w:r>
        <w:t>.</w:t>
      </w:r>
    </w:p>
    <w:p w14:paraId="571CB55B" w14:textId="77777777" w:rsidR="00E577FB" w:rsidRDefault="00E577FB" w:rsidP="00FF75EF"/>
    <w:p w14:paraId="03664432" w14:textId="77777777" w:rsidR="00241025" w:rsidRDefault="00241025">
      <w:pPr>
        <w:spacing w:after="160" w:line="259" w:lineRule="auto"/>
        <w:rPr>
          <w:b/>
          <w:bCs/>
          <w:szCs w:val="20"/>
        </w:rPr>
      </w:pPr>
      <w:r>
        <w:br w:type="page"/>
      </w:r>
    </w:p>
    <w:p w14:paraId="0552E75E" w14:textId="087036BB" w:rsidR="00E577FB" w:rsidRPr="005A2446" w:rsidRDefault="008B05B7" w:rsidP="00E577FB">
      <w:pPr>
        <w:pStyle w:val="TableTitle"/>
      </w:pPr>
      <w:r w:rsidRPr="00920D6E">
        <w:rPr>
          <w:b w:val="0"/>
        </w:rPr>
        <w:t xml:space="preserve">Table </w:t>
      </w:r>
      <w:r w:rsidR="004A079C">
        <w:rPr>
          <w:b w:val="0"/>
        </w:rPr>
        <w:t>A</w:t>
      </w:r>
      <w:r w:rsidRPr="00920D6E">
        <w:rPr>
          <w:b w:val="0"/>
        </w:rPr>
        <w:t>12</w:t>
      </w:r>
      <w:r w:rsidR="00FC6295" w:rsidRPr="00920D6E">
        <w:rPr>
          <w:b w:val="0"/>
        </w:rPr>
        <w:t>a.</w:t>
      </w:r>
      <w:r w:rsidR="00FC6295">
        <w:t xml:space="preserve"> </w:t>
      </w:r>
      <w:r w:rsidRPr="005A2446">
        <w:tab/>
      </w:r>
      <w:r w:rsidR="00FC6295">
        <w:t xml:space="preserve">        </w:t>
      </w:r>
      <w:r w:rsidRPr="00920D6E">
        <w:rPr>
          <w:b w:val="0"/>
          <w:u w:val="single"/>
        </w:rPr>
        <w:t xml:space="preserve">Estimated </w:t>
      </w:r>
      <w:r w:rsidR="009D26F4">
        <w:rPr>
          <w:b w:val="0"/>
          <w:u w:val="single"/>
        </w:rPr>
        <w:t>Annualized Burden to Respondents</w:t>
      </w:r>
    </w:p>
    <w:tbl>
      <w:tblPr>
        <w:tblStyle w:val="TableGrid"/>
        <w:tblW w:w="10084"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firstRow="1" w:lastRow="0" w:firstColumn="1" w:lastColumn="0" w:noHBand="0" w:noVBand="1"/>
      </w:tblPr>
      <w:tblGrid>
        <w:gridCol w:w="1548"/>
        <w:gridCol w:w="2261"/>
        <w:gridCol w:w="1530"/>
        <w:gridCol w:w="1440"/>
        <w:gridCol w:w="1350"/>
        <w:gridCol w:w="1955"/>
      </w:tblGrid>
      <w:tr w:rsidR="008B05B7" w:rsidRPr="00FD40D0" w14:paraId="0F8FFCE0" w14:textId="77777777" w:rsidTr="00920D6E">
        <w:trPr>
          <w:cantSplit/>
        </w:trPr>
        <w:tc>
          <w:tcPr>
            <w:tcW w:w="1548" w:type="dxa"/>
            <w:vAlign w:val="bottom"/>
          </w:tcPr>
          <w:p w14:paraId="5882B346" w14:textId="77777777" w:rsidR="008B05B7" w:rsidRPr="00FD40D0" w:rsidRDefault="008B05B7" w:rsidP="008B05B7">
            <w:pPr>
              <w:pStyle w:val="TableHeaders"/>
              <w:rPr>
                <w:sz w:val="21"/>
                <w:szCs w:val="21"/>
              </w:rPr>
            </w:pPr>
            <w:r w:rsidRPr="00FD40D0">
              <w:rPr>
                <w:sz w:val="21"/>
                <w:szCs w:val="21"/>
              </w:rPr>
              <w:t>Type of Respondent</w:t>
            </w:r>
          </w:p>
        </w:tc>
        <w:tc>
          <w:tcPr>
            <w:tcW w:w="2261" w:type="dxa"/>
            <w:vAlign w:val="bottom"/>
          </w:tcPr>
          <w:p w14:paraId="29247220" w14:textId="77777777" w:rsidR="008B05B7" w:rsidRPr="00FD40D0" w:rsidRDefault="008B05B7" w:rsidP="008B05B7">
            <w:pPr>
              <w:pStyle w:val="TableHeaders"/>
              <w:rPr>
                <w:sz w:val="21"/>
                <w:szCs w:val="21"/>
              </w:rPr>
            </w:pPr>
            <w:r w:rsidRPr="00FD40D0">
              <w:rPr>
                <w:sz w:val="21"/>
                <w:szCs w:val="21"/>
              </w:rPr>
              <w:t>Form Name</w:t>
            </w:r>
          </w:p>
        </w:tc>
        <w:tc>
          <w:tcPr>
            <w:tcW w:w="1530" w:type="dxa"/>
            <w:vAlign w:val="bottom"/>
          </w:tcPr>
          <w:p w14:paraId="763B0C77" w14:textId="77777777" w:rsidR="008B05B7" w:rsidRPr="00FD40D0" w:rsidRDefault="008B05B7" w:rsidP="008B05B7">
            <w:pPr>
              <w:pStyle w:val="TableHeaders"/>
              <w:rPr>
                <w:sz w:val="21"/>
                <w:szCs w:val="21"/>
              </w:rPr>
            </w:pPr>
            <w:r w:rsidRPr="00FD40D0">
              <w:rPr>
                <w:sz w:val="21"/>
                <w:szCs w:val="21"/>
              </w:rPr>
              <w:t>Number of Respondents</w:t>
            </w:r>
          </w:p>
        </w:tc>
        <w:tc>
          <w:tcPr>
            <w:tcW w:w="1440" w:type="dxa"/>
            <w:vAlign w:val="bottom"/>
          </w:tcPr>
          <w:p w14:paraId="525A1F13" w14:textId="77777777" w:rsidR="008B05B7" w:rsidRPr="00FD40D0" w:rsidRDefault="008B05B7" w:rsidP="008B05B7">
            <w:pPr>
              <w:pStyle w:val="TableHeaders"/>
              <w:rPr>
                <w:sz w:val="21"/>
                <w:szCs w:val="21"/>
              </w:rPr>
            </w:pPr>
            <w:r w:rsidRPr="00FD40D0">
              <w:rPr>
                <w:sz w:val="21"/>
                <w:szCs w:val="21"/>
              </w:rPr>
              <w:t>Number of Responses per Respondent</w:t>
            </w:r>
          </w:p>
        </w:tc>
        <w:tc>
          <w:tcPr>
            <w:tcW w:w="1350" w:type="dxa"/>
            <w:vAlign w:val="bottom"/>
          </w:tcPr>
          <w:p w14:paraId="666700D4" w14:textId="77777777" w:rsidR="008B05B7" w:rsidRPr="00FD40D0" w:rsidRDefault="008B05B7" w:rsidP="008B05B7">
            <w:pPr>
              <w:pStyle w:val="TableHeaders"/>
              <w:rPr>
                <w:sz w:val="21"/>
                <w:szCs w:val="21"/>
              </w:rPr>
            </w:pPr>
            <w:r w:rsidRPr="00FD40D0">
              <w:rPr>
                <w:sz w:val="21"/>
                <w:szCs w:val="21"/>
              </w:rPr>
              <w:t>Average Burden per Response (in hours)</w:t>
            </w:r>
          </w:p>
        </w:tc>
        <w:tc>
          <w:tcPr>
            <w:tcW w:w="1955" w:type="dxa"/>
            <w:vAlign w:val="bottom"/>
          </w:tcPr>
          <w:p w14:paraId="1897B88F" w14:textId="77777777" w:rsidR="008B05B7" w:rsidRPr="00FD40D0" w:rsidRDefault="008B05B7" w:rsidP="008B05B7">
            <w:pPr>
              <w:pStyle w:val="TableHeaders"/>
              <w:rPr>
                <w:sz w:val="21"/>
                <w:szCs w:val="21"/>
              </w:rPr>
            </w:pPr>
            <w:r w:rsidRPr="00FD40D0">
              <w:rPr>
                <w:sz w:val="21"/>
                <w:szCs w:val="21"/>
              </w:rPr>
              <w:t>Total Burden (in hours)</w:t>
            </w:r>
          </w:p>
        </w:tc>
      </w:tr>
      <w:tr w:rsidR="008B05B7" w:rsidRPr="00FD40D0" w14:paraId="370958D0" w14:textId="77777777" w:rsidTr="00920D6E">
        <w:trPr>
          <w:cantSplit/>
        </w:trPr>
        <w:tc>
          <w:tcPr>
            <w:tcW w:w="1548" w:type="dxa"/>
          </w:tcPr>
          <w:p w14:paraId="21E4D653" w14:textId="47DF44E6" w:rsidR="008B05B7" w:rsidRPr="008C4132" w:rsidRDefault="00F94DDD" w:rsidP="008B05B7">
            <w:pPr>
              <w:pStyle w:val="TableText"/>
              <w:rPr>
                <w:szCs w:val="21"/>
              </w:rPr>
            </w:pPr>
            <w:r>
              <w:rPr>
                <w:szCs w:val="21"/>
              </w:rPr>
              <w:t xml:space="preserve">SRCP </w:t>
            </w:r>
            <w:r w:rsidR="00E912E9">
              <w:rPr>
                <w:szCs w:val="21"/>
              </w:rPr>
              <w:t>Partner Program Manager</w:t>
            </w:r>
          </w:p>
        </w:tc>
        <w:tc>
          <w:tcPr>
            <w:tcW w:w="2261" w:type="dxa"/>
          </w:tcPr>
          <w:p w14:paraId="62FEE36D" w14:textId="5844A13E" w:rsidR="008B05B7" w:rsidRPr="008C4132" w:rsidRDefault="00D46D91" w:rsidP="008B05B7">
            <w:pPr>
              <w:pStyle w:val="TableText"/>
              <w:rPr>
                <w:szCs w:val="21"/>
              </w:rPr>
            </w:pPr>
            <w:r>
              <w:rPr>
                <w:szCs w:val="21"/>
              </w:rPr>
              <w:t xml:space="preserve">SRCP Partner </w:t>
            </w:r>
            <w:r w:rsidR="008B05B7" w:rsidRPr="008C4132">
              <w:rPr>
                <w:szCs w:val="21"/>
              </w:rPr>
              <w:t xml:space="preserve">Cost </w:t>
            </w:r>
            <w:r w:rsidR="00770793">
              <w:rPr>
                <w:szCs w:val="21"/>
              </w:rPr>
              <w:t>Survey</w:t>
            </w:r>
            <w:r w:rsidR="008B05B7" w:rsidRPr="008C4132">
              <w:rPr>
                <w:szCs w:val="21"/>
              </w:rPr>
              <w:t xml:space="preserve">  </w:t>
            </w:r>
          </w:p>
        </w:tc>
        <w:tc>
          <w:tcPr>
            <w:tcW w:w="1530" w:type="dxa"/>
          </w:tcPr>
          <w:p w14:paraId="6767AC0E" w14:textId="5BD318E7" w:rsidR="008B05B7" w:rsidRPr="008C4132" w:rsidRDefault="009573ED" w:rsidP="00920D6E">
            <w:pPr>
              <w:pStyle w:val="TableText"/>
              <w:tabs>
                <w:tab w:val="decimal" w:pos="785"/>
              </w:tabs>
              <w:jc w:val="center"/>
              <w:rPr>
                <w:bCs/>
                <w:szCs w:val="21"/>
              </w:rPr>
            </w:pPr>
            <w:r>
              <w:rPr>
                <w:bCs/>
                <w:szCs w:val="21"/>
              </w:rPr>
              <w:t>44</w:t>
            </w:r>
          </w:p>
        </w:tc>
        <w:tc>
          <w:tcPr>
            <w:tcW w:w="1440" w:type="dxa"/>
          </w:tcPr>
          <w:p w14:paraId="0F407EAA" w14:textId="77777777" w:rsidR="008B05B7" w:rsidRPr="008C4132" w:rsidRDefault="00770793" w:rsidP="00920D6E">
            <w:pPr>
              <w:pStyle w:val="TableText"/>
              <w:jc w:val="center"/>
              <w:rPr>
                <w:szCs w:val="21"/>
              </w:rPr>
            </w:pPr>
            <w:r>
              <w:rPr>
                <w:szCs w:val="21"/>
              </w:rPr>
              <w:t>1</w:t>
            </w:r>
          </w:p>
        </w:tc>
        <w:tc>
          <w:tcPr>
            <w:tcW w:w="1350" w:type="dxa"/>
          </w:tcPr>
          <w:p w14:paraId="3847F09D" w14:textId="77777777" w:rsidR="008B05B7" w:rsidRPr="008C4132" w:rsidRDefault="00770793" w:rsidP="00920D6E">
            <w:pPr>
              <w:pStyle w:val="TableText"/>
              <w:jc w:val="center"/>
              <w:rPr>
                <w:szCs w:val="21"/>
              </w:rPr>
            </w:pPr>
            <w:r>
              <w:rPr>
                <w:szCs w:val="21"/>
              </w:rPr>
              <w:t>1</w:t>
            </w:r>
          </w:p>
        </w:tc>
        <w:tc>
          <w:tcPr>
            <w:tcW w:w="1955" w:type="dxa"/>
          </w:tcPr>
          <w:p w14:paraId="3AE67AFF" w14:textId="4C6F300E" w:rsidR="008B05B7" w:rsidRPr="008C4132" w:rsidRDefault="009573ED" w:rsidP="00920D6E">
            <w:pPr>
              <w:pStyle w:val="TableText"/>
              <w:tabs>
                <w:tab w:val="decimal" w:pos="605"/>
              </w:tabs>
              <w:jc w:val="center"/>
              <w:rPr>
                <w:szCs w:val="21"/>
              </w:rPr>
            </w:pPr>
            <w:r>
              <w:rPr>
                <w:szCs w:val="21"/>
              </w:rPr>
              <w:t>44</w:t>
            </w:r>
          </w:p>
        </w:tc>
      </w:tr>
      <w:tr w:rsidR="00E912E9" w:rsidRPr="00FD40D0" w14:paraId="13C277FD" w14:textId="77777777" w:rsidTr="00920D6E">
        <w:trPr>
          <w:cantSplit/>
        </w:trPr>
        <w:tc>
          <w:tcPr>
            <w:tcW w:w="1548" w:type="dxa"/>
          </w:tcPr>
          <w:p w14:paraId="7CA0E4AC" w14:textId="77777777" w:rsidR="00E912E9" w:rsidRPr="008C4132" w:rsidRDefault="00E912E9" w:rsidP="00E912E9">
            <w:pPr>
              <w:pStyle w:val="TableText"/>
              <w:rPr>
                <w:szCs w:val="21"/>
              </w:rPr>
            </w:pPr>
          </w:p>
        </w:tc>
        <w:tc>
          <w:tcPr>
            <w:tcW w:w="2261" w:type="dxa"/>
          </w:tcPr>
          <w:p w14:paraId="437194C4" w14:textId="77777777" w:rsidR="00E912E9" w:rsidRPr="008C4132" w:rsidRDefault="00E912E9" w:rsidP="00E912E9">
            <w:pPr>
              <w:pStyle w:val="TableText"/>
              <w:rPr>
                <w:szCs w:val="21"/>
              </w:rPr>
            </w:pPr>
          </w:p>
        </w:tc>
        <w:tc>
          <w:tcPr>
            <w:tcW w:w="1530" w:type="dxa"/>
            <w:shd w:val="clear" w:color="auto" w:fill="auto"/>
          </w:tcPr>
          <w:p w14:paraId="77650DD3" w14:textId="77777777" w:rsidR="00E912E9" w:rsidRPr="008C4132" w:rsidRDefault="00E912E9" w:rsidP="00E912E9">
            <w:pPr>
              <w:pStyle w:val="TableText"/>
              <w:tabs>
                <w:tab w:val="decimal" w:pos="785"/>
              </w:tabs>
              <w:jc w:val="right"/>
              <w:rPr>
                <w:bCs/>
                <w:szCs w:val="21"/>
              </w:rPr>
            </w:pPr>
          </w:p>
        </w:tc>
        <w:tc>
          <w:tcPr>
            <w:tcW w:w="1440" w:type="dxa"/>
          </w:tcPr>
          <w:p w14:paraId="7AD043B2" w14:textId="77777777" w:rsidR="00E912E9" w:rsidRPr="008C4132" w:rsidRDefault="00E912E9" w:rsidP="00E912E9">
            <w:pPr>
              <w:pStyle w:val="TableText"/>
              <w:jc w:val="right"/>
              <w:rPr>
                <w:szCs w:val="21"/>
              </w:rPr>
            </w:pPr>
          </w:p>
        </w:tc>
        <w:tc>
          <w:tcPr>
            <w:tcW w:w="1350" w:type="dxa"/>
          </w:tcPr>
          <w:p w14:paraId="22C2012C" w14:textId="77777777" w:rsidR="00E912E9" w:rsidRPr="006F122F" w:rsidRDefault="00E912E9" w:rsidP="00E912E9">
            <w:pPr>
              <w:pStyle w:val="TableText"/>
              <w:jc w:val="right"/>
              <w:rPr>
                <w:b/>
                <w:szCs w:val="21"/>
              </w:rPr>
            </w:pPr>
            <w:r w:rsidRPr="006F122F">
              <w:rPr>
                <w:b/>
                <w:szCs w:val="21"/>
              </w:rPr>
              <w:t>Total:</w:t>
            </w:r>
          </w:p>
        </w:tc>
        <w:tc>
          <w:tcPr>
            <w:tcW w:w="1955" w:type="dxa"/>
          </w:tcPr>
          <w:p w14:paraId="07B3B20E" w14:textId="609376A1" w:rsidR="00E912E9" w:rsidRPr="008C4132" w:rsidRDefault="009573ED" w:rsidP="00920D6E">
            <w:pPr>
              <w:pStyle w:val="TableText"/>
              <w:tabs>
                <w:tab w:val="decimal" w:pos="605"/>
              </w:tabs>
              <w:jc w:val="center"/>
              <w:rPr>
                <w:szCs w:val="21"/>
              </w:rPr>
            </w:pPr>
            <w:r>
              <w:rPr>
                <w:szCs w:val="21"/>
              </w:rPr>
              <w:t>44</w:t>
            </w:r>
          </w:p>
        </w:tc>
      </w:tr>
    </w:tbl>
    <w:p w14:paraId="2681E187" w14:textId="77777777" w:rsidR="003A0622" w:rsidRDefault="003A0622" w:rsidP="00FF75EF"/>
    <w:p w14:paraId="5FB5CFDB" w14:textId="77777777" w:rsidR="00156DA4" w:rsidRDefault="00156DA4" w:rsidP="00156DA4"/>
    <w:p w14:paraId="5CF40044" w14:textId="77777777" w:rsidR="00A05FF7" w:rsidRPr="00E971CB" w:rsidRDefault="00156DA4" w:rsidP="0034521D">
      <w:pPr>
        <w:spacing w:line="276" w:lineRule="auto"/>
        <w:rPr>
          <w:b/>
          <w:bCs/>
          <w:i/>
          <w:iCs/>
        </w:rPr>
      </w:pPr>
      <w:r w:rsidRPr="00920D6E">
        <w:rPr>
          <w:bCs/>
          <w:iCs/>
        </w:rPr>
        <w:t>12</w:t>
      </w:r>
      <w:r w:rsidR="00FC6295" w:rsidRPr="00920D6E">
        <w:rPr>
          <w:bCs/>
          <w:iCs/>
        </w:rPr>
        <w:t>b.</w:t>
      </w:r>
      <w:r w:rsidRPr="008B05B7">
        <w:rPr>
          <w:b/>
          <w:bCs/>
          <w:i/>
          <w:iCs/>
        </w:rPr>
        <w:tab/>
      </w:r>
      <w:r w:rsidR="00A05FF7" w:rsidRPr="00920D6E">
        <w:rPr>
          <w:bCs/>
          <w:iCs/>
          <w:u w:val="single"/>
        </w:rPr>
        <w:t>Annualized Cost to Respondents</w:t>
      </w:r>
    </w:p>
    <w:p w14:paraId="17BB0646" w14:textId="77777777" w:rsidR="00156DA4" w:rsidRDefault="00156DA4" w:rsidP="0034521D">
      <w:pPr>
        <w:spacing w:line="276" w:lineRule="auto"/>
        <w:rPr>
          <w:b/>
          <w:bCs/>
          <w:i/>
          <w:iCs/>
        </w:rPr>
      </w:pPr>
    </w:p>
    <w:p w14:paraId="7CEC6F89" w14:textId="77777777" w:rsidR="00E577FB" w:rsidRDefault="00E577FB" w:rsidP="0034521D">
      <w:pPr>
        <w:spacing w:line="276" w:lineRule="auto"/>
        <w:ind w:firstLine="720"/>
        <w:rPr>
          <w:szCs w:val="20"/>
        </w:rPr>
      </w:pPr>
      <w:r w:rsidRPr="00E577FB">
        <w:rPr>
          <w:szCs w:val="20"/>
        </w:rPr>
        <w:t>Average hourly wage estimates were obtained from the U.S. Department of Labor, Bureau of Labor Statistics.  The estimated ann</w:t>
      </w:r>
      <w:r w:rsidR="00A9300E">
        <w:rPr>
          <w:szCs w:val="20"/>
        </w:rPr>
        <w:t xml:space="preserve">ualized cost to respondents is </w:t>
      </w:r>
      <w:r w:rsidR="0034503E">
        <w:rPr>
          <w:color w:val="000000"/>
        </w:rPr>
        <w:t>$4,958.80</w:t>
      </w:r>
      <w:r w:rsidRPr="00E577FB">
        <w:rPr>
          <w:szCs w:val="20"/>
        </w:rPr>
        <w:t>, as summarized below in Table A.12-B.</w:t>
      </w:r>
    </w:p>
    <w:p w14:paraId="157FDF3F" w14:textId="77777777" w:rsidR="00122A0E" w:rsidRPr="00A834FD" w:rsidRDefault="00122A0E" w:rsidP="0034521D">
      <w:pPr>
        <w:pStyle w:val="BodyText"/>
        <w:numPr>
          <w:ilvl w:val="0"/>
          <w:numId w:val="21"/>
        </w:numPr>
        <w:spacing w:after="0" w:line="276" w:lineRule="auto"/>
        <w:rPr>
          <w:rFonts w:ascii="Times New Roman" w:hAnsi="Times New Roman"/>
        </w:rPr>
      </w:pPr>
      <w:r w:rsidRPr="00A834FD">
        <w:rPr>
          <w:rFonts w:ascii="Times New Roman" w:hAnsi="Times New Roman"/>
        </w:rPr>
        <w:t xml:space="preserve">The average annual salary of $117,200 for general and operational managers was used to calculate the hourly wage of $56.35 for </w:t>
      </w:r>
      <w:r>
        <w:rPr>
          <w:rFonts w:ascii="Times New Roman" w:hAnsi="Times New Roman"/>
        </w:rPr>
        <w:t>program managers</w:t>
      </w:r>
      <w:r w:rsidRPr="00A834FD">
        <w:rPr>
          <w:rFonts w:ascii="Times New Roman" w:hAnsi="Times New Roman"/>
        </w:rPr>
        <w:t xml:space="preserve">. </w:t>
      </w:r>
    </w:p>
    <w:p w14:paraId="65A42CC1" w14:textId="77777777" w:rsidR="00A9300E" w:rsidRPr="00920D6E" w:rsidRDefault="00A9300E" w:rsidP="008B05B7"/>
    <w:p w14:paraId="6655E325" w14:textId="53F069C4" w:rsidR="008B05B7" w:rsidRPr="00920D6E" w:rsidRDefault="00122A0E" w:rsidP="008B05B7">
      <w:pPr>
        <w:rPr>
          <w:bCs/>
        </w:rPr>
      </w:pPr>
      <w:r w:rsidRPr="00920D6E">
        <w:t xml:space="preserve">Table </w:t>
      </w:r>
      <w:r w:rsidR="004A079C">
        <w:t>A</w:t>
      </w:r>
      <w:r w:rsidRPr="00920D6E">
        <w:t>12</w:t>
      </w:r>
      <w:r w:rsidR="00FC6295">
        <w:t>b</w:t>
      </w:r>
      <w:r w:rsidRPr="00920D6E">
        <w:t>.</w:t>
      </w:r>
      <w:r w:rsidRPr="00920D6E">
        <w:tab/>
      </w:r>
      <w:r w:rsidR="00FC6295" w:rsidRPr="00920D6E">
        <w:rPr>
          <w:bCs/>
        </w:rPr>
        <w:t xml:space="preserve"> Annualized cost to Respondents </w:t>
      </w:r>
    </w:p>
    <w:tbl>
      <w:tblPr>
        <w:tblStyle w:val="TableGrid"/>
        <w:tblW w:w="9450"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444"/>
        <w:gridCol w:w="1440"/>
        <w:gridCol w:w="1350"/>
        <w:gridCol w:w="1498"/>
        <w:gridCol w:w="1346"/>
        <w:gridCol w:w="936"/>
        <w:gridCol w:w="238"/>
        <w:gridCol w:w="1080"/>
        <w:gridCol w:w="118"/>
      </w:tblGrid>
      <w:tr w:rsidR="008B05B7" w:rsidRPr="003A00C3" w14:paraId="48354751" w14:textId="77777777" w:rsidTr="00520108">
        <w:trPr>
          <w:cantSplit/>
          <w:jc w:val="center"/>
        </w:trPr>
        <w:tc>
          <w:tcPr>
            <w:tcW w:w="1444" w:type="dxa"/>
            <w:vAlign w:val="bottom"/>
          </w:tcPr>
          <w:p w14:paraId="07F7E606" w14:textId="77777777" w:rsidR="008B05B7" w:rsidRPr="003A00C3" w:rsidRDefault="008B05B7" w:rsidP="008B05B7">
            <w:pPr>
              <w:rPr>
                <w:b/>
                <w:sz w:val="22"/>
              </w:rPr>
            </w:pPr>
            <w:r w:rsidRPr="003A00C3">
              <w:rPr>
                <w:b/>
                <w:sz w:val="22"/>
              </w:rPr>
              <w:t>Type of Respondent</w:t>
            </w:r>
          </w:p>
        </w:tc>
        <w:tc>
          <w:tcPr>
            <w:tcW w:w="1440" w:type="dxa"/>
            <w:vAlign w:val="bottom"/>
          </w:tcPr>
          <w:p w14:paraId="4C403704" w14:textId="77777777" w:rsidR="008B05B7" w:rsidRPr="003A00C3" w:rsidRDefault="008B05B7" w:rsidP="008B05B7">
            <w:pPr>
              <w:rPr>
                <w:b/>
                <w:sz w:val="22"/>
              </w:rPr>
            </w:pPr>
            <w:r w:rsidRPr="003A00C3">
              <w:rPr>
                <w:b/>
                <w:sz w:val="22"/>
              </w:rPr>
              <w:t>Form Name</w:t>
            </w:r>
          </w:p>
        </w:tc>
        <w:tc>
          <w:tcPr>
            <w:tcW w:w="1350" w:type="dxa"/>
            <w:vAlign w:val="bottom"/>
          </w:tcPr>
          <w:p w14:paraId="568B6F31" w14:textId="77777777" w:rsidR="008B05B7" w:rsidRPr="003A00C3" w:rsidRDefault="008B05B7" w:rsidP="008B05B7">
            <w:pPr>
              <w:rPr>
                <w:b/>
                <w:sz w:val="22"/>
              </w:rPr>
            </w:pPr>
            <w:r w:rsidRPr="003A00C3">
              <w:rPr>
                <w:b/>
                <w:sz w:val="22"/>
              </w:rPr>
              <w:t>Number of Respondents</w:t>
            </w:r>
          </w:p>
        </w:tc>
        <w:tc>
          <w:tcPr>
            <w:tcW w:w="1498" w:type="dxa"/>
            <w:vAlign w:val="bottom"/>
          </w:tcPr>
          <w:p w14:paraId="3E35835E" w14:textId="77777777" w:rsidR="008B05B7" w:rsidRPr="003A00C3" w:rsidRDefault="008B05B7" w:rsidP="008B05B7">
            <w:pPr>
              <w:rPr>
                <w:b/>
                <w:sz w:val="22"/>
              </w:rPr>
            </w:pPr>
            <w:r w:rsidRPr="003A00C3">
              <w:rPr>
                <w:b/>
                <w:sz w:val="22"/>
              </w:rPr>
              <w:t>Number of Responses per Respondent</w:t>
            </w:r>
          </w:p>
        </w:tc>
        <w:tc>
          <w:tcPr>
            <w:tcW w:w="1346" w:type="dxa"/>
            <w:vAlign w:val="bottom"/>
          </w:tcPr>
          <w:p w14:paraId="25FD7B73" w14:textId="77777777" w:rsidR="008B05B7" w:rsidRPr="003A00C3" w:rsidRDefault="008B05B7" w:rsidP="008B05B7">
            <w:pPr>
              <w:rPr>
                <w:b/>
                <w:sz w:val="22"/>
              </w:rPr>
            </w:pPr>
            <w:r w:rsidRPr="003A00C3">
              <w:rPr>
                <w:b/>
                <w:sz w:val="22"/>
              </w:rPr>
              <w:t>Average Burden per Response (in hours)</w:t>
            </w:r>
          </w:p>
        </w:tc>
        <w:tc>
          <w:tcPr>
            <w:tcW w:w="1174" w:type="dxa"/>
            <w:gridSpan w:val="2"/>
            <w:vAlign w:val="bottom"/>
          </w:tcPr>
          <w:p w14:paraId="0875BD80" w14:textId="77777777" w:rsidR="008B05B7" w:rsidRPr="003A00C3" w:rsidRDefault="008B05B7" w:rsidP="008B05B7">
            <w:pPr>
              <w:rPr>
                <w:b/>
                <w:sz w:val="22"/>
              </w:rPr>
            </w:pPr>
            <w:r w:rsidRPr="003A00C3">
              <w:rPr>
                <w:b/>
                <w:sz w:val="22"/>
              </w:rPr>
              <w:t>Average Hourly Wage Rate</w:t>
            </w:r>
          </w:p>
        </w:tc>
        <w:tc>
          <w:tcPr>
            <w:tcW w:w="1198" w:type="dxa"/>
            <w:gridSpan w:val="2"/>
            <w:vAlign w:val="bottom"/>
          </w:tcPr>
          <w:p w14:paraId="27F39F5C" w14:textId="77777777" w:rsidR="008B05B7" w:rsidRPr="003A00C3" w:rsidRDefault="008B05B7" w:rsidP="008B05B7">
            <w:pPr>
              <w:rPr>
                <w:b/>
                <w:sz w:val="22"/>
              </w:rPr>
            </w:pPr>
            <w:r w:rsidRPr="003A00C3">
              <w:rPr>
                <w:b/>
                <w:sz w:val="22"/>
              </w:rPr>
              <w:t>Total Cost</w:t>
            </w:r>
          </w:p>
        </w:tc>
      </w:tr>
      <w:tr w:rsidR="00E912E9" w:rsidRPr="003A00C3" w14:paraId="1CA895BE" w14:textId="77777777" w:rsidTr="00520108">
        <w:trPr>
          <w:cantSplit/>
          <w:trHeight w:val="843"/>
          <w:jc w:val="center"/>
        </w:trPr>
        <w:tc>
          <w:tcPr>
            <w:tcW w:w="1444" w:type="dxa"/>
            <w:vAlign w:val="center"/>
          </w:tcPr>
          <w:p w14:paraId="3EFDBF6C" w14:textId="2906E61C" w:rsidR="00E912E9" w:rsidRPr="003A00C3" w:rsidRDefault="00F94DDD" w:rsidP="00E912E9">
            <w:pPr>
              <w:rPr>
                <w:sz w:val="22"/>
                <w:szCs w:val="21"/>
              </w:rPr>
            </w:pPr>
            <w:r>
              <w:rPr>
                <w:sz w:val="22"/>
                <w:szCs w:val="21"/>
              </w:rPr>
              <w:t xml:space="preserve">SRCP </w:t>
            </w:r>
            <w:r w:rsidR="00E912E9">
              <w:rPr>
                <w:sz w:val="22"/>
                <w:szCs w:val="21"/>
              </w:rPr>
              <w:t>Partner Program Manager</w:t>
            </w:r>
          </w:p>
        </w:tc>
        <w:tc>
          <w:tcPr>
            <w:tcW w:w="1440" w:type="dxa"/>
            <w:vAlign w:val="center"/>
          </w:tcPr>
          <w:p w14:paraId="27A579A3" w14:textId="1DFF2793" w:rsidR="00E912E9" w:rsidRPr="003A00C3" w:rsidRDefault="00D46D91" w:rsidP="0003530B">
            <w:r>
              <w:t xml:space="preserve">SRCP Partner </w:t>
            </w:r>
            <w:r w:rsidR="00E912E9" w:rsidRPr="003A00C3">
              <w:t xml:space="preserve">Cost </w:t>
            </w:r>
            <w:r w:rsidR="0003530B">
              <w:t>Survey</w:t>
            </w:r>
          </w:p>
        </w:tc>
        <w:tc>
          <w:tcPr>
            <w:tcW w:w="1350" w:type="dxa"/>
            <w:vAlign w:val="center"/>
          </w:tcPr>
          <w:p w14:paraId="10764D01" w14:textId="5639DC0E" w:rsidR="00E912E9" w:rsidRDefault="009573ED">
            <w:pPr>
              <w:jc w:val="center"/>
            </w:pPr>
            <w:r>
              <w:t>44</w:t>
            </w:r>
          </w:p>
        </w:tc>
        <w:tc>
          <w:tcPr>
            <w:tcW w:w="1498" w:type="dxa"/>
            <w:vAlign w:val="center"/>
          </w:tcPr>
          <w:p w14:paraId="10757500" w14:textId="04BBEED0" w:rsidR="00E912E9" w:rsidRPr="003A00C3" w:rsidRDefault="00A9300E">
            <w:pPr>
              <w:jc w:val="center"/>
            </w:pPr>
            <w:r>
              <w:t>1</w:t>
            </w:r>
          </w:p>
        </w:tc>
        <w:tc>
          <w:tcPr>
            <w:tcW w:w="1346" w:type="dxa"/>
            <w:vAlign w:val="center"/>
          </w:tcPr>
          <w:p w14:paraId="4254E20F" w14:textId="38C5605A" w:rsidR="00E912E9" w:rsidRPr="003A00C3" w:rsidRDefault="00A9300E">
            <w:pPr>
              <w:jc w:val="center"/>
            </w:pPr>
            <w:r>
              <w:t>1</w:t>
            </w:r>
          </w:p>
        </w:tc>
        <w:tc>
          <w:tcPr>
            <w:tcW w:w="1174" w:type="dxa"/>
            <w:gridSpan w:val="2"/>
            <w:vAlign w:val="center"/>
          </w:tcPr>
          <w:p w14:paraId="098D3DC9" w14:textId="070E3EC8" w:rsidR="00E912E9" w:rsidRPr="003A00C3" w:rsidRDefault="00E912E9">
            <w:pPr>
              <w:jc w:val="center"/>
            </w:pPr>
            <w:r w:rsidRPr="003A00C3">
              <w:t>$56.35</w:t>
            </w:r>
          </w:p>
        </w:tc>
        <w:tc>
          <w:tcPr>
            <w:tcW w:w="1198" w:type="dxa"/>
            <w:gridSpan w:val="2"/>
            <w:vAlign w:val="center"/>
          </w:tcPr>
          <w:p w14:paraId="0A87F402" w14:textId="488B2937" w:rsidR="00E912E9" w:rsidRDefault="00E912E9" w:rsidP="00E912E9">
            <w:pPr>
              <w:jc w:val="center"/>
              <w:rPr>
                <w:color w:val="000000"/>
              </w:rPr>
            </w:pPr>
            <w:r>
              <w:rPr>
                <w:color w:val="000000"/>
              </w:rPr>
              <w:t>$</w:t>
            </w:r>
            <w:r w:rsidR="009573ED">
              <w:rPr>
                <w:color w:val="000000"/>
              </w:rPr>
              <w:t>2,479.40</w:t>
            </w:r>
          </w:p>
        </w:tc>
      </w:tr>
      <w:tr w:rsidR="00E912E9" w:rsidRPr="00A9300E" w14:paraId="7014997B" w14:textId="77777777" w:rsidTr="00520108">
        <w:tblPrEx>
          <w:tblBorders>
            <w:insideH w:val="none" w:sz="0" w:space="0" w:color="auto"/>
          </w:tblBorders>
        </w:tblPrEx>
        <w:trPr>
          <w:gridAfter w:val="1"/>
          <w:wAfter w:w="118" w:type="dxa"/>
          <w:cantSplit/>
          <w:jc w:val="center"/>
        </w:trPr>
        <w:tc>
          <w:tcPr>
            <w:tcW w:w="8014" w:type="dxa"/>
            <w:gridSpan w:val="6"/>
            <w:tcBorders>
              <w:top w:val="single" w:sz="6" w:space="0" w:color="auto"/>
              <w:bottom w:val="single" w:sz="12" w:space="0" w:color="auto"/>
            </w:tcBorders>
            <w:shd w:val="clear" w:color="auto" w:fill="auto"/>
          </w:tcPr>
          <w:p w14:paraId="0A856987" w14:textId="77777777" w:rsidR="00E912E9" w:rsidRPr="00A9300E" w:rsidRDefault="00E912E9" w:rsidP="00E912E9">
            <w:pPr>
              <w:rPr>
                <w:b/>
                <w:bCs/>
              </w:rPr>
            </w:pPr>
            <w:r w:rsidRPr="00A9300E">
              <w:rPr>
                <w:b/>
                <w:bCs/>
              </w:rPr>
              <w:t>Total</w:t>
            </w:r>
          </w:p>
        </w:tc>
        <w:tc>
          <w:tcPr>
            <w:tcW w:w="1318" w:type="dxa"/>
            <w:gridSpan w:val="2"/>
            <w:tcBorders>
              <w:top w:val="single" w:sz="6" w:space="0" w:color="auto"/>
            </w:tcBorders>
          </w:tcPr>
          <w:p w14:paraId="3B2E08CE" w14:textId="5DC4CA94" w:rsidR="00E912E9" w:rsidRPr="001F6F9A" w:rsidRDefault="001F6F9A" w:rsidP="00E912E9">
            <w:pPr>
              <w:jc w:val="right"/>
              <w:rPr>
                <w:b/>
                <w:bCs/>
              </w:rPr>
            </w:pPr>
            <w:r w:rsidRPr="001F6F9A">
              <w:rPr>
                <w:b/>
                <w:color w:val="000000"/>
              </w:rPr>
              <w:t>$2,479.40</w:t>
            </w:r>
          </w:p>
        </w:tc>
      </w:tr>
    </w:tbl>
    <w:p w14:paraId="6150EAEF" w14:textId="77777777" w:rsidR="00E971CB" w:rsidRDefault="00E971CB" w:rsidP="00FF75EF"/>
    <w:p w14:paraId="7851B859" w14:textId="77777777" w:rsidR="003A0622" w:rsidRPr="00FF75EF" w:rsidRDefault="003A0622" w:rsidP="00FF75EF"/>
    <w:p w14:paraId="721A3341" w14:textId="77777777" w:rsidR="00FF75EF" w:rsidRPr="00920D6E" w:rsidRDefault="00FF75EF" w:rsidP="0034521D">
      <w:pPr>
        <w:pStyle w:val="Heading2"/>
        <w:spacing w:before="0" w:line="276" w:lineRule="auto"/>
        <w:rPr>
          <w:rFonts w:ascii="Times New Roman" w:hAnsi="Times New Roman" w:cs="Times New Roman"/>
          <w:color w:val="auto"/>
          <w:sz w:val="24"/>
          <w:szCs w:val="24"/>
          <w:u w:val="single"/>
        </w:rPr>
      </w:pPr>
      <w:bookmarkStart w:id="21" w:name="_Toc506283064"/>
      <w:r w:rsidRPr="00920D6E">
        <w:rPr>
          <w:rFonts w:ascii="Times New Roman" w:hAnsi="Times New Roman" w:cs="Times New Roman"/>
          <w:color w:val="auto"/>
          <w:sz w:val="24"/>
          <w:szCs w:val="24"/>
        </w:rPr>
        <w:t>13</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Estimates of Other Total Annual Cost Burden to Respondents and Record Keepers</w:t>
      </w:r>
      <w:bookmarkEnd w:id="21"/>
      <w:r w:rsidRPr="00920D6E">
        <w:rPr>
          <w:rFonts w:ascii="Times New Roman" w:hAnsi="Times New Roman" w:cs="Times New Roman"/>
          <w:color w:val="auto"/>
          <w:sz w:val="24"/>
          <w:szCs w:val="24"/>
          <w:u w:val="single"/>
        </w:rPr>
        <w:t xml:space="preserve"> </w:t>
      </w:r>
    </w:p>
    <w:p w14:paraId="722D2771" w14:textId="77777777" w:rsidR="003A0622" w:rsidRDefault="003A0622" w:rsidP="0034521D">
      <w:pPr>
        <w:spacing w:line="276" w:lineRule="auto"/>
      </w:pPr>
    </w:p>
    <w:p w14:paraId="494F0A5E" w14:textId="77777777" w:rsidR="00A05FF7" w:rsidRDefault="00A05FF7" w:rsidP="0034521D">
      <w:pPr>
        <w:pStyle w:val="BodyText1"/>
        <w:spacing w:after="0" w:line="276" w:lineRule="auto"/>
      </w:pPr>
      <w:r>
        <w:t>No costs other than those described in A.12 will be incurred by the respondents to complete this data collection.</w:t>
      </w:r>
    </w:p>
    <w:p w14:paraId="784D9CC6" w14:textId="77777777" w:rsidR="003A0622" w:rsidRPr="00FF75EF" w:rsidRDefault="003A0622" w:rsidP="0034521D">
      <w:pPr>
        <w:spacing w:line="276" w:lineRule="auto"/>
      </w:pPr>
    </w:p>
    <w:p w14:paraId="548455F5" w14:textId="77777777" w:rsidR="00FF75EF" w:rsidRPr="00920D6E" w:rsidRDefault="00FF75EF" w:rsidP="0034521D">
      <w:pPr>
        <w:pStyle w:val="Heading2"/>
        <w:spacing w:before="0" w:line="276" w:lineRule="auto"/>
        <w:rPr>
          <w:rFonts w:ascii="Times New Roman" w:hAnsi="Times New Roman" w:cs="Times New Roman"/>
          <w:color w:val="auto"/>
          <w:sz w:val="24"/>
          <w:szCs w:val="24"/>
          <w:u w:val="single"/>
        </w:rPr>
      </w:pPr>
      <w:bookmarkStart w:id="22" w:name="_Toc506283065"/>
      <w:r w:rsidRPr="00920D6E">
        <w:rPr>
          <w:rFonts w:ascii="Times New Roman" w:hAnsi="Times New Roman" w:cs="Times New Roman"/>
          <w:color w:val="auto"/>
          <w:sz w:val="24"/>
          <w:szCs w:val="24"/>
        </w:rPr>
        <w:t>14</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Annualized Cost to the Federal Government</w:t>
      </w:r>
      <w:bookmarkEnd w:id="22"/>
      <w:r w:rsidRPr="00920D6E">
        <w:rPr>
          <w:rFonts w:ascii="Times New Roman" w:hAnsi="Times New Roman" w:cs="Times New Roman"/>
          <w:color w:val="auto"/>
          <w:sz w:val="24"/>
          <w:szCs w:val="24"/>
          <w:u w:val="single"/>
        </w:rPr>
        <w:t xml:space="preserve"> </w:t>
      </w:r>
    </w:p>
    <w:p w14:paraId="73E285EC" w14:textId="77777777" w:rsidR="00FF75EF" w:rsidRDefault="00FF75EF" w:rsidP="0034521D">
      <w:pPr>
        <w:spacing w:line="276" w:lineRule="auto"/>
      </w:pPr>
    </w:p>
    <w:p w14:paraId="54389A7B" w14:textId="3C3E012C" w:rsidR="00625859" w:rsidRDefault="004A079C" w:rsidP="0034521D">
      <w:pPr>
        <w:pStyle w:val="BodyText1"/>
        <w:spacing w:after="0" w:line="276" w:lineRule="auto"/>
      </w:pPr>
      <w:r>
        <w:t>Table</w:t>
      </w:r>
      <w:r w:rsidRPr="00920D6E">
        <w:t> </w:t>
      </w:r>
      <w:r w:rsidR="00625859" w:rsidRPr="00920D6E">
        <w:t>A14</w:t>
      </w:r>
      <w:r w:rsidR="00FC6295">
        <w:t>.</w:t>
      </w:r>
      <w:r w:rsidR="00625859">
        <w:t xml:space="preserve"> presents the two types of costs to the government that will be incurred: (1) external contracted data collection and analyses and (2) government personnel.</w:t>
      </w:r>
    </w:p>
    <w:p w14:paraId="1A8B4251" w14:textId="77777777" w:rsidR="0034521D" w:rsidRDefault="0034521D" w:rsidP="0034521D">
      <w:pPr>
        <w:pStyle w:val="BodyText1"/>
        <w:spacing w:after="0" w:line="276" w:lineRule="auto"/>
      </w:pPr>
    </w:p>
    <w:p w14:paraId="6B7BEAE6" w14:textId="77777777" w:rsidR="00625859" w:rsidRDefault="00625859" w:rsidP="0034521D">
      <w:pPr>
        <w:pStyle w:val="ListNumber"/>
        <w:tabs>
          <w:tab w:val="clear" w:pos="1080"/>
          <w:tab w:val="num" w:pos="2520"/>
        </w:tabs>
        <w:spacing w:after="0" w:line="276" w:lineRule="auto"/>
        <w:ind w:left="1440"/>
      </w:pPr>
      <w:r>
        <w:t xml:space="preserve">The project is being conducted under a contract that was awarded on </w:t>
      </w:r>
      <w:r w:rsidR="001D16DD">
        <w:t>September 17, 2017</w:t>
      </w:r>
      <w:r>
        <w:t xml:space="preserve">. The contract is for a total of </w:t>
      </w:r>
      <w:r w:rsidR="00A9300E">
        <w:t>2</w:t>
      </w:r>
      <w:r>
        <w:t xml:space="preserve"> years. The </w:t>
      </w:r>
      <w:r w:rsidRPr="006A0111">
        <w:t xml:space="preserve">annualized cost for the cost data collection task for the data contractor is estimated at </w:t>
      </w:r>
      <w:r w:rsidR="00A9300E">
        <w:t>$39,190</w:t>
      </w:r>
      <w:r w:rsidRPr="006A0111">
        <w:t xml:space="preserve">. </w:t>
      </w:r>
    </w:p>
    <w:p w14:paraId="0BEF72B8" w14:textId="77777777" w:rsidR="0034521D" w:rsidRPr="006F122F" w:rsidRDefault="0034521D" w:rsidP="0034521D">
      <w:pPr>
        <w:pStyle w:val="ListNumber"/>
        <w:numPr>
          <w:ilvl w:val="0"/>
          <w:numId w:val="0"/>
        </w:numPr>
        <w:spacing w:after="0" w:line="276" w:lineRule="auto"/>
        <w:ind w:left="1440"/>
      </w:pPr>
    </w:p>
    <w:p w14:paraId="7C10A560" w14:textId="77777777" w:rsidR="00625859" w:rsidRPr="006F122F" w:rsidRDefault="00834522" w:rsidP="0034521D">
      <w:pPr>
        <w:pStyle w:val="ListNumber"/>
        <w:tabs>
          <w:tab w:val="clear" w:pos="1080"/>
          <w:tab w:val="num" w:pos="2520"/>
        </w:tabs>
        <w:spacing w:after="0" w:line="276" w:lineRule="auto"/>
        <w:ind w:left="1440"/>
      </w:pPr>
      <w:r w:rsidRPr="006F122F">
        <w:t>Governmental costs for this project include personnel costs for federal staff involved in providing oversight and guidance for the planning and design of the assessment, refinement of the data collection tools, development of OMB materials, collection and analysis of the data, and reporting. T</w:t>
      </w:r>
      <w:r w:rsidR="00625859" w:rsidRPr="006F122F">
        <w:t xml:space="preserve">hese </w:t>
      </w:r>
      <w:r w:rsidRPr="006F122F">
        <w:t>activities</w:t>
      </w:r>
      <w:r w:rsidR="00625859" w:rsidRPr="006F122F">
        <w:t xml:space="preserve"> involve approximately </w:t>
      </w:r>
      <w:r w:rsidR="00E36728" w:rsidRPr="006F122F">
        <w:t>5</w:t>
      </w:r>
      <w:r w:rsidR="00625859" w:rsidRPr="006F122F">
        <w:t>% of a GS-1</w:t>
      </w:r>
      <w:r w:rsidR="00AD083B" w:rsidRPr="006F122F">
        <w:t>2</w:t>
      </w:r>
      <w:r w:rsidR="00625859" w:rsidRPr="006F122F">
        <w:t xml:space="preserve"> health </w:t>
      </w:r>
      <w:r w:rsidR="00AD083B" w:rsidRPr="006F122F">
        <w:t xml:space="preserve">scientist </w:t>
      </w:r>
      <w:r w:rsidR="004062BB" w:rsidRPr="006F122F">
        <w:t>and</w:t>
      </w:r>
      <w:r w:rsidR="00625859" w:rsidRPr="006F122F">
        <w:t xml:space="preserve"> </w:t>
      </w:r>
      <w:r w:rsidR="00E36728" w:rsidRPr="006F122F">
        <w:t>5</w:t>
      </w:r>
      <w:r w:rsidR="00625859" w:rsidRPr="006F122F">
        <w:t xml:space="preserve">% of a GS-13 </w:t>
      </w:r>
      <w:r w:rsidR="004062BB" w:rsidRPr="006F122F">
        <w:t xml:space="preserve">health </w:t>
      </w:r>
      <w:r w:rsidR="00625859" w:rsidRPr="006F122F">
        <w:t xml:space="preserve">scientist. The total cost </w:t>
      </w:r>
      <w:r w:rsidR="006F122F" w:rsidRPr="006F122F">
        <w:t xml:space="preserve">of federal staff </w:t>
      </w:r>
      <w:r w:rsidR="00625859" w:rsidRPr="006F122F">
        <w:t>to the federal government is $</w:t>
      </w:r>
      <w:r w:rsidR="00AD083B" w:rsidRPr="006F122F">
        <w:t>8,886</w:t>
      </w:r>
      <w:r w:rsidR="00625859" w:rsidRPr="006F122F">
        <w:t xml:space="preserve">. </w:t>
      </w:r>
    </w:p>
    <w:p w14:paraId="25A55E58" w14:textId="77777777" w:rsidR="00625859" w:rsidRDefault="00625859" w:rsidP="0034521D">
      <w:pPr>
        <w:pStyle w:val="ListNumber"/>
        <w:numPr>
          <w:ilvl w:val="0"/>
          <w:numId w:val="0"/>
        </w:numPr>
        <w:tabs>
          <w:tab w:val="left" w:pos="720"/>
        </w:tabs>
        <w:spacing w:after="0" w:line="276" w:lineRule="auto"/>
        <w:ind w:left="1440"/>
      </w:pPr>
      <w:r w:rsidRPr="006F122F">
        <w:t>The total annualized cost to the federal government for the duration of this data collection is $</w:t>
      </w:r>
      <w:r w:rsidR="006A4250">
        <w:t>48,076</w:t>
      </w:r>
      <w:r w:rsidRPr="006F122F">
        <w:t>.</w:t>
      </w:r>
    </w:p>
    <w:p w14:paraId="54212338" w14:textId="77777777" w:rsidR="0034521D" w:rsidRDefault="0034521D" w:rsidP="0034521D">
      <w:pPr>
        <w:pStyle w:val="ListNumber"/>
        <w:numPr>
          <w:ilvl w:val="0"/>
          <w:numId w:val="0"/>
        </w:numPr>
        <w:tabs>
          <w:tab w:val="left" w:pos="720"/>
        </w:tabs>
        <w:spacing w:after="0" w:line="276" w:lineRule="auto"/>
        <w:ind w:left="1440"/>
      </w:pPr>
    </w:p>
    <w:p w14:paraId="1650FF9A" w14:textId="1251E1E6" w:rsidR="00625859" w:rsidRPr="006F122F" w:rsidRDefault="00FC6295" w:rsidP="00625859">
      <w:pPr>
        <w:pStyle w:val="FigureTitle"/>
      </w:pPr>
      <w:bookmarkStart w:id="23" w:name="_Toc307224726"/>
      <w:bookmarkStart w:id="24" w:name="_Toc275433793"/>
      <w:r>
        <w:t>Table</w:t>
      </w:r>
      <w:r w:rsidR="00625859">
        <w:t xml:space="preserve"> A14.</w:t>
      </w:r>
      <w:r w:rsidR="00625859">
        <w:tab/>
      </w:r>
      <w:r w:rsidR="00625859" w:rsidRPr="00920D6E">
        <w:rPr>
          <w:b w:val="0"/>
        </w:rPr>
        <w:t>Estimated Annualized Federal Government Cost Distribution</w:t>
      </w:r>
      <w:bookmarkEnd w:id="23"/>
      <w:bookmarkEnd w:id="24"/>
    </w:p>
    <w:tbl>
      <w:tblPr>
        <w:tblW w:w="9360" w:type="dxa"/>
        <w:tblInd w:w="93" w:type="dxa"/>
        <w:tblLayout w:type="fixed"/>
        <w:tblCellMar>
          <w:left w:w="115" w:type="dxa"/>
          <w:right w:w="115" w:type="dxa"/>
        </w:tblCellMar>
        <w:tblLook w:val="04A0" w:firstRow="1" w:lastRow="0" w:firstColumn="1" w:lastColumn="0" w:noHBand="0" w:noVBand="1"/>
      </w:tblPr>
      <w:tblGrid>
        <w:gridCol w:w="6232"/>
        <w:gridCol w:w="3128"/>
      </w:tblGrid>
      <w:tr w:rsidR="00625859" w:rsidRPr="006F122F" w14:paraId="197B49B5" w14:textId="77777777" w:rsidTr="00625859">
        <w:trPr>
          <w:cantSplit/>
        </w:trPr>
        <w:tc>
          <w:tcPr>
            <w:tcW w:w="6232" w:type="dxa"/>
            <w:tcBorders>
              <w:top w:val="single" w:sz="12" w:space="0" w:color="auto"/>
              <w:left w:val="nil"/>
              <w:bottom w:val="single" w:sz="8" w:space="0" w:color="auto"/>
              <w:right w:val="nil"/>
            </w:tcBorders>
            <w:vAlign w:val="bottom"/>
            <w:hideMark/>
          </w:tcPr>
          <w:p w14:paraId="3C6A6BC5" w14:textId="77777777" w:rsidR="00625859" w:rsidRPr="006F122F" w:rsidRDefault="00625859">
            <w:pPr>
              <w:keepNext/>
              <w:spacing w:before="80" w:after="80"/>
              <w:jc w:val="center"/>
              <w:rPr>
                <w:b/>
                <w:sz w:val="22"/>
              </w:rPr>
            </w:pPr>
            <w:r w:rsidRPr="006F122F">
              <w:rPr>
                <w:b/>
                <w:sz w:val="22"/>
              </w:rPr>
              <w:t>Type of Government Cost</w:t>
            </w:r>
          </w:p>
        </w:tc>
        <w:tc>
          <w:tcPr>
            <w:tcW w:w="3128" w:type="dxa"/>
            <w:tcBorders>
              <w:top w:val="single" w:sz="12" w:space="0" w:color="auto"/>
              <w:left w:val="nil"/>
              <w:bottom w:val="single" w:sz="8" w:space="0" w:color="auto"/>
              <w:right w:val="nil"/>
            </w:tcBorders>
            <w:vAlign w:val="bottom"/>
            <w:hideMark/>
          </w:tcPr>
          <w:p w14:paraId="59B54094" w14:textId="77777777" w:rsidR="00625859" w:rsidRPr="006F122F" w:rsidRDefault="00625859">
            <w:pPr>
              <w:keepNext/>
              <w:spacing w:before="80" w:after="80"/>
              <w:jc w:val="center"/>
              <w:rPr>
                <w:b/>
                <w:sz w:val="22"/>
              </w:rPr>
            </w:pPr>
            <w:r w:rsidRPr="006F122F">
              <w:rPr>
                <w:b/>
                <w:sz w:val="22"/>
              </w:rPr>
              <w:t>Annualized Cost</w:t>
            </w:r>
          </w:p>
        </w:tc>
      </w:tr>
      <w:tr w:rsidR="00625859" w:rsidRPr="006F122F" w14:paraId="4AA07F4E" w14:textId="77777777" w:rsidTr="00625859">
        <w:trPr>
          <w:cantSplit/>
        </w:trPr>
        <w:tc>
          <w:tcPr>
            <w:tcW w:w="6232" w:type="dxa"/>
            <w:noWrap/>
            <w:hideMark/>
          </w:tcPr>
          <w:p w14:paraId="29C7535C" w14:textId="77777777" w:rsidR="00625859" w:rsidRPr="0034521D" w:rsidRDefault="00625859">
            <w:pPr>
              <w:keepNext/>
              <w:spacing w:before="80" w:after="80"/>
              <w:rPr>
                <w:sz w:val="22"/>
              </w:rPr>
            </w:pPr>
            <w:r w:rsidRPr="0034521D">
              <w:rPr>
                <w:sz w:val="22"/>
              </w:rPr>
              <w:t>Data Contractor</w:t>
            </w:r>
          </w:p>
        </w:tc>
        <w:tc>
          <w:tcPr>
            <w:tcW w:w="3128" w:type="dxa"/>
            <w:noWrap/>
            <w:hideMark/>
          </w:tcPr>
          <w:p w14:paraId="5ED5C983" w14:textId="77777777" w:rsidR="00625859" w:rsidRPr="0034521D" w:rsidRDefault="006A0111">
            <w:pPr>
              <w:keepNext/>
              <w:tabs>
                <w:tab w:val="decimal" w:pos="1865"/>
              </w:tabs>
              <w:spacing w:before="80" w:after="80"/>
              <w:rPr>
                <w:sz w:val="22"/>
              </w:rPr>
            </w:pPr>
            <w:r w:rsidRPr="0034521D">
              <w:rPr>
                <w:sz w:val="22"/>
              </w:rPr>
              <w:t>$</w:t>
            </w:r>
            <w:r w:rsidR="00A9300E">
              <w:rPr>
                <w:sz w:val="22"/>
              </w:rPr>
              <w:t>39,190</w:t>
            </w:r>
          </w:p>
        </w:tc>
      </w:tr>
      <w:tr w:rsidR="00625859" w:rsidRPr="006F122F" w14:paraId="00D6FAB6" w14:textId="77777777" w:rsidTr="00625859">
        <w:trPr>
          <w:cantSplit/>
        </w:trPr>
        <w:tc>
          <w:tcPr>
            <w:tcW w:w="6232" w:type="dxa"/>
            <w:noWrap/>
            <w:hideMark/>
          </w:tcPr>
          <w:p w14:paraId="0A40AF94" w14:textId="77777777" w:rsidR="00625859" w:rsidRPr="0034521D" w:rsidRDefault="00625859">
            <w:pPr>
              <w:keepNext/>
              <w:spacing w:before="80" w:after="80"/>
              <w:rPr>
                <w:sz w:val="22"/>
              </w:rPr>
            </w:pPr>
            <w:r w:rsidRPr="0034521D">
              <w:rPr>
                <w:sz w:val="22"/>
              </w:rPr>
              <w:t>Federal Staff</w:t>
            </w:r>
          </w:p>
        </w:tc>
        <w:tc>
          <w:tcPr>
            <w:tcW w:w="3128" w:type="dxa"/>
            <w:noWrap/>
            <w:hideMark/>
          </w:tcPr>
          <w:p w14:paraId="6E9C64E1" w14:textId="77777777" w:rsidR="00625859" w:rsidRPr="0034521D" w:rsidRDefault="00551E2A">
            <w:pPr>
              <w:keepNext/>
              <w:tabs>
                <w:tab w:val="decimal" w:pos="1865"/>
              </w:tabs>
              <w:spacing w:before="80" w:after="80"/>
              <w:rPr>
                <w:sz w:val="22"/>
              </w:rPr>
            </w:pPr>
            <w:r w:rsidRPr="0034521D">
              <w:rPr>
                <w:sz w:val="22"/>
              </w:rPr>
              <w:t>$</w:t>
            </w:r>
            <w:r w:rsidR="00AD083B" w:rsidRPr="0034521D">
              <w:rPr>
                <w:sz w:val="22"/>
              </w:rPr>
              <w:t>8,886</w:t>
            </w:r>
          </w:p>
        </w:tc>
      </w:tr>
      <w:tr w:rsidR="00625859" w:rsidRPr="006F122F" w14:paraId="770E2606" w14:textId="77777777" w:rsidTr="00625859">
        <w:trPr>
          <w:cantSplit/>
        </w:trPr>
        <w:tc>
          <w:tcPr>
            <w:tcW w:w="6232" w:type="dxa"/>
            <w:noWrap/>
            <w:hideMark/>
          </w:tcPr>
          <w:p w14:paraId="525CCC0B" w14:textId="77777777" w:rsidR="00625859" w:rsidRPr="0034521D" w:rsidRDefault="00625859" w:rsidP="00625859">
            <w:pPr>
              <w:keepNext/>
              <w:spacing w:before="80" w:after="80"/>
              <w:ind w:left="187"/>
              <w:rPr>
                <w:sz w:val="22"/>
              </w:rPr>
            </w:pPr>
            <w:r w:rsidRPr="0034521D">
              <w:rPr>
                <w:sz w:val="22"/>
              </w:rPr>
              <w:t>GS-1</w:t>
            </w:r>
            <w:r w:rsidR="00897D9D" w:rsidRPr="0034521D">
              <w:rPr>
                <w:sz w:val="22"/>
              </w:rPr>
              <w:t>2</w:t>
            </w:r>
            <w:r w:rsidRPr="0034521D">
              <w:rPr>
                <w:sz w:val="22"/>
              </w:rPr>
              <w:t xml:space="preserve"> health </w:t>
            </w:r>
            <w:r w:rsidR="00897D9D" w:rsidRPr="0034521D">
              <w:rPr>
                <w:sz w:val="22"/>
              </w:rPr>
              <w:t>scientist</w:t>
            </w:r>
            <w:r w:rsidRPr="0034521D">
              <w:rPr>
                <w:sz w:val="22"/>
              </w:rPr>
              <w:t xml:space="preserve"> at </w:t>
            </w:r>
            <w:r w:rsidR="00E36728" w:rsidRPr="0034521D">
              <w:rPr>
                <w:sz w:val="22"/>
              </w:rPr>
              <w:t>5</w:t>
            </w:r>
            <w:r w:rsidRPr="0034521D">
              <w:rPr>
                <w:sz w:val="22"/>
              </w:rPr>
              <w:t>% FTE</w:t>
            </w:r>
          </w:p>
        </w:tc>
        <w:tc>
          <w:tcPr>
            <w:tcW w:w="3128" w:type="dxa"/>
            <w:noWrap/>
            <w:hideMark/>
          </w:tcPr>
          <w:p w14:paraId="4D0C971E" w14:textId="77777777" w:rsidR="00625859" w:rsidRPr="0034521D" w:rsidRDefault="00551E2A">
            <w:pPr>
              <w:keepNext/>
              <w:tabs>
                <w:tab w:val="decimal" w:pos="1865"/>
              </w:tabs>
              <w:spacing w:before="80" w:after="80"/>
              <w:rPr>
                <w:sz w:val="22"/>
              </w:rPr>
            </w:pPr>
            <w:r w:rsidRPr="0034521D">
              <w:rPr>
                <w:sz w:val="22"/>
              </w:rPr>
              <w:t>$</w:t>
            </w:r>
            <w:r w:rsidR="00897D9D" w:rsidRPr="0034521D">
              <w:rPr>
                <w:sz w:val="22"/>
                <w:szCs w:val="22"/>
              </w:rPr>
              <w:t xml:space="preserve"> </w:t>
            </w:r>
            <w:r w:rsidR="00AD083B" w:rsidRPr="0034521D">
              <w:rPr>
                <w:sz w:val="22"/>
                <w:szCs w:val="22"/>
              </w:rPr>
              <w:t>3,785</w:t>
            </w:r>
          </w:p>
        </w:tc>
      </w:tr>
      <w:tr w:rsidR="00551E2A" w:rsidRPr="006F122F" w14:paraId="671C7121" w14:textId="77777777" w:rsidTr="00625859">
        <w:trPr>
          <w:cantSplit/>
        </w:trPr>
        <w:tc>
          <w:tcPr>
            <w:tcW w:w="6232" w:type="dxa"/>
            <w:noWrap/>
          </w:tcPr>
          <w:p w14:paraId="74D5A2FF" w14:textId="77777777" w:rsidR="00551E2A" w:rsidRPr="0034521D" w:rsidRDefault="00551E2A" w:rsidP="00551E2A">
            <w:pPr>
              <w:keepNext/>
              <w:spacing w:before="80" w:after="80"/>
              <w:ind w:left="187"/>
              <w:rPr>
                <w:sz w:val="22"/>
              </w:rPr>
            </w:pPr>
            <w:r w:rsidRPr="0034521D">
              <w:rPr>
                <w:sz w:val="22"/>
              </w:rPr>
              <w:t xml:space="preserve">GS-13 </w:t>
            </w:r>
            <w:r w:rsidR="00AD083B" w:rsidRPr="0034521D">
              <w:rPr>
                <w:sz w:val="22"/>
              </w:rPr>
              <w:t xml:space="preserve">health </w:t>
            </w:r>
            <w:r w:rsidRPr="0034521D">
              <w:rPr>
                <w:sz w:val="22"/>
              </w:rPr>
              <w:t xml:space="preserve">scientist at </w:t>
            </w:r>
            <w:r w:rsidR="00E36728" w:rsidRPr="0034521D">
              <w:rPr>
                <w:sz w:val="22"/>
              </w:rPr>
              <w:t>5</w:t>
            </w:r>
            <w:r w:rsidRPr="0034521D">
              <w:rPr>
                <w:sz w:val="22"/>
              </w:rPr>
              <w:t>% FTE</w:t>
            </w:r>
          </w:p>
        </w:tc>
        <w:tc>
          <w:tcPr>
            <w:tcW w:w="3128" w:type="dxa"/>
            <w:noWrap/>
          </w:tcPr>
          <w:p w14:paraId="42DB035A" w14:textId="77777777" w:rsidR="00551E2A" w:rsidRPr="0034521D" w:rsidRDefault="00551E2A" w:rsidP="00551E2A">
            <w:pPr>
              <w:keepNext/>
              <w:tabs>
                <w:tab w:val="decimal" w:pos="1865"/>
              </w:tabs>
              <w:spacing w:before="80" w:after="80"/>
              <w:rPr>
                <w:sz w:val="22"/>
              </w:rPr>
            </w:pPr>
            <w:r w:rsidRPr="0034521D">
              <w:rPr>
                <w:sz w:val="22"/>
              </w:rPr>
              <w:t>$</w:t>
            </w:r>
            <w:r w:rsidR="00AD083B" w:rsidRPr="0034521D">
              <w:rPr>
                <w:sz w:val="22"/>
              </w:rPr>
              <w:t>5,101</w:t>
            </w:r>
          </w:p>
        </w:tc>
      </w:tr>
      <w:tr w:rsidR="00551E2A" w:rsidRPr="006F122F" w14:paraId="61887102" w14:textId="77777777" w:rsidTr="00E36728">
        <w:trPr>
          <w:cantSplit/>
        </w:trPr>
        <w:tc>
          <w:tcPr>
            <w:tcW w:w="6232" w:type="dxa"/>
            <w:tcBorders>
              <w:top w:val="nil"/>
              <w:left w:val="nil"/>
              <w:bottom w:val="single" w:sz="4" w:space="0" w:color="auto"/>
              <w:right w:val="nil"/>
            </w:tcBorders>
            <w:noWrap/>
          </w:tcPr>
          <w:p w14:paraId="492CEC3C" w14:textId="77777777" w:rsidR="00551E2A" w:rsidRPr="006F122F" w:rsidRDefault="00551E2A" w:rsidP="00551E2A">
            <w:pPr>
              <w:keepNext/>
              <w:spacing w:before="80" w:after="80"/>
              <w:ind w:left="187"/>
              <w:rPr>
                <w:sz w:val="22"/>
              </w:rPr>
            </w:pPr>
          </w:p>
        </w:tc>
        <w:tc>
          <w:tcPr>
            <w:tcW w:w="3128" w:type="dxa"/>
            <w:tcBorders>
              <w:top w:val="nil"/>
              <w:left w:val="nil"/>
              <w:bottom w:val="single" w:sz="4" w:space="0" w:color="auto"/>
              <w:right w:val="nil"/>
            </w:tcBorders>
            <w:noWrap/>
          </w:tcPr>
          <w:p w14:paraId="5B6F8D31" w14:textId="77777777" w:rsidR="00551E2A" w:rsidRPr="006F122F" w:rsidRDefault="00551E2A" w:rsidP="00551E2A">
            <w:pPr>
              <w:keepNext/>
              <w:tabs>
                <w:tab w:val="decimal" w:pos="1865"/>
              </w:tabs>
              <w:spacing w:before="80" w:after="80"/>
              <w:rPr>
                <w:sz w:val="22"/>
              </w:rPr>
            </w:pPr>
          </w:p>
        </w:tc>
      </w:tr>
      <w:tr w:rsidR="00551E2A" w14:paraId="7EAA1209" w14:textId="77777777" w:rsidTr="00625859">
        <w:trPr>
          <w:cantSplit/>
        </w:trPr>
        <w:tc>
          <w:tcPr>
            <w:tcW w:w="6232" w:type="dxa"/>
            <w:tcBorders>
              <w:top w:val="single" w:sz="4" w:space="0" w:color="auto"/>
              <w:left w:val="nil"/>
              <w:bottom w:val="single" w:sz="12" w:space="0" w:color="auto"/>
              <w:right w:val="nil"/>
            </w:tcBorders>
            <w:hideMark/>
          </w:tcPr>
          <w:p w14:paraId="4A643C42" w14:textId="77777777" w:rsidR="00551E2A" w:rsidRPr="006F122F" w:rsidRDefault="00551E2A" w:rsidP="00551E2A">
            <w:pPr>
              <w:keepNext/>
              <w:spacing w:before="80" w:after="80"/>
              <w:rPr>
                <w:sz w:val="22"/>
              </w:rPr>
            </w:pPr>
            <w:r w:rsidRPr="006F122F">
              <w:rPr>
                <w:sz w:val="22"/>
              </w:rPr>
              <w:t>Total</w:t>
            </w:r>
          </w:p>
        </w:tc>
        <w:tc>
          <w:tcPr>
            <w:tcW w:w="3128" w:type="dxa"/>
            <w:tcBorders>
              <w:top w:val="single" w:sz="4" w:space="0" w:color="auto"/>
              <w:left w:val="nil"/>
              <w:bottom w:val="single" w:sz="12" w:space="0" w:color="auto"/>
              <w:right w:val="nil"/>
            </w:tcBorders>
            <w:noWrap/>
            <w:hideMark/>
          </w:tcPr>
          <w:p w14:paraId="0268845A" w14:textId="0314EB33" w:rsidR="00551E2A" w:rsidRDefault="00F00C25" w:rsidP="00551E2A">
            <w:pPr>
              <w:keepNext/>
              <w:tabs>
                <w:tab w:val="decimal" w:pos="1865"/>
              </w:tabs>
              <w:spacing w:before="80" w:after="80"/>
              <w:rPr>
                <w:sz w:val="22"/>
              </w:rPr>
            </w:pPr>
            <w:r>
              <w:rPr>
                <w:sz w:val="22"/>
              </w:rPr>
              <w:t>$48,076</w:t>
            </w:r>
          </w:p>
        </w:tc>
      </w:tr>
    </w:tbl>
    <w:p w14:paraId="5D82DCF4" w14:textId="77777777" w:rsidR="003A0622" w:rsidRDefault="003A0622" w:rsidP="00FF75EF"/>
    <w:p w14:paraId="00636CF6" w14:textId="77777777" w:rsidR="003A0622" w:rsidRPr="00FF75EF" w:rsidRDefault="003A0622" w:rsidP="00FF75EF"/>
    <w:p w14:paraId="0157D790"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25" w:name="_Toc506283066"/>
      <w:r w:rsidRPr="00920D6E">
        <w:rPr>
          <w:rFonts w:ascii="Times New Roman" w:hAnsi="Times New Roman" w:cs="Times New Roman"/>
          <w:color w:val="auto"/>
          <w:sz w:val="24"/>
          <w:szCs w:val="24"/>
        </w:rPr>
        <w:t>15</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Explanation for Program Changes or Adjustments</w:t>
      </w:r>
      <w:bookmarkEnd w:id="25"/>
      <w:r w:rsidRPr="00FF75EF">
        <w:rPr>
          <w:rFonts w:ascii="Times New Roman" w:hAnsi="Times New Roman" w:cs="Times New Roman"/>
          <w:b/>
          <w:color w:val="auto"/>
          <w:sz w:val="24"/>
          <w:szCs w:val="24"/>
        </w:rPr>
        <w:t xml:space="preserve"> </w:t>
      </w:r>
    </w:p>
    <w:p w14:paraId="21F559A7" w14:textId="77777777" w:rsidR="00FF75EF" w:rsidRDefault="00FF75EF" w:rsidP="0034521D">
      <w:pPr>
        <w:spacing w:line="276" w:lineRule="auto"/>
      </w:pPr>
    </w:p>
    <w:p w14:paraId="5C7D0F34" w14:textId="77777777" w:rsidR="003A0622" w:rsidRDefault="00156DA4" w:rsidP="0034521D">
      <w:pPr>
        <w:spacing w:line="276" w:lineRule="auto"/>
      </w:pPr>
      <w:r>
        <w:tab/>
        <w:t xml:space="preserve">This is a new data collection. </w:t>
      </w:r>
    </w:p>
    <w:p w14:paraId="44BD3181" w14:textId="77777777" w:rsidR="003A0622" w:rsidRPr="00FF75EF" w:rsidRDefault="003A0622" w:rsidP="0034521D">
      <w:pPr>
        <w:spacing w:line="276" w:lineRule="auto"/>
      </w:pPr>
    </w:p>
    <w:p w14:paraId="2921061E" w14:textId="77777777" w:rsidR="00FF75EF" w:rsidRPr="00920D6E" w:rsidRDefault="00FF75EF" w:rsidP="0034521D">
      <w:pPr>
        <w:pStyle w:val="Heading2"/>
        <w:spacing w:before="0" w:line="276" w:lineRule="auto"/>
        <w:rPr>
          <w:rFonts w:ascii="Times New Roman" w:hAnsi="Times New Roman" w:cs="Times New Roman"/>
          <w:color w:val="auto"/>
          <w:sz w:val="24"/>
          <w:szCs w:val="24"/>
          <w:u w:val="single"/>
        </w:rPr>
      </w:pPr>
      <w:bookmarkStart w:id="26" w:name="_Toc506283067"/>
      <w:r w:rsidRPr="00920D6E">
        <w:rPr>
          <w:rFonts w:ascii="Times New Roman" w:hAnsi="Times New Roman" w:cs="Times New Roman"/>
          <w:color w:val="auto"/>
          <w:sz w:val="24"/>
          <w:szCs w:val="24"/>
        </w:rPr>
        <w:t>16</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Plans for Tabulation and Publication and Project Time Schedule</w:t>
      </w:r>
      <w:bookmarkEnd w:id="26"/>
      <w:r w:rsidRPr="00920D6E">
        <w:rPr>
          <w:rFonts w:ascii="Times New Roman" w:hAnsi="Times New Roman" w:cs="Times New Roman"/>
          <w:color w:val="auto"/>
          <w:sz w:val="24"/>
          <w:szCs w:val="24"/>
          <w:u w:val="single"/>
        </w:rPr>
        <w:t xml:space="preserve"> </w:t>
      </w:r>
    </w:p>
    <w:p w14:paraId="72F48815" w14:textId="77777777" w:rsidR="00FF75EF" w:rsidRDefault="00FF75EF" w:rsidP="0034521D">
      <w:pPr>
        <w:spacing w:line="276" w:lineRule="auto"/>
      </w:pPr>
    </w:p>
    <w:p w14:paraId="2A159001" w14:textId="77777777" w:rsidR="00156DA4" w:rsidRPr="00920D6E" w:rsidRDefault="00156DA4" w:rsidP="0034521D">
      <w:pPr>
        <w:spacing w:line="276" w:lineRule="auto"/>
        <w:rPr>
          <w:bCs/>
          <w:iCs/>
        </w:rPr>
      </w:pPr>
      <w:bookmarkStart w:id="27" w:name="_Toc307224713"/>
      <w:bookmarkStart w:id="28" w:name="_Toc275433780"/>
      <w:r w:rsidRPr="00920D6E">
        <w:rPr>
          <w:bCs/>
          <w:iCs/>
        </w:rPr>
        <w:t>16</w:t>
      </w:r>
      <w:r w:rsidR="005A58DC" w:rsidRPr="00920D6E">
        <w:rPr>
          <w:bCs/>
          <w:iCs/>
        </w:rPr>
        <w:t>A.</w:t>
      </w:r>
      <w:r w:rsidRPr="00920D6E">
        <w:rPr>
          <w:bCs/>
          <w:iCs/>
        </w:rPr>
        <w:tab/>
        <w:t>Publication Plan</w:t>
      </w:r>
      <w:bookmarkEnd w:id="27"/>
      <w:bookmarkEnd w:id="28"/>
    </w:p>
    <w:p w14:paraId="1842524E" w14:textId="77777777" w:rsidR="00E577FB" w:rsidRDefault="00E577FB" w:rsidP="0034521D">
      <w:pPr>
        <w:spacing w:line="276" w:lineRule="auto"/>
      </w:pPr>
    </w:p>
    <w:p w14:paraId="435C28F1" w14:textId="2358F6F9" w:rsidR="00156DA4" w:rsidRDefault="004A079C" w:rsidP="0034521D">
      <w:pPr>
        <w:spacing w:line="276" w:lineRule="auto"/>
        <w:ind w:firstLine="720"/>
      </w:pPr>
      <w:r>
        <w:t xml:space="preserve">Estimates of the average startup and ongoing cost of implementing sodium reduction strategies by organization type </w:t>
      </w:r>
      <w:r w:rsidR="00156DA4" w:rsidRPr="00156DA4">
        <w:t xml:space="preserve">will be disseminated to </w:t>
      </w:r>
      <w:r w:rsidR="00C87C4B">
        <w:t>grantees</w:t>
      </w:r>
      <w:r w:rsidR="00156DA4" w:rsidRPr="00156DA4">
        <w:t xml:space="preserve"> and other stakeholders through reports, </w:t>
      </w:r>
      <w:r w:rsidR="00A05FF7">
        <w:t>briefings</w:t>
      </w:r>
      <w:r w:rsidR="00156DA4" w:rsidRPr="00156DA4">
        <w:t xml:space="preserve">, presentations at professional meetings, and publication of manuscripts in peer-reviewed journals. </w:t>
      </w:r>
      <w:r>
        <w:t xml:space="preserve">Table A16-A is an example shell of the presentations of results. </w:t>
      </w:r>
      <w:r w:rsidR="00156DA4" w:rsidRPr="00156DA4">
        <w:t>It is anticipated that the results of this project will be developed into several scientific and nonscientific reports.</w:t>
      </w:r>
    </w:p>
    <w:p w14:paraId="65895924" w14:textId="041BCE20" w:rsidR="004A079C" w:rsidRDefault="004A079C" w:rsidP="0034521D">
      <w:pPr>
        <w:spacing w:line="276" w:lineRule="auto"/>
        <w:ind w:firstLine="720"/>
      </w:pPr>
    </w:p>
    <w:p w14:paraId="7D78495F" w14:textId="40FF2D0A" w:rsidR="004A079C" w:rsidRPr="00156DA4" w:rsidRDefault="004A079C" w:rsidP="004A079C">
      <w:pPr>
        <w:rPr>
          <w:b/>
        </w:rPr>
      </w:pPr>
      <w:r>
        <w:rPr>
          <w:b/>
        </w:rPr>
        <w:t>Table</w:t>
      </w:r>
      <w:r w:rsidRPr="00156DA4">
        <w:rPr>
          <w:b/>
        </w:rPr>
        <w:t xml:space="preserve"> A16-</w:t>
      </w:r>
      <w:r>
        <w:rPr>
          <w:b/>
        </w:rPr>
        <w:t>A</w:t>
      </w:r>
      <w:r w:rsidRPr="00156DA4">
        <w:rPr>
          <w:b/>
        </w:rPr>
        <w:t>.</w:t>
      </w:r>
      <w:r w:rsidRPr="00156DA4">
        <w:rPr>
          <w:b/>
        </w:rPr>
        <w:tab/>
      </w:r>
      <w:r>
        <w:rPr>
          <w:b/>
        </w:rPr>
        <w:t xml:space="preserve">Example Table Shell for Dissemination of Results </w:t>
      </w:r>
    </w:p>
    <w:tbl>
      <w:tblPr>
        <w:tblW w:w="7924"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704"/>
        <w:gridCol w:w="2610"/>
        <w:gridCol w:w="2610"/>
      </w:tblGrid>
      <w:tr w:rsidR="004A079C" w:rsidRPr="00156DA4" w14:paraId="54A906DC" w14:textId="6D43A56D" w:rsidTr="00830D48">
        <w:trPr>
          <w:cantSplit/>
        </w:trPr>
        <w:tc>
          <w:tcPr>
            <w:tcW w:w="2704" w:type="dxa"/>
            <w:tcBorders>
              <w:top w:val="single" w:sz="12" w:space="0" w:color="auto"/>
              <w:left w:val="nil"/>
              <w:bottom w:val="single" w:sz="6" w:space="0" w:color="auto"/>
              <w:right w:val="nil"/>
            </w:tcBorders>
            <w:vAlign w:val="bottom"/>
            <w:hideMark/>
          </w:tcPr>
          <w:p w14:paraId="0AA3B7D4" w14:textId="3297FA1D" w:rsidR="004A079C" w:rsidRPr="00156DA4" w:rsidRDefault="004A079C" w:rsidP="004767E5">
            <w:pPr>
              <w:rPr>
                <w:b/>
              </w:rPr>
            </w:pPr>
            <w:r>
              <w:rPr>
                <w:b/>
              </w:rPr>
              <w:t xml:space="preserve">Type of Organization </w:t>
            </w:r>
          </w:p>
        </w:tc>
        <w:tc>
          <w:tcPr>
            <w:tcW w:w="2610" w:type="dxa"/>
            <w:tcBorders>
              <w:top w:val="single" w:sz="12" w:space="0" w:color="auto"/>
              <w:left w:val="nil"/>
              <w:bottom w:val="single" w:sz="6" w:space="0" w:color="auto"/>
              <w:right w:val="nil"/>
            </w:tcBorders>
            <w:vAlign w:val="bottom"/>
          </w:tcPr>
          <w:p w14:paraId="45CFEC4C" w14:textId="60881352" w:rsidR="004A079C" w:rsidRPr="00156DA4" w:rsidRDefault="004A079C" w:rsidP="004767E5">
            <w:pPr>
              <w:rPr>
                <w:b/>
              </w:rPr>
            </w:pPr>
            <w:r>
              <w:rPr>
                <w:b/>
              </w:rPr>
              <w:t xml:space="preserve">Average Total Startup Cost </w:t>
            </w:r>
          </w:p>
        </w:tc>
        <w:tc>
          <w:tcPr>
            <w:tcW w:w="2610" w:type="dxa"/>
            <w:tcBorders>
              <w:top w:val="single" w:sz="12" w:space="0" w:color="auto"/>
              <w:left w:val="nil"/>
              <w:bottom w:val="single" w:sz="6" w:space="0" w:color="auto"/>
              <w:right w:val="nil"/>
            </w:tcBorders>
          </w:tcPr>
          <w:p w14:paraId="572E3EA2" w14:textId="66DF09B8" w:rsidR="004A079C" w:rsidRDefault="004A079C" w:rsidP="004767E5">
            <w:pPr>
              <w:rPr>
                <w:b/>
              </w:rPr>
            </w:pPr>
            <w:r>
              <w:rPr>
                <w:b/>
              </w:rPr>
              <w:t xml:space="preserve">Average Monthly Ongoing Cost </w:t>
            </w:r>
          </w:p>
        </w:tc>
      </w:tr>
      <w:tr w:rsidR="004A079C" w:rsidRPr="00156DA4" w14:paraId="33A620B9" w14:textId="2425A665" w:rsidTr="00830D48">
        <w:trPr>
          <w:cantSplit/>
        </w:trPr>
        <w:tc>
          <w:tcPr>
            <w:tcW w:w="2704" w:type="dxa"/>
            <w:tcBorders>
              <w:top w:val="single" w:sz="6" w:space="0" w:color="auto"/>
              <w:left w:val="nil"/>
              <w:bottom w:val="nil"/>
              <w:right w:val="nil"/>
            </w:tcBorders>
          </w:tcPr>
          <w:p w14:paraId="05B35999" w14:textId="19EA1CD5" w:rsidR="004A079C" w:rsidRPr="00156DA4" w:rsidRDefault="004A079C" w:rsidP="004767E5">
            <w:r>
              <w:t xml:space="preserve">Restaurant </w:t>
            </w:r>
          </w:p>
        </w:tc>
        <w:tc>
          <w:tcPr>
            <w:tcW w:w="2610" w:type="dxa"/>
            <w:tcBorders>
              <w:top w:val="single" w:sz="6" w:space="0" w:color="auto"/>
              <w:left w:val="nil"/>
              <w:bottom w:val="nil"/>
              <w:right w:val="nil"/>
            </w:tcBorders>
          </w:tcPr>
          <w:p w14:paraId="0CFBD1A3" w14:textId="77777777" w:rsidR="004A079C" w:rsidRPr="001B794E" w:rsidRDefault="004A079C" w:rsidP="004767E5"/>
        </w:tc>
        <w:tc>
          <w:tcPr>
            <w:tcW w:w="2610" w:type="dxa"/>
            <w:tcBorders>
              <w:top w:val="single" w:sz="6" w:space="0" w:color="auto"/>
              <w:left w:val="nil"/>
              <w:bottom w:val="nil"/>
              <w:right w:val="nil"/>
            </w:tcBorders>
          </w:tcPr>
          <w:p w14:paraId="536D267D" w14:textId="77777777" w:rsidR="004A079C" w:rsidRPr="001B794E" w:rsidRDefault="004A079C" w:rsidP="004767E5"/>
        </w:tc>
      </w:tr>
      <w:tr w:rsidR="004A079C" w:rsidRPr="00156DA4" w14:paraId="6DB85B8F" w14:textId="1D6A7349" w:rsidTr="00830D48">
        <w:trPr>
          <w:cantSplit/>
        </w:trPr>
        <w:tc>
          <w:tcPr>
            <w:tcW w:w="2704" w:type="dxa"/>
            <w:tcBorders>
              <w:top w:val="nil"/>
              <w:left w:val="nil"/>
              <w:bottom w:val="nil"/>
              <w:right w:val="nil"/>
            </w:tcBorders>
          </w:tcPr>
          <w:p w14:paraId="07423021" w14:textId="0D907704" w:rsidR="004A079C" w:rsidRPr="00156DA4" w:rsidRDefault="004A079C" w:rsidP="004767E5">
            <w:r>
              <w:t>Cafeteria (worksite or hospital)</w:t>
            </w:r>
          </w:p>
        </w:tc>
        <w:tc>
          <w:tcPr>
            <w:tcW w:w="2610" w:type="dxa"/>
            <w:tcBorders>
              <w:top w:val="nil"/>
              <w:left w:val="nil"/>
              <w:bottom w:val="nil"/>
              <w:right w:val="nil"/>
            </w:tcBorders>
          </w:tcPr>
          <w:p w14:paraId="113D0A14" w14:textId="3A1BB16B" w:rsidR="004A079C" w:rsidRPr="001B794E" w:rsidRDefault="004A079C" w:rsidP="004767E5"/>
        </w:tc>
        <w:tc>
          <w:tcPr>
            <w:tcW w:w="2610" w:type="dxa"/>
            <w:tcBorders>
              <w:top w:val="nil"/>
              <w:left w:val="nil"/>
              <w:bottom w:val="nil"/>
              <w:right w:val="nil"/>
            </w:tcBorders>
          </w:tcPr>
          <w:p w14:paraId="17D58440" w14:textId="77777777" w:rsidR="004A079C" w:rsidRPr="001B794E" w:rsidRDefault="004A079C" w:rsidP="004767E5"/>
        </w:tc>
      </w:tr>
      <w:tr w:rsidR="004A079C" w:rsidRPr="00156DA4" w14:paraId="09B4991E" w14:textId="77777777" w:rsidTr="004A079C">
        <w:trPr>
          <w:cantSplit/>
        </w:trPr>
        <w:tc>
          <w:tcPr>
            <w:tcW w:w="2704" w:type="dxa"/>
            <w:tcBorders>
              <w:top w:val="nil"/>
              <w:left w:val="nil"/>
              <w:bottom w:val="nil"/>
              <w:right w:val="nil"/>
            </w:tcBorders>
          </w:tcPr>
          <w:p w14:paraId="3132384D" w14:textId="607149E8" w:rsidR="004A079C" w:rsidRDefault="004A079C" w:rsidP="004767E5">
            <w:r>
              <w:t>School</w:t>
            </w:r>
          </w:p>
        </w:tc>
        <w:tc>
          <w:tcPr>
            <w:tcW w:w="2610" w:type="dxa"/>
            <w:tcBorders>
              <w:top w:val="nil"/>
              <w:left w:val="nil"/>
              <w:bottom w:val="nil"/>
              <w:right w:val="nil"/>
            </w:tcBorders>
          </w:tcPr>
          <w:p w14:paraId="6EA6B0F2" w14:textId="77777777" w:rsidR="004A079C" w:rsidRPr="001B794E" w:rsidRDefault="004A079C" w:rsidP="004767E5"/>
        </w:tc>
        <w:tc>
          <w:tcPr>
            <w:tcW w:w="2610" w:type="dxa"/>
            <w:tcBorders>
              <w:top w:val="nil"/>
              <w:left w:val="nil"/>
              <w:bottom w:val="nil"/>
              <w:right w:val="nil"/>
            </w:tcBorders>
          </w:tcPr>
          <w:p w14:paraId="0BDF1EFD" w14:textId="77777777" w:rsidR="004A079C" w:rsidRPr="001B794E" w:rsidRDefault="004A079C" w:rsidP="004767E5"/>
        </w:tc>
      </w:tr>
      <w:tr w:rsidR="004A079C" w:rsidRPr="00156DA4" w14:paraId="69B8B5A2" w14:textId="753F3EB9" w:rsidTr="00830D48">
        <w:trPr>
          <w:cantSplit/>
        </w:trPr>
        <w:tc>
          <w:tcPr>
            <w:tcW w:w="2704" w:type="dxa"/>
            <w:tcBorders>
              <w:top w:val="nil"/>
              <w:left w:val="nil"/>
              <w:bottom w:val="nil"/>
              <w:right w:val="nil"/>
            </w:tcBorders>
          </w:tcPr>
          <w:p w14:paraId="549D62ED" w14:textId="1C9DCE2C" w:rsidR="004A079C" w:rsidRPr="00156DA4" w:rsidRDefault="004A079C" w:rsidP="004767E5">
            <w:r>
              <w:t>Congregate Meal</w:t>
            </w:r>
          </w:p>
        </w:tc>
        <w:tc>
          <w:tcPr>
            <w:tcW w:w="2610" w:type="dxa"/>
            <w:tcBorders>
              <w:top w:val="nil"/>
              <w:left w:val="nil"/>
              <w:bottom w:val="nil"/>
              <w:right w:val="nil"/>
            </w:tcBorders>
          </w:tcPr>
          <w:p w14:paraId="34E9002E" w14:textId="77777777" w:rsidR="004A079C" w:rsidRPr="001B794E" w:rsidDel="001B794E" w:rsidRDefault="004A079C" w:rsidP="004767E5"/>
        </w:tc>
        <w:tc>
          <w:tcPr>
            <w:tcW w:w="2610" w:type="dxa"/>
            <w:tcBorders>
              <w:top w:val="nil"/>
              <w:left w:val="nil"/>
              <w:bottom w:val="nil"/>
              <w:right w:val="nil"/>
            </w:tcBorders>
          </w:tcPr>
          <w:p w14:paraId="1656373F" w14:textId="77777777" w:rsidR="004A079C" w:rsidRPr="001B794E" w:rsidDel="001B794E" w:rsidRDefault="004A079C" w:rsidP="004767E5"/>
        </w:tc>
      </w:tr>
      <w:tr w:rsidR="004A079C" w:rsidRPr="00156DA4" w14:paraId="5DCC2E24" w14:textId="04921F11" w:rsidTr="00830D48">
        <w:trPr>
          <w:cantSplit/>
        </w:trPr>
        <w:tc>
          <w:tcPr>
            <w:tcW w:w="2704" w:type="dxa"/>
            <w:tcBorders>
              <w:top w:val="nil"/>
              <w:left w:val="nil"/>
              <w:bottom w:val="single" w:sz="12" w:space="0" w:color="auto"/>
              <w:right w:val="nil"/>
            </w:tcBorders>
          </w:tcPr>
          <w:p w14:paraId="00343DA5" w14:textId="5AC6FB4F" w:rsidR="004A079C" w:rsidRPr="00156DA4" w:rsidRDefault="004A079C" w:rsidP="004767E5">
            <w:r>
              <w:t>Food bank</w:t>
            </w:r>
          </w:p>
        </w:tc>
        <w:tc>
          <w:tcPr>
            <w:tcW w:w="2610" w:type="dxa"/>
            <w:tcBorders>
              <w:top w:val="nil"/>
              <w:left w:val="nil"/>
              <w:bottom w:val="single" w:sz="12" w:space="0" w:color="auto"/>
              <w:right w:val="nil"/>
            </w:tcBorders>
          </w:tcPr>
          <w:p w14:paraId="0D5DAD40" w14:textId="52EB56E9" w:rsidR="004A079C" w:rsidRPr="00156DA4" w:rsidRDefault="004A079C" w:rsidP="004767E5"/>
        </w:tc>
        <w:tc>
          <w:tcPr>
            <w:tcW w:w="2610" w:type="dxa"/>
            <w:tcBorders>
              <w:top w:val="nil"/>
              <w:left w:val="nil"/>
              <w:bottom w:val="single" w:sz="12" w:space="0" w:color="auto"/>
              <w:right w:val="nil"/>
            </w:tcBorders>
          </w:tcPr>
          <w:p w14:paraId="74BE84F9" w14:textId="77777777" w:rsidR="004A079C" w:rsidRPr="00156DA4" w:rsidRDefault="004A079C" w:rsidP="004767E5"/>
        </w:tc>
      </w:tr>
    </w:tbl>
    <w:p w14:paraId="39BF5DA5" w14:textId="77777777" w:rsidR="004A079C" w:rsidRDefault="004A079C" w:rsidP="0034521D">
      <w:pPr>
        <w:spacing w:line="276" w:lineRule="auto"/>
        <w:ind w:firstLine="720"/>
      </w:pPr>
    </w:p>
    <w:p w14:paraId="0556324C" w14:textId="2C197274" w:rsidR="00073E01" w:rsidRDefault="00073E01" w:rsidP="0034521D">
      <w:pPr>
        <w:spacing w:line="276" w:lineRule="auto"/>
        <w:rPr>
          <w:b/>
          <w:bCs/>
          <w:i/>
          <w:iCs/>
        </w:rPr>
      </w:pPr>
      <w:bookmarkStart w:id="29" w:name="_Toc307224714"/>
      <w:bookmarkStart w:id="30" w:name="_Toc275433781"/>
    </w:p>
    <w:p w14:paraId="56D4437B" w14:textId="6F31B2A7" w:rsidR="00156DA4" w:rsidRPr="00830D48" w:rsidRDefault="00156DA4" w:rsidP="0034521D">
      <w:pPr>
        <w:spacing w:line="276" w:lineRule="auto"/>
        <w:rPr>
          <w:bCs/>
          <w:i/>
          <w:iCs/>
        </w:rPr>
      </w:pPr>
      <w:r w:rsidRPr="00830D48">
        <w:rPr>
          <w:bCs/>
          <w:iCs/>
        </w:rPr>
        <w:t>16</w:t>
      </w:r>
      <w:r w:rsidR="00FC6295" w:rsidRPr="00830D48">
        <w:rPr>
          <w:bCs/>
          <w:iCs/>
        </w:rPr>
        <w:t>B.</w:t>
      </w:r>
      <w:r w:rsidRPr="00830D48">
        <w:rPr>
          <w:bCs/>
          <w:iCs/>
        </w:rPr>
        <w:tab/>
        <w:t>Project Tim</w:t>
      </w:r>
      <w:r w:rsidR="00FC6295" w:rsidRPr="00830D48">
        <w:rPr>
          <w:bCs/>
          <w:iCs/>
        </w:rPr>
        <w:t>e Schedule</w:t>
      </w:r>
      <w:bookmarkEnd w:id="29"/>
      <w:bookmarkEnd w:id="30"/>
    </w:p>
    <w:p w14:paraId="282DB687" w14:textId="77777777" w:rsidR="00156DA4" w:rsidRPr="00156DA4" w:rsidRDefault="00156DA4" w:rsidP="0034521D">
      <w:pPr>
        <w:spacing w:line="276" w:lineRule="auto"/>
        <w:rPr>
          <w:b/>
          <w:bCs/>
          <w:i/>
          <w:iCs/>
        </w:rPr>
      </w:pPr>
    </w:p>
    <w:p w14:paraId="7CC021A5" w14:textId="26C1E518" w:rsidR="00156DA4" w:rsidRDefault="00156DA4" w:rsidP="0034521D">
      <w:pPr>
        <w:spacing w:line="276" w:lineRule="auto"/>
      </w:pPr>
      <w:r w:rsidRPr="00156DA4">
        <w:t xml:space="preserve">The expected time schedule for project activities is presented in </w:t>
      </w:r>
      <w:r w:rsidR="004A079C">
        <w:rPr>
          <w:bCs/>
          <w:iCs/>
        </w:rPr>
        <w:t>Table</w:t>
      </w:r>
      <w:r w:rsidR="004A079C" w:rsidRPr="00920D6E">
        <w:rPr>
          <w:bCs/>
          <w:iCs/>
        </w:rPr>
        <w:t> </w:t>
      </w:r>
      <w:r w:rsidRPr="00920D6E">
        <w:rPr>
          <w:bCs/>
          <w:iCs/>
        </w:rPr>
        <w:t>A16-</w:t>
      </w:r>
      <w:r w:rsidR="005A58DC" w:rsidRPr="00920D6E">
        <w:rPr>
          <w:bCs/>
          <w:iCs/>
        </w:rPr>
        <w:t>B</w:t>
      </w:r>
      <w:r w:rsidRPr="00920D6E">
        <w:t>.</w:t>
      </w:r>
    </w:p>
    <w:p w14:paraId="71D7B784" w14:textId="77777777" w:rsidR="00156DA4" w:rsidRPr="00156DA4" w:rsidRDefault="00156DA4" w:rsidP="00156DA4"/>
    <w:p w14:paraId="7BA83777" w14:textId="252ECAA9" w:rsidR="00156DA4" w:rsidRPr="00156DA4" w:rsidRDefault="004A079C" w:rsidP="00156DA4">
      <w:pPr>
        <w:rPr>
          <w:b/>
        </w:rPr>
      </w:pPr>
      <w:bookmarkStart w:id="31" w:name="_Toc307224728"/>
      <w:bookmarkStart w:id="32" w:name="_Toc275433795"/>
      <w:r>
        <w:rPr>
          <w:b/>
        </w:rPr>
        <w:t>Table</w:t>
      </w:r>
      <w:r w:rsidRPr="00156DA4">
        <w:rPr>
          <w:b/>
        </w:rPr>
        <w:t xml:space="preserve"> </w:t>
      </w:r>
      <w:r w:rsidR="00156DA4" w:rsidRPr="00156DA4">
        <w:rPr>
          <w:b/>
        </w:rPr>
        <w:t>A16-</w:t>
      </w:r>
      <w:r w:rsidR="005A58DC">
        <w:rPr>
          <w:b/>
        </w:rPr>
        <w:t>B</w:t>
      </w:r>
      <w:r w:rsidR="00156DA4" w:rsidRPr="00156DA4">
        <w:rPr>
          <w:b/>
        </w:rPr>
        <w:t>.</w:t>
      </w:r>
      <w:r w:rsidR="00156DA4" w:rsidRPr="00156DA4">
        <w:rPr>
          <w:b/>
        </w:rPr>
        <w:tab/>
        <w:t>Estimated Time Schedule for Project Activities</w:t>
      </w:r>
      <w:bookmarkEnd w:id="31"/>
      <w:bookmarkEnd w:id="32"/>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619"/>
        <w:gridCol w:w="4741"/>
      </w:tblGrid>
      <w:tr w:rsidR="00156DA4" w:rsidRPr="00156DA4" w14:paraId="5AAE3596" w14:textId="77777777" w:rsidTr="00156DA4">
        <w:trPr>
          <w:cantSplit/>
        </w:trPr>
        <w:tc>
          <w:tcPr>
            <w:tcW w:w="4619" w:type="dxa"/>
            <w:tcBorders>
              <w:top w:val="single" w:sz="12" w:space="0" w:color="auto"/>
              <w:left w:val="nil"/>
              <w:bottom w:val="single" w:sz="6" w:space="0" w:color="auto"/>
              <w:right w:val="nil"/>
            </w:tcBorders>
            <w:vAlign w:val="bottom"/>
            <w:hideMark/>
          </w:tcPr>
          <w:p w14:paraId="7F64BB73" w14:textId="77777777" w:rsidR="00156DA4" w:rsidRPr="00156DA4" w:rsidRDefault="00156DA4" w:rsidP="00156DA4">
            <w:pPr>
              <w:rPr>
                <w:b/>
              </w:rPr>
            </w:pPr>
            <w:r w:rsidRPr="00156DA4">
              <w:rPr>
                <w:b/>
              </w:rPr>
              <w:t>Activity</w:t>
            </w:r>
          </w:p>
        </w:tc>
        <w:tc>
          <w:tcPr>
            <w:tcW w:w="4741" w:type="dxa"/>
            <w:tcBorders>
              <w:top w:val="single" w:sz="12" w:space="0" w:color="auto"/>
              <w:left w:val="nil"/>
              <w:bottom w:val="single" w:sz="6" w:space="0" w:color="auto"/>
              <w:right w:val="nil"/>
            </w:tcBorders>
            <w:vAlign w:val="bottom"/>
            <w:hideMark/>
          </w:tcPr>
          <w:p w14:paraId="56782848" w14:textId="77777777" w:rsidR="00156DA4" w:rsidRPr="00156DA4" w:rsidRDefault="00156DA4" w:rsidP="00156DA4">
            <w:pPr>
              <w:rPr>
                <w:b/>
              </w:rPr>
            </w:pPr>
            <w:r w:rsidRPr="00156DA4">
              <w:rPr>
                <w:b/>
              </w:rPr>
              <w:t>Expected Timeline</w:t>
            </w:r>
          </w:p>
        </w:tc>
      </w:tr>
      <w:tr w:rsidR="00156DA4" w:rsidRPr="00156DA4" w14:paraId="125D681B" w14:textId="77777777" w:rsidTr="00156DA4">
        <w:trPr>
          <w:cantSplit/>
        </w:trPr>
        <w:tc>
          <w:tcPr>
            <w:tcW w:w="4619" w:type="dxa"/>
            <w:tcBorders>
              <w:top w:val="single" w:sz="6" w:space="0" w:color="auto"/>
              <w:left w:val="nil"/>
              <w:bottom w:val="nil"/>
              <w:right w:val="nil"/>
            </w:tcBorders>
            <w:hideMark/>
          </w:tcPr>
          <w:p w14:paraId="684A96C1" w14:textId="77777777" w:rsidR="00A05FF7" w:rsidRDefault="00156DA4" w:rsidP="00A9300E">
            <w:r w:rsidRPr="00156DA4">
              <w:t xml:space="preserve">Development of final version of the </w:t>
            </w:r>
            <w:r w:rsidR="00A9300E">
              <w:t>cost survey</w:t>
            </w:r>
          </w:p>
          <w:p w14:paraId="10864D19" w14:textId="77777777" w:rsidR="00A9300E" w:rsidRPr="00156DA4" w:rsidRDefault="00A9300E" w:rsidP="00A9300E"/>
        </w:tc>
        <w:tc>
          <w:tcPr>
            <w:tcW w:w="4741" w:type="dxa"/>
            <w:tcBorders>
              <w:top w:val="single" w:sz="6" w:space="0" w:color="auto"/>
              <w:left w:val="nil"/>
              <w:bottom w:val="nil"/>
              <w:right w:val="nil"/>
            </w:tcBorders>
            <w:hideMark/>
          </w:tcPr>
          <w:p w14:paraId="0B48698A" w14:textId="77777777" w:rsidR="00156DA4" w:rsidRPr="001B794E" w:rsidRDefault="00A9300E" w:rsidP="00A05FF7">
            <w:r>
              <w:t>November</w:t>
            </w:r>
            <w:r w:rsidR="00A05FF7" w:rsidRPr="001B794E">
              <w:t xml:space="preserve"> 2017</w:t>
            </w:r>
            <w:r w:rsidR="007745C2" w:rsidRPr="001B794E">
              <w:t xml:space="preserve"> – </w:t>
            </w:r>
            <w:r>
              <w:t>December</w:t>
            </w:r>
            <w:r w:rsidR="007745C2" w:rsidRPr="001B794E">
              <w:t xml:space="preserve"> 2017</w:t>
            </w:r>
          </w:p>
          <w:p w14:paraId="7405821C" w14:textId="77777777" w:rsidR="00A05FF7" w:rsidRPr="001B794E" w:rsidRDefault="00A05FF7" w:rsidP="00A05FF7"/>
        </w:tc>
      </w:tr>
      <w:tr w:rsidR="00156DA4" w:rsidRPr="00156DA4" w14:paraId="225A51B3" w14:textId="77777777" w:rsidTr="00156DA4">
        <w:trPr>
          <w:cantSplit/>
        </w:trPr>
        <w:tc>
          <w:tcPr>
            <w:tcW w:w="4619" w:type="dxa"/>
            <w:tcBorders>
              <w:top w:val="nil"/>
              <w:left w:val="nil"/>
              <w:bottom w:val="nil"/>
              <w:right w:val="nil"/>
            </w:tcBorders>
            <w:hideMark/>
          </w:tcPr>
          <w:p w14:paraId="246F9812" w14:textId="77777777" w:rsidR="00156DA4" w:rsidRPr="00156DA4" w:rsidRDefault="00156DA4" w:rsidP="00156DA4">
            <w:r w:rsidRPr="00156DA4">
              <w:t>Receive OMB Approval</w:t>
            </w:r>
          </w:p>
        </w:tc>
        <w:tc>
          <w:tcPr>
            <w:tcW w:w="4741" w:type="dxa"/>
            <w:tcBorders>
              <w:top w:val="nil"/>
              <w:left w:val="nil"/>
              <w:bottom w:val="nil"/>
              <w:right w:val="nil"/>
            </w:tcBorders>
            <w:hideMark/>
          </w:tcPr>
          <w:p w14:paraId="6829B038" w14:textId="33E69481" w:rsidR="00156DA4" w:rsidRPr="001B794E" w:rsidRDefault="00D74107" w:rsidP="00156DA4">
            <w:r>
              <w:t>Winter</w:t>
            </w:r>
            <w:r w:rsidRPr="001B794E">
              <w:t xml:space="preserve"> </w:t>
            </w:r>
            <w:r w:rsidR="001B794E" w:rsidRPr="001B794E">
              <w:t>2018</w:t>
            </w:r>
          </w:p>
        </w:tc>
      </w:tr>
      <w:tr w:rsidR="001B794E" w:rsidRPr="00156DA4" w14:paraId="560E5AB4" w14:textId="77777777" w:rsidTr="00156DA4">
        <w:trPr>
          <w:cantSplit/>
        </w:trPr>
        <w:tc>
          <w:tcPr>
            <w:tcW w:w="4619" w:type="dxa"/>
            <w:tcBorders>
              <w:top w:val="nil"/>
              <w:left w:val="nil"/>
              <w:bottom w:val="nil"/>
              <w:right w:val="nil"/>
            </w:tcBorders>
          </w:tcPr>
          <w:p w14:paraId="7DFD1571" w14:textId="77777777" w:rsidR="001B794E" w:rsidRPr="00156DA4" w:rsidRDefault="001B794E" w:rsidP="00156DA4"/>
        </w:tc>
        <w:tc>
          <w:tcPr>
            <w:tcW w:w="4741" w:type="dxa"/>
            <w:tcBorders>
              <w:top w:val="nil"/>
              <w:left w:val="nil"/>
              <w:bottom w:val="nil"/>
              <w:right w:val="nil"/>
            </w:tcBorders>
          </w:tcPr>
          <w:p w14:paraId="712C92F3" w14:textId="77777777" w:rsidR="001B794E" w:rsidRPr="001B794E" w:rsidDel="001B794E" w:rsidRDefault="001B794E" w:rsidP="00156DA4"/>
        </w:tc>
      </w:tr>
      <w:tr w:rsidR="00156DA4" w:rsidRPr="00156DA4" w14:paraId="42343610" w14:textId="77777777" w:rsidTr="00156DA4">
        <w:trPr>
          <w:cantSplit/>
        </w:trPr>
        <w:tc>
          <w:tcPr>
            <w:tcW w:w="4619" w:type="dxa"/>
            <w:tcBorders>
              <w:top w:val="nil"/>
              <w:left w:val="nil"/>
              <w:bottom w:val="nil"/>
              <w:right w:val="nil"/>
            </w:tcBorders>
            <w:hideMark/>
          </w:tcPr>
          <w:p w14:paraId="7FBA90EA" w14:textId="77777777" w:rsidR="00F059C4" w:rsidRDefault="00F059C4" w:rsidP="00156DA4">
            <w:r>
              <w:t xml:space="preserve">Recruitment emails sent to </w:t>
            </w:r>
            <w:r w:rsidR="001B794E">
              <w:t>partners</w:t>
            </w:r>
          </w:p>
          <w:p w14:paraId="335665EF" w14:textId="77777777" w:rsidR="00F059C4" w:rsidRDefault="00F059C4" w:rsidP="00156DA4"/>
          <w:p w14:paraId="14913E4B" w14:textId="77777777" w:rsidR="00156DA4" w:rsidRDefault="00156DA4" w:rsidP="00156DA4">
            <w:r w:rsidRPr="00156DA4">
              <w:t>Technical assistance</w:t>
            </w:r>
            <w:r w:rsidR="00A05FF7">
              <w:t xml:space="preserve"> for </w:t>
            </w:r>
            <w:r w:rsidR="001B794E">
              <w:t>cost collection tool</w:t>
            </w:r>
          </w:p>
          <w:p w14:paraId="230F8D21" w14:textId="77777777" w:rsidR="00A05FF7" w:rsidRPr="00156DA4" w:rsidRDefault="00A05FF7" w:rsidP="00156DA4"/>
        </w:tc>
        <w:tc>
          <w:tcPr>
            <w:tcW w:w="4741" w:type="dxa"/>
            <w:tcBorders>
              <w:top w:val="nil"/>
              <w:left w:val="nil"/>
              <w:bottom w:val="nil"/>
              <w:right w:val="nil"/>
            </w:tcBorders>
            <w:hideMark/>
          </w:tcPr>
          <w:p w14:paraId="26A5E236" w14:textId="0A49CC44" w:rsidR="00F059C4" w:rsidRDefault="00D74107" w:rsidP="00A05FF7">
            <w:r>
              <w:t>Spring</w:t>
            </w:r>
            <w:r w:rsidRPr="00A9300E">
              <w:t xml:space="preserve"> </w:t>
            </w:r>
            <w:r w:rsidR="006408A3" w:rsidRPr="00A9300E">
              <w:t>2019</w:t>
            </w:r>
          </w:p>
          <w:p w14:paraId="44E40670" w14:textId="77777777" w:rsidR="00F059C4" w:rsidRDefault="00F059C4" w:rsidP="00A05FF7"/>
          <w:p w14:paraId="7AD7C1D6" w14:textId="7C4E273C" w:rsidR="00156DA4" w:rsidRPr="00156DA4" w:rsidRDefault="00D74107" w:rsidP="00A05FF7">
            <w:r>
              <w:t>Spring</w:t>
            </w:r>
            <w:r w:rsidR="001B794E">
              <w:t xml:space="preserve"> 2019</w:t>
            </w:r>
          </w:p>
        </w:tc>
      </w:tr>
      <w:tr w:rsidR="00156DA4" w:rsidRPr="00156DA4" w14:paraId="024A125E" w14:textId="77777777" w:rsidTr="00156DA4">
        <w:trPr>
          <w:cantSplit/>
        </w:trPr>
        <w:tc>
          <w:tcPr>
            <w:tcW w:w="4619" w:type="dxa"/>
            <w:tcBorders>
              <w:top w:val="nil"/>
              <w:left w:val="nil"/>
              <w:bottom w:val="nil"/>
              <w:right w:val="nil"/>
            </w:tcBorders>
            <w:hideMark/>
          </w:tcPr>
          <w:p w14:paraId="680ADF73" w14:textId="77777777" w:rsidR="00A05FF7" w:rsidRDefault="00A05FF7" w:rsidP="00156DA4"/>
          <w:p w14:paraId="042B1E3D" w14:textId="77777777" w:rsidR="00156DA4" w:rsidRPr="00156DA4" w:rsidRDefault="001B794E" w:rsidP="00156DA4">
            <w:r>
              <w:t>Data collection</w:t>
            </w:r>
          </w:p>
        </w:tc>
        <w:tc>
          <w:tcPr>
            <w:tcW w:w="4741" w:type="dxa"/>
            <w:tcBorders>
              <w:top w:val="nil"/>
              <w:left w:val="nil"/>
              <w:bottom w:val="nil"/>
              <w:right w:val="nil"/>
            </w:tcBorders>
            <w:hideMark/>
          </w:tcPr>
          <w:p w14:paraId="0533CD60" w14:textId="77777777" w:rsidR="00A05FF7" w:rsidRDefault="00A05FF7" w:rsidP="00156DA4"/>
          <w:p w14:paraId="2F5A8CBB" w14:textId="78667E83" w:rsidR="00156DA4" w:rsidRPr="00156DA4" w:rsidRDefault="00D74107" w:rsidP="00156DA4">
            <w:r>
              <w:t>Spring</w:t>
            </w:r>
            <w:r w:rsidR="00A05FF7">
              <w:t xml:space="preserve"> 2019</w:t>
            </w:r>
          </w:p>
          <w:p w14:paraId="3FD5A5E5" w14:textId="77777777" w:rsidR="00156DA4" w:rsidRPr="00156DA4" w:rsidRDefault="00156DA4" w:rsidP="00156DA4"/>
        </w:tc>
      </w:tr>
      <w:tr w:rsidR="002A2493" w:rsidRPr="00156DA4" w14:paraId="18A9B4AE" w14:textId="77777777" w:rsidTr="00156DA4">
        <w:trPr>
          <w:cantSplit/>
        </w:trPr>
        <w:tc>
          <w:tcPr>
            <w:tcW w:w="4619" w:type="dxa"/>
            <w:tcBorders>
              <w:top w:val="nil"/>
              <w:left w:val="nil"/>
              <w:bottom w:val="single" w:sz="12" w:space="0" w:color="auto"/>
              <w:right w:val="nil"/>
            </w:tcBorders>
            <w:hideMark/>
          </w:tcPr>
          <w:p w14:paraId="6EAF6142" w14:textId="77777777" w:rsidR="002A2493" w:rsidRPr="00156DA4" w:rsidRDefault="002A2493" w:rsidP="002A2493">
            <w:r>
              <w:t>Cost</w:t>
            </w:r>
            <w:r w:rsidRPr="00156DA4">
              <w:t xml:space="preserve"> analyses </w:t>
            </w:r>
          </w:p>
        </w:tc>
        <w:tc>
          <w:tcPr>
            <w:tcW w:w="4741" w:type="dxa"/>
            <w:tcBorders>
              <w:top w:val="nil"/>
              <w:left w:val="nil"/>
              <w:bottom w:val="single" w:sz="12" w:space="0" w:color="auto"/>
              <w:right w:val="nil"/>
            </w:tcBorders>
            <w:hideMark/>
          </w:tcPr>
          <w:p w14:paraId="59331B43" w14:textId="3C3000FB" w:rsidR="002A2493" w:rsidRPr="00156DA4" w:rsidRDefault="00D74107" w:rsidP="002A2493">
            <w:r>
              <w:t>Summer 2019</w:t>
            </w:r>
          </w:p>
        </w:tc>
      </w:tr>
    </w:tbl>
    <w:p w14:paraId="41853ACC" w14:textId="77777777" w:rsidR="003A0622" w:rsidRDefault="003A0622" w:rsidP="00FF75EF"/>
    <w:p w14:paraId="2F2D77CE" w14:textId="77777777" w:rsidR="003A0622" w:rsidRPr="00FF75EF" w:rsidRDefault="003A0622" w:rsidP="00FF75EF"/>
    <w:p w14:paraId="7E59EF8D"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33" w:name="_Toc506283068"/>
      <w:r w:rsidRPr="00920D6E">
        <w:rPr>
          <w:rFonts w:ascii="Times New Roman" w:hAnsi="Times New Roman" w:cs="Times New Roman"/>
          <w:color w:val="auto"/>
          <w:sz w:val="24"/>
          <w:szCs w:val="24"/>
        </w:rPr>
        <w:t>17</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Reason(s) Display of OMB Expiration Date is Inappropriate</w:t>
      </w:r>
      <w:bookmarkEnd w:id="33"/>
      <w:r w:rsidRPr="00FF75EF">
        <w:rPr>
          <w:rFonts w:ascii="Times New Roman" w:hAnsi="Times New Roman" w:cs="Times New Roman"/>
          <w:b/>
          <w:color w:val="auto"/>
          <w:sz w:val="24"/>
          <w:szCs w:val="24"/>
        </w:rPr>
        <w:t xml:space="preserve"> </w:t>
      </w:r>
    </w:p>
    <w:p w14:paraId="5B47ECA2" w14:textId="77777777" w:rsidR="00FF75EF" w:rsidRDefault="00FF75EF" w:rsidP="0034521D">
      <w:pPr>
        <w:spacing w:line="276" w:lineRule="auto"/>
      </w:pPr>
    </w:p>
    <w:p w14:paraId="714DD8CB" w14:textId="77777777" w:rsidR="003A0622" w:rsidRDefault="00834522" w:rsidP="0034521D">
      <w:pPr>
        <w:pStyle w:val="BodyText"/>
        <w:spacing w:after="0" w:line="276" w:lineRule="auto"/>
        <w:ind w:firstLine="720"/>
        <w:rPr>
          <w:rFonts w:ascii="Times New Roman" w:hAnsi="Times New Roman"/>
        </w:rPr>
      </w:pPr>
      <w:r>
        <w:rPr>
          <w:rFonts w:ascii="Times New Roman" w:hAnsi="Times New Roman"/>
        </w:rPr>
        <w:t>T</w:t>
      </w:r>
      <w:r w:rsidRPr="00064AC5">
        <w:rPr>
          <w:rFonts w:ascii="Times New Roman" w:hAnsi="Times New Roman"/>
        </w:rPr>
        <w:t xml:space="preserve">he OMB expiration date </w:t>
      </w:r>
      <w:r>
        <w:rPr>
          <w:rFonts w:ascii="Times New Roman" w:hAnsi="Times New Roman"/>
        </w:rPr>
        <w:t xml:space="preserve">will be displayed </w:t>
      </w:r>
      <w:r w:rsidRPr="006D45BB">
        <w:rPr>
          <w:rFonts w:ascii="Times New Roman" w:hAnsi="Times New Roman"/>
        </w:rPr>
        <w:t>on all information collection instruments</w:t>
      </w:r>
      <w:r>
        <w:rPr>
          <w:rFonts w:ascii="Times New Roman" w:hAnsi="Times New Roman"/>
        </w:rPr>
        <w:t xml:space="preserve">.  </w:t>
      </w:r>
      <w:r w:rsidR="00081779" w:rsidRPr="00834522">
        <w:rPr>
          <w:rFonts w:ascii="Times New Roman" w:hAnsi="Times New Roman"/>
        </w:rPr>
        <w:t>No request for an exemption from displaying the expiration date for OMB approval is being sought.</w:t>
      </w:r>
    </w:p>
    <w:p w14:paraId="5282CAB2" w14:textId="77777777" w:rsidR="00F95F39" w:rsidRPr="00834522" w:rsidRDefault="00F95F39" w:rsidP="0034521D">
      <w:pPr>
        <w:pStyle w:val="BodyText"/>
        <w:spacing w:after="0" w:line="276" w:lineRule="auto"/>
        <w:ind w:firstLine="720"/>
        <w:rPr>
          <w:rFonts w:ascii="Times New Roman" w:hAnsi="Times New Roman"/>
        </w:rPr>
      </w:pPr>
    </w:p>
    <w:p w14:paraId="7EA6FEAE" w14:textId="77777777" w:rsidR="00FF75EF" w:rsidRPr="00FF75EF" w:rsidRDefault="00FF75EF" w:rsidP="0034521D">
      <w:pPr>
        <w:pStyle w:val="Heading2"/>
        <w:spacing w:before="0" w:line="276" w:lineRule="auto"/>
        <w:rPr>
          <w:rFonts w:ascii="Times New Roman" w:hAnsi="Times New Roman" w:cs="Times New Roman"/>
          <w:b/>
          <w:color w:val="auto"/>
          <w:sz w:val="24"/>
          <w:szCs w:val="24"/>
        </w:rPr>
      </w:pPr>
      <w:bookmarkStart w:id="34" w:name="_Toc506283069"/>
      <w:r w:rsidRPr="00920D6E">
        <w:rPr>
          <w:rFonts w:ascii="Times New Roman" w:hAnsi="Times New Roman" w:cs="Times New Roman"/>
          <w:color w:val="auto"/>
          <w:sz w:val="24"/>
          <w:szCs w:val="24"/>
        </w:rPr>
        <w:t>18</w:t>
      </w:r>
      <w:r w:rsidR="002333E9" w:rsidRPr="00920D6E">
        <w:rPr>
          <w:rFonts w:ascii="Times New Roman" w:hAnsi="Times New Roman" w:cs="Times New Roman"/>
          <w:color w:val="auto"/>
          <w:sz w:val="24"/>
          <w:szCs w:val="24"/>
        </w:rPr>
        <w:t>.</w:t>
      </w:r>
      <w:r w:rsidR="002333E9">
        <w:rPr>
          <w:rFonts w:ascii="Times New Roman" w:hAnsi="Times New Roman" w:cs="Times New Roman"/>
          <w:b/>
          <w:color w:val="auto"/>
          <w:sz w:val="24"/>
          <w:szCs w:val="24"/>
        </w:rPr>
        <w:t xml:space="preserve">   </w:t>
      </w:r>
      <w:r w:rsidRPr="00920D6E">
        <w:rPr>
          <w:rFonts w:ascii="Times New Roman" w:hAnsi="Times New Roman" w:cs="Times New Roman"/>
          <w:color w:val="auto"/>
          <w:sz w:val="24"/>
          <w:szCs w:val="24"/>
          <w:u w:val="single"/>
        </w:rPr>
        <w:t>Exceptions to Certification for Paperwork Reduction Act Submissions</w:t>
      </w:r>
      <w:bookmarkEnd w:id="34"/>
      <w:r w:rsidRPr="00FF75EF">
        <w:rPr>
          <w:rFonts w:ascii="Times New Roman" w:hAnsi="Times New Roman" w:cs="Times New Roman"/>
          <w:b/>
          <w:color w:val="auto"/>
          <w:sz w:val="24"/>
          <w:szCs w:val="24"/>
        </w:rPr>
        <w:t xml:space="preserve"> </w:t>
      </w:r>
    </w:p>
    <w:p w14:paraId="67854841" w14:textId="77777777" w:rsidR="00DE715A" w:rsidRDefault="00DE715A" w:rsidP="0034521D">
      <w:pPr>
        <w:spacing w:line="276" w:lineRule="auto"/>
      </w:pPr>
    </w:p>
    <w:p w14:paraId="7F31C6F1" w14:textId="77777777" w:rsidR="00377EAD" w:rsidRDefault="00081779" w:rsidP="0034521D">
      <w:pPr>
        <w:spacing w:line="276" w:lineRule="auto"/>
        <w:ind w:firstLine="720"/>
      </w:pPr>
      <w:r w:rsidRPr="00901A6B">
        <w:t>There are no exceptions to the certification.</w:t>
      </w:r>
    </w:p>
    <w:p w14:paraId="33AA09E2" w14:textId="77777777" w:rsidR="00377EAD" w:rsidRDefault="00377EAD" w:rsidP="00377EAD">
      <w:pPr>
        <w:ind w:firstLine="720"/>
      </w:pPr>
    </w:p>
    <w:p w14:paraId="1D49E02C" w14:textId="77777777" w:rsidR="000018EB" w:rsidRDefault="000018EB" w:rsidP="00377EAD">
      <w:pPr>
        <w:ind w:firstLine="720"/>
      </w:pPr>
    </w:p>
    <w:p w14:paraId="3629ACE2" w14:textId="77777777" w:rsidR="000018EB" w:rsidRDefault="000018EB" w:rsidP="00377EAD">
      <w:pPr>
        <w:ind w:firstLine="720"/>
      </w:pPr>
    </w:p>
    <w:p w14:paraId="77DA3D14" w14:textId="77777777" w:rsidR="000018EB" w:rsidRDefault="000018EB" w:rsidP="00377EAD">
      <w:pPr>
        <w:ind w:firstLine="720"/>
      </w:pPr>
    </w:p>
    <w:p w14:paraId="0A662673" w14:textId="77777777" w:rsidR="000018EB" w:rsidRDefault="000018EB" w:rsidP="00377EAD">
      <w:pPr>
        <w:ind w:firstLine="720"/>
      </w:pPr>
    </w:p>
    <w:p w14:paraId="0BDDB8C3" w14:textId="77777777" w:rsidR="000018EB" w:rsidRDefault="000018EB" w:rsidP="00377EAD">
      <w:pPr>
        <w:ind w:firstLine="720"/>
      </w:pPr>
    </w:p>
    <w:p w14:paraId="0908A174" w14:textId="77777777" w:rsidR="00377EAD" w:rsidRPr="00377EAD" w:rsidRDefault="00377EAD" w:rsidP="00377EAD">
      <w:pPr>
        <w:rPr>
          <w:b/>
        </w:rPr>
      </w:pPr>
      <w:r w:rsidRPr="00377EAD">
        <w:rPr>
          <w:b/>
        </w:rPr>
        <w:t>REFERENCES</w:t>
      </w:r>
    </w:p>
    <w:p w14:paraId="2B269EC2" w14:textId="77777777" w:rsidR="00377EAD" w:rsidRDefault="00377EAD" w:rsidP="00377EAD"/>
    <w:p w14:paraId="03A53420" w14:textId="77777777" w:rsidR="00120515" w:rsidRPr="00120515" w:rsidRDefault="00120515" w:rsidP="00120515">
      <w:pPr>
        <w:pStyle w:val="biblio"/>
        <w:numPr>
          <w:ilvl w:val="0"/>
          <w:numId w:val="0"/>
        </w:numPr>
      </w:pPr>
      <w:r w:rsidRPr="00120515">
        <w:t>Aburto</w:t>
      </w:r>
      <w:r w:rsidR="00C42A2F">
        <w:t>.</w:t>
      </w:r>
      <w:r w:rsidRPr="00120515">
        <w:t xml:space="preserve"> N</w:t>
      </w:r>
      <w:r w:rsidR="00C42A2F">
        <w:t xml:space="preserve">. </w:t>
      </w:r>
      <w:r w:rsidRPr="00120515">
        <w:t>J</w:t>
      </w:r>
      <w:r w:rsidR="00C42A2F">
        <w:t>.</w:t>
      </w:r>
      <w:r w:rsidRPr="00120515">
        <w:t>, Ziolkovska</w:t>
      </w:r>
      <w:r w:rsidR="00C42A2F">
        <w:t>,</w:t>
      </w:r>
      <w:r w:rsidRPr="00120515">
        <w:t xml:space="preserve"> A</w:t>
      </w:r>
      <w:r w:rsidR="00C42A2F">
        <w:t>.</w:t>
      </w:r>
      <w:r w:rsidRPr="00120515">
        <w:t>, Hooper</w:t>
      </w:r>
      <w:r w:rsidR="00C42A2F">
        <w:t>,</w:t>
      </w:r>
      <w:r w:rsidRPr="00120515">
        <w:t xml:space="preserve"> L</w:t>
      </w:r>
      <w:r w:rsidR="00C42A2F">
        <w:t>.</w:t>
      </w:r>
      <w:r w:rsidRPr="00120515">
        <w:t>, Elliot</w:t>
      </w:r>
      <w:r w:rsidR="00C42A2F">
        <w:t>,</w:t>
      </w:r>
      <w:r w:rsidRPr="00120515">
        <w:t xml:space="preserve"> P</w:t>
      </w:r>
      <w:r w:rsidR="00C42A2F">
        <w:t>.</w:t>
      </w:r>
      <w:r w:rsidRPr="00120515">
        <w:t>, Cappuccio</w:t>
      </w:r>
      <w:r w:rsidR="00C42A2F">
        <w:t>,</w:t>
      </w:r>
      <w:r w:rsidRPr="00120515">
        <w:t xml:space="preserve"> F</w:t>
      </w:r>
      <w:r w:rsidR="00C42A2F">
        <w:t xml:space="preserve">. </w:t>
      </w:r>
      <w:r w:rsidRPr="00120515">
        <w:t>P</w:t>
      </w:r>
      <w:r w:rsidR="00C42A2F">
        <w:t>.</w:t>
      </w:r>
      <w:r w:rsidRPr="00120515">
        <w:t xml:space="preserve">, </w:t>
      </w:r>
      <w:r w:rsidR="003F621A">
        <w:t xml:space="preserve">&amp; </w:t>
      </w:r>
      <w:r w:rsidRPr="00120515">
        <w:t>Meerpohl</w:t>
      </w:r>
      <w:r w:rsidR="00C42A2F">
        <w:t>,</w:t>
      </w:r>
      <w:r w:rsidRPr="00120515">
        <w:t xml:space="preserve"> J</w:t>
      </w:r>
      <w:r w:rsidR="00C42A2F">
        <w:t xml:space="preserve">. </w:t>
      </w:r>
      <w:r w:rsidRPr="00120515">
        <w:t xml:space="preserve">J. </w:t>
      </w:r>
      <w:r w:rsidR="00C42A2F">
        <w:t xml:space="preserve">(2013). </w:t>
      </w:r>
      <w:r w:rsidRPr="00120515">
        <w:t xml:space="preserve">Effect of lower sodium intake on health: Systematic review and meta-analysis. </w:t>
      </w:r>
      <w:r w:rsidRPr="00120515">
        <w:rPr>
          <w:i/>
          <w:iCs/>
        </w:rPr>
        <w:t>B</w:t>
      </w:r>
      <w:r w:rsidR="00C42A2F">
        <w:rPr>
          <w:i/>
          <w:iCs/>
        </w:rPr>
        <w:t xml:space="preserve">ritish </w:t>
      </w:r>
      <w:r w:rsidRPr="00120515">
        <w:rPr>
          <w:i/>
          <w:iCs/>
        </w:rPr>
        <w:t>M</w:t>
      </w:r>
      <w:r w:rsidR="00C42A2F">
        <w:rPr>
          <w:i/>
          <w:iCs/>
        </w:rPr>
        <w:t xml:space="preserve">edical </w:t>
      </w:r>
      <w:r w:rsidRPr="00120515">
        <w:rPr>
          <w:i/>
          <w:iCs/>
        </w:rPr>
        <w:t>J</w:t>
      </w:r>
      <w:r w:rsidR="00C42A2F">
        <w:rPr>
          <w:i/>
          <w:iCs/>
        </w:rPr>
        <w:t>ournal</w:t>
      </w:r>
      <w:r w:rsidR="00C42A2F">
        <w:t>,</w:t>
      </w:r>
      <w:r w:rsidRPr="00120515">
        <w:t xml:space="preserve"> </w:t>
      </w:r>
      <w:r w:rsidR="00C42A2F">
        <w:t xml:space="preserve">346:f1326. doi: </w:t>
      </w:r>
      <w:hyperlink r:id="rId10" w:history="1">
        <w:r w:rsidR="00C42A2F" w:rsidRPr="00C42A2F">
          <w:rPr>
            <w:color w:val="0000FF"/>
            <w:u w:val="single"/>
            <w:lang w:val="en"/>
          </w:rPr>
          <w:t>10.1136/bmj.f1326</w:t>
        </w:r>
      </w:hyperlink>
    </w:p>
    <w:p w14:paraId="73CD5337" w14:textId="77777777" w:rsidR="00120515" w:rsidRDefault="00C42A2F" w:rsidP="00C42A2F">
      <w:pPr>
        <w:autoSpaceDE w:val="0"/>
        <w:autoSpaceDN w:val="0"/>
        <w:adjustRightInd w:val="0"/>
        <w:rPr>
          <w:rFonts w:eastAsiaTheme="minorHAnsi"/>
          <w:szCs w:val="20"/>
        </w:rPr>
      </w:pPr>
      <w:r w:rsidRPr="00C42A2F">
        <w:rPr>
          <w:rFonts w:eastAsiaTheme="minorHAnsi"/>
          <w:szCs w:val="20"/>
        </w:rPr>
        <w:t>Adler, A</w:t>
      </w:r>
      <w:r w:rsidR="003F621A">
        <w:rPr>
          <w:rFonts w:eastAsiaTheme="minorHAnsi"/>
          <w:szCs w:val="20"/>
        </w:rPr>
        <w:t xml:space="preserve">. </w:t>
      </w:r>
      <w:r w:rsidRPr="00C42A2F">
        <w:rPr>
          <w:rFonts w:eastAsiaTheme="minorHAnsi"/>
          <w:szCs w:val="20"/>
        </w:rPr>
        <w:t>J</w:t>
      </w:r>
      <w:r w:rsidR="003F621A">
        <w:rPr>
          <w:rFonts w:eastAsiaTheme="minorHAnsi"/>
          <w:szCs w:val="20"/>
        </w:rPr>
        <w:t>.,</w:t>
      </w:r>
      <w:r w:rsidRPr="00C42A2F">
        <w:rPr>
          <w:rFonts w:eastAsiaTheme="minorHAnsi"/>
          <w:szCs w:val="20"/>
        </w:rPr>
        <w:t xml:space="preserve"> Taylor, F</w:t>
      </w:r>
      <w:r w:rsidR="003F621A">
        <w:rPr>
          <w:rFonts w:eastAsiaTheme="minorHAnsi"/>
          <w:szCs w:val="20"/>
        </w:rPr>
        <w:t>.,</w:t>
      </w:r>
      <w:r w:rsidRPr="00C42A2F">
        <w:rPr>
          <w:rFonts w:eastAsiaTheme="minorHAnsi"/>
          <w:szCs w:val="20"/>
        </w:rPr>
        <w:t xml:space="preserve"> Martin, N</w:t>
      </w:r>
      <w:r w:rsidR="003F621A">
        <w:rPr>
          <w:rFonts w:eastAsiaTheme="minorHAnsi"/>
          <w:szCs w:val="20"/>
        </w:rPr>
        <w:t>.,</w:t>
      </w:r>
      <w:r w:rsidRPr="00C42A2F">
        <w:rPr>
          <w:rFonts w:eastAsiaTheme="minorHAnsi"/>
          <w:szCs w:val="20"/>
        </w:rPr>
        <w:t xml:space="preserve"> Go</w:t>
      </w:r>
      <w:r w:rsidR="003F621A">
        <w:rPr>
          <w:rFonts w:eastAsiaTheme="minorHAnsi"/>
          <w:szCs w:val="20"/>
        </w:rPr>
        <w:t xml:space="preserve">ttlieb, S., Taylor, R. S., &amp; </w:t>
      </w:r>
      <w:r w:rsidRPr="00C42A2F">
        <w:rPr>
          <w:rFonts w:eastAsiaTheme="minorHAnsi"/>
          <w:szCs w:val="20"/>
        </w:rPr>
        <w:t>Ebrahim, S (2014) Reduced dietary salt for the prevention of cardiovascular disease. Cochrane Database Syst Rev, 12 (12). CD009217. ISSN</w:t>
      </w:r>
      <w:r>
        <w:rPr>
          <w:rFonts w:eastAsiaTheme="minorHAnsi"/>
          <w:szCs w:val="20"/>
        </w:rPr>
        <w:t xml:space="preserve"> </w:t>
      </w:r>
      <w:r w:rsidRPr="00C42A2F">
        <w:rPr>
          <w:rFonts w:eastAsiaTheme="minorHAnsi"/>
          <w:szCs w:val="20"/>
        </w:rPr>
        <w:t xml:space="preserve">1469-493X </w:t>
      </w:r>
      <w:r w:rsidR="003F621A">
        <w:rPr>
          <w:rFonts w:eastAsiaTheme="minorHAnsi"/>
          <w:szCs w:val="20"/>
        </w:rPr>
        <w:t>doi</w:t>
      </w:r>
      <w:r w:rsidRPr="00C42A2F">
        <w:rPr>
          <w:rFonts w:eastAsiaTheme="minorHAnsi"/>
          <w:szCs w:val="20"/>
        </w:rPr>
        <w:t>: 10.1002/14651858.CD009217.pub3</w:t>
      </w:r>
    </w:p>
    <w:p w14:paraId="26FE4989" w14:textId="77777777" w:rsidR="00C42A2F" w:rsidRPr="00C42A2F" w:rsidRDefault="00C42A2F" w:rsidP="00C42A2F">
      <w:pPr>
        <w:autoSpaceDE w:val="0"/>
        <w:autoSpaceDN w:val="0"/>
        <w:adjustRightInd w:val="0"/>
        <w:rPr>
          <w:rFonts w:eastAsiaTheme="minorHAnsi"/>
          <w:szCs w:val="20"/>
        </w:rPr>
      </w:pPr>
    </w:p>
    <w:p w14:paraId="3100A22C" w14:textId="75F2C083" w:rsidR="00712F57" w:rsidRDefault="00712F57" w:rsidP="002A2493">
      <w:pPr>
        <w:pStyle w:val="biblio"/>
        <w:numPr>
          <w:ilvl w:val="0"/>
          <w:numId w:val="0"/>
        </w:numPr>
      </w:pPr>
      <w:r w:rsidRPr="00712F57">
        <w:t>Asire, Amal Muhammad</w:t>
      </w:r>
      <w:r>
        <w:t xml:space="preserve">. (2017. </w:t>
      </w:r>
      <w:r w:rsidRPr="00712F57">
        <w:t>A Meta-Analysis of the Effects of Incentives on Response Rate in Online Survey Studies. Electronic Theses and Dissertations. 1317. https://digitalcommons.du.edu/etd/1317</w:t>
      </w:r>
    </w:p>
    <w:p w14:paraId="0457DD9F" w14:textId="0868A14C" w:rsidR="00C95355" w:rsidRDefault="00C95355" w:rsidP="002A2493">
      <w:pPr>
        <w:pStyle w:val="biblio"/>
        <w:numPr>
          <w:ilvl w:val="0"/>
          <w:numId w:val="0"/>
        </w:numPr>
      </w:pPr>
      <w:r w:rsidRPr="00C95355">
        <w:t xml:space="preserve">Bibbons-Domingo, K., Chertow, G. M., Coxson, P. G., Moran, A., Lightwood, J. M., Plecher, M. J., &amp; Goldman, L. (2010). Projected effect of dietary salt reductions on future cardiovascular disease. </w:t>
      </w:r>
      <w:r w:rsidRPr="00C95355">
        <w:rPr>
          <w:i/>
          <w:iCs/>
        </w:rPr>
        <w:t>New England Journal of Medicine,</w:t>
      </w:r>
      <w:r w:rsidRPr="00C95355">
        <w:t xml:space="preserve"> </w:t>
      </w:r>
      <w:r w:rsidRPr="00C95355">
        <w:rPr>
          <w:i/>
        </w:rPr>
        <w:t>362</w:t>
      </w:r>
      <w:r w:rsidRPr="00C95355">
        <w:t>(7), 590‒599.</w:t>
      </w:r>
    </w:p>
    <w:p w14:paraId="39DDCFDD" w14:textId="77777777" w:rsidR="00C95355" w:rsidRPr="00F45A6E" w:rsidRDefault="00C95355" w:rsidP="002A2493">
      <w:pPr>
        <w:pStyle w:val="biblio"/>
        <w:numPr>
          <w:ilvl w:val="0"/>
          <w:numId w:val="0"/>
        </w:numPr>
        <w:rPr>
          <w:rStyle w:val="Hyperlink"/>
        </w:rPr>
      </w:pPr>
      <w:r w:rsidRPr="002A2493">
        <w:t xml:space="preserve">Coxson, P. G., Cook, N. R., Joffres, M., Hong, Y., Orenstein, D., Schmidt, S. M., et al. (2013). Mortality benefits from US population-wide reduction in sodium consumption: Projections from 3 modeling approaches. </w:t>
      </w:r>
      <w:r w:rsidRPr="00C95355">
        <w:rPr>
          <w:i/>
        </w:rPr>
        <w:t>Hypertension</w:t>
      </w:r>
      <w:r w:rsidRPr="00C95355">
        <w:t xml:space="preserve">, </w:t>
      </w:r>
      <w:r w:rsidRPr="00C95355">
        <w:rPr>
          <w:i/>
        </w:rPr>
        <w:t>61</w:t>
      </w:r>
      <w:r w:rsidRPr="00C95355">
        <w:t>(3), 564–570.</w:t>
      </w:r>
    </w:p>
    <w:p w14:paraId="0D7C267B" w14:textId="77777777" w:rsidR="00C95355" w:rsidRPr="00C95355" w:rsidRDefault="00C95355" w:rsidP="002A2493">
      <w:pPr>
        <w:pStyle w:val="biblio"/>
        <w:numPr>
          <w:ilvl w:val="0"/>
          <w:numId w:val="0"/>
        </w:numPr>
        <w:rPr>
          <w:rStyle w:val="Hyperlink"/>
        </w:rPr>
      </w:pPr>
      <w:r w:rsidRPr="00C95355">
        <w:t>Go, A.S., Mozaffarian, D., Roger, V.L., Benjamin. E.J., Berry, J.D.</w:t>
      </w:r>
      <w:r w:rsidRPr="00F45A6E">
        <w:t>, et al. (2013). Heart disease and stroke statistics—2013 update: a report from the American Heart Association</w:t>
      </w:r>
      <w:r w:rsidRPr="00C95355">
        <w:t xml:space="preserve">. </w:t>
      </w:r>
      <w:r w:rsidRPr="00F45A6E">
        <w:rPr>
          <w:rStyle w:val="Emphasis"/>
        </w:rPr>
        <w:t>Circulation,</w:t>
      </w:r>
      <w:r w:rsidRPr="00C95355">
        <w:t xml:space="preserve"> 127, e6–e245. </w:t>
      </w:r>
      <w:r w:rsidRPr="00F45A6E">
        <w:rPr>
          <w:rStyle w:val="slug-doi"/>
        </w:rPr>
        <w:t xml:space="preserve">doi: 10.1161/CIR.0b013e31828124ad. </w:t>
      </w:r>
      <w:hyperlink r:id="rId11" w:history="1">
        <w:r w:rsidRPr="00C95355">
          <w:rPr>
            <w:rStyle w:val="Hyperlink"/>
          </w:rPr>
          <w:t>http://circ.ahajournals.org/content/127/1/e6.full</w:t>
        </w:r>
      </w:hyperlink>
    </w:p>
    <w:p w14:paraId="1773B03F" w14:textId="77777777" w:rsidR="00803326" w:rsidRPr="00803326" w:rsidRDefault="00803326" w:rsidP="002A2493">
      <w:pPr>
        <w:pStyle w:val="biblio"/>
        <w:numPr>
          <w:ilvl w:val="0"/>
          <w:numId w:val="0"/>
        </w:numPr>
        <w:rPr>
          <w:color w:val="222222"/>
          <w:shd w:val="clear" w:color="auto" w:fill="FFFFFF"/>
        </w:rPr>
      </w:pPr>
      <w:r w:rsidRPr="00803326">
        <w:rPr>
          <w:color w:val="222222"/>
          <w:shd w:val="clear" w:color="auto" w:fill="FFFFFF"/>
        </w:rPr>
        <w:t>Göritz, A. S. (2006). Incentives in web studies: Methodological issues and a review. </w:t>
      </w:r>
      <w:r w:rsidRPr="00803326">
        <w:rPr>
          <w:i/>
          <w:iCs/>
          <w:color w:val="222222"/>
          <w:shd w:val="clear" w:color="auto" w:fill="FFFFFF"/>
        </w:rPr>
        <w:t>International Journal of Internet Science</w:t>
      </w:r>
      <w:r w:rsidRPr="00803326">
        <w:rPr>
          <w:color w:val="222222"/>
          <w:shd w:val="clear" w:color="auto" w:fill="FFFFFF"/>
        </w:rPr>
        <w:t>, </w:t>
      </w:r>
      <w:r w:rsidRPr="00803326">
        <w:rPr>
          <w:i/>
          <w:iCs/>
          <w:color w:val="222222"/>
          <w:shd w:val="clear" w:color="auto" w:fill="FFFFFF"/>
        </w:rPr>
        <w:t>1</w:t>
      </w:r>
      <w:r w:rsidRPr="00803326">
        <w:rPr>
          <w:color w:val="222222"/>
          <w:shd w:val="clear" w:color="auto" w:fill="FFFFFF"/>
        </w:rPr>
        <w:t>(1), 58-70.</w:t>
      </w:r>
    </w:p>
    <w:p w14:paraId="6EDD0450" w14:textId="5215553C" w:rsidR="00120515" w:rsidRDefault="00120515" w:rsidP="002A2493">
      <w:pPr>
        <w:pStyle w:val="biblio"/>
        <w:numPr>
          <w:ilvl w:val="0"/>
          <w:numId w:val="0"/>
        </w:numPr>
      </w:pPr>
      <w:r w:rsidRPr="00120515">
        <w:t>He</w:t>
      </w:r>
      <w:r w:rsidR="00C42A2F">
        <w:t>,</w:t>
      </w:r>
      <w:r w:rsidRPr="00120515">
        <w:t xml:space="preserve"> F</w:t>
      </w:r>
      <w:r w:rsidR="00C42A2F">
        <w:t xml:space="preserve">. </w:t>
      </w:r>
      <w:r w:rsidRPr="00120515">
        <w:t>J, Li</w:t>
      </w:r>
      <w:r w:rsidR="00C42A2F">
        <w:t xml:space="preserve">, </w:t>
      </w:r>
      <w:r w:rsidRPr="00120515">
        <w:t>J</w:t>
      </w:r>
      <w:r w:rsidR="00C42A2F">
        <w:t>.</w:t>
      </w:r>
      <w:r w:rsidRPr="00120515">
        <w:t xml:space="preserve">, </w:t>
      </w:r>
      <w:r w:rsidR="00C42A2F">
        <w:t xml:space="preserve">&amp; </w:t>
      </w:r>
      <w:r w:rsidRPr="00120515">
        <w:t>MacGregor</w:t>
      </w:r>
      <w:r w:rsidR="00C42A2F">
        <w:t>,</w:t>
      </w:r>
      <w:r w:rsidRPr="00120515">
        <w:t xml:space="preserve"> G</w:t>
      </w:r>
      <w:r w:rsidR="00C42A2F">
        <w:t xml:space="preserve">. </w:t>
      </w:r>
      <w:r w:rsidRPr="00120515">
        <w:t xml:space="preserve">A. </w:t>
      </w:r>
      <w:r w:rsidR="00C42A2F">
        <w:t xml:space="preserve">(2013). </w:t>
      </w:r>
      <w:r w:rsidRPr="00120515">
        <w:t xml:space="preserve">Effect of longer-term modest salt reduction on blood pressure. </w:t>
      </w:r>
      <w:r w:rsidRPr="00C42A2F">
        <w:rPr>
          <w:i/>
        </w:rPr>
        <w:t>Cochrane Database Syst Rev</w:t>
      </w:r>
      <w:r w:rsidRPr="00120515">
        <w:t>. 4:CD004937.</w:t>
      </w:r>
    </w:p>
    <w:p w14:paraId="2FFB63C7" w14:textId="77777777" w:rsidR="00C95355" w:rsidRPr="00C95355" w:rsidRDefault="00C95355" w:rsidP="002A2493">
      <w:pPr>
        <w:pStyle w:val="biblio"/>
        <w:numPr>
          <w:ilvl w:val="0"/>
          <w:numId w:val="0"/>
        </w:numPr>
        <w:rPr>
          <w:rStyle w:val="Hyperlink"/>
        </w:rPr>
      </w:pPr>
      <w:r w:rsidRPr="00C95355">
        <w:t xml:space="preserve">Heidenreich, P. A., Trogdon, J. G., Khavjou, O. A., et.al. (2011). Forecasting the Future of Cardiovascular Disease in the United States: a policy statement from the American Heart Association. </w:t>
      </w:r>
      <w:r w:rsidRPr="00F45A6E">
        <w:rPr>
          <w:rStyle w:val="HTMLCite"/>
        </w:rPr>
        <w:t>Circulation.</w:t>
      </w:r>
      <w:r w:rsidRPr="00F45A6E">
        <w:rPr>
          <w:rStyle w:val="slug-pub-date"/>
          <w:rFonts w:eastAsia="SimSun"/>
          <w:i/>
          <w:iCs/>
        </w:rPr>
        <w:t xml:space="preserve"> </w:t>
      </w:r>
      <w:r w:rsidRPr="00F45A6E">
        <w:rPr>
          <w:rStyle w:val="slug-vol"/>
          <w:i/>
          <w:iCs/>
        </w:rPr>
        <w:t xml:space="preserve">123: </w:t>
      </w:r>
      <w:r w:rsidRPr="00F45A6E">
        <w:rPr>
          <w:rStyle w:val="slug-pages"/>
          <w:i/>
          <w:iCs/>
        </w:rPr>
        <w:t xml:space="preserve">933-944 </w:t>
      </w:r>
      <w:r w:rsidRPr="00F45A6E">
        <w:rPr>
          <w:rStyle w:val="slug-ahead-of-print-date"/>
        </w:rPr>
        <w:t>Published online before print January 2011</w:t>
      </w:r>
      <w:r w:rsidRPr="00F45A6E">
        <w:rPr>
          <w:rStyle w:val="slug-metadata-note"/>
        </w:rPr>
        <w:t xml:space="preserve">, </w:t>
      </w:r>
      <w:r w:rsidRPr="00F45A6E">
        <w:rPr>
          <w:rStyle w:val="slug-doi"/>
        </w:rPr>
        <w:t xml:space="preserve">doi: 10.1161/CIR.0b013e31820a55f5. </w:t>
      </w:r>
      <w:hyperlink r:id="rId12" w:history="1">
        <w:r w:rsidRPr="00C95355">
          <w:rPr>
            <w:rStyle w:val="Hyperlink"/>
          </w:rPr>
          <w:t>http://circ.ahajournals.org/content/123/8/933.long</w:t>
        </w:r>
      </w:hyperlink>
    </w:p>
    <w:p w14:paraId="5A2FA6BA" w14:textId="77777777" w:rsidR="00C95355" w:rsidRPr="00C95355" w:rsidRDefault="00C95355" w:rsidP="002A2493">
      <w:pPr>
        <w:pStyle w:val="biblio"/>
        <w:numPr>
          <w:ilvl w:val="0"/>
          <w:numId w:val="0"/>
        </w:numPr>
        <w:rPr>
          <w:rStyle w:val="slug-doi"/>
        </w:rPr>
      </w:pPr>
      <w:r w:rsidRPr="00C95355">
        <w:t xml:space="preserve">Institute of Medicine (IOM). (2010). </w:t>
      </w:r>
      <w:r w:rsidRPr="00C95355">
        <w:rPr>
          <w:i/>
          <w:iCs/>
        </w:rPr>
        <w:t>Strategies to reduce sodium intake in the United States</w:t>
      </w:r>
      <w:r w:rsidRPr="00C95355">
        <w:t>. Washington, DC: The National Academies Press.</w:t>
      </w:r>
    </w:p>
    <w:p w14:paraId="711C1AD0" w14:textId="77777777" w:rsidR="00C95355" w:rsidRPr="00C95355" w:rsidRDefault="00C95355" w:rsidP="002A2493">
      <w:pPr>
        <w:pStyle w:val="biblio"/>
        <w:numPr>
          <w:ilvl w:val="0"/>
          <w:numId w:val="0"/>
        </w:numPr>
      </w:pPr>
      <w:r w:rsidRPr="00C95355">
        <w:t xml:space="preserve">Palar, K., &amp; Sturm, R. (2009). Potential societal savings from reduced sodium consumption in the U.S. adult population. </w:t>
      </w:r>
      <w:r w:rsidRPr="00C95355">
        <w:rPr>
          <w:i/>
          <w:iCs/>
        </w:rPr>
        <w:t>American Journal of Health Promotion,</w:t>
      </w:r>
      <w:r w:rsidRPr="00C95355">
        <w:t xml:space="preserve"> </w:t>
      </w:r>
      <w:r w:rsidRPr="00C95355">
        <w:rPr>
          <w:i/>
        </w:rPr>
        <w:t>24</w:t>
      </w:r>
      <w:r w:rsidRPr="00C95355">
        <w:t>(1), 49‒57.</w:t>
      </w:r>
    </w:p>
    <w:p w14:paraId="5E3D9752" w14:textId="77777777" w:rsidR="00C95355" w:rsidRPr="00C95355" w:rsidRDefault="00C95355" w:rsidP="002A2493">
      <w:pPr>
        <w:pStyle w:val="biblio"/>
        <w:numPr>
          <w:ilvl w:val="0"/>
          <w:numId w:val="0"/>
        </w:numPr>
      </w:pPr>
      <w:r w:rsidRPr="00C95355">
        <w:t xml:space="preserve">Smith-Spangler, C. M., Juusola, J. L., Enns, E. A., Owens, D. K., &amp; Garber, A. M. (2010). Population strategies to decrease sodium intake and the burden of cardiovascular disease. </w:t>
      </w:r>
      <w:r w:rsidRPr="00C95355">
        <w:rPr>
          <w:i/>
          <w:iCs/>
        </w:rPr>
        <w:t>Annals of Internal Medicine,</w:t>
      </w:r>
      <w:r w:rsidRPr="00C95355">
        <w:rPr>
          <w:i/>
        </w:rPr>
        <w:t xml:space="preserve"> 152</w:t>
      </w:r>
      <w:r w:rsidRPr="00C95355">
        <w:t>(8), 481‒487.</w:t>
      </w:r>
    </w:p>
    <w:p w14:paraId="7BE30512" w14:textId="77777777" w:rsidR="00C95355" w:rsidRPr="002A2493" w:rsidRDefault="00C95355" w:rsidP="002A2493">
      <w:pPr>
        <w:pStyle w:val="biblio-entry"/>
        <w:ind w:left="0" w:firstLine="0"/>
        <w:rPr>
          <w:color w:val="0563C1" w:themeColor="hyperlink"/>
          <w:u w:val="single"/>
        </w:rPr>
      </w:pPr>
      <w:r w:rsidRPr="002A2493">
        <w:rPr>
          <w:sz w:val="24"/>
          <w:szCs w:val="24"/>
        </w:rPr>
        <w:t xml:space="preserve">U.S. Department of Agriculture, Agricultural Research Service. (2014). Nutrient Intakes from Food and Beverages: Mean Amounts Consumed per Individual, by Gender and Age, What We Eat in America, NHANES 2011–2012. Retrieved from </w:t>
      </w:r>
      <w:hyperlink r:id="rId13" w:history="1">
        <w:r w:rsidRPr="002A2493">
          <w:rPr>
            <w:rStyle w:val="Hyperlink"/>
            <w:sz w:val="24"/>
            <w:szCs w:val="24"/>
          </w:rPr>
          <w:t>http://www.ars.usda.gov/SP2UserFiles/Place/80400530/pdf/1112/Table_1_NIN_GEN_11.pdf</w:t>
        </w:r>
      </w:hyperlink>
    </w:p>
    <w:p w14:paraId="4F466D0A" w14:textId="77777777" w:rsidR="00744BA7" w:rsidRPr="00CE7AEB" w:rsidRDefault="00744BA7" w:rsidP="00744BA7">
      <w:pPr>
        <w:pStyle w:val="biblio"/>
        <w:numPr>
          <w:ilvl w:val="0"/>
          <w:numId w:val="0"/>
        </w:numPr>
      </w:pPr>
    </w:p>
    <w:p w14:paraId="5BD1E8E1" w14:textId="77777777" w:rsidR="00744BA7" w:rsidRDefault="00744BA7" w:rsidP="00744BA7">
      <w:pPr>
        <w:rPr>
          <w:color w:val="1F497D"/>
          <w:sz w:val="22"/>
          <w:szCs w:val="22"/>
        </w:rPr>
      </w:pPr>
      <w:r>
        <w:t xml:space="preserve">US Department of Agriculture, Agricultural Research Service (2014). </w:t>
      </w:r>
      <w:r w:rsidRPr="002A2493">
        <w:t>Nutrient Intakes from Food and Beverages: Mean Amounts Consumed per Individual, by Gender and Age, What We Eat in America, NHANES</w:t>
      </w:r>
      <w:r w:rsidRPr="00744BA7">
        <w:rPr>
          <w:i/>
        </w:rPr>
        <w:t xml:space="preserve"> 2013-2014</w:t>
      </w:r>
      <w:r>
        <w:t xml:space="preserve">. Retrieved from </w:t>
      </w:r>
      <w:hyperlink r:id="rId14" w:history="1">
        <w:r>
          <w:rPr>
            <w:rStyle w:val="Hyperlink"/>
          </w:rPr>
          <w:t>https://www.ars.usda.gov/ARSUserFiles/80400530/pdf/1314/Table_37_SUP_GEN_13.pdf</w:t>
        </w:r>
      </w:hyperlink>
    </w:p>
    <w:p w14:paraId="1EDFEE2F" w14:textId="77777777" w:rsidR="00744BA7" w:rsidRDefault="00744BA7" w:rsidP="002A2493">
      <w:pPr>
        <w:pStyle w:val="Bibliography"/>
      </w:pPr>
    </w:p>
    <w:p w14:paraId="0FC150E0" w14:textId="77777777" w:rsidR="00C95355" w:rsidRPr="00C95355" w:rsidRDefault="00C95355" w:rsidP="002A2493">
      <w:pPr>
        <w:pStyle w:val="Bibliography"/>
      </w:pPr>
      <w:r w:rsidRPr="00C95355">
        <w:t xml:space="preserve">U.S. Department of Agriculture, U.S. Department of Health and Human Services (USDA/USDHHS). (2015). </w:t>
      </w:r>
      <w:r w:rsidRPr="00C95355">
        <w:rPr>
          <w:i/>
        </w:rPr>
        <w:t>Dietary Guidelines for Americans, 2015‒2020</w:t>
      </w:r>
      <w:r w:rsidRPr="00C95355">
        <w:t xml:space="preserve">. Retrieved from </w:t>
      </w:r>
      <w:hyperlink r:id="rId15" w:history="1">
        <w:r w:rsidRPr="00C95355">
          <w:rPr>
            <w:rStyle w:val="Hyperlink"/>
          </w:rPr>
          <w:t>http://health.gov/dietaryguidelines/2015/guidelines/</w:t>
        </w:r>
      </w:hyperlink>
    </w:p>
    <w:p w14:paraId="06486603" w14:textId="77777777" w:rsidR="00C95355" w:rsidRPr="00136343" w:rsidRDefault="00C95355" w:rsidP="002A2493">
      <w:pPr>
        <w:pStyle w:val="biblio"/>
        <w:numPr>
          <w:ilvl w:val="0"/>
          <w:numId w:val="0"/>
        </w:numPr>
      </w:pPr>
    </w:p>
    <w:p w14:paraId="227E4341" w14:textId="77777777" w:rsidR="00C95355" w:rsidRDefault="00C95355" w:rsidP="00377EAD"/>
    <w:p w14:paraId="60E6D700" w14:textId="77777777" w:rsidR="00C95355" w:rsidRDefault="00C95355" w:rsidP="00377EAD"/>
    <w:p w14:paraId="12D2F24B" w14:textId="77777777" w:rsidR="00377EAD" w:rsidRPr="008452E5" w:rsidRDefault="00377EAD" w:rsidP="008452E5"/>
    <w:sectPr w:rsidR="00377EAD" w:rsidRPr="008452E5" w:rsidSect="00A83DF0">
      <w:footerReference w:type="default" r:id="rId16"/>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8E05" w16cid:durableId="1FCF2D55"/>
  <w16cid:commentId w16cid:paraId="1512FAE9" w16cid:durableId="1FCF31E4"/>
  <w16cid:commentId w16cid:paraId="0E78223E" w16cid:durableId="1FCF2D58"/>
  <w16cid:commentId w16cid:paraId="0F2F81D9" w16cid:durableId="1FCF332E"/>
  <w16cid:commentId w16cid:paraId="3560E412" w16cid:durableId="1FCF2D5E"/>
  <w16cid:commentId w16cid:paraId="1CF1DBE4" w16cid:durableId="1FD087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5A5A2" w14:textId="77777777" w:rsidR="00B210E0" w:rsidRDefault="00B210E0" w:rsidP="00835CB8">
      <w:r>
        <w:separator/>
      </w:r>
    </w:p>
  </w:endnote>
  <w:endnote w:type="continuationSeparator" w:id="0">
    <w:p w14:paraId="2B4D6E36" w14:textId="77777777" w:rsidR="00B210E0" w:rsidRDefault="00B210E0" w:rsidP="0083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59159"/>
      <w:docPartObj>
        <w:docPartGallery w:val="Page Numbers (Bottom of Page)"/>
        <w:docPartUnique/>
      </w:docPartObj>
    </w:sdtPr>
    <w:sdtEndPr>
      <w:rPr>
        <w:noProof/>
      </w:rPr>
    </w:sdtEndPr>
    <w:sdtContent>
      <w:p w14:paraId="11B98060" w14:textId="577F1F65" w:rsidR="00A83DF0" w:rsidRDefault="00A83DF0">
        <w:pPr>
          <w:pStyle w:val="Footer"/>
          <w:jc w:val="center"/>
        </w:pPr>
        <w:r>
          <w:fldChar w:fldCharType="begin"/>
        </w:r>
        <w:r>
          <w:instrText xml:space="preserve"> PAGE   \* MERGEFORMAT </w:instrText>
        </w:r>
        <w:r>
          <w:fldChar w:fldCharType="separate"/>
        </w:r>
        <w:r w:rsidR="00E302AA">
          <w:rPr>
            <w:noProof/>
          </w:rPr>
          <w:t>1</w:t>
        </w:r>
        <w:r>
          <w:rPr>
            <w:noProof/>
          </w:rPr>
          <w:fldChar w:fldCharType="end"/>
        </w:r>
      </w:p>
    </w:sdtContent>
  </w:sdt>
  <w:p w14:paraId="147E9D2C" w14:textId="77777777" w:rsidR="00A83DF0" w:rsidRDefault="00A8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474B4" w14:textId="77777777" w:rsidR="00B210E0" w:rsidRDefault="00B210E0" w:rsidP="00835CB8">
      <w:r>
        <w:separator/>
      </w:r>
    </w:p>
  </w:footnote>
  <w:footnote w:type="continuationSeparator" w:id="0">
    <w:p w14:paraId="04237393" w14:textId="77777777" w:rsidR="00B210E0" w:rsidRDefault="00B210E0" w:rsidP="00835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83918"/>
    <w:multiLevelType w:val="hybridMultilevel"/>
    <w:tmpl w:val="704F6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A4064"/>
    <w:multiLevelType w:val="hybridMultilevel"/>
    <w:tmpl w:val="AA6D6F7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3">
    <w:nsid w:val="FFFFFF88"/>
    <w:multiLevelType w:val="singleLevel"/>
    <w:tmpl w:val="83606DA0"/>
    <w:lvl w:ilvl="0">
      <w:start w:val="1"/>
      <w:numFmt w:val="decimal"/>
      <w:pStyle w:val="ListNumber"/>
      <w:lvlText w:val="%1."/>
      <w:lvlJc w:val="left"/>
      <w:pPr>
        <w:tabs>
          <w:tab w:val="num" w:pos="360"/>
        </w:tabs>
        <w:ind w:left="360" w:hanging="360"/>
      </w:pPr>
    </w:lvl>
  </w:abstractNum>
  <w:abstractNum w:abstractNumId="4">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5">
    <w:nsid w:val="015C5D74"/>
    <w:multiLevelType w:val="hybridMultilevel"/>
    <w:tmpl w:val="D19CE40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6">
    <w:nsid w:val="05FA0688"/>
    <w:multiLevelType w:val="hybridMultilevel"/>
    <w:tmpl w:val="BE86A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A179D"/>
    <w:multiLevelType w:val="hybridMultilevel"/>
    <w:tmpl w:val="EF341D8E"/>
    <w:lvl w:ilvl="0" w:tplc="36B66F5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17746"/>
    <w:multiLevelType w:val="hybridMultilevel"/>
    <w:tmpl w:val="D0B42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2E65DF"/>
    <w:multiLevelType w:val="hybridMultilevel"/>
    <w:tmpl w:val="E5E4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666DE"/>
    <w:multiLevelType w:val="hybridMultilevel"/>
    <w:tmpl w:val="E5DCC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4769C"/>
    <w:multiLevelType w:val="hybridMultilevel"/>
    <w:tmpl w:val="3D4E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860B3"/>
    <w:multiLevelType w:val="hybridMultilevel"/>
    <w:tmpl w:val="FB049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2F1055"/>
    <w:multiLevelType w:val="hybridMultilevel"/>
    <w:tmpl w:val="E4FE9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31943"/>
    <w:multiLevelType w:val="hybridMultilevel"/>
    <w:tmpl w:val="28C2F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72357"/>
    <w:multiLevelType w:val="hybridMultilevel"/>
    <w:tmpl w:val="6970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C2CB5"/>
    <w:multiLevelType w:val="hybridMultilevel"/>
    <w:tmpl w:val="6B064052"/>
    <w:lvl w:ilvl="0" w:tplc="D04C75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F4AC1"/>
    <w:multiLevelType w:val="hybridMultilevel"/>
    <w:tmpl w:val="0326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059B5"/>
    <w:multiLevelType w:val="hybridMultilevel"/>
    <w:tmpl w:val="59C42A96"/>
    <w:lvl w:ilvl="0" w:tplc="2C369636">
      <w:start w:val="1"/>
      <w:numFmt w:val="upperLetter"/>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09C3D3F"/>
    <w:multiLevelType w:val="hybridMultilevel"/>
    <w:tmpl w:val="681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B73F4"/>
    <w:multiLevelType w:val="hybridMultilevel"/>
    <w:tmpl w:val="F6B2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6E4F2E"/>
    <w:multiLevelType w:val="hybridMultilevel"/>
    <w:tmpl w:val="BB1EED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F6282"/>
    <w:multiLevelType w:val="hybridMultilevel"/>
    <w:tmpl w:val="4F2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31D74"/>
    <w:multiLevelType w:val="hybridMultilevel"/>
    <w:tmpl w:val="B7B299A8"/>
    <w:lvl w:ilvl="0" w:tplc="5B32EBDC">
      <w:start w:val="1"/>
      <w:numFmt w:val="decimal"/>
      <w:pStyle w:val="biblio"/>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D33B44"/>
    <w:multiLevelType w:val="hybridMultilevel"/>
    <w:tmpl w:val="44A4C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C633D9"/>
    <w:multiLevelType w:val="hybridMultilevel"/>
    <w:tmpl w:val="14848408"/>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3FA09BC"/>
    <w:multiLevelType w:val="hybridMultilevel"/>
    <w:tmpl w:val="FC98F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B2198"/>
    <w:multiLevelType w:val="hybridMultilevel"/>
    <w:tmpl w:val="E766F942"/>
    <w:lvl w:ilvl="0" w:tplc="B7826616">
      <w:start w:val="1"/>
      <w:numFmt w:val="upperLetter"/>
      <w:lvlText w:val="%1."/>
      <w:lvlJc w:val="left"/>
      <w:pPr>
        <w:ind w:left="360" w:firstLine="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13"/>
  </w:num>
  <w:num w:numId="4">
    <w:abstractNumId w:val="3"/>
    <w:lvlOverride w:ilvl="0">
      <w:startOverride w:val="1"/>
    </w:lvlOverride>
  </w:num>
  <w:num w:numId="5">
    <w:abstractNumId w:val="3"/>
    <w:lvlOverride w:ilvl="0">
      <w:startOverride w:val="1"/>
    </w:lvlOverride>
  </w:num>
  <w:num w:numId="6">
    <w:abstractNumId w:val="0"/>
  </w:num>
  <w:num w:numId="7">
    <w:abstractNumId w:val="16"/>
  </w:num>
  <w:num w:numId="8">
    <w:abstractNumId w:val="7"/>
  </w:num>
  <w:num w:numId="9">
    <w:abstractNumId w:val="1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5"/>
  </w:num>
  <w:num w:numId="13">
    <w:abstractNumId w:val="23"/>
  </w:num>
  <w:num w:numId="14">
    <w:abstractNumId w:val="3"/>
  </w:num>
  <w:num w:numId="15">
    <w:abstractNumId w:val="26"/>
  </w:num>
  <w:num w:numId="16">
    <w:abstractNumId w:val="15"/>
  </w:num>
  <w:num w:numId="17">
    <w:abstractNumId w:val="5"/>
  </w:num>
  <w:num w:numId="18">
    <w:abstractNumId w:val="20"/>
  </w:num>
  <w:num w:numId="19">
    <w:abstractNumId w:val="4"/>
  </w:num>
  <w:num w:numId="20">
    <w:abstractNumId w:val="2"/>
  </w:num>
  <w:num w:numId="21">
    <w:abstractNumId w:val="12"/>
  </w:num>
  <w:num w:numId="22">
    <w:abstractNumId w:val="22"/>
  </w:num>
  <w:num w:numId="23">
    <w:abstractNumId w:val="11"/>
  </w:num>
  <w:num w:numId="24">
    <w:abstractNumId w:val="19"/>
  </w:num>
  <w:num w:numId="25">
    <w:abstractNumId w:val="24"/>
  </w:num>
  <w:num w:numId="26">
    <w:abstractNumId w:val="9"/>
  </w:num>
  <w:num w:numId="27">
    <w:abstractNumId w:val="6"/>
  </w:num>
  <w:num w:numId="28">
    <w:abstractNumId w:val="27"/>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E5"/>
    <w:rsid w:val="000018EB"/>
    <w:rsid w:val="00027422"/>
    <w:rsid w:val="0003530B"/>
    <w:rsid w:val="00045438"/>
    <w:rsid w:val="00046808"/>
    <w:rsid w:val="00052FC4"/>
    <w:rsid w:val="00070BE4"/>
    <w:rsid w:val="00073E01"/>
    <w:rsid w:val="00081779"/>
    <w:rsid w:val="000826BA"/>
    <w:rsid w:val="00084587"/>
    <w:rsid w:val="00085AA0"/>
    <w:rsid w:val="00092C6C"/>
    <w:rsid w:val="000B3837"/>
    <w:rsid w:val="000B652D"/>
    <w:rsid w:val="000B7A0F"/>
    <w:rsid w:val="000D25BA"/>
    <w:rsid w:val="000D4639"/>
    <w:rsid w:val="000E6544"/>
    <w:rsid w:val="000F16C5"/>
    <w:rsid w:val="000F1C5D"/>
    <w:rsid w:val="000F77C1"/>
    <w:rsid w:val="00117696"/>
    <w:rsid w:val="00120515"/>
    <w:rsid w:val="00122A0E"/>
    <w:rsid w:val="001237A5"/>
    <w:rsid w:val="001256CD"/>
    <w:rsid w:val="0013296E"/>
    <w:rsid w:val="00136DF3"/>
    <w:rsid w:val="00137D9A"/>
    <w:rsid w:val="00151C7C"/>
    <w:rsid w:val="0015229D"/>
    <w:rsid w:val="00156CB2"/>
    <w:rsid w:val="00156DA4"/>
    <w:rsid w:val="00157DB7"/>
    <w:rsid w:val="00163DF7"/>
    <w:rsid w:val="001675E3"/>
    <w:rsid w:val="00172EB8"/>
    <w:rsid w:val="00173ED9"/>
    <w:rsid w:val="00175F92"/>
    <w:rsid w:val="0019599E"/>
    <w:rsid w:val="001B794E"/>
    <w:rsid w:val="001D0C56"/>
    <w:rsid w:val="001D0D67"/>
    <w:rsid w:val="001D16DD"/>
    <w:rsid w:val="001D3E90"/>
    <w:rsid w:val="001D4347"/>
    <w:rsid w:val="001E290C"/>
    <w:rsid w:val="001E732D"/>
    <w:rsid w:val="001F6F9A"/>
    <w:rsid w:val="0020408F"/>
    <w:rsid w:val="00204ACC"/>
    <w:rsid w:val="00207B0B"/>
    <w:rsid w:val="0021279C"/>
    <w:rsid w:val="002210A4"/>
    <w:rsid w:val="002333E9"/>
    <w:rsid w:val="00241025"/>
    <w:rsid w:val="002444B3"/>
    <w:rsid w:val="002533E3"/>
    <w:rsid w:val="00263131"/>
    <w:rsid w:val="00266EFF"/>
    <w:rsid w:val="00272D3B"/>
    <w:rsid w:val="002762AA"/>
    <w:rsid w:val="0028539C"/>
    <w:rsid w:val="002A2493"/>
    <w:rsid w:val="002A701B"/>
    <w:rsid w:val="002B3E95"/>
    <w:rsid w:val="002B67BF"/>
    <w:rsid w:val="002C0585"/>
    <w:rsid w:val="002C22FE"/>
    <w:rsid w:val="002F0CA6"/>
    <w:rsid w:val="002F3185"/>
    <w:rsid w:val="002F6C2B"/>
    <w:rsid w:val="003005BA"/>
    <w:rsid w:val="003028BD"/>
    <w:rsid w:val="00302CEE"/>
    <w:rsid w:val="0030533F"/>
    <w:rsid w:val="00305570"/>
    <w:rsid w:val="003257CB"/>
    <w:rsid w:val="003316E0"/>
    <w:rsid w:val="00331F97"/>
    <w:rsid w:val="00334B56"/>
    <w:rsid w:val="0033526F"/>
    <w:rsid w:val="003373BD"/>
    <w:rsid w:val="0034183B"/>
    <w:rsid w:val="00341F1C"/>
    <w:rsid w:val="0034503E"/>
    <w:rsid w:val="0034521D"/>
    <w:rsid w:val="00346321"/>
    <w:rsid w:val="00347A22"/>
    <w:rsid w:val="00350574"/>
    <w:rsid w:val="00351C25"/>
    <w:rsid w:val="00352B16"/>
    <w:rsid w:val="00354BE8"/>
    <w:rsid w:val="0036614C"/>
    <w:rsid w:val="00377EAD"/>
    <w:rsid w:val="00395CF0"/>
    <w:rsid w:val="00397B7F"/>
    <w:rsid w:val="003A00C3"/>
    <w:rsid w:val="003A0622"/>
    <w:rsid w:val="003C10F7"/>
    <w:rsid w:val="003D6A4E"/>
    <w:rsid w:val="003D710B"/>
    <w:rsid w:val="003E72C0"/>
    <w:rsid w:val="003F621A"/>
    <w:rsid w:val="003F64FC"/>
    <w:rsid w:val="004062BB"/>
    <w:rsid w:val="00410E8C"/>
    <w:rsid w:val="00411B9B"/>
    <w:rsid w:val="00416EC2"/>
    <w:rsid w:val="004236A2"/>
    <w:rsid w:val="00426642"/>
    <w:rsid w:val="00432A53"/>
    <w:rsid w:val="00432A95"/>
    <w:rsid w:val="004343B7"/>
    <w:rsid w:val="00435308"/>
    <w:rsid w:val="00435CE8"/>
    <w:rsid w:val="00437F5F"/>
    <w:rsid w:val="00442C33"/>
    <w:rsid w:val="00442DC1"/>
    <w:rsid w:val="00446D1A"/>
    <w:rsid w:val="004566A4"/>
    <w:rsid w:val="0047598E"/>
    <w:rsid w:val="0047787C"/>
    <w:rsid w:val="00490774"/>
    <w:rsid w:val="00495B5A"/>
    <w:rsid w:val="0049699E"/>
    <w:rsid w:val="004A079C"/>
    <w:rsid w:val="004B7292"/>
    <w:rsid w:val="004C2837"/>
    <w:rsid w:val="004D37A0"/>
    <w:rsid w:val="004D7914"/>
    <w:rsid w:val="004D7988"/>
    <w:rsid w:val="00501709"/>
    <w:rsid w:val="00503CDC"/>
    <w:rsid w:val="005127D9"/>
    <w:rsid w:val="00514B9B"/>
    <w:rsid w:val="00520108"/>
    <w:rsid w:val="005242B5"/>
    <w:rsid w:val="00525373"/>
    <w:rsid w:val="00526D84"/>
    <w:rsid w:val="00530AB4"/>
    <w:rsid w:val="0053226E"/>
    <w:rsid w:val="00534EF9"/>
    <w:rsid w:val="00535647"/>
    <w:rsid w:val="005414BA"/>
    <w:rsid w:val="00541AF5"/>
    <w:rsid w:val="00545E70"/>
    <w:rsid w:val="00551E2A"/>
    <w:rsid w:val="00553108"/>
    <w:rsid w:val="0056047B"/>
    <w:rsid w:val="00563DFB"/>
    <w:rsid w:val="00573688"/>
    <w:rsid w:val="00576A24"/>
    <w:rsid w:val="00594C0F"/>
    <w:rsid w:val="005A54F2"/>
    <w:rsid w:val="005A58DC"/>
    <w:rsid w:val="005B2A0E"/>
    <w:rsid w:val="005C2F08"/>
    <w:rsid w:val="005C4212"/>
    <w:rsid w:val="005D4806"/>
    <w:rsid w:val="005E1147"/>
    <w:rsid w:val="005F404C"/>
    <w:rsid w:val="005F45A4"/>
    <w:rsid w:val="00611F72"/>
    <w:rsid w:val="0062573D"/>
    <w:rsid w:val="00625859"/>
    <w:rsid w:val="006408A3"/>
    <w:rsid w:val="00667833"/>
    <w:rsid w:val="00671154"/>
    <w:rsid w:val="00691154"/>
    <w:rsid w:val="00693EC2"/>
    <w:rsid w:val="006A0111"/>
    <w:rsid w:val="006A351A"/>
    <w:rsid w:val="006A4250"/>
    <w:rsid w:val="006A63E6"/>
    <w:rsid w:val="006B1197"/>
    <w:rsid w:val="006C0C2E"/>
    <w:rsid w:val="006D56B8"/>
    <w:rsid w:val="006E57A1"/>
    <w:rsid w:val="006F08BB"/>
    <w:rsid w:val="006F122F"/>
    <w:rsid w:val="006F501E"/>
    <w:rsid w:val="007077C3"/>
    <w:rsid w:val="007105C9"/>
    <w:rsid w:val="00712F57"/>
    <w:rsid w:val="007131CA"/>
    <w:rsid w:val="00713205"/>
    <w:rsid w:val="00714085"/>
    <w:rsid w:val="0071790C"/>
    <w:rsid w:val="007257FC"/>
    <w:rsid w:val="007368F6"/>
    <w:rsid w:val="007439D4"/>
    <w:rsid w:val="007448F7"/>
    <w:rsid w:val="00744BA7"/>
    <w:rsid w:val="007457B6"/>
    <w:rsid w:val="00750311"/>
    <w:rsid w:val="00753E9B"/>
    <w:rsid w:val="007643B7"/>
    <w:rsid w:val="00765EE0"/>
    <w:rsid w:val="007700EF"/>
    <w:rsid w:val="00770793"/>
    <w:rsid w:val="007745C2"/>
    <w:rsid w:val="007828A1"/>
    <w:rsid w:val="007866CD"/>
    <w:rsid w:val="00790242"/>
    <w:rsid w:val="00796557"/>
    <w:rsid w:val="007A536D"/>
    <w:rsid w:val="007D0768"/>
    <w:rsid w:val="007D6AFE"/>
    <w:rsid w:val="007E2E7C"/>
    <w:rsid w:val="007E5E9A"/>
    <w:rsid w:val="007F115C"/>
    <w:rsid w:val="007F2636"/>
    <w:rsid w:val="00801166"/>
    <w:rsid w:val="00803326"/>
    <w:rsid w:val="00807936"/>
    <w:rsid w:val="008120E8"/>
    <w:rsid w:val="00830D48"/>
    <w:rsid w:val="00832135"/>
    <w:rsid w:val="0083393F"/>
    <w:rsid w:val="00834522"/>
    <w:rsid w:val="00835CB8"/>
    <w:rsid w:val="008452E5"/>
    <w:rsid w:val="00846AFB"/>
    <w:rsid w:val="008478E2"/>
    <w:rsid w:val="00852A54"/>
    <w:rsid w:val="008800D6"/>
    <w:rsid w:val="00883424"/>
    <w:rsid w:val="00891828"/>
    <w:rsid w:val="00897D9D"/>
    <w:rsid w:val="008A2D86"/>
    <w:rsid w:val="008A4364"/>
    <w:rsid w:val="008B05B7"/>
    <w:rsid w:val="008B2B6E"/>
    <w:rsid w:val="008C4132"/>
    <w:rsid w:val="008C4A39"/>
    <w:rsid w:val="008D3CB8"/>
    <w:rsid w:val="008E6558"/>
    <w:rsid w:val="0092040F"/>
    <w:rsid w:val="00920D6E"/>
    <w:rsid w:val="009255DC"/>
    <w:rsid w:val="009276D7"/>
    <w:rsid w:val="0093673F"/>
    <w:rsid w:val="00944AC4"/>
    <w:rsid w:val="009460AA"/>
    <w:rsid w:val="009573ED"/>
    <w:rsid w:val="00961960"/>
    <w:rsid w:val="00961F02"/>
    <w:rsid w:val="00974A1E"/>
    <w:rsid w:val="00974C8C"/>
    <w:rsid w:val="00976A80"/>
    <w:rsid w:val="009961ED"/>
    <w:rsid w:val="009A7025"/>
    <w:rsid w:val="009B4DEA"/>
    <w:rsid w:val="009B66F1"/>
    <w:rsid w:val="009D04D6"/>
    <w:rsid w:val="009D1021"/>
    <w:rsid w:val="009D26F4"/>
    <w:rsid w:val="009E483B"/>
    <w:rsid w:val="009F3DE4"/>
    <w:rsid w:val="00A05FF7"/>
    <w:rsid w:val="00A23D0A"/>
    <w:rsid w:val="00A243A8"/>
    <w:rsid w:val="00A4720D"/>
    <w:rsid w:val="00A54EC3"/>
    <w:rsid w:val="00A605F8"/>
    <w:rsid w:val="00A636B9"/>
    <w:rsid w:val="00A70433"/>
    <w:rsid w:val="00A70C08"/>
    <w:rsid w:val="00A74BFE"/>
    <w:rsid w:val="00A83206"/>
    <w:rsid w:val="00A83DF0"/>
    <w:rsid w:val="00A84D72"/>
    <w:rsid w:val="00A91564"/>
    <w:rsid w:val="00A9300E"/>
    <w:rsid w:val="00A947E2"/>
    <w:rsid w:val="00AA0285"/>
    <w:rsid w:val="00AB4C9B"/>
    <w:rsid w:val="00AC2A6D"/>
    <w:rsid w:val="00AD083B"/>
    <w:rsid w:val="00AF7883"/>
    <w:rsid w:val="00B010C0"/>
    <w:rsid w:val="00B074FD"/>
    <w:rsid w:val="00B16BE4"/>
    <w:rsid w:val="00B210E0"/>
    <w:rsid w:val="00B2440E"/>
    <w:rsid w:val="00B246AB"/>
    <w:rsid w:val="00B27993"/>
    <w:rsid w:val="00B40E51"/>
    <w:rsid w:val="00B434E3"/>
    <w:rsid w:val="00B53E90"/>
    <w:rsid w:val="00B56BAA"/>
    <w:rsid w:val="00B64F0A"/>
    <w:rsid w:val="00B65FBB"/>
    <w:rsid w:val="00B67FD1"/>
    <w:rsid w:val="00B750AF"/>
    <w:rsid w:val="00BB6D71"/>
    <w:rsid w:val="00BC5DA8"/>
    <w:rsid w:val="00BE1B12"/>
    <w:rsid w:val="00BF0221"/>
    <w:rsid w:val="00C03277"/>
    <w:rsid w:val="00C14FE5"/>
    <w:rsid w:val="00C1544A"/>
    <w:rsid w:val="00C2029B"/>
    <w:rsid w:val="00C32371"/>
    <w:rsid w:val="00C4185D"/>
    <w:rsid w:val="00C42A2F"/>
    <w:rsid w:val="00C43CE6"/>
    <w:rsid w:val="00C53DDC"/>
    <w:rsid w:val="00C61D44"/>
    <w:rsid w:val="00C732AC"/>
    <w:rsid w:val="00C87C4B"/>
    <w:rsid w:val="00C95355"/>
    <w:rsid w:val="00C96EBF"/>
    <w:rsid w:val="00CE4B6F"/>
    <w:rsid w:val="00D21993"/>
    <w:rsid w:val="00D24067"/>
    <w:rsid w:val="00D27C77"/>
    <w:rsid w:val="00D317FF"/>
    <w:rsid w:val="00D416C6"/>
    <w:rsid w:val="00D46D91"/>
    <w:rsid w:val="00D5744E"/>
    <w:rsid w:val="00D66CE7"/>
    <w:rsid w:val="00D74107"/>
    <w:rsid w:val="00D80B6F"/>
    <w:rsid w:val="00D85682"/>
    <w:rsid w:val="00D92005"/>
    <w:rsid w:val="00D95AFC"/>
    <w:rsid w:val="00DA1111"/>
    <w:rsid w:val="00DA28AA"/>
    <w:rsid w:val="00DB4112"/>
    <w:rsid w:val="00DB4AE7"/>
    <w:rsid w:val="00DC090D"/>
    <w:rsid w:val="00DD68AC"/>
    <w:rsid w:val="00DE67E9"/>
    <w:rsid w:val="00DE715A"/>
    <w:rsid w:val="00DF7A4E"/>
    <w:rsid w:val="00E155D0"/>
    <w:rsid w:val="00E168D4"/>
    <w:rsid w:val="00E20DF1"/>
    <w:rsid w:val="00E2724F"/>
    <w:rsid w:val="00E302AA"/>
    <w:rsid w:val="00E3398F"/>
    <w:rsid w:val="00E36728"/>
    <w:rsid w:val="00E45707"/>
    <w:rsid w:val="00E577FB"/>
    <w:rsid w:val="00E61C49"/>
    <w:rsid w:val="00E8392E"/>
    <w:rsid w:val="00E84F4D"/>
    <w:rsid w:val="00E87218"/>
    <w:rsid w:val="00E903CB"/>
    <w:rsid w:val="00E90C5C"/>
    <w:rsid w:val="00E912E9"/>
    <w:rsid w:val="00E91876"/>
    <w:rsid w:val="00E9208E"/>
    <w:rsid w:val="00E971CB"/>
    <w:rsid w:val="00EA5A52"/>
    <w:rsid w:val="00EA6A18"/>
    <w:rsid w:val="00EB5BB8"/>
    <w:rsid w:val="00ED113F"/>
    <w:rsid w:val="00EE587D"/>
    <w:rsid w:val="00EF0F4F"/>
    <w:rsid w:val="00EF29E6"/>
    <w:rsid w:val="00EF6AA3"/>
    <w:rsid w:val="00F00C25"/>
    <w:rsid w:val="00F03BF2"/>
    <w:rsid w:val="00F059C4"/>
    <w:rsid w:val="00F22DE3"/>
    <w:rsid w:val="00F336C0"/>
    <w:rsid w:val="00F37527"/>
    <w:rsid w:val="00F4446B"/>
    <w:rsid w:val="00F44E92"/>
    <w:rsid w:val="00F45A6E"/>
    <w:rsid w:val="00F64B37"/>
    <w:rsid w:val="00F8785F"/>
    <w:rsid w:val="00F9105D"/>
    <w:rsid w:val="00F94DDD"/>
    <w:rsid w:val="00F95F39"/>
    <w:rsid w:val="00FA1B34"/>
    <w:rsid w:val="00FC6295"/>
    <w:rsid w:val="00FD281F"/>
    <w:rsid w:val="00FE1AFE"/>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3E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3E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8452E5"/>
    <w:pPr>
      <w:jc w:val="right"/>
    </w:pPr>
    <w:rPr>
      <w:rFonts w:ascii="Arial" w:hAnsi="Arial"/>
      <w:b/>
      <w:sz w:val="28"/>
      <w:szCs w:val="20"/>
    </w:rPr>
  </w:style>
  <w:style w:type="paragraph" w:customStyle="1" w:styleId="Cov-Title">
    <w:name w:val="Cov-Title"/>
    <w:basedOn w:val="Normal"/>
    <w:rsid w:val="008452E5"/>
    <w:pPr>
      <w:jc w:val="right"/>
    </w:pPr>
    <w:rPr>
      <w:rFonts w:ascii="Arial Black" w:hAnsi="Arial Black"/>
      <w:sz w:val="48"/>
      <w:szCs w:val="20"/>
    </w:rPr>
  </w:style>
  <w:style w:type="paragraph" w:customStyle="1" w:styleId="Cov-Author">
    <w:name w:val="Cov-Author"/>
    <w:basedOn w:val="Normal"/>
    <w:rsid w:val="008452E5"/>
    <w:pPr>
      <w:jc w:val="right"/>
    </w:pPr>
    <w:rPr>
      <w:rFonts w:ascii="Arial Black" w:hAnsi="Arial Black"/>
      <w:szCs w:val="20"/>
    </w:rPr>
  </w:style>
  <w:style w:type="paragraph" w:customStyle="1" w:styleId="Cov-Address">
    <w:name w:val="Cov-Address"/>
    <w:basedOn w:val="Normal"/>
    <w:rsid w:val="008452E5"/>
    <w:pPr>
      <w:jc w:val="right"/>
    </w:pPr>
    <w:rPr>
      <w:rFonts w:ascii="Arial" w:hAnsi="Arial"/>
      <w:szCs w:val="20"/>
    </w:rPr>
  </w:style>
  <w:style w:type="paragraph" w:customStyle="1" w:styleId="TOC0">
    <w:name w:val="TOC 0"/>
    <w:basedOn w:val="Normal"/>
    <w:rsid w:val="008452E5"/>
    <w:pPr>
      <w:spacing w:after="240"/>
      <w:jc w:val="center"/>
    </w:pPr>
    <w:rPr>
      <w:b/>
      <w:caps/>
      <w:sz w:val="28"/>
      <w:szCs w:val="20"/>
    </w:rPr>
  </w:style>
  <w:style w:type="paragraph" w:customStyle="1" w:styleId="Default">
    <w:name w:val="Default"/>
    <w:rsid w:val="008452E5"/>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ListParagraph">
    <w:name w:val="List Paragraph"/>
    <w:basedOn w:val="Normal"/>
    <w:uiPriority w:val="34"/>
    <w:qFormat/>
    <w:rsid w:val="008452E5"/>
    <w:pPr>
      <w:ind w:left="720"/>
      <w:contextualSpacing/>
    </w:pPr>
  </w:style>
  <w:style w:type="paragraph" w:styleId="ListNumber">
    <w:name w:val="List Number"/>
    <w:basedOn w:val="Normal"/>
    <w:unhideWhenUsed/>
    <w:rsid w:val="002A701B"/>
    <w:pPr>
      <w:numPr>
        <w:numId w:val="4"/>
      </w:numPr>
      <w:tabs>
        <w:tab w:val="clear" w:pos="360"/>
        <w:tab w:val="num" w:pos="1080"/>
      </w:tabs>
      <w:spacing w:after="120"/>
      <w:ind w:left="1080"/>
    </w:pPr>
  </w:style>
  <w:style w:type="character" w:styleId="CommentReference">
    <w:name w:val="annotation reference"/>
    <w:basedOn w:val="DefaultParagraphFont"/>
    <w:unhideWhenUsed/>
    <w:rsid w:val="002A701B"/>
    <w:rPr>
      <w:sz w:val="16"/>
      <w:szCs w:val="16"/>
    </w:rPr>
  </w:style>
  <w:style w:type="paragraph" w:styleId="CommentText">
    <w:name w:val="annotation text"/>
    <w:basedOn w:val="Normal"/>
    <w:link w:val="CommentTextChar"/>
    <w:uiPriority w:val="99"/>
    <w:semiHidden/>
    <w:unhideWhenUsed/>
    <w:rsid w:val="002A701B"/>
    <w:rPr>
      <w:sz w:val="20"/>
      <w:szCs w:val="20"/>
    </w:rPr>
  </w:style>
  <w:style w:type="character" w:customStyle="1" w:styleId="CommentTextChar">
    <w:name w:val="Comment Text Char"/>
    <w:basedOn w:val="DefaultParagraphFont"/>
    <w:link w:val="CommentText"/>
    <w:uiPriority w:val="99"/>
    <w:semiHidden/>
    <w:rsid w:val="002A70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01B"/>
    <w:rPr>
      <w:b/>
      <w:bCs/>
    </w:rPr>
  </w:style>
  <w:style w:type="character" w:customStyle="1" w:styleId="CommentSubjectChar">
    <w:name w:val="Comment Subject Char"/>
    <w:basedOn w:val="CommentTextChar"/>
    <w:link w:val="CommentSubject"/>
    <w:uiPriority w:val="99"/>
    <w:semiHidden/>
    <w:rsid w:val="002A70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01B"/>
    <w:rPr>
      <w:rFonts w:ascii="Segoe UI" w:eastAsia="Times New Roman" w:hAnsi="Segoe UI" w:cs="Segoe UI"/>
      <w:sz w:val="18"/>
      <w:szCs w:val="18"/>
    </w:rPr>
  </w:style>
  <w:style w:type="character" w:customStyle="1" w:styleId="A13">
    <w:name w:val="A13"/>
    <w:uiPriority w:val="99"/>
    <w:rsid w:val="002A701B"/>
    <w:rPr>
      <w:rFonts w:cs="ITC Franklin Gothic Std Book"/>
      <w:color w:val="000000"/>
    </w:rPr>
  </w:style>
  <w:style w:type="character" w:customStyle="1" w:styleId="Heading1Char">
    <w:name w:val="Heading 1 Char"/>
    <w:basedOn w:val="DefaultParagraphFont"/>
    <w:link w:val="Heading1"/>
    <w:uiPriority w:val="9"/>
    <w:rsid w:val="002B3E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B3E95"/>
    <w:pPr>
      <w:spacing w:line="259" w:lineRule="auto"/>
      <w:outlineLvl w:val="9"/>
    </w:pPr>
  </w:style>
  <w:style w:type="character" w:customStyle="1" w:styleId="Heading2Char">
    <w:name w:val="Heading 2 Char"/>
    <w:basedOn w:val="DefaultParagraphFont"/>
    <w:link w:val="Heading2"/>
    <w:uiPriority w:val="9"/>
    <w:rsid w:val="002B3E9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20DF1"/>
    <w:pPr>
      <w:tabs>
        <w:tab w:val="left" w:pos="660"/>
        <w:tab w:val="right" w:leader="dot" w:pos="9350"/>
      </w:tabs>
      <w:spacing w:after="100"/>
    </w:pPr>
  </w:style>
  <w:style w:type="paragraph" w:styleId="TOC2">
    <w:name w:val="toc 2"/>
    <w:basedOn w:val="Normal"/>
    <w:next w:val="Normal"/>
    <w:autoRedefine/>
    <w:uiPriority w:val="39"/>
    <w:unhideWhenUsed/>
    <w:rsid w:val="002B3E95"/>
    <w:pPr>
      <w:spacing w:after="100"/>
      <w:ind w:left="240"/>
    </w:pPr>
  </w:style>
  <w:style w:type="character" w:styleId="Hyperlink">
    <w:name w:val="Hyperlink"/>
    <w:basedOn w:val="DefaultParagraphFont"/>
    <w:uiPriority w:val="99"/>
    <w:unhideWhenUsed/>
    <w:rsid w:val="002B3E95"/>
    <w:rPr>
      <w:color w:val="0563C1" w:themeColor="hyperlink"/>
      <w:u w:val="single"/>
    </w:rPr>
  </w:style>
  <w:style w:type="paragraph" w:customStyle="1" w:styleId="BodyText1">
    <w:name w:val="Body Text1"/>
    <w:basedOn w:val="Normal"/>
    <w:link w:val="bodytextChar"/>
    <w:rsid w:val="00C32371"/>
    <w:pPr>
      <w:spacing w:after="120" w:line="360" w:lineRule="auto"/>
      <w:ind w:firstLine="720"/>
    </w:pPr>
    <w:rPr>
      <w:rFonts w:eastAsia="MS Mincho"/>
      <w:szCs w:val="20"/>
    </w:rPr>
  </w:style>
  <w:style w:type="character" w:customStyle="1" w:styleId="bodytextChar">
    <w:name w:val="body text Char"/>
    <w:link w:val="BodyText1"/>
    <w:rsid w:val="00C32371"/>
    <w:rPr>
      <w:rFonts w:ascii="Times New Roman" w:eastAsia="MS Mincho" w:hAnsi="Times New Roman" w:cs="Times New Roman"/>
      <w:sz w:val="24"/>
      <w:szCs w:val="20"/>
    </w:rPr>
  </w:style>
  <w:style w:type="table" w:styleId="TableGrid">
    <w:name w:val="Table Grid"/>
    <w:basedOn w:val="TableNormal"/>
    <w:uiPriority w:val="59"/>
    <w:rsid w:val="008B05B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qFormat/>
    <w:rsid w:val="008B05B7"/>
    <w:pPr>
      <w:keepNext/>
      <w:spacing w:before="80" w:after="80" w:line="240" w:lineRule="auto"/>
      <w:jc w:val="center"/>
    </w:pPr>
    <w:rPr>
      <w:rFonts w:ascii="Times New Roman" w:eastAsia="Times New Roman" w:hAnsi="Times New Roman" w:cs="Times New Roman"/>
      <w:b/>
      <w:szCs w:val="20"/>
    </w:rPr>
  </w:style>
  <w:style w:type="paragraph" w:customStyle="1" w:styleId="TableText">
    <w:name w:val="Table Text"/>
    <w:basedOn w:val="Normal"/>
    <w:qFormat/>
    <w:rsid w:val="008B05B7"/>
    <w:pPr>
      <w:spacing w:before="60" w:after="60"/>
    </w:pPr>
    <w:rPr>
      <w:rFonts w:eastAsia="MS Mincho"/>
      <w:sz w:val="22"/>
      <w:szCs w:val="20"/>
    </w:rPr>
  </w:style>
  <w:style w:type="paragraph" w:customStyle="1" w:styleId="TableTitle">
    <w:name w:val="Table Title"/>
    <w:basedOn w:val="Normal"/>
    <w:rsid w:val="008B05B7"/>
    <w:pPr>
      <w:keepNext/>
      <w:keepLines/>
      <w:spacing w:before="240" w:after="240"/>
      <w:ind w:left="1080" w:hanging="1080"/>
    </w:pPr>
    <w:rPr>
      <w:b/>
      <w:bCs/>
      <w:szCs w:val="20"/>
    </w:rPr>
  </w:style>
  <w:style w:type="character" w:customStyle="1" w:styleId="Heading3Char">
    <w:name w:val="Heading 3 Char"/>
    <w:basedOn w:val="DefaultParagraphFont"/>
    <w:link w:val="Heading3"/>
    <w:uiPriority w:val="9"/>
    <w:semiHidden/>
    <w:rsid w:val="008B05B7"/>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835CB8"/>
    <w:rPr>
      <w:sz w:val="20"/>
      <w:szCs w:val="20"/>
    </w:rPr>
  </w:style>
  <w:style w:type="character" w:customStyle="1" w:styleId="EndnoteTextChar">
    <w:name w:val="Endnote Text Char"/>
    <w:basedOn w:val="DefaultParagraphFont"/>
    <w:link w:val="EndnoteText"/>
    <w:uiPriority w:val="99"/>
    <w:semiHidden/>
    <w:rsid w:val="00835C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CB8"/>
    <w:rPr>
      <w:vertAlign w:val="superscript"/>
    </w:rPr>
  </w:style>
  <w:style w:type="paragraph" w:customStyle="1" w:styleId="FigureTitle">
    <w:name w:val="Figure Title"/>
    <w:basedOn w:val="Normal"/>
    <w:rsid w:val="00625859"/>
    <w:pPr>
      <w:keepNext/>
      <w:keepLines/>
      <w:spacing w:line="480" w:lineRule="auto"/>
    </w:pPr>
    <w:rPr>
      <w:b/>
      <w:szCs w:val="20"/>
    </w:rPr>
  </w:style>
  <w:style w:type="paragraph" w:styleId="Header">
    <w:name w:val="header"/>
    <w:basedOn w:val="Normal"/>
    <w:link w:val="HeaderChar"/>
    <w:uiPriority w:val="99"/>
    <w:rsid w:val="00E577FB"/>
    <w:pPr>
      <w:tabs>
        <w:tab w:val="center" w:pos="4320"/>
        <w:tab w:val="right" w:pos="8640"/>
      </w:tabs>
    </w:pPr>
    <w:rPr>
      <w:szCs w:val="20"/>
    </w:rPr>
  </w:style>
  <w:style w:type="character" w:customStyle="1" w:styleId="HeaderChar">
    <w:name w:val="Header Char"/>
    <w:basedOn w:val="DefaultParagraphFont"/>
    <w:link w:val="Header"/>
    <w:uiPriority w:val="99"/>
    <w:rsid w:val="00E577FB"/>
    <w:rPr>
      <w:rFonts w:ascii="Times New Roman" w:eastAsia="Times New Roman" w:hAnsi="Times New Roman" w:cs="Times New Roman"/>
      <w:sz w:val="24"/>
      <w:szCs w:val="20"/>
    </w:rPr>
  </w:style>
  <w:style w:type="paragraph" w:customStyle="1" w:styleId="biblio">
    <w:name w:val="biblio"/>
    <w:basedOn w:val="Normal"/>
    <w:link w:val="biblioChar"/>
    <w:rsid w:val="00377EAD"/>
    <w:pPr>
      <w:keepLines/>
      <w:numPr>
        <w:numId w:val="13"/>
      </w:numPr>
      <w:tabs>
        <w:tab w:val="clear" w:pos="720"/>
      </w:tabs>
      <w:spacing w:after="240"/>
      <w:ind w:hanging="720"/>
    </w:pPr>
  </w:style>
  <w:style w:type="character" w:customStyle="1" w:styleId="journalname">
    <w:name w:val="journalname"/>
    <w:basedOn w:val="DefaultParagraphFont"/>
    <w:rsid w:val="0062573D"/>
  </w:style>
  <w:style w:type="character" w:customStyle="1" w:styleId="biblioChar">
    <w:name w:val="biblio Char"/>
    <w:basedOn w:val="DefaultParagraphFont"/>
    <w:link w:val="biblio"/>
    <w:locked/>
    <w:rsid w:val="0062573D"/>
    <w:rPr>
      <w:rFonts w:ascii="Times New Roman" w:eastAsia="Times New Roman" w:hAnsi="Times New Roman" w:cs="Times New Roman"/>
      <w:sz w:val="24"/>
      <w:szCs w:val="24"/>
    </w:rPr>
  </w:style>
  <w:style w:type="paragraph" w:styleId="BodyText">
    <w:name w:val="Body Text"/>
    <w:basedOn w:val="Normal"/>
    <w:link w:val="BodyTextChar0"/>
    <w:rsid w:val="002F0CA6"/>
    <w:pPr>
      <w:spacing w:after="240"/>
      <w:jc w:val="both"/>
    </w:pPr>
    <w:rPr>
      <w:rFonts w:ascii="Arial Narrow" w:hAnsi="Arial Narrow"/>
      <w:lang w:val="x-none" w:eastAsia="x-none"/>
    </w:rPr>
  </w:style>
  <w:style w:type="character" w:customStyle="1" w:styleId="BodyTextChar0">
    <w:name w:val="Body Text Char"/>
    <w:basedOn w:val="DefaultParagraphFont"/>
    <w:link w:val="BodyText"/>
    <w:rsid w:val="002F0CA6"/>
    <w:rPr>
      <w:rFonts w:ascii="Arial Narrow" w:eastAsia="Times New Roman" w:hAnsi="Arial Narrow" w:cs="Times New Roman"/>
      <w:sz w:val="24"/>
      <w:szCs w:val="24"/>
      <w:lang w:val="x-none" w:eastAsia="x-none"/>
    </w:rPr>
  </w:style>
  <w:style w:type="paragraph" w:customStyle="1" w:styleId="bodytextCharCharChar">
    <w:name w:val="body text Char Char Char"/>
    <w:aliases w:val="bt Char Char Char,body tx Char Char Char,indent Char Char Char,flush Char Char Char"/>
    <w:basedOn w:val="Normal"/>
    <w:uiPriority w:val="99"/>
    <w:rsid w:val="000E6544"/>
    <w:pPr>
      <w:spacing w:after="240"/>
      <w:ind w:firstLine="720"/>
    </w:pPr>
  </w:style>
  <w:style w:type="paragraph" w:styleId="Revision">
    <w:name w:val="Revision"/>
    <w:hidden/>
    <w:uiPriority w:val="99"/>
    <w:semiHidden/>
    <w:rsid w:val="00D416C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185D"/>
    <w:rPr>
      <w:color w:val="954F72" w:themeColor="followedHyperlink"/>
      <w:u w:val="single"/>
    </w:rPr>
  </w:style>
  <w:style w:type="paragraph" w:styleId="ListBullet">
    <w:name w:val="List Bullet"/>
    <w:basedOn w:val="Normal"/>
    <w:rsid w:val="00266EFF"/>
    <w:pPr>
      <w:numPr>
        <w:numId w:val="19"/>
      </w:numPr>
      <w:spacing w:after="160"/>
    </w:pPr>
    <w:rPr>
      <w:rFonts w:ascii="Verdana" w:eastAsia="MS Mincho" w:hAnsi="Verdana"/>
      <w:sz w:val="20"/>
      <w:szCs w:val="20"/>
    </w:rPr>
  </w:style>
  <w:style w:type="paragraph" w:styleId="ListBullet3">
    <w:name w:val="List Bullet 3"/>
    <w:basedOn w:val="Normal"/>
    <w:rsid w:val="00266EFF"/>
    <w:pPr>
      <w:numPr>
        <w:numId w:val="20"/>
      </w:numPr>
      <w:spacing w:after="120"/>
    </w:pPr>
    <w:rPr>
      <w:rFonts w:ascii="Verdana" w:eastAsia="MS Mincho" w:hAnsi="Verdana"/>
      <w:sz w:val="20"/>
      <w:szCs w:val="20"/>
    </w:rPr>
  </w:style>
  <w:style w:type="character" w:styleId="Emphasis">
    <w:name w:val="Emphasis"/>
    <w:basedOn w:val="DefaultParagraphFont"/>
    <w:uiPriority w:val="20"/>
    <w:qFormat/>
    <w:rsid w:val="00C95355"/>
    <w:rPr>
      <w:i/>
      <w:iCs/>
    </w:rPr>
  </w:style>
  <w:style w:type="character" w:customStyle="1" w:styleId="slug-doi">
    <w:name w:val="slug-doi"/>
    <w:basedOn w:val="DefaultParagraphFont"/>
    <w:rsid w:val="00C95355"/>
  </w:style>
  <w:style w:type="character" w:styleId="HTMLCite">
    <w:name w:val="HTML Cite"/>
    <w:basedOn w:val="DefaultParagraphFont"/>
    <w:uiPriority w:val="99"/>
    <w:unhideWhenUsed/>
    <w:rsid w:val="00C95355"/>
    <w:rPr>
      <w:i/>
      <w:iCs/>
    </w:rPr>
  </w:style>
  <w:style w:type="character" w:customStyle="1" w:styleId="slug-pub-date">
    <w:name w:val="slug-pub-date"/>
    <w:basedOn w:val="DefaultParagraphFont"/>
    <w:rsid w:val="00C95355"/>
  </w:style>
  <w:style w:type="character" w:customStyle="1" w:styleId="slug-vol">
    <w:name w:val="slug-vol"/>
    <w:basedOn w:val="DefaultParagraphFont"/>
    <w:rsid w:val="00C95355"/>
  </w:style>
  <w:style w:type="character" w:customStyle="1" w:styleId="slug-pages">
    <w:name w:val="slug-pages"/>
    <w:basedOn w:val="DefaultParagraphFont"/>
    <w:rsid w:val="00C95355"/>
  </w:style>
  <w:style w:type="character" w:customStyle="1" w:styleId="slug-metadata-note">
    <w:name w:val="slug-metadata-note"/>
    <w:basedOn w:val="DefaultParagraphFont"/>
    <w:rsid w:val="00C95355"/>
  </w:style>
  <w:style w:type="character" w:customStyle="1" w:styleId="slug-ahead-of-print-date">
    <w:name w:val="slug-ahead-of-print-date"/>
    <w:basedOn w:val="DefaultParagraphFont"/>
    <w:rsid w:val="00C95355"/>
  </w:style>
  <w:style w:type="paragraph" w:styleId="Bibliography">
    <w:name w:val="Bibliography"/>
    <w:basedOn w:val="Normal"/>
    <w:next w:val="Normal"/>
    <w:uiPriority w:val="37"/>
    <w:semiHidden/>
    <w:unhideWhenUsed/>
    <w:rsid w:val="00C95355"/>
  </w:style>
  <w:style w:type="paragraph" w:customStyle="1" w:styleId="biblio-entry">
    <w:name w:val="biblio-entry"/>
    <w:basedOn w:val="Normal"/>
    <w:rsid w:val="00C95355"/>
    <w:pPr>
      <w:keepLines/>
      <w:spacing w:after="240"/>
      <w:ind w:left="720" w:hanging="720"/>
    </w:pPr>
    <w:rPr>
      <w:rFonts w:eastAsia="SimSun"/>
      <w:sz w:val="22"/>
      <w:szCs w:val="22"/>
      <w:lang w:eastAsia="zh-CN"/>
    </w:rPr>
  </w:style>
  <w:style w:type="paragraph" w:customStyle="1" w:styleId="BodyTextaft-12">
    <w:name w:val="Body Text_aft-12"/>
    <w:basedOn w:val="Normal"/>
    <w:qFormat/>
    <w:rsid w:val="007D0768"/>
    <w:pPr>
      <w:spacing w:before="120" w:after="120"/>
    </w:pPr>
    <w:rPr>
      <w:sz w:val="22"/>
      <w:szCs w:val="20"/>
    </w:rPr>
  </w:style>
  <w:style w:type="paragraph" w:styleId="Footer">
    <w:name w:val="footer"/>
    <w:basedOn w:val="Normal"/>
    <w:link w:val="FooterChar"/>
    <w:uiPriority w:val="99"/>
    <w:unhideWhenUsed/>
    <w:rsid w:val="00A83DF0"/>
    <w:pPr>
      <w:tabs>
        <w:tab w:val="center" w:pos="4680"/>
        <w:tab w:val="right" w:pos="9360"/>
      </w:tabs>
    </w:pPr>
  </w:style>
  <w:style w:type="character" w:customStyle="1" w:styleId="FooterChar">
    <w:name w:val="Footer Char"/>
    <w:basedOn w:val="DefaultParagraphFont"/>
    <w:link w:val="Footer"/>
    <w:uiPriority w:val="99"/>
    <w:rsid w:val="00A83D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3E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3E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8452E5"/>
    <w:pPr>
      <w:jc w:val="right"/>
    </w:pPr>
    <w:rPr>
      <w:rFonts w:ascii="Arial" w:hAnsi="Arial"/>
      <w:b/>
      <w:sz w:val="28"/>
      <w:szCs w:val="20"/>
    </w:rPr>
  </w:style>
  <w:style w:type="paragraph" w:customStyle="1" w:styleId="Cov-Title">
    <w:name w:val="Cov-Title"/>
    <w:basedOn w:val="Normal"/>
    <w:rsid w:val="008452E5"/>
    <w:pPr>
      <w:jc w:val="right"/>
    </w:pPr>
    <w:rPr>
      <w:rFonts w:ascii="Arial Black" w:hAnsi="Arial Black"/>
      <w:sz w:val="48"/>
      <w:szCs w:val="20"/>
    </w:rPr>
  </w:style>
  <w:style w:type="paragraph" w:customStyle="1" w:styleId="Cov-Author">
    <w:name w:val="Cov-Author"/>
    <w:basedOn w:val="Normal"/>
    <w:rsid w:val="008452E5"/>
    <w:pPr>
      <w:jc w:val="right"/>
    </w:pPr>
    <w:rPr>
      <w:rFonts w:ascii="Arial Black" w:hAnsi="Arial Black"/>
      <w:szCs w:val="20"/>
    </w:rPr>
  </w:style>
  <w:style w:type="paragraph" w:customStyle="1" w:styleId="Cov-Address">
    <w:name w:val="Cov-Address"/>
    <w:basedOn w:val="Normal"/>
    <w:rsid w:val="008452E5"/>
    <w:pPr>
      <w:jc w:val="right"/>
    </w:pPr>
    <w:rPr>
      <w:rFonts w:ascii="Arial" w:hAnsi="Arial"/>
      <w:szCs w:val="20"/>
    </w:rPr>
  </w:style>
  <w:style w:type="paragraph" w:customStyle="1" w:styleId="TOC0">
    <w:name w:val="TOC 0"/>
    <w:basedOn w:val="Normal"/>
    <w:rsid w:val="008452E5"/>
    <w:pPr>
      <w:spacing w:after="240"/>
      <w:jc w:val="center"/>
    </w:pPr>
    <w:rPr>
      <w:b/>
      <w:caps/>
      <w:sz w:val="28"/>
      <w:szCs w:val="20"/>
    </w:rPr>
  </w:style>
  <w:style w:type="paragraph" w:customStyle="1" w:styleId="Default">
    <w:name w:val="Default"/>
    <w:rsid w:val="008452E5"/>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ListParagraph">
    <w:name w:val="List Paragraph"/>
    <w:basedOn w:val="Normal"/>
    <w:uiPriority w:val="34"/>
    <w:qFormat/>
    <w:rsid w:val="008452E5"/>
    <w:pPr>
      <w:ind w:left="720"/>
      <w:contextualSpacing/>
    </w:pPr>
  </w:style>
  <w:style w:type="paragraph" w:styleId="ListNumber">
    <w:name w:val="List Number"/>
    <w:basedOn w:val="Normal"/>
    <w:unhideWhenUsed/>
    <w:rsid w:val="002A701B"/>
    <w:pPr>
      <w:numPr>
        <w:numId w:val="4"/>
      </w:numPr>
      <w:tabs>
        <w:tab w:val="clear" w:pos="360"/>
        <w:tab w:val="num" w:pos="1080"/>
      </w:tabs>
      <w:spacing w:after="120"/>
      <w:ind w:left="1080"/>
    </w:pPr>
  </w:style>
  <w:style w:type="character" w:styleId="CommentReference">
    <w:name w:val="annotation reference"/>
    <w:basedOn w:val="DefaultParagraphFont"/>
    <w:unhideWhenUsed/>
    <w:rsid w:val="002A701B"/>
    <w:rPr>
      <w:sz w:val="16"/>
      <w:szCs w:val="16"/>
    </w:rPr>
  </w:style>
  <w:style w:type="paragraph" w:styleId="CommentText">
    <w:name w:val="annotation text"/>
    <w:basedOn w:val="Normal"/>
    <w:link w:val="CommentTextChar"/>
    <w:uiPriority w:val="99"/>
    <w:semiHidden/>
    <w:unhideWhenUsed/>
    <w:rsid w:val="002A701B"/>
    <w:rPr>
      <w:sz w:val="20"/>
      <w:szCs w:val="20"/>
    </w:rPr>
  </w:style>
  <w:style w:type="character" w:customStyle="1" w:styleId="CommentTextChar">
    <w:name w:val="Comment Text Char"/>
    <w:basedOn w:val="DefaultParagraphFont"/>
    <w:link w:val="CommentText"/>
    <w:uiPriority w:val="99"/>
    <w:semiHidden/>
    <w:rsid w:val="002A70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01B"/>
    <w:rPr>
      <w:b/>
      <w:bCs/>
    </w:rPr>
  </w:style>
  <w:style w:type="character" w:customStyle="1" w:styleId="CommentSubjectChar">
    <w:name w:val="Comment Subject Char"/>
    <w:basedOn w:val="CommentTextChar"/>
    <w:link w:val="CommentSubject"/>
    <w:uiPriority w:val="99"/>
    <w:semiHidden/>
    <w:rsid w:val="002A70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01B"/>
    <w:rPr>
      <w:rFonts w:ascii="Segoe UI" w:eastAsia="Times New Roman" w:hAnsi="Segoe UI" w:cs="Segoe UI"/>
      <w:sz w:val="18"/>
      <w:szCs w:val="18"/>
    </w:rPr>
  </w:style>
  <w:style w:type="character" w:customStyle="1" w:styleId="A13">
    <w:name w:val="A13"/>
    <w:uiPriority w:val="99"/>
    <w:rsid w:val="002A701B"/>
    <w:rPr>
      <w:rFonts w:cs="ITC Franklin Gothic Std Book"/>
      <w:color w:val="000000"/>
    </w:rPr>
  </w:style>
  <w:style w:type="character" w:customStyle="1" w:styleId="Heading1Char">
    <w:name w:val="Heading 1 Char"/>
    <w:basedOn w:val="DefaultParagraphFont"/>
    <w:link w:val="Heading1"/>
    <w:uiPriority w:val="9"/>
    <w:rsid w:val="002B3E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B3E95"/>
    <w:pPr>
      <w:spacing w:line="259" w:lineRule="auto"/>
      <w:outlineLvl w:val="9"/>
    </w:pPr>
  </w:style>
  <w:style w:type="character" w:customStyle="1" w:styleId="Heading2Char">
    <w:name w:val="Heading 2 Char"/>
    <w:basedOn w:val="DefaultParagraphFont"/>
    <w:link w:val="Heading2"/>
    <w:uiPriority w:val="9"/>
    <w:rsid w:val="002B3E9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20DF1"/>
    <w:pPr>
      <w:tabs>
        <w:tab w:val="left" w:pos="660"/>
        <w:tab w:val="right" w:leader="dot" w:pos="9350"/>
      </w:tabs>
      <w:spacing w:after="100"/>
    </w:pPr>
  </w:style>
  <w:style w:type="paragraph" w:styleId="TOC2">
    <w:name w:val="toc 2"/>
    <w:basedOn w:val="Normal"/>
    <w:next w:val="Normal"/>
    <w:autoRedefine/>
    <w:uiPriority w:val="39"/>
    <w:unhideWhenUsed/>
    <w:rsid w:val="002B3E95"/>
    <w:pPr>
      <w:spacing w:after="100"/>
      <w:ind w:left="240"/>
    </w:pPr>
  </w:style>
  <w:style w:type="character" w:styleId="Hyperlink">
    <w:name w:val="Hyperlink"/>
    <w:basedOn w:val="DefaultParagraphFont"/>
    <w:uiPriority w:val="99"/>
    <w:unhideWhenUsed/>
    <w:rsid w:val="002B3E95"/>
    <w:rPr>
      <w:color w:val="0563C1" w:themeColor="hyperlink"/>
      <w:u w:val="single"/>
    </w:rPr>
  </w:style>
  <w:style w:type="paragraph" w:customStyle="1" w:styleId="BodyText1">
    <w:name w:val="Body Text1"/>
    <w:basedOn w:val="Normal"/>
    <w:link w:val="bodytextChar"/>
    <w:rsid w:val="00C32371"/>
    <w:pPr>
      <w:spacing w:after="120" w:line="360" w:lineRule="auto"/>
      <w:ind w:firstLine="720"/>
    </w:pPr>
    <w:rPr>
      <w:rFonts w:eastAsia="MS Mincho"/>
      <w:szCs w:val="20"/>
    </w:rPr>
  </w:style>
  <w:style w:type="character" w:customStyle="1" w:styleId="bodytextChar">
    <w:name w:val="body text Char"/>
    <w:link w:val="BodyText1"/>
    <w:rsid w:val="00C32371"/>
    <w:rPr>
      <w:rFonts w:ascii="Times New Roman" w:eastAsia="MS Mincho" w:hAnsi="Times New Roman" w:cs="Times New Roman"/>
      <w:sz w:val="24"/>
      <w:szCs w:val="20"/>
    </w:rPr>
  </w:style>
  <w:style w:type="table" w:styleId="TableGrid">
    <w:name w:val="Table Grid"/>
    <w:basedOn w:val="TableNormal"/>
    <w:uiPriority w:val="59"/>
    <w:rsid w:val="008B05B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qFormat/>
    <w:rsid w:val="008B05B7"/>
    <w:pPr>
      <w:keepNext/>
      <w:spacing w:before="80" w:after="80" w:line="240" w:lineRule="auto"/>
      <w:jc w:val="center"/>
    </w:pPr>
    <w:rPr>
      <w:rFonts w:ascii="Times New Roman" w:eastAsia="Times New Roman" w:hAnsi="Times New Roman" w:cs="Times New Roman"/>
      <w:b/>
      <w:szCs w:val="20"/>
    </w:rPr>
  </w:style>
  <w:style w:type="paragraph" w:customStyle="1" w:styleId="TableText">
    <w:name w:val="Table Text"/>
    <w:basedOn w:val="Normal"/>
    <w:qFormat/>
    <w:rsid w:val="008B05B7"/>
    <w:pPr>
      <w:spacing w:before="60" w:after="60"/>
    </w:pPr>
    <w:rPr>
      <w:rFonts w:eastAsia="MS Mincho"/>
      <w:sz w:val="22"/>
      <w:szCs w:val="20"/>
    </w:rPr>
  </w:style>
  <w:style w:type="paragraph" w:customStyle="1" w:styleId="TableTitle">
    <w:name w:val="Table Title"/>
    <w:basedOn w:val="Normal"/>
    <w:rsid w:val="008B05B7"/>
    <w:pPr>
      <w:keepNext/>
      <w:keepLines/>
      <w:spacing w:before="240" w:after="240"/>
      <w:ind w:left="1080" w:hanging="1080"/>
    </w:pPr>
    <w:rPr>
      <w:b/>
      <w:bCs/>
      <w:szCs w:val="20"/>
    </w:rPr>
  </w:style>
  <w:style w:type="character" w:customStyle="1" w:styleId="Heading3Char">
    <w:name w:val="Heading 3 Char"/>
    <w:basedOn w:val="DefaultParagraphFont"/>
    <w:link w:val="Heading3"/>
    <w:uiPriority w:val="9"/>
    <w:semiHidden/>
    <w:rsid w:val="008B05B7"/>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835CB8"/>
    <w:rPr>
      <w:sz w:val="20"/>
      <w:szCs w:val="20"/>
    </w:rPr>
  </w:style>
  <w:style w:type="character" w:customStyle="1" w:styleId="EndnoteTextChar">
    <w:name w:val="Endnote Text Char"/>
    <w:basedOn w:val="DefaultParagraphFont"/>
    <w:link w:val="EndnoteText"/>
    <w:uiPriority w:val="99"/>
    <w:semiHidden/>
    <w:rsid w:val="00835C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CB8"/>
    <w:rPr>
      <w:vertAlign w:val="superscript"/>
    </w:rPr>
  </w:style>
  <w:style w:type="paragraph" w:customStyle="1" w:styleId="FigureTitle">
    <w:name w:val="Figure Title"/>
    <w:basedOn w:val="Normal"/>
    <w:rsid w:val="00625859"/>
    <w:pPr>
      <w:keepNext/>
      <w:keepLines/>
      <w:spacing w:line="480" w:lineRule="auto"/>
    </w:pPr>
    <w:rPr>
      <w:b/>
      <w:szCs w:val="20"/>
    </w:rPr>
  </w:style>
  <w:style w:type="paragraph" w:styleId="Header">
    <w:name w:val="header"/>
    <w:basedOn w:val="Normal"/>
    <w:link w:val="HeaderChar"/>
    <w:uiPriority w:val="99"/>
    <w:rsid w:val="00E577FB"/>
    <w:pPr>
      <w:tabs>
        <w:tab w:val="center" w:pos="4320"/>
        <w:tab w:val="right" w:pos="8640"/>
      </w:tabs>
    </w:pPr>
    <w:rPr>
      <w:szCs w:val="20"/>
    </w:rPr>
  </w:style>
  <w:style w:type="character" w:customStyle="1" w:styleId="HeaderChar">
    <w:name w:val="Header Char"/>
    <w:basedOn w:val="DefaultParagraphFont"/>
    <w:link w:val="Header"/>
    <w:uiPriority w:val="99"/>
    <w:rsid w:val="00E577FB"/>
    <w:rPr>
      <w:rFonts w:ascii="Times New Roman" w:eastAsia="Times New Roman" w:hAnsi="Times New Roman" w:cs="Times New Roman"/>
      <w:sz w:val="24"/>
      <w:szCs w:val="20"/>
    </w:rPr>
  </w:style>
  <w:style w:type="paragraph" w:customStyle="1" w:styleId="biblio">
    <w:name w:val="biblio"/>
    <w:basedOn w:val="Normal"/>
    <w:link w:val="biblioChar"/>
    <w:rsid w:val="00377EAD"/>
    <w:pPr>
      <w:keepLines/>
      <w:numPr>
        <w:numId w:val="13"/>
      </w:numPr>
      <w:tabs>
        <w:tab w:val="clear" w:pos="720"/>
      </w:tabs>
      <w:spacing w:after="240"/>
      <w:ind w:hanging="720"/>
    </w:pPr>
  </w:style>
  <w:style w:type="character" w:customStyle="1" w:styleId="journalname">
    <w:name w:val="journalname"/>
    <w:basedOn w:val="DefaultParagraphFont"/>
    <w:rsid w:val="0062573D"/>
  </w:style>
  <w:style w:type="character" w:customStyle="1" w:styleId="biblioChar">
    <w:name w:val="biblio Char"/>
    <w:basedOn w:val="DefaultParagraphFont"/>
    <w:link w:val="biblio"/>
    <w:locked/>
    <w:rsid w:val="0062573D"/>
    <w:rPr>
      <w:rFonts w:ascii="Times New Roman" w:eastAsia="Times New Roman" w:hAnsi="Times New Roman" w:cs="Times New Roman"/>
      <w:sz w:val="24"/>
      <w:szCs w:val="24"/>
    </w:rPr>
  </w:style>
  <w:style w:type="paragraph" w:styleId="BodyText">
    <w:name w:val="Body Text"/>
    <w:basedOn w:val="Normal"/>
    <w:link w:val="BodyTextChar0"/>
    <w:rsid w:val="002F0CA6"/>
    <w:pPr>
      <w:spacing w:after="240"/>
      <w:jc w:val="both"/>
    </w:pPr>
    <w:rPr>
      <w:rFonts w:ascii="Arial Narrow" w:hAnsi="Arial Narrow"/>
      <w:lang w:val="x-none" w:eastAsia="x-none"/>
    </w:rPr>
  </w:style>
  <w:style w:type="character" w:customStyle="1" w:styleId="BodyTextChar0">
    <w:name w:val="Body Text Char"/>
    <w:basedOn w:val="DefaultParagraphFont"/>
    <w:link w:val="BodyText"/>
    <w:rsid w:val="002F0CA6"/>
    <w:rPr>
      <w:rFonts w:ascii="Arial Narrow" w:eastAsia="Times New Roman" w:hAnsi="Arial Narrow" w:cs="Times New Roman"/>
      <w:sz w:val="24"/>
      <w:szCs w:val="24"/>
      <w:lang w:val="x-none" w:eastAsia="x-none"/>
    </w:rPr>
  </w:style>
  <w:style w:type="paragraph" w:customStyle="1" w:styleId="bodytextCharCharChar">
    <w:name w:val="body text Char Char Char"/>
    <w:aliases w:val="bt Char Char Char,body tx Char Char Char,indent Char Char Char,flush Char Char Char"/>
    <w:basedOn w:val="Normal"/>
    <w:uiPriority w:val="99"/>
    <w:rsid w:val="000E6544"/>
    <w:pPr>
      <w:spacing w:after="240"/>
      <w:ind w:firstLine="720"/>
    </w:pPr>
  </w:style>
  <w:style w:type="paragraph" w:styleId="Revision">
    <w:name w:val="Revision"/>
    <w:hidden/>
    <w:uiPriority w:val="99"/>
    <w:semiHidden/>
    <w:rsid w:val="00D416C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185D"/>
    <w:rPr>
      <w:color w:val="954F72" w:themeColor="followedHyperlink"/>
      <w:u w:val="single"/>
    </w:rPr>
  </w:style>
  <w:style w:type="paragraph" w:styleId="ListBullet">
    <w:name w:val="List Bullet"/>
    <w:basedOn w:val="Normal"/>
    <w:rsid w:val="00266EFF"/>
    <w:pPr>
      <w:numPr>
        <w:numId w:val="19"/>
      </w:numPr>
      <w:spacing w:after="160"/>
    </w:pPr>
    <w:rPr>
      <w:rFonts w:ascii="Verdana" w:eastAsia="MS Mincho" w:hAnsi="Verdana"/>
      <w:sz w:val="20"/>
      <w:szCs w:val="20"/>
    </w:rPr>
  </w:style>
  <w:style w:type="paragraph" w:styleId="ListBullet3">
    <w:name w:val="List Bullet 3"/>
    <w:basedOn w:val="Normal"/>
    <w:rsid w:val="00266EFF"/>
    <w:pPr>
      <w:numPr>
        <w:numId w:val="20"/>
      </w:numPr>
      <w:spacing w:after="120"/>
    </w:pPr>
    <w:rPr>
      <w:rFonts w:ascii="Verdana" w:eastAsia="MS Mincho" w:hAnsi="Verdana"/>
      <w:sz w:val="20"/>
      <w:szCs w:val="20"/>
    </w:rPr>
  </w:style>
  <w:style w:type="character" w:styleId="Emphasis">
    <w:name w:val="Emphasis"/>
    <w:basedOn w:val="DefaultParagraphFont"/>
    <w:uiPriority w:val="20"/>
    <w:qFormat/>
    <w:rsid w:val="00C95355"/>
    <w:rPr>
      <w:i/>
      <w:iCs/>
    </w:rPr>
  </w:style>
  <w:style w:type="character" w:customStyle="1" w:styleId="slug-doi">
    <w:name w:val="slug-doi"/>
    <w:basedOn w:val="DefaultParagraphFont"/>
    <w:rsid w:val="00C95355"/>
  </w:style>
  <w:style w:type="character" w:styleId="HTMLCite">
    <w:name w:val="HTML Cite"/>
    <w:basedOn w:val="DefaultParagraphFont"/>
    <w:uiPriority w:val="99"/>
    <w:unhideWhenUsed/>
    <w:rsid w:val="00C95355"/>
    <w:rPr>
      <w:i/>
      <w:iCs/>
    </w:rPr>
  </w:style>
  <w:style w:type="character" w:customStyle="1" w:styleId="slug-pub-date">
    <w:name w:val="slug-pub-date"/>
    <w:basedOn w:val="DefaultParagraphFont"/>
    <w:rsid w:val="00C95355"/>
  </w:style>
  <w:style w:type="character" w:customStyle="1" w:styleId="slug-vol">
    <w:name w:val="slug-vol"/>
    <w:basedOn w:val="DefaultParagraphFont"/>
    <w:rsid w:val="00C95355"/>
  </w:style>
  <w:style w:type="character" w:customStyle="1" w:styleId="slug-pages">
    <w:name w:val="slug-pages"/>
    <w:basedOn w:val="DefaultParagraphFont"/>
    <w:rsid w:val="00C95355"/>
  </w:style>
  <w:style w:type="character" w:customStyle="1" w:styleId="slug-metadata-note">
    <w:name w:val="slug-metadata-note"/>
    <w:basedOn w:val="DefaultParagraphFont"/>
    <w:rsid w:val="00C95355"/>
  </w:style>
  <w:style w:type="character" w:customStyle="1" w:styleId="slug-ahead-of-print-date">
    <w:name w:val="slug-ahead-of-print-date"/>
    <w:basedOn w:val="DefaultParagraphFont"/>
    <w:rsid w:val="00C95355"/>
  </w:style>
  <w:style w:type="paragraph" w:styleId="Bibliography">
    <w:name w:val="Bibliography"/>
    <w:basedOn w:val="Normal"/>
    <w:next w:val="Normal"/>
    <w:uiPriority w:val="37"/>
    <w:semiHidden/>
    <w:unhideWhenUsed/>
    <w:rsid w:val="00C95355"/>
  </w:style>
  <w:style w:type="paragraph" w:customStyle="1" w:styleId="biblio-entry">
    <w:name w:val="biblio-entry"/>
    <w:basedOn w:val="Normal"/>
    <w:rsid w:val="00C95355"/>
    <w:pPr>
      <w:keepLines/>
      <w:spacing w:after="240"/>
      <w:ind w:left="720" w:hanging="720"/>
    </w:pPr>
    <w:rPr>
      <w:rFonts w:eastAsia="SimSun"/>
      <w:sz w:val="22"/>
      <w:szCs w:val="22"/>
      <w:lang w:eastAsia="zh-CN"/>
    </w:rPr>
  </w:style>
  <w:style w:type="paragraph" w:customStyle="1" w:styleId="BodyTextaft-12">
    <w:name w:val="Body Text_aft-12"/>
    <w:basedOn w:val="Normal"/>
    <w:qFormat/>
    <w:rsid w:val="007D0768"/>
    <w:pPr>
      <w:spacing w:before="120" w:after="120"/>
    </w:pPr>
    <w:rPr>
      <w:sz w:val="22"/>
      <w:szCs w:val="20"/>
    </w:rPr>
  </w:style>
  <w:style w:type="paragraph" w:styleId="Footer">
    <w:name w:val="footer"/>
    <w:basedOn w:val="Normal"/>
    <w:link w:val="FooterChar"/>
    <w:uiPriority w:val="99"/>
    <w:unhideWhenUsed/>
    <w:rsid w:val="00A83DF0"/>
    <w:pPr>
      <w:tabs>
        <w:tab w:val="center" w:pos="4680"/>
        <w:tab w:val="right" w:pos="9360"/>
      </w:tabs>
    </w:pPr>
  </w:style>
  <w:style w:type="character" w:customStyle="1" w:styleId="FooterChar">
    <w:name w:val="Footer Char"/>
    <w:basedOn w:val="DefaultParagraphFont"/>
    <w:link w:val="Footer"/>
    <w:uiPriority w:val="99"/>
    <w:rsid w:val="00A83D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6004">
      <w:bodyDiv w:val="1"/>
      <w:marLeft w:val="0"/>
      <w:marRight w:val="0"/>
      <w:marTop w:val="0"/>
      <w:marBottom w:val="0"/>
      <w:divBdr>
        <w:top w:val="none" w:sz="0" w:space="0" w:color="auto"/>
        <w:left w:val="none" w:sz="0" w:space="0" w:color="auto"/>
        <w:bottom w:val="none" w:sz="0" w:space="0" w:color="auto"/>
        <w:right w:val="none" w:sz="0" w:space="0" w:color="auto"/>
      </w:divBdr>
    </w:div>
    <w:div w:id="342557211">
      <w:bodyDiv w:val="1"/>
      <w:marLeft w:val="0"/>
      <w:marRight w:val="0"/>
      <w:marTop w:val="0"/>
      <w:marBottom w:val="0"/>
      <w:divBdr>
        <w:top w:val="none" w:sz="0" w:space="0" w:color="auto"/>
        <w:left w:val="none" w:sz="0" w:space="0" w:color="auto"/>
        <w:bottom w:val="none" w:sz="0" w:space="0" w:color="auto"/>
        <w:right w:val="none" w:sz="0" w:space="0" w:color="auto"/>
      </w:divBdr>
    </w:div>
    <w:div w:id="351762690">
      <w:bodyDiv w:val="1"/>
      <w:marLeft w:val="0"/>
      <w:marRight w:val="0"/>
      <w:marTop w:val="0"/>
      <w:marBottom w:val="0"/>
      <w:divBdr>
        <w:top w:val="none" w:sz="0" w:space="0" w:color="auto"/>
        <w:left w:val="none" w:sz="0" w:space="0" w:color="auto"/>
        <w:bottom w:val="none" w:sz="0" w:space="0" w:color="auto"/>
        <w:right w:val="none" w:sz="0" w:space="0" w:color="auto"/>
      </w:divBdr>
    </w:div>
    <w:div w:id="494758838">
      <w:bodyDiv w:val="1"/>
      <w:marLeft w:val="0"/>
      <w:marRight w:val="0"/>
      <w:marTop w:val="0"/>
      <w:marBottom w:val="0"/>
      <w:divBdr>
        <w:top w:val="none" w:sz="0" w:space="0" w:color="auto"/>
        <w:left w:val="none" w:sz="0" w:space="0" w:color="auto"/>
        <w:bottom w:val="none" w:sz="0" w:space="0" w:color="auto"/>
        <w:right w:val="none" w:sz="0" w:space="0" w:color="auto"/>
      </w:divBdr>
    </w:div>
    <w:div w:id="520047946">
      <w:bodyDiv w:val="1"/>
      <w:marLeft w:val="0"/>
      <w:marRight w:val="0"/>
      <w:marTop w:val="0"/>
      <w:marBottom w:val="0"/>
      <w:divBdr>
        <w:top w:val="none" w:sz="0" w:space="0" w:color="auto"/>
        <w:left w:val="none" w:sz="0" w:space="0" w:color="auto"/>
        <w:bottom w:val="none" w:sz="0" w:space="0" w:color="auto"/>
        <w:right w:val="none" w:sz="0" w:space="0" w:color="auto"/>
      </w:divBdr>
    </w:div>
    <w:div w:id="549532571">
      <w:bodyDiv w:val="1"/>
      <w:marLeft w:val="0"/>
      <w:marRight w:val="0"/>
      <w:marTop w:val="0"/>
      <w:marBottom w:val="0"/>
      <w:divBdr>
        <w:top w:val="none" w:sz="0" w:space="0" w:color="auto"/>
        <w:left w:val="none" w:sz="0" w:space="0" w:color="auto"/>
        <w:bottom w:val="none" w:sz="0" w:space="0" w:color="auto"/>
        <w:right w:val="none" w:sz="0" w:space="0" w:color="auto"/>
      </w:divBdr>
    </w:div>
    <w:div w:id="595484542">
      <w:bodyDiv w:val="1"/>
      <w:marLeft w:val="0"/>
      <w:marRight w:val="0"/>
      <w:marTop w:val="0"/>
      <w:marBottom w:val="0"/>
      <w:divBdr>
        <w:top w:val="none" w:sz="0" w:space="0" w:color="auto"/>
        <w:left w:val="none" w:sz="0" w:space="0" w:color="auto"/>
        <w:bottom w:val="none" w:sz="0" w:space="0" w:color="auto"/>
        <w:right w:val="none" w:sz="0" w:space="0" w:color="auto"/>
      </w:divBdr>
    </w:div>
    <w:div w:id="749959353">
      <w:bodyDiv w:val="1"/>
      <w:marLeft w:val="0"/>
      <w:marRight w:val="0"/>
      <w:marTop w:val="0"/>
      <w:marBottom w:val="0"/>
      <w:divBdr>
        <w:top w:val="none" w:sz="0" w:space="0" w:color="auto"/>
        <w:left w:val="none" w:sz="0" w:space="0" w:color="auto"/>
        <w:bottom w:val="none" w:sz="0" w:space="0" w:color="auto"/>
        <w:right w:val="none" w:sz="0" w:space="0" w:color="auto"/>
      </w:divBdr>
    </w:div>
    <w:div w:id="754210992">
      <w:bodyDiv w:val="1"/>
      <w:marLeft w:val="0"/>
      <w:marRight w:val="0"/>
      <w:marTop w:val="0"/>
      <w:marBottom w:val="0"/>
      <w:divBdr>
        <w:top w:val="none" w:sz="0" w:space="0" w:color="auto"/>
        <w:left w:val="none" w:sz="0" w:space="0" w:color="auto"/>
        <w:bottom w:val="none" w:sz="0" w:space="0" w:color="auto"/>
        <w:right w:val="none" w:sz="0" w:space="0" w:color="auto"/>
      </w:divBdr>
    </w:div>
    <w:div w:id="852650421">
      <w:bodyDiv w:val="1"/>
      <w:marLeft w:val="0"/>
      <w:marRight w:val="0"/>
      <w:marTop w:val="0"/>
      <w:marBottom w:val="0"/>
      <w:divBdr>
        <w:top w:val="none" w:sz="0" w:space="0" w:color="auto"/>
        <w:left w:val="none" w:sz="0" w:space="0" w:color="auto"/>
        <w:bottom w:val="none" w:sz="0" w:space="0" w:color="auto"/>
        <w:right w:val="none" w:sz="0" w:space="0" w:color="auto"/>
      </w:divBdr>
    </w:div>
    <w:div w:id="879325047">
      <w:bodyDiv w:val="1"/>
      <w:marLeft w:val="0"/>
      <w:marRight w:val="0"/>
      <w:marTop w:val="0"/>
      <w:marBottom w:val="0"/>
      <w:divBdr>
        <w:top w:val="none" w:sz="0" w:space="0" w:color="auto"/>
        <w:left w:val="none" w:sz="0" w:space="0" w:color="auto"/>
        <w:bottom w:val="none" w:sz="0" w:space="0" w:color="auto"/>
        <w:right w:val="none" w:sz="0" w:space="0" w:color="auto"/>
      </w:divBdr>
    </w:div>
    <w:div w:id="895313857">
      <w:bodyDiv w:val="1"/>
      <w:marLeft w:val="0"/>
      <w:marRight w:val="0"/>
      <w:marTop w:val="0"/>
      <w:marBottom w:val="0"/>
      <w:divBdr>
        <w:top w:val="none" w:sz="0" w:space="0" w:color="auto"/>
        <w:left w:val="none" w:sz="0" w:space="0" w:color="auto"/>
        <w:bottom w:val="none" w:sz="0" w:space="0" w:color="auto"/>
        <w:right w:val="none" w:sz="0" w:space="0" w:color="auto"/>
      </w:divBdr>
    </w:div>
    <w:div w:id="940533177">
      <w:bodyDiv w:val="1"/>
      <w:marLeft w:val="0"/>
      <w:marRight w:val="0"/>
      <w:marTop w:val="0"/>
      <w:marBottom w:val="0"/>
      <w:divBdr>
        <w:top w:val="none" w:sz="0" w:space="0" w:color="auto"/>
        <w:left w:val="none" w:sz="0" w:space="0" w:color="auto"/>
        <w:bottom w:val="none" w:sz="0" w:space="0" w:color="auto"/>
        <w:right w:val="none" w:sz="0" w:space="0" w:color="auto"/>
      </w:divBdr>
    </w:div>
    <w:div w:id="997920025">
      <w:bodyDiv w:val="1"/>
      <w:marLeft w:val="0"/>
      <w:marRight w:val="0"/>
      <w:marTop w:val="0"/>
      <w:marBottom w:val="0"/>
      <w:divBdr>
        <w:top w:val="none" w:sz="0" w:space="0" w:color="auto"/>
        <w:left w:val="none" w:sz="0" w:space="0" w:color="auto"/>
        <w:bottom w:val="none" w:sz="0" w:space="0" w:color="auto"/>
        <w:right w:val="none" w:sz="0" w:space="0" w:color="auto"/>
      </w:divBdr>
    </w:div>
    <w:div w:id="1031419466">
      <w:bodyDiv w:val="1"/>
      <w:marLeft w:val="0"/>
      <w:marRight w:val="0"/>
      <w:marTop w:val="0"/>
      <w:marBottom w:val="0"/>
      <w:divBdr>
        <w:top w:val="none" w:sz="0" w:space="0" w:color="auto"/>
        <w:left w:val="none" w:sz="0" w:space="0" w:color="auto"/>
        <w:bottom w:val="none" w:sz="0" w:space="0" w:color="auto"/>
        <w:right w:val="none" w:sz="0" w:space="0" w:color="auto"/>
      </w:divBdr>
    </w:div>
    <w:div w:id="1087270667">
      <w:bodyDiv w:val="1"/>
      <w:marLeft w:val="0"/>
      <w:marRight w:val="0"/>
      <w:marTop w:val="0"/>
      <w:marBottom w:val="0"/>
      <w:divBdr>
        <w:top w:val="none" w:sz="0" w:space="0" w:color="auto"/>
        <w:left w:val="none" w:sz="0" w:space="0" w:color="auto"/>
        <w:bottom w:val="none" w:sz="0" w:space="0" w:color="auto"/>
        <w:right w:val="none" w:sz="0" w:space="0" w:color="auto"/>
      </w:divBdr>
    </w:div>
    <w:div w:id="1339576044">
      <w:bodyDiv w:val="1"/>
      <w:marLeft w:val="0"/>
      <w:marRight w:val="0"/>
      <w:marTop w:val="0"/>
      <w:marBottom w:val="0"/>
      <w:divBdr>
        <w:top w:val="none" w:sz="0" w:space="0" w:color="auto"/>
        <w:left w:val="none" w:sz="0" w:space="0" w:color="auto"/>
        <w:bottom w:val="none" w:sz="0" w:space="0" w:color="auto"/>
        <w:right w:val="none" w:sz="0" w:space="0" w:color="auto"/>
      </w:divBdr>
    </w:div>
    <w:div w:id="1427112545">
      <w:bodyDiv w:val="1"/>
      <w:marLeft w:val="0"/>
      <w:marRight w:val="0"/>
      <w:marTop w:val="0"/>
      <w:marBottom w:val="0"/>
      <w:divBdr>
        <w:top w:val="none" w:sz="0" w:space="0" w:color="auto"/>
        <w:left w:val="none" w:sz="0" w:space="0" w:color="auto"/>
        <w:bottom w:val="none" w:sz="0" w:space="0" w:color="auto"/>
        <w:right w:val="none" w:sz="0" w:space="0" w:color="auto"/>
      </w:divBdr>
    </w:div>
    <w:div w:id="1519200980">
      <w:bodyDiv w:val="1"/>
      <w:marLeft w:val="0"/>
      <w:marRight w:val="0"/>
      <w:marTop w:val="0"/>
      <w:marBottom w:val="0"/>
      <w:divBdr>
        <w:top w:val="none" w:sz="0" w:space="0" w:color="auto"/>
        <w:left w:val="none" w:sz="0" w:space="0" w:color="auto"/>
        <w:bottom w:val="none" w:sz="0" w:space="0" w:color="auto"/>
        <w:right w:val="none" w:sz="0" w:space="0" w:color="auto"/>
      </w:divBdr>
    </w:div>
    <w:div w:id="1602448779">
      <w:bodyDiv w:val="1"/>
      <w:marLeft w:val="0"/>
      <w:marRight w:val="0"/>
      <w:marTop w:val="0"/>
      <w:marBottom w:val="0"/>
      <w:divBdr>
        <w:top w:val="none" w:sz="0" w:space="0" w:color="auto"/>
        <w:left w:val="none" w:sz="0" w:space="0" w:color="auto"/>
        <w:bottom w:val="none" w:sz="0" w:space="0" w:color="auto"/>
        <w:right w:val="none" w:sz="0" w:space="0" w:color="auto"/>
      </w:divBdr>
    </w:div>
    <w:div w:id="1700004859">
      <w:bodyDiv w:val="1"/>
      <w:marLeft w:val="0"/>
      <w:marRight w:val="0"/>
      <w:marTop w:val="0"/>
      <w:marBottom w:val="0"/>
      <w:divBdr>
        <w:top w:val="none" w:sz="0" w:space="0" w:color="auto"/>
        <w:left w:val="none" w:sz="0" w:space="0" w:color="auto"/>
        <w:bottom w:val="none" w:sz="0" w:space="0" w:color="auto"/>
        <w:right w:val="none" w:sz="0" w:space="0" w:color="auto"/>
      </w:divBdr>
    </w:div>
    <w:div w:id="1873617236">
      <w:bodyDiv w:val="1"/>
      <w:marLeft w:val="0"/>
      <w:marRight w:val="0"/>
      <w:marTop w:val="0"/>
      <w:marBottom w:val="0"/>
      <w:divBdr>
        <w:top w:val="none" w:sz="0" w:space="0" w:color="auto"/>
        <w:left w:val="none" w:sz="0" w:space="0" w:color="auto"/>
        <w:bottom w:val="none" w:sz="0" w:space="0" w:color="auto"/>
        <w:right w:val="none" w:sz="0" w:space="0" w:color="auto"/>
      </w:divBdr>
    </w:div>
    <w:div w:id="1880051046">
      <w:bodyDiv w:val="1"/>
      <w:marLeft w:val="0"/>
      <w:marRight w:val="0"/>
      <w:marTop w:val="0"/>
      <w:marBottom w:val="0"/>
      <w:divBdr>
        <w:top w:val="none" w:sz="0" w:space="0" w:color="auto"/>
        <w:left w:val="none" w:sz="0" w:space="0" w:color="auto"/>
        <w:bottom w:val="none" w:sz="0" w:space="0" w:color="auto"/>
        <w:right w:val="none" w:sz="0" w:space="0" w:color="auto"/>
      </w:divBdr>
      <w:divsChild>
        <w:div w:id="548108174">
          <w:marLeft w:val="0"/>
          <w:marRight w:val="0"/>
          <w:marTop w:val="0"/>
          <w:marBottom w:val="0"/>
          <w:divBdr>
            <w:top w:val="none" w:sz="0" w:space="0" w:color="auto"/>
            <w:left w:val="none" w:sz="0" w:space="0" w:color="auto"/>
            <w:bottom w:val="none" w:sz="0" w:space="0" w:color="auto"/>
            <w:right w:val="none" w:sz="0" w:space="0" w:color="auto"/>
          </w:divBdr>
        </w:div>
        <w:div w:id="668874895">
          <w:marLeft w:val="0"/>
          <w:marRight w:val="0"/>
          <w:marTop w:val="0"/>
          <w:marBottom w:val="0"/>
          <w:divBdr>
            <w:top w:val="none" w:sz="0" w:space="0" w:color="auto"/>
            <w:left w:val="none" w:sz="0" w:space="0" w:color="auto"/>
            <w:bottom w:val="none" w:sz="0" w:space="0" w:color="auto"/>
            <w:right w:val="none" w:sz="0" w:space="0" w:color="auto"/>
          </w:divBdr>
        </w:div>
        <w:div w:id="1698504245">
          <w:marLeft w:val="0"/>
          <w:marRight w:val="0"/>
          <w:marTop w:val="0"/>
          <w:marBottom w:val="0"/>
          <w:divBdr>
            <w:top w:val="none" w:sz="0" w:space="0" w:color="auto"/>
            <w:left w:val="none" w:sz="0" w:space="0" w:color="auto"/>
            <w:bottom w:val="none" w:sz="0" w:space="0" w:color="auto"/>
            <w:right w:val="none" w:sz="0" w:space="0" w:color="auto"/>
          </w:divBdr>
        </w:div>
        <w:div w:id="1860968021">
          <w:marLeft w:val="0"/>
          <w:marRight w:val="0"/>
          <w:marTop w:val="0"/>
          <w:marBottom w:val="0"/>
          <w:divBdr>
            <w:top w:val="none" w:sz="0" w:space="0" w:color="auto"/>
            <w:left w:val="none" w:sz="0" w:space="0" w:color="auto"/>
            <w:bottom w:val="none" w:sz="0" w:space="0" w:color="auto"/>
            <w:right w:val="none" w:sz="0" w:space="0" w:color="auto"/>
          </w:divBdr>
        </w:div>
        <w:div w:id="1896429871">
          <w:marLeft w:val="0"/>
          <w:marRight w:val="0"/>
          <w:marTop w:val="0"/>
          <w:marBottom w:val="0"/>
          <w:divBdr>
            <w:top w:val="none" w:sz="0" w:space="0" w:color="auto"/>
            <w:left w:val="none" w:sz="0" w:space="0" w:color="auto"/>
            <w:bottom w:val="none" w:sz="0" w:space="0" w:color="auto"/>
            <w:right w:val="none" w:sz="0" w:space="0" w:color="auto"/>
          </w:divBdr>
        </w:div>
      </w:divsChild>
    </w:div>
    <w:div w:id="1963685521">
      <w:bodyDiv w:val="1"/>
      <w:marLeft w:val="0"/>
      <w:marRight w:val="0"/>
      <w:marTop w:val="0"/>
      <w:marBottom w:val="0"/>
      <w:divBdr>
        <w:top w:val="none" w:sz="0" w:space="0" w:color="auto"/>
        <w:left w:val="none" w:sz="0" w:space="0" w:color="auto"/>
        <w:bottom w:val="none" w:sz="0" w:space="0" w:color="auto"/>
        <w:right w:val="none" w:sz="0" w:space="0" w:color="auto"/>
      </w:divBdr>
    </w:div>
    <w:div w:id="1983269783">
      <w:bodyDiv w:val="1"/>
      <w:marLeft w:val="0"/>
      <w:marRight w:val="0"/>
      <w:marTop w:val="0"/>
      <w:marBottom w:val="0"/>
      <w:divBdr>
        <w:top w:val="none" w:sz="0" w:space="0" w:color="auto"/>
        <w:left w:val="none" w:sz="0" w:space="0" w:color="auto"/>
        <w:bottom w:val="none" w:sz="0" w:space="0" w:color="auto"/>
        <w:right w:val="none" w:sz="0" w:space="0" w:color="auto"/>
      </w:divBdr>
    </w:div>
    <w:div w:id="2030524232">
      <w:bodyDiv w:val="1"/>
      <w:marLeft w:val="0"/>
      <w:marRight w:val="0"/>
      <w:marTop w:val="0"/>
      <w:marBottom w:val="0"/>
      <w:divBdr>
        <w:top w:val="none" w:sz="0" w:space="0" w:color="auto"/>
        <w:left w:val="none" w:sz="0" w:space="0" w:color="auto"/>
        <w:bottom w:val="none" w:sz="0" w:space="0" w:color="auto"/>
        <w:right w:val="none" w:sz="0" w:space="0" w:color="auto"/>
      </w:divBdr>
    </w:div>
    <w:div w:id="20946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s.usda.gov/SP2UserFiles/Place/80400530/pdf/1112/Table_1_NIN_GEN_11.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circ.ahajournals.org/content/123/8/933.lo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rc.ahajournals.org/content/127/1/e6.full" TargetMode="External"/><Relationship Id="rId5" Type="http://schemas.openxmlformats.org/officeDocument/2006/relationships/settings" Target="settings.xml"/><Relationship Id="rId15" Type="http://schemas.openxmlformats.org/officeDocument/2006/relationships/hyperlink" Target="http://health.gov/dietaryguidelines/2015/guidelines/" TargetMode="External"/><Relationship Id="rId10" Type="http://schemas.openxmlformats.org/officeDocument/2006/relationships/hyperlink" Target="https://doi.org/10.1136/bmj.f1326" TargetMode="External"/><Relationship Id="rId4" Type="http://schemas.microsoft.com/office/2007/relationships/stylesWithEffects" Target="stylesWithEffects.xml"/><Relationship Id="rId9" Type="http://schemas.openxmlformats.org/officeDocument/2006/relationships/hyperlink" Target="mailto:JMWhitehill@cdc.gov" TargetMode="External"/><Relationship Id="rId14" Type="http://schemas.openxmlformats.org/officeDocument/2006/relationships/hyperlink" Target="https://www.ars.usda.gov/ARSUserFiles/80400530/pdf/1314/Table_37_SUP_GEN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6461-2832-410F-A90A-7411DD59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Wachtmeister, Devon</dc:creator>
  <cp:lastModifiedBy>SYSTEM</cp:lastModifiedBy>
  <cp:revision>2</cp:revision>
  <cp:lastPrinted>2018-12-14T13:00:00Z</cp:lastPrinted>
  <dcterms:created xsi:type="dcterms:W3CDTF">2019-02-25T16:30:00Z</dcterms:created>
  <dcterms:modified xsi:type="dcterms:W3CDTF">2019-02-25T16:30:00Z</dcterms:modified>
</cp:coreProperties>
</file>