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912D29" w14:textId="77777777" w:rsidR="00B8298F" w:rsidRPr="00AB4E31" w:rsidRDefault="002D1973" w:rsidP="00E87A21">
      <w:pPr>
        <w:spacing w:after="0" w:line="240" w:lineRule="auto"/>
        <w:rPr>
          <w:rFonts w:ascii="Times New Roman" w:eastAsiaTheme="minorHAnsi" w:hAnsi="Times New Roman" w:cs="Times New Roman"/>
          <w:b/>
          <w:sz w:val="32"/>
          <w:szCs w:val="24"/>
        </w:rPr>
      </w:pPr>
      <w:bookmarkStart w:id="0" w:name="_GoBack"/>
      <w:bookmarkEnd w:id="0"/>
      <w:r>
        <w:rPr>
          <w:rFonts w:ascii="Times New Roman" w:eastAsiaTheme="minorHAnsi" w:hAnsi="Times New Roman" w:cs="Times New Roman"/>
          <w:b/>
          <w:sz w:val="32"/>
          <w:szCs w:val="24"/>
        </w:rPr>
        <w:t xml:space="preserve"> </w:t>
      </w:r>
      <w:r w:rsidR="00171FFE">
        <w:rPr>
          <w:rFonts w:ascii="Times New Roman" w:eastAsiaTheme="minorHAnsi" w:hAnsi="Times New Roman" w:cs="Times New Roman"/>
          <w:b/>
          <w:sz w:val="32"/>
          <w:szCs w:val="24"/>
        </w:rPr>
        <w:t>SUPPORTING STATEMENT A</w:t>
      </w:r>
      <w:r w:rsidR="00627ACC">
        <w:rPr>
          <w:rFonts w:ascii="Times New Roman" w:eastAsiaTheme="minorHAnsi" w:hAnsi="Times New Roman" w:cs="Times New Roman"/>
          <w:b/>
          <w:sz w:val="32"/>
          <w:szCs w:val="24"/>
        </w:rPr>
        <w:t xml:space="preserve"> </w:t>
      </w:r>
    </w:p>
    <w:p w14:paraId="5E7E807E" w14:textId="77777777" w:rsidR="00173317" w:rsidRPr="000617B1" w:rsidRDefault="00173317" w:rsidP="009073C5">
      <w:pPr>
        <w:spacing w:after="0" w:line="240" w:lineRule="auto"/>
        <w:jc w:val="center"/>
        <w:rPr>
          <w:rFonts w:ascii="Times New Roman" w:hAnsi="Times New Roman" w:cs="Times New Roman"/>
          <w:sz w:val="24"/>
          <w:szCs w:val="24"/>
        </w:rPr>
      </w:pPr>
    </w:p>
    <w:p w14:paraId="3614529E" w14:textId="77777777" w:rsidR="00B8298F" w:rsidRPr="00147405" w:rsidRDefault="00B8298F" w:rsidP="00FA255F">
      <w:pPr>
        <w:spacing w:after="0" w:line="240" w:lineRule="auto"/>
        <w:jc w:val="center"/>
        <w:rPr>
          <w:rFonts w:ascii="Times New Roman" w:hAnsi="Times New Roman" w:cs="Times New Roman"/>
          <w:b/>
          <w:sz w:val="44"/>
          <w:szCs w:val="44"/>
        </w:rPr>
      </w:pPr>
      <w:r w:rsidRPr="00147405">
        <w:rPr>
          <w:rFonts w:ascii="Times New Roman" w:hAnsi="Times New Roman" w:cs="Times New Roman"/>
          <w:b/>
          <w:sz w:val="44"/>
          <w:szCs w:val="44"/>
        </w:rPr>
        <w:t>APPLICATION FOR TRAINING</w:t>
      </w:r>
    </w:p>
    <w:p w14:paraId="44B24001" w14:textId="77777777" w:rsidR="005B7C1A" w:rsidRPr="000C7DCF" w:rsidRDefault="005B7C1A" w:rsidP="00FA255F">
      <w:pPr>
        <w:spacing w:after="0" w:line="240" w:lineRule="auto"/>
        <w:jc w:val="center"/>
        <w:rPr>
          <w:rFonts w:ascii="Times New Roman" w:hAnsi="Times New Roman" w:cs="Times New Roman"/>
          <w:b/>
          <w:sz w:val="24"/>
          <w:szCs w:val="24"/>
        </w:rPr>
      </w:pPr>
    </w:p>
    <w:p w14:paraId="054E4095" w14:textId="77777777" w:rsidR="005B7C1A" w:rsidRDefault="003D1591" w:rsidP="00FA255F">
      <w:pPr>
        <w:spacing w:after="0" w:line="240" w:lineRule="auto"/>
        <w:jc w:val="center"/>
        <w:rPr>
          <w:rFonts w:ascii="Times New Roman" w:hAnsi="Times New Roman" w:cs="Times New Roman"/>
          <w:sz w:val="24"/>
          <w:szCs w:val="24"/>
        </w:rPr>
      </w:pPr>
      <w:r w:rsidRPr="000617B1">
        <w:rPr>
          <w:rFonts w:ascii="Times New Roman" w:hAnsi="Times New Roman" w:cs="Times New Roman"/>
          <w:sz w:val="24"/>
          <w:szCs w:val="24"/>
        </w:rPr>
        <w:t>OMB</w:t>
      </w:r>
      <w:r w:rsidR="005B7C1A">
        <w:rPr>
          <w:rFonts w:ascii="Times New Roman" w:hAnsi="Times New Roman" w:cs="Times New Roman"/>
          <w:sz w:val="24"/>
          <w:szCs w:val="24"/>
        </w:rPr>
        <w:t xml:space="preserve"> Control No. </w:t>
      </w:r>
      <w:r w:rsidR="00B8298F" w:rsidRPr="000617B1">
        <w:rPr>
          <w:rFonts w:ascii="Times New Roman" w:hAnsi="Times New Roman" w:cs="Times New Roman"/>
          <w:sz w:val="24"/>
          <w:szCs w:val="24"/>
        </w:rPr>
        <w:t>0920-0017</w:t>
      </w:r>
    </w:p>
    <w:p w14:paraId="26103BEB" w14:textId="77777777" w:rsidR="005B7C1A" w:rsidRDefault="005B7C1A" w:rsidP="00FA255F">
      <w:pPr>
        <w:spacing w:after="0" w:line="240" w:lineRule="auto"/>
        <w:jc w:val="center"/>
        <w:rPr>
          <w:rFonts w:ascii="Times New Roman" w:hAnsi="Times New Roman" w:cs="Times New Roman"/>
          <w:sz w:val="24"/>
          <w:szCs w:val="24"/>
        </w:rPr>
      </w:pPr>
    </w:p>
    <w:p w14:paraId="57D76B27" w14:textId="77777777" w:rsidR="005B7C1A" w:rsidRDefault="005B7C1A" w:rsidP="00FA25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Submitted </w:t>
      </w:r>
      <w:r w:rsidR="00890FE0">
        <w:rPr>
          <w:rFonts w:ascii="Times New Roman" w:hAnsi="Times New Roman" w:cs="Times New Roman"/>
          <w:sz w:val="24"/>
          <w:szCs w:val="24"/>
        </w:rPr>
        <w:t>October 24, 2018</w:t>
      </w:r>
    </w:p>
    <w:p w14:paraId="7E36ADA0" w14:textId="77777777" w:rsidR="005B7C1A" w:rsidRPr="0041169C" w:rsidRDefault="005B7C1A" w:rsidP="005B7C1A">
      <w:pPr>
        <w:rPr>
          <w:b/>
          <w:sz w:val="28"/>
        </w:rPr>
      </w:pPr>
    </w:p>
    <w:p w14:paraId="12AFDA00" w14:textId="77777777" w:rsidR="005B7C1A" w:rsidRPr="005B7C1A" w:rsidRDefault="005B7C1A" w:rsidP="00B346D2">
      <w:pPr>
        <w:spacing w:after="0" w:line="240" w:lineRule="auto"/>
        <w:jc w:val="center"/>
        <w:rPr>
          <w:rFonts w:ascii="Times New Roman" w:eastAsiaTheme="minorHAnsi" w:hAnsi="Times New Roman" w:cs="Times New Roman"/>
          <w:b/>
          <w:sz w:val="28"/>
        </w:rPr>
      </w:pPr>
      <w:r w:rsidRPr="005B7C1A">
        <w:rPr>
          <w:rFonts w:ascii="Times New Roman" w:eastAsiaTheme="minorHAnsi" w:hAnsi="Times New Roman" w:cs="Times New Roman"/>
          <w:b/>
          <w:sz w:val="28"/>
        </w:rPr>
        <w:t>Project Officer</w:t>
      </w:r>
    </w:p>
    <w:p w14:paraId="7F4AE3AD" w14:textId="77777777" w:rsidR="005B7C1A" w:rsidRPr="00147405" w:rsidRDefault="005B7C1A" w:rsidP="00B346D2">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Gabrielle Benenson</w:t>
      </w:r>
      <w:r w:rsidRPr="008F2319">
        <w:rPr>
          <w:rFonts w:ascii="Times New Roman" w:eastAsiaTheme="minorHAnsi" w:hAnsi="Times New Roman" w:cs="Times New Roman"/>
          <w:sz w:val="28"/>
          <w:szCs w:val="28"/>
        </w:rPr>
        <w:t>,</w:t>
      </w:r>
      <w:r w:rsidRPr="00147405">
        <w:rPr>
          <w:rFonts w:ascii="Times New Roman" w:eastAsiaTheme="minorHAnsi" w:hAnsi="Times New Roman" w:cs="Times New Roman"/>
          <w:b/>
          <w:sz w:val="28"/>
          <w:szCs w:val="28"/>
        </w:rPr>
        <w:t xml:space="preserve"> </w:t>
      </w:r>
      <w:r w:rsidRPr="00147405">
        <w:rPr>
          <w:rFonts w:ascii="Times New Roman" w:hAnsi="Times New Roman" w:cs="Times New Roman"/>
          <w:sz w:val="28"/>
          <w:szCs w:val="28"/>
        </w:rPr>
        <w:t>MPH</w:t>
      </w:r>
    </w:p>
    <w:p w14:paraId="770D4E18" w14:textId="77777777" w:rsidR="005B7C1A" w:rsidRPr="00147405" w:rsidRDefault="005B7C1A" w:rsidP="00B346D2">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Chief, Education and Training Services Branch</w:t>
      </w:r>
    </w:p>
    <w:p w14:paraId="5479DE70" w14:textId="77777777" w:rsidR="005B7C1A" w:rsidRPr="00147405" w:rsidRDefault="005B7C1A" w:rsidP="00B346D2">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Division of Scientific Education and Professional Development (DSEPD)</w:t>
      </w:r>
    </w:p>
    <w:p w14:paraId="625741EE" w14:textId="77777777" w:rsidR="005B7C1A" w:rsidRPr="00147405" w:rsidRDefault="005B7C1A" w:rsidP="00B346D2">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Center for Surveillance, Epidemiology and Laboratory Services (CSELS)</w:t>
      </w:r>
    </w:p>
    <w:p w14:paraId="48894018" w14:textId="77777777" w:rsidR="005B7C1A" w:rsidRPr="00147405" w:rsidRDefault="005B7C1A" w:rsidP="00B346D2">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Office of Public Health Scientific Services (OPHSS)</w:t>
      </w:r>
    </w:p>
    <w:p w14:paraId="546CC37E" w14:textId="77777777" w:rsidR="005B7C1A" w:rsidRPr="00147405" w:rsidRDefault="005B7C1A" w:rsidP="00B346D2">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Centers for Disease Control and Prevention (CDC)</w:t>
      </w:r>
    </w:p>
    <w:p w14:paraId="6B948C64" w14:textId="77777777" w:rsidR="005B7C1A" w:rsidRPr="00147405" w:rsidRDefault="005B7C1A" w:rsidP="008F2319">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 xml:space="preserve">1600 Clifton Road Northeast, </w:t>
      </w:r>
      <w:r w:rsidR="008F2319">
        <w:rPr>
          <w:rFonts w:ascii="Times New Roman" w:hAnsi="Times New Roman" w:cs="Times New Roman"/>
          <w:sz w:val="28"/>
          <w:szCs w:val="28"/>
        </w:rPr>
        <w:t xml:space="preserve">Mailstop </w:t>
      </w:r>
      <w:r w:rsidR="00010736" w:rsidRPr="00010736">
        <w:rPr>
          <w:rFonts w:ascii="Times New Roman" w:hAnsi="Times New Roman" w:cs="Times New Roman"/>
          <w:sz w:val="28"/>
          <w:szCs w:val="28"/>
        </w:rPr>
        <w:t>V24-5</w:t>
      </w:r>
    </w:p>
    <w:p w14:paraId="3CDACD71" w14:textId="77777777" w:rsidR="005B7C1A" w:rsidRPr="00147405" w:rsidRDefault="005B7C1A" w:rsidP="00B346D2">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Phone: 404-498-6455</w:t>
      </w:r>
    </w:p>
    <w:p w14:paraId="31083E4B" w14:textId="77777777" w:rsidR="005B7C1A" w:rsidRPr="00147405" w:rsidRDefault="005B7C1A" w:rsidP="00B346D2">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Fax: 404-498-6045</w:t>
      </w:r>
    </w:p>
    <w:p w14:paraId="244A9FB6" w14:textId="77777777" w:rsidR="005B7C1A" w:rsidRDefault="005B7C1A" w:rsidP="00B346D2">
      <w:pPr>
        <w:spacing w:after="0" w:line="240" w:lineRule="auto"/>
        <w:jc w:val="center"/>
        <w:rPr>
          <w:rFonts w:ascii="Times New Roman" w:hAnsi="Times New Roman" w:cs="Times New Roman"/>
          <w:sz w:val="28"/>
          <w:szCs w:val="28"/>
        </w:rPr>
      </w:pPr>
      <w:r w:rsidRPr="00147405">
        <w:rPr>
          <w:rFonts w:ascii="Times New Roman" w:hAnsi="Times New Roman" w:cs="Times New Roman"/>
          <w:sz w:val="28"/>
          <w:szCs w:val="28"/>
        </w:rPr>
        <w:t xml:space="preserve">Email: </w:t>
      </w:r>
      <w:hyperlink r:id="rId13" w:history="1">
        <w:r w:rsidR="000119D8" w:rsidRPr="001D40FF">
          <w:rPr>
            <w:rStyle w:val="Hyperlink"/>
            <w:rFonts w:ascii="Times New Roman" w:hAnsi="Times New Roman"/>
            <w:sz w:val="28"/>
            <w:szCs w:val="28"/>
          </w:rPr>
          <w:t>gkb6@cdc.gov</w:t>
        </w:r>
      </w:hyperlink>
    </w:p>
    <w:p w14:paraId="5DDDC223" w14:textId="77777777" w:rsidR="005B7C1A" w:rsidRPr="0041169C" w:rsidRDefault="005B7C1A" w:rsidP="00B346D2">
      <w:pPr>
        <w:jc w:val="center"/>
        <w:rPr>
          <w:sz w:val="28"/>
        </w:rPr>
      </w:pPr>
    </w:p>
    <w:p w14:paraId="1F6D9B53" w14:textId="77777777" w:rsidR="003D1591" w:rsidRPr="000617B1" w:rsidRDefault="003D1591" w:rsidP="005B7C1A">
      <w:pPr>
        <w:spacing w:after="0" w:line="240" w:lineRule="auto"/>
        <w:rPr>
          <w:rFonts w:ascii="Times New Roman" w:hAnsi="Times New Roman" w:cs="Times New Roman"/>
          <w:sz w:val="24"/>
          <w:szCs w:val="24"/>
        </w:rPr>
      </w:pPr>
    </w:p>
    <w:p w14:paraId="4AEC7420" w14:textId="77777777" w:rsidR="005B7C1A" w:rsidRDefault="00B8298F" w:rsidP="00F50508">
      <w:pPr>
        <w:rPr>
          <w:rFonts w:ascii="Times New Roman" w:hAnsi="Times New Roman" w:cs="Times New Roman"/>
          <w:sz w:val="24"/>
          <w:szCs w:val="24"/>
        </w:rPr>
        <w:sectPr w:rsidR="005B7C1A" w:rsidSect="00DB7F56">
          <w:footerReference w:type="default" r:id="rId14"/>
          <w:footerReference w:type="first" r:id="rId15"/>
          <w:pgSz w:w="12240" w:h="15840"/>
          <w:pgMar w:top="1080" w:right="1080" w:bottom="1080" w:left="1530" w:header="540" w:footer="720" w:gutter="0"/>
          <w:pgNumType w:start="0"/>
          <w:cols w:space="720"/>
          <w:titlePg/>
          <w:docGrid w:linePitch="360"/>
        </w:sectPr>
      </w:pPr>
      <w:r w:rsidRPr="000617B1">
        <w:rPr>
          <w:rFonts w:ascii="Times New Roman" w:hAnsi="Times New Roman" w:cs="Times New Roman"/>
          <w:sz w:val="24"/>
          <w:szCs w:val="24"/>
        </w:rPr>
        <w:br w:type="page"/>
      </w:r>
    </w:p>
    <w:p w14:paraId="6C2FD992" w14:textId="77777777" w:rsidR="00B8298F" w:rsidRPr="000617B1" w:rsidRDefault="00B8298F" w:rsidP="00F50508">
      <w:pPr>
        <w:rPr>
          <w:rFonts w:ascii="Times New Roman" w:hAnsi="Times New Roman" w:cs="Times New Roman"/>
          <w:sz w:val="24"/>
          <w:szCs w:val="24"/>
        </w:rPr>
      </w:pPr>
    </w:p>
    <w:p w14:paraId="02BAB01A" w14:textId="77777777" w:rsidR="00201862" w:rsidRPr="000617B1" w:rsidRDefault="00122BA2" w:rsidP="00C71E30">
      <w:pPr>
        <w:pStyle w:val="TOCHeading"/>
        <w:jc w:val="center"/>
        <w:rPr>
          <w:rFonts w:cs="Times New Roman"/>
          <w:szCs w:val="24"/>
        </w:rPr>
      </w:pPr>
      <w:r>
        <w:rPr>
          <w:rFonts w:cs="Times New Roman"/>
          <w:szCs w:val="24"/>
        </w:rPr>
        <w:t>Contents</w:t>
      </w:r>
    </w:p>
    <w:p w14:paraId="4F0284E0" w14:textId="4C951E08" w:rsidR="006A3A03" w:rsidRDefault="0067540C">
      <w:pPr>
        <w:pStyle w:val="TOC1"/>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522700943" w:history="1">
        <w:r w:rsidR="006A3A03" w:rsidRPr="006270BF">
          <w:rPr>
            <w:rStyle w:val="Hyperlink"/>
            <w:rFonts w:eastAsiaTheme="minorHAnsi"/>
            <w:noProof/>
          </w:rPr>
          <w:t>A.</w:t>
        </w:r>
        <w:r w:rsidR="006A3A03">
          <w:rPr>
            <w:rFonts w:asciiTheme="minorHAnsi" w:eastAsiaTheme="minorEastAsia" w:hAnsiTheme="minorHAnsi" w:cstheme="minorBidi"/>
            <w:noProof/>
            <w:sz w:val="22"/>
          </w:rPr>
          <w:tab/>
        </w:r>
        <w:r w:rsidR="006A3A03" w:rsidRPr="006270BF">
          <w:rPr>
            <w:rStyle w:val="Hyperlink"/>
            <w:rFonts w:eastAsiaTheme="minorHAnsi"/>
            <w:caps/>
            <w:noProof/>
          </w:rPr>
          <w:t>JUSTIFICATION</w:t>
        </w:r>
        <w:r w:rsidR="006A3A03">
          <w:rPr>
            <w:noProof/>
            <w:webHidden/>
          </w:rPr>
          <w:tab/>
        </w:r>
        <w:r w:rsidR="006A3A03">
          <w:rPr>
            <w:noProof/>
            <w:webHidden/>
          </w:rPr>
          <w:fldChar w:fldCharType="begin"/>
        </w:r>
        <w:r w:rsidR="006A3A03">
          <w:rPr>
            <w:noProof/>
            <w:webHidden/>
          </w:rPr>
          <w:instrText xml:space="preserve"> PAGEREF _Toc522700943 \h </w:instrText>
        </w:r>
        <w:r w:rsidR="006A3A03">
          <w:rPr>
            <w:noProof/>
            <w:webHidden/>
          </w:rPr>
        </w:r>
        <w:r w:rsidR="006A3A03">
          <w:rPr>
            <w:noProof/>
            <w:webHidden/>
          </w:rPr>
          <w:fldChar w:fldCharType="separate"/>
        </w:r>
        <w:r w:rsidR="00082D7D">
          <w:rPr>
            <w:noProof/>
            <w:webHidden/>
          </w:rPr>
          <w:t>2</w:t>
        </w:r>
        <w:r w:rsidR="006A3A03">
          <w:rPr>
            <w:noProof/>
            <w:webHidden/>
          </w:rPr>
          <w:fldChar w:fldCharType="end"/>
        </w:r>
      </w:hyperlink>
    </w:p>
    <w:p w14:paraId="2EB05E65" w14:textId="183AE6A8" w:rsidR="006A3A03" w:rsidRDefault="00193A50">
      <w:pPr>
        <w:pStyle w:val="TOC1"/>
        <w:rPr>
          <w:rFonts w:asciiTheme="minorHAnsi" w:eastAsiaTheme="minorEastAsia" w:hAnsiTheme="minorHAnsi" w:cstheme="minorBidi"/>
          <w:noProof/>
          <w:sz w:val="22"/>
        </w:rPr>
      </w:pPr>
      <w:hyperlink w:anchor="_Toc522700944" w:history="1">
        <w:r w:rsidR="006A3A03" w:rsidRPr="006270BF">
          <w:rPr>
            <w:rStyle w:val="Hyperlink"/>
            <w:noProof/>
          </w:rPr>
          <w:t>1.</w:t>
        </w:r>
        <w:r w:rsidR="006A3A03">
          <w:rPr>
            <w:rFonts w:asciiTheme="minorHAnsi" w:eastAsiaTheme="minorEastAsia" w:hAnsiTheme="minorHAnsi" w:cstheme="minorBidi"/>
            <w:noProof/>
            <w:sz w:val="22"/>
          </w:rPr>
          <w:tab/>
        </w:r>
        <w:r w:rsidR="006A3A03" w:rsidRPr="006270BF">
          <w:rPr>
            <w:rStyle w:val="Hyperlink"/>
            <w:noProof/>
          </w:rPr>
          <w:t>Circumstances Making the Collection of Information Necessary</w:t>
        </w:r>
        <w:r w:rsidR="006A3A03">
          <w:rPr>
            <w:noProof/>
            <w:webHidden/>
          </w:rPr>
          <w:tab/>
        </w:r>
        <w:r w:rsidR="006A3A03">
          <w:rPr>
            <w:noProof/>
            <w:webHidden/>
          </w:rPr>
          <w:fldChar w:fldCharType="begin"/>
        </w:r>
        <w:r w:rsidR="006A3A03">
          <w:rPr>
            <w:noProof/>
            <w:webHidden/>
          </w:rPr>
          <w:instrText xml:space="preserve"> PAGEREF _Toc522700944 \h </w:instrText>
        </w:r>
        <w:r w:rsidR="006A3A03">
          <w:rPr>
            <w:noProof/>
            <w:webHidden/>
          </w:rPr>
        </w:r>
        <w:r w:rsidR="006A3A03">
          <w:rPr>
            <w:noProof/>
            <w:webHidden/>
          </w:rPr>
          <w:fldChar w:fldCharType="separate"/>
        </w:r>
        <w:r w:rsidR="00082D7D">
          <w:rPr>
            <w:noProof/>
            <w:webHidden/>
          </w:rPr>
          <w:t>2</w:t>
        </w:r>
        <w:r w:rsidR="006A3A03">
          <w:rPr>
            <w:noProof/>
            <w:webHidden/>
          </w:rPr>
          <w:fldChar w:fldCharType="end"/>
        </w:r>
      </w:hyperlink>
    </w:p>
    <w:p w14:paraId="3F220B14" w14:textId="5E09E7F8" w:rsidR="006A3A03" w:rsidRDefault="00193A50">
      <w:pPr>
        <w:pStyle w:val="TOC1"/>
        <w:rPr>
          <w:rFonts w:asciiTheme="minorHAnsi" w:eastAsiaTheme="minorEastAsia" w:hAnsiTheme="minorHAnsi" w:cstheme="minorBidi"/>
          <w:noProof/>
          <w:sz w:val="22"/>
        </w:rPr>
      </w:pPr>
      <w:hyperlink w:anchor="_Toc522700945" w:history="1">
        <w:r w:rsidR="006A3A03" w:rsidRPr="006270BF">
          <w:rPr>
            <w:rStyle w:val="Hyperlink"/>
            <w:noProof/>
          </w:rPr>
          <w:t>2.</w:t>
        </w:r>
        <w:r w:rsidR="006A3A03">
          <w:rPr>
            <w:rFonts w:asciiTheme="minorHAnsi" w:eastAsiaTheme="minorEastAsia" w:hAnsiTheme="minorHAnsi" w:cstheme="minorBidi"/>
            <w:noProof/>
            <w:sz w:val="22"/>
          </w:rPr>
          <w:tab/>
        </w:r>
        <w:r w:rsidR="006A3A03" w:rsidRPr="006270BF">
          <w:rPr>
            <w:rStyle w:val="Hyperlink"/>
            <w:noProof/>
          </w:rPr>
          <w:t>Purpose and Use of Information Collection</w:t>
        </w:r>
        <w:r w:rsidR="006A3A03">
          <w:rPr>
            <w:noProof/>
            <w:webHidden/>
          </w:rPr>
          <w:tab/>
        </w:r>
        <w:r w:rsidR="006A3A03">
          <w:rPr>
            <w:noProof/>
            <w:webHidden/>
          </w:rPr>
          <w:fldChar w:fldCharType="begin"/>
        </w:r>
        <w:r w:rsidR="006A3A03">
          <w:rPr>
            <w:noProof/>
            <w:webHidden/>
          </w:rPr>
          <w:instrText xml:space="preserve"> PAGEREF _Toc522700945 \h </w:instrText>
        </w:r>
        <w:r w:rsidR="006A3A03">
          <w:rPr>
            <w:noProof/>
            <w:webHidden/>
          </w:rPr>
        </w:r>
        <w:r w:rsidR="006A3A03">
          <w:rPr>
            <w:noProof/>
            <w:webHidden/>
          </w:rPr>
          <w:fldChar w:fldCharType="separate"/>
        </w:r>
        <w:r w:rsidR="00082D7D">
          <w:rPr>
            <w:noProof/>
            <w:webHidden/>
          </w:rPr>
          <w:t>4</w:t>
        </w:r>
        <w:r w:rsidR="006A3A03">
          <w:rPr>
            <w:noProof/>
            <w:webHidden/>
          </w:rPr>
          <w:fldChar w:fldCharType="end"/>
        </w:r>
      </w:hyperlink>
    </w:p>
    <w:p w14:paraId="180FD58F" w14:textId="1323FD91" w:rsidR="006A3A03" w:rsidRDefault="00193A50">
      <w:pPr>
        <w:pStyle w:val="TOC1"/>
        <w:rPr>
          <w:rFonts w:asciiTheme="minorHAnsi" w:eastAsiaTheme="minorEastAsia" w:hAnsiTheme="minorHAnsi" w:cstheme="minorBidi"/>
          <w:noProof/>
          <w:sz w:val="22"/>
        </w:rPr>
      </w:pPr>
      <w:hyperlink w:anchor="_Toc522700946" w:history="1">
        <w:r w:rsidR="006A3A03" w:rsidRPr="006270BF">
          <w:rPr>
            <w:rStyle w:val="Hyperlink"/>
            <w:noProof/>
          </w:rPr>
          <w:t>3.</w:t>
        </w:r>
        <w:r w:rsidR="006A3A03">
          <w:rPr>
            <w:rFonts w:asciiTheme="minorHAnsi" w:eastAsiaTheme="minorEastAsia" w:hAnsiTheme="minorHAnsi" w:cstheme="minorBidi"/>
            <w:noProof/>
            <w:sz w:val="22"/>
          </w:rPr>
          <w:tab/>
        </w:r>
        <w:r w:rsidR="006A3A03" w:rsidRPr="006270BF">
          <w:rPr>
            <w:rStyle w:val="Hyperlink"/>
            <w:noProof/>
          </w:rPr>
          <w:t>Use of Improved Information Technology and Burden Reduction</w:t>
        </w:r>
        <w:r w:rsidR="006A3A03">
          <w:rPr>
            <w:noProof/>
            <w:webHidden/>
          </w:rPr>
          <w:tab/>
        </w:r>
        <w:r w:rsidR="006A3A03">
          <w:rPr>
            <w:noProof/>
            <w:webHidden/>
          </w:rPr>
          <w:fldChar w:fldCharType="begin"/>
        </w:r>
        <w:r w:rsidR="006A3A03">
          <w:rPr>
            <w:noProof/>
            <w:webHidden/>
          </w:rPr>
          <w:instrText xml:space="preserve"> PAGEREF _Toc522700946 \h </w:instrText>
        </w:r>
        <w:r w:rsidR="006A3A03">
          <w:rPr>
            <w:noProof/>
            <w:webHidden/>
          </w:rPr>
        </w:r>
        <w:r w:rsidR="006A3A03">
          <w:rPr>
            <w:noProof/>
            <w:webHidden/>
          </w:rPr>
          <w:fldChar w:fldCharType="separate"/>
        </w:r>
        <w:r w:rsidR="00082D7D">
          <w:rPr>
            <w:noProof/>
            <w:webHidden/>
          </w:rPr>
          <w:t>5</w:t>
        </w:r>
        <w:r w:rsidR="006A3A03">
          <w:rPr>
            <w:noProof/>
            <w:webHidden/>
          </w:rPr>
          <w:fldChar w:fldCharType="end"/>
        </w:r>
      </w:hyperlink>
    </w:p>
    <w:p w14:paraId="328099E1" w14:textId="28F8D49C" w:rsidR="006A3A03" w:rsidRDefault="00193A50">
      <w:pPr>
        <w:pStyle w:val="TOC1"/>
        <w:rPr>
          <w:rFonts w:asciiTheme="minorHAnsi" w:eastAsiaTheme="minorEastAsia" w:hAnsiTheme="minorHAnsi" w:cstheme="minorBidi"/>
          <w:noProof/>
          <w:sz w:val="22"/>
        </w:rPr>
      </w:pPr>
      <w:hyperlink w:anchor="_Toc522700947" w:history="1">
        <w:r w:rsidR="006A3A03" w:rsidRPr="006270BF">
          <w:rPr>
            <w:rStyle w:val="Hyperlink"/>
            <w:noProof/>
          </w:rPr>
          <w:t>4.</w:t>
        </w:r>
        <w:r w:rsidR="006A3A03">
          <w:rPr>
            <w:rFonts w:asciiTheme="minorHAnsi" w:eastAsiaTheme="minorEastAsia" w:hAnsiTheme="minorHAnsi" w:cstheme="minorBidi"/>
            <w:noProof/>
            <w:sz w:val="22"/>
          </w:rPr>
          <w:tab/>
        </w:r>
        <w:r w:rsidR="006A3A03" w:rsidRPr="006270BF">
          <w:rPr>
            <w:rStyle w:val="Hyperlink"/>
            <w:rFonts w:eastAsiaTheme="majorEastAsia"/>
            <w:noProof/>
          </w:rPr>
          <w:t>Efforts</w:t>
        </w:r>
        <w:r w:rsidR="006A3A03" w:rsidRPr="006270BF">
          <w:rPr>
            <w:rStyle w:val="Hyperlink"/>
            <w:noProof/>
          </w:rPr>
          <w:t xml:space="preserve"> to Identify Duplication and Use of Similar Information</w:t>
        </w:r>
        <w:r w:rsidR="006A3A03">
          <w:rPr>
            <w:noProof/>
            <w:webHidden/>
          </w:rPr>
          <w:tab/>
        </w:r>
        <w:r w:rsidR="006A3A03">
          <w:rPr>
            <w:noProof/>
            <w:webHidden/>
          </w:rPr>
          <w:fldChar w:fldCharType="begin"/>
        </w:r>
        <w:r w:rsidR="006A3A03">
          <w:rPr>
            <w:noProof/>
            <w:webHidden/>
          </w:rPr>
          <w:instrText xml:space="preserve"> PAGEREF _Toc522700947 \h </w:instrText>
        </w:r>
        <w:r w:rsidR="006A3A03">
          <w:rPr>
            <w:noProof/>
            <w:webHidden/>
          </w:rPr>
        </w:r>
        <w:r w:rsidR="006A3A03">
          <w:rPr>
            <w:noProof/>
            <w:webHidden/>
          </w:rPr>
          <w:fldChar w:fldCharType="separate"/>
        </w:r>
        <w:r w:rsidR="00082D7D">
          <w:rPr>
            <w:noProof/>
            <w:webHidden/>
          </w:rPr>
          <w:t>5</w:t>
        </w:r>
        <w:r w:rsidR="006A3A03">
          <w:rPr>
            <w:noProof/>
            <w:webHidden/>
          </w:rPr>
          <w:fldChar w:fldCharType="end"/>
        </w:r>
      </w:hyperlink>
    </w:p>
    <w:p w14:paraId="0A9C18CB" w14:textId="68E0BF5D" w:rsidR="006A3A03" w:rsidRDefault="00193A50">
      <w:pPr>
        <w:pStyle w:val="TOC1"/>
        <w:rPr>
          <w:rFonts w:asciiTheme="minorHAnsi" w:eastAsiaTheme="minorEastAsia" w:hAnsiTheme="minorHAnsi" w:cstheme="minorBidi"/>
          <w:noProof/>
          <w:sz w:val="22"/>
        </w:rPr>
      </w:pPr>
      <w:hyperlink w:anchor="_Toc522700948" w:history="1">
        <w:r w:rsidR="006A3A03" w:rsidRPr="006270BF">
          <w:rPr>
            <w:rStyle w:val="Hyperlink"/>
            <w:rFonts w:eastAsiaTheme="majorEastAsia"/>
            <w:noProof/>
          </w:rPr>
          <w:t>5.</w:t>
        </w:r>
        <w:r w:rsidR="006A3A03">
          <w:rPr>
            <w:rFonts w:asciiTheme="minorHAnsi" w:eastAsiaTheme="minorEastAsia" w:hAnsiTheme="minorHAnsi" w:cstheme="minorBidi"/>
            <w:noProof/>
            <w:sz w:val="22"/>
          </w:rPr>
          <w:tab/>
        </w:r>
        <w:r w:rsidR="006A3A03" w:rsidRPr="006270BF">
          <w:rPr>
            <w:rStyle w:val="Hyperlink"/>
            <w:rFonts w:eastAsiaTheme="majorEastAsia"/>
            <w:noProof/>
          </w:rPr>
          <w:t>Impact on Small Businesses or Other Small Entities</w:t>
        </w:r>
        <w:r w:rsidR="006A3A03">
          <w:rPr>
            <w:noProof/>
            <w:webHidden/>
          </w:rPr>
          <w:tab/>
        </w:r>
        <w:r w:rsidR="006A3A03">
          <w:rPr>
            <w:noProof/>
            <w:webHidden/>
          </w:rPr>
          <w:fldChar w:fldCharType="begin"/>
        </w:r>
        <w:r w:rsidR="006A3A03">
          <w:rPr>
            <w:noProof/>
            <w:webHidden/>
          </w:rPr>
          <w:instrText xml:space="preserve"> PAGEREF _Toc522700948 \h </w:instrText>
        </w:r>
        <w:r w:rsidR="006A3A03">
          <w:rPr>
            <w:noProof/>
            <w:webHidden/>
          </w:rPr>
        </w:r>
        <w:r w:rsidR="006A3A03">
          <w:rPr>
            <w:noProof/>
            <w:webHidden/>
          </w:rPr>
          <w:fldChar w:fldCharType="separate"/>
        </w:r>
        <w:r w:rsidR="00082D7D">
          <w:rPr>
            <w:noProof/>
            <w:webHidden/>
          </w:rPr>
          <w:t>5</w:t>
        </w:r>
        <w:r w:rsidR="006A3A03">
          <w:rPr>
            <w:noProof/>
            <w:webHidden/>
          </w:rPr>
          <w:fldChar w:fldCharType="end"/>
        </w:r>
      </w:hyperlink>
    </w:p>
    <w:p w14:paraId="216FE53C" w14:textId="6B71A99E" w:rsidR="006A3A03" w:rsidRDefault="00193A50">
      <w:pPr>
        <w:pStyle w:val="TOC1"/>
        <w:rPr>
          <w:rFonts w:asciiTheme="minorHAnsi" w:eastAsiaTheme="minorEastAsia" w:hAnsiTheme="minorHAnsi" w:cstheme="minorBidi"/>
          <w:noProof/>
          <w:sz w:val="22"/>
        </w:rPr>
      </w:pPr>
      <w:hyperlink w:anchor="_Toc522700949" w:history="1">
        <w:r w:rsidR="006A3A03" w:rsidRPr="006270BF">
          <w:rPr>
            <w:rStyle w:val="Hyperlink"/>
            <w:noProof/>
          </w:rPr>
          <w:t>6.</w:t>
        </w:r>
        <w:r w:rsidR="006A3A03">
          <w:rPr>
            <w:rFonts w:asciiTheme="minorHAnsi" w:eastAsiaTheme="minorEastAsia" w:hAnsiTheme="minorHAnsi" w:cstheme="minorBidi"/>
            <w:noProof/>
            <w:sz w:val="22"/>
          </w:rPr>
          <w:tab/>
        </w:r>
        <w:r w:rsidR="006A3A03" w:rsidRPr="006270BF">
          <w:rPr>
            <w:rStyle w:val="Hyperlink"/>
            <w:noProof/>
          </w:rPr>
          <w:t>Consequences of Collecting the Information Less Frequently</w:t>
        </w:r>
        <w:r w:rsidR="006A3A03">
          <w:rPr>
            <w:noProof/>
            <w:webHidden/>
          </w:rPr>
          <w:tab/>
        </w:r>
        <w:r w:rsidR="006A3A03">
          <w:rPr>
            <w:noProof/>
            <w:webHidden/>
          </w:rPr>
          <w:fldChar w:fldCharType="begin"/>
        </w:r>
        <w:r w:rsidR="006A3A03">
          <w:rPr>
            <w:noProof/>
            <w:webHidden/>
          </w:rPr>
          <w:instrText xml:space="preserve"> PAGEREF _Toc522700949 \h </w:instrText>
        </w:r>
        <w:r w:rsidR="006A3A03">
          <w:rPr>
            <w:noProof/>
            <w:webHidden/>
          </w:rPr>
        </w:r>
        <w:r w:rsidR="006A3A03">
          <w:rPr>
            <w:noProof/>
            <w:webHidden/>
          </w:rPr>
          <w:fldChar w:fldCharType="separate"/>
        </w:r>
        <w:r w:rsidR="00082D7D">
          <w:rPr>
            <w:noProof/>
            <w:webHidden/>
          </w:rPr>
          <w:t>5</w:t>
        </w:r>
        <w:r w:rsidR="006A3A03">
          <w:rPr>
            <w:noProof/>
            <w:webHidden/>
          </w:rPr>
          <w:fldChar w:fldCharType="end"/>
        </w:r>
      </w:hyperlink>
    </w:p>
    <w:p w14:paraId="5CB9FF32" w14:textId="178D0429" w:rsidR="006A3A03" w:rsidRDefault="00193A50">
      <w:pPr>
        <w:pStyle w:val="TOC1"/>
        <w:rPr>
          <w:rFonts w:asciiTheme="minorHAnsi" w:eastAsiaTheme="minorEastAsia" w:hAnsiTheme="minorHAnsi" w:cstheme="minorBidi"/>
          <w:noProof/>
          <w:sz w:val="22"/>
        </w:rPr>
      </w:pPr>
      <w:hyperlink w:anchor="_Toc522700950" w:history="1">
        <w:r w:rsidR="006A3A03" w:rsidRPr="006270BF">
          <w:rPr>
            <w:rStyle w:val="Hyperlink"/>
            <w:noProof/>
          </w:rPr>
          <w:t>7.</w:t>
        </w:r>
        <w:r w:rsidR="006A3A03">
          <w:rPr>
            <w:rFonts w:asciiTheme="minorHAnsi" w:eastAsiaTheme="minorEastAsia" w:hAnsiTheme="minorHAnsi" w:cstheme="minorBidi"/>
            <w:noProof/>
            <w:sz w:val="22"/>
          </w:rPr>
          <w:tab/>
        </w:r>
        <w:r w:rsidR="006A3A03" w:rsidRPr="006270BF">
          <w:rPr>
            <w:rStyle w:val="Hyperlink"/>
            <w:noProof/>
          </w:rPr>
          <w:t>Special Circumstances Relating to the Guidelines of 5 CFR 1320.5</w:t>
        </w:r>
        <w:r w:rsidR="006A3A03">
          <w:rPr>
            <w:noProof/>
            <w:webHidden/>
          </w:rPr>
          <w:tab/>
        </w:r>
        <w:r w:rsidR="006A3A03">
          <w:rPr>
            <w:noProof/>
            <w:webHidden/>
          </w:rPr>
          <w:fldChar w:fldCharType="begin"/>
        </w:r>
        <w:r w:rsidR="006A3A03">
          <w:rPr>
            <w:noProof/>
            <w:webHidden/>
          </w:rPr>
          <w:instrText xml:space="preserve"> PAGEREF _Toc522700950 \h </w:instrText>
        </w:r>
        <w:r w:rsidR="006A3A03">
          <w:rPr>
            <w:noProof/>
            <w:webHidden/>
          </w:rPr>
        </w:r>
        <w:r w:rsidR="006A3A03">
          <w:rPr>
            <w:noProof/>
            <w:webHidden/>
          </w:rPr>
          <w:fldChar w:fldCharType="separate"/>
        </w:r>
        <w:r w:rsidR="00082D7D">
          <w:rPr>
            <w:noProof/>
            <w:webHidden/>
          </w:rPr>
          <w:t>6</w:t>
        </w:r>
        <w:r w:rsidR="006A3A03">
          <w:rPr>
            <w:noProof/>
            <w:webHidden/>
          </w:rPr>
          <w:fldChar w:fldCharType="end"/>
        </w:r>
      </w:hyperlink>
    </w:p>
    <w:p w14:paraId="667FF72E" w14:textId="499C025C" w:rsidR="006A3A03" w:rsidRDefault="00193A50">
      <w:pPr>
        <w:pStyle w:val="TOC1"/>
        <w:rPr>
          <w:rFonts w:asciiTheme="minorHAnsi" w:eastAsiaTheme="minorEastAsia" w:hAnsiTheme="minorHAnsi" w:cstheme="minorBidi"/>
          <w:noProof/>
          <w:sz w:val="22"/>
        </w:rPr>
      </w:pPr>
      <w:hyperlink w:anchor="_Toc522700951" w:history="1">
        <w:r w:rsidR="006A3A03" w:rsidRPr="006270BF">
          <w:rPr>
            <w:rStyle w:val="Hyperlink"/>
            <w:noProof/>
          </w:rPr>
          <w:t>8.</w:t>
        </w:r>
        <w:r w:rsidR="006A3A03">
          <w:rPr>
            <w:rFonts w:asciiTheme="minorHAnsi" w:eastAsiaTheme="minorEastAsia" w:hAnsiTheme="minorHAnsi" w:cstheme="minorBidi"/>
            <w:noProof/>
            <w:sz w:val="22"/>
          </w:rPr>
          <w:tab/>
        </w:r>
        <w:r w:rsidR="006A3A03" w:rsidRPr="006270BF">
          <w:rPr>
            <w:rStyle w:val="Hyperlink"/>
            <w:noProof/>
          </w:rPr>
          <w:t>Comments in Response to the Federal Register Notice and Efforts to Consult Outside the Agency</w:t>
        </w:r>
        <w:r w:rsidR="006A3A03">
          <w:rPr>
            <w:noProof/>
            <w:webHidden/>
          </w:rPr>
          <w:tab/>
        </w:r>
        <w:r w:rsidR="006A3A03">
          <w:rPr>
            <w:noProof/>
            <w:webHidden/>
          </w:rPr>
          <w:fldChar w:fldCharType="begin"/>
        </w:r>
        <w:r w:rsidR="006A3A03">
          <w:rPr>
            <w:noProof/>
            <w:webHidden/>
          </w:rPr>
          <w:instrText xml:space="preserve"> PAGEREF _Toc522700951 \h </w:instrText>
        </w:r>
        <w:r w:rsidR="006A3A03">
          <w:rPr>
            <w:noProof/>
            <w:webHidden/>
          </w:rPr>
        </w:r>
        <w:r w:rsidR="006A3A03">
          <w:rPr>
            <w:noProof/>
            <w:webHidden/>
          </w:rPr>
          <w:fldChar w:fldCharType="separate"/>
        </w:r>
        <w:r w:rsidR="00082D7D">
          <w:rPr>
            <w:noProof/>
            <w:webHidden/>
          </w:rPr>
          <w:t>6</w:t>
        </w:r>
        <w:r w:rsidR="006A3A03">
          <w:rPr>
            <w:noProof/>
            <w:webHidden/>
          </w:rPr>
          <w:fldChar w:fldCharType="end"/>
        </w:r>
      </w:hyperlink>
    </w:p>
    <w:p w14:paraId="563A8DA1" w14:textId="63D323E2" w:rsidR="006A3A03" w:rsidRDefault="00193A50">
      <w:pPr>
        <w:pStyle w:val="TOC1"/>
        <w:rPr>
          <w:rFonts w:asciiTheme="minorHAnsi" w:eastAsiaTheme="minorEastAsia" w:hAnsiTheme="minorHAnsi" w:cstheme="minorBidi"/>
          <w:noProof/>
          <w:sz w:val="22"/>
        </w:rPr>
      </w:pPr>
      <w:hyperlink w:anchor="_Toc522700952" w:history="1">
        <w:r w:rsidR="006A3A03" w:rsidRPr="006270BF">
          <w:rPr>
            <w:rStyle w:val="Hyperlink"/>
            <w:noProof/>
          </w:rPr>
          <w:t>9.</w:t>
        </w:r>
        <w:r w:rsidR="006A3A03">
          <w:rPr>
            <w:rFonts w:asciiTheme="minorHAnsi" w:eastAsiaTheme="minorEastAsia" w:hAnsiTheme="minorHAnsi" w:cstheme="minorBidi"/>
            <w:noProof/>
            <w:sz w:val="22"/>
          </w:rPr>
          <w:tab/>
        </w:r>
        <w:r w:rsidR="006A3A03" w:rsidRPr="006270BF">
          <w:rPr>
            <w:rStyle w:val="Hyperlink"/>
            <w:noProof/>
          </w:rPr>
          <w:t>Explanation of Any Payment or Gift to Respondents</w:t>
        </w:r>
        <w:r w:rsidR="006A3A03">
          <w:rPr>
            <w:noProof/>
            <w:webHidden/>
          </w:rPr>
          <w:tab/>
        </w:r>
        <w:r w:rsidR="006A3A03">
          <w:rPr>
            <w:noProof/>
            <w:webHidden/>
          </w:rPr>
          <w:fldChar w:fldCharType="begin"/>
        </w:r>
        <w:r w:rsidR="006A3A03">
          <w:rPr>
            <w:noProof/>
            <w:webHidden/>
          </w:rPr>
          <w:instrText xml:space="preserve"> PAGEREF _Toc522700952 \h </w:instrText>
        </w:r>
        <w:r w:rsidR="006A3A03">
          <w:rPr>
            <w:noProof/>
            <w:webHidden/>
          </w:rPr>
        </w:r>
        <w:r w:rsidR="006A3A03">
          <w:rPr>
            <w:noProof/>
            <w:webHidden/>
          </w:rPr>
          <w:fldChar w:fldCharType="separate"/>
        </w:r>
        <w:r w:rsidR="00082D7D">
          <w:rPr>
            <w:noProof/>
            <w:webHidden/>
          </w:rPr>
          <w:t>6</w:t>
        </w:r>
        <w:r w:rsidR="006A3A03">
          <w:rPr>
            <w:noProof/>
            <w:webHidden/>
          </w:rPr>
          <w:fldChar w:fldCharType="end"/>
        </w:r>
      </w:hyperlink>
    </w:p>
    <w:p w14:paraId="1F58453D" w14:textId="2A9C095D" w:rsidR="006A3A03" w:rsidRDefault="00193A50">
      <w:pPr>
        <w:pStyle w:val="TOC1"/>
        <w:rPr>
          <w:rFonts w:asciiTheme="minorHAnsi" w:eastAsiaTheme="minorEastAsia" w:hAnsiTheme="minorHAnsi" w:cstheme="minorBidi"/>
          <w:noProof/>
          <w:sz w:val="22"/>
        </w:rPr>
      </w:pPr>
      <w:hyperlink w:anchor="_Toc522700953" w:history="1">
        <w:r w:rsidR="006A3A03" w:rsidRPr="006270BF">
          <w:rPr>
            <w:rStyle w:val="Hyperlink"/>
            <w:noProof/>
          </w:rPr>
          <w:t>10.</w:t>
        </w:r>
        <w:r w:rsidR="006A3A03">
          <w:rPr>
            <w:rFonts w:asciiTheme="minorHAnsi" w:eastAsiaTheme="minorEastAsia" w:hAnsiTheme="minorHAnsi" w:cstheme="minorBidi"/>
            <w:noProof/>
            <w:sz w:val="22"/>
          </w:rPr>
          <w:tab/>
        </w:r>
        <w:r w:rsidR="006A3A03" w:rsidRPr="006270BF">
          <w:rPr>
            <w:rStyle w:val="Hyperlink"/>
            <w:noProof/>
          </w:rPr>
          <w:t>Assurance of Confidentiality Provided to Respondents</w:t>
        </w:r>
        <w:r w:rsidR="006A3A03">
          <w:rPr>
            <w:noProof/>
            <w:webHidden/>
          </w:rPr>
          <w:tab/>
        </w:r>
        <w:r w:rsidR="006A3A03">
          <w:rPr>
            <w:noProof/>
            <w:webHidden/>
          </w:rPr>
          <w:fldChar w:fldCharType="begin"/>
        </w:r>
        <w:r w:rsidR="006A3A03">
          <w:rPr>
            <w:noProof/>
            <w:webHidden/>
          </w:rPr>
          <w:instrText xml:space="preserve"> PAGEREF _Toc522700953 \h </w:instrText>
        </w:r>
        <w:r w:rsidR="006A3A03">
          <w:rPr>
            <w:noProof/>
            <w:webHidden/>
          </w:rPr>
        </w:r>
        <w:r w:rsidR="006A3A03">
          <w:rPr>
            <w:noProof/>
            <w:webHidden/>
          </w:rPr>
          <w:fldChar w:fldCharType="separate"/>
        </w:r>
        <w:r w:rsidR="00082D7D">
          <w:rPr>
            <w:noProof/>
            <w:webHidden/>
          </w:rPr>
          <w:t>6</w:t>
        </w:r>
        <w:r w:rsidR="006A3A03">
          <w:rPr>
            <w:noProof/>
            <w:webHidden/>
          </w:rPr>
          <w:fldChar w:fldCharType="end"/>
        </w:r>
      </w:hyperlink>
    </w:p>
    <w:p w14:paraId="1864F048" w14:textId="285630B2" w:rsidR="006A3A03" w:rsidRDefault="00193A50">
      <w:pPr>
        <w:pStyle w:val="TOC1"/>
        <w:rPr>
          <w:rFonts w:asciiTheme="minorHAnsi" w:eastAsiaTheme="minorEastAsia" w:hAnsiTheme="minorHAnsi" w:cstheme="minorBidi"/>
          <w:noProof/>
          <w:sz w:val="22"/>
        </w:rPr>
      </w:pPr>
      <w:hyperlink w:anchor="_Toc522700954" w:history="1">
        <w:r w:rsidR="006A3A03" w:rsidRPr="006270BF">
          <w:rPr>
            <w:rStyle w:val="Hyperlink"/>
            <w:noProof/>
          </w:rPr>
          <w:t>11.</w:t>
        </w:r>
        <w:r w:rsidR="006A3A03">
          <w:rPr>
            <w:rFonts w:asciiTheme="minorHAnsi" w:eastAsiaTheme="minorEastAsia" w:hAnsiTheme="minorHAnsi" w:cstheme="minorBidi"/>
            <w:noProof/>
            <w:sz w:val="22"/>
          </w:rPr>
          <w:tab/>
        </w:r>
        <w:r w:rsidR="006A3A03" w:rsidRPr="006270BF">
          <w:rPr>
            <w:rStyle w:val="Hyperlink"/>
            <w:noProof/>
          </w:rPr>
          <w:t>Justification for Sensitive Questions</w:t>
        </w:r>
        <w:r w:rsidR="006A3A03">
          <w:rPr>
            <w:noProof/>
            <w:webHidden/>
          </w:rPr>
          <w:tab/>
        </w:r>
        <w:r w:rsidR="006A3A03">
          <w:rPr>
            <w:noProof/>
            <w:webHidden/>
          </w:rPr>
          <w:fldChar w:fldCharType="begin"/>
        </w:r>
        <w:r w:rsidR="006A3A03">
          <w:rPr>
            <w:noProof/>
            <w:webHidden/>
          </w:rPr>
          <w:instrText xml:space="preserve"> PAGEREF _Toc522700954 \h </w:instrText>
        </w:r>
        <w:r w:rsidR="006A3A03">
          <w:rPr>
            <w:noProof/>
            <w:webHidden/>
          </w:rPr>
        </w:r>
        <w:r w:rsidR="006A3A03">
          <w:rPr>
            <w:noProof/>
            <w:webHidden/>
          </w:rPr>
          <w:fldChar w:fldCharType="separate"/>
        </w:r>
        <w:r w:rsidR="00082D7D">
          <w:rPr>
            <w:noProof/>
            <w:webHidden/>
          </w:rPr>
          <w:t>9</w:t>
        </w:r>
        <w:r w:rsidR="006A3A03">
          <w:rPr>
            <w:noProof/>
            <w:webHidden/>
          </w:rPr>
          <w:fldChar w:fldCharType="end"/>
        </w:r>
      </w:hyperlink>
    </w:p>
    <w:p w14:paraId="7362B9B1" w14:textId="006FF120" w:rsidR="006A3A03" w:rsidRDefault="00193A50">
      <w:pPr>
        <w:pStyle w:val="TOC1"/>
        <w:rPr>
          <w:rFonts w:asciiTheme="minorHAnsi" w:eastAsiaTheme="minorEastAsia" w:hAnsiTheme="minorHAnsi" w:cstheme="minorBidi"/>
          <w:noProof/>
          <w:sz w:val="22"/>
        </w:rPr>
      </w:pPr>
      <w:hyperlink w:anchor="_Toc522700955" w:history="1">
        <w:r w:rsidR="006A3A03" w:rsidRPr="006270BF">
          <w:rPr>
            <w:rStyle w:val="Hyperlink"/>
            <w:noProof/>
          </w:rPr>
          <w:t>12.</w:t>
        </w:r>
        <w:r w:rsidR="006A3A03">
          <w:rPr>
            <w:rFonts w:asciiTheme="minorHAnsi" w:eastAsiaTheme="minorEastAsia" w:hAnsiTheme="minorHAnsi" w:cstheme="minorBidi"/>
            <w:noProof/>
            <w:sz w:val="22"/>
          </w:rPr>
          <w:tab/>
        </w:r>
        <w:r w:rsidR="006A3A03" w:rsidRPr="006270BF">
          <w:rPr>
            <w:rStyle w:val="Hyperlink"/>
            <w:noProof/>
          </w:rPr>
          <w:t>Estimates of Annualized Burden Hours and Costs</w:t>
        </w:r>
        <w:r w:rsidR="006A3A03">
          <w:rPr>
            <w:noProof/>
            <w:webHidden/>
          </w:rPr>
          <w:tab/>
        </w:r>
        <w:r w:rsidR="006A3A03">
          <w:rPr>
            <w:noProof/>
            <w:webHidden/>
          </w:rPr>
          <w:fldChar w:fldCharType="begin"/>
        </w:r>
        <w:r w:rsidR="006A3A03">
          <w:rPr>
            <w:noProof/>
            <w:webHidden/>
          </w:rPr>
          <w:instrText xml:space="preserve"> PAGEREF _Toc522700955 \h </w:instrText>
        </w:r>
        <w:r w:rsidR="006A3A03">
          <w:rPr>
            <w:noProof/>
            <w:webHidden/>
          </w:rPr>
        </w:r>
        <w:r w:rsidR="006A3A03">
          <w:rPr>
            <w:noProof/>
            <w:webHidden/>
          </w:rPr>
          <w:fldChar w:fldCharType="separate"/>
        </w:r>
        <w:r w:rsidR="00082D7D">
          <w:rPr>
            <w:noProof/>
            <w:webHidden/>
          </w:rPr>
          <w:t>9</w:t>
        </w:r>
        <w:r w:rsidR="006A3A03">
          <w:rPr>
            <w:noProof/>
            <w:webHidden/>
          </w:rPr>
          <w:fldChar w:fldCharType="end"/>
        </w:r>
      </w:hyperlink>
    </w:p>
    <w:p w14:paraId="2D7ABCB4" w14:textId="3FC73372" w:rsidR="006A3A03" w:rsidRDefault="00193A50">
      <w:pPr>
        <w:pStyle w:val="TOC1"/>
        <w:rPr>
          <w:rFonts w:asciiTheme="minorHAnsi" w:eastAsiaTheme="minorEastAsia" w:hAnsiTheme="minorHAnsi" w:cstheme="minorBidi"/>
          <w:noProof/>
          <w:sz w:val="22"/>
        </w:rPr>
      </w:pPr>
      <w:hyperlink w:anchor="_Toc522700956" w:history="1">
        <w:r w:rsidR="006A3A03" w:rsidRPr="006270BF">
          <w:rPr>
            <w:rStyle w:val="Hyperlink"/>
            <w:noProof/>
          </w:rPr>
          <w:t>13.</w:t>
        </w:r>
        <w:r w:rsidR="006A3A03">
          <w:rPr>
            <w:rFonts w:asciiTheme="minorHAnsi" w:eastAsiaTheme="minorEastAsia" w:hAnsiTheme="minorHAnsi" w:cstheme="minorBidi"/>
            <w:noProof/>
            <w:sz w:val="22"/>
          </w:rPr>
          <w:tab/>
        </w:r>
        <w:r w:rsidR="006A3A03" w:rsidRPr="006270BF">
          <w:rPr>
            <w:rStyle w:val="Hyperlink"/>
            <w:noProof/>
          </w:rPr>
          <w:t>Estimates of Other Total Annual Cost Burden to Respondents and Record Keepers</w:t>
        </w:r>
        <w:r w:rsidR="006A3A03">
          <w:rPr>
            <w:noProof/>
            <w:webHidden/>
          </w:rPr>
          <w:tab/>
        </w:r>
        <w:r w:rsidR="006A3A03">
          <w:rPr>
            <w:noProof/>
            <w:webHidden/>
          </w:rPr>
          <w:fldChar w:fldCharType="begin"/>
        </w:r>
        <w:r w:rsidR="006A3A03">
          <w:rPr>
            <w:noProof/>
            <w:webHidden/>
          </w:rPr>
          <w:instrText xml:space="preserve"> PAGEREF _Toc522700956 \h </w:instrText>
        </w:r>
        <w:r w:rsidR="006A3A03">
          <w:rPr>
            <w:noProof/>
            <w:webHidden/>
          </w:rPr>
        </w:r>
        <w:r w:rsidR="006A3A03">
          <w:rPr>
            <w:noProof/>
            <w:webHidden/>
          </w:rPr>
          <w:fldChar w:fldCharType="separate"/>
        </w:r>
        <w:r w:rsidR="00082D7D">
          <w:rPr>
            <w:noProof/>
            <w:webHidden/>
          </w:rPr>
          <w:t>11</w:t>
        </w:r>
        <w:r w:rsidR="006A3A03">
          <w:rPr>
            <w:noProof/>
            <w:webHidden/>
          </w:rPr>
          <w:fldChar w:fldCharType="end"/>
        </w:r>
      </w:hyperlink>
    </w:p>
    <w:p w14:paraId="58A6138A" w14:textId="07D8C701" w:rsidR="006A3A03" w:rsidRDefault="00193A50">
      <w:pPr>
        <w:pStyle w:val="TOC1"/>
        <w:rPr>
          <w:rFonts w:asciiTheme="minorHAnsi" w:eastAsiaTheme="minorEastAsia" w:hAnsiTheme="minorHAnsi" w:cstheme="minorBidi"/>
          <w:noProof/>
          <w:sz w:val="22"/>
        </w:rPr>
      </w:pPr>
      <w:hyperlink w:anchor="_Toc522700957" w:history="1">
        <w:r w:rsidR="006A3A03" w:rsidRPr="006270BF">
          <w:rPr>
            <w:rStyle w:val="Hyperlink"/>
            <w:noProof/>
          </w:rPr>
          <w:t>14.</w:t>
        </w:r>
        <w:r w:rsidR="006A3A03">
          <w:rPr>
            <w:rFonts w:asciiTheme="minorHAnsi" w:eastAsiaTheme="minorEastAsia" w:hAnsiTheme="minorHAnsi" w:cstheme="minorBidi"/>
            <w:noProof/>
            <w:sz w:val="22"/>
          </w:rPr>
          <w:tab/>
        </w:r>
        <w:r w:rsidR="006A3A03" w:rsidRPr="006270BF">
          <w:rPr>
            <w:rStyle w:val="Hyperlink"/>
            <w:noProof/>
          </w:rPr>
          <w:t>Annualized Cost to the Government</w:t>
        </w:r>
        <w:r w:rsidR="006A3A03">
          <w:rPr>
            <w:noProof/>
            <w:webHidden/>
          </w:rPr>
          <w:tab/>
        </w:r>
        <w:r w:rsidR="006A3A03">
          <w:rPr>
            <w:noProof/>
            <w:webHidden/>
          </w:rPr>
          <w:fldChar w:fldCharType="begin"/>
        </w:r>
        <w:r w:rsidR="006A3A03">
          <w:rPr>
            <w:noProof/>
            <w:webHidden/>
          </w:rPr>
          <w:instrText xml:space="preserve"> PAGEREF _Toc522700957 \h </w:instrText>
        </w:r>
        <w:r w:rsidR="006A3A03">
          <w:rPr>
            <w:noProof/>
            <w:webHidden/>
          </w:rPr>
        </w:r>
        <w:r w:rsidR="006A3A03">
          <w:rPr>
            <w:noProof/>
            <w:webHidden/>
          </w:rPr>
          <w:fldChar w:fldCharType="separate"/>
        </w:r>
        <w:r w:rsidR="00082D7D">
          <w:rPr>
            <w:noProof/>
            <w:webHidden/>
          </w:rPr>
          <w:t>11</w:t>
        </w:r>
        <w:r w:rsidR="006A3A03">
          <w:rPr>
            <w:noProof/>
            <w:webHidden/>
          </w:rPr>
          <w:fldChar w:fldCharType="end"/>
        </w:r>
      </w:hyperlink>
    </w:p>
    <w:p w14:paraId="76488047" w14:textId="3848D41B" w:rsidR="006A3A03" w:rsidRDefault="00193A50">
      <w:pPr>
        <w:pStyle w:val="TOC1"/>
        <w:rPr>
          <w:rFonts w:asciiTheme="minorHAnsi" w:eastAsiaTheme="minorEastAsia" w:hAnsiTheme="minorHAnsi" w:cstheme="minorBidi"/>
          <w:noProof/>
          <w:sz w:val="22"/>
        </w:rPr>
      </w:pPr>
      <w:hyperlink w:anchor="_Toc522700958" w:history="1">
        <w:r w:rsidR="006A3A03" w:rsidRPr="006270BF">
          <w:rPr>
            <w:rStyle w:val="Hyperlink"/>
            <w:noProof/>
          </w:rPr>
          <w:t>15.</w:t>
        </w:r>
        <w:r w:rsidR="006A3A03">
          <w:rPr>
            <w:rFonts w:asciiTheme="minorHAnsi" w:eastAsiaTheme="minorEastAsia" w:hAnsiTheme="minorHAnsi" w:cstheme="minorBidi"/>
            <w:noProof/>
            <w:sz w:val="22"/>
          </w:rPr>
          <w:tab/>
        </w:r>
        <w:r w:rsidR="006A3A03" w:rsidRPr="006270BF">
          <w:rPr>
            <w:rStyle w:val="Hyperlink"/>
            <w:noProof/>
          </w:rPr>
          <w:t>Explanation for Program Changes or Adjustments</w:t>
        </w:r>
        <w:r w:rsidR="006A3A03">
          <w:rPr>
            <w:noProof/>
            <w:webHidden/>
          </w:rPr>
          <w:tab/>
        </w:r>
        <w:r w:rsidR="006A3A03">
          <w:rPr>
            <w:noProof/>
            <w:webHidden/>
          </w:rPr>
          <w:fldChar w:fldCharType="begin"/>
        </w:r>
        <w:r w:rsidR="006A3A03">
          <w:rPr>
            <w:noProof/>
            <w:webHidden/>
          </w:rPr>
          <w:instrText xml:space="preserve"> PAGEREF _Toc522700958 \h </w:instrText>
        </w:r>
        <w:r w:rsidR="006A3A03">
          <w:rPr>
            <w:noProof/>
            <w:webHidden/>
          </w:rPr>
        </w:r>
        <w:r w:rsidR="006A3A03">
          <w:rPr>
            <w:noProof/>
            <w:webHidden/>
          </w:rPr>
          <w:fldChar w:fldCharType="separate"/>
        </w:r>
        <w:r w:rsidR="00082D7D">
          <w:rPr>
            <w:noProof/>
            <w:webHidden/>
          </w:rPr>
          <w:t>12</w:t>
        </w:r>
        <w:r w:rsidR="006A3A03">
          <w:rPr>
            <w:noProof/>
            <w:webHidden/>
          </w:rPr>
          <w:fldChar w:fldCharType="end"/>
        </w:r>
      </w:hyperlink>
    </w:p>
    <w:p w14:paraId="566E1A41" w14:textId="1B078E44" w:rsidR="006A3A03" w:rsidRDefault="00193A50">
      <w:pPr>
        <w:pStyle w:val="TOC1"/>
        <w:rPr>
          <w:rFonts w:asciiTheme="minorHAnsi" w:eastAsiaTheme="minorEastAsia" w:hAnsiTheme="minorHAnsi" w:cstheme="minorBidi"/>
          <w:noProof/>
          <w:sz w:val="22"/>
        </w:rPr>
      </w:pPr>
      <w:hyperlink w:anchor="_Toc522700959" w:history="1">
        <w:r w:rsidR="006A3A03" w:rsidRPr="006270BF">
          <w:rPr>
            <w:rStyle w:val="Hyperlink"/>
            <w:noProof/>
          </w:rPr>
          <w:t>16.</w:t>
        </w:r>
        <w:r w:rsidR="006A3A03">
          <w:rPr>
            <w:rFonts w:asciiTheme="minorHAnsi" w:eastAsiaTheme="minorEastAsia" w:hAnsiTheme="minorHAnsi" w:cstheme="minorBidi"/>
            <w:noProof/>
            <w:sz w:val="22"/>
          </w:rPr>
          <w:tab/>
        </w:r>
        <w:r w:rsidR="006A3A03" w:rsidRPr="006270BF">
          <w:rPr>
            <w:rStyle w:val="Hyperlink"/>
            <w:noProof/>
          </w:rPr>
          <w:t>Plans for Tabulation and Publication and Project Time Schedule</w:t>
        </w:r>
        <w:r w:rsidR="006A3A03">
          <w:rPr>
            <w:noProof/>
            <w:webHidden/>
          </w:rPr>
          <w:tab/>
        </w:r>
        <w:r w:rsidR="006A3A03">
          <w:rPr>
            <w:noProof/>
            <w:webHidden/>
          </w:rPr>
          <w:fldChar w:fldCharType="begin"/>
        </w:r>
        <w:r w:rsidR="006A3A03">
          <w:rPr>
            <w:noProof/>
            <w:webHidden/>
          </w:rPr>
          <w:instrText xml:space="preserve"> PAGEREF _Toc522700959 \h </w:instrText>
        </w:r>
        <w:r w:rsidR="006A3A03">
          <w:rPr>
            <w:noProof/>
            <w:webHidden/>
          </w:rPr>
        </w:r>
        <w:r w:rsidR="006A3A03">
          <w:rPr>
            <w:noProof/>
            <w:webHidden/>
          </w:rPr>
          <w:fldChar w:fldCharType="separate"/>
        </w:r>
        <w:r w:rsidR="00082D7D">
          <w:rPr>
            <w:noProof/>
            <w:webHidden/>
          </w:rPr>
          <w:t>12</w:t>
        </w:r>
        <w:r w:rsidR="006A3A03">
          <w:rPr>
            <w:noProof/>
            <w:webHidden/>
          </w:rPr>
          <w:fldChar w:fldCharType="end"/>
        </w:r>
      </w:hyperlink>
    </w:p>
    <w:p w14:paraId="58F21032" w14:textId="28F5AC45" w:rsidR="006A3A03" w:rsidRDefault="00193A50">
      <w:pPr>
        <w:pStyle w:val="TOC1"/>
        <w:rPr>
          <w:rFonts w:asciiTheme="minorHAnsi" w:eastAsiaTheme="minorEastAsia" w:hAnsiTheme="minorHAnsi" w:cstheme="minorBidi"/>
          <w:noProof/>
          <w:sz w:val="22"/>
        </w:rPr>
      </w:pPr>
      <w:hyperlink w:anchor="_Toc522700960" w:history="1">
        <w:r w:rsidR="006A3A03" w:rsidRPr="006270BF">
          <w:rPr>
            <w:rStyle w:val="Hyperlink"/>
            <w:noProof/>
          </w:rPr>
          <w:t>17.</w:t>
        </w:r>
        <w:r w:rsidR="006A3A03">
          <w:rPr>
            <w:rFonts w:asciiTheme="minorHAnsi" w:eastAsiaTheme="minorEastAsia" w:hAnsiTheme="minorHAnsi" w:cstheme="minorBidi"/>
            <w:noProof/>
            <w:sz w:val="22"/>
          </w:rPr>
          <w:tab/>
        </w:r>
        <w:r w:rsidR="006A3A03" w:rsidRPr="006270BF">
          <w:rPr>
            <w:rStyle w:val="Hyperlink"/>
            <w:noProof/>
          </w:rPr>
          <w:t>Reasons Display of OMB Expiration Date is Inappropriate</w:t>
        </w:r>
        <w:r w:rsidR="006A3A03">
          <w:rPr>
            <w:noProof/>
            <w:webHidden/>
          </w:rPr>
          <w:tab/>
        </w:r>
        <w:r w:rsidR="006A3A03">
          <w:rPr>
            <w:noProof/>
            <w:webHidden/>
          </w:rPr>
          <w:fldChar w:fldCharType="begin"/>
        </w:r>
        <w:r w:rsidR="006A3A03">
          <w:rPr>
            <w:noProof/>
            <w:webHidden/>
          </w:rPr>
          <w:instrText xml:space="preserve"> PAGEREF _Toc522700960 \h </w:instrText>
        </w:r>
        <w:r w:rsidR="006A3A03">
          <w:rPr>
            <w:noProof/>
            <w:webHidden/>
          </w:rPr>
        </w:r>
        <w:r w:rsidR="006A3A03">
          <w:rPr>
            <w:noProof/>
            <w:webHidden/>
          </w:rPr>
          <w:fldChar w:fldCharType="separate"/>
        </w:r>
        <w:r w:rsidR="00082D7D">
          <w:rPr>
            <w:noProof/>
            <w:webHidden/>
          </w:rPr>
          <w:t>13</w:t>
        </w:r>
        <w:r w:rsidR="006A3A03">
          <w:rPr>
            <w:noProof/>
            <w:webHidden/>
          </w:rPr>
          <w:fldChar w:fldCharType="end"/>
        </w:r>
      </w:hyperlink>
    </w:p>
    <w:p w14:paraId="59642D2C" w14:textId="0BBF4A4E" w:rsidR="006A3A03" w:rsidRDefault="00193A50">
      <w:pPr>
        <w:pStyle w:val="TOC1"/>
        <w:rPr>
          <w:rFonts w:asciiTheme="minorHAnsi" w:eastAsiaTheme="minorEastAsia" w:hAnsiTheme="minorHAnsi" w:cstheme="minorBidi"/>
          <w:noProof/>
          <w:sz w:val="22"/>
        </w:rPr>
      </w:pPr>
      <w:hyperlink w:anchor="_Toc522700961" w:history="1">
        <w:r w:rsidR="006A3A03" w:rsidRPr="006270BF">
          <w:rPr>
            <w:rStyle w:val="Hyperlink"/>
            <w:noProof/>
          </w:rPr>
          <w:t>18.</w:t>
        </w:r>
        <w:r w:rsidR="006A3A03">
          <w:rPr>
            <w:rFonts w:asciiTheme="minorHAnsi" w:eastAsiaTheme="minorEastAsia" w:hAnsiTheme="minorHAnsi" w:cstheme="minorBidi"/>
            <w:noProof/>
            <w:sz w:val="22"/>
          </w:rPr>
          <w:tab/>
        </w:r>
        <w:r w:rsidR="006A3A03" w:rsidRPr="006270BF">
          <w:rPr>
            <w:rStyle w:val="Hyperlink"/>
            <w:noProof/>
          </w:rPr>
          <w:t>Exceptions to the Certification for Paperwork Reduction Act Submissions</w:t>
        </w:r>
        <w:r w:rsidR="006A3A03">
          <w:rPr>
            <w:noProof/>
            <w:webHidden/>
          </w:rPr>
          <w:tab/>
        </w:r>
        <w:r w:rsidR="006A3A03">
          <w:rPr>
            <w:noProof/>
            <w:webHidden/>
          </w:rPr>
          <w:fldChar w:fldCharType="begin"/>
        </w:r>
        <w:r w:rsidR="006A3A03">
          <w:rPr>
            <w:noProof/>
            <w:webHidden/>
          </w:rPr>
          <w:instrText xml:space="preserve"> PAGEREF _Toc522700961 \h </w:instrText>
        </w:r>
        <w:r w:rsidR="006A3A03">
          <w:rPr>
            <w:noProof/>
            <w:webHidden/>
          </w:rPr>
        </w:r>
        <w:r w:rsidR="006A3A03">
          <w:rPr>
            <w:noProof/>
            <w:webHidden/>
          </w:rPr>
          <w:fldChar w:fldCharType="separate"/>
        </w:r>
        <w:r w:rsidR="00082D7D">
          <w:rPr>
            <w:noProof/>
            <w:webHidden/>
          </w:rPr>
          <w:t>13</w:t>
        </w:r>
        <w:r w:rsidR="006A3A03">
          <w:rPr>
            <w:noProof/>
            <w:webHidden/>
          </w:rPr>
          <w:fldChar w:fldCharType="end"/>
        </w:r>
      </w:hyperlink>
    </w:p>
    <w:p w14:paraId="7325D71C" w14:textId="77777777" w:rsidR="000F4647" w:rsidRDefault="0067540C">
      <w:pPr>
        <w:rPr>
          <w:rFonts w:ascii="Times New Roman" w:hAnsi="Times New Roman" w:cs="Times New Roman"/>
          <w:b/>
          <w:color w:val="000000" w:themeColor="text1"/>
          <w:sz w:val="24"/>
          <w:szCs w:val="24"/>
        </w:rPr>
      </w:pPr>
      <w:r>
        <w:rPr>
          <w:rFonts w:ascii="Times New Roman" w:hAnsi="Times New Roman"/>
          <w:sz w:val="24"/>
        </w:rPr>
        <w:fldChar w:fldCharType="end"/>
      </w:r>
      <w:r w:rsidR="000F4647">
        <w:rPr>
          <w:rFonts w:ascii="Times New Roman" w:hAnsi="Times New Roman" w:cs="Times New Roman"/>
          <w:b/>
          <w:color w:val="000000" w:themeColor="text1"/>
          <w:sz w:val="24"/>
          <w:szCs w:val="24"/>
        </w:rPr>
        <w:br w:type="page"/>
      </w:r>
    </w:p>
    <w:p w14:paraId="0DBA3D1E" w14:textId="77777777" w:rsidR="00142F93" w:rsidRPr="00B3441B" w:rsidRDefault="00142F93" w:rsidP="00142F93">
      <w:pPr>
        <w:jc w:val="center"/>
        <w:rPr>
          <w:rFonts w:ascii="Times New Roman" w:hAnsi="Times New Roman" w:cs="Times New Roman"/>
          <w:b/>
          <w:sz w:val="24"/>
        </w:rPr>
      </w:pPr>
      <w:r w:rsidRPr="00B3441B">
        <w:rPr>
          <w:rFonts w:ascii="Times New Roman" w:hAnsi="Times New Roman" w:cs="Times New Roman"/>
          <w:b/>
          <w:sz w:val="24"/>
        </w:rPr>
        <w:t>List of Attachments</w:t>
      </w:r>
    </w:p>
    <w:p w14:paraId="3CC769C3" w14:textId="77777777" w:rsidR="00142F93" w:rsidRPr="00525798" w:rsidRDefault="00142F93" w:rsidP="00142F93">
      <w:pPr>
        <w:rPr>
          <w:rFonts w:ascii="Times New Roman" w:hAnsi="Times New Roman" w:cs="Times New Roman"/>
          <w:sz w:val="24"/>
        </w:rPr>
      </w:pPr>
      <w:r w:rsidRPr="001879D4">
        <w:rPr>
          <w:rFonts w:ascii="Times New Roman" w:hAnsi="Times New Roman" w:cs="Times New Roman"/>
          <w:sz w:val="24"/>
        </w:rPr>
        <w:t xml:space="preserve">Attachment 1A. </w:t>
      </w:r>
      <w:r w:rsidRPr="00525798">
        <w:rPr>
          <w:rFonts w:ascii="Times New Roman" w:hAnsi="Times New Roman" w:cs="Times New Roman"/>
          <w:sz w:val="24"/>
        </w:rPr>
        <w:t xml:space="preserve">Public Health Service Act, Title 42 </w:t>
      </w:r>
      <w:r w:rsidRPr="001879D4">
        <w:rPr>
          <w:rFonts w:ascii="Times New Roman" w:hAnsi="Times New Roman" w:cs="Times New Roman"/>
          <w:sz w:val="24"/>
        </w:rPr>
        <w:t>(42 USC Sec. 792 [295])</w:t>
      </w:r>
    </w:p>
    <w:p w14:paraId="49312AB7" w14:textId="77777777" w:rsidR="00142F93" w:rsidRPr="00525798" w:rsidRDefault="00142F93" w:rsidP="00142F93">
      <w:pPr>
        <w:rPr>
          <w:rFonts w:ascii="Times New Roman" w:hAnsi="Times New Roman" w:cs="Times New Roman"/>
          <w:sz w:val="24"/>
        </w:rPr>
      </w:pPr>
      <w:r w:rsidRPr="001879D4">
        <w:rPr>
          <w:rFonts w:ascii="Times New Roman" w:hAnsi="Times New Roman" w:cs="Times New Roman"/>
          <w:sz w:val="24"/>
        </w:rPr>
        <w:t xml:space="preserve">Attachment 1B. </w:t>
      </w:r>
      <w:r w:rsidRPr="00525798">
        <w:rPr>
          <w:rFonts w:ascii="Times New Roman" w:hAnsi="Times New Roman" w:cs="Times New Roman"/>
          <w:sz w:val="24"/>
        </w:rPr>
        <w:t>Public Health Service Act, Title 42 (42 USC Sec. 792 [295k])</w:t>
      </w:r>
    </w:p>
    <w:p w14:paraId="7E409641" w14:textId="1BE69BE2" w:rsidR="00142F93" w:rsidRDefault="00142F93" w:rsidP="00142F93">
      <w:pPr>
        <w:rPr>
          <w:rFonts w:ascii="Times New Roman" w:hAnsi="Times New Roman" w:cs="Times New Roman"/>
          <w:sz w:val="24"/>
        </w:rPr>
      </w:pPr>
      <w:r w:rsidRPr="001879D4">
        <w:rPr>
          <w:rFonts w:ascii="Times New Roman" w:hAnsi="Times New Roman" w:cs="Times New Roman"/>
          <w:sz w:val="24"/>
        </w:rPr>
        <w:t xml:space="preserve">Attachment 1C. </w:t>
      </w:r>
      <w:r w:rsidRPr="00525798">
        <w:rPr>
          <w:rFonts w:ascii="Times New Roman" w:hAnsi="Times New Roman" w:cs="Times New Roman"/>
          <w:sz w:val="24"/>
        </w:rPr>
        <w:t>Public Health Service Act, Title 42 (42 USC Sec. 243)</w:t>
      </w:r>
    </w:p>
    <w:p w14:paraId="78F6DC87" w14:textId="73C6C095" w:rsidR="00C81D68" w:rsidRPr="00E50697" w:rsidRDefault="00C81D68" w:rsidP="00142F93">
      <w:pPr>
        <w:rPr>
          <w:rFonts w:ascii="Times New Roman" w:hAnsi="Times New Roman" w:cs="Times New Roman"/>
          <w:sz w:val="24"/>
          <w:szCs w:val="24"/>
        </w:rPr>
      </w:pPr>
      <w:r w:rsidRPr="00E50697">
        <w:rPr>
          <w:rFonts w:ascii="Times New Roman" w:hAnsi="Times New Roman" w:cs="Times New Roman"/>
          <w:sz w:val="24"/>
          <w:szCs w:val="24"/>
        </w:rPr>
        <w:t xml:space="preserve">Attachment 2. </w:t>
      </w:r>
      <w:r w:rsidR="00E50697" w:rsidRPr="00E50697">
        <w:rPr>
          <w:rFonts w:ascii="Times New Roman" w:hAnsi="Times New Roman" w:cs="Times New Roman"/>
          <w:sz w:val="24"/>
          <w:szCs w:val="24"/>
        </w:rPr>
        <w:t>Published 60-Day Federal Register Notice (FRN)</w:t>
      </w:r>
    </w:p>
    <w:p w14:paraId="373EFD84" w14:textId="1B64C6D8" w:rsidR="00142F93" w:rsidRDefault="00142F93" w:rsidP="00142F93">
      <w:pPr>
        <w:rPr>
          <w:rFonts w:ascii="Times New Roman" w:hAnsi="Times New Roman" w:cs="Times New Roman"/>
          <w:sz w:val="24"/>
        </w:rPr>
      </w:pPr>
      <w:r w:rsidRPr="001879D4">
        <w:rPr>
          <w:rFonts w:ascii="Times New Roman" w:hAnsi="Times New Roman" w:cs="Times New Roman"/>
          <w:sz w:val="24"/>
        </w:rPr>
        <w:t xml:space="preserve">Attachment </w:t>
      </w:r>
      <w:r w:rsidR="00E50697">
        <w:rPr>
          <w:rFonts w:ascii="Times New Roman" w:hAnsi="Times New Roman" w:cs="Times New Roman"/>
          <w:sz w:val="24"/>
        </w:rPr>
        <w:t>3</w:t>
      </w:r>
      <w:r w:rsidRPr="001879D4">
        <w:rPr>
          <w:rFonts w:ascii="Times New Roman" w:hAnsi="Times New Roman" w:cs="Times New Roman"/>
          <w:sz w:val="24"/>
        </w:rPr>
        <w:t xml:space="preserve">. </w:t>
      </w:r>
      <w:r>
        <w:rPr>
          <w:rFonts w:ascii="Times New Roman" w:hAnsi="Times New Roman" w:cs="Times New Roman"/>
          <w:sz w:val="24"/>
        </w:rPr>
        <w:t>Application for Training, Training and Continuing Education Online Proposal</w:t>
      </w:r>
      <w:r w:rsidRPr="001879D4">
        <w:rPr>
          <w:rFonts w:ascii="Times New Roman" w:hAnsi="Times New Roman" w:cs="Times New Roman"/>
          <w:sz w:val="24"/>
        </w:rPr>
        <w:t xml:space="preserve"> </w:t>
      </w:r>
    </w:p>
    <w:p w14:paraId="069094FC" w14:textId="042D08CA" w:rsidR="00142F93" w:rsidRPr="00525798" w:rsidRDefault="00142F93" w:rsidP="00142F93">
      <w:pPr>
        <w:rPr>
          <w:rFonts w:ascii="Times New Roman" w:hAnsi="Times New Roman" w:cs="Times New Roman"/>
          <w:sz w:val="24"/>
        </w:rPr>
      </w:pPr>
      <w:r w:rsidRPr="001879D4">
        <w:rPr>
          <w:rFonts w:ascii="Times New Roman" w:hAnsi="Times New Roman" w:cs="Times New Roman"/>
          <w:sz w:val="24"/>
        </w:rPr>
        <w:t xml:space="preserve">Attachment </w:t>
      </w:r>
      <w:r w:rsidR="00E50697">
        <w:rPr>
          <w:rFonts w:ascii="Times New Roman" w:hAnsi="Times New Roman" w:cs="Times New Roman"/>
          <w:sz w:val="24"/>
        </w:rPr>
        <w:t>4</w:t>
      </w:r>
      <w:r w:rsidRPr="001879D4">
        <w:rPr>
          <w:rFonts w:ascii="Times New Roman" w:hAnsi="Times New Roman" w:cs="Times New Roman"/>
          <w:sz w:val="24"/>
        </w:rPr>
        <w:t xml:space="preserve">. </w:t>
      </w:r>
      <w:r>
        <w:rPr>
          <w:rFonts w:ascii="Times New Roman" w:hAnsi="Times New Roman" w:cs="Times New Roman"/>
          <w:sz w:val="24"/>
        </w:rPr>
        <w:t>Application for Training,</w:t>
      </w:r>
      <w:r w:rsidRPr="00C82235">
        <w:rPr>
          <w:rFonts w:ascii="Times New Roman" w:hAnsi="Times New Roman" w:cs="Times New Roman"/>
          <w:sz w:val="24"/>
        </w:rPr>
        <w:t xml:space="preserve"> </w:t>
      </w:r>
      <w:r>
        <w:rPr>
          <w:rFonts w:ascii="Times New Roman" w:hAnsi="Times New Roman" w:cs="Times New Roman"/>
          <w:sz w:val="24"/>
        </w:rPr>
        <w:t xml:space="preserve">Training and Continuing Education Online </w:t>
      </w:r>
      <w:r w:rsidRPr="001879D4">
        <w:rPr>
          <w:rFonts w:ascii="Times New Roman" w:hAnsi="Times New Roman" w:cs="Times New Roman"/>
          <w:sz w:val="24"/>
        </w:rPr>
        <w:t xml:space="preserve">New Participant Registration </w:t>
      </w:r>
    </w:p>
    <w:p w14:paraId="73B04DD4" w14:textId="4EB6E953" w:rsidR="00142F93" w:rsidRPr="001879D4" w:rsidRDefault="00142F93" w:rsidP="00142F93">
      <w:pPr>
        <w:rPr>
          <w:rFonts w:ascii="Times New Roman" w:hAnsi="Times New Roman" w:cs="Times New Roman"/>
          <w:sz w:val="24"/>
        </w:rPr>
      </w:pPr>
      <w:r w:rsidRPr="001879D4">
        <w:rPr>
          <w:rFonts w:ascii="Times New Roman" w:hAnsi="Times New Roman" w:cs="Times New Roman"/>
          <w:sz w:val="24"/>
        </w:rPr>
        <w:t xml:space="preserve">Attachment </w:t>
      </w:r>
      <w:r w:rsidR="00E50697">
        <w:rPr>
          <w:rFonts w:ascii="Times New Roman" w:hAnsi="Times New Roman" w:cs="Times New Roman"/>
          <w:sz w:val="24"/>
        </w:rPr>
        <w:t>5</w:t>
      </w:r>
      <w:r>
        <w:rPr>
          <w:rFonts w:ascii="Times New Roman" w:hAnsi="Times New Roman" w:cs="Times New Roman"/>
          <w:sz w:val="24"/>
        </w:rPr>
        <w:t>. Application for Training, Training and Continuing Education Online Post-Course Evaluation</w:t>
      </w:r>
    </w:p>
    <w:p w14:paraId="4DA6A664" w14:textId="5A21FAFB" w:rsidR="00142F93" w:rsidRPr="00525798" w:rsidRDefault="00142F93" w:rsidP="00142F93">
      <w:pPr>
        <w:rPr>
          <w:rFonts w:ascii="Times New Roman" w:hAnsi="Times New Roman" w:cs="Times New Roman"/>
          <w:sz w:val="24"/>
        </w:rPr>
      </w:pPr>
      <w:r w:rsidRPr="001879D4">
        <w:rPr>
          <w:rFonts w:ascii="Times New Roman" w:hAnsi="Times New Roman" w:cs="Times New Roman"/>
          <w:sz w:val="24"/>
        </w:rPr>
        <w:t xml:space="preserve">Attachment </w:t>
      </w:r>
      <w:r w:rsidR="00E50697">
        <w:rPr>
          <w:rFonts w:ascii="Times New Roman" w:hAnsi="Times New Roman" w:cs="Times New Roman"/>
          <w:sz w:val="24"/>
        </w:rPr>
        <w:t>6</w:t>
      </w:r>
      <w:r>
        <w:rPr>
          <w:rFonts w:ascii="Times New Roman" w:hAnsi="Times New Roman" w:cs="Times New Roman"/>
          <w:sz w:val="24"/>
        </w:rPr>
        <w:t>. Application for Training, Training and Continuing Education Online Follow-up Evaluation</w:t>
      </w:r>
    </w:p>
    <w:p w14:paraId="0D4A2538" w14:textId="64A64340" w:rsidR="00142F93" w:rsidRPr="00525798" w:rsidRDefault="00142F93" w:rsidP="00142F93">
      <w:pPr>
        <w:rPr>
          <w:rFonts w:ascii="Times New Roman" w:hAnsi="Times New Roman" w:cs="Times New Roman"/>
          <w:sz w:val="24"/>
        </w:rPr>
      </w:pPr>
      <w:r w:rsidRPr="001879D4">
        <w:rPr>
          <w:rFonts w:ascii="Times New Roman" w:hAnsi="Times New Roman" w:cs="Times New Roman"/>
          <w:sz w:val="24"/>
        </w:rPr>
        <w:t xml:space="preserve">Attachment </w:t>
      </w:r>
      <w:r w:rsidR="00E50697">
        <w:rPr>
          <w:rFonts w:ascii="Times New Roman" w:hAnsi="Times New Roman" w:cs="Times New Roman"/>
          <w:sz w:val="24"/>
        </w:rPr>
        <w:t>7</w:t>
      </w:r>
      <w:r w:rsidRPr="001879D4">
        <w:rPr>
          <w:rFonts w:ascii="Times New Roman" w:hAnsi="Times New Roman" w:cs="Times New Roman"/>
          <w:sz w:val="24"/>
        </w:rPr>
        <w:t>. Privacy Act Issuances 09-20-0161 (SORN)</w:t>
      </w:r>
    </w:p>
    <w:p w14:paraId="230CE219" w14:textId="2A928454" w:rsidR="004436CA" w:rsidRDefault="00142F93" w:rsidP="00142F93">
      <w:pPr>
        <w:rPr>
          <w:rFonts w:ascii="Times New Roman" w:hAnsi="Times New Roman" w:cs="Times New Roman"/>
          <w:sz w:val="24"/>
        </w:rPr>
      </w:pPr>
      <w:r w:rsidRPr="001879D4">
        <w:rPr>
          <w:rFonts w:ascii="Times New Roman" w:hAnsi="Times New Roman" w:cs="Times New Roman"/>
          <w:sz w:val="24"/>
        </w:rPr>
        <w:t xml:space="preserve">Attachment </w:t>
      </w:r>
      <w:r w:rsidR="00E50697">
        <w:rPr>
          <w:rFonts w:ascii="Times New Roman" w:hAnsi="Times New Roman" w:cs="Times New Roman"/>
          <w:sz w:val="24"/>
        </w:rPr>
        <w:t>8</w:t>
      </w:r>
      <w:r w:rsidRPr="001879D4">
        <w:rPr>
          <w:rFonts w:ascii="Times New Roman" w:hAnsi="Times New Roman" w:cs="Times New Roman"/>
          <w:sz w:val="24"/>
        </w:rPr>
        <w:t>. Res</w:t>
      </w:r>
      <w:r>
        <w:rPr>
          <w:rFonts w:ascii="Times New Roman" w:hAnsi="Times New Roman" w:cs="Times New Roman"/>
          <w:sz w:val="24"/>
        </w:rPr>
        <w:t xml:space="preserve">earch Determination Memorandum </w:t>
      </w:r>
    </w:p>
    <w:p w14:paraId="7291D235" w14:textId="77777777" w:rsidR="005C76FA" w:rsidRDefault="00A7378A">
      <w:pPr>
        <w:rPr>
          <w:rFonts w:ascii="Times New Roman" w:hAnsi="Times New Roman" w:cs="Times New Roman"/>
          <w:b/>
          <w:bCs/>
          <w:sz w:val="24"/>
          <w:szCs w:val="24"/>
        </w:rPr>
      </w:pPr>
      <w:r w:rsidRPr="0089519E">
        <w:rPr>
          <w:rFonts w:cs="Times New Roman"/>
          <w:b/>
          <w:bCs/>
          <w:noProof/>
          <w:szCs w:val="24"/>
        </w:rPr>
        <mc:AlternateContent>
          <mc:Choice Requires="wps">
            <w:drawing>
              <wp:anchor distT="45720" distB="45720" distL="114300" distR="114300" simplePos="0" relativeHeight="251659264" behindDoc="0" locked="0" layoutInCell="1" allowOverlap="1" wp14:anchorId="70BDAF7D" wp14:editId="380251FC">
                <wp:simplePos x="0" y="0"/>
                <wp:positionH relativeFrom="column">
                  <wp:posOffset>95250</wp:posOffset>
                </wp:positionH>
                <wp:positionV relativeFrom="paragraph">
                  <wp:posOffset>330200</wp:posOffset>
                </wp:positionV>
                <wp:extent cx="5866130" cy="5391150"/>
                <wp:effectExtent l="0" t="0" r="2032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130" cy="5391150"/>
                        </a:xfrm>
                        <a:prstGeom prst="rect">
                          <a:avLst/>
                        </a:prstGeom>
                        <a:solidFill>
                          <a:srgbClr val="FFFFFF"/>
                        </a:solidFill>
                        <a:ln w="9525">
                          <a:solidFill>
                            <a:srgbClr val="000000"/>
                          </a:solidFill>
                          <a:miter lim="800000"/>
                          <a:headEnd/>
                          <a:tailEnd/>
                        </a:ln>
                      </wps:spPr>
                      <wps:txbx>
                        <w:txbxContent>
                          <w:p w14:paraId="2208D79D" w14:textId="77777777" w:rsidR="0089272C" w:rsidRPr="0091429E" w:rsidRDefault="0089272C" w:rsidP="005C76FA">
                            <w:pPr>
                              <w:pStyle w:val="ListParagraph"/>
                              <w:numPr>
                                <w:ilvl w:val="0"/>
                                <w:numId w:val="5"/>
                              </w:numPr>
                              <w:rPr>
                                <w:rFonts w:ascii="Courier New" w:hAnsi="Courier New" w:cs="Courier New"/>
                                <w:color w:val="000000" w:themeColor="text1"/>
                                <w:sz w:val="24"/>
                                <w:szCs w:val="24"/>
                              </w:rPr>
                            </w:pPr>
                            <w:r w:rsidRPr="0091429E">
                              <w:rPr>
                                <w:rFonts w:ascii="Courier New" w:hAnsi="Courier New" w:cs="Courier New"/>
                                <w:b/>
                                <w:sz w:val="24"/>
                                <w:szCs w:val="24"/>
                              </w:rPr>
                              <w:t>Goals:</w:t>
                            </w:r>
                            <w:r w:rsidRPr="0091429E">
                              <w:rPr>
                                <w:rFonts w:ascii="Courier New" w:hAnsi="Courier New" w:cs="Courier New"/>
                                <w:sz w:val="24"/>
                                <w:szCs w:val="24"/>
                              </w:rPr>
                              <w:t xml:space="preserve"> </w:t>
                            </w:r>
                            <w:r w:rsidRPr="0091429E">
                              <w:rPr>
                                <w:rFonts w:ascii="Courier New" w:hAnsi="Courier New" w:cs="Courier New"/>
                                <w:color w:val="000000" w:themeColor="text1"/>
                                <w:sz w:val="24"/>
                                <w:szCs w:val="24"/>
                              </w:rPr>
                              <w:t xml:space="preserve">To continually improve CDC training activities that offer continuing education and maintain CDC compliance with mandatory accreditation organization standards by efficiently collecting information through CDC’s Training and Continuing Education Online (TCEO) system. </w:t>
                            </w:r>
                          </w:p>
                          <w:p w14:paraId="48446DF0" w14:textId="77777777" w:rsidR="0089272C" w:rsidRPr="0091429E" w:rsidRDefault="0089272C" w:rsidP="005C76FA">
                            <w:pPr>
                              <w:pStyle w:val="ListParagraph"/>
                              <w:numPr>
                                <w:ilvl w:val="0"/>
                                <w:numId w:val="5"/>
                              </w:numPr>
                              <w:rPr>
                                <w:rFonts w:ascii="Courier New" w:hAnsi="Courier New" w:cs="Courier New"/>
                                <w:sz w:val="24"/>
                                <w:szCs w:val="24"/>
                              </w:rPr>
                            </w:pPr>
                            <w:r w:rsidRPr="0091429E">
                              <w:rPr>
                                <w:rFonts w:ascii="Courier New" w:hAnsi="Courier New" w:cs="Courier New"/>
                                <w:b/>
                                <w:sz w:val="24"/>
                                <w:szCs w:val="24"/>
                              </w:rPr>
                              <w:t>Intended Use:</w:t>
                            </w:r>
                            <w:r w:rsidRPr="0091429E">
                              <w:rPr>
                                <w:rFonts w:ascii="Courier New" w:hAnsi="Courier New" w:cs="Courier New"/>
                                <w:sz w:val="24"/>
                                <w:szCs w:val="24"/>
                              </w:rPr>
                              <w:t xml:space="preserve"> CDC will use information collected by TCEO to generate certificates of attendance and verify training completion, review and approve proposals for educational activities to receive continuing education accreditation, evaluate and improve courses based on learner feedback, and ensure compliance with mandatory accreditation standards.</w:t>
                            </w:r>
                          </w:p>
                          <w:p w14:paraId="043A6A1B" w14:textId="77777777" w:rsidR="0089272C" w:rsidRPr="0091429E" w:rsidRDefault="0089272C" w:rsidP="005C76FA">
                            <w:pPr>
                              <w:pStyle w:val="ListParagraph"/>
                              <w:numPr>
                                <w:ilvl w:val="0"/>
                                <w:numId w:val="5"/>
                              </w:numPr>
                              <w:rPr>
                                <w:rFonts w:ascii="Courier New" w:hAnsi="Courier New" w:cs="Courier New"/>
                                <w:sz w:val="24"/>
                                <w:szCs w:val="24"/>
                              </w:rPr>
                            </w:pPr>
                            <w:r w:rsidRPr="0091429E">
                              <w:rPr>
                                <w:rFonts w:ascii="Courier New" w:hAnsi="Courier New" w:cs="Courier New"/>
                                <w:b/>
                                <w:sz w:val="24"/>
                                <w:szCs w:val="24"/>
                              </w:rPr>
                              <w:t>Methods to be used to collect:</w:t>
                            </w:r>
                            <w:r w:rsidRPr="0091429E">
                              <w:rPr>
                                <w:rFonts w:ascii="Courier New" w:hAnsi="Courier New" w:cs="Courier New"/>
                                <w:sz w:val="24"/>
                                <w:szCs w:val="24"/>
                              </w:rPr>
                              <w:t xml:space="preserve"> Online, using a secure electronic web-based password and firewall protected platform.</w:t>
                            </w:r>
                          </w:p>
                          <w:p w14:paraId="50054016" w14:textId="77777777" w:rsidR="0089272C" w:rsidRPr="0091429E" w:rsidRDefault="0089272C" w:rsidP="002B7436">
                            <w:pPr>
                              <w:pStyle w:val="ListParagraph"/>
                              <w:numPr>
                                <w:ilvl w:val="0"/>
                                <w:numId w:val="5"/>
                              </w:numPr>
                              <w:rPr>
                                <w:rFonts w:ascii="Courier New" w:hAnsi="Courier New" w:cs="Courier New"/>
                                <w:sz w:val="24"/>
                                <w:szCs w:val="24"/>
                              </w:rPr>
                            </w:pPr>
                            <w:r w:rsidRPr="0091429E">
                              <w:rPr>
                                <w:rFonts w:ascii="Courier New" w:hAnsi="Courier New" w:cs="Courier New"/>
                                <w:b/>
                                <w:sz w:val="24"/>
                                <w:szCs w:val="24"/>
                              </w:rPr>
                              <w:t>Subpopulation:</w:t>
                            </w:r>
                            <w:r w:rsidRPr="0091429E">
                              <w:rPr>
                                <w:rFonts w:ascii="Courier New" w:hAnsi="Courier New" w:cs="Courier New"/>
                                <w:sz w:val="24"/>
                                <w:szCs w:val="24"/>
                              </w:rPr>
                              <w:t xml:space="preserve"> </w:t>
                            </w:r>
                            <w:r>
                              <w:rPr>
                                <w:rFonts w:ascii="Courier New" w:hAnsi="Courier New" w:cs="Courier New"/>
                                <w:bCs/>
                                <w:szCs w:val="24"/>
                              </w:rPr>
                              <w:t>P</w:t>
                            </w:r>
                            <w:r w:rsidRPr="008C1672">
                              <w:rPr>
                                <w:rFonts w:ascii="Courier New" w:hAnsi="Courier New" w:cs="Courier New"/>
                                <w:bCs/>
                                <w:szCs w:val="24"/>
                              </w:rPr>
                              <w:t>ublic hea</w:t>
                            </w:r>
                            <w:r>
                              <w:rPr>
                                <w:rFonts w:ascii="Courier New" w:hAnsi="Courier New" w:cs="Courier New"/>
                                <w:bCs/>
                                <w:szCs w:val="24"/>
                              </w:rPr>
                              <w:t>lth and healthcare professionals.</w:t>
                            </w:r>
                          </w:p>
                          <w:p w14:paraId="74786142" w14:textId="77777777" w:rsidR="0089272C" w:rsidRPr="0091429E" w:rsidRDefault="0089272C" w:rsidP="005C76FA">
                            <w:pPr>
                              <w:pStyle w:val="ListParagraph"/>
                              <w:numPr>
                                <w:ilvl w:val="0"/>
                                <w:numId w:val="5"/>
                              </w:numPr>
                              <w:rPr>
                                <w:rFonts w:ascii="Courier New" w:hAnsi="Courier New" w:cs="Courier New"/>
                                <w:sz w:val="24"/>
                                <w:szCs w:val="24"/>
                              </w:rPr>
                            </w:pPr>
                            <w:r w:rsidRPr="0091429E">
                              <w:rPr>
                                <w:rFonts w:ascii="Courier New" w:hAnsi="Courier New" w:cs="Courier New"/>
                                <w:b/>
                                <w:sz w:val="24"/>
                                <w:szCs w:val="24"/>
                              </w:rPr>
                              <w:t>How data will be analyzed:</w:t>
                            </w:r>
                            <w:r w:rsidRPr="0091429E">
                              <w:rPr>
                                <w:rFonts w:ascii="Courier New" w:hAnsi="Courier New" w:cs="Courier New"/>
                                <w:sz w:val="24"/>
                                <w:szCs w:val="24"/>
                              </w:rPr>
                              <w:t xml:space="preserve"> No statistical methods are used to analyze the information collected. CDC tracks participant training activities by using the identifiable information that facilitates the retrieval of historical information and creates aggregate reports on attendance and educational activities submitted for accreditation.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26pt;width:461.9pt;height:42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">
                <v:textbox>
                  <w:txbxContent>
                    <w:p w14:paraId="2208D79D" w14:textId="77777777" w:rsidR="0089272C" w:rsidRPr="0091429E" w:rsidRDefault="0089272C" w:rsidP="005C76FA">
                      <w:pPr>
                        <w:pStyle w:val="ListParagraph"/>
                        <w:numPr>
                          <w:ilvl w:val="0"/>
                          <w:numId w:val="5"/>
                        </w:numPr>
                        <w:rPr>
                          <w:rFonts w:ascii="Courier New" w:hAnsi="Courier New" w:cs="Courier New"/>
                          <w:color w:val="000000" w:themeColor="text1"/>
                          <w:sz w:val="24"/>
                          <w:szCs w:val="24"/>
                        </w:rPr>
                      </w:pPr>
                      <w:r w:rsidRPr="0091429E">
                        <w:rPr>
                          <w:rFonts w:ascii="Courier New" w:hAnsi="Courier New" w:cs="Courier New"/>
                          <w:b/>
                          <w:sz w:val="24"/>
                          <w:szCs w:val="24"/>
                        </w:rPr>
                        <w:t>Goals:</w:t>
                      </w:r>
                      <w:r w:rsidRPr="0091429E">
                        <w:rPr>
                          <w:rFonts w:ascii="Courier New" w:hAnsi="Courier New" w:cs="Courier New"/>
                          <w:sz w:val="24"/>
                          <w:szCs w:val="24"/>
                        </w:rPr>
                        <w:t xml:space="preserve"> </w:t>
                      </w:r>
                      <w:r w:rsidRPr="0091429E">
                        <w:rPr>
                          <w:rFonts w:ascii="Courier New" w:hAnsi="Courier New" w:cs="Courier New"/>
                          <w:color w:val="000000" w:themeColor="text1"/>
                          <w:sz w:val="24"/>
                          <w:szCs w:val="24"/>
                        </w:rPr>
                        <w:t xml:space="preserve">To continually improve CDC training activities that offer continuing education and maintain CDC compliance with mandatory accreditation organization standards by efficiently collecting information through CDC’s Training and Continuing Education Online (TCEO) system. </w:t>
                      </w:r>
                    </w:p>
                    <w:p w14:paraId="48446DF0" w14:textId="77777777" w:rsidR="0089272C" w:rsidRPr="0091429E" w:rsidRDefault="0089272C" w:rsidP="005C76FA">
                      <w:pPr>
                        <w:pStyle w:val="ListParagraph"/>
                        <w:numPr>
                          <w:ilvl w:val="0"/>
                          <w:numId w:val="5"/>
                        </w:numPr>
                        <w:rPr>
                          <w:rFonts w:ascii="Courier New" w:hAnsi="Courier New" w:cs="Courier New"/>
                          <w:sz w:val="24"/>
                          <w:szCs w:val="24"/>
                        </w:rPr>
                      </w:pPr>
                      <w:r w:rsidRPr="0091429E">
                        <w:rPr>
                          <w:rFonts w:ascii="Courier New" w:hAnsi="Courier New" w:cs="Courier New"/>
                          <w:b/>
                          <w:sz w:val="24"/>
                          <w:szCs w:val="24"/>
                        </w:rPr>
                        <w:t>Intended Use:</w:t>
                      </w:r>
                      <w:r w:rsidRPr="0091429E">
                        <w:rPr>
                          <w:rFonts w:ascii="Courier New" w:hAnsi="Courier New" w:cs="Courier New"/>
                          <w:sz w:val="24"/>
                          <w:szCs w:val="24"/>
                        </w:rPr>
                        <w:t xml:space="preserve"> CDC will use information collected by TCEO to generate certificates of attendance and verify training completion, review and approve proposals for educational activities to receive continuing education accreditation, evaluate and improve courses based on learner feedback, and ensure compliance with mandatory accreditation standards.</w:t>
                      </w:r>
                    </w:p>
                    <w:p w14:paraId="043A6A1B" w14:textId="77777777" w:rsidR="0089272C" w:rsidRPr="0091429E" w:rsidRDefault="0089272C" w:rsidP="005C76FA">
                      <w:pPr>
                        <w:pStyle w:val="ListParagraph"/>
                        <w:numPr>
                          <w:ilvl w:val="0"/>
                          <w:numId w:val="5"/>
                        </w:numPr>
                        <w:rPr>
                          <w:rFonts w:ascii="Courier New" w:hAnsi="Courier New" w:cs="Courier New"/>
                          <w:sz w:val="24"/>
                          <w:szCs w:val="24"/>
                        </w:rPr>
                      </w:pPr>
                      <w:r w:rsidRPr="0091429E">
                        <w:rPr>
                          <w:rFonts w:ascii="Courier New" w:hAnsi="Courier New" w:cs="Courier New"/>
                          <w:b/>
                          <w:sz w:val="24"/>
                          <w:szCs w:val="24"/>
                        </w:rPr>
                        <w:t>Methods to be used to collect:</w:t>
                      </w:r>
                      <w:r w:rsidRPr="0091429E">
                        <w:rPr>
                          <w:rFonts w:ascii="Courier New" w:hAnsi="Courier New" w:cs="Courier New"/>
                          <w:sz w:val="24"/>
                          <w:szCs w:val="24"/>
                        </w:rPr>
                        <w:t xml:space="preserve"> Online, using a secure electronic web-based password and firewall protected platform.</w:t>
                      </w:r>
                    </w:p>
                    <w:p w14:paraId="50054016" w14:textId="77777777" w:rsidR="0089272C" w:rsidRPr="0091429E" w:rsidRDefault="0089272C" w:rsidP="002B7436">
                      <w:pPr>
                        <w:pStyle w:val="ListParagraph"/>
                        <w:numPr>
                          <w:ilvl w:val="0"/>
                          <w:numId w:val="5"/>
                        </w:numPr>
                        <w:rPr>
                          <w:rFonts w:ascii="Courier New" w:hAnsi="Courier New" w:cs="Courier New"/>
                          <w:sz w:val="24"/>
                          <w:szCs w:val="24"/>
                        </w:rPr>
                      </w:pPr>
                      <w:r w:rsidRPr="0091429E">
                        <w:rPr>
                          <w:rFonts w:ascii="Courier New" w:hAnsi="Courier New" w:cs="Courier New"/>
                          <w:b/>
                          <w:sz w:val="24"/>
                          <w:szCs w:val="24"/>
                        </w:rPr>
                        <w:t>Subpopulation:</w:t>
                      </w:r>
                      <w:r w:rsidRPr="0091429E">
                        <w:rPr>
                          <w:rFonts w:ascii="Courier New" w:hAnsi="Courier New" w:cs="Courier New"/>
                          <w:sz w:val="24"/>
                          <w:szCs w:val="24"/>
                        </w:rPr>
                        <w:t xml:space="preserve"> </w:t>
                      </w:r>
                      <w:r>
                        <w:rPr>
                          <w:rFonts w:ascii="Courier New" w:hAnsi="Courier New" w:cs="Courier New"/>
                          <w:bCs/>
                          <w:szCs w:val="24"/>
                        </w:rPr>
                        <w:t>P</w:t>
                      </w:r>
                      <w:r w:rsidRPr="008C1672">
                        <w:rPr>
                          <w:rFonts w:ascii="Courier New" w:hAnsi="Courier New" w:cs="Courier New"/>
                          <w:bCs/>
                          <w:szCs w:val="24"/>
                        </w:rPr>
                        <w:t>ublic hea</w:t>
                      </w:r>
                      <w:r>
                        <w:rPr>
                          <w:rFonts w:ascii="Courier New" w:hAnsi="Courier New" w:cs="Courier New"/>
                          <w:bCs/>
                          <w:szCs w:val="24"/>
                        </w:rPr>
                        <w:t>lth and healthcare professionals.</w:t>
                      </w:r>
                    </w:p>
                    <w:p w14:paraId="74786142" w14:textId="77777777" w:rsidR="0089272C" w:rsidRPr="0091429E" w:rsidRDefault="0089272C" w:rsidP="005C76FA">
                      <w:pPr>
                        <w:pStyle w:val="ListParagraph"/>
                        <w:numPr>
                          <w:ilvl w:val="0"/>
                          <w:numId w:val="5"/>
                        </w:numPr>
                        <w:rPr>
                          <w:rFonts w:ascii="Courier New" w:hAnsi="Courier New" w:cs="Courier New"/>
                          <w:sz w:val="24"/>
                          <w:szCs w:val="24"/>
                        </w:rPr>
                      </w:pPr>
                      <w:r w:rsidRPr="0091429E">
                        <w:rPr>
                          <w:rFonts w:ascii="Courier New" w:hAnsi="Courier New" w:cs="Courier New"/>
                          <w:b/>
                          <w:sz w:val="24"/>
                          <w:szCs w:val="24"/>
                        </w:rPr>
                        <w:t>How data will be analyzed:</w:t>
                      </w:r>
                      <w:r w:rsidRPr="0091429E">
                        <w:rPr>
                          <w:rFonts w:ascii="Courier New" w:hAnsi="Courier New" w:cs="Courier New"/>
                          <w:sz w:val="24"/>
                          <w:szCs w:val="24"/>
                        </w:rPr>
                        <w:t xml:space="preserve"> No statistical methods are used to analyze the information collected. CDC tracks participant training activities by using the identifiable information that facilitates the retrieval of historical information and creates aggregate reports on attendance and educational activities submitted for accreditation.</w:t>
                      </w:r>
                    </w:p>
                  </w:txbxContent>
                </v:textbox>
                <w10:wrap type="square"/>
              </v:shape>
            </w:pict>
          </mc:Fallback>
        </mc:AlternateContent>
      </w:r>
    </w:p>
    <w:p w14:paraId="5F3A2055" w14:textId="77777777" w:rsidR="0025083A" w:rsidRDefault="0025083A" w:rsidP="0025083A">
      <w:pPr>
        <w:tabs>
          <w:tab w:val="left" w:pos="360"/>
        </w:tabs>
        <w:jc w:val="center"/>
        <w:rPr>
          <w:rFonts w:ascii="Times New Roman" w:hAnsi="Times New Roman" w:cs="Times New Roman"/>
          <w:b/>
          <w:bCs/>
          <w:sz w:val="24"/>
          <w:szCs w:val="24"/>
        </w:rPr>
      </w:pPr>
    </w:p>
    <w:p w14:paraId="53F73811" w14:textId="77777777" w:rsidR="00B96F54" w:rsidRPr="00B96F54" w:rsidRDefault="0019360C" w:rsidP="00B96F54">
      <w:pPr>
        <w:pStyle w:val="Heading1"/>
        <w:keepNext w:val="0"/>
        <w:keepLines w:val="0"/>
        <w:numPr>
          <w:ilvl w:val="0"/>
          <w:numId w:val="7"/>
        </w:numPr>
        <w:spacing w:before="0" w:line="360" w:lineRule="auto"/>
        <w:rPr>
          <w:rFonts w:eastAsiaTheme="minorHAnsi"/>
        </w:rPr>
      </w:pPr>
      <w:bookmarkStart w:id="1" w:name="_Toc522700943"/>
      <w:r w:rsidRPr="00B96F54">
        <w:rPr>
          <w:rFonts w:eastAsiaTheme="minorHAnsi" w:cs="Times New Roman"/>
          <w:bCs w:val="0"/>
          <w:caps/>
          <w:szCs w:val="24"/>
        </w:rPr>
        <w:t>JUSTIFICATION</w:t>
      </w:r>
      <w:bookmarkEnd w:id="1"/>
    </w:p>
    <w:p w14:paraId="4E2EC030" w14:textId="77777777" w:rsidR="0019360C" w:rsidRPr="00B96F54" w:rsidRDefault="0019360C" w:rsidP="00C42381">
      <w:pPr>
        <w:pStyle w:val="Heading1"/>
        <w:numPr>
          <w:ilvl w:val="0"/>
          <w:numId w:val="8"/>
        </w:numPr>
        <w:tabs>
          <w:tab w:val="left" w:pos="360"/>
        </w:tabs>
        <w:ind w:left="630" w:hanging="270"/>
      </w:pPr>
      <w:bookmarkStart w:id="2" w:name="_Toc431891656"/>
      <w:bookmarkStart w:id="3" w:name="_Toc431906419"/>
      <w:bookmarkStart w:id="4" w:name="_Toc431909851"/>
      <w:bookmarkStart w:id="5" w:name="_Toc431911410"/>
      <w:bookmarkStart w:id="6" w:name="_Toc431911545"/>
      <w:bookmarkStart w:id="7" w:name="_Toc522700944"/>
      <w:bookmarkEnd w:id="2"/>
      <w:bookmarkEnd w:id="3"/>
      <w:bookmarkEnd w:id="4"/>
      <w:bookmarkEnd w:id="5"/>
      <w:bookmarkEnd w:id="6"/>
      <w:r w:rsidRPr="00B96F54">
        <w:t>Circumstances Making the Collection of Information Necessary</w:t>
      </w:r>
      <w:bookmarkEnd w:id="7"/>
    </w:p>
    <w:p w14:paraId="728FCD5F" w14:textId="77777777" w:rsidR="00B96F54" w:rsidRDefault="00B96F54" w:rsidP="0025083A">
      <w:pPr>
        <w:spacing w:after="0" w:line="240" w:lineRule="auto"/>
        <w:rPr>
          <w:rFonts w:ascii="Times New Roman" w:eastAsiaTheme="minorHAnsi" w:hAnsi="Times New Roman" w:cs="Times New Roman"/>
          <w:sz w:val="24"/>
          <w:szCs w:val="24"/>
        </w:rPr>
      </w:pPr>
    </w:p>
    <w:p w14:paraId="11C6B0D9" w14:textId="77777777" w:rsidR="004C39EA" w:rsidRPr="007224DB" w:rsidRDefault="00746D4F" w:rsidP="004C39EA">
      <w:pPr>
        <w:rPr>
          <w:rStyle w:val="Hyperlink"/>
          <w:rFonts w:ascii="Times New Roman" w:hAnsi="Times New Roman"/>
          <w:color w:val="auto"/>
          <w:sz w:val="24"/>
          <w:szCs w:val="24"/>
        </w:rPr>
      </w:pPr>
      <w:r w:rsidRPr="00746D4F">
        <w:rPr>
          <w:rFonts w:ascii="Times New Roman" w:hAnsi="Times New Roman" w:cs="Times New Roman"/>
          <w:sz w:val="24"/>
          <w:szCs w:val="24"/>
        </w:rPr>
        <w:t xml:space="preserve">This Information Collection Request (ICR) is for </w:t>
      </w:r>
      <w:r w:rsidR="00122E8D">
        <w:rPr>
          <w:rFonts w:ascii="Times New Roman" w:hAnsi="Times New Roman" w:cs="Times New Roman"/>
          <w:sz w:val="24"/>
          <w:szCs w:val="24"/>
        </w:rPr>
        <w:t xml:space="preserve">the </w:t>
      </w:r>
      <w:r w:rsidRPr="00746D4F">
        <w:rPr>
          <w:rFonts w:ascii="Times New Roman" w:hAnsi="Times New Roman" w:cs="Times New Roman"/>
          <w:sz w:val="24"/>
          <w:szCs w:val="24"/>
        </w:rPr>
        <w:t xml:space="preserve">revision of a currently approved OMB information collection. Approval is requested for 3 years. The current OMB approval </w:t>
      </w:r>
      <w:r w:rsidRPr="004C39EA">
        <w:rPr>
          <w:rFonts w:ascii="Times New Roman" w:hAnsi="Times New Roman" w:cs="Times New Roman"/>
          <w:sz w:val="24"/>
          <w:szCs w:val="24"/>
        </w:rPr>
        <w:t>(0920-0017)</w:t>
      </w:r>
      <w:r w:rsidRPr="00746D4F">
        <w:rPr>
          <w:rFonts w:ascii="Times New Roman" w:hAnsi="Times New Roman" w:cs="Times New Roman"/>
          <w:sz w:val="24"/>
          <w:szCs w:val="24"/>
        </w:rPr>
        <w:t xml:space="preserve"> expires June 30, </w:t>
      </w:r>
      <w:r w:rsidR="00F14E70" w:rsidRPr="00746D4F">
        <w:rPr>
          <w:rFonts w:ascii="Times New Roman" w:hAnsi="Times New Roman" w:cs="Times New Roman"/>
          <w:sz w:val="24"/>
          <w:szCs w:val="24"/>
        </w:rPr>
        <w:t>201</w:t>
      </w:r>
      <w:r w:rsidR="00F14E70">
        <w:rPr>
          <w:rFonts w:ascii="Times New Roman" w:hAnsi="Times New Roman" w:cs="Times New Roman"/>
          <w:sz w:val="24"/>
          <w:szCs w:val="24"/>
        </w:rPr>
        <w:t>9</w:t>
      </w:r>
      <w:r w:rsidRPr="00746D4F">
        <w:rPr>
          <w:rFonts w:ascii="Times New Roman" w:hAnsi="Times New Roman" w:cs="Times New Roman"/>
          <w:sz w:val="24"/>
          <w:szCs w:val="24"/>
        </w:rPr>
        <w:t>.</w:t>
      </w:r>
      <w:r w:rsidR="002D1973">
        <w:rPr>
          <w:rFonts w:ascii="Times New Roman" w:hAnsi="Times New Roman" w:cs="Times New Roman"/>
          <w:sz w:val="24"/>
          <w:szCs w:val="24"/>
        </w:rPr>
        <w:t xml:space="preserve">  </w:t>
      </w:r>
      <w:r w:rsidR="004C39EA" w:rsidRPr="008E535E">
        <w:rPr>
          <w:rFonts w:ascii="Times New Roman" w:hAnsi="Times New Roman" w:cs="Times New Roman"/>
          <w:sz w:val="24"/>
          <w:szCs w:val="24"/>
        </w:rPr>
        <w:t xml:space="preserve">This collection of information and data from health professionals is authorized by the Public Health Service Act, Title 42, The Public Health and Welfare, </w:t>
      </w:r>
      <w:r w:rsidR="004C39EA">
        <w:rPr>
          <w:rFonts w:ascii="Times New Roman" w:hAnsi="Times New Roman" w:cs="Times New Roman"/>
          <w:sz w:val="24"/>
          <w:szCs w:val="24"/>
        </w:rPr>
        <w:t xml:space="preserve">Chapter 6A-Public Health Service, 1) Subchapter V-Health Professions Education, Part E-Health Professions and Public Health Workforce, subpart 2-public health workforce </w:t>
      </w:r>
      <w:hyperlink r:id="rId16" w:history="1">
        <w:r w:rsidR="004C39EA" w:rsidRPr="008E535E">
          <w:rPr>
            <w:rStyle w:val="Hyperlink"/>
            <w:rFonts w:ascii="Times New Roman" w:hAnsi="Times New Roman"/>
            <w:sz w:val="24"/>
            <w:szCs w:val="24"/>
          </w:rPr>
          <w:t>Section 295</w:t>
        </w:r>
      </w:hyperlink>
      <w:r w:rsidR="004C39EA">
        <w:rPr>
          <w:rFonts w:ascii="Times New Roman" w:hAnsi="Times New Roman" w:cs="Times New Roman"/>
          <w:sz w:val="24"/>
          <w:szCs w:val="24"/>
        </w:rPr>
        <w:t xml:space="preserve"> </w:t>
      </w:r>
      <w:r w:rsidR="004C39EA" w:rsidRPr="0023790B">
        <w:rPr>
          <w:rFonts w:ascii="Times New Roman" w:hAnsi="Times New Roman" w:cs="Times New Roman"/>
          <w:sz w:val="24"/>
          <w:szCs w:val="24"/>
        </w:rPr>
        <w:t>(Attachment 1A);</w:t>
      </w:r>
      <w:r w:rsidR="004C39EA">
        <w:rPr>
          <w:rFonts w:ascii="Times New Roman" w:hAnsi="Times New Roman" w:cs="Times New Roman"/>
          <w:sz w:val="24"/>
          <w:szCs w:val="24"/>
        </w:rPr>
        <w:t xml:space="preserve"> 2) </w:t>
      </w:r>
      <w:r w:rsidR="004C39EA" w:rsidRPr="00DC50B7">
        <w:rPr>
          <w:rFonts w:ascii="Times New Roman" w:hAnsi="Times New Roman" w:cs="Times New Roman"/>
          <w:sz w:val="24"/>
          <w:szCs w:val="24"/>
        </w:rPr>
        <w:t>Subchapter V-Health Professions Education, Part</w:t>
      </w:r>
      <w:r w:rsidR="004C39EA">
        <w:rPr>
          <w:rFonts w:ascii="Times New Roman" w:hAnsi="Times New Roman" w:cs="Times New Roman"/>
          <w:sz w:val="24"/>
          <w:szCs w:val="24"/>
        </w:rPr>
        <w:t xml:space="preserve"> F-General Provisions, Health Professions Data</w:t>
      </w:r>
      <w:r w:rsidR="004C39EA" w:rsidRPr="008E535E">
        <w:rPr>
          <w:rFonts w:ascii="Times New Roman" w:hAnsi="Times New Roman" w:cs="Times New Roman"/>
          <w:sz w:val="24"/>
          <w:szCs w:val="24"/>
        </w:rPr>
        <w:t xml:space="preserve"> </w:t>
      </w:r>
      <w:hyperlink r:id="rId17" w:history="1">
        <w:r w:rsidR="004C39EA" w:rsidRPr="008E535E">
          <w:rPr>
            <w:rStyle w:val="Hyperlink"/>
            <w:rFonts w:ascii="Times New Roman" w:hAnsi="Times New Roman"/>
            <w:sz w:val="24"/>
            <w:szCs w:val="24"/>
          </w:rPr>
          <w:t>Section 295k</w:t>
        </w:r>
      </w:hyperlink>
      <w:r w:rsidR="004C39EA">
        <w:rPr>
          <w:rFonts w:ascii="Times New Roman" w:hAnsi="Times New Roman" w:cs="Times New Roman"/>
          <w:sz w:val="24"/>
          <w:szCs w:val="24"/>
        </w:rPr>
        <w:t xml:space="preserve"> (</w:t>
      </w:r>
      <w:r w:rsidR="004C39EA" w:rsidRPr="0023790B">
        <w:rPr>
          <w:rFonts w:ascii="Times New Roman" w:hAnsi="Times New Roman" w:cs="Times New Roman"/>
          <w:sz w:val="24"/>
          <w:szCs w:val="24"/>
        </w:rPr>
        <w:t>Attachment 1B);</w:t>
      </w:r>
      <w:r w:rsidR="004C39EA" w:rsidRPr="008E535E">
        <w:rPr>
          <w:rFonts w:ascii="Times New Roman" w:hAnsi="Times New Roman" w:cs="Times New Roman"/>
          <w:sz w:val="24"/>
          <w:szCs w:val="24"/>
        </w:rPr>
        <w:t xml:space="preserve"> and by Title 42, Subchapter II, General Powers and Duties, Part B, Federal-State Cooperation, </w:t>
      </w:r>
      <w:hyperlink r:id="rId18" w:history="1">
        <w:r w:rsidR="004C39EA" w:rsidRPr="008E535E">
          <w:rPr>
            <w:rStyle w:val="Hyperlink"/>
            <w:rFonts w:ascii="Times New Roman" w:hAnsi="Times New Roman"/>
            <w:sz w:val="24"/>
            <w:szCs w:val="24"/>
          </w:rPr>
          <w:t>Section 243</w:t>
        </w:r>
      </w:hyperlink>
      <w:r w:rsidR="004C39EA">
        <w:rPr>
          <w:rFonts w:ascii="Times New Roman" w:hAnsi="Times New Roman" w:cs="Times New Roman"/>
          <w:sz w:val="24"/>
          <w:szCs w:val="24"/>
        </w:rPr>
        <w:t xml:space="preserve"> (</w:t>
      </w:r>
      <w:r w:rsidR="004C39EA" w:rsidRPr="0023790B">
        <w:rPr>
          <w:rFonts w:ascii="Times New Roman" w:hAnsi="Times New Roman" w:cs="Times New Roman"/>
          <w:sz w:val="24"/>
          <w:szCs w:val="24"/>
        </w:rPr>
        <w:t>Attachment 1C</w:t>
      </w:r>
      <w:r w:rsidR="004C39EA" w:rsidRPr="007224DB">
        <w:rPr>
          <w:rFonts w:ascii="Times New Roman" w:hAnsi="Times New Roman" w:cs="Times New Roman"/>
          <w:sz w:val="24"/>
          <w:szCs w:val="24"/>
        </w:rPr>
        <w:t xml:space="preserve">). </w:t>
      </w:r>
      <w:hyperlink w:history="1"/>
    </w:p>
    <w:p w14:paraId="28CD3B86" w14:textId="203558FE" w:rsidR="002B7436" w:rsidRDefault="00746D4F" w:rsidP="00B346D2">
      <w:pPr>
        <w:spacing w:after="0" w:line="240" w:lineRule="auto"/>
        <w:rPr>
          <w:rFonts w:ascii="Times New Roman" w:hAnsi="Times New Roman" w:cs="Times New Roman"/>
          <w:sz w:val="24"/>
          <w:szCs w:val="24"/>
        </w:rPr>
      </w:pPr>
      <w:r w:rsidRPr="00746D4F">
        <w:rPr>
          <w:rFonts w:ascii="Times New Roman" w:hAnsi="Times New Roman" w:cs="Times New Roman"/>
          <w:sz w:val="24"/>
          <w:szCs w:val="24"/>
        </w:rPr>
        <w:t xml:space="preserve">CDC is accredited by multiple accreditation organizations to award continuing education </w:t>
      </w:r>
      <w:r w:rsidR="0010083E">
        <w:rPr>
          <w:rFonts w:ascii="Times New Roman" w:hAnsi="Times New Roman" w:cs="Times New Roman"/>
          <w:sz w:val="24"/>
          <w:szCs w:val="24"/>
        </w:rPr>
        <w:t xml:space="preserve">(CE) </w:t>
      </w:r>
      <w:r w:rsidRPr="00746D4F">
        <w:rPr>
          <w:rFonts w:ascii="Times New Roman" w:hAnsi="Times New Roman" w:cs="Times New Roman"/>
          <w:sz w:val="24"/>
          <w:szCs w:val="24"/>
        </w:rPr>
        <w:t xml:space="preserve">for </w:t>
      </w:r>
      <w:r w:rsidR="00A87874">
        <w:rPr>
          <w:rFonts w:ascii="Times New Roman" w:hAnsi="Times New Roman" w:cs="Times New Roman"/>
          <w:sz w:val="24"/>
          <w:szCs w:val="24"/>
        </w:rPr>
        <w:t xml:space="preserve">public health and </w:t>
      </w:r>
      <w:r w:rsidRPr="00746D4F">
        <w:rPr>
          <w:rFonts w:ascii="Times New Roman" w:hAnsi="Times New Roman" w:cs="Times New Roman"/>
          <w:sz w:val="24"/>
          <w:szCs w:val="24"/>
        </w:rPr>
        <w:t xml:space="preserve">health professionals (learners). CDC’s Center for Surveillance, Epidemiology, and Laboratory Services (CSELS) coordinates CDC’s </w:t>
      </w:r>
      <w:r w:rsidR="0010083E">
        <w:rPr>
          <w:rFonts w:ascii="Times New Roman" w:hAnsi="Times New Roman" w:cs="Times New Roman"/>
          <w:sz w:val="24"/>
          <w:szCs w:val="24"/>
        </w:rPr>
        <w:t>CE</w:t>
      </w:r>
      <w:r w:rsidRPr="00746D4F">
        <w:rPr>
          <w:rFonts w:ascii="Times New Roman" w:hAnsi="Times New Roman" w:cs="Times New Roman"/>
          <w:sz w:val="24"/>
          <w:szCs w:val="24"/>
        </w:rPr>
        <w:t xml:space="preserve"> activities. </w:t>
      </w:r>
      <w:r w:rsidR="00D75096">
        <w:rPr>
          <w:rFonts w:ascii="Times New Roman" w:hAnsi="Times New Roman" w:cs="Times New Roman"/>
          <w:sz w:val="24"/>
          <w:szCs w:val="24"/>
        </w:rPr>
        <w:t xml:space="preserve">By offering free, accredited educational activities and CE, CDC saved the U.S. workforce more than $3 million in training costs to public health and health professionals in FY2017. </w:t>
      </w:r>
      <w:r w:rsidRPr="00746D4F">
        <w:rPr>
          <w:rFonts w:ascii="Times New Roman" w:hAnsi="Times New Roman" w:cs="Times New Roman"/>
          <w:sz w:val="24"/>
          <w:szCs w:val="24"/>
        </w:rPr>
        <w:t xml:space="preserve">To comply with the mandatory requirements of accreditation organization standards, CDC requires health professionals seeking </w:t>
      </w:r>
      <w:r w:rsidR="0010083E">
        <w:rPr>
          <w:rFonts w:ascii="Times New Roman" w:hAnsi="Times New Roman" w:cs="Times New Roman"/>
          <w:sz w:val="24"/>
          <w:szCs w:val="24"/>
        </w:rPr>
        <w:t>CE</w:t>
      </w:r>
      <w:r w:rsidRPr="00746D4F">
        <w:rPr>
          <w:rFonts w:ascii="Times New Roman" w:hAnsi="Times New Roman" w:cs="Times New Roman"/>
          <w:sz w:val="24"/>
          <w:szCs w:val="24"/>
        </w:rPr>
        <w:t xml:space="preserve"> to use the Training and Continuing Education Online (TCEO) system. </w:t>
      </w:r>
      <w:r w:rsidR="002B7436" w:rsidRPr="003A4197">
        <w:rPr>
          <w:rFonts w:ascii="Times New Roman" w:hAnsi="Times New Roman" w:cs="Times New Roman"/>
          <w:sz w:val="24"/>
          <w:szCs w:val="24"/>
        </w:rPr>
        <w:t>CDC uses the TCEO system to manage the accreditation process for educational activities developed by CDC and CDC-funded partners (educational developers).</w:t>
      </w:r>
      <w:r w:rsidR="002B7436" w:rsidRPr="00BC7834">
        <w:rPr>
          <w:rFonts w:ascii="Times New Roman" w:hAnsi="Times New Roman" w:cs="Times New Roman"/>
          <w:sz w:val="24"/>
          <w:szCs w:val="24"/>
        </w:rPr>
        <w:t xml:space="preserve"> </w:t>
      </w:r>
      <w:r w:rsidR="002B7436" w:rsidRPr="00992E96">
        <w:rPr>
          <w:rFonts w:ascii="Times New Roman" w:hAnsi="Times New Roman" w:cs="Times New Roman"/>
          <w:sz w:val="24"/>
          <w:szCs w:val="24"/>
        </w:rPr>
        <w:t xml:space="preserve">Aggregate data from the </w:t>
      </w:r>
      <w:r w:rsidR="00641142">
        <w:rPr>
          <w:rFonts w:ascii="Times New Roman" w:hAnsi="Times New Roman" w:cs="Times New Roman"/>
          <w:sz w:val="24"/>
          <w:szCs w:val="24"/>
        </w:rPr>
        <w:t>system</w:t>
      </w:r>
      <w:r w:rsidR="002B7436" w:rsidRPr="00B20239">
        <w:rPr>
          <w:rFonts w:ascii="Times New Roman" w:hAnsi="Times New Roman" w:cs="Times New Roman"/>
          <w:sz w:val="24"/>
          <w:szCs w:val="24"/>
        </w:rPr>
        <w:t xml:space="preserve"> will be used to improve educational activities and </w:t>
      </w:r>
      <w:r w:rsidR="002B7436" w:rsidRPr="00BC7834">
        <w:rPr>
          <w:rFonts w:ascii="Times New Roman" w:hAnsi="Times New Roman" w:cs="Times New Roman"/>
          <w:sz w:val="24"/>
          <w:szCs w:val="24"/>
        </w:rPr>
        <w:t>provide reports to the accrediting organizations</w:t>
      </w:r>
      <w:r w:rsidR="002B7436" w:rsidRPr="00836D92">
        <w:rPr>
          <w:rFonts w:ascii="Times New Roman" w:hAnsi="Times New Roman" w:cs="Times New Roman"/>
          <w:sz w:val="24"/>
          <w:szCs w:val="24"/>
        </w:rPr>
        <w:t>.</w:t>
      </w:r>
    </w:p>
    <w:p w14:paraId="6471453D" w14:textId="77777777" w:rsidR="002B7436" w:rsidRDefault="002B7436" w:rsidP="00B346D2">
      <w:pPr>
        <w:spacing w:after="0" w:line="240" w:lineRule="auto"/>
        <w:rPr>
          <w:rFonts w:ascii="Times New Roman" w:hAnsi="Times New Roman" w:cs="Times New Roman"/>
          <w:sz w:val="24"/>
          <w:szCs w:val="24"/>
        </w:rPr>
      </w:pPr>
    </w:p>
    <w:p w14:paraId="687A32E3" w14:textId="3D7FA8E6" w:rsidR="008D3DD6" w:rsidRDefault="00BC7834" w:rsidP="00B346D2">
      <w:pPr>
        <w:spacing w:after="0" w:line="240" w:lineRule="auto"/>
        <w:rPr>
          <w:rFonts w:ascii="Times New Roman" w:hAnsi="Times New Roman" w:cs="Times New Roman"/>
          <w:sz w:val="24"/>
          <w:szCs w:val="24"/>
        </w:rPr>
      </w:pPr>
      <w:r w:rsidRPr="00BC7834">
        <w:rPr>
          <w:rFonts w:ascii="Times New Roman" w:hAnsi="Times New Roman" w:cs="Times New Roman"/>
          <w:sz w:val="24"/>
          <w:szCs w:val="24"/>
        </w:rPr>
        <w:t>Requested revisions</w:t>
      </w:r>
      <w:r w:rsidR="0099219F" w:rsidRPr="00BC7834">
        <w:rPr>
          <w:rFonts w:ascii="Times New Roman" w:hAnsi="Times New Roman" w:cs="Times New Roman"/>
          <w:sz w:val="24"/>
          <w:szCs w:val="24"/>
        </w:rPr>
        <w:t xml:space="preserve"> </w:t>
      </w:r>
      <w:r w:rsidR="00B346D2" w:rsidRPr="003A4197">
        <w:rPr>
          <w:rFonts w:ascii="Times New Roman" w:hAnsi="Times New Roman" w:cs="Times New Roman"/>
          <w:sz w:val="24"/>
          <w:szCs w:val="24"/>
        </w:rPr>
        <w:t>are (1) to add questions to the existing TCEO New Participant Registration</w:t>
      </w:r>
      <w:r w:rsidR="0010083E">
        <w:rPr>
          <w:rFonts w:ascii="Times New Roman" w:hAnsi="Times New Roman" w:cs="Times New Roman"/>
          <w:sz w:val="24"/>
          <w:szCs w:val="24"/>
        </w:rPr>
        <w:t>,</w:t>
      </w:r>
      <w:r w:rsidR="00B346D2" w:rsidRPr="003A4197">
        <w:rPr>
          <w:rFonts w:ascii="Times New Roman" w:hAnsi="Times New Roman" w:cs="Times New Roman"/>
          <w:sz w:val="24"/>
          <w:szCs w:val="24"/>
        </w:rPr>
        <w:t xml:space="preserve"> (2) introduce a TCEO Post-</w:t>
      </w:r>
      <w:r w:rsidR="00B346D2" w:rsidRPr="00BC7834">
        <w:t>C</w:t>
      </w:r>
      <w:r w:rsidR="00B346D2" w:rsidRPr="003A4197">
        <w:rPr>
          <w:rFonts w:ascii="Times New Roman" w:hAnsi="Times New Roman" w:cs="Times New Roman"/>
          <w:sz w:val="24"/>
          <w:szCs w:val="24"/>
        </w:rPr>
        <w:t>ourse Evaluation and</w:t>
      </w:r>
      <w:r w:rsidR="00F238E8">
        <w:rPr>
          <w:rFonts w:ascii="Times New Roman" w:hAnsi="Times New Roman" w:cs="Times New Roman"/>
          <w:sz w:val="24"/>
          <w:szCs w:val="24"/>
        </w:rPr>
        <w:t>, (3) introduce a</w:t>
      </w:r>
      <w:r w:rsidR="00B346D2" w:rsidRPr="003A4197">
        <w:rPr>
          <w:rFonts w:ascii="Times New Roman" w:hAnsi="Times New Roman" w:cs="Times New Roman"/>
          <w:sz w:val="24"/>
          <w:szCs w:val="24"/>
        </w:rPr>
        <w:t xml:space="preserve"> TCEO Follow-</w:t>
      </w:r>
      <w:r>
        <w:rPr>
          <w:rFonts w:ascii="Times New Roman" w:hAnsi="Times New Roman" w:cs="Times New Roman"/>
          <w:sz w:val="24"/>
          <w:szCs w:val="24"/>
        </w:rPr>
        <w:t>u</w:t>
      </w:r>
      <w:r w:rsidR="00B346D2" w:rsidRPr="003A4197">
        <w:rPr>
          <w:rFonts w:ascii="Times New Roman" w:hAnsi="Times New Roman" w:cs="Times New Roman"/>
          <w:sz w:val="24"/>
          <w:szCs w:val="24"/>
        </w:rPr>
        <w:t xml:space="preserve">p Evaluation. </w:t>
      </w:r>
      <w:r w:rsidR="00AA1DA7">
        <w:rPr>
          <w:rFonts w:ascii="Times New Roman" w:hAnsi="Times New Roman" w:cs="Times New Roman"/>
          <w:sz w:val="24"/>
          <w:szCs w:val="24"/>
        </w:rPr>
        <w:t>The changes are outlined below:</w:t>
      </w:r>
    </w:p>
    <w:p w14:paraId="657F5353" w14:textId="77777777" w:rsidR="00CA4C98" w:rsidRDefault="00CA4C98" w:rsidP="00B346D2">
      <w:pPr>
        <w:spacing w:after="0" w:line="240" w:lineRule="auto"/>
        <w:rPr>
          <w:rFonts w:ascii="Times New Roman" w:hAnsi="Times New Roman" w:cs="Times New Roman"/>
          <w:sz w:val="24"/>
          <w:szCs w:val="24"/>
        </w:rPr>
      </w:pPr>
    </w:p>
    <w:p w14:paraId="017D7581" w14:textId="78D1AC18" w:rsidR="008D3DD6" w:rsidRPr="00E531B8" w:rsidRDefault="008D3DD6" w:rsidP="008D3DD6">
      <w:pPr>
        <w:pStyle w:val="ListParagraph"/>
        <w:numPr>
          <w:ilvl w:val="0"/>
          <w:numId w:val="4"/>
        </w:numPr>
        <w:spacing w:line="240" w:lineRule="auto"/>
        <w:rPr>
          <w:rFonts w:ascii="Times New Roman" w:hAnsi="Times New Roman" w:cs="Times New Roman"/>
          <w:sz w:val="24"/>
          <w:szCs w:val="24"/>
        </w:rPr>
      </w:pPr>
      <w:r w:rsidRPr="00FC0E3B">
        <w:rPr>
          <w:rFonts w:ascii="Times New Roman" w:hAnsi="Times New Roman" w:cs="Times New Roman"/>
          <w:sz w:val="24"/>
          <w:szCs w:val="24"/>
        </w:rPr>
        <w:t>Implement additional questions</w:t>
      </w:r>
      <w:r w:rsidR="00D75096">
        <w:rPr>
          <w:rFonts w:ascii="Times New Roman" w:hAnsi="Times New Roman" w:cs="Times New Roman"/>
          <w:sz w:val="24"/>
          <w:szCs w:val="24"/>
        </w:rPr>
        <w:t xml:space="preserve"> (to ask for State/Territory and Phone number, and more specific drop-down choices for existing questions)</w:t>
      </w:r>
      <w:r w:rsidRPr="00FC0E3B">
        <w:rPr>
          <w:rFonts w:ascii="Times New Roman" w:hAnsi="Times New Roman" w:cs="Times New Roman"/>
          <w:sz w:val="24"/>
          <w:szCs w:val="24"/>
        </w:rPr>
        <w:t xml:space="preserve"> to the TCEO New Participant Registration form</w:t>
      </w:r>
      <w:r>
        <w:rPr>
          <w:rFonts w:ascii="Times New Roman" w:hAnsi="Times New Roman" w:cs="Times New Roman"/>
          <w:sz w:val="24"/>
          <w:szCs w:val="24"/>
        </w:rPr>
        <w:t xml:space="preserve"> </w:t>
      </w:r>
      <w:r w:rsidRPr="00836D92">
        <w:rPr>
          <w:rFonts w:ascii="Times New Roman" w:hAnsi="Times New Roman" w:cs="Times New Roman"/>
          <w:sz w:val="24"/>
          <w:szCs w:val="24"/>
        </w:rPr>
        <w:t xml:space="preserve">(Attachment </w:t>
      </w:r>
      <w:r w:rsidR="00E50697">
        <w:rPr>
          <w:rFonts w:ascii="Times New Roman" w:hAnsi="Times New Roman" w:cs="Times New Roman"/>
          <w:sz w:val="24"/>
          <w:szCs w:val="24"/>
        </w:rPr>
        <w:t>4</w:t>
      </w:r>
      <w:r w:rsidRPr="00836D92">
        <w:rPr>
          <w:rFonts w:ascii="Times New Roman" w:hAnsi="Times New Roman" w:cs="Times New Roman"/>
          <w:sz w:val="24"/>
          <w:szCs w:val="24"/>
        </w:rPr>
        <w:t>).</w:t>
      </w:r>
      <w:r w:rsidRPr="00FC0E3B">
        <w:rPr>
          <w:rFonts w:ascii="Times New Roman" w:hAnsi="Times New Roman" w:cs="Times New Roman"/>
          <w:sz w:val="24"/>
          <w:szCs w:val="24"/>
        </w:rPr>
        <w:t xml:space="preserve"> CDC awards CE to physicians, nurses, health education specialists, pharmacists, veterinarians, and public health practitioners for free who register for accredited trainings to maintain their professional licensures and certifications. The information collected by the TCEO New Participant Registration is entered into tracking databases and used to authenticate learners when they sign up for an educational activity, generate certificates of attendance and continuing education as proof of participants’ </w:t>
      </w:r>
      <w:r w:rsidRPr="00FC0E3B">
        <w:rPr>
          <w:rFonts w:ascii="Times New Roman" w:hAnsi="Times New Roman" w:cs="Times New Roman"/>
          <w:color w:val="000000" w:themeColor="text1"/>
          <w:sz w:val="24"/>
          <w:szCs w:val="24"/>
        </w:rPr>
        <w:t>attendance, aggregate reports, and produce transcripts when requested.</w:t>
      </w:r>
      <w:r w:rsidRPr="00FC0E3B">
        <w:rPr>
          <w:i/>
        </w:rPr>
        <w:t xml:space="preserve"> </w:t>
      </w:r>
      <w:r w:rsidRPr="00FC0E3B">
        <w:rPr>
          <w:rFonts w:ascii="Times New Roman" w:hAnsi="Times New Roman" w:cs="Times New Roman"/>
          <w:sz w:val="24"/>
          <w:szCs w:val="24"/>
        </w:rPr>
        <w:t xml:space="preserve">Continued use of the TCEO New Participant Registration allows CDC to comply with mandatory accrediting organizations’ standards, coordinate learner registrations, manage and offer accredited educational activities, aggregate responses to evaluation tools for CDC to implement improvements to educational activities as needed, and provide required reports to the accrediting organizations on </w:t>
      </w:r>
      <w:r w:rsidRPr="00E531B8">
        <w:rPr>
          <w:rFonts w:ascii="Times New Roman" w:hAnsi="Times New Roman" w:cs="Times New Roman"/>
          <w:sz w:val="24"/>
          <w:szCs w:val="24"/>
        </w:rPr>
        <w:t>an annual basis.</w:t>
      </w:r>
    </w:p>
    <w:p w14:paraId="451197BA" w14:textId="1EC410F4" w:rsidR="008D3DD6" w:rsidRPr="00E531B8" w:rsidRDefault="008D3DD6" w:rsidP="008D3DD6">
      <w:pPr>
        <w:pStyle w:val="ListParagraph"/>
        <w:widowControl w:val="0"/>
        <w:numPr>
          <w:ilvl w:val="0"/>
          <w:numId w:val="4"/>
        </w:numPr>
        <w:tabs>
          <w:tab w:val="left" w:pos="0"/>
        </w:tabs>
        <w:spacing w:line="240" w:lineRule="auto"/>
        <w:rPr>
          <w:rFonts w:ascii="Times New Roman" w:hAnsi="Times New Roman" w:cs="Times New Roman"/>
          <w:sz w:val="24"/>
          <w:szCs w:val="24"/>
        </w:rPr>
      </w:pPr>
      <w:r w:rsidRPr="00E531B8">
        <w:rPr>
          <w:rFonts w:ascii="Times New Roman" w:hAnsi="Times New Roman" w:cs="Times New Roman"/>
          <w:sz w:val="24"/>
          <w:szCs w:val="24"/>
        </w:rPr>
        <w:t>Establish a new TCEO Post-Course Evaluation consisting</w:t>
      </w:r>
      <w:r>
        <w:rPr>
          <w:rFonts w:ascii="Times New Roman" w:hAnsi="Times New Roman" w:cs="Times New Roman"/>
          <w:sz w:val="24"/>
          <w:szCs w:val="24"/>
        </w:rPr>
        <w:t xml:space="preserve"> of</w:t>
      </w:r>
      <w:r w:rsidRPr="00E531B8">
        <w:rPr>
          <w:rFonts w:ascii="Times New Roman" w:hAnsi="Times New Roman" w:cs="Times New Roman"/>
          <w:sz w:val="24"/>
          <w:szCs w:val="24"/>
        </w:rPr>
        <w:t xml:space="preserve"> 21 questions to be taken immediately after training</w:t>
      </w:r>
      <w:r>
        <w:rPr>
          <w:rFonts w:ascii="Times New Roman" w:hAnsi="Times New Roman" w:cs="Times New Roman"/>
          <w:sz w:val="24"/>
          <w:szCs w:val="24"/>
        </w:rPr>
        <w:t xml:space="preserve"> </w:t>
      </w:r>
      <w:r w:rsidRPr="00836D92">
        <w:rPr>
          <w:rFonts w:ascii="Times New Roman" w:hAnsi="Times New Roman" w:cs="Times New Roman"/>
          <w:sz w:val="24"/>
          <w:szCs w:val="24"/>
        </w:rPr>
        <w:t xml:space="preserve">(Attachment </w:t>
      </w:r>
      <w:r w:rsidR="00E50697">
        <w:rPr>
          <w:rFonts w:ascii="Times New Roman" w:hAnsi="Times New Roman" w:cs="Times New Roman"/>
          <w:sz w:val="24"/>
          <w:szCs w:val="24"/>
        </w:rPr>
        <w:t>5</w:t>
      </w:r>
      <w:r w:rsidRPr="00836D92">
        <w:rPr>
          <w:rFonts w:ascii="Times New Roman" w:hAnsi="Times New Roman" w:cs="Times New Roman"/>
          <w:sz w:val="24"/>
          <w:szCs w:val="24"/>
        </w:rPr>
        <w:t>).</w:t>
      </w:r>
      <w:r w:rsidRPr="00E531B8">
        <w:rPr>
          <w:rFonts w:ascii="Times New Roman" w:hAnsi="Times New Roman" w:cs="Times New Roman"/>
          <w:sz w:val="24"/>
          <w:szCs w:val="24"/>
        </w:rPr>
        <w:t xml:space="preserve"> Registered learners will not be able to receive CE unless they complete the required TCEO Post-Course Evaluation.</w:t>
      </w:r>
    </w:p>
    <w:p w14:paraId="4EF68773" w14:textId="62CB1A69" w:rsidR="008D3DD6" w:rsidRDefault="008D3DD6" w:rsidP="008D3DD6">
      <w:pPr>
        <w:pStyle w:val="ListParagraph"/>
        <w:widowControl w:val="0"/>
        <w:numPr>
          <w:ilvl w:val="0"/>
          <w:numId w:val="4"/>
        </w:numPr>
        <w:tabs>
          <w:tab w:val="left" w:pos="0"/>
        </w:tabs>
        <w:spacing w:line="240" w:lineRule="auto"/>
        <w:rPr>
          <w:rFonts w:ascii="Times New Roman" w:hAnsi="Times New Roman" w:cs="Times New Roman"/>
          <w:sz w:val="24"/>
          <w:szCs w:val="24"/>
        </w:rPr>
      </w:pPr>
      <w:r w:rsidRPr="00E531B8">
        <w:rPr>
          <w:rFonts w:ascii="Times New Roman" w:hAnsi="Times New Roman" w:cs="Times New Roman"/>
          <w:sz w:val="24"/>
          <w:szCs w:val="24"/>
        </w:rPr>
        <w:t xml:space="preserve">Establish a new TCEO Follow-up Course Evaluation consisting of </w:t>
      </w:r>
      <w:r>
        <w:rPr>
          <w:rFonts w:ascii="Times New Roman" w:hAnsi="Times New Roman" w:cs="Times New Roman"/>
          <w:sz w:val="24"/>
          <w:szCs w:val="24"/>
        </w:rPr>
        <w:t xml:space="preserve">seven questions </w:t>
      </w:r>
      <w:r w:rsidRPr="00836D92">
        <w:rPr>
          <w:rFonts w:ascii="Times New Roman" w:hAnsi="Times New Roman" w:cs="Times New Roman"/>
          <w:sz w:val="24"/>
          <w:szCs w:val="24"/>
        </w:rPr>
        <w:t xml:space="preserve">(Attachment </w:t>
      </w:r>
      <w:r w:rsidR="00E50697">
        <w:rPr>
          <w:rFonts w:ascii="Times New Roman" w:hAnsi="Times New Roman" w:cs="Times New Roman"/>
          <w:sz w:val="24"/>
          <w:szCs w:val="24"/>
        </w:rPr>
        <w:t>6</w:t>
      </w:r>
      <w:r w:rsidRPr="00836D92">
        <w:rPr>
          <w:rFonts w:ascii="Times New Roman" w:hAnsi="Times New Roman" w:cs="Times New Roman"/>
          <w:sz w:val="24"/>
          <w:szCs w:val="24"/>
        </w:rPr>
        <w:t xml:space="preserve">). </w:t>
      </w:r>
      <w:r w:rsidRPr="00E531B8">
        <w:rPr>
          <w:rFonts w:ascii="Times New Roman" w:hAnsi="Times New Roman" w:cs="Times New Roman"/>
          <w:sz w:val="24"/>
          <w:szCs w:val="24"/>
        </w:rPr>
        <w:t>Registered learners will receive a reminder and a link generated by the TCEO system to the TCEO</w:t>
      </w:r>
      <w:r w:rsidRPr="00E727F4">
        <w:rPr>
          <w:rFonts w:ascii="Times New Roman" w:hAnsi="Times New Roman" w:cs="Times New Roman"/>
          <w:sz w:val="24"/>
          <w:szCs w:val="24"/>
        </w:rPr>
        <w:t xml:space="preserve"> Follow-up Course Evaluation </w:t>
      </w:r>
      <w:r>
        <w:rPr>
          <w:rFonts w:ascii="Times New Roman" w:hAnsi="Times New Roman" w:cs="Times New Roman"/>
          <w:sz w:val="24"/>
          <w:szCs w:val="24"/>
        </w:rPr>
        <w:t>approximately 6-weeks after participating in an educational activity.</w:t>
      </w:r>
    </w:p>
    <w:p w14:paraId="2479D572" w14:textId="24C109B5" w:rsidR="0019360C" w:rsidRDefault="00B346D2" w:rsidP="00B346D2">
      <w:pPr>
        <w:spacing w:after="0" w:line="240" w:lineRule="auto"/>
        <w:rPr>
          <w:rFonts w:ascii="Times New Roman" w:hAnsi="Times New Roman" w:cs="Times New Roman"/>
          <w:sz w:val="24"/>
          <w:szCs w:val="24"/>
        </w:rPr>
      </w:pPr>
      <w:r>
        <w:rPr>
          <w:rFonts w:ascii="Times New Roman" w:hAnsi="Times New Roman" w:cs="Times New Roman"/>
          <w:sz w:val="24"/>
          <w:szCs w:val="24"/>
        </w:rPr>
        <w:t>The revision includes additional questions added</w:t>
      </w:r>
      <w:r w:rsidRPr="00113630">
        <w:rPr>
          <w:rFonts w:ascii="Times New Roman" w:hAnsi="Times New Roman" w:cs="Times New Roman"/>
          <w:sz w:val="24"/>
          <w:szCs w:val="24"/>
        </w:rPr>
        <w:t xml:space="preserve"> to the approved </w:t>
      </w:r>
      <w:r w:rsidRPr="00C71E30">
        <w:rPr>
          <w:rFonts w:ascii="Times New Roman" w:hAnsi="Times New Roman" w:cs="Times New Roman"/>
          <w:sz w:val="24"/>
          <w:szCs w:val="24"/>
        </w:rPr>
        <w:t xml:space="preserve">TCEO </w:t>
      </w:r>
      <w:r>
        <w:rPr>
          <w:rFonts w:ascii="Times New Roman" w:hAnsi="Times New Roman" w:cs="Times New Roman"/>
          <w:sz w:val="24"/>
          <w:szCs w:val="24"/>
        </w:rPr>
        <w:t xml:space="preserve">New Participant Registration </w:t>
      </w:r>
      <w:r w:rsidRPr="00836D92">
        <w:rPr>
          <w:rFonts w:ascii="Times New Roman" w:hAnsi="Times New Roman" w:cs="Times New Roman"/>
          <w:sz w:val="24"/>
          <w:szCs w:val="24"/>
        </w:rPr>
        <w:t xml:space="preserve">(Attachment </w:t>
      </w:r>
      <w:r w:rsidR="00E50697">
        <w:rPr>
          <w:rFonts w:ascii="Times New Roman" w:hAnsi="Times New Roman" w:cs="Times New Roman"/>
          <w:sz w:val="24"/>
          <w:szCs w:val="24"/>
        </w:rPr>
        <w:t>4</w:t>
      </w:r>
      <w:r w:rsidRPr="00836D92">
        <w:rPr>
          <w:rFonts w:ascii="Times New Roman" w:hAnsi="Times New Roman" w:cs="Times New Roman"/>
          <w:sz w:val="24"/>
          <w:szCs w:val="24"/>
        </w:rPr>
        <w:t>). This</w:t>
      </w:r>
      <w:r>
        <w:rPr>
          <w:rFonts w:ascii="Times New Roman" w:hAnsi="Times New Roman" w:cs="Times New Roman"/>
          <w:sz w:val="24"/>
          <w:szCs w:val="24"/>
        </w:rPr>
        <w:t xml:space="preserve"> electronic</w:t>
      </w:r>
      <w:r w:rsidRPr="00C71E30">
        <w:rPr>
          <w:rFonts w:ascii="Times New Roman" w:hAnsi="Times New Roman" w:cs="Times New Roman"/>
          <w:sz w:val="24"/>
          <w:szCs w:val="24"/>
        </w:rPr>
        <w:t xml:space="preserve"> </w:t>
      </w:r>
      <w:r>
        <w:rPr>
          <w:rFonts w:ascii="Times New Roman" w:hAnsi="Times New Roman" w:cs="Times New Roman"/>
          <w:sz w:val="24"/>
          <w:szCs w:val="24"/>
        </w:rPr>
        <w:t>tool</w:t>
      </w:r>
      <w:r w:rsidRPr="00C71E30">
        <w:rPr>
          <w:rFonts w:ascii="Times New Roman" w:hAnsi="Times New Roman" w:cs="Times New Roman"/>
          <w:sz w:val="24"/>
          <w:szCs w:val="24"/>
        </w:rPr>
        <w:t xml:space="preserve"> collect</w:t>
      </w:r>
      <w:r>
        <w:rPr>
          <w:rFonts w:ascii="Times New Roman" w:hAnsi="Times New Roman" w:cs="Times New Roman"/>
          <w:sz w:val="24"/>
          <w:szCs w:val="24"/>
        </w:rPr>
        <w:t>s</w:t>
      </w:r>
      <w:r w:rsidRPr="00C71E30">
        <w:rPr>
          <w:rFonts w:ascii="Times New Roman" w:hAnsi="Times New Roman" w:cs="Times New Roman"/>
          <w:sz w:val="24"/>
          <w:szCs w:val="24"/>
        </w:rPr>
        <w:t xml:space="preserve"> the required information needed to </w:t>
      </w:r>
      <w:r>
        <w:rPr>
          <w:rFonts w:ascii="Times New Roman" w:hAnsi="Times New Roman" w:cs="Times New Roman"/>
          <w:sz w:val="24"/>
          <w:szCs w:val="24"/>
        </w:rPr>
        <w:t>process</w:t>
      </w:r>
      <w:r w:rsidRPr="00C71E30">
        <w:rPr>
          <w:rFonts w:ascii="Times New Roman" w:hAnsi="Times New Roman" w:cs="Times New Roman"/>
          <w:sz w:val="24"/>
          <w:szCs w:val="24"/>
        </w:rPr>
        <w:t xml:space="preserve"> </w:t>
      </w:r>
      <w:r>
        <w:rPr>
          <w:rFonts w:ascii="Times New Roman" w:hAnsi="Times New Roman" w:cs="Times New Roman"/>
          <w:sz w:val="24"/>
          <w:szCs w:val="24"/>
        </w:rPr>
        <w:t xml:space="preserve">new </w:t>
      </w:r>
      <w:r w:rsidRPr="00C71E30">
        <w:rPr>
          <w:rFonts w:ascii="Times New Roman" w:hAnsi="Times New Roman" w:cs="Times New Roman"/>
          <w:sz w:val="24"/>
          <w:szCs w:val="24"/>
        </w:rPr>
        <w:t>learner</w:t>
      </w:r>
      <w:r>
        <w:rPr>
          <w:rFonts w:ascii="Times New Roman" w:hAnsi="Times New Roman" w:cs="Times New Roman"/>
          <w:sz w:val="24"/>
          <w:szCs w:val="24"/>
        </w:rPr>
        <w:t>s’ registration to participate in free accredited educational</w:t>
      </w:r>
      <w:r w:rsidRPr="00C71E30">
        <w:rPr>
          <w:rFonts w:ascii="Times New Roman" w:hAnsi="Times New Roman" w:cs="Times New Roman"/>
          <w:sz w:val="24"/>
          <w:szCs w:val="24"/>
        </w:rPr>
        <w:t xml:space="preserve"> activities including</w:t>
      </w:r>
      <w:r w:rsidRPr="009E03C5">
        <w:rPr>
          <w:rFonts w:ascii="Times New Roman" w:hAnsi="Times New Roman" w:cs="Times New Roman"/>
          <w:sz w:val="24"/>
          <w:szCs w:val="24"/>
        </w:rPr>
        <w:t xml:space="preserve"> </w:t>
      </w:r>
      <w:r w:rsidRPr="00C71E30">
        <w:rPr>
          <w:rFonts w:ascii="Times New Roman" w:hAnsi="Times New Roman" w:cs="Times New Roman"/>
          <w:sz w:val="24"/>
          <w:szCs w:val="24"/>
        </w:rPr>
        <w:t>e-learning</w:t>
      </w:r>
      <w:r>
        <w:rPr>
          <w:rFonts w:ascii="Times New Roman" w:hAnsi="Times New Roman" w:cs="Times New Roman"/>
          <w:sz w:val="24"/>
          <w:szCs w:val="24"/>
        </w:rPr>
        <w:t xml:space="preserve">, </w:t>
      </w:r>
      <w:r w:rsidRPr="00C71E30">
        <w:rPr>
          <w:rFonts w:ascii="Times New Roman" w:hAnsi="Times New Roman" w:cs="Times New Roman"/>
          <w:sz w:val="24"/>
          <w:szCs w:val="24"/>
        </w:rPr>
        <w:t>classroom study, and conferences</w:t>
      </w:r>
      <w:r>
        <w:rPr>
          <w:rFonts w:ascii="Times New Roman" w:hAnsi="Times New Roman" w:cs="Times New Roman"/>
          <w:sz w:val="24"/>
          <w:szCs w:val="24"/>
        </w:rPr>
        <w:t xml:space="preserve">. </w:t>
      </w:r>
      <w:r w:rsidRPr="00113630">
        <w:rPr>
          <w:rFonts w:ascii="Times New Roman" w:hAnsi="Times New Roman" w:cs="Times New Roman"/>
          <w:sz w:val="24"/>
          <w:szCs w:val="24"/>
        </w:rPr>
        <w:t xml:space="preserve">CDC uses the data collected from the TCEO New </w:t>
      </w:r>
      <w:r w:rsidR="00D75096">
        <w:rPr>
          <w:rFonts w:ascii="Times New Roman" w:hAnsi="Times New Roman" w:cs="Times New Roman"/>
          <w:sz w:val="24"/>
          <w:szCs w:val="24"/>
        </w:rPr>
        <w:t>Participant</w:t>
      </w:r>
      <w:r w:rsidR="00D75096" w:rsidRPr="00113630">
        <w:rPr>
          <w:rFonts w:ascii="Times New Roman" w:hAnsi="Times New Roman" w:cs="Times New Roman"/>
          <w:sz w:val="24"/>
          <w:szCs w:val="24"/>
        </w:rPr>
        <w:t xml:space="preserve"> </w:t>
      </w:r>
      <w:r w:rsidRPr="00113630">
        <w:rPr>
          <w:rFonts w:ascii="Times New Roman" w:hAnsi="Times New Roman" w:cs="Times New Roman"/>
          <w:sz w:val="24"/>
          <w:szCs w:val="24"/>
        </w:rPr>
        <w:t xml:space="preserve">Registration to </w:t>
      </w:r>
      <w:r>
        <w:rPr>
          <w:rFonts w:ascii="Times New Roman" w:hAnsi="Times New Roman" w:cs="Times New Roman"/>
          <w:sz w:val="24"/>
          <w:szCs w:val="24"/>
        </w:rPr>
        <w:t>ensure</w:t>
      </w:r>
      <w:r w:rsidRPr="00113630">
        <w:rPr>
          <w:rFonts w:ascii="Times New Roman" w:hAnsi="Times New Roman" w:cs="Times New Roman"/>
          <w:sz w:val="24"/>
          <w:szCs w:val="24"/>
        </w:rPr>
        <w:t xml:space="preserve"> </w:t>
      </w:r>
      <w:r>
        <w:rPr>
          <w:rFonts w:ascii="Times New Roman" w:hAnsi="Times New Roman" w:cs="Times New Roman"/>
          <w:sz w:val="24"/>
          <w:szCs w:val="24"/>
        </w:rPr>
        <w:t>learners</w:t>
      </w:r>
      <w:r w:rsidRPr="00113630">
        <w:rPr>
          <w:rFonts w:ascii="Times New Roman" w:hAnsi="Times New Roman" w:cs="Times New Roman"/>
          <w:sz w:val="24"/>
          <w:szCs w:val="24"/>
        </w:rPr>
        <w:t xml:space="preserve"> who have earned </w:t>
      </w:r>
      <w:r>
        <w:rPr>
          <w:rFonts w:ascii="Times New Roman" w:hAnsi="Times New Roman" w:cs="Times New Roman"/>
          <w:sz w:val="24"/>
          <w:szCs w:val="24"/>
        </w:rPr>
        <w:t xml:space="preserve">CE </w:t>
      </w:r>
      <w:r w:rsidRPr="00113630">
        <w:rPr>
          <w:rFonts w:ascii="Times New Roman" w:hAnsi="Times New Roman" w:cs="Times New Roman"/>
          <w:sz w:val="24"/>
          <w:szCs w:val="24"/>
        </w:rPr>
        <w:t xml:space="preserve">receive the </w:t>
      </w:r>
      <w:r>
        <w:rPr>
          <w:rFonts w:ascii="Times New Roman" w:hAnsi="Times New Roman" w:cs="Times New Roman"/>
          <w:sz w:val="24"/>
          <w:szCs w:val="24"/>
        </w:rPr>
        <w:t xml:space="preserve">free CE </w:t>
      </w:r>
      <w:r w:rsidRPr="00113630">
        <w:rPr>
          <w:rFonts w:ascii="Times New Roman" w:hAnsi="Times New Roman" w:cs="Times New Roman"/>
          <w:sz w:val="24"/>
          <w:szCs w:val="24"/>
        </w:rPr>
        <w:t>they earned</w:t>
      </w:r>
      <w:r>
        <w:rPr>
          <w:rFonts w:ascii="Times New Roman" w:hAnsi="Times New Roman" w:cs="Times New Roman"/>
          <w:sz w:val="24"/>
          <w:szCs w:val="24"/>
        </w:rPr>
        <w:t xml:space="preserve"> </w:t>
      </w:r>
      <w:r w:rsidRPr="00BE30D5">
        <w:rPr>
          <w:rFonts w:ascii="Times New Roman" w:hAnsi="Times New Roman" w:cs="Times New Roman"/>
          <w:sz w:val="24"/>
          <w:szCs w:val="24"/>
        </w:rPr>
        <w:t xml:space="preserve">to maintain their professional </w:t>
      </w:r>
      <w:r w:rsidRPr="001B6746">
        <w:rPr>
          <w:rFonts w:ascii="Times New Roman" w:hAnsi="Times New Roman" w:cs="Times New Roman"/>
          <w:sz w:val="24"/>
          <w:szCs w:val="24"/>
        </w:rPr>
        <w:t>licensures and certifications.</w:t>
      </w:r>
      <w:r w:rsidRPr="00113630">
        <w:rPr>
          <w:rFonts w:ascii="Times New Roman" w:hAnsi="Times New Roman" w:cs="Times New Roman"/>
          <w:sz w:val="24"/>
          <w:szCs w:val="24"/>
        </w:rPr>
        <w:t xml:space="preserve"> In addition, aggregate data from th</w:t>
      </w:r>
      <w:r>
        <w:rPr>
          <w:rFonts w:ascii="Times New Roman" w:hAnsi="Times New Roman" w:cs="Times New Roman"/>
          <w:sz w:val="24"/>
          <w:szCs w:val="24"/>
        </w:rPr>
        <w:t>e</w:t>
      </w:r>
      <w:r w:rsidRPr="00113630">
        <w:rPr>
          <w:rFonts w:ascii="Times New Roman" w:hAnsi="Times New Roman" w:cs="Times New Roman"/>
          <w:sz w:val="24"/>
          <w:szCs w:val="24"/>
        </w:rPr>
        <w:t xml:space="preserve"> </w:t>
      </w:r>
      <w:r>
        <w:rPr>
          <w:rFonts w:ascii="Times New Roman" w:hAnsi="Times New Roman" w:cs="Times New Roman"/>
          <w:sz w:val="24"/>
          <w:szCs w:val="24"/>
        </w:rPr>
        <w:t>New Participant Registration tool</w:t>
      </w:r>
      <w:r w:rsidRPr="00113630">
        <w:rPr>
          <w:rFonts w:ascii="Times New Roman" w:hAnsi="Times New Roman" w:cs="Times New Roman"/>
          <w:sz w:val="24"/>
          <w:szCs w:val="24"/>
        </w:rPr>
        <w:t xml:space="preserve"> is used to provide required reports to the accrediting </w:t>
      </w:r>
      <w:r>
        <w:rPr>
          <w:rFonts w:ascii="Times New Roman" w:hAnsi="Times New Roman" w:cs="Times New Roman"/>
          <w:sz w:val="24"/>
          <w:szCs w:val="24"/>
        </w:rPr>
        <w:t>organizations on an annual basis.</w:t>
      </w:r>
      <w:r w:rsidR="00F4473A" w:rsidRPr="00F4473A">
        <w:rPr>
          <w:rFonts w:ascii="Times New Roman" w:hAnsi="Times New Roman" w:cs="Times New Roman"/>
          <w:sz w:val="24"/>
          <w:szCs w:val="24"/>
        </w:rPr>
        <w:t xml:space="preserve"> The data collected about a</w:t>
      </w:r>
      <w:r w:rsidR="00F4473A">
        <w:rPr>
          <w:rFonts w:ascii="Times New Roman" w:hAnsi="Times New Roman" w:cs="Times New Roman"/>
          <w:sz w:val="24"/>
          <w:szCs w:val="24"/>
        </w:rPr>
        <w:t>n</w:t>
      </w:r>
      <w:r w:rsidR="00F4473A" w:rsidRPr="00F4473A">
        <w:rPr>
          <w:rFonts w:ascii="Times New Roman" w:hAnsi="Times New Roman" w:cs="Times New Roman"/>
          <w:sz w:val="24"/>
          <w:szCs w:val="24"/>
        </w:rPr>
        <w:t xml:space="preserve"> educational activity helps the accreditation team determine if </w:t>
      </w:r>
      <w:r w:rsidR="00B21D02">
        <w:rPr>
          <w:rFonts w:ascii="Times New Roman" w:hAnsi="Times New Roman" w:cs="Times New Roman"/>
          <w:sz w:val="24"/>
          <w:szCs w:val="24"/>
        </w:rPr>
        <w:t xml:space="preserve">CE </w:t>
      </w:r>
      <w:r w:rsidR="00F4473A" w:rsidRPr="00F4473A">
        <w:rPr>
          <w:rFonts w:ascii="Times New Roman" w:hAnsi="Times New Roman" w:cs="Times New Roman"/>
          <w:sz w:val="24"/>
          <w:szCs w:val="24"/>
        </w:rPr>
        <w:t>can be offered for that particular educational activity</w:t>
      </w:r>
      <w:r w:rsidR="00B92F30">
        <w:rPr>
          <w:rFonts w:ascii="Times New Roman" w:hAnsi="Times New Roman" w:cs="Times New Roman"/>
          <w:sz w:val="24"/>
          <w:szCs w:val="24"/>
        </w:rPr>
        <w:t xml:space="preserve">. </w:t>
      </w:r>
      <w:r w:rsidR="0019360C">
        <w:rPr>
          <w:rFonts w:ascii="Times New Roman" w:hAnsi="Times New Roman" w:cs="Times New Roman"/>
          <w:sz w:val="24"/>
          <w:szCs w:val="24"/>
        </w:rPr>
        <w:t>The</w:t>
      </w:r>
      <w:r w:rsidR="00F21F2C">
        <w:rPr>
          <w:rFonts w:ascii="Times New Roman" w:hAnsi="Times New Roman" w:cs="Times New Roman"/>
          <w:sz w:val="24"/>
          <w:szCs w:val="24"/>
        </w:rPr>
        <w:t xml:space="preserve"> four</w:t>
      </w:r>
      <w:r w:rsidR="0010083E">
        <w:rPr>
          <w:rFonts w:ascii="Times New Roman" w:hAnsi="Times New Roman" w:cs="Times New Roman"/>
          <w:sz w:val="24"/>
          <w:szCs w:val="24"/>
        </w:rPr>
        <w:t>,</w:t>
      </w:r>
      <w:r w:rsidR="0019360C">
        <w:rPr>
          <w:rFonts w:ascii="Times New Roman" w:hAnsi="Times New Roman" w:cs="Times New Roman"/>
          <w:sz w:val="24"/>
          <w:szCs w:val="24"/>
        </w:rPr>
        <w:t xml:space="preserve"> </w:t>
      </w:r>
      <w:r w:rsidR="002B48BD">
        <w:rPr>
          <w:rFonts w:ascii="Times New Roman" w:hAnsi="Times New Roman" w:cs="Times New Roman"/>
          <w:sz w:val="24"/>
          <w:szCs w:val="24"/>
        </w:rPr>
        <w:t xml:space="preserve">paperless </w:t>
      </w:r>
      <w:r w:rsidR="0019360C" w:rsidRPr="00C71E30">
        <w:rPr>
          <w:rFonts w:ascii="Times New Roman" w:hAnsi="Times New Roman" w:cs="Times New Roman"/>
          <w:sz w:val="24"/>
          <w:szCs w:val="24"/>
        </w:rPr>
        <w:t xml:space="preserve">information collection </w:t>
      </w:r>
      <w:r w:rsidR="00DB0E71">
        <w:rPr>
          <w:rFonts w:ascii="Times New Roman" w:hAnsi="Times New Roman" w:cs="Times New Roman"/>
          <w:sz w:val="24"/>
          <w:szCs w:val="24"/>
        </w:rPr>
        <w:t xml:space="preserve">tools </w:t>
      </w:r>
      <w:r w:rsidR="0019360C" w:rsidRPr="00C71E30">
        <w:rPr>
          <w:rFonts w:ascii="Times New Roman" w:hAnsi="Times New Roman" w:cs="Times New Roman"/>
          <w:sz w:val="24"/>
          <w:szCs w:val="24"/>
        </w:rPr>
        <w:t xml:space="preserve">provide CDC with the information necessary to </w:t>
      </w:r>
      <w:r w:rsidR="0019360C">
        <w:rPr>
          <w:rFonts w:ascii="Times New Roman" w:hAnsi="Times New Roman" w:cs="Times New Roman"/>
          <w:sz w:val="24"/>
          <w:szCs w:val="24"/>
        </w:rPr>
        <w:t>accredit</w:t>
      </w:r>
      <w:r w:rsidR="00836D92">
        <w:rPr>
          <w:rFonts w:ascii="Times New Roman" w:hAnsi="Times New Roman" w:cs="Times New Roman"/>
          <w:sz w:val="24"/>
          <w:szCs w:val="24"/>
        </w:rPr>
        <w:t xml:space="preserve"> educational activities</w:t>
      </w:r>
      <w:r w:rsidR="0019360C">
        <w:rPr>
          <w:rFonts w:ascii="Times New Roman" w:hAnsi="Times New Roman" w:cs="Times New Roman"/>
          <w:sz w:val="24"/>
          <w:szCs w:val="24"/>
        </w:rPr>
        <w:t xml:space="preserve">, </w:t>
      </w:r>
      <w:r w:rsidR="006D3EB3">
        <w:rPr>
          <w:rFonts w:ascii="Times New Roman" w:hAnsi="Times New Roman" w:cs="Times New Roman"/>
          <w:sz w:val="24"/>
          <w:szCs w:val="24"/>
        </w:rPr>
        <w:t>ensure users</w:t>
      </w:r>
      <w:r w:rsidR="006B75B1">
        <w:rPr>
          <w:rFonts w:ascii="Times New Roman" w:hAnsi="Times New Roman" w:cs="Times New Roman"/>
          <w:sz w:val="24"/>
          <w:szCs w:val="24"/>
        </w:rPr>
        <w:t xml:space="preserve"> receive</w:t>
      </w:r>
      <w:r w:rsidR="00836D92">
        <w:rPr>
          <w:rFonts w:ascii="Times New Roman" w:hAnsi="Times New Roman" w:cs="Times New Roman"/>
          <w:sz w:val="24"/>
          <w:szCs w:val="24"/>
        </w:rPr>
        <w:t xml:space="preserve"> earned</w:t>
      </w:r>
      <w:r w:rsidR="001A0ADF">
        <w:rPr>
          <w:rFonts w:ascii="Times New Roman" w:hAnsi="Times New Roman" w:cs="Times New Roman"/>
          <w:sz w:val="24"/>
          <w:szCs w:val="24"/>
        </w:rPr>
        <w:t xml:space="preserve"> </w:t>
      </w:r>
      <w:r w:rsidR="005A770A">
        <w:rPr>
          <w:rFonts w:ascii="Times New Roman" w:hAnsi="Times New Roman" w:cs="Times New Roman"/>
          <w:sz w:val="24"/>
          <w:szCs w:val="24"/>
        </w:rPr>
        <w:t>CE</w:t>
      </w:r>
      <w:r w:rsidR="001A0ADF">
        <w:rPr>
          <w:rFonts w:ascii="Times New Roman" w:hAnsi="Times New Roman" w:cs="Times New Roman"/>
          <w:sz w:val="24"/>
          <w:szCs w:val="24"/>
        </w:rPr>
        <w:t xml:space="preserve">, </w:t>
      </w:r>
      <w:r w:rsidR="00A87874">
        <w:rPr>
          <w:rFonts w:ascii="Times New Roman" w:hAnsi="Times New Roman" w:cs="Times New Roman"/>
          <w:sz w:val="24"/>
          <w:szCs w:val="24"/>
        </w:rPr>
        <w:t>improve educational activities,</w:t>
      </w:r>
      <w:r w:rsidR="00E85D8B">
        <w:rPr>
          <w:rFonts w:ascii="Times New Roman" w:hAnsi="Times New Roman" w:cs="Times New Roman"/>
          <w:sz w:val="24"/>
          <w:szCs w:val="24"/>
        </w:rPr>
        <w:t xml:space="preserve"> </w:t>
      </w:r>
      <w:r w:rsidR="0019360C">
        <w:rPr>
          <w:rFonts w:ascii="Times New Roman" w:hAnsi="Times New Roman" w:cs="Times New Roman"/>
          <w:sz w:val="24"/>
          <w:szCs w:val="24"/>
        </w:rPr>
        <w:t xml:space="preserve">and effectively manage </w:t>
      </w:r>
      <w:r w:rsidR="00836D92">
        <w:rPr>
          <w:rFonts w:ascii="Times New Roman" w:hAnsi="Times New Roman" w:cs="Times New Roman"/>
          <w:sz w:val="24"/>
          <w:szCs w:val="24"/>
        </w:rPr>
        <w:t>educational</w:t>
      </w:r>
      <w:r w:rsidR="0019360C" w:rsidRPr="00C71E30">
        <w:rPr>
          <w:rFonts w:ascii="Times New Roman" w:hAnsi="Times New Roman" w:cs="Times New Roman"/>
          <w:sz w:val="24"/>
          <w:szCs w:val="24"/>
        </w:rPr>
        <w:t xml:space="preserve"> activities pertinent to its mission</w:t>
      </w:r>
      <w:r w:rsidR="0019360C">
        <w:rPr>
          <w:rFonts w:ascii="Times New Roman" w:hAnsi="Times New Roman" w:cs="Times New Roman"/>
          <w:sz w:val="24"/>
          <w:szCs w:val="24"/>
        </w:rPr>
        <w:t xml:space="preserve"> to strengthen the skills of the current workforce through quality, accredited, </w:t>
      </w:r>
      <w:r w:rsidR="0010083E">
        <w:rPr>
          <w:rFonts w:ascii="Times New Roman" w:hAnsi="Times New Roman" w:cs="Times New Roman"/>
          <w:sz w:val="24"/>
          <w:szCs w:val="24"/>
        </w:rPr>
        <w:t xml:space="preserve">and </w:t>
      </w:r>
      <w:r w:rsidR="0019360C">
        <w:rPr>
          <w:rFonts w:ascii="Times New Roman" w:hAnsi="Times New Roman" w:cs="Times New Roman"/>
          <w:sz w:val="24"/>
          <w:szCs w:val="24"/>
        </w:rPr>
        <w:t>competency-based training</w:t>
      </w:r>
      <w:r w:rsidR="0019360C" w:rsidRPr="00C71E30">
        <w:rPr>
          <w:rFonts w:ascii="Times New Roman" w:hAnsi="Times New Roman" w:cs="Times New Roman"/>
          <w:sz w:val="24"/>
          <w:szCs w:val="24"/>
        </w:rPr>
        <w:t>.</w:t>
      </w:r>
    </w:p>
    <w:p w14:paraId="70FE3FD7" w14:textId="77777777" w:rsidR="009F7C26" w:rsidRDefault="009F7C26" w:rsidP="0025083A">
      <w:pPr>
        <w:spacing w:after="0" w:line="240" w:lineRule="auto"/>
        <w:rPr>
          <w:rFonts w:ascii="Times New Roman" w:hAnsi="Times New Roman" w:cs="Times New Roman"/>
          <w:sz w:val="24"/>
          <w:szCs w:val="24"/>
        </w:rPr>
      </w:pPr>
    </w:p>
    <w:p w14:paraId="64E41B9B" w14:textId="77777777" w:rsidR="0019360C" w:rsidRPr="004747FE" w:rsidRDefault="0019360C" w:rsidP="0019360C">
      <w:pPr>
        <w:widowControl w:val="0"/>
        <w:tabs>
          <w:tab w:val="left" w:pos="0"/>
        </w:tabs>
        <w:spacing w:line="240" w:lineRule="auto"/>
        <w:rPr>
          <w:rFonts w:ascii="Times New Roman" w:hAnsi="Times New Roman" w:cs="Times New Roman"/>
          <w:sz w:val="24"/>
          <w:szCs w:val="24"/>
        </w:rPr>
      </w:pPr>
      <w:r w:rsidRPr="001145C3">
        <w:rPr>
          <w:rFonts w:ascii="Times New Roman" w:hAnsi="Times New Roman" w:cs="Times New Roman"/>
          <w:sz w:val="24"/>
          <w:szCs w:val="24"/>
        </w:rPr>
        <w:t xml:space="preserve">CDC is accredited by </w:t>
      </w:r>
      <w:r w:rsidR="00A87874" w:rsidRPr="001145C3">
        <w:rPr>
          <w:rFonts w:ascii="Times New Roman" w:hAnsi="Times New Roman" w:cs="Times New Roman"/>
          <w:sz w:val="24"/>
          <w:szCs w:val="24"/>
        </w:rPr>
        <w:t xml:space="preserve">the following </w:t>
      </w:r>
      <w:r w:rsidR="00615055">
        <w:rPr>
          <w:rFonts w:ascii="Times New Roman" w:hAnsi="Times New Roman" w:cs="Times New Roman"/>
          <w:sz w:val="24"/>
          <w:szCs w:val="24"/>
        </w:rPr>
        <w:t>seven</w:t>
      </w:r>
      <w:r w:rsidRPr="001145C3">
        <w:rPr>
          <w:rFonts w:ascii="Times New Roman" w:hAnsi="Times New Roman" w:cs="Times New Roman"/>
          <w:sz w:val="24"/>
          <w:szCs w:val="24"/>
        </w:rPr>
        <w:t xml:space="preserve"> </w:t>
      </w:r>
      <w:r w:rsidR="00906247" w:rsidRPr="001145C3">
        <w:rPr>
          <w:rFonts w:ascii="Times New Roman" w:hAnsi="Times New Roman" w:cs="Times New Roman"/>
          <w:sz w:val="24"/>
          <w:szCs w:val="24"/>
        </w:rPr>
        <w:t>accrediting organizations</w:t>
      </w:r>
      <w:r w:rsidRPr="001145C3">
        <w:rPr>
          <w:rFonts w:ascii="Times New Roman" w:hAnsi="Times New Roman" w:cs="Times New Roman"/>
          <w:sz w:val="24"/>
          <w:szCs w:val="24"/>
        </w:rPr>
        <w:t xml:space="preserve">: </w:t>
      </w:r>
      <w:r w:rsidR="0010083E" w:rsidRPr="001145C3">
        <w:rPr>
          <w:rFonts w:ascii="Times New Roman" w:hAnsi="Times New Roman" w:cs="Times New Roman"/>
          <w:sz w:val="24"/>
          <w:szCs w:val="24"/>
        </w:rPr>
        <w:t>(</w:t>
      </w:r>
      <w:r w:rsidR="00A87874" w:rsidRPr="001145C3">
        <w:rPr>
          <w:rFonts w:ascii="Times New Roman" w:hAnsi="Times New Roman" w:cs="Times New Roman"/>
          <w:sz w:val="24"/>
          <w:szCs w:val="24"/>
        </w:rPr>
        <w:t xml:space="preserve">1) </w:t>
      </w:r>
      <w:r w:rsidRPr="001145C3">
        <w:rPr>
          <w:rFonts w:ascii="Times New Roman" w:hAnsi="Times New Roman" w:cs="Times New Roman"/>
          <w:sz w:val="24"/>
          <w:szCs w:val="24"/>
          <w:lang w:val="en"/>
        </w:rPr>
        <w:t xml:space="preserve">Accreditation Council for Continuing Medical Education, </w:t>
      </w:r>
      <w:r w:rsidR="0010083E" w:rsidRPr="001145C3">
        <w:rPr>
          <w:rFonts w:ascii="Times New Roman" w:hAnsi="Times New Roman" w:cs="Times New Roman"/>
          <w:sz w:val="24"/>
          <w:szCs w:val="24"/>
          <w:lang w:val="en"/>
        </w:rPr>
        <w:t>(</w:t>
      </w:r>
      <w:r w:rsidR="00A87874" w:rsidRPr="001145C3">
        <w:rPr>
          <w:rFonts w:ascii="Times New Roman" w:hAnsi="Times New Roman" w:cs="Times New Roman"/>
          <w:sz w:val="24"/>
          <w:szCs w:val="24"/>
          <w:lang w:val="en"/>
        </w:rPr>
        <w:t xml:space="preserve">2) </w:t>
      </w:r>
      <w:r w:rsidRPr="001145C3">
        <w:rPr>
          <w:rFonts w:ascii="Times New Roman" w:hAnsi="Times New Roman" w:cs="Times New Roman"/>
          <w:sz w:val="24"/>
          <w:szCs w:val="24"/>
          <w:lang w:val="en"/>
        </w:rPr>
        <w:t xml:space="preserve">International Association for Continuing Education and Training, </w:t>
      </w:r>
      <w:r w:rsidR="0010083E" w:rsidRPr="001145C3">
        <w:rPr>
          <w:rFonts w:ascii="Times New Roman" w:hAnsi="Times New Roman" w:cs="Times New Roman"/>
          <w:sz w:val="24"/>
          <w:szCs w:val="24"/>
          <w:lang w:val="en"/>
        </w:rPr>
        <w:t>(</w:t>
      </w:r>
      <w:r w:rsidR="00A87874" w:rsidRPr="001145C3">
        <w:rPr>
          <w:rFonts w:ascii="Times New Roman" w:hAnsi="Times New Roman" w:cs="Times New Roman"/>
          <w:sz w:val="24"/>
          <w:szCs w:val="24"/>
          <w:lang w:val="en"/>
        </w:rPr>
        <w:t xml:space="preserve">3) </w:t>
      </w:r>
      <w:r w:rsidRPr="001145C3">
        <w:rPr>
          <w:rFonts w:ascii="Times New Roman" w:hAnsi="Times New Roman" w:cs="Times New Roman"/>
          <w:sz w:val="24"/>
          <w:szCs w:val="24"/>
          <w:lang w:val="en"/>
        </w:rPr>
        <w:t xml:space="preserve">National Commission for Health Education Credentialing, </w:t>
      </w:r>
      <w:r w:rsidR="0010083E" w:rsidRPr="001145C3">
        <w:rPr>
          <w:rFonts w:ascii="Times New Roman" w:hAnsi="Times New Roman" w:cs="Times New Roman"/>
          <w:sz w:val="24"/>
          <w:szCs w:val="24"/>
          <w:lang w:val="en"/>
        </w:rPr>
        <w:t>(</w:t>
      </w:r>
      <w:r w:rsidR="00A87874" w:rsidRPr="001145C3">
        <w:rPr>
          <w:rFonts w:ascii="Times New Roman" w:hAnsi="Times New Roman" w:cs="Times New Roman"/>
          <w:sz w:val="24"/>
          <w:szCs w:val="24"/>
          <w:lang w:val="en"/>
        </w:rPr>
        <w:t xml:space="preserve">4) </w:t>
      </w:r>
      <w:r w:rsidRPr="001145C3">
        <w:rPr>
          <w:rFonts w:ascii="Times New Roman" w:hAnsi="Times New Roman" w:cs="Times New Roman"/>
          <w:sz w:val="24"/>
          <w:szCs w:val="24"/>
          <w:lang w:val="en"/>
        </w:rPr>
        <w:t xml:space="preserve">National Board of Public Health Examiners, </w:t>
      </w:r>
      <w:r w:rsidR="0010083E" w:rsidRPr="001145C3">
        <w:rPr>
          <w:rFonts w:ascii="Times New Roman" w:hAnsi="Times New Roman" w:cs="Times New Roman"/>
          <w:sz w:val="24"/>
          <w:szCs w:val="24"/>
          <w:lang w:val="en"/>
        </w:rPr>
        <w:t>(</w:t>
      </w:r>
      <w:r w:rsidR="00145473" w:rsidRPr="001145C3">
        <w:rPr>
          <w:rFonts w:ascii="Times New Roman" w:hAnsi="Times New Roman" w:cs="Times New Roman"/>
          <w:sz w:val="24"/>
          <w:szCs w:val="24"/>
          <w:lang w:val="en"/>
        </w:rPr>
        <w:t>5</w:t>
      </w:r>
      <w:r w:rsidR="00A87874" w:rsidRPr="001145C3">
        <w:rPr>
          <w:rFonts w:ascii="Times New Roman" w:hAnsi="Times New Roman" w:cs="Times New Roman"/>
          <w:sz w:val="24"/>
          <w:szCs w:val="24"/>
          <w:lang w:val="en"/>
        </w:rPr>
        <w:t xml:space="preserve">) </w:t>
      </w:r>
      <w:r w:rsidRPr="001145C3">
        <w:rPr>
          <w:rFonts w:ascii="Times New Roman" w:hAnsi="Times New Roman" w:cs="Times New Roman"/>
          <w:sz w:val="24"/>
          <w:szCs w:val="24"/>
          <w:lang w:val="en"/>
        </w:rPr>
        <w:t xml:space="preserve">American Nurses Credentialing Center's Commission on Accreditation, </w:t>
      </w:r>
      <w:r w:rsidR="0010083E" w:rsidRPr="001145C3">
        <w:rPr>
          <w:rFonts w:ascii="Times New Roman" w:hAnsi="Times New Roman" w:cs="Times New Roman"/>
          <w:sz w:val="24"/>
          <w:szCs w:val="24"/>
          <w:lang w:val="en"/>
        </w:rPr>
        <w:t>(</w:t>
      </w:r>
      <w:r w:rsidR="00145473" w:rsidRPr="001145C3">
        <w:rPr>
          <w:rFonts w:ascii="Times New Roman" w:hAnsi="Times New Roman" w:cs="Times New Roman"/>
          <w:sz w:val="24"/>
          <w:szCs w:val="24"/>
          <w:lang w:val="en"/>
        </w:rPr>
        <w:t>6</w:t>
      </w:r>
      <w:r w:rsidR="00A87874" w:rsidRPr="001145C3">
        <w:rPr>
          <w:rFonts w:ascii="Times New Roman" w:hAnsi="Times New Roman" w:cs="Times New Roman"/>
          <w:sz w:val="24"/>
          <w:szCs w:val="24"/>
          <w:lang w:val="en"/>
        </w:rPr>
        <w:t xml:space="preserve">) </w:t>
      </w:r>
      <w:r w:rsidR="00FF45DE" w:rsidRPr="001145C3">
        <w:rPr>
          <w:rFonts w:ascii="Times New Roman" w:hAnsi="Times New Roman" w:cs="Times New Roman"/>
          <w:sz w:val="24"/>
          <w:szCs w:val="24"/>
          <w:lang w:val="en"/>
        </w:rPr>
        <w:t xml:space="preserve">Accreditation </w:t>
      </w:r>
      <w:r w:rsidRPr="001145C3">
        <w:rPr>
          <w:rFonts w:ascii="Times New Roman" w:hAnsi="Times New Roman" w:cs="Times New Roman"/>
          <w:sz w:val="24"/>
          <w:szCs w:val="24"/>
          <w:lang w:val="en"/>
        </w:rPr>
        <w:t xml:space="preserve">Council for Pharmacy Education, </w:t>
      </w:r>
      <w:r w:rsidR="0010083E" w:rsidRPr="001145C3">
        <w:rPr>
          <w:rFonts w:ascii="Times New Roman" w:hAnsi="Times New Roman" w:cs="Times New Roman"/>
          <w:sz w:val="24"/>
          <w:szCs w:val="24"/>
          <w:lang w:val="en"/>
        </w:rPr>
        <w:t>(</w:t>
      </w:r>
      <w:r w:rsidR="00145473" w:rsidRPr="001145C3">
        <w:rPr>
          <w:rFonts w:ascii="Times New Roman" w:hAnsi="Times New Roman" w:cs="Times New Roman"/>
          <w:sz w:val="24"/>
          <w:szCs w:val="24"/>
          <w:lang w:val="en"/>
        </w:rPr>
        <w:t>7</w:t>
      </w:r>
      <w:r w:rsidR="00A87874" w:rsidRPr="001145C3">
        <w:rPr>
          <w:rFonts w:ascii="Times New Roman" w:hAnsi="Times New Roman" w:cs="Times New Roman"/>
          <w:sz w:val="24"/>
          <w:szCs w:val="24"/>
          <w:lang w:val="en"/>
        </w:rPr>
        <w:t xml:space="preserve">) </w:t>
      </w:r>
      <w:r w:rsidRPr="001145C3">
        <w:rPr>
          <w:rFonts w:ascii="Times New Roman" w:hAnsi="Times New Roman" w:cs="Times New Roman"/>
          <w:sz w:val="24"/>
          <w:szCs w:val="24"/>
          <w:lang w:val="en"/>
        </w:rPr>
        <w:t>the American Association of Veterinary State Boards</w:t>
      </w:r>
      <w:r w:rsidR="001145C3">
        <w:rPr>
          <w:rFonts w:ascii="Times New Roman" w:hAnsi="Times New Roman" w:cs="Times New Roman"/>
          <w:sz w:val="24"/>
          <w:szCs w:val="24"/>
          <w:lang w:val="en"/>
        </w:rPr>
        <w:t>/</w:t>
      </w:r>
      <w:r w:rsidRPr="001145C3">
        <w:rPr>
          <w:rFonts w:ascii="Times New Roman" w:hAnsi="Times New Roman" w:cs="Times New Roman"/>
          <w:sz w:val="24"/>
          <w:szCs w:val="24"/>
          <w:lang w:val="en"/>
        </w:rPr>
        <w:t>Registry of Approved Continuing Education.</w:t>
      </w:r>
      <w:r w:rsidRPr="00E92383">
        <w:rPr>
          <w:rFonts w:ascii="Times New Roman" w:hAnsi="Times New Roman" w:cs="Times New Roman"/>
          <w:sz w:val="24"/>
          <w:szCs w:val="24"/>
          <w:lang w:val="en"/>
        </w:rPr>
        <w:t xml:space="preserve"> The</w:t>
      </w:r>
      <w:r>
        <w:rPr>
          <w:rFonts w:ascii="Times New Roman" w:hAnsi="Times New Roman" w:cs="Times New Roman"/>
          <w:sz w:val="24"/>
          <w:szCs w:val="24"/>
          <w:lang w:val="en"/>
        </w:rPr>
        <w:t xml:space="preserve"> </w:t>
      </w:r>
      <w:r w:rsidR="00906247">
        <w:rPr>
          <w:rFonts w:ascii="Times New Roman" w:hAnsi="Times New Roman" w:cs="Times New Roman"/>
          <w:sz w:val="24"/>
          <w:szCs w:val="24"/>
          <w:lang w:val="en"/>
        </w:rPr>
        <w:t>accrediting organizations</w:t>
      </w:r>
      <w:r w:rsidRPr="00E92383" w:rsidDel="00AE65BE">
        <w:rPr>
          <w:rFonts w:ascii="Times New Roman" w:hAnsi="Times New Roman" w:cs="Times New Roman"/>
          <w:sz w:val="24"/>
          <w:szCs w:val="24"/>
        </w:rPr>
        <w:t xml:space="preserve"> </w:t>
      </w:r>
      <w:r w:rsidRPr="00E92383">
        <w:rPr>
          <w:rFonts w:ascii="Times New Roman" w:hAnsi="Times New Roman" w:cs="Times New Roman"/>
          <w:sz w:val="24"/>
          <w:szCs w:val="24"/>
        </w:rPr>
        <w:t xml:space="preserve">have specific requirements for tracking participants’ </w:t>
      </w:r>
      <w:r w:rsidR="00836D92">
        <w:rPr>
          <w:rFonts w:ascii="Times New Roman" w:hAnsi="Times New Roman" w:cs="Times New Roman"/>
          <w:sz w:val="24"/>
          <w:szCs w:val="24"/>
        </w:rPr>
        <w:t xml:space="preserve">educational </w:t>
      </w:r>
      <w:r w:rsidRPr="00E92383">
        <w:rPr>
          <w:rFonts w:ascii="Times New Roman" w:hAnsi="Times New Roman" w:cs="Times New Roman"/>
          <w:sz w:val="24"/>
          <w:szCs w:val="24"/>
        </w:rPr>
        <w:t>activities</w:t>
      </w:r>
      <w:r w:rsidR="00DB0E71">
        <w:rPr>
          <w:rFonts w:ascii="Times New Roman" w:hAnsi="Times New Roman" w:cs="Times New Roman"/>
          <w:sz w:val="24"/>
          <w:szCs w:val="24"/>
        </w:rPr>
        <w:t>, required evaluation questions,</w:t>
      </w:r>
      <w:r w:rsidRPr="00E92383">
        <w:rPr>
          <w:rFonts w:ascii="Times New Roman" w:hAnsi="Times New Roman" w:cs="Times New Roman"/>
          <w:sz w:val="24"/>
          <w:szCs w:val="24"/>
        </w:rPr>
        <w:t xml:space="preserve"> and identifiable information to facilitate retrieval of </w:t>
      </w:r>
      <w:r w:rsidRPr="004747FE">
        <w:rPr>
          <w:rFonts w:ascii="Times New Roman" w:hAnsi="Times New Roman" w:cs="Times New Roman"/>
          <w:sz w:val="24"/>
          <w:szCs w:val="24"/>
        </w:rPr>
        <w:t xml:space="preserve">historical information for a period of </w:t>
      </w:r>
      <w:r w:rsidR="00615055">
        <w:rPr>
          <w:rFonts w:ascii="Times New Roman" w:hAnsi="Times New Roman" w:cs="Times New Roman"/>
          <w:sz w:val="24"/>
          <w:szCs w:val="24"/>
        </w:rPr>
        <w:t>seven</w:t>
      </w:r>
      <w:r w:rsidRPr="004747FE">
        <w:rPr>
          <w:rFonts w:ascii="Times New Roman" w:hAnsi="Times New Roman" w:cs="Times New Roman"/>
          <w:sz w:val="24"/>
          <w:szCs w:val="24"/>
        </w:rPr>
        <w:t xml:space="preserve"> years </w:t>
      </w:r>
      <w:r w:rsidR="0010083E">
        <w:rPr>
          <w:rFonts w:ascii="Times New Roman" w:hAnsi="Times New Roman" w:cs="Times New Roman"/>
          <w:sz w:val="24"/>
          <w:szCs w:val="24"/>
        </w:rPr>
        <w:t>after</w:t>
      </w:r>
      <w:r w:rsidRPr="004747FE">
        <w:rPr>
          <w:rFonts w:ascii="Times New Roman" w:hAnsi="Times New Roman" w:cs="Times New Roman"/>
          <w:sz w:val="24"/>
          <w:szCs w:val="24"/>
        </w:rPr>
        <w:t xml:space="preserve"> course completion.</w:t>
      </w:r>
    </w:p>
    <w:p w14:paraId="1E03F6EE" w14:textId="5F65B862" w:rsidR="004C4F99" w:rsidRDefault="004C4F99" w:rsidP="004C4F99">
      <w:pPr>
        <w:spacing w:line="240" w:lineRule="auto"/>
        <w:rPr>
          <w:rFonts w:ascii="Times New Roman" w:hAnsi="Times New Roman" w:cs="Times New Roman"/>
          <w:sz w:val="24"/>
          <w:szCs w:val="24"/>
        </w:rPr>
      </w:pPr>
      <w:r w:rsidRPr="00113005">
        <w:rPr>
          <w:rFonts w:ascii="Times New Roman" w:hAnsi="Times New Roman" w:cs="Times New Roman"/>
          <w:sz w:val="24"/>
          <w:szCs w:val="24"/>
        </w:rPr>
        <w:t xml:space="preserve">Without the use of </w:t>
      </w:r>
      <w:r w:rsidR="00424CEB">
        <w:rPr>
          <w:rFonts w:ascii="Times New Roman" w:hAnsi="Times New Roman" w:cs="Times New Roman"/>
          <w:sz w:val="24"/>
          <w:szCs w:val="24"/>
        </w:rPr>
        <w:t>this information collection</w:t>
      </w:r>
      <w:r w:rsidRPr="00113005">
        <w:rPr>
          <w:rFonts w:ascii="Times New Roman" w:hAnsi="Times New Roman" w:cs="Times New Roman"/>
          <w:sz w:val="24"/>
          <w:szCs w:val="24"/>
        </w:rPr>
        <w:t>, CDC would</w:t>
      </w:r>
      <w:r w:rsidRPr="006D2EE5">
        <w:rPr>
          <w:rFonts w:ascii="Times New Roman" w:hAnsi="Times New Roman" w:cs="Times New Roman"/>
          <w:sz w:val="24"/>
          <w:szCs w:val="24"/>
        </w:rPr>
        <w:t xml:space="preserve"> face the following negative consequences:</w:t>
      </w:r>
      <w:r>
        <w:rPr>
          <w:rFonts w:ascii="Times New Roman" w:hAnsi="Times New Roman" w:cs="Times New Roman"/>
          <w:sz w:val="24"/>
          <w:szCs w:val="24"/>
        </w:rPr>
        <w:t xml:space="preserve"> CDC would </w:t>
      </w:r>
      <w:r w:rsidR="00AF04E2">
        <w:rPr>
          <w:rFonts w:ascii="Times New Roman" w:hAnsi="Times New Roman" w:cs="Times New Roman"/>
          <w:sz w:val="24"/>
          <w:szCs w:val="24"/>
        </w:rPr>
        <w:t>be unable</w:t>
      </w:r>
      <w:r>
        <w:rPr>
          <w:rFonts w:ascii="Times New Roman" w:hAnsi="Times New Roman" w:cs="Times New Roman"/>
          <w:sz w:val="24"/>
          <w:szCs w:val="24"/>
        </w:rPr>
        <w:t xml:space="preserve"> to award accreditation</w:t>
      </w:r>
      <w:r w:rsidRPr="00B41187">
        <w:rPr>
          <w:rFonts w:ascii="Times New Roman" w:hAnsi="Times New Roman" w:cs="Times New Roman"/>
          <w:sz w:val="24"/>
          <w:szCs w:val="24"/>
        </w:rPr>
        <w:t xml:space="preserve"> for </w:t>
      </w:r>
      <w:r>
        <w:rPr>
          <w:rFonts w:ascii="Times New Roman" w:hAnsi="Times New Roman" w:cs="Times New Roman"/>
          <w:sz w:val="24"/>
          <w:szCs w:val="24"/>
        </w:rPr>
        <w:t xml:space="preserve">educational activities; learners </w:t>
      </w:r>
      <w:r w:rsidRPr="006D2EE5">
        <w:rPr>
          <w:rFonts w:ascii="Times New Roman" w:hAnsi="Times New Roman" w:cs="Times New Roman"/>
          <w:sz w:val="24"/>
          <w:szCs w:val="24"/>
        </w:rPr>
        <w:t>would be unable to register for</w:t>
      </w:r>
      <w:r>
        <w:rPr>
          <w:rFonts w:ascii="Times New Roman" w:hAnsi="Times New Roman" w:cs="Times New Roman"/>
          <w:sz w:val="24"/>
          <w:szCs w:val="24"/>
        </w:rPr>
        <w:t xml:space="preserve"> free</w:t>
      </w:r>
      <w:r w:rsidRPr="006D2EE5">
        <w:rPr>
          <w:rFonts w:ascii="Times New Roman" w:hAnsi="Times New Roman" w:cs="Times New Roman"/>
          <w:sz w:val="24"/>
          <w:szCs w:val="24"/>
        </w:rPr>
        <w:t xml:space="preserve"> </w:t>
      </w:r>
      <w:r>
        <w:rPr>
          <w:rFonts w:ascii="Times New Roman" w:hAnsi="Times New Roman" w:cs="Times New Roman"/>
          <w:sz w:val="24"/>
          <w:szCs w:val="24"/>
        </w:rPr>
        <w:t>accredited educational activities</w:t>
      </w:r>
      <w:r w:rsidRPr="006D2EE5">
        <w:rPr>
          <w:rFonts w:ascii="Times New Roman" w:hAnsi="Times New Roman" w:cs="Times New Roman"/>
          <w:sz w:val="24"/>
          <w:szCs w:val="24"/>
        </w:rPr>
        <w:t xml:space="preserve"> offered by CD</w:t>
      </w:r>
      <w:r>
        <w:rPr>
          <w:rFonts w:ascii="Times New Roman" w:hAnsi="Times New Roman" w:cs="Times New Roman"/>
          <w:sz w:val="24"/>
          <w:szCs w:val="24"/>
        </w:rPr>
        <w:t xml:space="preserve">C or earn free CE to maintain their professional licensures and certifications; and </w:t>
      </w:r>
      <w:r w:rsidRPr="00B41187">
        <w:rPr>
          <w:rFonts w:ascii="Times New Roman" w:hAnsi="Times New Roman" w:cs="Times New Roman"/>
          <w:sz w:val="24"/>
          <w:szCs w:val="24"/>
        </w:rPr>
        <w:t xml:space="preserve">CDC would be unable to </w:t>
      </w:r>
      <w:r>
        <w:rPr>
          <w:rFonts w:ascii="Times New Roman" w:hAnsi="Times New Roman" w:cs="Times New Roman"/>
          <w:sz w:val="24"/>
          <w:szCs w:val="24"/>
        </w:rPr>
        <w:t xml:space="preserve">evaluate and improve the quality of its educational activities, or to </w:t>
      </w:r>
      <w:r w:rsidRPr="00B41187">
        <w:rPr>
          <w:rFonts w:ascii="Times New Roman" w:hAnsi="Times New Roman" w:cs="Times New Roman"/>
          <w:sz w:val="24"/>
          <w:szCs w:val="24"/>
        </w:rPr>
        <w:t>plan and manage trainings</w:t>
      </w:r>
      <w:r>
        <w:rPr>
          <w:rFonts w:ascii="Times New Roman" w:hAnsi="Times New Roman" w:cs="Times New Roman"/>
          <w:sz w:val="24"/>
          <w:szCs w:val="24"/>
        </w:rPr>
        <w:t xml:space="preserve">. Opportunities for obtaining CE </w:t>
      </w:r>
      <w:r w:rsidRPr="006D2EE5">
        <w:rPr>
          <w:rFonts w:ascii="Times New Roman" w:hAnsi="Times New Roman" w:cs="Times New Roman"/>
          <w:sz w:val="24"/>
          <w:szCs w:val="24"/>
        </w:rPr>
        <w:t xml:space="preserve">and professional competence of health </w:t>
      </w:r>
      <w:r>
        <w:rPr>
          <w:rFonts w:ascii="Times New Roman" w:hAnsi="Times New Roman" w:cs="Times New Roman"/>
          <w:sz w:val="24"/>
          <w:szCs w:val="24"/>
        </w:rPr>
        <w:t>professionals</w:t>
      </w:r>
      <w:r w:rsidRPr="006D2EE5">
        <w:rPr>
          <w:rFonts w:ascii="Times New Roman" w:hAnsi="Times New Roman" w:cs="Times New Roman"/>
          <w:sz w:val="24"/>
          <w:szCs w:val="24"/>
        </w:rPr>
        <w:t xml:space="preserve"> would decline in the United States, thus negatively impacting both domestic and international public health.</w:t>
      </w:r>
    </w:p>
    <w:p w14:paraId="1924D856" w14:textId="77777777" w:rsidR="00516FE1" w:rsidRDefault="00516FE1" w:rsidP="00C42381">
      <w:pPr>
        <w:pStyle w:val="Heading1"/>
        <w:numPr>
          <w:ilvl w:val="0"/>
          <w:numId w:val="8"/>
        </w:numPr>
        <w:tabs>
          <w:tab w:val="left" w:pos="360"/>
        </w:tabs>
        <w:ind w:left="630" w:hanging="270"/>
      </w:pPr>
      <w:bookmarkStart w:id="8" w:name="_Toc431906421"/>
      <w:bookmarkStart w:id="9" w:name="_Toc431909853"/>
      <w:bookmarkStart w:id="10" w:name="_Toc431911412"/>
      <w:bookmarkStart w:id="11" w:name="_Toc431911547"/>
      <w:bookmarkStart w:id="12" w:name="_Toc431906422"/>
      <w:bookmarkStart w:id="13" w:name="_Toc431909854"/>
      <w:bookmarkStart w:id="14" w:name="_Toc431911413"/>
      <w:bookmarkStart w:id="15" w:name="_Toc431911548"/>
      <w:bookmarkStart w:id="16" w:name="_Toc431906423"/>
      <w:bookmarkStart w:id="17" w:name="_Toc431909855"/>
      <w:bookmarkStart w:id="18" w:name="_Toc431911414"/>
      <w:bookmarkStart w:id="19" w:name="_Toc431911549"/>
      <w:bookmarkStart w:id="20" w:name="_Toc431906424"/>
      <w:bookmarkStart w:id="21" w:name="_Toc431909856"/>
      <w:bookmarkStart w:id="22" w:name="_Toc431911415"/>
      <w:bookmarkStart w:id="23" w:name="_Toc431911550"/>
      <w:bookmarkStart w:id="24" w:name="_Toc431906425"/>
      <w:bookmarkStart w:id="25" w:name="_Toc431909857"/>
      <w:bookmarkStart w:id="26" w:name="_Toc431911416"/>
      <w:bookmarkStart w:id="27" w:name="_Toc431911551"/>
      <w:bookmarkStart w:id="28" w:name="_Toc431906426"/>
      <w:bookmarkStart w:id="29" w:name="_Toc431909858"/>
      <w:bookmarkStart w:id="30" w:name="_Toc431911417"/>
      <w:bookmarkStart w:id="31" w:name="_Toc431911552"/>
      <w:bookmarkStart w:id="32" w:name="_Toc431906427"/>
      <w:bookmarkStart w:id="33" w:name="_Toc431909859"/>
      <w:bookmarkStart w:id="34" w:name="_Toc431911418"/>
      <w:bookmarkStart w:id="35" w:name="_Toc431911553"/>
      <w:bookmarkStart w:id="36" w:name="_Toc431906428"/>
      <w:bookmarkStart w:id="37" w:name="_Toc431909860"/>
      <w:bookmarkStart w:id="38" w:name="_Toc431911419"/>
      <w:bookmarkStart w:id="39" w:name="_Toc431911554"/>
      <w:bookmarkStart w:id="40" w:name="_Toc431906429"/>
      <w:bookmarkStart w:id="41" w:name="_Toc431909861"/>
      <w:bookmarkStart w:id="42" w:name="_Toc431911420"/>
      <w:bookmarkStart w:id="43" w:name="_Toc431911555"/>
      <w:bookmarkStart w:id="44" w:name="_Toc431906430"/>
      <w:bookmarkStart w:id="45" w:name="_Toc431909862"/>
      <w:bookmarkStart w:id="46" w:name="_Toc431911421"/>
      <w:bookmarkStart w:id="47" w:name="_Toc431911556"/>
      <w:bookmarkStart w:id="48" w:name="_Toc431906431"/>
      <w:bookmarkStart w:id="49" w:name="_Toc431909863"/>
      <w:bookmarkStart w:id="50" w:name="_Toc431911422"/>
      <w:bookmarkStart w:id="51" w:name="_Toc431911557"/>
      <w:bookmarkStart w:id="52" w:name="_Toc431906432"/>
      <w:bookmarkStart w:id="53" w:name="_Toc431909864"/>
      <w:bookmarkStart w:id="54" w:name="_Toc431911423"/>
      <w:bookmarkStart w:id="55" w:name="_Toc431911558"/>
      <w:bookmarkStart w:id="56" w:name="_Toc431906433"/>
      <w:bookmarkStart w:id="57" w:name="_Toc431909865"/>
      <w:bookmarkStart w:id="58" w:name="_Toc431911424"/>
      <w:bookmarkStart w:id="59" w:name="_Toc431911559"/>
      <w:bookmarkStart w:id="60" w:name="_Toc431906434"/>
      <w:bookmarkStart w:id="61" w:name="_Toc431909866"/>
      <w:bookmarkStart w:id="62" w:name="_Toc431911425"/>
      <w:bookmarkStart w:id="63" w:name="_Toc431911560"/>
      <w:bookmarkStart w:id="64" w:name="_Toc431906435"/>
      <w:bookmarkStart w:id="65" w:name="_Toc431909867"/>
      <w:bookmarkStart w:id="66" w:name="_Toc431911426"/>
      <w:bookmarkStart w:id="67" w:name="_Toc431911561"/>
      <w:bookmarkStart w:id="68" w:name="_Toc431906436"/>
      <w:bookmarkStart w:id="69" w:name="_Toc431909868"/>
      <w:bookmarkStart w:id="70" w:name="_Toc431911427"/>
      <w:bookmarkStart w:id="71" w:name="_Toc431911562"/>
      <w:bookmarkStart w:id="72" w:name="_Toc431906437"/>
      <w:bookmarkStart w:id="73" w:name="_Toc431909869"/>
      <w:bookmarkStart w:id="74" w:name="_Toc431911428"/>
      <w:bookmarkStart w:id="75" w:name="_Toc431911563"/>
      <w:bookmarkStart w:id="76" w:name="_Toc431906438"/>
      <w:bookmarkStart w:id="77" w:name="_Toc431909870"/>
      <w:bookmarkStart w:id="78" w:name="_Toc431911429"/>
      <w:bookmarkStart w:id="79" w:name="_Toc431911564"/>
      <w:bookmarkStart w:id="80" w:name="_Toc431906439"/>
      <w:bookmarkStart w:id="81" w:name="_Toc431909871"/>
      <w:bookmarkStart w:id="82" w:name="_Toc431911430"/>
      <w:bookmarkStart w:id="83" w:name="_Toc431911565"/>
      <w:bookmarkStart w:id="84" w:name="_Toc431906440"/>
      <w:bookmarkStart w:id="85" w:name="_Toc431909872"/>
      <w:bookmarkStart w:id="86" w:name="_Toc431911431"/>
      <w:bookmarkStart w:id="87" w:name="_Toc431911566"/>
      <w:bookmarkStart w:id="88" w:name="_Toc431906441"/>
      <w:bookmarkStart w:id="89" w:name="_Toc431909873"/>
      <w:bookmarkStart w:id="90" w:name="_Toc431911432"/>
      <w:bookmarkStart w:id="91" w:name="_Toc431911567"/>
      <w:bookmarkStart w:id="92" w:name="_Toc431906442"/>
      <w:bookmarkStart w:id="93" w:name="_Toc431909874"/>
      <w:bookmarkStart w:id="94" w:name="_Toc431911433"/>
      <w:bookmarkStart w:id="95" w:name="_Toc431911568"/>
      <w:bookmarkStart w:id="96" w:name="_Toc431906444"/>
      <w:bookmarkStart w:id="97" w:name="_Toc431909876"/>
      <w:bookmarkStart w:id="98" w:name="_Toc431911435"/>
      <w:bookmarkStart w:id="99" w:name="_Toc431911570"/>
      <w:bookmarkStart w:id="100" w:name="_Toc431906445"/>
      <w:bookmarkStart w:id="101" w:name="_Toc431909877"/>
      <w:bookmarkStart w:id="102" w:name="_Toc431911436"/>
      <w:bookmarkStart w:id="103" w:name="_Toc431911571"/>
      <w:bookmarkStart w:id="104" w:name="_Toc431906446"/>
      <w:bookmarkStart w:id="105" w:name="_Toc431909878"/>
      <w:bookmarkStart w:id="106" w:name="_Toc431911437"/>
      <w:bookmarkStart w:id="107" w:name="_Toc431911572"/>
      <w:bookmarkStart w:id="108" w:name="_Toc431906447"/>
      <w:bookmarkStart w:id="109" w:name="_Toc431909879"/>
      <w:bookmarkStart w:id="110" w:name="_Toc431911438"/>
      <w:bookmarkStart w:id="111" w:name="_Toc431911573"/>
      <w:bookmarkStart w:id="112" w:name="_Toc431906448"/>
      <w:bookmarkStart w:id="113" w:name="_Toc431909880"/>
      <w:bookmarkStart w:id="114" w:name="_Toc431911439"/>
      <w:bookmarkStart w:id="115" w:name="_Toc431911574"/>
      <w:bookmarkStart w:id="116" w:name="_Toc52270094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sidRPr="000617B1">
        <w:t>Purpose and Use of Information Collection</w:t>
      </w:r>
      <w:bookmarkEnd w:id="116"/>
    </w:p>
    <w:p w14:paraId="358C26D9" w14:textId="77777777" w:rsidR="00585810" w:rsidRDefault="00585810" w:rsidP="00BD247B">
      <w:pPr>
        <w:widowControl w:val="0"/>
        <w:spacing w:after="0" w:line="240" w:lineRule="auto"/>
        <w:rPr>
          <w:rFonts w:ascii="Times New Roman" w:hAnsi="Times New Roman" w:cs="Times New Roman"/>
          <w:sz w:val="24"/>
          <w:szCs w:val="24"/>
        </w:rPr>
      </w:pPr>
    </w:p>
    <w:p w14:paraId="5CBB10DF" w14:textId="77777777" w:rsidR="00FE04C7" w:rsidRDefault="00FE04C7" w:rsidP="00660F4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TCEO applications provide CDC with an efficient, effective, and secure electronic mechanism for collecting and processing information required by accrediting organizations for collecting and reviewing educational activities to ensure they meet accreditation standards. </w:t>
      </w:r>
    </w:p>
    <w:p w14:paraId="0F832424" w14:textId="77777777" w:rsidR="00405F6A" w:rsidRDefault="00405F6A" w:rsidP="00660F4F">
      <w:pPr>
        <w:widowControl w:val="0"/>
        <w:spacing w:after="0" w:line="240" w:lineRule="auto"/>
        <w:rPr>
          <w:rFonts w:ascii="Times New Roman" w:hAnsi="Times New Roman" w:cs="Times New Roman"/>
          <w:sz w:val="24"/>
          <w:szCs w:val="24"/>
        </w:rPr>
      </w:pPr>
    </w:p>
    <w:p w14:paraId="350E267C" w14:textId="1C9E3D3F" w:rsidR="0001296C" w:rsidRPr="006D2EE5" w:rsidRDefault="0001296C" w:rsidP="00660F4F">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approved TCEO </w:t>
      </w:r>
      <w:r w:rsidR="00AF2310">
        <w:rPr>
          <w:rFonts w:ascii="Times New Roman" w:hAnsi="Times New Roman" w:cs="Times New Roman"/>
          <w:sz w:val="24"/>
          <w:szCs w:val="24"/>
        </w:rPr>
        <w:t>Proposal</w:t>
      </w:r>
      <w:r w:rsidR="008D3DD6">
        <w:rPr>
          <w:rFonts w:ascii="Times New Roman" w:hAnsi="Times New Roman" w:cs="Times New Roman"/>
          <w:sz w:val="24"/>
          <w:szCs w:val="24"/>
        </w:rPr>
        <w:t xml:space="preserve"> (Attachment </w:t>
      </w:r>
      <w:r w:rsidR="00E50697">
        <w:rPr>
          <w:rFonts w:ascii="Times New Roman" w:hAnsi="Times New Roman" w:cs="Times New Roman"/>
          <w:sz w:val="24"/>
          <w:szCs w:val="24"/>
        </w:rPr>
        <w:t>3</w:t>
      </w:r>
      <w:r w:rsidR="008D3DD6">
        <w:rPr>
          <w:rFonts w:ascii="Times New Roman" w:hAnsi="Times New Roman" w:cs="Times New Roman"/>
          <w:sz w:val="24"/>
          <w:szCs w:val="24"/>
        </w:rPr>
        <w:t>)</w:t>
      </w:r>
      <w:r>
        <w:rPr>
          <w:rFonts w:ascii="Times New Roman" w:hAnsi="Times New Roman" w:cs="Times New Roman"/>
          <w:sz w:val="24"/>
          <w:szCs w:val="24"/>
        </w:rPr>
        <w:t xml:space="preserve"> expedites the process for </w:t>
      </w:r>
      <w:r w:rsidR="002C3C18">
        <w:rPr>
          <w:rFonts w:ascii="Times New Roman" w:hAnsi="Times New Roman" w:cs="Times New Roman"/>
          <w:sz w:val="24"/>
          <w:szCs w:val="24"/>
        </w:rPr>
        <w:t>ensuring educational activities meet accrediting organizations standards</w:t>
      </w:r>
      <w:r>
        <w:rPr>
          <w:rFonts w:ascii="Times New Roman" w:hAnsi="Times New Roman" w:cs="Times New Roman"/>
          <w:sz w:val="24"/>
          <w:szCs w:val="24"/>
        </w:rPr>
        <w:t xml:space="preserve"> and allows CDC to offer more </w:t>
      </w:r>
      <w:r w:rsidR="00660F4F">
        <w:rPr>
          <w:rFonts w:ascii="Times New Roman" w:hAnsi="Times New Roman" w:cs="Times New Roman"/>
          <w:sz w:val="24"/>
          <w:szCs w:val="24"/>
        </w:rPr>
        <w:t xml:space="preserve">accredited educational activities </w:t>
      </w:r>
      <w:r w:rsidR="00AF2310">
        <w:rPr>
          <w:rFonts w:ascii="Times New Roman" w:hAnsi="Times New Roman" w:cs="Times New Roman"/>
          <w:sz w:val="24"/>
          <w:szCs w:val="24"/>
        </w:rPr>
        <w:t>to meet the increasing demand of</w:t>
      </w:r>
      <w:r>
        <w:rPr>
          <w:rFonts w:ascii="Times New Roman" w:hAnsi="Times New Roman" w:cs="Times New Roman"/>
          <w:sz w:val="24"/>
          <w:szCs w:val="24"/>
        </w:rPr>
        <w:t xml:space="preserve"> the </w:t>
      </w:r>
      <w:r w:rsidRPr="006D2EE5">
        <w:rPr>
          <w:rFonts w:ascii="Times New Roman" w:hAnsi="Times New Roman" w:cs="Times New Roman"/>
          <w:sz w:val="24"/>
          <w:szCs w:val="24"/>
        </w:rPr>
        <w:t xml:space="preserve">public health and healthcare </w:t>
      </w:r>
      <w:r>
        <w:rPr>
          <w:rFonts w:ascii="Times New Roman" w:hAnsi="Times New Roman" w:cs="Times New Roman"/>
          <w:sz w:val="24"/>
          <w:szCs w:val="24"/>
        </w:rPr>
        <w:t>workforce</w:t>
      </w:r>
      <w:r w:rsidR="005A770A">
        <w:rPr>
          <w:rFonts w:ascii="Times New Roman" w:hAnsi="Times New Roman" w:cs="Times New Roman"/>
          <w:sz w:val="24"/>
          <w:szCs w:val="24"/>
        </w:rPr>
        <w:t xml:space="preserve"> (learners)</w:t>
      </w:r>
      <w:r>
        <w:rPr>
          <w:rFonts w:ascii="Times New Roman" w:hAnsi="Times New Roman" w:cs="Times New Roman"/>
          <w:sz w:val="24"/>
          <w:szCs w:val="24"/>
        </w:rPr>
        <w:t xml:space="preserve">. </w:t>
      </w:r>
      <w:r w:rsidRPr="006D2EE5">
        <w:rPr>
          <w:rFonts w:ascii="Times New Roman" w:hAnsi="Times New Roman" w:cs="Times New Roman"/>
          <w:sz w:val="24"/>
          <w:szCs w:val="24"/>
        </w:rPr>
        <w:t xml:space="preserve">CDC and its </w:t>
      </w:r>
      <w:r w:rsidR="005226E0">
        <w:rPr>
          <w:rFonts w:ascii="Times New Roman" w:hAnsi="Times New Roman" w:cs="Times New Roman"/>
          <w:sz w:val="24"/>
          <w:szCs w:val="24"/>
        </w:rPr>
        <w:t xml:space="preserve">funded </w:t>
      </w:r>
      <w:r w:rsidRPr="006D2EE5">
        <w:rPr>
          <w:rFonts w:ascii="Times New Roman" w:hAnsi="Times New Roman" w:cs="Times New Roman"/>
          <w:sz w:val="24"/>
          <w:szCs w:val="24"/>
        </w:rPr>
        <w:t>partner</w:t>
      </w:r>
      <w:r>
        <w:rPr>
          <w:rFonts w:ascii="Times New Roman" w:hAnsi="Times New Roman" w:cs="Times New Roman"/>
          <w:sz w:val="24"/>
          <w:szCs w:val="24"/>
        </w:rPr>
        <w:t xml:space="preserve"> organizations</w:t>
      </w:r>
      <w:r w:rsidRPr="006D2EE5">
        <w:rPr>
          <w:rFonts w:ascii="Times New Roman" w:hAnsi="Times New Roman" w:cs="Times New Roman"/>
          <w:sz w:val="24"/>
          <w:szCs w:val="24"/>
        </w:rPr>
        <w:t xml:space="preserve"> </w:t>
      </w:r>
      <w:r w:rsidR="00B31475">
        <w:rPr>
          <w:rFonts w:ascii="Times New Roman" w:hAnsi="Times New Roman" w:cs="Times New Roman"/>
          <w:sz w:val="24"/>
          <w:szCs w:val="24"/>
        </w:rPr>
        <w:t>(</w:t>
      </w:r>
      <w:r w:rsidR="0013029E">
        <w:rPr>
          <w:rFonts w:ascii="Times New Roman" w:hAnsi="Times New Roman" w:cs="Times New Roman"/>
          <w:color w:val="000000"/>
          <w:sz w:val="24"/>
        </w:rPr>
        <w:t>educational developers</w:t>
      </w:r>
      <w:r w:rsidR="00B31475">
        <w:rPr>
          <w:rFonts w:ascii="Times New Roman" w:hAnsi="Times New Roman" w:cs="Times New Roman"/>
          <w:color w:val="000000"/>
          <w:sz w:val="24"/>
        </w:rPr>
        <w:t xml:space="preserve">) </w:t>
      </w:r>
      <w:r w:rsidRPr="006D2EE5">
        <w:rPr>
          <w:rFonts w:ascii="Times New Roman" w:hAnsi="Times New Roman" w:cs="Times New Roman"/>
          <w:sz w:val="24"/>
          <w:szCs w:val="24"/>
        </w:rPr>
        <w:t xml:space="preserve">develop </w:t>
      </w:r>
      <w:r w:rsidR="00660F4F">
        <w:rPr>
          <w:rFonts w:ascii="Times New Roman" w:hAnsi="Times New Roman" w:cs="Times New Roman"/>
          <w:sz w:val="24"/>
          <w:szCs w:val="24"/>
        </w:rPr>
        <w:t>educational activities</w:t>
      </w:r>
      <w:r w:rsidRPr="006D2EE5">
        <w:rPr>
          <w:rFonts w:ascii="Times New Roman" w:hAnsi="Times New Roman" w:cs="Times New Roman"/>
          <w:sz w:val="24"/>
          <w:szCs w:val="24"/>
        </w:rPr>
        <w:t xml:space="preserve"> for </w:t>
      </w:r>
      <w:r w:rsidR="0096614D">
        <w:rPr>
          <w:rFonts w:ascii="Times New Roman" w:hAnsi="Times New Roman" w:cs="Times New Roman"/>
          <w:sz w:val="24"/>
          <w:szCs w:val="24"/>
        </w:rPr>
        <w:t>learners</w:t>
      </w:r>
      <w:r w:rsidR="00B21D02">
        <w:rPr>
          <w:rFonts w:ascii="Times New Roman" w:hAnsi="Times New Roman" w:cs="Times New Roman"/>
          <w:sz w:val="24"/>
          <w:szCs w:val="24"/>
        </w:rPr>
        <w:t xml:space="preserve"> </w:t>
      </w:r>
      <w:r>
        <w:rPr>
          <w:rFonts w:ascii="Times New Roman" w:hAnsi="Times New Roman" w:cs="Times New Roman"/>
          <w:sz w:val="24"/>
          <w:szCs w:val="24"/>
        </w:rPr>
        <w:t>to</w:t>
      </w:r>
      <w:r w:rsidRPr="006D2EE5">
        <w:rPr>
          <w:rFonts w:ascii="Times New Roman" w:hAnsi="Times New Roman" w:cs="Times New Roman"/>
          <w:sz w:val="24"/>
          <w:szCs w:val="24"/>
        </w:rPr>
        <w:t xml:space="preserve"> meet their professional </w:t>
      </w:r>
      <w:r w:rsidR="005A770A">
        <w:rPr>
          <w:rFonts w:ascii="Times New Roman" w:hAnsi="Times New Roman" w:cs="Times New Roman"/>
          <w:sz w:val="24"/>
          <w:szCs w:val="24"/>
        </w:rPr>
        <w:t xml:space="preserve">development </w:t>
      </w:r>
      <w:r w:rsidRPr="006D2EE5">
        <w:rPr>
          <w:rFonts w:ascii="Times New Roman" w:hAnsi="Times New Roman" w:cs="Times New Roman"/>
          <w:sz w:val="24"/>
          <w:szCs w:val="24"/>
        </w:rPr>
        <w:t xml:space="preserve">needs. </w:t>
      </w:r>
      <w:r>
        <w:rPr>
          <w:rFonts w:ascii="Times New Roman" w:hAnsi="Times New Roman" w:cs="Times New Roman"/>
          <w:sz w:val="24"/>
          <w:szCs w:val="24"/>
        </w:rPr>
        <w:t xml:space="preserve">Implementation of the </w:t>
      </w:r>
      <w:r w:rsidRPr="006D2EE5">
        <w:rPr>
          <w:rFonts w:ascii="Times New Roman" w:hAnsi="Times New Roman" w:cs="Times New Roman"/>
          <w:sz w:val="24"/>
          <w:szCs w:val="24"/>
        </w:rPr>
        <w:t xml:space="preserve">TCEO </w:t>
      </w:r>
      <w:r w:rsidR="00AF2310">
        <w:rPr>
          <w:rFonts w:ascii="Times New Roman" w:hAnsi="Times New Roman" w:cs="Times New Roman"/>
          <w:sz w:val="24"/>
          <w:szCs w:val="24"/>
        </w:rPr>
        <w:t>Proposal</w:t>
      </w:r>
      <w:r>
        <w:rPr>
          <w:rFonts w:ascii="Times New Roman" w:hAnsi="Times New Roman" w:cs="Times New Roman"/>
          <w:sz w:val="24"/>
          <w:szCs w:val="24"/>
        </w:rPr>
        <w:t xml:space="preserve"> through the TCEO system enhances </w:t>
      </w:r>
      <w:r w:rsidRPr="006D2EE5">
        <w:rPr>
          <w:rFonts w:ascii="Times New Roman" w:hAnsi="Times New Roman" w:cs="Times New Roman"/>
          <w:sz w:val="24"/>
          <w:szCs w:val="24"/>
        </w:rPr>
        <w:t>collaboration</w:t>
      </w:r>
      <w:r w:rsidR="007A5A09">
        <w:rPr>
          <w:rFonts w:ascii="Times New Roman" w:hAnsi="Times New Roman" w:cs="Times New Roman"/>
          <w:sz w:val="24"/>
          <w:szCs w:val="24"/>
        </w:rPr>
        <w:t xml:space="preserve"> among</w:t>
      </w:r>
      <w:r>
        <w:rPr>
          <w:rFonts w:ascii="Times New Roman" w:hAnsi="Times New Roman" w:cs="Times New Roman"/>
          <w:sz w:val="24"/>
          <w:szCs w:val="24"/>
        </w:rPr>
        <w:t xml:space="preserve"> </w:t>
      </w:r>
      <w:r w:rsidR="002C3C18" w:rsidRPr="006D2EE5">
        <w:rPr>
          <w:rFonts w:ascii="Times New Roman" w:hAnsi="Times New Roman" w:cs="Times New Roman"/>
          <w:sz w:val="24"/>
          <w:szCs w:val="24"/>
        </w:rPr>
        <w:t>CDC and its partner</w:t>
      </w:r>
      <w:r w:rsidR="002C3C18">
        <w:rPr>
          <w:rFonts w:ascii="Times New Roman" w:hAnsi="Times New Roman" w:cs="Times New Roman"/>
          <w:sz w:val="24"/>
          <w:szCs w:val="24"/>
        </w:rPr>
        <w:t xml:space="preserve"> organizations</w:t>
      </w:r>
      <w:r w:rsidR="002C3C18" w:rsidRPr="006D2EE5">
        <w:rPr>
          <w:rFonts w:ascii="Times New Roman" w:hAnsi="Times New Roman" w:cs="Times New Roman"/>
          <w:sz w:val="24"/>
          <w:szCs w:val="24"/>
        </w:rPr>
        <w:t xml:space="preserve"> </w:t>
      </w:r>
      <w:r>
        <w:rPr>
          <w:rFonts w:ascii="Times New Roman" w:hAnsi="Times New Roman" w:cs="Times New Roman"/>
          <w:sz w:val="24"/>
          <w:szCs w:val="24"/>
        </w:rPr>
        <w:t>and</w:t>
      </w:r>
      <w:r w:rsidRPr="006D2EE5">
        <w:rPr>
          <w:rFonts w:ascii="Times New Roman" w:hAnsi="Times New Roman" w:cs="Times New Roman"/>
          <w:sz w:val="24"/>
          <w:szCs w:val="24"/>
        </w:rPr>
        <w:t xml:space="preserve"> </w:t>
      </w:r>
      <w:r>
        <w:rPr>
          <w:rFonts w:ascii="Times New Roman" w:hAnsi="Times New Roman" w:cs="Times New Roman"/>
          <w:sz w:val="24"/>
          <w:szCs w:val="24"/>
        </w:rPr>
        <w:t>ex</w:t>
      </w:r>
      <w:r w:rsidR="005A770A">
        <w:rPr>
          <w:rFonts w:ascii="Times New Roman" w:hAnsi="Times New Roman" w:cs="Times New Roman"/>
          <w:sz w:val="24"/>
          <w:szCs w:val="24"/>
        </w:rPr>
        <w:t>pedites CDC’s review during the</w:t>
      </w:r>
      <w:r>
        <w:rPr>
          <w:rFonts w:ascii="Times New Roman" w:hAnsi="Times New Roman" w:cs="Times New Roman"/>
          <w:sz w:val="24"/>
          <w:szCs w:val="24"/>
        </w:rPr>
        <w:t xml:space="preserve"> accreditation process. The TCEO </w:t>
      </w:r>
      <w:r w:rsidR="00AF2310">
        <w:rPr>
          <w:rFonts w:ascii="Times New Roman" w:hAnsi="Times New Roman" w:cs="Times New Roman"/>
          <w:sz w:val="24"/>
          <w:szCs w:val="24"/>
        </w:rPr>
        <w:t>Proposal</w:t>
      </w:r>
      <w:r>
        <w:rPr>
          <w:rFonts w:ascii="Times New Roman" w:hAnsi="Times New Roman" w:cs="Times New Roman"/>
          <w:sz w:val="24"/>
          <w:szCs w:val="24"/>
        </w:rPr>
        <w:t xml:space="preserve"> provides an efficient mechanism to aggregate data for assessment and reporting</w:t>
      </w:r>
      <w:r w:rsidRPr="006D2EE5">
        <w:rPr>
          <w:rFonts w:ascii="Times New Roman" w:hAnsi="Times New Roman" w:cs="Times New Roman"/>
          <w:sz w:val="24"/>
          <w:szCs w:val="24"/>
        </w:rPr>
        <w:t xml:space="preserve">. </w:t>
      </w:r>
      <w:r w:rsidR="00421D74">
        <w:rPr>
          <w:rFonts w:ascii="Times New Roman" w:hAnsi="Times New Roman" w:cs="Times New Roman"/>
          <w:sz w:val="24"/>
          <w:szCs w:val="24"/>
        </w:rPr>
        <w:t>After</w:t>
      </w:r>
      <w:r w:rsidRPr="006D2EE5">
        <w:rPr>
          <w:rFonts w:ascii="Times New Roman" w:hAnsi="Times New Roman" w:cs="Times New Roman"/>
          <w:sz w:val="24"/>
          <w:szCs w:val="24"/>
        </w:rPr>
        <w:t xml:space="preserve"> </w:t>
      </w:r>
      <w:r>
        <w:rPr>
          <w:rFonts w:ascii="Times New Roman" w:hAnsi="Times New Roman" w:cs="Times New Roman"/>
          <w:sz w:val="24"/>
          <w:szCs w:val="24"/>
        </w:rPr>
        <w:t xml:space="preserve">CDC </w:t>
      </w:r>
      <w:r w:rsidRPr="006D2EE5">
        <w:rPr>
          <w:rFonts w:ascii="Times New Roman" w:hAnsi="Times New Roman" w:cs="Times New Roman"/>
          <w:sz w:val="24"/>
          <w:szCs w:val="24"/>
        </w:rPr>
        <w:t>a</w:t>
      </w:r>
      <w:r>
        <w:rPr>
          <w:rFonts w:ascii="Times New Roman" w:hAnsi="Times New Roman" w:cs="Times New Roman"/>
          <w:sz w:val="24"/>
          <w:szCs w:val="24"/>
        </w:rPr>
        <w:t>ccredits a</w:t>
      </w:r>
      <w:r w:rsidR="00AF2310">
        <w:rPr>
          <w:rFonts w:ascii="Times New Roman" w:hAnsi="Times New Roman" w:cs="Times New Roman"/>
          <w:sz w:val="24"/>
          <w:szCs w:val="24"/>
        </w:rPr>
        <w:t>n educational activity</w:t>
      </w:r>
      <w:r>
        <w:rPr>
          <w:rFonts w:ascii="Times New Roman" w:hAnsi="Times New Roman" w:cs="Times New Roman"/>
          <w:sz w:val="24"/>
          <w:szCs w:val="24"/>
        </w:rPr>
        <w:t xml:space="preserve">, </w:t>
      </w:r>
      <w:r w:rsidRPr="006D2EE5">
        <w:rPr>
          <w:rFonts w:ascii="Times New Roman" w:hAnsi="Times New Roman" w:cs="Times New Roman"/>
          <w:sz w:val="24"/>
          <w:szCs w:val="24"/>
        </w:rPr>
        <w:t xml:space="preserve">registered learners can access and take the </w:t>
      </w:r>
      <w:r w:rsidR="00AF2310">
        <w:rPr>
          <w:rFonts w:ascii="Times New Roman" w:hAnsi="Times New Roman" w:cs="Times New Roman"/>
          <w:sz w:val="24"/>
          <w:szCs w:val="24"/>
        </w:rPr>
        <w:t>activity</w:t>
      </w:r>
      <w:r>
        <w:rPr>
          <w:rFonts w:ascii="Times New Roman" w:hAnsi="Times New Roman" w:cs="Times New Roman"/>
          <w:sz w:val="24"/>
          <w:szCs w:val="24"/>
        </w:rPr>
        <w:t xml:space="preserve"> </w:t>
      </w:r>
      <w:r w:rsidR="00AF2310">
        <w:rPr>
          <w:rFonts w:ascii="Times New Roman" w:hAnsi="Times New Roman" w:cs="Times New Roman"/>
          <w:sz w:val="24"/>
          <w:szCs w:val="24"/>
        </w:rPr>
        <w:t xml:space="preserve">to </w:t>
      </w:r>
      <w:r w:rsidR="00A87874">
        <w:rPr>
          <w:rFonts w:ascii="Times New Roman" w:hAnsi="Times New Roman" w:cs="Times New Roman"/>
          <w:sz w:val="24"/>
          <w:szCs w:val="24"/>
        </w:rPr>
        <w:t>earn CE</w:t>
      </w:r>
      <w:r w:rsidRPr="006D2EE5">
        <w:rPr>
          <w:rFonts w:ascii="Times New Roman" w:hAnsi="Times New Roman" w:cs="Times New Roman"/>
          <w:sz w:val="24"/>
          <w:szCs w:val="24"/>
        </w:rPr>
        <w:t>.</w:t>
      </w:r>
      <w:r>
        <w:rPr>
          <w:rFonts w:ascii="Times New Roman" w:hAnsi="Times New Roman" w:cs="Times New Roman"/>
          <w:sz w:val="24"/>
          <w:szCs w:val="24"/>
        </w:rPr>
        <w:t xml:space="preserve"> No changes </w:t>
      </w:r>
      <w:r w:rsidR="00421D74">
        <w:rPr>
          <w:rFonts w:ascii="Times New Roman" w:hAnsi="Times New Roman" w:cs="Times New Roman"/>
          <w:sz w:val="24"/>
          <w:szCs w:val="24"/>
        </w:rPr>
        <w:t>were</w:t>
      </w:r>
      <w:r>
        <w:rPr>
          <w:rFonts w:ascii="Times New Roman" w:hAnsi="Times New Roman" w:cs="Times New Roman"/>
          <w:sz w:val="24"/>
          <w:szCs w:val="24"/>
        </w:rPr>
        <w:t xml:space="preserve"> made to the TCEO </w:t>
      </w:r>
      <w:r w:rsidR="00AF2310">
        <w:rPr>
          <w:rFonts w:ascii="Times New Roman" w:hAnsi="Times New Roman" w:cs="Times New Roman"/>
          <w:sz w:val="24"/>
          <w:szCs w:val="24"/>
        </w:rPr>
        <w:t>Proposal since it was last approved.</w:t>
      </w:r>
    </w:p>
    <w:p w14:paraId="7AE73FBB" w14:textId="77777777" w:rsidR="0001296C" w:rsidRPr="001E6F2E" w:rsidRDefault="0001296C" w:rsidP="00BD247B">
      <w:pPr>
        <w:widowControl w:val="0"/>
        <w:spacing w:after="0" w:line="240" w:lineRule="auto"/>
        <w:rPr>
          <w:rFonts w:ascii="Times New Roman" w:hAnsi="Times New Roman" w:cs="Times New Roman"/>
          <w:sz w:val="24"/>
          <w:szCs w:val="24"/>
        </w:rPr>
      </w:pPr>
    </w:p>
    <w:p w14:paraId="1484DD3A" w14:textId="77777777" w:rsidR="00C42381" w:rsidRDefault="00C42381" w:rsidP="00C42381">
      <w:pPr>
        <w:widowControl w:val="0"/>
        <w:tabs>
          <w:tab w:val="left" w:pos="0"/>
        </w:tabs>
        <w:spacing w:line="240" w:lineRule="auto"/>
        <w:rPr>
          <w:rFonts w:ascii="Times New Roman" w:hAnsi="Times New Roman" w:cs="Times New Roman"/>
          <w:sz w:val="24"/>
          <w:szCs w:val="24"/>
        </w:rPr>
      </w:pPr>
      <w:r>
        <w:rPr>
          <w:rFonts w:ascii="Times New Roman" w:hAnsi="Times New Roman" w:cs="Times New Roman"/>
          <w:sz w:val="24"/>
          <w:szCs w:val="24"/>
        </w:rPr>
        <w:t xml:space="preserve">To ensure learners receive </w:t>
      </w:r>
      <w:r w:rsidRPr="0001296C">
        <w:rPr>
          <w:rFonts w:ascii="Times New Roman" w:hAnsi="Times New Roman" w:cs="Times New Roman"/>
          <w:sz w:val="24"/>
          <w:szCs w:val="24"/>
        </w:rPr>
        <w:t xml:space="preserve">the </w:t>
      </w:r>
      <w:r>
        <w:rPr>
          <w:rFonts w:ascii="Times New Roman" w:hAnsi="Times New Roman" w:cs="Times New Roman"/>
          <w:sz w:val="24"/>
          <w:szCs w:val="24"/>
        </w:rPr>
        <w:t xml:space="preserve">CE </w:t>
      </w:r>
      <w:r w:rsidRPr="0001296C">
        <w:rPr>
          <w:rFonts w:ascii="Times New Roman" w:hAnsi="Times New Roman" w:cs="Times New Roman"/>
          <w:sz w:val="24"/>
          <w:szCs w:val="24"/>
        </w:rPr>
        <w:t>they have earned, and the opportunity to evaluate educational activities</w:t>
      </w:r>
      <w:r>
        <w:rPr>
          <w:rFonts w:ascii="Times New Roman" w:hAnsi="Times New Roman" w:cs="Times New Roman"/>
          <w:sz w:val="24"/>
          <w:szCs w:val="24"/>
        </w:rPr>
        <w:t>, TCEO optimizes CDC’s ability to build and sustain public health and healthcare capacity, help save lives, and protect people from health threats in the U.S. and worldwide.</w:t>
      </w:r>
    </w:p>
    <w:p w14:paraId="58E3F048" w14:textId="77777777" w:rsidR="00863AEA" w:rsidRPr="00863AEA" w:rsidRDefault="00863AEA" w:rsidP="00863AEA">
      <w:pPr>
        <w:spacing w:line="240" w:lineRule="auto"/>
        <w:rPr>
          <w:rFonts w:ascii="Times New Roman" w:hAnsi="Times New Roman" w:cs="Times New Roman"/>
          <w:sz w:val="24"/>
          <w:szCs w:val="24"/>
        </w:rPr>
      </w:pPr>
      <w:r w:rsidRPr="00863AEA">
        <w:rPr>
          <w:rFonts w:ascii="Times New Roman" w:hAnsi="Times New Roman" w:cs="Times New Roman"/>
          <w:sz w:val="24"/>
          <w:szCs w:val="24"/>
        </w:rPr>
        <w:t xml:space="preserve">A 3-year revision of the approved Application for Training will allow CDC to continue use of the electronic, standardized TCEO Proposal </w:t>
      </w:r>
      <w:r w:rsidR="004208CF">
        <w:rPr>
          <w:rFonts w:ascii="Times New Roman" w:hAnsi="Times New Roman" w:cs="Times New Roman"/>
          <w:sz w:val="24"/>
          <w:szCs w:val="24"/>
        </w:rPr>
        <w:t xml:space="preserve">and </w:t>
      </w:r>
      <w:r>
        <w:rPr>
          <w:rFonts w:ascii="Times New Roman" w:hAnsi="Times New Roman" w:cs="Times New Roman"/>
          <w:sz w:val="24"/>
          <w:szCs w:val="24"/>
        </w:rPr>
        <w:t>the</w:t>
      </w:r>
      <w:r w:rsidRPr="00863AEA">
        <w:rPr>
          <w:rFonts w:ascii="Times New Roman" w:hAnsi="Times New Roman" w:cs="Times New Roman"/>
          <w:sz w:val="24"/>
          <w:szCs w:val="24"/>
        </w:rPr>
        <w:t xml:space="preserve"> TCEO New Participant Registration</w:t>
      </w:r>
      <w:r w:rsidR="004208CF">
        <w:rPr>
          <w:rFonts w:ascii="Times New Roman" w:hAnsi="Times New Roman" w:cs="Times New Roman"/>
          <w:sz w:val="24"/>
          <w:szCs w:val="24"/>
        </w:rPr>
        <w:t>.</w:t>
      </w:r>
      <w:r w:rsidRPr="00863AEA">
        <w:rPr>
          <w:rFonts w:ascii="Times New Roman" w:hAnsi="Times New Roman" w:cs="Times New Roman"/>
          <w:sz w:val="24"/>
          <w:szCs w:val="24"/>
        </w:rPr>
        <w:t xml:space="preserve"> </w:t>
      </w:r>
      <w:r w:rsidR="004208CF" w:rsidRPr="00863AEA">
        <w:rPr>
          <w:rFonts w:ascii="Times New Roman" w:hAnsi="Times New Roman" w:cs="Times New Roman"/>
          <w:sz w:val="24"/>
          <w:szCs w:val="24"/>
        </w:rPr>
        <w:t xml:space="preserve">TCEO has reduced the burden of manual, paper-based processes and improved the convenience and efficiency </w:t>
      </w:r>
      <w:r w:rsidR="00415A3D">
        <w:rPr>
          <w:rFonts w:ascii="Times New Roman" w:hAnsi="Times New Roman" w:cs="Times New Roman"/>
          <w:sz w:val="24"/>
          <w:szCs w:val="24"/>
        </w:rPr>
        <w:t xml:space="preserve">for </w:t>
      </w:r>
      <w:r w:rsidR="0013029E">
        <w:rPr>
          <w:rFonts w:ascii="Times New Roman" w:hAnsi="Times New Roman" w:cs="Times New Roman"/>
          <w:color w:val="000000"/>
          <w:sz w:val="24"/>
        </w:rPr>
        <w:t>educational developers</w:t>
      </w:r>
      <w:r w:rsidR="004208CF">
        <w:rPr>
          <w:rFonts w:ascii="Times New Roman" w:hAnsi="Times New Roman" w:cs="Times New Roman"/>
          <w:sz w:val="24"/>
          <w:szCs w:val="24"/>
        </w:rPr>
        <w:t xml:space="preserve"> </w:t>
      </w:r>
      <w:r w:rsidR="004208CF" w:rsidRPr="00863AEA">
        <w:rPr>
          <w:rFonts w:ascii="Times New Roman" w:hAnsi="Times New Roman" w:cs="Times New Roman"/>
          <w:sz w:val="24"/>
          <w:szCs w:val="24"/>
        </w:rPr>
        <w:t xml:space="preserve">to achieve </w:t>
      </w:r>
      <w:r w:rsidR="00B21D02">
        <w:rPr>
          <w:rFonts w:ascii="Times New Roman" w:hAnsi="Times New Roman" w:cs="Times New Roman"/>
          <w:sz w:val="24"/>
          <w:szCs w:val="24"/>
        </w:rPr>
        <w:t xml:space="preserve">CE </w:t>
      </w:r>
      <w:r w:rsidR="004208CF" w:rsidRPr="00863AEA">
        <w:rPr>
          <w:rFonts w:ascii="Times New Roman" w:hAnsi="Times New Roman" w:cs="Times New Roman"/>
          <w:sz w:val="24"/>
          <w:szCs w:val="24"/>
        </w:rPr>
        <w:t xml:space="preserve">accreditation, providing more </w:t>
      </w:r>
      <w:r w:rsidR="004208CF">
        <w:rPr>
          <w:rFonts w:ascii="Times New Roman" w:hAnsi="Times New Roman" w:cs="Times New Roman"/>
          <w:sz w:val="24"/>
          <w:szCs w:val="24"/>
        </w:rPr>
        <w:t xml:space="preserve">accredited </w:t>
      </w:r>
      <w:r w:rsidR="003C4494">
        <w:rPr>
          <w:rFonts w:ascii="Times New Roman" w:hAnsi="Times New Roman" w:cs="Times New Roman"/>
          <w:sz w:val="24"/>
          <w:szCs w:val="24"/>
        </w:rPr>
        <w:t>educational activities</w:t>
      </w:r>
      <w:r w:rsidR="004208CF">
        <w:rPr>
          <w:rFonts w:ascii="Times New Roman" w:hAnsi="Times New Roman" w:cs="Times New Roman"/>
          <w:sz w:val="24"/>
          <w:szCs w:val="24"/>
        </w:rPr>
        <w:t xml:space="preserve"> for learners</w:t>
      </w:r>
      <w:r w:rsidR="000E61A7">
        <w:rPr>
          <w:rFonts w:ascii="Times New Roman" w:hAnsi="Times New Roman" w:cs="Times New Roman"/>
          <w:sz w:val="24"/>
          <w:szCs w:val="24"/>
        </w:rPr>
        <w:t>. L</w:t>
      </w:r>
      <w:r w:rsidR="004208CF" w:rsidRPr="00863AEA">
        <w:rPr>
          <w:rFonts w:ascii="Times New Roman" w:hAnsi="Times New Roman" w:cs="Times New Roman"/>
          <w:sz w:val="24"/>
          <w:szCs w:val="24"/>
        </w:rPr>
        <w:t>earners, after the</w:t>
      </w:r>
      <w:r w:rsidR="002C3C18">
        <w:rPr>
          <w:rFonts w:ascii="Times New Roman" w:hAnsi="Times New Roman" w:cs="Times New Roman"/>
          <w:sz w:val="24"/>
          <w:szCs w:val="24"/>
        </w:rPr>
        <w:t>ir</w:t>
      </w:r>
      <w:r w:rsidR="0064561F">
        <w:rPr>
          <w:rFonts w:ascii="Times New Roman" w:hAnsi="Times New Roman" w:cs="Times New Roman"/>
          <w:sz w:val="24"/>
          <w:szCs w:val="24"/>
        </w:rPr>
        <w:t xml:space="preserve"> initial registration, </w:t>
      </w:r>
      <w:r w:rsidR="004208CF" w:rsidRPr="00863AEA">
        <w:rPr>
          <w:rFonts w:ascii="Times New Roman" w:hAnsi="Times New Roman" w:cs="Times New Roman"/>
          <w:sz w:val="24"/>
          <w:szCs w:val="24"/>
        </w:rPr>
        <w:t xml:space="preserve">use the same login and password to take as many courses as needed to receive free </w:t>
      </w:r>
      <w:r w:rsidR="00B21D02">
        <w:rPr>
          <w:rFonts w:ascii="Times New Roman" w:hAnsi="Times New Roman" w:cs="Times New Roman"/>
          <w:sz w:val="24"/>
          <w:szCs w:val="24"/>
        </w:rPr>
        <w:t xml:space="preserve">CE </w:t>
      </w:r>
      <w:r w:rsidR="00415A3D">
        <w:rPr>
          <w:rFonts w:ascii="Times New Roman" w:hAnsi="Times New Roman" w:cs="Times New Roman"/>
          <w:sz w:val="24"/>
          <w:szCs w:val="24"/>
        </w:rPr>
        <w:t>through TCEO</w:t>
      </w:r>
      <w:r w:rsidR="004208CF">
        <w:rPr>
          <w:rFonts w:ascii="Times New Roman" w:hAnsi="Times New Roman" w:cs="Times New Roman"/>
          <w:sz w:val="24"/>
          <w:szCs w:val="24"/>
        </w:rPr>
        <w:t>.</w:t>
      </w:r>
      <w:r w:rsidR="004208CF" w:rsidRPr="00863AEA">
        <w:rPr>
          <w:rFonts w:ascii="Times New Roman" w:hAnsi="Times New Roman" w:cs="Times New Roman"/>
          <w:sz w:val="24"/>
          <w:szCs w:val="24"/>
        </w:rPr>
        <w:t xml:space="preserve"> </w:t>
      </w:r>
      <w:r w:rsidRPr="00863AEA">
        <w:rPr>
          <w:rFonts w:ascii="Times New Roman" w:hAnsi="Times New Roman" w:cs="Times New Roman"/>
          <w:sz w:val="24"/>
          <w:szCs w:val="24"/>
        </w:rPr>
        <w:t xml:space="preserve">The addition of the two new </w:t>
      </w:r>
      <w:r w:rsidR="004208CF">
        <w:rPr>
          <w:rFonts w:ascii="Times New Roman" w:hAnsi="Times New Roman" w:cs="Times New Roman"/>
          <w:sz w:val="24"/>
          <w:szCs w:val="24"/>
        </w:rPr>
        <w:t xml:space="preserve">electronic </w:t>
      </w:r>
      <w:r w:rsidRPr="00863AEA">
        <w:rPr>
          <w:rFonts w:ascii="Times New Roman" w:hAnsi="Times New Roman" w:cs="Times New Roman"/>
          <w:sz w:val="24"/>
          <w:szCs w:val="24"/>
        </w:rPr>
        <w:t xml:space="preserve">evaluation tools will provide information for </w:t>
      </w:r>
      <w:r w:rsidR="002C3C18">
        <w:rPr>
          <w:rFonts w:ascii="Times New Roman" w:hAnsi="Times New Roman" w:cs="Times New Roman"/>
          <w:sz w:val="24"/>
          <w:szCs w:val="24"/>
        </w:rPr>
        <w:t xml:space="preserve">improving </w:t>
      </w:r>
      <w:r w:rsidRPr="00863AEA">
        <w:rPr>
          <w:rFonts w:ascii="Times New Roman" w:hAnsi="Times New Roman" w:cs="Times New Roman"/>
          <w:sz w:val="24"/>
          <w:szCs w:val="24"/>
        </w:rPr>
        <w:t xml:space="preserve">educational activities </w:t>
      </w:r>
      <w:r w:rsidR="002C3C18">
        <w:rPr>
          <w:rFonts w:ascii="Times New Roman" w:hAnsi="Times New Roman" w:cs="Times New Roman"/>
          <w:sz w:val="24"/>
          <w:szCs w:val="24"/>
        </w:rPr>
        <w:t xml:space="preserve">as needed </w:t>
      </w:r>
      <w:r w:rsidRPr="00863AEA">
        <w:rPr>
          <w:rFonts w:ascii="Times New Roman" w:hAnsi="Times New Roman" w:cs="Times New Roman"/>
          <w:sz w:val="24"/>
          <w:szCs w:val="24"/>
        </w:rPr>
        <w:t xml:space="preserve">and will allow CDC to comply with mandatory accrediting organizations’ standards. </w:t>
      </w:r>
    </w:p>
    <w:p w14:paraId="3B85E41B" w14:textId="77777777" w:rsidR="00C66F13" w:rsidRPr="00EC03CE" w:rsidRDefault="00516FE1" w:rsidP="00C42381">
      <w:pPr>
        <w:pStyle w:val="Heading1"/>
        <w:numPr>
          <w:ilvl w:val="0"/>
          <w:numId w:val="8"/>
        </w:numPr>
        <w:tabs>
          <w:tab w:val="left" w:pos="360"/>
        </w:tabs>
        <w:ind w:left="630" w:hanging="270"/>
        <w:rPr>
          <w:b w:val="0"/>
        </w:rPr>
      </w:pPr>
      <w:bookmarkStart w:id="117" w:name="_Toc431890015"/>
      <w:bookmarkStart w:id="118" w:name="_Toc431891659"/>
      <w:bookmarkStart w:id="119" w:name="_Toc431906450"/>
      <w:bookmarkStart w:id="120" w:name="_Toc431909882"/>
      <w:bookmarkStart w:id="121" w:name="_Toc431911441"/>
      <w:bookmarkStart w:id="122" w:name="_Toc431911576"/>
      <w:bookmarkStart w:id="123" w:name="_Toc431890016"/>
      <w:bookmarkStart w:id="124" w:name="_Toc431891660"/>
      <w:bookmarkStart w:id="125" w:name="_Toc431906451"/>
      <w:bookmarkStart w:id="126" w:name="_Toc431909883"/>
      <w:bookmarkStart w:id="127" w:name="_Toc431911442"/>
      <w:bookmarkStart w:id="128" w:name="_Toc431911577"/>
      <w:bookmarkStart w:id="129" w:name="_Toc431890017"/>
      <w:bookmarkStart w:id="130" w:name="_Toc431891661"/>
      <w:bookmarkStart w:id="131" w:name="_Toc431906452"/>
      <w:bookmarkStart w:id="132" w:name="_Toc431909884"/>
      <w:bookmarkStart w:id="133" w:name="_Toc431911443"/>
      <w:bookmarkStart w:id="134" w:name="_Toc431911578"/>
      <w:bookmarkStart w:id="135" w:name="_Toc431890018"/>
      <w:bookmarkStart w:id="136" w:name="_Toc431891662"/>
      <w:bookmarkStart w:id="137" w:name="_Toc431906453"/>
      <w:bookmarkStart w:id="138" w:name="_Toc431909885"/>
      <w:bookmarkStart w:id="139" w:name="_Toc431911444"/>
      <w:bookmarkStart w:id="140" w:name="_Toc431911579"/>
      <w:bookmarkStart w:id="141" w:name="_Toc431890019"/>
      <w:bookmarkStart w:id="142" w:name="_Toc431891663"/>
      <w:bookmarkStart w:id="143" w:name="_Toc431906454"/>
      <w:bookmarkStart w:id="144" w:name="_Toc431909886"/>
      <w:bookmarkStart w:id="145" w:name="_Toc431911445"/>
      <w:bookmarkStart w:id="146" w:name="_Toc431911580"/>
      <w:bookmarkStart w:id="147" w:name="_Toc431890020"/>
      <w:bookmarkStart w:id="148" w:name="_Toc431891664"/>
      <w:bookmarkStart w:id="149" w:name="_Toc431906455"/>
      <w:bookmarkStart w:id="150" w:name="_Toc431909887"/>
      <w:bookmarkStart w:id="151" w:name="_Toc431911446"/>
      <w:bookmarkStart w:id="152" w:name="_Toc431911581"/>
      <w:bookmarkStart w:id="153" w:name="_Toc431890021"/>
      <w:bookmarkStart w:id="154" w:name="_Toc431891665"/>
      <w:bookmarkStart w:id="155" w:name="_Toc431906456"/>
      <w:bookmarkStart w:id="156" w:name="_Toc431909888"/>
      <w:bookmarkStart w:id="157" w:name="_Toc431911447"/>
      <w:bookmarkStart w:id="158" w:name="_Toc431911582"/>
      <w:bookmarkStart w:id="159" w:name="_Toc431890022"/>
      <w:bookmarkStart w:id="160" w:name="_Toc431891666"/>
      <w:bookmarkStart w:id="161" w:name="_Toc431906457"/>
      <w:bookmarkStart w:id="162" w:name="_Toc431909889"/>
      <w:bookmarkStart w:id="163" w:name="_Toc431911448"/>
      <w:bookmarkStart w:id="164" w:name="_Toc431911583"/>
      <w:bookmarkStart w:id="165" w:name="_Toc431890023"/>
      <w:bookmarkStart w:id="166" w:name="_Toc431891667"/>
      <w:bookmarkStart w:id="167" w:name="_Toc431906458"/>
      <w:bookmarkStart w:id="168" w:name="_Toc431909890"/>
      <w:bookmarkStart w:id="169" w:name="_Toc431911449"/>
      <w:bookmarkStart w:id="170" w:name="_Toc431911584"/>
      <w:bookmarkStart w:id="171" w:name="_Toc431890024"/>
      <w:bookmarkStart w:id="172" w:name="_Toc431891668"/>
      <w:bookmarkStart w:id="173" w:name="_Toc431906459"/>
      <w:bookmarkStart w:id="174" w:name="_Toc431909891"/>
      <w:bookmarkStart w:id="175" w:name="_Toc431911450"/>
      <w:bookmarkStart w:id="176" w:name="_Toc431911585"/>
      <w:bookmarkStart w:id="177" w:name="_Toc431890025"/>
      <w:bookmarkStart w:id="178" w:name="_Toc431891669"/>
      <w:bookmarkStart w:id="179" w:name="_Toc431906460"/>
      <w:bookmarkStart w:id="180" w:name="_Toc431909892"/>
      <w:bookmarkStart w:id="181" w:name="_Toc431911451"/>
      <w:bookmarkStart w:id="182" w:name="_Toc431911586"/>
      <w:bookmarkStart w:id="183" w:name="_Toc431890026"/>
      <w:bookmarkStart w:id="184" w:name="_Toc431891670"/>
      <w:bookmarkStart w:id="185" w:name="_Toc431906461"/>
      <w:bookmarkStart w:id="186" w:name="_Toc431909893"/>
      <w:bookmarkStart w:id="187" w:name="_Toc431911452"/>
      <w:bookmarkStart w:id="188" w:name="_Toc431911587"/>
      <w:bookmarkStart w:id="189" w:name="_Toc431890027"/>
      <w:bookmarkStart w:id="190" w:name="_Toc431891671"/>
      <w:bookmarkStart w:id="191" w:name="_Toc431906462"/>
      <w:bookmarkStart w:id="192" w:name="_Toc431909894"/>
      <w:bookmarkStart w:id="193" w:name="_Toc431911453"/>
      <w:bookmarkStart w:id="194" w:name="_Toc431911588"/>
      <w:bookmarkStart w:id="195" w:name="_Toc431890028"/>
      <w:bookmarkStart w:id="196" w:name="_Toc431891672"/>
      <w:bookmarkStart w:id="197" w:name="_Toc431906463"/>
      <w:bookmarkStart w:id="198" w:name="_Toc431909895"/>
      <w:bookmarkStart w:id="199" w:name="_Toc431911454"/>
      <w:bookmarkStart w:id="200" w:name="_Toc431911589"/>
      <w:bookmarkStart w:id="201" w:name="_Toc52270094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EC03CE">
        <w:t xml:space="preserve">Use of </w:t>
      </w:r>
      <w:r w:rsidR="00B22A6D" w:rsidRPr="00EC03CE">
        <w:t xml:space="preserve">Improved </w:t>
      </w:r>
      <w:r w:rsidRPr="00EC03CE">
        <w:t>Information Technology and Burden Reduction</w:t>
      </w:r>
      <w:bookmarkEnd w:id="201"/>
    </w:p>
    <w:p w14:paraId="1A8CB382" w14:textId="77777777" w:rsidR="00F179E9" w:rsidRDefault="00A833E9" w:rsidP="00A833E9">
      <w:pPr>
        <w:spacing w:line="240" w:lineRule="auto"/>
        <w:rPr>
          <w:rFonts w:ascii="Times New Roman" w:hAnsi="Times New Roman" w:cs="Times New Roman"/>
          <w:sz w:val="24"/>
          <w:szCs w:val="24"/>
        </w:rPr>
      </w:pPr>
      <w:r>
        <w:rPr>
          <w:rFonts w:ascii="Times New Roman" w:hAnsi="Times New Roman" w:cs="Times New Roman"/>
          <w:sz w:val="24"/>
          <w:szCs w:val="24"/>
        </w:rPr>
        <w:br/>
      </w:r>
      <w:r w:rsidR="00CD6C90" w:rsidRPr="00113005">
        <w:rPr>
          <w:rFonts w:ascii="Times New Roman" w:hAnsi="Times New Roman" w:cs="Times New Roman"/>
          <w:sz w:val="24"/>
          <w:szCs w:val="24"/>
        </w:rPr>
        <w:t xml:space="preserve">The four TCEO system </w:t>
      </w:r>
      <w:r w:rsidR="00F179E9">
        <w:rPr>
          <w:rFonts w:ascii="Times New Roman" w:hAnsi="Times New Roman" w:cs="Times New Roman"/>
          <w:sz w:val="24"/>
          <w:szCs w:val="24"/>
        </w:rPr>
        <w:t>tools</w:t>
      </w:r>
      <w:r w:rsidR="00CD6C90" w:rsidRPr="00113005">
        <w:rPr>
          <w:rFonts w:ascii="Times New Roman" w:hAnsi="Times New Roman" w:cs="Times New Roman"/>
          <w:sz w:val="24"/>
          <w:szCs w:val="24"/>
        </w:rPr>
        <w:t xml:space="preserve"> provide an efficient and integrated electronic mechanism that meets accreditation requirements and promotes use of secure data and information system standards to improve timeliness, accuracy, completeness, and consistency of data collection. </w:t>
      </w:r>
      <w:r w:rsidR="00021E3D" w:rsidRPr="00A833E9">
        <w:rPr>
          <w:rFonts w:ascii="Times New Roman" w:hAnsi="Times New Roman" w:cs="Times New Roman"/>
          <w:sz w:val="24"/>
          <w:szCs w:val="24"/>
        </w:rPr>
        <w:t xml:space="preserve">Data </w:t>
      </w:r>
      <w:r w:rsidR="00C66F13" w:rsidRPr="00A833E9">
        <w:rPr>
          <w:rFonts w:ascii="Times New Roman" w:hAnsi="Times New Roman" w:cs="Times New Roman"/>
          <w:sz w:val="24"/>
          <w:szCs w:val="24"/>
        </w:rPr>
        <w:t xml:space="preserve">are </w:t>
      </w:r>
      <w:r w:rsidR="00021E3D" w:rsidRPr="00A833E9">
        <w:rPr>
          <w:rFonts w:ascii="Times New Roman" w:hAnsi="Times New Roman" w:cs="Times New Roman"/>
          <w:sz w:val="24"/>
          <w:szCs w:val="24"/>
        </w:rPr>
        <w:t xml:space="preserve">collected electronically for 100% of the TCEO </w:t>
      </w:r>
      <w:r w:rsidR="00D02ABB" w:rsidRPr="00A833E9">
        <w:rPr>
          <w:rFonts w:ascii="Times New Roman" w:hAnsi="Times New Roman" w:cs="Times New Roman"/>
          <w:sz w:val="24"/>
          <w:szCs w:val="24"/>
        </w:rPr>
        <w:t xml:space="preserve">information collection </w:t>
      </w:r>
      <w:r w:rsidR="00F179E9">
        <w:rPr>
          <w:rFonts w:ascii="Times New Roman" w:hAnsi="Times New Roman" w:cs="Times New Roman"/>
          <w:sz w:val="24"/>
          <w:szCs w:val="24"/>
        </w:rPr>
        <w:t>tools</w:t>
      </w:r>
      <w:r w:rsidR="00021E3D" w:rsidRPr="00A833E9">
        <w:rPr>
          <w:rFonts w:ascii="Times New Roman" w:hAnsi="Times New Roman" w:cs="Times New Roman"/>
          <w:sz w:val="24"/>
          <w:szCs w:val="24"/>
        </w:rPr>
        <w:t xml:space="preserve">. </w:t>
      </w:r>
      <w:r w:rsidR="00CD6C90">
        <w:rPr>
          <w:rFonts w:ascii="Times New Roman" w:hAnsi="Times New Roman" w:cs="Times New Roman"/>
          <w:sz w:val="24"/>
          <w:szCs w:val="24"/>
        </w:rPr>
        <w:t xml:space="preserve">The </w:t>
      </w:r>
      <w:r w:rsidR="00D02ABB" w:rsidRPr="00A833E9">
        <w:rPr>
          <w:rFonts w:ascii="Times New Roman" w:hAnsi="Times New Roman" w:cs="Times New Roman"/>
          <w:sz w:val="24"/>
          <w:szCs w:val="24"/>
        </w:rPr>
        <w:t xml:space="preserve">TCEO </w:t>
      </w:r>
      <w:r w:rsidR="00CD6C90">
        <w:rPr>
          <w:rFonts w:ascii="Times New Roman" w:hAnsi="Times New Roman" w:cs="Times New Roman"/>
          <w:sz w:val="24"/>
          <w:szCs w:val="24"/>
        </w:rPr>
        <w:t xml:space="preserve">system </w:t>
      </w:r>
      <w:r w:rsidR="00D02ABB" w:rsidRPr="00A833E9">
        <w:rPr>
          <w:rFonts w:ascii="Times New Roman" w:hAnsi="Times New Roman" w:cs="Times New Roman"/>
          <w:sz w:val="24"/>
          <w:szCs w:val="24"/>
        </w:rPr>
        <w:t xml:space="preserve">meets </w:t>
      </w:r>
      <w:r w:rsidR="00981D77" w:rsidRPr="00677B3A">
        <w:rPr>
          <w:rFonts w:ascii="Times New Roman" w:hAnsi="Times New Roman" w:cs="Times New Roman"/>
          <w:sz w:val="24"/>
          <w:szCs w:val="24"/>
        </w:rPr>
        <w:t xml:space="preserve">mandatory </w:t>
      </w:r>
      <w:r w:rsidR="00906247">
        <w:rPr>
          <w:rFonts w:ascii="Times New Roman" w:hAnsi="Times New Roman" w:cs="Times New Roman"/>
          <w:sz w:val="24"/>
          <w:szCs w:val="24"/>
        </w:rPr>
        <w:t>accrediting organizations</w:t>
      </w:r>
      <w:r w:rsidR="00981D77" w:rsidRPr="00677B3A">
        <w:rPr>
          <w:rFonts w:ascii="Times New Roman" w:hAnsi="Times New Roman" w:cs="Times New Roman"/>
          <w:sz w:val="24"/>
          <w:szCs w:val="24"/>
        </w:rPr>
        <w:t>’ standards</w:t>
      </w:r>
      <w:r w:rsidR="00981D77" w:rsidRPr="003C7CBA">
        <w:rPr>
          <w:rFonts w:ascii="Times New Roman" w:hAnsi="Times New Roman" w:cs="Times New Roman"/>
          <w:sz w:val="24"/>
          <w:szCs w:val="24"/>
        </w:rPr>
        <w:t xml:space="preserve"> </w:t>
      </w:r>
      <w:r w:rsidR="00BB60E0" w:rsidRPr="00A833E9">
        <w:rPr>
          <w:rFonts w:ascii="Times New Roman" w:hAnsi="Times New Roman" w:cs="Times New Roman"/>
          <w:sz w:val="24"/>
          <w:szCs w:val="24"/>
        </w:rPr>
        <w:t xml:space="preserve">for </w:t>
      </w:r>
      <w:r w:rsidR="00F179E9">
        <w:rPr>
          <w:rFonts w:ascii="Times New Roman" w:hAnsi="Times New Roman" w:cs="Times New Roman"/>
          <w:sz w:val="24"/>
          <w:szCs w:val="24"/>
        </w:rPr>
        <w:t>accreditation</w:t>
      </w:r>
      <w:r w:rsidR="00EE4193">
        <w:rPr>
          <w:rFonts w:ascii="Times New Roman" w:hAnsi="Times New Roman" w:cs="Times New Roman"/>
          <w:sz w:val="24"/>
          <w:szCs w:val="24"/>
        </w:rPr>
        <w:t xml:space="preserve">, </w:t>
      </w:r>
      <w:r w:rsidR="00EE4193" w:rsidRPr="00A833E9">
        <w:rPr>
          <w:rFonts w:ascii="Times New Roman" w:hAnsi="Times New Roman" w:cs="Times New Roman"/>
          <w:sz w:val="24"/>
          <w:szCs w:val="24"/>
        </w:rPr>
        <w:t>continuing</w:t>
      </w:r>
      <w:r w:rsidR="00C66F13" w:rsidRPr="00A833E9">
        <w:rPr>
          <w:rFonts w:ascii="Times New Roman" w:hAnsi="Times New Roman" w:cs="Times New Roman"/>
          <w:sz w:val="24"/>
          <w:szCs w:val="24"/>
        </w:rPr>
        <w:t xml:space="preserve"> </w:t>
      </w:r>
      <w:r w:rsidR="001B2D25">
        <w:rPr>
          <w:rFonts w:ascii="Times New Roman" w:hAnsi="Times New Roman" w:cs="Times New Roman"/>
          <w:sz w:val="24"/>
          <w:szCs w:val="24"/>
        </w:rPr>
        <w:t>education</w:t>
      </w:r>
      <w:r w:rsidR="00EE4193">
        <w:rPr>
          <w:rFonts w:ascii="Times New Roman" w:hAnsi="Times New Roman" w:cs="Times New Roman"/>
          <w:sz w:val="24"/>
          <w:szCs w:val="24"/>
        </w:rPr>
        <w:t>, and evaluation.</w:t>
      </w:r>
      <w:r w:rsidR="00C66F13" w:rsidRPr="00A833E9">
        <w:rPr>
          <w:rFonts w:ascii="Times New Roman" w:hAnsi="Times New Roman" w:cs="Times New Roman"/>
          <w:sz w:val="24"/>
          <w:szCs w:val="24"/>
        </w:rPr>
        <w:t xml:space="preserve"> </w:t>
      </w:r>
      <w:r w:rsidR="00A9539D">
        <w:rPr>
          <w:rFonts w:ascii="Times New Roman" w:hAnsi="Times New Roman" w:cs="Times New Roman"/>
          <w:sz w:val="24"/>
          <w:szCs w:val="24"/>
        </w:rPr>
        <w:t>E</w:t>
      </w:r>
      <w:r w:rsidR="0013029E">
        <w:rPr>
          <w:rFonts w:ascii="Times New Roman" w:hAnsi="Times New Roman" w:cs="Times New Roman"/>
          <w:color w:val="000000"/>
          <w:sz w:val="24"/>
        </w:rPr>
        <w:t>ducational developers</w:t>
      </w:r>
      <w:r w:rsidR="00B31475">
        <w:rPr>
          <w:rFonts w:ascii="Times New Roman" w:hAnsi="Times New Roman" w:cs="Times New Roman"/>
          <w:color w:val="000000"/>
          <w:sz w:val="24"/>
        </w:rPr>
        <w:t xml:space="preserve"> </w:t>
      </w:r>
      <w:r w:rsidR="00F179E9">
        <w:rPr>
          <w:rFonts w:ascii="Times New Roman" w:hAnsi="Times New Roman" w:cs="Times New Roman"/>
          <w:sz w:val="24"/>
          <w:szCs w:val="24"/>
        </w:rPr>
        <w:t xml:space="preserve">submit a standardized electronic </w:t>
      </w:r>
      <w:r w:rsidR="00EE4193">
        <w:rPr>
          <w:rFonts w:ascii="Times New Roman" w:hAnsi="Times New Roman" w:cs="Times New Roman"/>
          <w:sz w:val="24"/>
          <w:szCs w:val="24"/>
        </w:rPr>
        <w:t>application</w:t>
      </w:r>
      <w:r w:rsidR="00F179E9">
        <w:rPr>
          <w:rFonts w:ascii="Times New Roman" w:hAnsi="Times New Roman" w:cs="Times New Roman"/>
          <w:sz w:val="24"/>
          <w:szCs w:val="24"/>
        </w:rPr>
        <w:t xml:space="preserve"> through the TCEO</w:t>
      </w:r>
      <w:r w:rsidR="00EE4193">
        <w:rPr>
          <w:rFonts w:ascii="Times New Roman" w:hAnsi="Times New Roman" w:cs="Times New Roman"/>
          <w:sz w:val="24"/>
          <w:szCs w:val="24"/>
        </w:rPr>
        <w:t xml:space="preserve"> Proposal</w:t>
      </w:r>
      <w:r w:rsidR="00F179E9">
        <w:rPr>
          <w:rFonts w:ascii="Times New Roman" w:hAnsi="Times New Roman" w:cs="Times New Roman"/>
          <w:sz w:val="24"/>
          <w:szCs w:val="24"/>
        </w:rPr>
        <w:t xml:space="preserve">. The data collected about the educational activity helps the accreditation team determine if </w:t>
      </w:r>
      <w:r w:rsidR="00B21D02">
        <w:rPr>
          <w:rFonts w:ascii="Times New Roman" w:hAnsi="Times New Roman" w:cs="Times New Roman"/>
          <w:sz w:val="24"/>
          <w:szCs w:val="24"/>
        </w:rPr>
        <w:t xml:space="preserve">CE </w:t>
      </w:r>
      <w:r w:rsidR="00F179E9">
        <w:rPr>
          <w:rFonts w:ascii="Times New Roman" w:hAnsi="Times New Roman" w:cs="Times New Roman"/>
          <w:sz w:val="24"/>
          <w:szCs w:val="24"/>
        </w:rPr>
        <w:t>can be offered for that particular educational activity.</w:t>
      </w:r>
    </w:p>
    <w:p w14:paraId="22CF3195" w14:textId="77777777" w:rsidR="005849E4" w:rsidRDefault="0096614D" w:rsidP="00A833E9">
      <w:pPr>
        <w:spacing w:line="240" w:lineRule="auto"/>
        <w:rPr>
          <w:rFonts w:ascii="Times New Roman" w:hAnsi="Times New Roman" w:cs="Times New Roman"/>
          <w:sz w:val="24"/>
          <w:szCs w:val="24"/>
        </w:rPr>
      </w:pPr>
      <w:r>
        <w:rPr>
          <w:rFonts w:ascii="Times New Roman" w:hAnsi="Times New Roman" w:cs="Times New Roman"/>
          <w:sz w:val="24"/>
          <w:szCs w:val="24"/>
        </w:rPr>
        <w:t>Learners</w:t>
      </w:r>
      <w:r w:rsidR="00CD6C90">
        <w:rPr>
          <w:rFonts w:ascii="Times New Roman" w:hAnsi="Times New Roman" w:cs="Times New Roman"/>
          <w:sz w:val="24"/>
          <w:szCs w:val="24"/>
        </w:rPr>
        <w:t xml:space="preserve"> register once and can </w:t>
      </w:r>
      <w:r w:rsidR="00802BD1">
        <w:rPr>
          <w:rFonts w:ascii="Times New Roman" w:hAnsi="Times New Roman" w:cs="Times New Roman"/>
          <w:sz w:val="24"/>
          <w:szCs w:val="24"/>
        </w:rPr>
        <w:t>participate in</w:t>
      </w:r>
      <w:r w:rsidR="009509E8">
        <w:rPr>
          <w:rFonts w:ascii="Times New Roman" w:hAnsi="Times New Roman" w:cs="Times New Roman"/>
          <w:sz w:val="24"/>
          <w:szCs w:val="24"/>
        </w:rPr>
        <w:t xml:space="preserve"> as many educational activities as needed to </w:t>
      </w:r>
      <w:r w:rsidR="00F179E9">
        <w:rPr>
          <w:rFonts w:ascii="Times New Roman" w:hAnsi="Times New Roman" w:cs="Times New Roman"/>
          <w:sz w:val="24"/>
          <w:szCs w:val="24"/>
        </w:rPr>
        <w:t>earn</w:t>
      </w:r>
      <w:r w:rsidR="009509E8">
        <w:rPr>
          <w:rFonts w:ascii="Times New Roman" w:hAnsi="Times New Roman" w:cs="Times New Roman"/>
          <w:sz w:val="24"/>
          <w:szCs w:val="24"/>
        </w:rPr>
        <w:t xml:space="preserve"> </w:t>
      </w:r>
      <w:r w:rsidR="00B21D02">
        <w:rPr>
          <w:rFonts w:ascii="Times New Roman" w:hAnsi="Times New Roman" w:cs="Times New Roman"/>
          <w:sz w:val="24"/>
          <w:szCs w:val="24"/>
        </w:rPr>
        <w:t xml:space="preserve">CE </w:t>
      </w:r>
      <w:r w:rsidR="00F179E9">
        <w:rPr>
          <w:rFonts w:ascii="Times New Roman" w:hAnsi="Times New Roman" w:cs="Times New Roman"/>
          <w:sz w:val="24"/>
          <w:szCs w:val="24"/>
        </w:rPr>
        <w:t>using the same</w:t>
      </w:r>
      <w:r w:rsidR="00802BD1">
        <w:rPr>
          <w:rFonts w:ascii="Times New Roman" w:hAnsi="Times New Roman" w:cs="Times New Roman"/>
          <w:sz w:val="24"/>
          <w:szCs w:val="24"/>
        </w:rPr>
        <w:t xml:space="preserve"> login and password</w:t>
      </w:r>
      <w:r w:rsidR="009509E8">
        <w:rPr>
          <w:rFonts w:ascii="Times New Roman" w:hAnsi="Times New Roman" w:cs="Times New Roman"/>
          <w:sz w:val="24"/>
          <w:szCs w:val="24"/>
        </w:rPr>
        <w:t xml:space="preserve">. </w:t>
      </w:r>
      <w:r w:rsidR="001F4FC0">
        <w:rPr>
          <w:rFonts w:ascii="Times New Roman" w:hAnsi="Times New Roman" w:cs="Times New Roman"/>
          <w:sz w:val="24"/>
          <w:szCs w:val="24"/>
        </w:rPr>
        <w:t xml:space="preserve">Learners </w:t>
      </w:r>
      <w:r w:rsidR="00802BD1">
        <w:rPr>
          <w:rFonts w:ascii="Times New Roman" w:hAnsi="Times New Roman" w:cs="Times New Roman"/>
          <w:sz w:val="24"/>
          <w:szCs w:val="24"/>
        </w:rPr>
        <w:t>evaluate</w:t>
      </w:r>
      <w:r w:rsidR="001F4FC0">
        <w:rPr>
          <w:rFonts w:ascii="Times New Roman" w:hAnsi="Times New Roman" w:cs="Times New Roman"/>
          <w:sz w:val="24"/>
          <w:szCs w:val="24"/>
        </w:rPr>
        <w:t xml:space="preserve"> the courses and educational </w:t>
      </w:r>
      <w:r w:rsidR="00D2766D">
        <w:rPr>
          <w:rFonts w:ascii="Times New Roman" w:hAnsi="Times New Roman" w:cs="Times New Roman"/>
          <w:sz w:val="24"/>
          <w:szCs w:val="24"/>
        </w:rPr>
        <w:t>products</w:t>
      </w:r>
      <w:r w:rsidR="001F4FC0">
        <w:rPr>
          <w:rFonts w:ascii="Times New Roman" w:hAnsi="Times New Roman" w:cs="Times New Roman"/>
          <w:sz w:val="24"/>
          <w:szCs w:val="24"/>
        </w:rPr>
        <w:t xml:space="preserve"> they take to provide information to improve courses to make them more relevant and engaging. </w:t>
      </w:r>
      <w:r w:rsidR="00802BD1">
        <w:rPr>
          <w:rFonts w:ascii="Times New Roman" w:hAnsi="Times New Roman" w:cs="Times New Roman"/>
          <w:sz w:val="24"/>
          <w:szCs w:val="24"/>
        </w:rPr>
        <w:t>The TCEO Post-</w:t>
      </w:r>
      <w:r w:rsidR="001A6A0E">
        <w:rPr>
          <w:rFonts w:ascii="Times New Roman" w:hAnsi="Times New Roman" w:cs="Times New Roman"/>
          <w:sz w:val="24"/>
          <w:szCs w:val="24"/>
        </w:rPr>
        <w:t>C</w:t>
      </w:r>
      <w:r w:rsidR="00802BD1">
        <w:rPr>
          <w:rFonts w:ascii="Times New Roman" w:hAnsi="Times New Roman" w:cs="Times New Roman"/>
          <w:sz w:val="24"/>
          <w:szCs w:val="24"/>
        </w:rPr>
        <w:t xml:space="preserve">ourse </w:t>
      </w:r>
      <w:r w:rsidR="00A438CE">
        <w:rPr>
          <w:rFonts w:ascii="Times New Roman" w:hAnsi="Times New Roman" w:cs="Times New Roman"/>
          <w:sz w:val="24"/>
          <w:szCs w:val="24"/>
        </w:rPr>
        <w:t>E</w:t>
      </w:r>
      <w:r w:rsidR="00802BD1">
        <w:rPr>
          <w:rFonts w:ascii="Times New Roman" w:hAnsi="Times New Roman" w:cs="Times New Roman"/>
          <w:sz w:val="24"/>
          <w:szCs w:val="24"/>
        </w:rPr>
        <w:t xml:space="preserve">valuation is required to receive the </w:t>
      </w:r>
      <w:r w:rsidR="00B21D02">
        <w:rPr>
          <w:rFonts w:ascii="Times New Roman" w:hAnsi="Times New Roman" w:cs="Times New Roman"/>
          <w:sz w:val="24"/>
          <w:szCs w:val="24"/>
        </w:rPr>
        <w:t xml:space="preserve">CE </w:t>
      </w:r>
      <w:r w:rsidR="00802BD1">
        <w:rPr>
          <w:rFonts w:ascii="Times New Roman" w:hAnsi="Times New Roman" w:cs="Times New Roman"/>
          <w:sz w:val="24"/>
          <w:szCs w:val="24"/>
        </w:rPr>
        <w:t xml:space="preserve">they earned. </w:t>
      </w:r>
      <w:r w:rsidR="002D5F5F">
        <w:rPr>
          <w:rFonts w:ascii="Times New Roman" w:hAnsi="Times New Roman" w:cs="Times New Roman"/>
          <w:sz w:val="24"/>
          <w:szCs w:val="24"/>
        </w:rPr>
        <w:t>Both the Post-</w:t>
      </w:r>
      <w:r w:rsidR="002C0EFD">
        <w:rPr>
          <w:rFonts w:ascii="Times New Roman" w:hAnsi="Times New Roman" w:cs="Times New Roman"/>
          <w:sz w:val="24"/>
          <w:szCs w:val="24"/>
        </w:rPr>
        <w:t>C</w:t>
      </w:r>
      <w:r w:rsidR="002D5F5F">
        <w:rPr>
          <w:rFonts w:ascii="Times New Roman" w:hAnsi="Times New Roman" w:cs="Times New Roman"/>
          <w:sz w:val="24"/>
          <w:szCs w:val="24"/>
        </w:rPr>
        <w:t>ourse and Follow-up Evaluation tools are required by the accrediting organizations.</w:t>
      </w:r>
    </w:p>
    <w:p w14:paraId="01ADF32E" w14:textId="77777777" w:rsidR="00F82522" w:rsidRPr="00A833E9" w:rsidRDefault="00FC0806" w:rsidP="00A833E9">
      <w:pPr>
        <w:spacing w:line="240" w:lineRule="auto"/>
        <w:rPr>
          <w:rFonts w:ascii="Times New Roman" w:hAnsi="Times New Roman" w:cs="Times New Roman"/>
          <w:sz w:val="24"/>
          <w:szCs w:val="24"/>
        </w:rPr>
      </w:pPr>
      <w:r w:rsidRPr="00A833E9">
        <w:rPr>
          <w:rFonts w:ascii="Times New Roman" w:hAnsi="Times New Roman" w:cs="Times New Roman"/>
          <w:sz w:val="24"/>
          <w:szCs w:val="24"/>
        </w:rPr>
        <w:t xml:space="preserve">TCEO </w:t>
      </w:r>
      <w:r w:rsidR="005C0B4B" w:rsidRPr="00A833E9">
        <w:rPr>
          <w:rFonts w:ascii="Times New Roman" w:hAnsi="Times New Roman" w:cs="Times New Roman"/>
          <w:sz w:val="24"/>
          <w:szCs w:val="24"/>
        </w:rPr>
        <w:t>assure</w:t>
      </w:r>
      <w:r w:rsidR="00D02ABB" w:rsidRPr="00A833E9">
        <w:rPr>
          <w:rFonts w:ascii="Times New Roman" w:hAnsi="Times New Roman" w:cs="Times New Roman"/>
          <w:sz w:val="24"/>
          <w:szCs w:val="24"/>
        </w:rPr>
        <w:t>s</w:t>
      </w:r>
      <w:r w:rsidR="005C0B4B" w:rsidRPr="00A833E9">
        <w:rPr>
          <w:rFonts w:ascii="Times New Roman" w:hAnsi="Times New Roman" w:cs="Times New Roman"/>
          <w:sz w:val="24"/>
          <w:szCs w:val="24"/>
        </w:rPr>
        <w:t xml:space="preserve"> 100% compliance with the Government Paperwork </w:t>
      </w:r>
      <w:r w:rsidR="006D0DDD" w:rsidRPr="00A833E9">
        <w:rPr>
          <w:rFonts w:ascii="Times New Roman" w:hAnsi="Times New Roman" w:cs="Times New Roman"/>
          <w:sz w:val="24"/>
          <w:szCs w:val="24"/>
        </w:rPr>
        <w:t xml:space="preserve">Elimination </w:t>
      </w:r>
      <w:r w:rsidR="005C0B4B" w:rsidRPr="00A833E9">
        <w:rPr>
          <w:rFonts w:ascii="Times New Roman" w:hAnsi="Times New Roman" w:cs="Times New Roman"/>
          <w:sz w:val="24"/>
          <w:szCs w:val="24"/>
        </w:rPr>
        <w:t>Act (GP</w:t>
      </w:r>
      <w:r w:rsidR="006D0DDD" w:rsidRPr="00A833E9">
        <w:rPr>
          <w:rFonts w:ascii="Times New Roman" w:hAnsi="Times New Roman" w:cs="Times New Roman"/>
          <w:sz w:val="24"/>
          <w:szCs w:val="24"/>
        </w:rPr>
        <w:t>E</w:t>
      </w:r>
      <w:r w:rsidR="005C0B4B" w:rsidRPr="00A833E9">
        <w:rPr>
          <w:rFonts w:ascii="Times New Roman" w:hAnsi="Times New Roman" w:cs="Times New Roman"/>
          <w:sz w:val="24"/>
          <w:szCs w:val="24"/>
        </w:rPr>
        <w:t xml:space="preserve">A), Public Law 105-277, title XVII, 1998, </w:t>
      </w:r>
      <w:r w:rsidR="00BB60E0" w:rsidRPr="00A833E9">
        <w:rPr>
          <w:rFonts w:ascii="Times New Roman" w:hAnsi="Times New Roman" w:cs="Times New Roman"/>
          <w:sz w:val="24"/>
          <w:szCs w:val="24"/>
        </w:rPr>
        <w:t xml:space="preserve">lowering the burden to the respondent, </w:t>
      </w:r>
      <w:r w:rsidR="005C0B4B" w:rsidRPr="00A833E9">
        <w:rPr>
          <w:rFonts w:ascii="Times New Roman" w:hAnsi="Times New Roman" w:cs="Times New Roman"/>
          <w:sz w:val="24"/>
          <w:szCs w:val="24"/>
        </w:rPr>
        <w:t>allow</w:t>
      </w:r>
      <w:r w:rsidR="006D1DE3" w:rsidRPr="00A833E9">
        <w:rPr>
          <w:rFonts w:ascii="Times New Roman" w:hAnsi="Times New Roman" w:cs="Times New Roman"/>
          <w:sz w:val="24"/>
          <w:szCs w:val="24"/>
        </w:rPr>
        <w:t>ing</w:t>
      </w:r>
      <w:r w:rsidR="005C0B4B" w:rsidRPr="00A833E9">
        <w:rPr>
          <w:rFonts w:ascii="Times New Roman" w:hAnsi="Times New Roman" w:cs="Times New Roman"/>
          <w:sz w:val="24"/>
          <w:szCs w:val="24"/>
        </w:rPr>
        <w:t xml:space="preserve"> </w:t>
      </w:r>
      <w:r w:rsidR="001A6A0E">
        <w:rPr>
          <w:rFonts w:ascii="Times New Roman" w:hAnsi="Times New Roman" w:cs="Times New Roman"/>
          <w:sz w:val="24"/>
          <w:szCs w:val="24"/>
        </w:rPr>
        <w:t>persons</w:t>
      </w:r>
      <w:r w:rsidR="005C0B4B" w:rsidRPr="00A833E9">
        <w:rPr>
          <w:rFonts w:ascii="Times New Roman" w:hAnsi="Times New Roman" w:cs="Times New Roman"/>
          <w:sz w:val="24"/>
          <w:szCs w:val="24"/>
        </w:rPr>
        <w:t xml:space="preserve"> to submit information electronically</w:t>
      </w:r>
      <w:r w:rsidR="00BB60E0" w:rsidRPr="00A833E9">
        <w:rPr>
          <w:rFonts w:ascii="Times New Roman" w:hAnsi="Times New Roman" w:cs="Times New Roman"/>
          <w:sz w:val="24"/>
          <w:szCs w:val="24"/>
        </w:rPr>
        <w:t>,</w:t>
      </w:r>
      <w:r w:rsidR="005C0B4B" w:rsidRPr="00A833E9">
        <w:rPr>
          <w:rFonts w:ascii="Times New Roman" w:hAnsi="Times New Roman" w:cs="Times New Roman"/>
          <w:sz w:val="24"/>
          <w:szCs w:val="24"/>
        </w:rPr>
        <w:t xml:space="preserve"> and </w:t>
      </w:r>
      <w:r w:rsidR="006D1DE3" w:rsidRPr="00A833E9">
        <w:rPr>
          <w:rFonts w:ascii="Times New Roman" w:hAnsi="Times New Roman" w:cs="Times New Roman"/>
          <w:sz w:val="24"/>
          <w:szCs w:val="24"/>
        </w:rPr>
        <w:t xml:space="preserve">providing </w:t>
      </w:r>
      <w:r w:rsidR="005C0B4B" w:rsidRPr="00A833E9">
        <w:rPr>
          <w:rFonts w:ascii="Times New Roman" w:hAnsi="Times New Roman" w:cs="Times New Roman"/>
          <w:sz w:val="24"/>
          <w:szCs w:val="24"/>
        </w:rPr>
        <w:t>capabilities for CDC to maintain records electronically.</w:t>
      </w:r>
      <w:bookmarkStart w:id="202" w:name="_Toc431891674"/>
      <w:bookmarkStart w:id="203" w:name="_Toc431906465"/>
      <w:bookmarkStart w:id="204" w:name="_Toc431909897"/>
      <w:bookmarkStart w:id="205" w:name="_Toc431911456"/>
      <w:bookmarkStart w:id="206" w:name="_Toc431911591"/>
      <w:bookmarkStart w:id="207" w:name="_Toc431890030"/>
      <w:bookmarkStart w:id="208" w:name="_Toc431891675"/>
      <w:bookmarkStart w:id="209" w:name="_Toc431906466"/>
      <w:bookmarkStart w:id="210" w:name="_Toc431909898"/>
      <w:bookmarkStart w:id="211" w:name="_Toc431911457"/>
      <w:bookmarkStart w:id="212" w:name="_Toc431911592"/>
      <w:bookmarkStart w:id="213" w:name="_Toc431890031"/>
      <w:bookmarkStart w:id="214" w:name="_Toc431891676"/>
      <w:bookmarkStart w:id="215" w:name="_Toc431906467"/>
      <w:bookmarkStart w:id="216" w:name="_Toc431909899"/>
      <w:bookmarkStart w:id="217" w:name="_Toc431911458"/>
      <w:bookmarkStart w:id="218" w:name="_Toc431911593"/>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956DB38" w14:textId="77777777" w:rsidR="002369D6" w:rsidRPr="00F82522" w:rsidRDefault="00516FE1" w:rsidP="00C42381">
      <w:pPr>
        <w:pStyle w:val="Heading1"/>
        <w:numPr>
          <w:ilvl w:val="0"/>
          <w:numId w:val="8"/>
        </w:numPr>
        <w:spacing w:line="240" w:lineRule="auto"/>
        <w:ind w:left="630" w:hanging="270"/>
        <w:rPr>
          <w:rFonts w:cs="Times New Roman"/>
          <w:szCs w:val="24"/>
        </w:rPr>
      </w:pPr>
      <w:bookmarkStart w:id="219" w:name="_Toc522700947"/>
      <w:r w:rsidRPr="00821692">
        <w:rPr>
          <w:rStyle w:val="Strong"/>
          <w:rFonts w:eastAsiaTheme="majorEastAsia"/>
          <w:b/>
        </w:rPr>
        <w:t>Efforts</w:t>
      </w:r>
      <w:r w:rsidRPr="000617B1">
        <w:t xml:space="preserve"> to Identify Duplication and Use of Similar Information</w:t>
      </w:r>
      <w:bookmarkEnd w:id="219"/>
    </w:p>
    <w:p w14:paraId="6424ACF7" w14:textId="77777777" w:rsidR="006853E1" w:rsidRDefault="006853E1" w:rsidP="006853E1">
      <w:pPr>
        <w:spacing w:line="240" w:lineRule="auto"/>
        <w:rPr>
          <w:rFonts w:ascii="Times New Roman" w:hAnsi="Times New Roman" w:cs="Times New Roman"/>
          <w:bCs/>
          <w:sz w:val="24"/>
          <w:szCs w:val="24"/>
        </w:rPr>
      </w:pPr>
      <w:bookmarkStart w:id="220" w:name="_Toc431891678"/>
      <w:bookmarkStart w:id="221" w:name="_Toc431906469"/>
      <w:bookmarkStart w:id="222" w:name="_Toc431909901"/>
      <w:bookmarkStart w:id="223" w:name="_Toc431911460"/>
      <w:bookmarkStart w:id="224" w:name="_Toc431911595"/>
      <w:bookmarkStart w:id="225" w:name="_Toc431891679"/>
      <w:bookmarkStart w:id="226" w:name="_Toc431906470"/>
      <w:bookmarkStart w:id="227" w:name="_Toc431909902"/>
      <w:bookmarkStart w:id="228" w:name="_Toc431911461"/>
      <w:bookmarkStart w:id="229" w:name="_Toc431911596"/>
      <w:bookmarkEnd w:id="220"/>
      <w:bookmarkEnd w:id="221"/>
      <w:bookmarkEnd w:id="222"/>
      <w:bookmarkEnd w:id="223"/>
      <w:bookmarkEnd w:id="224"/>
      <w:bookmarkEnd w:id="225"/>
      <w:bookmarkEnd w:id="226"/>
      <w:bookmarkEnd w:id="227"/>
      <w:bookmarkEnd w:id="228"/>
      <w:bookmarkEnd w:id="229"/>
    </w:p>
    <w:p w14:paraId="6E0C6459" w14:textId="77777777" w:rsidR="00A35671" w:rsidRDefault="00A35671" w:rsidP="006853E1">
      <w:pPr>
        <w:spacing w:line="240" w:lineRule="auto"/>
        <w:rPr>
          <w:rFonts w:ascii="Times New Roman" w:hAnsi="Times New Roman" w:cs="Times New Roman"/>
          <w:sz w:val="24"/>
          <w:szCs w:val="24"/>
        </w:rPr>
      </w:pPr>
      <w:r w:rsidRPr="000C54DA">
        <w:rPr>
          <w:rFonts w:ascii="Times New Roman" w:hAnsi="Times New Roman" w:cs="Times New Roman"/>
          <w:sz w:val="24"/>
          <w:szCs w:val="24"/>
        </w:rPr>
        <w:t xml:space="preserve">Information collected through TCEO is for </w:t>
      </w:r>
      <w:r w:rsidR="00C334B3">
        <w:rPr>
          <w:rFonts w:ascii="Times New Roman" w:hAnsi="Times New Roman" w:cs="Times New Roman"/>
          <w:sz w:val="24"/>
          <w:szCs w:val="24"/>
        </w:rPr>
        <w:t xml:space="preserve">CDC </w:t>
      </w:r>
      <w:r w:rsidR="0063316A">
        <w:rPr>
          <w:rFonts w:ascii="Times New Roman" w:hAnsi="Times New Roman" w:cs="Times New Roman"/>
          <w:sz w:val="24"/>
          <w:szCs w:val="24"/>
        </w:rPr>
        <w:t>accreditation</w:t>
      </w:r>
      <w:r w:rsidR="002D5F5F">
        <w:rPr>
          <w:rFonts w:ascii="Times New Roman" w:hAnsi="Times New Roman" w:cs="Times New Roman"/>
          <w:sz w:val="24"/>
          <w:szCs w:val="24"/>
        </w:rPr>
        <w:t xml:space="preserve"> </w:t>
      </w:r>
      <w:r w:rsidR="00C334B3" w:rsidRPr="001145C3">
        <w:rPr>
          <w:rFonts w:ascii="Times New Roman" w:hAnsi="Times New Roman" w:cs="Times New Roman"/>
          <w:sz w:val="24"/>
          <w:szCs w:val="24"/>
        </w:rPr>
        <w:t xml:space="preserve">for the </w:t>
      </w:r>
      <w:r w:rsidR="00F671AC">
        <w:rPr>
          <w:rFonts w:ascii="Times New Roman" w:hAnsi="Times New Roman" w:cs="Times New Roman"/>
          <w:sz w:val="24"/>
          <w:szCs w:val="24"/>
        </w:rPr>
        <w:t>seven</w:t>
      </w:r>
      <w:r w:rsidR="00C334B3">
        <w:rPr>
          <w:rFonts w:ascii="Times New Roman" w:hAnsi="Times New Roman" w:cs="Times New Roman"/>
          <w:sz w:val="24"/>
          <w:szCs w:val="24"/>
        </w:rPr>
        <w:t xml:space="preserve"> accrediting organizations </w:t>
      </w:r>
      <w:r w:rsidR="002D5F5F">
        <w:rPr>
          <w:rFonts w:ascii="Times New Roman" w:hAnsi="Times New Roman" w:cs="Times New Roman"/>
          <w:sz w:val="24"/>
          <w:szCs w:val="24"/>
        </w:rPr>
        <w:t xml:space="preserve">and </w:t>
      </w:r>
      <w:r w:rsidRPr="000C54DA">
        <w:rPr>
          <w:rFonts w:ascii="Times New Roman" w:hAnsi="Times New Roman" w:cs="Times New Roman"/>
          <w:sz w:val="24"/>
          <w:szCs w:val="24"/>
        </w:rPr>
        <w:t xml:space="preserve">completion of </w:t>
      </w:r>
      <w:r w:rsidR="00C334B3">
        <w:rPr>
          <w:rFonts w:ascii="Times New Roman" w:hAnsi="Times New Roman" w:cs="Times New Roman"/>
          <w:sz w:val="24"/>
          <w:szCs w:val="24"/>
        </w:rPr>
        <w:t xml:space="preserve">the related accredited courses </w:t>
      </w:r>
      <w:r w:rsidRPr="006853E1">
        <w:rPr>
          <w:rFonts w:ascii="Times New Roman" w:hAnsi="Times New Roman" w:cs="Times New Roman"/>
          <w:sz w:val="24"/>
          <w:szCs w:val="24"/>
        </w:rPr>
        <w:t>and is not available from any other source.  There are no duplications of th</w:t>
      </w:r>
      <w:r w:rsidR="00C4463A">
        <w:rPr>
          <w:rFonts w:ascii="Times New Roman" w:hAnsi="Times New Roman" w:cs="Times New Roman"/>
          <w:sz w:val="24"/>
          <w:szCs w:val="24"/>
        </w:rPr>
        <w:t>ese data</w:t>
      </w:r>
      <w:r w:rsidRPr="006853E1">
        <w:rPr>
          <w:rFonts w:ascii="Times New Roman" w:hAnsi="Times New Roman" w:cs="Times New Roman"/>
          <w:sz w:val="24"/>
          <w:szCs w:val="24"/>
        </w:rPr>
        <w:t>.</w:t>
      </w:r>
    </w:p>
    <w:p w14:paraId="2C38FA90" w14:textId="77777777" w:rsidR="00D028C9" w:rsidRPr="00D028C9" w:rsidRDefault="00516FE1" w:rsidP="00D028C9">
      <w:pPr>
        <w:pStyle w:val="Heading1"/>
        <w:numPr>
          <w:ilvl w:val="0"/>
          <w:numId w:val="8"/>
        </w:numPr>
        <w:spacing w:line="240" w:lineRule="auto"/>
        <w:ind w:left="630" w:hanging="270"/>
        <w:rPr>
          <w:rStyle w:val="Strong"/>
          <w:rFonts w:eastAsiaTheme="majorEastAsia"/>
          <w:b/>
          <w:bCs/>
        </w:rPr>
      </w:pPr>
      <w:bookmarkStart w:id="230" w:name="_Toc522700948"/>
      <w:r w:rsidRPr="000C54DA">
        <w:rPr>
          <w:rStyle w:val="Strong"/>
          <w:rFonts w:eastAsiaTheme="majorEastAsia"/>
          <w:b/>
        </w:rPr>
        <w:t>Impact on Small Businesses or Other Small Entities</w:t>
      </w:r>
      <w:bookmarkEnd w:id="230"/>
      <w:r w:rsidR="00D028C9">
        <w:rPr>
          <w:rStyle w:val="Strong"/>
          <w:rFonts w:eastAsiaTheme="majorEastAsia"/>
          <w:b/>
        </w:rPr>
        <w:t xml:space="preserve"> </w:t>
      </w:r>
    </w:p>
    <w:p w14:paraId="420EC86A" w14:textId="751470D1" w:rsidR="00D028C9" w:rsidRPr="00D028C9" w:rsidRDefault="00283122" w:rsidP="00D028C9">
      <w:pPr>
        <w:pStyle w:val="Heading1"/>
        <w:spacing w:line="240" w:lineRule="auto"/>
        <w:rPr>
          <w:rFonts w:eastAsiaTheme="majorEastAsia"/>
          <w:b w:val="0"/>
        </w:rPr>
      </w:pPr>
      <w:r w:rsidRPr="00D028C9">
        <w:rPr>
          <w:rFonts w:cs="Times New Roman"/>
          <w:b w:val="0"/>
          <w:szCs w:val="24"/>
        </w:rPr>
        <w:t xml:space="preserve">No small businesses </w:t>
      </w:r>
      <w:r w:rsidR="00D2766D" w:rsidRPr="00D028C9">
        <w:rPr>
          <w:rFonts w:cs="Times New Roman"/>
          <w:b w:val="0"/>
          <w:szCs w:val="24"/>
        </w:rPr>
        <w:t>have</w:t>
      </w:r>
      <w:r w:rsidR="005431E4" w:rsidRPr="00D028C9">
        <w:rPr>
          <w:rFonts w:cs="Times New Roman"/>
          <w:b w:val="0"/>
          <w:szCs w:val="24"/>
        </w:rPr>
        <w:t xml:space="preserve"> been, are, or will be involved in TCEO data </w:t>
      </w:r>
      <w:r w:rsidR="0002294D" w:rsidRPr="00D028C9">
        <w:rPr>
          <w:rFonts w:cs="Times New Roman"/>
          <w:b w:val="0"/>
          <w:szCs w:val="24"/>
        </w:rPr>
        <w:t>c</w:t>
      </w:r>
      <w:r w:rsidR="005431E4" w:rsidRPr="00D028C9">
        <w:rPr>
          <w:rFonts w:cs="Times New Roman"/>
          <w:b w:val="0"/>
          <w:szCs w:val="24"/>
        </w:rPr>
        <w:t>ollection.</w:t>
      </w:r>
      <w:bookmarkStart w:id="231" w:name="_Toc522700949"/>
    </w:p>
    <w:p w14:paraId="60AB4CAF" w14:textId="50C57463" w:rsidR="00516FE1" w:rsidRPr="00D028C9" w:rsidRDefault="00516FE1" w:rsidP="00D028C9">
      <w:pPr>
        <w:pStyle w:val="Heading1"/>
        <w:numPr>
          <w:ilvl w:val="0"/>
          <w:numId w:val="8"/>
        </w:numPr>
        <w:spacing w:line="240" w:lineRule="auto"/>
        <w:ind w:left="630" w:hanging="270"/>
        <w:rPr>
          <w:rFonts w:eastAsiaTheme="majorEastAsia"/>
        </w:rPr>
      </w:pPr>
      <w:r w:rsidRPr="00D028C9">
        <w:rPr>
          <w:rFonts w:cs="Times New Roman"/>
          <w:szCs w:val="24"/>
        </w:rPr>
        <w:t>Consequences of Collecting the Information Less Frequently</w:t>
      </w:r>
      <w:bookmarkEnd w:id="231"/>
    </w:p>
    <w:p w14:paraId="26A9ACDE" w14:textId="77777777" w:rsidR="009C2533" w:rsidRDefault="009C2533" w:rsidP="001F1912">
      <w:pPr>
        <w:widowControl w:val="0"/>
        <w:spacing w:after="0" w:line="240" w:lineRule="auto"/>
        <w:rPr>
          <w:rFonts w:ascii="Times New Roman" w:hAnsi="Times New Roman" w:cs="Times New Roman"/>
          <w:sz w:val="24"/>
          <w:szCs w:val="24"/>
        </w:rPr>
      </w:pPr>
    </w:p>
    <w:p w14:paraId="56598B93" w14:textId="79D836FC" w:rsidR="005B1062" w:rsidRDefault="008E76A4" w:rsidP="005B1062">
      <w:pPr>
        <w:pStyle w:val="Heading1"/>
        <w:spacing w:line="240" w:lineRule="auto"/>
        <w:rPr>
          <w:rFonts w:cs="Times New Roman"/>
          <w:b w:val="0"/>
          <w:szCs w:val="24"/>
        </w:rPr>
      </w:pPr>
      <w:r w:rsidRPr="004B3DFF">
        <w:rPr>
          <w:rFonts w:cs="Times New Roman"/>
          <w:b w:val="0"/>
          <w:szCs w:val="24"/>
        </w:rPr>
        <w:t xml:space="preserve">The timeliness of data collection using the TCEO system is </w:t>
      </w:r>
      <w:r w:rsidR="001A6A0E" w:rsidRPr="004B3DFF">
        <w:rPr>
          <w:rFonts w:cs="Times New Roman"/>
          <w:b w:val="0"/>
          <w:szCs w:val="24"/>
        </w:rPr>
        <w:t>crucial</w:t>
      </w:r>
      <w:r w:rsidRPr="004B3DFF">
        <w:rPr>
          <w:rFonts w:cs="Times New Roman"/>
          <w:b w:val="0"/>
          <w:szCs w:val="24"/>
        </w:rPr>
        <w:t>.</w:t>
      </w:r>
      <w:r w:rsidR="005F47F2" w:rsidRPr="004B3DFF">
        <w:rPr>
          <w:rFonts w:cs="Times New Roman"/>
          <w:b w:val="0"/>
          <w:szCs w:val="24"/>
        </w:rPr>
        <w:t xml:space="preserve"> </w:t>
      </w:r>
      <w:r w:rsidR="008E6FA9" w:rsidRPr="004B3DFF">
        <w:rPr>
          <w:rFonts w:cs="Times New Roman"/>
          <w:b w:val="0"/>
          <w:szCs w:val="24"/>
        </w:rPr>
        <w:t xml:space="preserve">Data are collected once per educational activity submitted for accreditation in the TCEO </w:t>
      </w:r>
      <w:r w:rsidR="008E6FA9" w:rsidRPr="005A5B63">
        <w:rPr>
          <w:rFonts w:cs="Times New Roman"/>
          <w:b w:val="0"/>
          <w:szCs w:val="24"/>
        </w:rPr>
        <w:t>Proposal</w:t>
      </w:r>
      <w:r w:rsidR="005A5B63">
        <w:rPr>
          <w:rFonts w:cs="Times New Roman"/>
          <w:b w:val="0"/>
          <w:szCs w:val="24"/>
        </w:rPr>
        <w:t xml:space="preserve"> </w:t>
      </w:r>
      <w:r w:rsidR="005A5B63" w:rsidRPr="005A5B63">
        <w:rPr>
          <w:rFonts w:cs="Times New Roman"/>
          <w:b w:val="0"/>
          <w:szCs w:val="24"/>
        </w:rPr>
        <w:t xml:space="preserve">(Attachment </w:t>
      </w:r>
      <w:r w:rsidR="00E50697">
        <w:rPr>
          <w:rFonts w:cs="Times New Roman"/>
          <w:b w:val="0"/>
          <w:szCs w:val="24"/>
        </w:rPr>
        <w:t>3</w:t>
      </w:r>
      <w:r w:rsidR="005A5B63" w:rsidRPr="005A5B63">
        <w:rPr>
          <w:rFonts w:cs="Times New Roman"/>
          <w:b w:val="0"/>
          <w:szCs w:val="24"/>
        </w:rPr>
        <w:t>),</w:t>
      </w:r>
      <w:r w:rsidR="008E6FA9" w:rsidRPr="004B3DFF">
        <w:rPr>
          <w:rFonts w:cs="Times New Roman"/>
          <w:b w:val="0"/>
          <w:szCs w:val="24"/>
        </w:rPr>
        <w:t xml:space="preserve"> o</w:t>
      </w:r>
      <w:r w:rsidR="00DF6E0A" w:rsidRPr="004B3DFF">
        <w:rPr>
          <w:rFonts w:cs="Times New Roman"/>
          <w:b w:val="0"/>
          <w:szCs w:val="24"/>
        </w:rPr>
        <w:t xml:space="preserve">nce </w:t>
      </w:r>
      <w:r w:rsidR="00C85A7A" w:rsidRPr="004B3DFF">
        <w:rPr>
          <w:rFonts w:cs="Times New Roman"/>
          <w:b w:val="0"/>
          <w:szCs w:val="24"/>
        </w:rPr>
        <w:t>at</w:t>
      </w:r>
      <w:r w:rsidR="00DF6E0A" w:rsidRPr="004B3DFF">
        <w:rPr>
          <w:rFonts w:cs="Times New Roman"/>
          <w:b w:val="0"/>
          <w:szCs w:val="24"/>
        </w:rPr>
        <w:t xml:space="preserve"> registration in the TCEO New Participant Registration</w:t>
      </w:r>
      <w:r w:rsidR="005A5B63">
        <w:rPr>
          <w:rFonts w:cs="Times New Roman"/>
          <w:b w:val="0"/>
          <w:szCs w:val="24"/>
        </w:rPr>
        <w:t xml:space="preserve"> </w:t>
      </w:r>
      <w:r w:rsidR="005A5B63" w:rsidRPr="005A5B63">
        <w:rPr>
          <w:rFonts w:cs="Times New Roman"/>
          <w:b w:val="0"/>
          <w:szCs w:val="24"/>
        </w:rPr>
        <w:t xml:space="preserve">(Attachment </w:t>
      </w:r>
      <w:r w:rsidR="00E50697">
        <w:rPr>
          <w:rFonts w:cs="Times New Roman"/>
          <w:b w:val="0"/>
          <w:szCs w:val="24"/>
        </w:rPr>
        <w:t>4</w:t>
      </w:r>
      <w:r w:rsidR="005A5B63" w:rsidRPr="005A5B63">
        <w:rPr>
          <w:rFonts w:cs="Times New Roman"/>
          <w:b w:val="0"/>
          <w:szCs w:val="24"/>
        </w:rPr>
        <w:t>)</w:t>
      </w:r>
      <w:r w:rsidR="00DF6E0A" w:rsidRPr="004B3DFF">
        <w:rPr>
          <w:rFonts w:cs="Times New Roman"/>
          <w:b w:val="0"/>
          <w:szCs w:val="24"/>
        </w:rPr>
        <w:t>,</w:t>
      </w:r>
      <w:r w:rsidR="00F736E0" w:rsidRPr="004B3DFF">
        <w:rPr>
          <w:rFonts w:cs="Times New Roman"/>
          <w:b w:val="0"/>
          <w:szCs w:val="24"/>
        </w:rPr>
        <w:t xml:space="preserve"> </w:t>
      </w:r>
      <w:r w:rsidR="00C85A7A" w:rsidRPr="004B3DFF">
        <w:rPr>
          <w:rFonts w:cs="Times New Roman"/>
          <w:b w:val="0"/>
          <w:szCs w:val="24"/>
        </w:rPr>
        <w:t>o</w:t>
      </w:r>
      <w:r w:rsidR="005C76FA" w:rsidRPr="004B3DFF">
        <w:rPr>
          <w:rFonts w:cs="Times New Roman"/>
          <w:b w:val="0"/>
          <w:szCs w:val="24"/>
        </w:rPr>
        <w:t>nce</w:t>
      </w:r>
      <w:r w:rsidR="00607FE7" w:rsidRPr="004B3DFF">
        <w:rPr>
          <w:rFonts w:cs="Times New Roman"/>
          <w:b w:val="0"/>
          <w:szCs w:val="24"/>
        </w:rPr>
        <w:t xml:space="preserve"> </w:t>
      </w:r>
      <w:r w:rsidR="00C85A7A" w:rsidRPr="004B3DFF">
        <w:rPr>
          <w:rFonts w:cs="Times New Roman"/>
          <w:b w:val="0"/>
          <w:szCs w:val="24"/>
        </w:rPr>
        <w:t>at</w:t>
      </w:r>
      <w:r w:rsidR="00003441" w:rsidRPr="004B3DFF">
        <w:rPr>
          <w:rFonts w:cs="Times New Roman"/>
          <w:b w:val="0"/>
          <w:szCs w:val="24"/>
        </w:rPr>
        <w:t xml:space="preserve"> completion of the </w:t>
      </w:r>
      <w:r w:rsidR="0067666F" w:rsidRPr="004B3DFF">
        <w:rPr>
          <w:rFonts w:cs="Times New Roman"/>
          <w:b w:val="0"/>
          <w:szCs w:val="24"/>
        </w:rPr>
        <w:t xml:space="preserve">new </w:t>
      </w:r>
      <w:r w:rsidR="00003441" w:rsidRPr="004B3DFF">
        <w:rPr>
          <w:rFonts w:cs="Times New Roman"/>
          <w:b w:val="0"/>
          <w:szCs w:val="24"/>
        </w:rPr>
        <w:t>TCEO Post-</w:t>
      </w:r>
      <w:r w:rsidR="0002294D" w:rsidRPr="004B3DFF">
        <w:rPr>
          <w:rFonts w:cs="Times New Roman"/>
          <w:b w:val="0"/>
          <w:szCs w:val="24"/>
        </w:rPr>
        <w:t>C</w:t>
      </w:r>
      <w:r w:rsidR="00003441" w:rsidRPr="004B3DFF">
        <w:rPr>
          <w:rFonts w:cs="Times New Roman"/>
          <w:b w:val="0"/>
          <w:szCs w:val="24"/>
        </w:rPr>
        <w:t>ourse Evaluation</w:t>
      </w:r>
      <w:r w:rsidR="00D22DC6" w:rsidRPr="004B3DFF">
        <w:rPr>
          <w:rFonts w:cs="Times New Roman"/>
          <w:b w:val="0"/>
          <w:szCs w:val="24"/>
        </w:rPr>
        <w:t xml:space="preserve"> </w:t>
      </w:r>
      <w:r w:rsidR="005A5B63" w:rsidRPr="005A5B63">
        <w:rPr>
          <w:rFonts w:cs="Times New Roman"/>
          <w:b w:val="0"/>
          <w:szCs w:val="24"/>
        </w:rPr>
        <w:t xml:space="preserve">(Attachment </w:t>
      </w:r>
      <w:r w:rsidR="00E50697">
        <w:rPr>
          <w:rFonts w:cs="Times New Roman"/>
          <w:b w:val="0"/>
          <w:szCs w:val="24"/>
        </w:rPr>
        <w:t>5</w:t>
      </w:r>
      <w:r w:rsidR="005A5B63" w:rsidRPr="005A5B63">
        <w:rPr>
          <w:rFonts w:cs="Times New Roman"/>
          <w:b w:val="0"/>
          <w:szCs w:val="24"/>
        </w:rPr>
        <w:t>)</w:t>
      </w:r>
      <w:r w:rsidR="005A5B63" w:rsidRPr="004B3DFF">
        <w:rPr>
          <w:rFonts w:cs="Times New Roman"/>
          <w:b w:val="0"/>
          <w:szCs w:val="24"/>
        </w:rPr>
        <w:t xml:space="preserve"> </w:t>
      </w:r>
      <w:r w:rsidR="00D22DC6" w:rsidRPr="004B3DFF">
        <w:rPr>
          <w:rFonts w:cs="Times New Roman"/>
          <w:b w:val="0"/>
          <w:szCs w:val="24"/>
        </w:rPr>
        <w:t>for each</w:t>
      </w:r>
      <w:r w:rsidR="000C194C" w:rsidRPr="004B3DFF">
        <w:rPr>
          <w:rFonts w:cs="Times New Roman"/>
          <w:b w:val="0"/>
          <w:szCs w:val="24"/>
        </w:rPr>
        <w:t xml:space="preserve"> educational activity completed</w:t>
      </w:r>
      <w:r w:rsidR="00003441" w:rsidRPr="004B3DFF">
        <w:rPr>
          <w:rFonts w:cs="Times New Roman"/>
          <w:b w:val="0"/>
          <w:szCs w:val="24"/>
        </w:rPr>
        <w:t xml:space="preserve">, and </w:t>
      </w:r>
      <w:r w:rsidR="00C85A7A" w:rsidRPr="004B3DFF">
        <w:rPr>
          <w:rFonts w:cs="Times New Roman"/>
          <w:b w:val="0"/>
          <w:szCs w:val="24"/>
        </w:rPr>
        <w:t>once at</w:t>
      </w:r>
      <w:r w:rsidR="00003441" w:rsidRPr="004B3DFF">
        <w:rPr>
          <w:rFonts w:cs="Times New Roman"/>
          <w:b w:val="0"/>
          <w:szCs w:val="24"/>
        </w:rPr>
        <w:t xml:space="preserve"> the TCEO Follow-up Evaluation</w:t>
      </w:r>
      <w:r w:rsidR="000C194C" w:rsidRPr="004B3DFF">
        <w:rPr>
          <w:rFonts w:cs="Times New Roman"/>
          <w:b w:val="0"/>
          <w:szCs w:val="24"/>
        </w:rPr>
        <w:t xml:space="preserve"> </w:t>
      </w:r>
      <w:r w:rsidR="005A5B63" w:rsidRPr="005A5B63">
        <w:rPr>
          <w:rFonts w:cs="Times New Roman"/>
          <w:b w:val="0"/>
          <w:szCs w:val="24"/>
        </w:rPr>
        <w:t xml:space="preserve">(Attachment </w:t>
      </w:r>
      <w:r w:rsidR="00E50697">
        <w:rPr>
          <w:rFonts w:cs="Times New Roman"/>
          <w:b w:val="0"/>
          <w:szCs w:val="24"/>
        </w:rPr>
        <w:t>6</w:t>
      </w:r>
      <w:r w:rsidR="005A5B63" w:rsidRPr="005A5B63">
        <w:rPr>
          <w:rFonts w:cs="Times New Roman"/>
          <w:b w:val="0"/>
          <w:szCs w:val="24"/>
        </w:rPr>
        <w:t xml:space="preserve">) </w:t>
      </w:r>
      <w:r w:rsidR="000C194C" w:rsidRPr="004B3DFF">
        <w:rPr>
          <w:rFonts w:cs="Times New Roman"/>
          <w:b w:val="0"/>
          <w:szCs w:val="24"/>
        </w:rPr>
        <w:t>for each educational activity completed</w:t>
      </w:r>
      <w:r w:rsidR="00122D69" w:rsidRPr="004B3DFF">
        <w:rPr>
          <w:rFonts w:cs="Times New Roman"/>
          <w:b w:val="0"/>
          <w:szCs w:val="24"/>
        </w:rPr>
        <w:t xml:space="preserve">. </w:t>
      </w:r>
      <w:r w:rsidR="00F91854" w:rsidRPr="004B3DFF">
        <w:rPr>
          <w:rFonts w:cs="Times New Roman"/>
          <w:b w:val="0"/>
          <w:szCs w:val="24"/>
        </w:rPr>
        <w:t xml:space="preserve">We estimate that </w:t>
      </w:r>
      <w:r w:rsidR="00420EC8" w:rsidRPr="004B3DFF">
        <w:rPr>
          <w:rFonts w:cs="Times New Roman"/>
          <w:b w:val="0"/>
          <w:szCs w:val="24"/>
        </w:rPr>
        <w:t xml:space="preserve">registered </w:t>
      </w:r>
      <w:r w:rsidR="00F91854" w:rsidRPr="004B3DFF">
        <w:rPr>
          <w:rFonts w:cs="Times New Roman"/>
          <w:b w:val="0"/>
          <w:szCs w:val="24"/>
        </w:rPr>
        <w:t xml:space="preserve">learners will participate in two </w:t>
      </w:r>
      <w:r w:rsidR="00AA5493">
        <w:rPr>
          <w:rFonts w:cs="Times New Roman"/>
          <w:b w:val="0"/>
          <w:szCs w:val="24"/>
        </w:rPr>
        <w:t>educational activities per year</w:t>
      </w:r>
      <w:r w:rsidR="00D76C5A">
        <w:rPr>
          <w:rFonts w:cs="Times New Roman"/>
          <w:b w:val="0"/>
          <w:szCs w:val="24"/>
        </w:rPr>
        <w:t>;</w:t>
      </w:r>
      <w:r w:rsidR="00AA5493">
        <w:rPr>
          <w:rFonts w:cs="Times New Roman"/>
          <w:b w:val="0"/>
          <w:szCs w:val="24"/>
        </w:rPr>
        <w:t xml:space="preserve"> </w:t>
      </w:r>
      <w:r w:rsidR="00D76C5A">
        <w:rPr>
          <w:rFonts w:cs="Times New Roman"/>
          <w:b w:val="0"/>
          <w:szCs w:val="24"/>
        </w:rPr>
        <w:t xml:space="preserve">therefore, </w:t>
      </w:r>
      <w:r w:rsidR="00F91854" w:rsidRPr="004B3DFF">
        <w:rPr>
          <w:rFonts w:cs="Times New Roman"/>
          <w:b w:val="0"/>
          <w:szCs w:val="24"/>
        </w:rPr>
        <w:t>each learner will take the TCEO Post Course Evaluation twice per year</w:t>
      </w:r>
      <w:r w:rsidR="00420EC8" w:rsidRPr="004B3DFF">
        <w:rPr>
          <w:rFonts w:cs="Times New Roman"/>
          <w:b w:val="0"/>
          <w:szCs w:val="24"/>
        </w:rPr>
        <w:t xml:space="preserve"> to earn CE</w:t>
      </w:r>
      <w:r w:rsidR="00AB5739" w:rsidRPr="004B3DFF">
        <w:rPr>
          <w:rFonts w:cs="Times New Roman"/>
          <w:b w:val="0"/>
          <w:szCs w:val="24"/>
        </w:rPr>
        <w:t xml:space="preserve">. </w:t>
      </w:r>
      <w:r w:rsidR="00915FCF">
        <w:rPr>
          <w:rFonts w:cs="Times New Roman"/>
          <w:b w:val="0"/>
          <w:szCs w:val="24"/>
        </w:rPr>
        <w:t xml:space="preserve"> We estimate that a</w:t>
      </w:r>
      <w:r w:rsidR="00F91854" w:rsidRPr="004B3DFF">
        <w:rPr>
          <w:rFonts w:cs="Times New Roman"/>
          <w:b w:val="0"/>
          <w:szCs w:val="24"/>
        </w:rPr>
        <w:t xml:space="preserve">pproximately </w:t>
      </w:r>
      <w:r w:rsidR="00915FCF">
        <w:rPr>
          <w:rFonts w:cs="Times New Roman"/>
          <w:b w:val="0"/>
          <w:szCs w:val="24"/>
        </w:rPr>
        <w:t>1</w:t>
      </w:r>
      <w:r w:rsidR="00F91854" w:rsidRPr="004B3DFF">
        <w:rPr>
          <w:rFonts w:cs="Times New Roman"/>
          <w:b w:val="0"/>
          <w:szCs w:val="24"/>
        </w:rPr>
        <w:t>0% of learners will take the TCEO Follow</w:t>
      </w:r>
      <w:r w:rsidR="00915FCF">
        <w:rPr>
          <w:rFonts w:cs="Times New Roman"/>
          <w:b w:val="0"/>
          <w:szCs w:val="24"/>
        </w:rPr>
        <w:t>-</w:t>
      </w:r>
      <w:r w:rsidR="00F91854" w:rsidRPr="004B3DFF">
        <w:rPr>
          <w:rFonts w:cs="Times New Roman"/>
          <w:b w:val="0"/>
          <w:szCs w:val="24"/>
        </w:rPr>
        <w:t xml:space="preserve">up evaluation. </w:t>
      </w:r>
      <w:r w:rsidR="00C64AA4" w:rsidRPr="004B3DFF">
        <w:rPr>
          <w:rFonts w:cs="Times New Roman"/>
          <w:b w:val="0"/>
          <w:szCs w:val="24"/>
        </w:rPr>
        <w:t xml:space="preserve"> All components of TCEO are required by the accreditation organization</w:t>
      </w:r>
      <w:r w:rsidR="00F671AC">
        <w:rPr>
          <w:rFonts w:cs="Times New Roman"/>
          <w:b w:val="0"/>
          <w:szCs w:val="24"/>
        </w:rPr>
        <w:t>s</w:t>
      </w:r>
      <w:r w:rsidR="00C64AA4" w:rsidRPr="004B3DFF">
        <w:rPr>
          <w:rFonts w:cs="Times New Roman"/>
          <w:b w:val="0"/>
          <w:szCs w:val="24"/>
        </w:rPr>
        <w:t xml:space="preserve"> to ensure compliance with accreditation standards, and the timeliness of providing reports to accrediting organizations is necessary for CDC to maintain accreditation.  If CDC was not able to collect these data in a timely manner or was unable to collect these data, CDC’s ability to meet its mission to strengthen the skills of the current workforce through quality, accredited, competency-based training would be compromised. </w:t>
      </w:r>
      <w:r w:rsidR="00046809" w:rsidRPr="004B3DFF">
        <w:rPr>
          <w:rFonts w:cs="Times New Roman"/>
          <w:b w:val="0"/>
          <w:szCs w:val="24"/>
        </w:rPr>
        <w:t xml:space="preserve">The timeliness of data collected </w:t>
      </w:r>
      <w:r w:rsidR="00C85A7A" w:rsidRPr="004B3DFF">
        <w:rPr>
          <w:rFonts w:cs="Times New Roman"/>
          <w:b w:val="0"/>
          <w:szCs w:val="24"/>
        </w:rPr>
        <w:t>through</w:t>
      </w:r>
      <w:r w:rsidR="00046809" w:rsidRPr="004B3DFF">
        <w:rPr>
          <w:rFonts w:cs="Times New Roman"/>
          <w:b w:val="0"/>
          <w:szCs w:val="24"/>
        </w:rPr>
        <w:t xml:space="preserve"> the TCEO Proposal </w:t>
      </w:r>
      <w:r w:rsidR="00A615D3" w:rsidRPr="004B3DFF">
        <w:rPr>
          <w:rFonts w:cs="Times New Roman"/>
          <w:b w:val="0"/>
          <w:szCs w:val="24"/>
        </w:rPr>
        <w:t xml:space="preserve">is essential and </w:t>
      </w:r>
      <w:r w:rsidR="00046809" w:rsidRPr="004B3DFF">
        <w:rPr>
          <w:rFonts w:cs="Times New Roman"/>
          <w:b w:val="0"/>
          <w:szCs w:val="24"/>
        </w:rPr>
        <w:t>results in time</w:t>
      </w:r>
      <w:r w:rsidR="00A615D3" w:rsidRPr="004B3DFF">
        <w:rPr>
          <w:rFonts w:cs="Times New Roman"/>
          <w:b w:val="0"/>
          <w:szCs w:val="24"/>
        </w:rPr>
        <w:t xml:space="preserve">ly award of accreditation for an educational </w:t>
      </w:r>
      <w:r w:rsidR="00046809" w:rsidRPr="004B3DFF">
        <w:rPr>
          <w:rFonts w:cs="Times New Roman"/>
          <w:b w:val="0"/>
          <w:szCs w:val="24"/>
        </w:rPr>
        <w:t xml:space="preserve">activity submitted for </w:t>
      </w:r>
      <w:r w:rsidR="005A770A" w:rsidRPr="004B3DFF">
        <w:rPr>
          <w:rFonts w:cs="Times New Roman"/>
          <w:b w:val="0"/>
          <w:szCs w:val="24"/>
        </w:rPr>
        <w:t>accreditation</w:t>
      </w:r>
      <w:r w:rsidR="00046809" w:rsidRPr="004B3DFF">
        <w:rPr>
          <w:rFonts w:cs="Times New Roman"/>
          <w:b w:val="0"/>
          <w:szCs w:val="24"/>
        </w:rPr>
        <w:t xml:space="preserve">. Without timeliness of </w:t>
      </w:r>
      <w:r w:rsidR="005A770A" w:rsidRPr="004B3DFF">
        <w:rPr>
          <w:rFonts w:cs="Times New Roman"/>
          <w:b w:val="0"/>
          <w:szCs w:val="24"/>
        </w:rPr>
        <w:t>accreditation</w:t>
      </w:r>
      <w:r w:rsidR="00046809" w:rsidRPr="004B3DFF">
        <w:rPr>
          <w:rFonts w:cs="Times New Roman"/>
          <w:b w:val="0"/>
          <w:szCs w:val="24"/>
        </w:rPr>
        <w:t xml:space="preserve">, </w:t>
      </w:r>
      <w:r w:rsidR="00E03B27" w:rsidRPr="004B3DFF">
        <w:rPr>
          <w:rFonts w:cs="Times New Roman"/>
          <w:b w:val="0"/>
          <w:szCs w:val="24"/>
        </w:rPr>
        <w:t>learners</w:t>
      </w:r>
      <w:r w:rsidR="00046809" w:rsidRPr="004B3DFF">
        <w:rPr>
          <w:rFonts w:cs="Times New Roman"/>
          <w:b w:val="0"/>
          <w:szCs w:val="24"/>
        </w:rPr>
        <w:t xml:space="preserve"> would not have the opportunity to take the educational activities they need to earn </w:t>
      </w:r>
      <w:r w:rsidR="00A615D3" w:rsidRPr="004B3DFF">
        <w:rPr>
          <w:rFonts w:cs="Times New Roman"/>
          <w:b w:val="0"/>
          <w:szCs w:val="24"/>
        </w:rPr>
        <w:t xml:space="preserve">free </w:t>
      </w:r>
      <w:r w:rsidR="00DA25DC" w:rsidRPr="004B3DFF">
        <w:rPr>
          <w:rFonts w:cs="Times New Roman"/>
          <w:b w:val="0"/>
          <w:szCs w:val="24"/>
        </w:rPr>
        <w:t>CE</w:t>
      </w:r>
      <w:r w:rsidR="00046809" w:rsidRPr="004B3DFF">
        <w:rPr>
          <w:rFonts w:cs="Times New Roman"/>
          <w:b w:val="0"/>
          <w:szCs w:val="24"/>
        </w:rPr>
        <w:t xml:space="preserve">, and they risk losing professional </w:t>
      </w:r>
      <w:r w:rsidR="00CA75AE" w:rsidRPr="004B3DFF">
        <w:rPr>
          <w:rFonts w:cs="Times New Roman"/>
          <w:b w:val="0"/>
          <w:szCs w:val="24"/>
        </w:rPr>
        <w:t>licensures</w:t>
      </w:r>
      <w:r w:rsidR="00046809" w:rsidRPr="004B3DFF">
        <w:rPr>
          <w:rFonts w:cs="Times New Roman"/>
          <w:b w:val="0"/>
          <w:szCs w:val="24"/>
        </w:rPr>
        <w:t xml:space="preserve"> and certifications. </w:t>
      </w:r>
      <w:r w:rsidR="00453FA1" w:rsidRPr="004B3DFF">
        <w:rPr>
          <w:rFonts w:cs="Times New Roman"/>
          <w:b w:val="0"/>
          <w:szCs w:val="24"/>
        </w:rPr>
        <w:t xml:space="preserve">The timeliness of data collected </w:t>
      </w:r>
      <w:r w:rsidR="00046809" w:rsidRPr="004B3DFF">
        <w:rPr>
          <w:rFonts w:cs="Times New Roman"/>
          <w:b w:val="0"/>
          <w:szCs w:val="24"/>
        </w:rPr>
        <w:t>by</w:t>
      </w:r>
      <w:r w:rsidR="00453FA1" w:rsidRPr="004B3DFF">
        <w:rPr>
          <w:rFonts w:cs="Times New Roman"/>
          <w:b w:val="0"/>
          <w:szCs w:val="24"/>
        </w:rPr>
        <w:t xml:space="preserve"> the </w:t>
      </w:r>
      <w:r w:rsidR="0067666F" w:rsidRPr="004B3DFF">
        <w:rPr>
          <w:rFonts w:cs="Times New Roman"/>
          <w:b w:val="0"/>
          <w:szCs w:val="24"/>
        </w:rPr>
        <w:t>TCEO N</w:t>
      </w:r>
      <w:r w:rsidR="00046809" w:rsidRPr="004B3DFF">
        <w:rPr>
          <w:rFonts w:cs="Times New Roman"/>
          <w:b w:val="0"/>
          <w:szCs w:val="24"/>
        </w:rPr>
        <w:t xml:space="preserve">ew </w:t>
      </w:r>
      <w:r w:rsidR="0067666F" w:rsidRPr="004B3DFF">
        <w:rPr>
          <w:rFonts w:cs="Times New Roman"/>
          <w:b w:val="0"/>
          <w:szCs w:val="24"/>
        </w:rPr>
        <w:t>P</w:t>
      </w:r>
      <w:r w:rsidR="00046809" w:rsidRPr="004B3DFF">
        <w:rPr>
          <w:rFonts w:cs="Times New Roman"/>
          <w:b w:val="0"/>
          <w:szCs w:val="24"/>
        </w:rPr>
        <w:t xml:space="preserve">articipant </w:t>
      </w:r>
      <w:r w:rsidR="0067666F" w:rsidRPr="004B3DFF">
        <w:rPr>
          <w:rFonts w:cs="Times New Roman"/>
          <w:b w:val="0"/>
          <w:szCs w:val="24"/>
        </w:rPr>
        <w:t>R</w:t>
      </w:r>
      <w:r w:rsidR="00662C2D" w:rsidRPr="004B3DFF">
        <w:rPr>
          <w:rFonts w:cs="Times New Roman"/>
          <w:b w:val="0"/>
          <w:szCs w:val="24"/>
        </w:rPr>
        <w:t>egistration</w:t>
      </w:r>
      <w:r w:rsidR="00046809" w:rsidRPr="004B3DFF">
        <w:rPr>
          <w:rFonts w:cs="Times New Roman"/>
          <w:b w:val="0"/>
          <w:szCs w:val="24"/>
        </w:rPr>
        <w:t xml:space="preserve"> </w:t>
      </w:r>
      <w:r w:rsidR="005A5B63" w:rsidRPr="005A5B63">
        <w:rPr>
          <w:rFonts w:cs="Times New Roman"/>
          <w:b w:val="0"/>
          <w:szCs w:val="24"/>
        </w:rPr>
        <w:t xml:space="preserve">(Attachment </w:t>
      </w:r>
      <w:r w:rsidR="00E50697">
        <w:rPr>
          <w:rFonts w:cs="Times New Roman"/>
          <w:b w:val="0"/>
          <w:szCs w:val="24"/>
        </w:rPr>
        <w:t>4</w:t>
      </w:r>
      <w:r w:rsidR="005A5B63" w:rsidRPr="005A5B63">
        <w:rPr>
          <w:rFonts w:cs="Times New Roman"/>
          <w:b w:val="0"/>
          <w:szCs w:val="24"/>
        </w:rPr>
        <w:t>)</w:t>
      </w:r>
      <w:r w:rsidR="005A5B63" w:rsidRPr="004B3DFF">
        <w:rPr>
          <w:rFonts w:cs="Times New Roman"/>
          <w:b w:val="0"/>
          <w:szCs w:val="24"/>
        </w:rPr>
        <w:t xml:space="preserve"> </w:t>
      </w:r>
      <w:r w:rsidR="005F47F2" w:rsidRPr="004B3DFF">
        <w:rPr>
          <w:rFonts w:cs="Times New Roman"/>
          <w:b w:val="0"/>
          <w:szCs w:val="24"/>
        </w:rPr>
        <w:t xml:space="preserve">is </w:t>
      </w:r>
      <w:r w:rsidR="00C85A7A" w:rsidRPr="004B3DFF">
        <w:rPr>
          <w:rFonts w:cs="Times New Roman"/>
          <w:b w:val="0"/>
          <w:szCs w:val="24"/>
        </w:rPr>
        <w:t>crucial</w:t>
      </w:r>
      <w:r w:rsidR="005F47F2" w:rsidRPr="004B3DFF">
        <w:rPr>
          <w:rFonts w:cs="Times New Roman"/>
          <w:b w:val="0"/>
          <w:szCs w:val="24"/>
        </w:rPr>
        <w:t xml:space="preserve"> for a registrant </w:t>
      </w:r>
      <w:r w:rsidR="00AB5739" w:rsidRPr="004B3DFF">
        <w:rPr>
          <w:rFonts w:cs="Times New Roman"/>
          <w:b w:val="0"/>
          <w:szCs w:val="24"/>
        </w:rPr>
        <w:t>to</w:t>
      </w:r>
      <w:r w:rsidR="0067666F" w:rsidRPr="004B3DFF">
        <w:rPr>
          <w:rFonts w:cs="Times New Roman"/>
          <w:b w:val="0"/>
          <w:szCs w:val="24"/>
        </w:rPr>
        <w:t xml:space="preserve"> </w:t>
      </w:r>
      <w:r w:rsidR="00046809" w:rsidRPr="004B3DFF">
        <w:rPr>
          <w:rFonts w:cs="Times New Roman"/>
          <w:b w:val="0"/>
          <w:szCs w:val="24"/>
        </w:rPr>
        <w:t>earn</w:t>
      </w:r>
      <w:r w:rsidR="00453FA1" w:rsidRPr="004B3DFF">
        <w:rPr>
          <w:rFonts w:cs="Times New Roman"/>
          <w:b w:val="0"/>
          <w:szCs w:val="24"/>
        </w:rPr>
        <w:t xml:space="preserve"> </w:t>
      </w:r>
      <w:r w:rsidR="00A615D3" w:rsidRPr="004B3DFF">
        <w:rPr>
          <w:rFonts w:cs="Times New Roman"/>
          <w:b w:val="0"/>
          <w:szCs w:val="24"/>
        </w:rPr>
        <w:t xml:space="preserve">the free </w:t>
      </w:r>
      <w:r w:rsidR="00B21D02" w:rsidRPr="004B3DFF">
        <w:rPr>
          <w:rFonts w:cs="Times New Roman"/>
          <w:b w:val="0"/>
          <w:szCs w:val="24"/>
        </w:rPr>
        <w:t xml:space="preserve">CE </w:t>
      </w:r>
      <w:r w:rsidRPr="004B3DFF">
        <w:rPr>
          <w:rFonts w:cs="Times New Roman"/>
          <w:b w:val="0"/>
          <w:szCs w:val="24"/>
        </w:rPr>
        <w:t>required to</w:t>
      </w:r>
      <w:r w:rsidR="00257B83" w:rsidRPr="004B3DFF">
        <w:rPr>
          <w:rFonts w:cs="Times New Roman"/>
          <w:b w:val="0"/>
          <w:szCs w:val="24"/>
        </w:rPr>
        <w:t xml:space="preserve"> maintain </w:t>
      </w:r>
      <w:r w:rsidR="00E03B27" w:rsidRPr="004B3DFF">
        <w:rPr>
          <w:rFonts w:cs="Times New Roman"/>
          <w:b w:val="0"/>
          <w:szCs w:val="24"/>
        </w:rPr>
        <w:t>professional</w:t>
      </w:r>
      <w:r w:rsidRPr="004B3DFF">
        <w:rPr>
          <w:rFonts w:cs="Times New Roman"/>
          <w:b w:val="0"/>
          <w:szCs w:val="24"/>
        </w:rPr>
        <w:t xml:space="preserve"> </w:t>
      </w:r>
      <w:r w:rsidR="000F43AC" w:rsidRPr="004B3DFF">
        <w:rPr>
          <w:rFonts w:cs="Times New Roman"/>
          <w:b w:val="0"/>
          <w:szCs w:val="24"/>
        </w:rPr>
        <w:t>licens</w:t>
      </w:r>
      <w:r w:rsidR="0067666F" w:rsidRPr="004B3DFF">
        <w:rPr>
          <w:rFonts w:cs="Times New Roman"/>
          <w:b w:val="0"/>
          <w:szCs w:val="24"/>
        </w:rPr>
        <w:t>ures</w:t>
      </w:r>
      <w:r w:rsidR="000F43AC" w:rsidRPr="004B3DFF">
        <w:rPr>
          <w:rFonts w:cs="Times New Roman"/>
          <w:b w:val="0"/>
          <w:szCs w:val="24"/>
        </w:rPr>
        <w:t xml:space="preserve"> and certifications.</w:t>
      </w:r>
      <w:r w:rsidR="00C85A7A" w:rsidRPr="004B3DFF">
        <w:rPr>
          <w:rFonts w:cs="Times New Roman"/>
          <w:b w:val="0"/>
          <w:szCs w:val="24"/>
        </w:rPr>
        <w:t xml:space="preserve"> </w:t>
      </w:r>
      <w:r w:rsidR="00003441" w:rsidRPr="004B3DFF">
        <w:rPr>
          <w:rFonts w:cs="Times New Roman"/>
          <w:b w:val="0"/>
          <w:szCs w:val="24"/>
        </w:rPr>
        <w:t>The timeliness of data collected from</w:t>
      </w:r>
      <w:r w:rsidR="00200B7F" w:rsidRPr="004B3DFF">
        <w:rPr>
          <w:rFonts w:cs="Times New Roman"/>
          <w:b w:val="0"/>
          <w:szCs w:val="24"/>
        </w:rPr>
        <w:t xml:space="preserve"> </w:t>
      </w:r>
      <w:r w:rsidR="0067666F" w:rsidRPr="004B3DFF">
        <w:rPr>
          <w:rFonts w:cs="Times New Roman"/>
          <w:b w:val="0"/>
          <w:szCs w:val="24"/>
        </w:rPr>
        <w:t>TCEO Post-</w:t>
      </w:r>
      <w:r w:rsidR="0002294D" w:rsidRPr="004B3DFF">
        <w:rPr>
          <w:rFonts w:cs="Times New Roman"/>
          <w:b w:val="0"/>
          <w:szCs w:val="24"/>
        </w:rPr>
        <w:t>C</w:t>
      </w:r>
      <w:r w:rsidR="0067666F" w:rsidRPr="004B3DFF">
        <w:rPr>
          <w:rFonts w:cs="Times New Roman"/>
          <w:b w:val="0"/>
          <w:szCs w:val="24"/>
        </w:rPr>
        <w:t>ourse Evaluation</w:t>
      </w:r>
      <w:r w:rsidR="00003441" w:rsidRPr="004B3DFF">
        <w:rPr>
          <w:rFonts w:cs="Times New Roman"/>
          <w:b w:val="0"/>
          <w:szCs w:val="24"/>
        </w:rPr>
        <w:t xml:space="preserve"> will result in timely award</w:t>
      </w:r>
      <w:r w:rsidR="00200B7F" w:rsidRPr="004B3DFF">
        <w:rPr>
          <w:rFonts w:cs="Times New Roman"/>
          <w:b w:val="0"/>
          <w:szCs w:val="24"/>
        </w:rPr>
        <w:t xml:space="preserve"> of </w:t>
      </w:r>
      <w:r w:rsidR="00046809" w:rsidRPr="004B3DFF">
        <w:rPr>
          <w:rFonts w:cs="Times New Roman"/>
          <w:b w:val="0"/>
          <w:szCs w:val="24"/>
        </w:rPr>
        <w:t xml:space="preserve">earned </w:t>
      </w:r>
      <w:r w:rsidR="00DA25DC" w:rsidRPr="004B3DFF">
        <w:rPr>
          <w:rFonts w:cs="Times New Roman"/>
          <w:b w:val="0"/>
          <w:szCs w:val="24"/>
        </w:rPr>
        <w:t>CE</w:t>
      </w:r>
      <w:r w:rsidR="009D48E7" w:rsidRPr="004B3DFF">
        <w:rPr>
          <w:rFonts w:cs="Times New Roman"/>
          <w:b w:val="0"/>
          <w:szCs w:val="24"/>
        </w:rPr>
        <w:t xml:space="preserve">; health professionals </w:t>
      </w:r>
      <w:r w:rsidR="00200B7F" w:rsidRPr="004B3DFF">
        <w:rPr>
          <w:rFonts w:cs="Times New Roman"/>
          <w:b w:val="0"/>
          <w:szCs w:val="24"/>
        </w:rPr>
        <w:t xml:space="preserve">will not receive </w:t>
      </w:r>
      <w:r w:rsidR="00B21D02" w:rsidRPr="004B3DFF">
        <w:rPr>
          <w:rFonts w:cs="Times New Roman"/>
          <w:b w:val="0"/>
          <w:szCs w:val="24"/>
        </w:rPr>
        <w:t xml:space="preserve">CE </w:t>
      </w:r>
      <w:r w:rsidR="00F736E0" w:rsidRPr="004B3DFF">
        <w:rPr>
          <w:rFonts w:cs="Times New Roman"/>
          <w:b w:val="0"/>
          <w:szCs w:val="24"/>
        </w:rPr>
        <w:t>until</w:t>
      </w:r>
      <w:r w:rsidR="00200B7F" w:rsidRPr="004B3DFF">
        <w:rPr>
          <w:rFonts w:cs="Times New Roman"/>
          <w:b w:val="0"/>
          <w:szCs w:val="24"/>
        </w:rPr>
        <w:t xml:space="preserve"> </w:t>
      </w:r>
      <w:r w:rsidR="009D48E7" w:rsidRPr="004B3DFF">
        <w:rPr>
          <w:rFonts w:cs="Times New Roman"/>
          <w:b w:val="0"/>
          <w:szCs w:val="24"/>
        </w:rPr>
        <w:t xml:space="preserve">after </w:t>
      </w:r>
      <w:r w:rsidR="00200B7F" w:rsidRPr="004B3DFF">
        <w:rPr>
          <w:rFonts w:cs="Times New Roman"/>
          <w:b w:val="0"/>
          <w:szCs w:val="24"/>
        </w:rPr>
        <w:t>they complete the TCEO Post-</w:t>
      </w:r>
      <w:r w:rsidR="00C85A7A" w:rsidRPr="004B3DFF">
        <w:rPr>
          <w:rFonts w:cs="Times New Roman"/>
          <w:b w:val="0"/>
          <w:szCs w:val="24"/>
        </w:rPr>
        <w:t>C</w:t>
      </w:r>
      <w:r w:rsidR="00200B7F" w:rsidRPr="004B3DFF">
        <w:rPr>
          <w:rFonts w:cs="Times New Roman"/>
          <w:b w:val="0"/>
          <w:szCs w:val="24"/>
        </w:rPr>
        <w:t xml:space="preserve">ourse </w:t>
      </w:r>
      <w:r w:rsidR="00046809" w:rsidRPr="004B3DFF">
        <w:rPr>
          <w:rFonts w:cs="Times New Roman"/>
          <w:b w:val="0"/>
          <w:szCs w:val="24"/>
        </w:rPr>
        <w:t>E</w:t>
      </w:r>
      <w:r w:rsidR="0067666F" w:rsidRPr="004B3DFF">
        <w:rPr>
          <w:rFonts w:cs="Times New Roman"/>
          <w:b w:val="0"/>
          <w:szCs w:val="24"/>
        </w:rPr>
        <w:t>valuation</w:t>
      </w:r>
      <w:r w:rsidR="005A5B63">
        <w:rPr>
          <w:rFonts w:cs="Times New Roman"/>
          <w:b w:val="0"/>
          <w:szCs w:val="24"/>
        </w:rPr>
        <w:t xml:space="preserve"> </w:t>
      </w:r>
      <w:r w:rsidR="005A5B63" w:rsidRPr="005A5B63">
        <w:rPr>
          <w:rFonts w:cs="Times New Roman"/>
          <w:b w:val="0"/>
          <w:szCs w:val="24"/>
        </w:rPr>
        <w:t xml:space="preserve">(Attachment </w:t>
      </w:r>
      <w:r w:rsidR="00E50697">
        <w:rPr>
          <w:rFonts w:cs="Times New Roman"/>
          <w:b w:val="0"/>
          <w:szCs w:val="24"/>
        </w:rPr>
        <w:t>5</w:t>
      </w:r>
      <w:r w:rsidR="005A5B63" w:rsidRPr="005A5B63">
        <w:rPr>
          <w:rFonts w:cs="Times New Roman"/>
          <w:b w:val="0"/>
          <w:szCs w:val="24"/>
        </w:rPr>
        <w:t>)</w:t>
      </w:r>
      <w:r w:rsidR="00003441" w:rsidRPr="004B3DFF">
        <w:rPr>
          <w:rFonts w:cs="Times New Roman"/>
          <w:b w:val="0"/>
          <w:szCs w:val="24"/>
        </w:rPr>
        <w:t xml:space="preserve">. </w:t>
      </w:r>
      <w:r w:rsidR="007D3957" w:rsidRPr="004B3DFF">
        <w:rPr>
          <w:rFonts w:cs="Times New Roman"/>
          <w:b w:val="0"/>
          <w:szCs w:val="24"/>
        </w:rPr>
        <w:t>The timeliness of data collected from the TCEO Follow-up Evaluation</w:t>
      </w:r>
      <w:r w:rsidR="00607FE7" w:rsidRPr="004B3DFF">
        <w:rPr>
          <w:rFonts w:cs="Times New Roman"/>
          <w:b w:val="0"/>
          <w:szCs w:val="24"/>
        </w:rPr>
        <w:t xml:space="preserve"> </w:t>
      </w:r>
      <w:r w:rsidR="005A5B63" w:rsidRPr="005A5B63">
        <w:rPr>
          <w:rFonts w:cs="Times New Roman"/>
          <w:b w:val="0"/>
          <w:szCs w:val="24"/>
        </w:rPr>
        <w:t xml:space="preserve">(Attachment </w:t>
      </w:r>
      <w:r w:rsidR="00E50697">
        <w:rPr>
          <w:rFonts w:cs="Times New Roman"/>
          <w:b w:val="0"/>
          <w:szCs w:val="24"/>
        </w:rPr>
        <w:t>6</w:t>
      </w:r>
      <w:r w:rsidR="005A5B63" w:rsidRPr="005A5B63">
        <w:rPr>
          <w:rFonts w:cs="Times New Roman"/>
          <w:b w:val="0"/>
          <w:szCs w:val="24"/>
        </w:rPr>
        <w:t>)</w:t>
      </w:r>
      <w:r w:rsidR="005A5B63" w:rsidRPr="004B3DFF">
        <w:rPr>
          <w:rFonts w:cs="Times New Roman"/>
          <w:b w:val="0"/>
          <w:szCs w:val="24"/>
        </w:rPr>
        <w:t xml:space="preserve"> </w:t>
      </w:r>
      <w:r w:rsidR="00003441" w:rsidRPr="004B3DFF">
        <w:rPr>
          <w:rFonts w:cs="Times New Roman"/>
          <w:b w:val="0"/>
          <w:szCs w:val="24"/>
        </w:rPr>
        <w:t xml:space="preserve">will result in timely improvements to </w:t>
      </w:r>
      <w:r w:rsidR="00046809" w:rsidRPr="004B3DFF">
        <w:rPr>
          <w:rFonts w:cs="Times New Roman"/>
          <w:b w:val="0"/>
          <w:szCs w:val="24"/>
        </w:rPr>
        <w:t>educational activities</w:t>
      </w:r>
      <w:r w:rsidR="00003441" w:rsidRPr="004B3DFF">
        <w:rPr>
          <w:rFonts w:cs="Times New Roman"/>
          <w:b w:val="0"/>
          <w:szCs w:val="24"/>
        </w:rPr>
        <w:t xml:space="preserve"> taken by</w:t>
      </w:r>
      <w:r w:rsidR="00E03B27" w:rsidRPr="004B3DFF">
        <w:rPr>
          <w:rFonts w:cs="Times New Roman"/>
          <w:b w:val="0"/>
          <w:szCs w:val="24"/>
        </w:rPr>
        <w:t xml:space="preserve"> learners </w:t>
      </w:r>
      <w:r w:rsidR="00200B7F" w:rsidRPr="004B3DFF">
        <w:rPr>
          <w:rFonts w:cs="Times New Roman"/>
          <w:b w:val="0"/>
          <w:szCs w:val="24"/>
        </w:rPr>
        <w:t xml:space="preserve">to </w:t>
      </w:r>
      <w:r w:rsidR="00C57539" w:rsidRPr="004B3DFF">
        <w:rPr>
          <w:rFonts w:cs="Times New Roman"/>
          <w:b w:val="0"/>
          <w:szCs w:val="24"/>
        </w:rPr>
        <w:t xml:space="preserve">improve their knowledge and skills and </w:t>
      </w:r>
      <w:r w:rsidR="00046809" w:rsidRPr="004B3DFF">
        <w:rPr>
          <w:rFonts w:cs="Times New Roman"/>
          <w:b w:val="0"/>
          <w:szCs w:val="24"/>
        </w:rPr>
        <w:t>earn</w:t>
      </w:r>
      <w:r w:rsidR="00200B7F" w:rsidRPr="004B3DFF">
        <w:rPr>
          <w:rFonts w:cs="Times New Roman"/>
          <w:b w:val="0"/>
          <w:szCs w:val="24"/>
        </w:rPr>
        <w:t xml:space="preserve"> </w:t>
      </w:r>
      <w:r w:rsidR="006A3A03" w:rsidRPr="004B3DFF">
        <w:rPr>
          <w:rFonts w:cs="Times New Roman"/>
          <w:b w:val="0"/>
          <w:szCs w:val="24"/>
        </w:rPr>
        <w:t>CE</w:t>
      </w:r>
      <w:r w:rsidR="00003441" w:rsidRPr="004B3DFF">
        <w:rPr>
          <w:rFonts w:cs="Times New Roman"/>
          <w:b w:val="0"/>
          <w:szCs w:val="24"/>
        </w:rPr>
        <w:t>.</w:t>
      </w:r>
      <w:r w:rsidR="00662C2D" w:rsidRPr="004B3DFF">
        <w:rPr>
          <w:rFonts w:cs="Times New Roman"/>
          <w:b w:val="0"/>
          <w:szCs w:val="24"/>
        </w:rPr>
        <w:t xml:space="preserve"> </w:t>
      </w:r>
      <w:bookmarkStart w:id="232" w:name="_Toc522700950"/>
    </w:p>
    <w:p w14:paraId="444C78D1" w14:textId="77777777" w:rsidR="005B1062" w:rsidRDefault="005B1062" w:rsidP="00C42381">
      <w:pPr>
        <w:pStyle w:val="Heading1"/>
        <w:numPr>
          <w:ilvl w:val="0"/>
          <w:numId w:val="8"/>
        </w:numPr>
        <w:spacing w:line="240" w:lineRule="auto"/>
        <w:ind w:left="630" w:hanging="270"/>
      </w:pPr>
      <w:bookmarkStart w:id="233" w:name="_Toc522700951"/>
      <w:bookmarkEnd w:id="232"/>
      <w:r>
        <w:t>Special Circumstances Relating to the Guidelines of CFR 1320.5</w:t>
      </w:r>
    </w:p>
    <w:p w14:paraId="44C3D1C7" w14:textId="77777777" w:rsidR="005B1062" w:rsidRDefault="005B1062" w:rsidP="005B1062"/>
    <w:p w14:paraId="27538FB1" w14:textId="77777777" w:rsidR="005B1062" w:rsidRPr="00AA5493" w:rsidRDefault="005B1062" w:rsidP="005B1062">
      <w:pPr>
        <w:rPr>
          <w:rFonts w:ascii="Times New Roman" w:hAnsi="Times New Roman" w:cs="Times New Roman"/>
          <w:sz w:val="24"/>
        </w:rPr>
      </w:pPr>
      <w:r w:rsidRPr="00AA5493">
        <w:rPr>
          <w:rFonts w:ascii="Times New Roman" w:hAnsi="Times New Roman" w:cs="Times New Roman"/>
          <w:sz w:val="24"/>
        </w:rPr>
        <w:t>This request fully complies with the regulation 5 CFR 1320.5.</w:t>
      </w:r>
    </w:p>
    <w:p w14:paraId="4BBC4F51" w14:textId="77777777" w:rsidR="00AF5199" w:rsidRPr="00C156CA" w:rsidRDefault="00AF5199" w:rsidP="00C42381">
      <w:pPr>
        <w:pStyle w:val="Heading1"/>
        <w:numPr>
          <w:ilvl w:val="0"/>
          <w:numId w:val="8"/>
        </w:numPr>
        <w:spacing w:line="240" w:lineRule="auto"/>
        <w:ind w:left="630" w:hanging="270"/>
      </w:pPr>
      <w:r w:rsidRPr="00E50431">
        <w:t xml:space="preserve">Comments in Response to the Federal Register Notice </w:t>
      </w:r>
      <w:r w:rsidR="006D1C44" w:rsidRPr="00C82436">
        <w:t xml:space="preserve">and Efforts </w:t>
      </w:r>
      <w:r w:rsidRPr="00C82436">
        <w:t>to Consult Outside the Agency</w:t>
      </w:r>
      <w:bookmarkEnd w:id="233"/>
    </w:p>
    <w:p w14:paraId="123BC459" w14:textId="77777777" w:rsidR="00EE58D8" w:rsidRPr="00EE58D8" w:rsidRDefault="00EE58D8" w:rsidP="00EE58D8">
      <w:pPr>
        <w:pStyle w:val="ListParagraph"/>
        <w:spacing w:line="240" w:lineRule="auto"/>
        <w:ind w:left="360"/>
      </w:pPr>
    </w:p>
    <w:p w14:paraId="19E84FB8" w14:textId="026B3EA3" w:rsidR="00987C3A" w:rsidRPr="002C4950" w:rsidRDefault="00AB10E0" w:rsidP="00971D29">
      <w:pPr>
        <w:pStyle w:val="ListParagraph"/>
        <w:numPr>
          <w:ilvl w:val="0"/>
          <w:numId w:val="2"/>
        </w:numPr>
        <w:spacing w:line="240" w:lineRule="auto"/>
      </w:pPr>
      <w:r>
        <w:rPr>
          <w:rFonts w:ascii="Times New Roman" w:hAnsi="Times New Roman" w:cs="Times New Roman"/>
          <w:sz w:val="24"/>
          <w:szCs w:val="24"/>
        </w:rPr>
        <w:t xml:space="preserve">The agency’s </w:t>
      </w:r>
      <w:r w:rsidR="003C63AE">
        <w:rPr>
          <w:rFonts w:ascii="Times New Roman" w:hAnsi="Times New Roman" w:cs="Times New Roman"/>
          <w:sz w:val="24"/>
          <w:szCs w:val="24"/>
        </w:rPr>
        <w:t xml:space="preserve">first </w:t>
      </w:r>
      <w:r>
        <w:rPr>
          <w:rFonts w:ascii="Times New Roman" w:hAnsi="Times New Roman" w:cs="Times New Roman"/>
          <w:sz w:val="24"/>
          <w:szCs w:val="24"/>
        </w:rPr>
        <w:t xml:space="preserve">notice of proposed revision to the existing data collection was published in the </w:t>
      </w:r>
      <w:r w:rsidR="00431E45">
        <w:rPr>
          <w:rFonts w:ascii="Times New Roman" w:hAnsi="Times New Roman" w:cs="Times New Roman"/>
          <w:sz w:val="24"/>
          <w:szCs w:val="24"/>
        </w:rPr>
        <w:t>F</w:t>
      </w:r>
      <w:r w:rsidR="00962832">
        <w:rPr>
          <w:rFonts w:ascii="Times New Roman" w:hAnsi="Times New Roman" w:cs="Times New Roman"/>
          <w:sz w:val="24"/>
          <w:szCs w:val="24"/>
        </w:rPr>
        <w:t xml:space="preserve">ederal Register </w:t>
      </w:r>
      <w:r w:rsidR="00962832" w:rsidRPr="00AA1DA7">
        <w:rPr>
          <w:rFonts w:ascii="Times New Roman" w:hAnsi="Times New Roman" w:cs="Times New Roman"/>
          <w:sz w:val="24"/>
          <w:szCs w:val="24"/>
        </w:rPr>
        <w:t xml:space="preserve">on </w:t>
      </w:r>
      <w:r w:rsidR="00AA1DA7" w:rsidRPr="00AA1DA7">
        <w:rPr>
          <w:rFonts w:ascii="Times New Roman" w:hAnsi="Times New Roman" w:cs="Times New Roman"/>
          <w:sz w:val="24"/>
          <w:szCs w:val="24"/>
        </w:rPr>
        <w:t xml:space="preserve">December 10, </w:t>
      </w:r>
      <w:r w:rsidR="00962832" w:rsidRPr="00AA1DA7">
        <w:rPr>
          <w:rFonts w:ascii="Times New Roman" w:hAnsi="Times New Roman" w:cs="Times New Roman"/>
          <w:sz w:val="24"/>
          <w:szCs w:val="24"/>
        </w:rPr>
        <w:t xml:space="preserve">2018 (Vol </w:t>
      </w:r>
      <w:r w:rsidR="00AA1DA7" w:rsidRPr="00AA1DA7">
        <w:rPr>
          <w:rFonts w:ascii="Times New Roman" w:hAnsi="Times New Roman" w:cs="Times New Roman"/>
          <w:sz w:val="24"/>
          <w:szCs w:val="24"/>
        </w:rPr>
        <w:t>83</w:t>
      </w:r>
      <w:r w:rsidR="00962832" w:rsidRPr="00AA1DA7">
        <w:rPr>
          <w:rFonts w:ascii="Times New Roman" w:hAnsi="Times New Roman" w:cs="Times New Roman"/>
          <w:sz w:val="24"/>
          <w:szCs w:val="24"/>
        </w:rPr>
        <w:t xml:space="preserve">, No. </w:t>
      </w:r>
      <w:r w:rsidR="00AA1DA7" w:rsidRPr="00AA1DA7">
        <w:rPr>
          <w:rFonts w:ascii="Times New Roman" w:hAnsi="Times New Roman" w:cs="Times New Roman"/>
          <w:sz w:val="24"/>
          <w:szCs w:val="24"/>
        </w:rPr>
        <w:t>236</w:t>
      </w:r>
      <w:r w:rsidR="00962832" w:rsidRPr="00AA1DA7">
        <w:rPr>
          <w:rFonts w:ascii="Times New Roman" w:hAnsi="Times New Roman" w:cs="Times New Roman"/>
          <w:sz w:val="24"/>
          <w:szCs w:val="24"/>
        </w:rPr>
        <w:t xml:space="preserve">, pp </w:t>
      </w:r>
      <w:r w:rsidR="00AA1DA7" w:rsidRPr="00AA1DA7">
        <w:rPr>
          <w:rFonts w:ascii="Times New Roman" w:hAnsi="Times New Roman" w:cs="Times New Roman"/>
          <w:sz w:val="24"/>
          <w:szCs w:val="24"/>
        </w:rPr>
        <w:t xml:space="preserve">63513-63515) </w:t>
      </w:r>
      <w:r w:rsidR="00C32973" w:rsidRPr="00AA1DA7">
        <w:rPr>
          <w:rFonts w:ascii="Times New Roman" w:hAnsi="Times New Roman" w:cs="Times New Roman"/>
          <w:sz w:val="24"/>
          <w:szCs w:val="24"/>
        </w:rPr>
        <w:t xml:space="preserve">(See </w:t>
      </w:r>
      <w:r w:rsidR="00C32973" w:rsidRPr="00AA1DA7">
        <w:rPr>
          <w:rFonts w:ascii="Times New Roman" w:hAnsi="Times New Roman" w:cs="Times New Roman"/>
          <w:sz w:val="24"/>
        </w:rPr>
        <w:t>Attachm</w:t>
      </w:r>
      <w:r w:rsidR="00E50697">
        <w:rPr>
          <w:rFonts w:ascii="Times New Roman" w:hAnsi="Times New Roman" w:cs="Times New Roman"/>
          <w:sz w:val="24"/>
        </w:rPr>
        <w:t>ent 2</w:t>
      </w:r>
      <w:r w:rsidR="00CA4C98">
        <w:rPr>
          <w:rFonts w:ascii="Times New Roman" w:hAnsi="Times New Roman" w:cs="Times New Roman"/>
          <w:sz w:val="24"/>
        </w:rPr>
        <w:t xml:space="preserve">. Published 60-day FRN). </w:t>
      </w:r>
      <w:r w:rsidR="00742B3C">
        <w:rPr>
          <w:rFonts w:ascii="Times New Roman" w:hAnsi="Times New Roman" w:cs="Times New Roman"/>
          <w:sz w:val="24"/>
          <w:szCs w:val="24"/>
        </w:rPr>
        <w:t>CDC did not receive</w:t>
      </w:r>
      <w:r w:rsidR="00D028C9">
        <w:rPr>
          <w:rFonts w:ascii="Times New Roman" w:hAnsi="Times New Roman" w:cs="Times New Roman"/>
          <w:sz w:val="24"/>
          <w:szCs w:val="24"/>
        </w:rPr>
        <w:t xml:space="preserve"> comments</w:t>
      </w:r>
      <w:r w:rsidR="004140AF" w:rsidRPr="00AA1DA7">
        <w:rPr>
          <w:rFonts w:ascii="Times New Roman" w:hAnsi="Times New Roman" w:cs="Times New Roman"/>
          <w:sz w:val="24"/>
          <w:szCs w:val="24"/>
        </w:rPr>
        <w:t xml:space="preserve"> </w:t>
      </w:r>
      <w:r w:rsidR="00742B3C">
        <w:rPr>
          <w:rFonts w:ascii="Times New Roman" w:hAnsi="Times New Roman" w:cs="Times New Roman"/>
          <w:sz w:val="24"/>
          <w:szCs w:val="24"/>
        </w:rPr>
        <w:t>in response to this</w:t>
      </w:r>
      <w:r w:rsidR="004140AF" w:rsidRPr="0089272C">
        <w:rPr>
          <w:rFonts w:ascii="Times New Roman" w:hAnsi="Times New Roman" w:cs="Times New Roman"/>
          <w:sz w:val="24"/>
          <w:szCs w:val="24"/>
        </w:rPr>
        <w:t xml:space="preserve"> notice</w:t>
      </w:r>
      <w:r w:rsidR="00D028C9">
        <w:rPr>
          <w:rFonts w:ascii="Times New Roman" w:hAnsi="Times New Roman" w:cs="Times New Roman"/>
          <w:sz w:val="24"/>
          <w:szCs w:val="24"/>
        </w:rPr>
        <w:t>.</w:t>
      </w:r>
      <w:r w:rsidR="00CA1884">
        <w:rPr>
          <w:rFonts w:ascii="Times New Roman" w:hAnsi="Times New Roman" w:cs="Times New Roman"/>
          <w:sz w:val="24"/>
          <w:szCs w:val="24"/>
        </w:rPr>
        <w:t xml:space="preserve"> </w:t>
      </w:r>
    </w:p>
    <w:p w14:paraId="004700F7" w14:textId="161E5C1C" w:rsidR="00CA1884" w:rsidRPr="00806A8B" w:rsidRDefault="00967780" w:rsidP="00971D29">
      <w:pPr>
        <w:pStyle w:val="ListParagraph"/>
        <w:numPr>
          <w:ilvl w:val="0"/>
          <w:numId w:val="2"/>
        </w:numPr>
        <w:spacing w:line="240" w:lineRule="auto"/>
      </w:pPr>
      <w:r>
        <w:rPr>
          <w:rFonts w:ascii="Times New Roman" w:hAnsi="Times New Roman" w:cs="Times New Roman"/>
          <w:sz w:val="24"/>
          <w:szCs w:val="24"/>
        </w:rPr>
        <w:t>N</w:t>
      </w:r>
      <w:r w:rsidR="00CA1884">
        <w:rPr>
          <w:rFonts w:ascii="Times New Roman" w:hAnsi="Times New Roman" w:cs="Times New Roman"/>
          <w:sz w:val="24"/>
          <w:szCs w:val="24"/>
        </w:rPr>
        <w:t>o formal consultations outside the agency have been held</w:t>
      </w:r>
      <w:r w:rsidR="00CA1884" w:rsidRPr="00B326E6">
        <w:rPr>
          <w:rFonts w:ascii="Times New Roman" w:hAnsi="Times New Roman" w:cs="Times New Roman"/>
          <w:sz w:val="24"/>
          <w:szCs w:val="24"/>
        </w:rPr>
        <w:t xml:space="preserve">. </w:t>
      </w:r>
    </w:p>
    <w:p w14:paraId="3EFCC345" w14:textId="77777777" w:rsidR="00AF5199" w:rsidRPr="000617B1" w:rsidRDefault="00AF5199" w:rsidP="00C42381">
      <w:pPr>
        <w:pStyle w:val="Heading1"/>
        <w:numPr>
          <w:ilvl w:val="0"/>
          <w:numId w:val="8"/>
        </w:numPr>
        <w:spacing w:line="240" w:lineRule="auto"/>
        <w:ind w:left="630" w:hanging="270"/>
      </w:pPr>
      <w:bookmarkStart w:id="234" w:name="_Toc522700952"/>
      <w:r w:rsidRPr="000617B1">
        <w:t>Explanation of Any Payment or Gift to Respondents</w:t>
      </w:r>
      <w:bookmarkEnd w:id="234"/>
    </w:p>
    <w:p w14:paraId="01DC091C" w14:textId="77777777" w:rsidR="00E51083" w:rsidRDefault="00E51083" w:rsidP="002F1F9A">
      <w:pPr>
        <w:widowControl w:val="0"/>
        <w:tabs>
          <w:tab w:val="left" w:pos="0"/>
        </w:tabs>
        <w:spacing w:after="0" w:line="240" w:lineRule="auto"/>
        <w:rPr>
          <w:rFonts w:ascii="Times New Roman" w:hAnsi="Times New Roman" w:cs="Times New Roman"/>
          <w:sz w:val="24"/>
          <w:szCs w:val="24"/>
        </w:rPr>
      </w:pPr>
    </w:p>
    <w:p w14:paraId="71562D44" w14:textId="77777777" w:rsidR="002C0B61" w:rsidRPr="000617B1" w:rsidRDefault="002C0B61" w:rsidP="002F1F9A">
      <w:pPr>
        <w:widowControl w:val="0"/>
        <w:tabs>
          <w:tab w:val="left" w:pos="0"/>
        </w:tabs>
        <w:spacing w:after="0" w:line="240" w:lineRule="auto"/>
        <w:rPr>
          <w:rFonts w:ascii="Times New Roman" w:hAnsi="Times New Roman" w:cs="Times New Roman"/>
          <w:sz w:val="24"/>
          <w:szCs w:val="24"/>
        </w:rPr>
      </w:pPr>
      <w:r w:rsidRPr="000617B1">
        <w:rPr>
          <w:rFonts w:ascii="Times New Roman" w:hAnsi="Times New Roman" w:cs="Times New Roman"/>
          <w:sz w:val="24"/>
          <w:szCs w:val="24"/>
        </w:rPr>
        <w:t>There are no payments</w:t>
      </w:r>
      <w:r w:rsidR="0022122F">
        <w:rPr>
          <w:rFonts w:ascii="Times New Roman" w:hAnsi="Times New Roman" w:cs="Times New Roman"/>
          <w:sz w:val="24"/>
          <w:szCs w:val="24"/>
        </w:rPr>
        <w:t>, incentives,</w:t>
      </w:r>
      <w:r w:rsidRPr="000617B1">
        <w:rPr>
          <w:rFonts w:ascii="Times New Roman" w:hAnsi="Times New Roman" w:cs="Times New Roman"/>
          <w:sz w:val="24"/>
          <w:szCs w:val="24"/>
        </w:rPr>
        <w:t xml:space="preserve"> or gifts </w:t>
      </w:r>
      <w:r w:rsidR="00E51083">
        <w:rPr>
          <w:rFonts w:ascii="Times New Roman" w:hAnsi="Times New Roman" w:cs="Times New Roman"/>
          <w:sz w:val="24"/>
          <w:szCs w:val="24"/>
        </w:rPr>
        <w:t xml:space="preserve">provided </w:t>
      </w:r>
      <w:r w:rsidRPr="000617B1">
        <w:rPr>
          <w:rFonts w:ascii="Times New Roman" w:hAnsi="Times New Roman" w:cs="Times New Roman"/>
          <w:sz w:val="24"/>
          <w:szCs w:val="24"/>
        </w:rPr>
        <w:t>to respondents.</w:t>
      </w:r>
    </w:p>
    <w:p w14:paraId="12138F75" w14:textId="77777777" w:rsidR="00AF5199" w:rsidRPr="00C67E87" w:rsidRDefault="00E475F8" w:rsidP="00C42381">
      <w:pPr>
        <w:pStyle w:val="Heading1"/>
        <w:numPr>
          <w:ilvl w:val="0"/>
          <w:numId w:val="8"/>
        </w:numPr>
        <w:spacing w:line="240" w:lineRule="auto"/>
        <w:ind w:left="630" w:hanging="270"/>
      </w:pPr>
      <w:bookmarkStart w:id="235" w:name="_Toc522700953"/>
      <w:r>
        <w:t xml:space="preserve">Assurance of </w:t>
      </w:r>
      <w:r w:rsidR="00AF5199" w:rsidRPr="00C156CA">
        <w:t xml:space="preserve">Confidentiality </w:t>
      </w:r>
      <w:r w:rsidR="00AF5199" w:rsidRPr="00943FFC">
        <w:t xml:space="preserve">Provided </w:t>
      </w:r>
      <w:r>
        <w:t>to</w:t>
      </w:r>
      <w:r w:rsidR="002F6298" w:rsidRPr="00293A8D">
        <w:t xml:space="preserve"> </w:t>
      </w:r>
      <w:r w:rsidR="00AF5199" w:rsidRPr="00C67E87">
        <w:t>Respondents</w:t>
      </w:r>
      <w:bookmarkEnd w:id="235"/>
    </w:p>
    <w:p w14:paraId="13732864" w14:textId="77777777" w:rsidR="00F22674" w:rsidRDefault="00F22674" w:rsidP="0083571F">
      <w:pPr>
        <w:widowControl w:val="0"/>
        <w:tabs>
          <w:tab w:val="left" w:pos="0"/>
        </w:tabs>
        <w:spacing w:after="0" w:line="240" w:lineRule="auto"/>
        <w:rPr>
          <w:rFonts w:ascii="Times New Roman" w:hAnsi="Times New Roman" w:cs="Times New Roman"/>
          <w:color w:val="000000"/>
          <w:sz w:val="24"/>
          <w:szCs w:val="24"/>
        </w:rPr>
      </w:pPr>
    </w:p>
    <w:p w14:paraId="31045892" w14:textId="77777777" w:rsidR="002A452A" w:rsidRDefault="002A452A" w:rsidP="002A452A">
      <w:pPr>
        <w:widowControl w:val="0"/>
        <w:tabs>
          <w:tab w:val="left" w:pos="0"/>
        </w:tabs>
        <w:spacing w:after="0" w:line="240" w:lineRule="auto"/>
        <w:rPr>
          <w:rFonts w:ascii="Times New Roman" w:hAnsi="Times New Roman" w:cs="Times New Roman"/>
          <w:sz w:val="24"/>
          <w:szCs w:val="24"/>
        </w:rPr>
      </w:pPr>
      <w:r w:rsidRPr="007A7A6C">
        <w:rPr>
          <w:rFonts w:ascii="Times New Roman" w:hAnsi="Times New Roman" w:cs="Times New Roman"/>
          <w:color w:val="000000"/>
          <w:sz w:val="24"/>
          <w:szCs w:val="24"/>
        </w:rPr>
        <w:t>The C</w:t>
      </w:r>
      <w:r>
        <w:rPr>
          <w:rFonts w:ascii="Times New Roman" w:hAnsi="Times New Roman" w:cs="Times New Roman"/>
          <w:color w:val="000000"/>
          <w:sz w:val="24"/>
          <w:szCs w:val="24"/>
        </w:rPr>
        <w:t>SELS’</w:t>
      </w:r>
      <w:r w:rsidRPr="007A7A6C">
        <w:rPr>
          <w:rFonts w:ascii="Times New Roman" w:hAnsi="Times New Roman" w:cs="Times New Roman"/>
          <w:color w:val="000000"/>
          <w:sz w:val="24"/>
          <w:szCs w:val="24"/>
        </w:rPr>
        <w:t xml:space="preserve"> Information Systems Security Officer reviewed </w:t>
      </w:r>
      <w:r>
        <w:rPr>
          <w:rFonts w:ascii="Times New Roman" w:hAnsi="Times New Roman" w:cs="Times New Roman"/>
          <w:color w:val="000000"/>
          <w:sz w:val="24"/>
          <w:szCs w:val="24"/>
        </w:rPr>
        <w:t xml:space="preserve">the information collection </w:t>
      </w:r>
      <w:r w:rsidRPr="007A7A6C">
        <w:rPr>
          <w:rFonts w:ascii="Times New Roman" w:hAnsi="Times New Roman" w:cs="Times New Roman"/>
          <w:color w:val="000000"/>
          <w:sz w:val="24"/>
          <w:szCs w:val="24"/>
        </w:rPr>
        <w:t xml:space="preserve">and determined that </w:t>
      </w:r>
      <w:r w:rsidRPr="007A7A6C">
        <w:rPr>
          <w:rFonts w:ascii="Times New Roman" w:hAnsi="Times New Roman" w:cs="Times New Roman"/>
          <w:color w:val="211D1E"/>
          <w:sz w:val="24"/>
          <w:szCs w:val="24"/>
        </w:rPr>
        <w:t>the Privacy Act does</w:t>
      </w:r>
      <w:r w:rsidRPr="00642FED">
        <w:rPr>
          <w:rFonts w:ascii="Times New Roman" w:hAnsi="Times New Roman" w:cs="Times New Roman"/>
          <w:sz w:val="24"/>
          <w:szCs w:val="24"/>
        </w:rPr>
        <w:t xml:space="preserve"> </w:t>
      </w:r>
      <w:r w:rsidRPr="006D1C44">
        <w:rPr>
          <w:rFonts w:ascii="Times New Roman" w:hAnsi="Times New Roman" w:cs="Times New Roman"/>
          <w:sz w:val="24"/>
          <w:szCs w:val="24"/>
        </w:rPr>
        <w:t>apply</w:t>
      </w:r>
      <w:r>
        <w:rPr>
          <w:rFonts w:ascii="Times New Roman" w:hAnsi="Times New Roman" w:cs="Times New Roman"/>
          <w:sz w:val="24"/>
          <w:szCs w:val="24"/>
        </w:rPr>
        <w:t xml:space="preserve"> </w:t>
      </w:r>
      <w:r w:rsidRPr="003A1580">
        <w:rPr>
          <w:rFonts w:ascii="Times New Roman" w:hAnsi="Times New Roman" w:cs="Times New Roman"/>
          <w:sz w:val="24"/>
          <w:szCs w:val="24"/>
        </w:rPr>
        <w:t xml:space="preserve">based on the </w:t>
      </w:r>
      <w:r w:rsidRPr="007A7A6C">
        <w:rPr>
          <w:rFonts w:ascii="Times New Roman" w:hAnsi="Times New Roman" w:cs="Times New Roman"/>
          <w:sz w:val="24"/>
          <w:szCs w:val="24"/>
        </w:rPr>
        <w:t xml:space="preserve">collection of </w:t>
      </w:r>
      <w:r w:rsidRPr="003A1580">
        <w:rPr>
          <w:rFonts w:ascii="Times New Roman" w:hAnsi="Times New Roman" w:cs="Times New Roman"/>
          <w:sz w:val="24"/>
          <w:szCs w:val="24"/>
        </w:rPr>
        <w:t>information</w:t>
      </w:r>
      <w:r w:rsidRPr="007A7A6C">
        <w:rPr>
          <w:rFonts w:ascii="Times New Roman" w:hAnsi="Times New Roman" w:cs="Times New Roman"/>
          <w:sz w:val="24"/>
          <w:szCs w:val="24"/>
        </w:rPr>
        <w:t xml:space="preserve"> </w:t>
      </w:r>
      <w:r w:rsidRPr="008A3D24">
        <w:rPr>
          <w:rFonts w:ascii="Times New Roman" w:hAnsi="Times New Roman" w:cs="Times New Roman"/>
          <w:sz w:val="24"/>
          <w:szCs w:val="24"/>
        </w:rPr>
        <w:t>in identifiable form (IIF)</w:t>
      </w:r>
      <w:r>
        <w:rPr>
          <w:rFonts w:ascii="Times New Roman" w:hAnsi="Times New Roman" w:cs="Times New Roman"/>
          <w:sz w:val="24"/>
          <w:szCs w:val="24"/>
        </w:rPr>
        <w:t>.</w:t>
      </w:r>
      <w:r w:rsidRPr="008A3D24">
        <w:rPr>
          <w:rFonts w:ascii="Times New Roman" w:hAnsi="Times New Roman" w:cs="Times New Roman"/>
          <w:sz w:val="24"/>
          <w:szCs w:val="24"/>
        </w:rPr>
        <w:t xml:space="preserve"> </w:t>
      </w:r>
      <w:r>
        <w:rPr>
          <w:rFonts w:ascii="Times New Roman" w:hAnsi="Times New Roman" w:cs="Times New Roman"/>
          <w:sz w:val="24"/>
          <w:szCs w:val="24"/>
        </w:rPr>
        <w:t>Information in identifiable form data collection includes only the minimum elements to satisfy requirements for continuing education applications and continuing education course proposals.</w:t>
      </w:r>
      <w:r w:rsidRPr="00F257AC">
        <w:rPr>
          <w:rFonts w:ascii="Times New Roman" w:hAnsi="Times New Roman" w:cs="Times New Roman"/>
          <w:sz w:val="24"/>
          <w:szCs w:val="24"/>
        </w:rPr>
        <w:t xml:space="preserve"> </w:t>
      </w:r>
    </w:p>
    <w:p w14:paraId="45838151" w14:textId="667EE606" w:rsidR="008A7F0C" w:rsidRDefault="008A7F0C" w:rsidP="008A7F0C">
      <w:pPr>
        <w:widowControl w:val="0"/>
        <w:tabs>
          <w:tab w:val="left" w:pos="0"/>
        </w:tabs>
        <w:spacing w:after="0" w:line="240" w:lineRule="auto"/>
        <w:rPr>
          <w:rFonts w:ascii="Times New Roman" w:hAnsi="Times New Roman" w:cs="Times New Roman"/>
          <w:color w:val="000000"/>
          <w:sz w:val="24"/>
          <w:szCs w:val="24"/>
        </w:rPr>
      </w:pPr>
    </w:p>
    <w:p w14:paraId="6104CB81" w14:textId="4A328E73" w:rsidR="0083571F" w:rsidRDefault="000A6410" w:rsidP="00490BC4">
      <w:pPr>
        <w:spacing w:after="120" w:line="240" w:lineRule="auto"/>
        <w:ind w:right="522"/>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Personal</w:t>
      </w:r>
      <w:r w:rsidR="00992E96">
        <w:rPr>
          <w:rStyle w:val="Hyperlink"/>
          <w:rFonts w:ascii="Times New Roman" w:hAnsi="Times New Roman"/>
          <w:color w:val="auto"/>
          <w:sz w:val="24"/>
          <w:szCs w:val="24"/>
          <w:u w:val="none"/>
        </w:rPr>
        <w:t>ly</w:t>
      </w:r>
      <w:r w:rsidRPr="00A27AB3">
        <w:rPr>
          <w:rStyle w:val="Hyperlink"/>
          <w:rFonts w:ascii="Times New Roman" w:hAnsi="Times New Roman"/>
          <w:color w:val="auto"/>
          <w:sz w:val="24"/>
          <w:szCs w:val="24"/>
          <w:u w:val="none"/>
        </w:rPr>
        <w:t xml:space="preserve"> identifiable information </w:t>
      </w:r>
      <w:r w:rsidR="0083571F">
        <w:rPr>
          <w:rStyle w:val="Hyperlink"/>
          <w:rFonts w:ascii="Times New Roman" w:hAnsi="Times New Roman"/>
          <w:color w:val="auto"/>
          <w:sz w:val="24"/>
          <w:szCs w:val="24"/>
          <w:u w:val="none"/>
        </w:rPr>
        <w:t>(PII) collected</w:t>
      </w:r>
      <w:r w:rsidR="0083571F" w:rsidRPr="00A27AB3">
        <w:rPr>
          <w:rStyle w:val="Hyperlink"/>
          <w:rFonts w:ascii="Times New Roman" w:hAnsi="Times New Roman"/>
          <w:color w:val="auto"/>
          <w:sz w:val="24"/>
          <w:szCs w:val="24"/>
          <w:u w:val="none"/>
        </w:rPr>
        <w:t xml:space="preserve"> </w:t>
      </w:r>
      <w:r w:rsidR="0083571F">
        <w:rPr>
          <w:rFonts w:ascii="Times New Roman" w:hAnsi="Times New Roman" w:cs="Times New Roman"/>
          <w:sz w:val="24"/>
          <w:szCs w:val="24"/>
        </w:rPr>
        <w:t xml:space="preserve">on the TCEO Proposal (Attachment </w:t>
      </w:r>
      <w:r w:rsidR="00E50697">
        <w:rPr>
          <w:rFonts w:ascii="Times New Roman" w:hAnsi="Times New Roman" w:cs="Times New Roman"/>
          <w:sz w:val="24"/>
          <w:szCs w:val="24"/>
        </w:rPr>
        <w:t>3</w:t>
      </w:r>
      <w:r w:rsidR="0083571F">
        <w:rPr>
          <w:rFonts w:ascii="Times New Roman" w:hAnsi="Times New Roman" w:cs="Times New Roman"/>
          <w:sz w:val="24"/>
          <w:szCs w:val="24"/>
        </w:rPr>
        <w:t>) include</w:t>
      </w:r>
      <w:r w:rsidR="00992E96">
        <w:rPr>
          <w:rFonts w:ascii="Times New Roman" w:hAnsi="Times New Roman" w:cs="Times New Roman"/>
          <w:sz w:val="24"/>
          <w:szCs w:val="24"/>
        </w:rPr>
        <w:t>s</w:t>
      </w:r>
      <w:r w:rsidR="0083571F">
        <w:rPr>
          <w:rFonts w:ascii="Times New Roman" w:hAnsi="Times New Roman" w:cs="Times New Roman"/>
          <w:sz w:val="24"/>
          <w:szCs w:val="24"/>
        </w:rPr>
        <w:t xml:space="preserve"> </w:t>
      </w:r>
      <w:r w:rsidR="00992E96">
        <w:rPr>
          <w:rFonts w:ascii="Times New Roman" w:hAnsi="Times New Roman" w:cs="Times New Roman"/>
          <w:sz w:val="24"/>
          <w:szCs w:val="24"/>
        </w:rPr>
        <w:t>the</w:t>
      </w:r>
      <w:r w:rsidR="00AB6A2F">
        <w:rPr>
          <w:rFonts w:ascii="Times New Roman" w:hAnsi="Times New Roman" w:cs="Times New Roman"/>
          <w:sz w:val="24"/>
          <w:szCs w:val="24"/>
        </w:rPr>
        <w:t xml:space="preserve"> </w:t>
      </w:r>
      <w:r w:rsidR="00992E96">
        <w:rPr>
          <w:rFonts w:ascii="Times New Roman" w:hAnsi="Times New Roman" w:cs="Times New Roman"/>
          <w:sz w:val="24"/>
          <w:szCs w:val="24"/>
        </w:rPr>
        <w:t>educational developer</w:t>
      </w:r>
      <w:r w:rsidR="0083571F">
        <w:rPr>
          <w:rFonts w:ascii="Times New Roman" w:hAnsi="Times New Roman" w:cs="Times New Roman"/>
          <w:sz w:val="24"/>
          <w:szCs w:val="24"/>
        </w:rPr>
        <w:t>’</w:t>
      </w:r>
      <w:r w:rsidR="009A6E64">
        <w:rPr>
          <w:rFonts w:ascii="Times New Roman" w:hAnsi="Times New Roman" w:cs="Times New Roman"/>
          <w:sz w:val="24"/>
          <w:szCs w:val="24"/>
        </w:rPr>
        <w:t>s</w:t>
      </w:r>
      <w:r w:rsidR="0083571F">
        <w:rPr>
          <w:rFonts w:ascii="Times New Roman" w:hAnsi="Times New Roman" w:cs="Times New Roman"/>
          <w:sz w:val="24"/>
          <w:szCs w:val="24"/>
        </w:rPr>
        <w:t xml:space="preserve"> name, </w:t>
      </w:r>
      <w:r w:rsidR="00E51C18">
        <w:rPr>
          <w:rFonts w:ascii="Times New Roman" w:hAnsi="Times New Roman" w:cs="Times New Roman"/>
          <w:sz w:val="24"/>
          <w:szCs w:val="24"/>
        </w:rPr>
        <w:t>tele</w:t>
      </w:r>
      <w:r w:rsidR="0083571F">
        <w:rPr>
          <w:rFonts w:ascii="Times New Roman" w:hAnsi="Times New Roman" w:cs="Times New Roman"/>
          <w:sz w:val="24"/>
          <w:szCs w:val="24"/>
        </w:rPr>
        <w:t>phone number</w:t>
      </w:r>
      <w:r w:rsidR="00E51C18">
        <w:rPr>
          <w:rFonts w:ascii="Times New Roman" w:hAnsi="Times New Roman" w:cs="Times New Roman"/>
          <w:sz w:val="24"/>
          <w:szCs w:val="24"/>
        </w:rPr>
        <w:t>(</w:t>
      </w:r>
      <w:r w:rsidR="0083571F">
        <w:rPr>
          <w:rFonts w:ascii="Times New Roman" w:hAnsi="Times New Roman" w:cs="Times New Roman"/>
          <w:sz w:val="24"/>
          <w:szCs w:val="24"/>
        </w:rPr>
        <w:t>s</w:t>
      </w:r>
      <w:r w:rsidR="00E51C18">
        <w:rPr>
          <w:rFonts w:ascii="Times New Roman" w:hAnsi="Times New Roman" w:cs="Times New Roman"/>
          <w:sz w:val="24"/>
          <w:szCs w:val="24"/>
        </w:rPr>
        <w:t>)</w:t>
      </w:r>
      <w:r w:rsidR="0083571F">
        <w:rPr>
          <w:rFonts w:ascii="Times New Roman" w:hAnsi="Times New Roman" w:cs="Times New Roman"/>
          <w:sz w:val="24"/>
          <w:szCs w:val="24"/>
        </w:rPr>
        <w:t xml:space="preserve">, email address, and organization. In addition, CDC collects biographical data for course </w:t>
      </w:r>
      <w:r w:rsidR="00D87C62">
        <w:rPr>
          <w:rFonts w:ascii="Times New Roman" w:hAnsi="Times New Roman" w:cs="Times New Roman"/>
          <w:sz w:val="24"/>
          <w:szCs w:val="24"/>
        </w:rPr>
        <w:t>instructors</w:t>
      </w:r>
      <w:r w:rsidR="00E51C18">
        <w:rPr>
          <w:rFonts w:ascii="Times New Roman" w:hAnsi="Times New Roman" w:cs="Times New Roman"/>
          <w:sz w:val="24"/>
          <w:szCs w:val="24"/>
        </w:rPr>
        <w:t>,</w:t>
      </w:r>
      <w:r w:rsidR="00D87C62">
        <w:rPr>
          <w:rFonts w:ascii="Times New Roman" w:hAnsi="Times New Roman" w:cs="Times New Roman"/>
          <w:sz w:val="24"/>
          <w:szCs w:val="24"/>
        </w:rPr>
        <w:t xml:space="preserve"> </w:t>
      </w:r>
      <w:r w:rsidR="0083571F">
        <w:rPr>
          <w:rFonts w:ascii="Times New Roman" w:hAnsi="Times New Roman" w:cs="Times New Roman"/>
          <w:sz w:val="24"/>
          <w:szCs w:val="24"/>
        </w:rPr>
        <w:t xml:space="preserve">including </w:t>
      </w:r>
      <w:r w:rsidR="00D87C62">
        <w:rPr>
          <w:rFonts w:ascii="Times New Roman" w:hAnsi="Times New Roman" w:cs="Times New Roman"/>
          <w:sz w:val="24"/>
          <w:szCs w:val="24"/>
        </w:rPr>
        <w:t xml:space="preserve">instructors’ </w:t>
      </w:r>
      <w:r w:rsidR="0083571F">
        <w:rPr>
          <w:rFonts w:ascii="Times New Roman" w:hAnsi="Times New Roman" w:cs="Times New Roman"/>
          <w:sz w:val="24"/>
          <w:szCs w:val="24"/>
        </w:rPr>
        <w:t>name</w:t>
      </w:r>
      <w:r w:rsidR="00D87C62">
        <w:rPr>
          <w:rFonts w:ascii="Times New Roman" w:hAnsi="Times New Roman" w:cs="Times New Roman"/>
          <w:sz w:val="24"/>
          <w:szCs w:val="24"/>
        </w:rPr>
        <w:t>s</w:t>
      </w:r>
      <w:r w:rsidR="0083571F">
        <w:rPr>
          <w:rFonts w:ascii="Times New Roman" w:hAnsi="Times New Roman" w:cs="Times New Roman"/>
          <w:sz w:val="24"/>
          <w:szCs w:val="24"/>
        </w:rPr>
        <w:t>, profession</w:t>
      </w:r>
      <w:r w:rsidR="00D87C62">
        <w:rPr>
          <w:rFonts w:ascii="Times New Roman" w:hAnsi="Times New Roman" w:cs="Times New Roman"/>
          <w:sz w:val="24"/>
          <w:szCs w:val="24"/>
        </w:rPr>
        <w:t>s</w:t>
      </w:r>
      <w:r w:rsidR="0083571F">
        <w:rPr>
          <w:rFonts w:ascii="Times New Roman" w:hAnsi="Times New Roman" w:cs="Times New Roman"/>
          <w:sz w:val="24"/>
          <w:szCs w:val="24"/>
        </w:rPr>
        <w:t xml:space="preserve">, </w:t>
      </w:r>
      <w:r w:rsidR="00E51C18">
        <w:rPr>
          <w:rFonts w:ascii="Times New Roman" w:hAnsi="Times New Roman" w:cs="Times New Roman"/>
          <w:sz w:val="24"/>
          <w:szCs w:val="24"/>
        </w:rPr>
        <w:t>tele</w:t>
      </w:r>
      <w:r w:rsidR="0083571F">
        <w:rPr>
          <w:rFonts w:ascii="Times New Roman" w:hAnsi="Times New Roman" w:cs="Times New Roman"/>
          <w:sz w:val="24"/>
          <w:szCs w:val="24"/>
        </w:rPr>
        <w:t>phone numbers, address</w:t>
      </w:r>
      <w:r w:rsidR="00D87C62">
        <w:rPr>
          <w:rFonts w:ascii="Times New Roman" w:hAnsi="Times New Roman" w:cs="Times New Roman"/>
          <w:sz w:val="24"/>
          <w:szCs w:val="24"/>
        </w:rPr>
        <w:t>es</w:t>
      </w:r>
      <w:r w:rsidR="0083571F">
        <w:rPr>
          <w:rFonts w:ascii="Times New Roman" w:hAnsi="Times New Roman" w:cs="Times New Roman"/>
          <w:sz w:val="24"/>
          <w:szCs w:val="24"/>
        </w:rPr>
        <w:t>, email address</w:t>
      </w:r>
      <w:r w:rsidR="00D87C62">
        <w:rPr>
          <w:rFonts w:ascii="Times New Roman" w:hAnsi="Times New Roman" w:cs="Times New Roman"/>
          <w:sz w:val="24"/>
          <w:szCs w:val="24"/>
        </w:rPr>
        <w:t>es</w:t>
      </w:r>
      <w:r w:rsidR="0083571F">
        <w:rPr>
          <w:rFonts w:ascii="Times New Roman" w:hAnsi="Times New Roman" w:cs="Times New Roman"/>
          <w:sz w:val="24"/>
          <w:szCs w:val="24"/>
        </w:rPr>
        <w:t>, and organization</w:t>
      </w:r>
      <w:r w:rsidR="00D87C62">
        <w:rPr>
          <w:rFonts w:ascii="Times New Roman" w:hAnsi="Times New Roman" w:cs="Times New Roman"/>
          <w:sz w:val="24"/>
          <w:szCs w:val="24"/>
        </w:rPr>
        <w:t>s</w:t>
      </w:r>
      <w:r w:rsidR="0083571F">
        <w:rPr>
          <w:rFonts w:ascii="Times New Roman" w:hAnsi="Times New Roman" w:cs="Times New Roman"/>
          <w:sz w:val="24"/>
          <w:szCs w:val="24"/>
        </w:rPr>
        <w:t>. CDC uses this information for managing reviews</w:t>
      </w:r>
      <w:r w:rsidR="00E97E84">
        <w:rPr>
          <w:rFonts w:ascii="Times New Roman" w:hAnsi="Times New Roman" w:cs="Times New Roman"/>
          <w:sz w:val="24"/>
          <w:szCs w:val="24"/>
        </w:rPr>
        <w:t>,</w:t>
      </w:r>
      <w:r w:rsidR="00D87C62">
        <w:rPr>
          <w:rFonts w:ascii="Times New Roman" w:hAnsi="Times New Roman" w:cs="Times New Roman"/>
          <w:sz w:val="24"/>
          <w:szCs w:val="24"/>
        </w:rPr>
        <w:t xml:space="preserve"> </w:t>
      </w:r>
      <w:r w:rsidR="0083571F">
        <w:rPr>
          <w:rFonts w:ascii="Times New Roman" w:hAnsi="Times New Roman" w:cs="Times New Roman"/>
          <w:sz w:val="24"/>
          <w:szCs w:val="24"/>
        </w:rPr>
        <w:t xml:space="preserve">corresponding with the </w:t>
      </w:r>
      <w:r w:rsidR="00B21D02">
        <w:rPr>
          <w:rFonts w:ascii="Times New Roman" w:hAnsi="Times New Roman" w:cs="Times New Roman"/>
          <w:sz w:val="24"/>
          <w:szCs w:val="24"/>
        </w:rPr>
        <w:t>educational developer</w:t>
      </w:r>
      <w:r w:rsidR="00D87C62">
        <w:rPr>
          <w:rFonts w:ascii="Times New Roman" w:hAnsi="Times New Roman" w:cs="Times New Roman"/>
          <w:sz w:val="24"/>
          <w:szCs w:val="24"/>
        </w:rPr>
        <w:t xml:space="preserve">, and ensuring </w:t>
      </w:r>
      <w:r w:rsidR="007112A2">
        <w:rPr>
          <w:rFonts w:ascii="Times New Roman" w:hAnsi="Times New Roman" w:cs="Times New Roman"/>
          <w:sz w:val="24"/>
          <w:szCs w:val="24"/>
        </w:rPr>
        <w:t>course</w:t>
      </w:r>
      <w:r w:rsidR="009A6E64">
        <w:rPr>
          <w:rFonts w:ascii="Times New Roman" w:hAnsi="Times New Roman" w:cs="Times New Roman"/>
          <w:sz w:val="24"/>
          <w:szCs w:val="24"/>
        </w:rPr>
        <w:t xml:space="preserve"> </w:t>
      </w:r>
      <w:r w:rsidR="00D87C62">
        <w:rPr>
          <w:rFonts w:ascii="Times New Roman" w:hAnsi="Times New Roman" w:cs="Times New Roman"/>
          <w:sz w:val="24"/>
          <w:szCs w:val="24"/>
        </w:rPr>
        <w:t xml:space="preserve">instructors have the appropriate qualifications to teach </w:t>
      </w:r>
      <w:r w:rsidR="00E51C18">
        <w:rPr>
          <w:rFonts w:ascii="Times New Roman" w:hAnsi="Times New Roman" w:cs="Times New Roman"/>
          <w:sz w:val="24"/>
          <w:szCs w:val="24"/>
        </w:rPr>
        <w:t>course</w:t>
      </w:r>
      <w:r w:rsidR="00D87C62">
        <w:rPr>
          <w:rFonts w:ascii="Times New Roman" w:hAnsi="Times New Roman" w:cs="Times New Roman"/>
          <w:sz w:val="24"/>
          <w:szCs w:val="24"/>
        </w:rPr>
        <w:t xml:space="preserve"> content</w:t>
      </w:r>
      <w:r w:rsidR="00E97E84">
        <w:rPr>
          <w:rFonts w:ascii="Times New Roman" w:hAnsi="Times New Roman" w:cs="Times New Roman"/>
          <w:sz w:val="24"/>
          <w:szCs w:val="24"/>
        </w:rPr>
        <w:t xml:space="preserve"> as required by</w:t>
      </w:r>
      <w:r w:rsidR="0083571F">
        <w:rPr>
          <w:rFonts w:ascii="Times New Roman" w:hAnsi="Times New Roman" w:cs="Times New Roman"/>
          <w:sz w:val="24"/>
          <w:szCs w:val="24"/>
        </w:rPr>
        <w:t xml:space="preserve"> </w:t>
      </w:r>
      <w:r w:rsidR="00B21D02">
        <w:rPr>
          <w:rFonts w:ascii="Times New Roman" w:hAnsi="Times New Roman" w:cs="Times New Roman"/>
          <w:sz w:val="24"/>
          <w:szCs w:val="24"/>
        </w:rPr>
        <w:t>accrediting</w:t>
      </w:r>
      <w:r w:rsidR="0083571F">
        <w:rPr>
          <w:rFonts w:ascii="Times New Roman" w:hAnsi="Times New Roman" w:cs="Times New Roman"/>
          <w:sz w:val="24"/>
          <w:szCs w:val="24"/>
        </w:rPr>
        <w:t xml:space="preserve"> organization</w:t>
      </w:r>
      <w:r w:rsidR="00E97E84">
        <w:rPr>
          <w:rFonts w:ascii="Times New Roman" w:hAnsi="Times New Roman" w:cs="Times New Roman"/>
          <w:sz w:val="24"/>
          <w:szCs w:val="24"/>
        </w:rPr>
        <w:t>s</w:t>
      </w:r>
      <w:r w:rsidR="0083571F">
        <w:rPr>
          <w:rFonts w:ascii="Times New Roman" w:hAnsi="Times New Roman" w:cs="Times New Roman"/>
          <w:sz w:val="24"/>
          <w:szCs w:val="24"/>
        </w:rPr>
        <w:t xml:space="preserve">, </w:t>
      </w:r>
      <w:r w:rsidR="00E97E84">
        <w:rPr>
          <w:rFonts w:ascii="Times New Roman" w:hAnsi="Times New Roman" w:cs="Times New Roman"/>
          <w:sz w:val="24"/>
          <w:szCs w:val="24"/>
        </w:rPr>
        <w:t>all of which ensures</w:t>
      </w:r>
      <w:r w:rsidR="0083571F">
        <w:rPr>
          <w:rFonts w:ascii="Times New Roman" w:hAnsi="Times New Roman" w:cs="Times New Roman"/>
          <w:sz w:val="24"/>
          <w:szCs w:val="24"/>
        </w:rPr>
        <w:t xml:space="preserve"> national accreditation standards are met </w:t>
      </w:r>
      <w:r w:rsidR="00E51C18">
        <w:rPr>
          <w:rFonts w:ascii="Times New Roman" w:hAnsi="Times New Roman" w:cs="Times New Roman"/>
          <w:sz w:val="24"/>
          <w:szCs w:val="24"/>
        </w:rPr>
        <w:t>before</w:t>
      </w:r>
      <w:r w:rsidR="0083571F">
        <w:rPr>
          <w:rFonts w:ascii="Times New Roman" w:hAnsi="Times New Roman" w:cs="Times New Roman"/>
          <w:sz w:val="24"/>
          <w:szCs w:val="24"/>
        </w:rPr>
        <w:t xml:space="preserve"> accrediting the </w:t>
      </w:r>
      <w:r w:rsidR="00B21D02">
        <w:rPr>
          <w:rFonts w:ascii="Times New Roman" w:hAnsi="Times New Roman" w:cs="Times New Roman"/>
          <w:sz w:val="24"/>
          <w:szCs w:val="24"/>
        </w:rPr>
        <w:t xml:space="preserve">CE </w:t>
      </w:r>
      <w:r w:rsidR="0083571F">
        <w:rPr>
          <w:rFonts w:ascii="Times New Roman" w:hAnsi="Times New Roman" w:cs="Times New Roman"/>
          <w:sz w:val="24"/>
          <w:szCs w:val="24"/>
        </w:rPr>
        <w:t>activity.</w:t>
      </w:r>
    </w:p>
    <w:p w14:paraId="0FFFEDDB" w14:textId="77777777" w:rsidR="00A85B3E" w:rsidRDefault="00A85B3E" w:rsidP="00A85B3E">
      <w:pPr>
        <w:widowControl w:val="0"/>
        <w:tabs>
          <w:tab w:val="left" w:pos="0"/>
        </w:tabs>
        <w:spacing w:after="0" w:line="240" w:lineRule="auto"/>
        <w:rPr>
          <w:rFonts w:ascii="Times New Roman" w:hAnsi="Times New Roman" w:cs="Times New Roman"/>
          <w:sz w:val="24"/>
          <w:szCs w:val="24"/>
        </w:rPr>
      </w:pPr>
    </w:p>
    <w:p w14:paraId="6854A3CD" w14:textId="41697A03" w:rsidR="00A85B3E" w:rsidRDefault="00A85B3E" w:rsidP="00A85B3E">
      <w:pPr>
        <w:spacing w:after="120" w:line="240" w:lineRule="auto"/>
        <w:ind w:right="522"/>
        <w:rPr>
          <w:rFonts w:ascii="Times New Roman" w:hAnsi="Times New Roman" w:cs="Times New Roman"/>
          <w:sz w:val="24"/>
          <w:szCs w:val="24"/>
        </w:rPr>
      </w:pPr>
      <w:r>
        <w:rPr>
          <w:rFonts w:ascii="Times New Roman" w:hAnsi="Times New Roman" w:cs="Times New Roman"/>
          <w:color w:val="000000"/>
          <w:sz w:val="24"/>
        </w:rPr>
        <w:t xml:space="preserve">PII </w:t>
      </w:r>
      <w:r w:rsidRPr="00833764">
        <w:rPr>
          <w:rFonts w:ascii="Times New Roman" w:hAnsi="Times New Roman" w:cs="Times New Roman"/>
          <w:color w:val="000000"/>
          <w:sz w:val="24"/>
        </w:rPr>
        <w:t xml:space="preserve">collected by the TCEO </w:t>
      </w:r>
      <w:r>
        <w:rPr>
          <w:rFonts w:ascii="Times New Roman" w:hAnsi="Times New Roman" w:cs="Times New Roman"/>
          <w:color w:val="000000"/>
          <w:sz w:val="24"/>
        </w:rPr>
        <w:t xml:space="preserve">Proposal </w:t>
      </w:r>
      <w:r w:rsidR="00E50697">
        <w:rPr>
          <w:rStyle w:val="Hyperlink"/>
          <w:rFonts w:ascii="Times New Roman" w:hAnsi="Times New Roman"/>
          <w:color w:val="auto"/>
          <w:sz w:val="24"/>
          <w:szCs w:val="24"/>
          <w:u w:val="none"/>
        </w:rPr>
        <w:t>(Attachment 3</w:t>
      </w:r>
      <w:r w:rsidR="007112A2">
        <w:rPr>
          <w:rStyle w:val="Hyperlink"/>
          <w:rFonts w:ascii="Times New Roman" w:hAnsi="Times New Roman"/>
          <w:color w:val="auto"/>
          <w:sz w:val="24"/>
          <w:szCs w:val="24"/>
          <w:u w:val="none"/>
        </w:rPr>
        <w:t xml:space="preserve">) </w:t>
      </w:r>
      <w:r w:rsidRPr="00833764">
        <w:rPr>
          <w:rFonts w:ascii="Times New Roman" w:hAnsi="Times New Roman" w:cs="Times New Roman"/>
          <w:color w:val="000000"/>
          <w:sz w:val="24"/>
        </w:rPr>
        <w:t xml:space="preserve">is filed and retrieved by the name of the </w:t>
      </w:r>
      <w:r w:rsidR="00E51C18">
        <w:rPr>
          <w:rFonts w:ascii="Times New Roman" w:hAnsi="Times New Roman" w:cs="Times New Roman"/>
          <w:color w:val="000000"/>
          <w:sz w:val="24"/>
        </w:rPr>
        <w:t>person</w:t>
      </w:r>
      <w:r w:rsidRPr="00833764">
        <w:rPr>
          <w:rFonts w:ascii="Times New Roman" w:hAnsi="Times New Roman" w:cs="Times New Roman"/>
          <w:color w:val="000000"/>
          <w:sz w:val="24"/>
        </w:rPr>
        <w:t xml:space="preserve">, </w:t>
      </w:r>
      <w:r>
        <w:rPr>
          <w:rFonts w:ascii="Times New Roman" w:hAnsi="Times New Roman" w:cs="Times New Roman"/>
          <w:color w:val="000000"/>
          <w:sz w:val="24"/>
        </w:rPr>
        <w:t xml:space="preserve">and </w:t>
      </w:r>
      <w:r w:rsidRPr="00833764">
        <w:rPr>
          <w:rFonts w:ascii="Times New Roman" w:hAnsi="Times New Roman" w:cs="Times New Roman"/>
          <w:color w:val="000000"/>
          <w:sz w:val="24"/>
        </w:rPr>
        <w:t xml:space="preserve">is not published. </w:t>
      </w:r>
      <w:r>
        <w:rPr>
          <w:rFonts w:ascii="Times New Roman" w:hAnsi="Times New Roman" w:cs="Times New Roman"/>
          <w:color w:val="000000"/>
          <w:sz w:val="24"/>
        </w:rPr>
        <w:t>An advisement</w:t>
      </w:r>
      <w:r w:rsidR="00E51C18">
        <w:rPr>
          <w:rFonts w:ascii="Times New Roman" w:hAnsi="Times New Roman" w:cs="Times New Roman"/>
          <w:color w:val="000000"/>
          <w:sz w:val="24"/>
        </w:rPr>
        <w:t xml:space="preserve"> or </w:t>
      </w:r>
      <w:r>
        <w:rPr>
          <w:rFonts w:ascii="Times New Roman" w:hAnsi="Times New Roman" w:cs="Times New Roman"/>
          <w:color w:val="000000"/>
          <w:sz w:val="24"/>
        </w:rPr>
        <w:t xml:space="preserve">consent notice is provided for all </w:t>
      </w:r>
      <w:r w:rsidR="0013029E">
        <w:rPr>
          <w:rFonts w:ascii="Times New Roman" w:hAnsi="Times New Roman" w:cs="Times New Roman"/>
          <w:sz w:val="24"/>
          <w:szCs w:val="24"/>
        </w:rPr>
        <w:t>educational developers</w:t>
      </w:r>
      <w:r w:rsidR="009A6E64" w:rsidRPr="00277BC0">
        <w:rPr>
          <w:rFonts w:ascii="Times New Roman" w:hAnsi="Times New Roman" w:cs="Times New Roman"/>
          <w:sz w:val="24"/>
          <w:szCs w:val="24"/>
        </w:rPr>
        <w:t xml:space="preserve"> </w:t>
      </w:r>
      <w:r>
        <w:rPr>
          <w:rFonts w:ascii="Times New Roman" w:hAnsi="Times New Roman" w:cs="Times New Roman"/>
          <w:color w:val="000000"/>
          <w:sz w:val="24"/>
        </w:rPr>
        <w:t xml:space="preserve">and </w:t>
      </w:r>
      <w:r w:rsidRPr="009A3CB6">
        <w:rPr>
          <w:rFonts w:ascii="Times New Roman" w:hAnsi="Times New Roman" w:cs="Times New Roman"/>
          <w:color w:val="000000"/>
          <w:sz w:val="24"/>
        </w:rPr>
        <w:t xml:space="preserve">is clearly displayed immediately above </w:t>
      </w:r>
      <w:r w:rsidR="007112A2">
        <w:rPr>
          <w:rFonts w:ascii="Times New Roman" w:hAnsi="Times New Roman" w:cs="Times New Roman"/>
          <w:color w:val="000000"/>
          <w:sz w:val="24"/>
        </w:rPr>
        <w:t xml:space="preserve">the </w:t>
      </w:r>
      <w:r w:rsidRPr="009A3CB6">
        <w:rPr>
          <w:rFonts w:ascii="Times New Roman" w:hAnsi="Times New Roman" w:cs="Times New Roman"/>
          <w:color w:val="000000"/>
          <w:sz w:val="24"/>
        </w:rPr>
        <w:t xml:space="preserve">Public Burden Statement section </w:t>
      </w:r>
      <w:r>
        <w:rPr>
          <w:rFonts w:ascii="Times New Roman" w:hAnsi="Times New Roman" w:cs="Times New Roman"/>
          <w:color w:val="000000"/>
          <w:sz w:val="24"/>
        </w:rPr>
        <w:t xml:space="preserve">of the TCEO Proposal on the login page. The statement is, “The Privacy Act applies to this information collection. The requested information is used to process your request for educational activities to receive </w:t>
      </w:r>
      <w:r w:rsidR="005A770A">
        <w:rPr>
          <w:rFonts w:ascii="Times New Roman" w:hAnsi="Times New Roman" w:cs="Times New Roman"/>
          <w:color w:val="000000"/>
          <w:sz w:val="24"/>
        </w:rPr>
        <w:t>accreditation</w:t>
      </w:r>
      <w:r>
        <w:rPr>
          <w:rFonts w:ascii="Times New Roman" w:hAnsi="Times New Roman" w:cs="Times New Roman"/>
          <w:color w:val="000000"/>
          <w:sz w:val="24"/>
        </w:rPr>
        <w:t xml:space="preserve">. </w:t>
      </w:r>
      <w:r w:rsidRPr="003F46C5">
        <w:rPr>
          <w:rFonts w:ascii="Times New Roman" w:hAnsi="Times New Roman" w:cs="Times New Roman"/>
          <w:color w:val="000000"/>
          <w:sz w:val="24"/>
        </w:rPr>
        <w:t>CDC will treat data/information in a secure manner and will not disclose, unless otherwise compelled by law</w:t>
      </w:r>
      <w:r>
        <w:rPr>
          <w:rFonts w:ascii="Times New Roman" w:hAnsi="Times New Roman" w:cs="Times New Roman"/>
          <w:color w:val="000000"/>
          <w:sz w:val="24"/>
        </w:rPr>
        <w:t xml:space="preserve"> or upon your written request</w:t>
      </w:r>
      <w:r w:rsidRPr="003F46C5">
        <w:rPr>
          <w:rFonts w:ascii="Times New Roman" w:hAnsi="Times New Roman" w:cs="Times New Roman"/>
          <w:color w:val="000000"/>
          <w:sz w:val="24"/>
        </w:rPr>
        <w:t>.</w:t>
      </w:r>
      <w:r>
        <w:rPr>
          <w:rFonts w:ascii="Times New Roman" w:hAnsi="Times New Roman" w:cs="Times New Roman"/>
          <w:color w:val="000000"/>
          <w:sz w:val="24"/>
        </w:rPr>
        <w:t xml:space="preserve"> </w:t>
      </w:r>
      <w:r w:rsidR="005A770A">
        <w:rPr>
          <w:rFonts w:ascii="Times New Roman" w:hAnsi="Times New Roman" w:cs="Times New Roman"/>
          <w:color w:val="000000"/>
          <w:sz w:val="24"/>
        </w:rPr>
        <w:t>A</w:t>
      </w:r>
      <w:r>
        <w:rPr>
          <w:rFonts w:ascii="Times New Roman" w:hAnsi="Times New Roman" w:cs="Times New Roman"/>
          <w:color w:val="000000"/>
          <w:sz w:val="24"/>
        </w:rPr>
        <w:t>ccreditation can only be conferred when all requ</w:t>
      </w:r>
      <w:r w:rsidR="005A770A">
        <w:rPr>
          <w:rFonts w:ascii="Times New Roman" w:hAnsi="Times New Roman" w:cs="Times New Roman"/>
          <w:color w:val="000000"/>
          <w:sz w:val="24"/>
        </w:rPr>
        <w:t>ested information is submitted.</w:t>
      </w:r>
      <w:r w:rsidR="00E03B27">
        <w:rPr>
          <w:rFonts w:ascii="Times New Roman" w:hAnsi="Times New Roman" w:cs="Times New Roman"/>
          <w:color w:val="000000"/>
          <w:sz w:val="24"/>
        </w:rPr>
        <w:t>”</w:t>
      </w:r>
      <w:r>
        <w:rPr>
          <w:rFonts w:ascii="Times New Roman" w:hAnsi="Times New Roman" w:cs="Times New Roman"/>
          <w:color w:val="000000"/>
          <w:sz w:val="24"/>
        </w:rPr>
        <w:t xml:space="preserve"> </w:t>
      </w:r>
    </w:p>
    <w:p w14:paraId="121CE6FD" w14:textId="77777777" w:rsidR="0083571F" w:rsidRDefault="0083571F" w:rsidP="00490BC4">
      <w:pPr>
        <w:spacing w:after="120" w:line="240" w:lineRule="auto"/>
        <w:ind w:right="522"/>
        <w:rPr>
          <w:rStyle w:val="Hyperlink"/>
          <w:rFonts w:ascii="Times New Roman" w:hAnsi="Times New Roman"/>
          <w:color w:val="auto"/>
          <w:sz w:val="24"/>
          <w:szCs w:val="24"/>
          <w:u w:val="none"/>
        </w:rPr>
      </w:pPr>
    </w:p>
    <w:p w14:paraId="79D62085" w14:textId="470DB181" w:rsidR="00490BC4" w:rsidRDefault="0083571F" w:rsidP="00490BC4">
      <w:pPr>
        <w:spacing w:after="120" w:line="240" w:lineRule="auto"/>
        <w:ind w:right="522"/>
        <w:rPr>
          <w:rFonts w:ascii="Times New Roman" w:hAnsi="Times New Roman" w:cs="Times New Roman"/>
          <w:color w:val="000000"/>
          <w:sz w:val="24"/>
        </w:rPr>
      </w:pPr>
      <w:r>
        <w:rPr>
          <w:rStyle w:val="Hyperlink"/>
          <w:rFonts w:ascii="Times New Roman" w:hAnsi="Times New Roman"/>
          <w:color w:val="auto"/>
          <w:sz w:val="24"/>
          <w:szCs w:val="24"/>
          <w:u w:val="none"/>
        </w:rPr>
        <w:t>PII</w:t>
      </w:r>
      <w:r w:rsidR="000A6410">
        <w:rPr>
          <w:rStyle w:val="Hyperlink"/>
          <w:rFonts w:ascii="Times New Roman" w:hAnsi="Times New Roman"/>
          <w:color w:val="auto"/>
          <w:sz w:val="24"/>
          <w:szCs w:val="24"/>
          <w:u w:val="none"/>
        </w:rPr>
        <w:t xml:space="preserve"> </w:t>
      </w:r>
      <w:r w:rsidR="00F5698A">
        <w:rPr>
          <w:rStyle w:val="Hyperlink"/>
          <w:rFonts w:ascii="Times New Roman" w:hAnsi="Times New Roman"/>
          <w:color w:val="auto"/>
          <w:sz w:val="24"/>
          <w:szCs w:val="24"/>
          <w:u w:val="none"/>
        </w:rPr>
        <w:t>collected</w:t>
      </w:r>
      <w:r w:rsidR="000A6410" w:rsidRPr="00A27AB3">
        <w:rPr>
          <w:rStyle w:val="Hyperlink"/>
          <w:rFonts w:ascii="Times New Roman" w:hAnsi="Times New Roman"/>
          <w:color w:val="auto"/>
          <w:sz w:val="24"/>
          <w:szCs w:val="24"/>
          <w:u w:val="none"/>
        </w:rPr>
        <w:t xml:space="preserve"> </w:t>
      </w:r>
      <w:r w:rsidR="000A6410">
        <w:rPr>
          <w:rStyle w:val="Hyperlink"/>
          <w:rFonts w:ascii="Times New Roman" w:hAnsi="Times New Roman"/>
          <w:color w:val="auto"/>
          <w:sz w:val="24"/>
          <w:szCs w:val="24"/>
          <w:u w:val="none"/>
        </w:rPr>
        <w:t xml:space="preserve">on the TCEO New Participant Registration (Attachment </w:t>
      </w:r>
      <w:r w:rsidR="00E50697">
        <w:rPr>
          <w:rStyle w:val="Hyperlink"/>
          <w:rFonts w:ascii="Times New Roman" w:hAnsi="Times New Roman"/>
          <w:color w:val="auto"/>
          <w:sz w:val="24"/>
          <w:szCs w:val="24"/>
          <w:u w:val="none"/>
        </w:rPr>
        <w:t>4</w:t>
      </w:r>
      <w:r w:rsidR="000A6410">
        <w:rPr>
          <w:rStyle w:val="Hyperlink"/>
          <w:rFonts w:ascii="Times New Roman" w:hAnsi="Times New Roman"/>
          <w:color w:val="auto"/>
          <w:sz w:val="24"/>
          <w:szCs w:val="24"/>
          <w:u w:val="none"/>
        </w:rPr>
        <w:t xml:space="preserve">) </w:t>
      </w:r>
      <w:r w:rsidR="009A482B">
        <w:rPr>
          <w:rStyle w:val="Hyperlink"/>
          <w:rFonts w:ascii="Times New Roman" w:hAnsi="Times New Roman"/>
          <w:color w:val="auto"/>
          <w:sz w:val="24"/>
          <w:szCs w:val="24"/>
          <w:u w:val="none"/>
        </w:rPr>
        <w:t>include</w:t>
      </w:r>
      <w:r w:rsidR="007112A2">
        <w:rPr>
          <w:rStyle w:val="Hyperlink"/>
          <w:rFonts w:ascii="Times New Roman" w:hAnsi="Times New Roman"/>
          <w:color w:val="auto"/>
          <w:sz w:val="24"/>
          <w:szCs w:val="24"/>
          <w:u w:val="none"/>
        </w:rPr>
        <w:t>s</w:t>
      </w:r>
      <w:r w:rsidR="009A482B">
        <w:rPr>
          <w:rStyle w:val="Hyperlink"/>
          <w:rFonts w:ascii="Times New Roman" w:hAnsi="Times New Roman"/>
          <w:color w:val="auto"/>
          <w:sz w:val="24"/>
          <w:szCs w:val="24"/>
          <w:u w:val="none"/>
        </w:rPr>
        <w:t xml:space="preserve"> </w:t>
      </w:r>
      <w:r w:rsidR="004B0209">
        <w:rPr>
          <w:rStyle w:val="Hyperlink"/>
          <w:rFonts w:ascii="Times New Roman" w:hAnsi="Times New Roman"/>
          <w:color w:val="auto"/>
          <w:sz w:val="24"/>
          <w:szCs w:val="24"/>
          <w:u w:val="none"/>
        </w:rPr>
        <w:t>learners</w:t>
      </w:r>
      <w:r w:rsidR="009A482B">
        <w:rPr>
          <w:rStyle w:val="Hyperlink"/>
          <w:rFonts w:ascii="Times New Roman" w:hAnsi="Times New Roman"/>
          <w:color w:val="auto"/>
          <w:sz w:val="24"/>
          <w:szCs w:val="24"/>
          <w:u w:val="none"/>
        </w:rPr>
        <w:t xml:space="preserve">’ </w:t>
      </w:r>
      <w:r w:rsidR="000A6410" w:rsidRPr="00A27AB3">
        <w:rPr>
          <w:rStyle w:val="Hyperlink"/>
          <w:rFonts w:ascii="Times New Roman" w:hAnsi="Times New Roman"/>
          <w:color w:val="auto"/>
          <w:sz w:val="24"/>
          <w:szCs w:val="24"/>
          <w:u w:val="none"/>
        </w:rPr>
        <w:t>name, mailing address, phone numbers, and email address.</w:t>
      </w:r>
      <w:r w:rsidR="000A6410" w:rsidRPr="00E31A34">
        <w:rPr>
          <w:rFonts w:ascii="Times New Roman" w:hAnsi="Times New Roman" w:cs="Times New Roman"/>
          <w:sz w:val="24"/>
          <w:szCs w:val="24"/>
        </w:rPr>
        <w:t xml:space="preserve"> </w:t>
      </w:r>
      <w:r w:rsidR="000A6410">
        <w:rPr>
          <w:rFonts w:ascii="Times New Roman" w:hAnsi="Times New Roman" w:cs="Times New Roman"/>
          <w:sz w:val="24"/>
          <w:szCs w:val="24"/>
        </w:rPr>
        <w:t xml:space="preserve">Accreditation organizations require identifiable information </w:t>
      </w:r>
      <w:r w:rsidR="000A6410" w:rsidRPr="000617B1">
        <w:rPr>
          <w:rFonts w:ascii="Times New Roman" w:hAnsi="Times New Roman" w:cs="Times New Roman"/>
          <w:sz w:val="24"/>
          <w:szCs w:val="24"/>
        </w:rPr>
        <w:t xml:space="preserve">for tracking attendance in the course offerings, </w:t>
      </w:r>
      <w:r w:rsidR="000A6410">
        <w:rPr>
          <w:rFonts w:ascii="Times New Roman" w:hAnsi="Times New Roman" w:cs="Times New Roman"/>
          <w:sz w:val="24"/>
          <w:szCs w:val="24"/>
        </w:rPr>
        <w:t xml:space="preserve">authenticating the </w:t>
      </w:r>
      <w:r w:rsidR="000A6410" w:rsidRPr="000E7990">
        <w:rPr>
          <w:rFonts w:ascii="Times New Roman" w:hAnsi="Times New Roman" w:cs="Times New Roman"/>
          <w:sz w:val="24"/>
          <w:szCs w:val="24"/>
        </w:rPr>
        <w:t>i</w:t>
      </w:r>
      <w:r w:rsidR="009A482B" w:rsidRPr="000E7990">
        <w:rPr>
          <w:rFonts w:ascii="Times New Roman" w:hAnsi="Times New Roman" w:cs="Times New Roman"/>
          <w:sz w:val="24"/>
          <w:szCs w:val="24"/>
        </w:rPr>
        <w:t xml:space="preserve">ndividual learners who receive </w:t>
      </w:r>
      <w:r w:rsidR="006A3A03">
        <w:rPr>
          <w:rFonts w:ascii="Times New Roman" w:hAnsi="Times New Roman" w:cs="Times New Roman"/>
          <w:sz w:val="24"/>
          <w:szCs w:val="24"/>
        </w:rPr>
        <w:t>CE</w:t>
      </w:r>
      <w:r w:rsidR="000A6410" w:rsidRPr="000E7990">
        <w:rPr>
          <w:rFonts w:ascii="Times New Roman" w:hAnsi="Times New Roman" w:cs="Times New Roman"/>
          <w:sz w:val="24"/>
          <w:szCs w:val="24"/>
        </w:rPr>
        <w:t>, and managing transcript</w:t>
      </w:r>
      <w:r w:rsidR="009A482B" w:rsidRPr="000E7990">
        <w:rPr>
          <w:rFonts w:ascii="Times New Roman" w:hAnsi="Times New Roman" w:cs="Times New Roman"/>
          <w:sz w:val="24"/>
          <w:szCs w:val="24"/>
        </w:rPr>
        <w:t>s for</w:t>
      </w:r>
      <w:r w:rsidR="000A6410" w:rsidRPr="000E7990">
        <w:rPr>
          <w:rFonts w:ascii="Times New Roman" w:hAnsi="Times New Roman" w:cs="Times New Roman"/>
          <w:sz w:val="24"/>
          <w:szCs w:val="24"/>
        </w:rPr>
        <w:t xml:space="preserve"> learner</w:t>
      </w:r>
      <w:r w:rsidR="009A482B" w:rsidRPr="000E7990">
        <w:rPr>
          <w:rFonts w:ascii="Times New Roman" w:hAnsi="Times New Roman" w:cs="Times New Roman"/>
          <w:sz w:val="24"/>
          <w:szCs w:val="24"/>
        </w:rPr>
        <w:t>s</w:t>
      </w:r>
      <w:r w:rsidR="000A6410" w:rsidRPr="000E7990">
        <w:rPr>
          <w:rFonts w:ascii="Times New Roman" w:hAnsi="Times New Roman" w:cs="Times New Roman"/>
          <w:sz w:val="24"/>
          <w:szCs w:val="24"/>
        </w:rPr>
        <w:t xml:space="preserve">. </w:t>
      </w:r>
      <w:r w:rsidR="00490BC4" w:rsidRPr="000E7990">
        <w:rPr>
          <w:rFonts w:ascii="Times New Roman" w:hAnsi="Times New Roman" w:cs="Times New Roman"/>
          <w:color w:val="000000"/>
          <w:sz w:val="24"/>
        </w:rPr>
        <w:t xml:space="preserve">An advisement/consent notice is provided for all TCEO </w:t>
      </w:r>
      <w:r w:rsidR="00195BEB" w:rsidRPr="000E7990">
        <w:rPr>
          <w:rFonts w:ascii="Times New Roman" w:hAnsi="Times New Roman" w:cs="Times New Roman"/>
          <w:color w:val="000000"/>
          <w:sz w:val="24"/>
        </w:rPr>
        <w:t>new participation registrants</w:t>
      </w:r>
      <w:r w:rsidR="00490BC4" w:rsidRPr="000E7990">
        <w:rPr>
          <w:rFonts w:ascii="Times New Roman" w:hAnsi="Times New Roman" w:cs="Times New Roman"/>
          <w:color w:val="000000"/>
          <w:sz w:val="24"/>
        </w:rPr>
        <w:t xml:space="preserve"> and is clearly displayed immediately above </w:t>
      </w:r>
      <w:r w:rsidR="007112A2">
        <w:rPr>
          <w:rFonts w:ascii="Times New Roman" w:hAnsi="Times New Roman" w:cs="Times New Roman"/>
          <w:color w:val="000000"/>
          <w:sz w:val="24"/>
        </w:rPr>
        <w:t xml:space="preserve">the </w:t>
      </w:r>
      <w:r w:rsidR="00490BC4" w:rsidRPr="000E7990">
        <w:rPr>
          <w:rFonts w:ascii="Times New Roman" w:hAnsi="Times New Roman" w:cs="Times New Roman"/>
          <w:color w:val="000000"/>
          <w:sz w:val="24"/>
        </w:rPr>
        <w:t xml:space="preserve">Public Burden Statement section of the TCEO </w:t>
      </w:r>
      <w:r w:rsidR="00195BEB" w:rsidRPr="000E7990">
        <w:rPr>
          <w:rFonts w:ascii="Times New Roman" w:hAnsi="Times New Roman" w:cs="Times New Roman"/>
          <w:color w:val="000000"/>
          <w:sz w:val="24"/>
        </w:rPr>
        <w:t>New Participant Registration</w:t>
      </w:r>
      <w:r w:rsidR="00DA25DC">
        <w:rPr>
          <w:rFonts w:ascii="Times New Roman" w:hAnsi="Times New Roman" w:cs="Times New Roman"/>
          <w:color w:val="000000"/>
          <w:sz w:val="24"/>
        </w:rPr>
        <w:t xml:space="preserve"> on the login page.</w:t>
      </w:r>
      <w:r w:rsidR="00490BC4" w:rsidRPr="000E7990">
        <w:rPr>
          <w:rFonts w:ascii="Times New Roman" w:hAnsi="Times New Roman" w:cs="Times New Roman"/>
          <w:color w:val="000000"/>
          <w:sz w:val="24"/>
        </w:rPr>
        <w:t xml:space="preserve"> The statement is, “The Privacy Act applies to this information collection. The requested information is used </w:t>
      </w:r>
      <w:r w:rsidR="00195BEB" w:rsidRPr="000E7990">
        <w:rPr>
          <w:rFonts w:ascii="Times New Roman" w:hAnsi="Times New Roman" w:cs="Times New Roman"/>
          <w:color w:val="000000"/>
          <w:sz w:val="24"/>
        </w:rPr>
        <w:t>only to proce</w:t>
      </w:r>
      <w:r w:rsidR="000E7990" w:rsidRPr="000E7990">
        <w:rPr>
          <w:rFonts w:ascii="Times New Roman" w:hAnsi="Times New Roman" w:cs="Times New Roman"/>
          <w:color w:val="000000"/>
          <w:sz w:val="24"/>
        </w:rPr>
        <w:t>ss your training registration. CDC will treat data/information in a secure manner and will not disclose unless otherwise compelled by law</w:t>
      </w:r>
      <w:r w:rsidR="007112A2">
        <w:rPr>
          <w:rFonts w:ascii="Times New Roman" w:hAnsi="Times New Roman" w:cs="Times New Roman"/>
          <w:color w:val="000000"/>
          <w:sz w:val="24"/>
        </w:rPr>
        <w:t xml:space="preserve"> or upon your written request. </w:t>
      </w:r>
      <w:r w:rsidR="000E7990" w:rsidRPr="000E7990">
        <w:rPr>
          <w:rFonts w:ascii="Times New Roman" w:hAnsi="Times New Roman" w:cs="Times New Roman"/>
          <w:color w:val="000000"/>
          <w:sz w:val="24"/>
        </w:rPr>
        <w:t>Continuing education credit, contact hours, or units can only be provided when all requested information is submitted</w:t>
      </w:r>
      <w:r w:rsidR="00490BC4" w:rsidRPr="000E7990">
        <w:rPr>
          <w:rFonts w:ascii="Times New Roman" w:hAnsi="Times New Roman" w:cs="Times New Roman"/>
          <w:color w:val="000000"/>
          <w:sz w:val="24"/>
        </w:rPr>
        <w:t>.”</w:t>
      </w:r>
      <w:r w:rsidR="00490BC4">
        <w:rPr>
          <w:rFonts w:ascii="Times New Roman" w:hAnsi="Times New Roman" w:cs="Times New Roman"/>
          <w:color w:val="000000"/>
          <w:sz w:val="24"/>
        </w:rPr>
        <w:t xml:space="preserve"> </w:t>
      </w:r>
    </w:p>
    <w:p w14:paraId="26AA7964" w14:textId="77777777" w:rsidR="00DA25DC" w:rsidRDefault="00DA25DC" w:rsidP="00DA25DC">
      <w:pPr>
        <w:spacing w:after="120" w:line="240" w:lineRule="auto"/>
        <w:ind w:right="522"/>
        <w:rPr>
          <w:rFonts w:ascii="Times New Roman" w:hAnsi="Times New Roman" w:cs="Times New Roman"/>
          <w:sz w:val="24"/>
          <w:szCs w:val="24"/>
        </w:rPr>
      </w:pPr>
    </w:p>
    <w:p w14:paraId="74FFBA88" w14:textId="77777777" w:rsidR="00226DF5" w:rsidRPr="00DA25DC" w:rsidRDefault="00226DF5" w:rsidP="00DA25DC">
      <w:pPr>
        <w:spacing w:after="120" w:line="240" w:lineRule="auto"/>
        <w:ind w:right="522"/>
        <w:rPr>
          <w:rFonts w:ascii="Times New Roman" w:hAnsi="Times New Roman" w:cs="Times New Roman"/>
          <w:sz w:val="24"/>
          <w:szCs w:val="24"/>
        </w:rPr>
      </w:pPr>
      <w:r w:rsidRPr="00DA25DC">
        <w:rPr>
          <w:rFonts w:ascii="Times New Roman" w:hAnsi="Times New Roman" w:cs="Times New Roman"/>
          <w:sz w:val="24"/>
          <w:szCs w:val="24"/>
        </w:rPr>
        <w:t xml:space="preserve">The following question and </w:t>
      </w:r>
      <w:r w:rsidR="00DA25DC">
        <w:rPr>
          <w:rFonts w:ascii="Times New Roman" w:hAnsi="Times New Roman" w:cs="Times New Roman"/>
          <w:sz w:val="24"/>
          <w:szCs w:val="24"/>
        </w:rPr>
        <w:t>answer</w:t>
      </w:r>
      <w:r w:rsidRPr="00DA25DC">
        <w:rPr>
          <w:rFonts w:ascii="Times New Roman" w:hAnsi="Times New Roman" w:cs="Times New Roman"/>
          <w:sz w:val="24"/>
          <w:szCs w:val="24"/>
        </w:rPr>
        <w:t xml:space="preserve"> is included in the frequently asked question</w:t>
      </w:r>
      <w:r w:rsidR="00CA1619">
        <w:rPr>
          <w:rFonts w:ascii="Times New Roman" w:hAnsi="Times New Roman" w:cs="Times New Roman"/>
          <w:sz w:val="24"/>
          <w:szCs w:val="24"/>
        </w:rPr>
        <w:t>s</w:t>
      </w:r>
      <w:r w:rsidRPr="00DA25DC">
        <w:rPr>
          <w:rFonts w:ascii="Times New Roman" w:hAnsi="Times New Roman" w:cs="Times New Roman"/>
          <w:sz w:val="24"/>
          <w:szCs w:val="24"/>
        </w:rPr>
        <w:t xml:space="preserve"> (FAQ) section </w:t>
      </w:r>
      <w:r w:rsidR="00CA1619">
        <w:rPr>
          <w:rFonts w:ascii="Times New Roman" w:hAnsi="Times New Roman" w:cs="Times New Roman"/>
          <w:sz w:val="24"/>
          <w:szCs w:val="24"/>
        </w:rPr>
        <w:t>on</w:t>
      </w:r>
      <w:r w:rsidR="00CA1619" w:rsidRPr="00DA25DC">
        <w:rPr>
          <w:rFonts w:ascii="Times New Roman" w:hAnsi="Times New Roman" w:cs="Times New Roman"/>
          <w:sz w:val="24"/>
          <w:szCs w:val="24"/>
        </w:rPr>
        <w:t xml:space="preserve"> </w:t>
      </w:r>
      <w:r w:rsidRPr="00DA25DC">
        <w:rPr>
          <w:rFonts w:ascii="Times New Roman" w:hAnsi="Times New Roman" w:cs="Times New Roman"/>
          <w:sz w:val="24"/>
          <w:szCs w:val="24"/>
        </w:rPr>
        <w:t>the TCEO</w:t>
      </w:r>
      <w:r w:rsidR="00CA1619">
        <w:rPr>
          <w:rFonts w:ascii="Times New Roman" w:hAnsi="Times New Roman" w:cs="Times New Roman"/>
          <w:sz w:val="24"/>
          <w:szCs w:val="24"/>
        </w:rPr>
        <w:t xml:space="preserve"> website</w:t>
      </w:r>
      <w:r w:rsidRPr="00DA25DC">
        <w:rPr>
          <w:rFonts w:ascii="Times New Roman" w:hAnsi="Times New Roman" w:cs="Times New Roman"/>
          <w:sz w:val="24"/>
          <w:szCs w:val="24"/>
        </w:rPr>
        <w:t>.</w:t>
      </w:r>
    </w:p>
    <w:p w14:paraId="11A3DF02" w14:textId="77777777" w:rsidR="00226DF5" w:rsidRPr="00DA25DC" w:rsidRDefault="00226DF5" w:rsidP="00DA25DC">
      <w:pPr>
        <w:spacing w:after="120" w:line="240" w:lineRule="auto"/>
        <w:ind w:right="522"/>
        <w:rPr>
          <w:rFonts w:ascii="Times New Roman" w:hAnsi="Times New Roman" w:cs="Times New Roman"/>
          <w:sz w:val="24"/>
          <w:szCs w:val="24"/>
        </w:rPr>
      </w:pPr>
    </w:p>
    <w:p w14:paraId="56AEFCE8" w14:textId="77777777" w:rsidR="00226DF5" w:rsidRPr="00DA25DC" w:rsidRDefault="00226DF5" w:rsidP="00DC6277">
      <w:pPr>
        <w:spacing w:after="120" w:line="240" w:lineRule="auto"/>
        <w:ind w:left="540" w:right="522"/>
        <w:rPr>
          <w:rFonts w:ascii="Times New Roman" w:hAnsi="Times New Roman" w:cs="Times New Roman"/>
          <w:sz w:val="24"/>
          <w:szCs w:val="24"/>
        </w:rPr>
      </w:pPr>
      <w:r w:rsidRPr="00D45D93">
        <w:rPr>
          <w:rFonts w:ascii="Times New Roman" w:hAnsi="Times New Roman" w:cs="Times New Roman"/>
          <w:i/>
          <w:sz w:val="24"/>
          <w:szCs w:val="24"/>
        </w:rPr>
        <w:t>Question:</w:t>
      </w:r>
      <w:r w:rsidRPr="00DA25DC">
        <w:rPr>
          <w:rFonts w:ascii="Times New Roman" w:hAnsi="Times New Roman" w:cs="Times New Roman"/>
          <w:sz w:val="24"/>
          <w:szCs w:val="24"/>
        </w:rPr>
        <w:t xml:space="preserve"> How is my information protected?</w:t>
      </w:r>
    </w:p>
    <w:p w14:paraId="12293E6E" w14:textId="77777777" w:rsidR="00226DF5" w:rsidRPr="00DA25DC" w:rsidRDefault="00226DF5" w:rsidP="00DC6277">
      <w:pPr>
        <w:spacing w:after="120" w:line="240" w:lineRule="auto"/>
        <w:ind w:left="540" w:right="522"/>
        <w:rPr>
          <w:rFonts w:ascii="Times New Roman" w:hAnsi="Times New Roman" w:cs="Times New Roman"/>
          <w:sz w:val="24"/>
          <w:szCs w:val="24"/>
        </w:rPr>
      </w:pPr>
    </w:p>
    <w:p w14:paraId="534CB5E3" w14:textId="77777777" w:rsidR="00DA25DC" w:rsidRDefault="00226DF5" w:rsidP="00DC6277">
      <w:pPr>
        <w:spacing w:after="120" w:line="240" w:lineRule="auto"/>
        <w:ind w:left="540" w:right="522"/>
        <w:rPr>
          <w:rFonts w:ascii="Times New Roman" w:hAnsi="Times New Roman" w:cs="Times New Roman"/>
          <w:sz w:val="24"/>
          <w:szCs w:val="24"/>
        </w:rPr>
      </w:pPr>
      <w:r w:rsidRPr="00D45D93">
        <w:rPr>
          <w:rFonts w:ascii="Times New Roman" w:hAnsi="Times New Roman" w:cs="Times New Roman"/>
          <w:i/>
          <w:sz w:val="24"/>
          <w:szCs w:val="24"/>
        </w:rPr>
        <w:t>Answer:</w:t>
      </w:r>
      <w:r w:rsidRPr="00DA25DC">
        <w:rPr>
          <w:rFonts w:ascii="Times New Roman" w:hAnsi="Times New Roman" w:cs="Times New Roman"/>
          <w:sz w:val="24"/>
          <w:szCs w:val="24"/>
        </w:rPr>
        <w:t xml:space="preserve"> This is a secure website on a CDC web server that uses encryption to protect the information that you provide. Information in your individual Training and Continuing Education Online (TCEO) account is accessible to you and CDC for reporting purposes and to provide assistance. Some account information is accessible by the TCEO Learner Support team to help you access your account or use the system. For reporting purposes, TCEO data </w:t>
      </w:r>
      <w:r w:rsidR="00A63160">
        <w:rPr>
          <w:rFonts w:ascii="Times New Roman" w:hAnsi="Times New Roman" w:cs="Times New Roman"/>
          <w:sz w:val="24"/>
          <w:szCs w:val="24"/>
        </w:rPr>
        <w:t xml:space="preserve">are </w:t>
      </w:r>
      <w:r w:rsidRPr="00DA25DC">
        <w:rPr>
          <w:rFonts w:ascii="Times New Roman" w:hAnsi="Times New Roman" w:cs="Times New Roman"/>
          <w:sz w:val="24"/>
          <w:szCs w:val="24"/>
        </w:rPr>
        <w:t>shared with accrediting organizations as required and course data (information about the group of people who took a course) may be summarized and shared with course providers for evaluation and program improvement purposes.</w:t>
      </w:r>
    </w:p>
    <w:p w14:paraId="40EA9A95" w14:textId="77777777" w:rsidR="00226DF5" w:rsidRDefault="00226DF5" w:rsidP="00DC6277">
      <w:pPr>
        <w:spacing w:after="120" w:line="240" w:lineRule="auto"/>
        <w:ind w:left="540" w:right="522"/>
        <w:rPr>
          <w:rFonts w:ascii="Times New Roman" w:hAnsi="Times New Roman" w:cs="Times New Roman"/>
          <w:sz w:val="24"/>
          <w:szCs w:val="24"/>
        </w:rPr>
      </w:pPr>
      <w:r w:rsidRPr="00DA25DC">
        <w:rPr>
          <w:rFonts w:ascii="Times New Roman" w:hAnsi="Times New Roman" w:cs="Times New Roman"/>
          <w:sz w:val="24"/>
          <w:szCs w:val="24"/>
        </w:rPr>
        <w:t>To ensure your account information remains protected, we recommend that when you are done using TCEO, select the Sign Out button in the top right corner of the website. For additional security, after 15 minutes with no activity on a TCEO webpage, you will receive a pop-up warning. After 20 minutes of no activity on a TCEO page, you will automatically be signed out to prevent anyone from accessing your information.</w:t>
      </w:r>
    </w:p>
    <w:p w14:paraId="03392D29" w14:textId="77777777" w:rsidR="00226DF5" w:rsidRDefault="00226DF5" w:rsidP="000C70CE">
      <w:pPr>
        <w:spacing w:after="120" w:line="240" w:lineRule="auto"/>
        <w:ind w:right="522"/>
        <w:rPr>
          <w:rFonts w:ascii="Times New Roman" w:hAnsi="Times New Roman" w:cs="Times New Roman"/>
          <w:sz w:val="24"/>
          <w:szCs w:val="24"/>
        </w:rPr>
      </w:pPr>
    </w:p>
    <w:p w14:paraId="43862801" w14:textId="0A6FC320" w:rsidR="001F6FB7" w:rsidRDefault="000C70CE" w:rsidP="000C70CE">
      <w:pPr>
        <w:spacing w:after="120" w:line="240" w:lineRule="auto"/>
        <w:ind w:right="522"/>
        <w:rPr>
          <w:rFonts w:ascii="Times New Roman" w:hAnsi="Times New Roman" w:cs="Times New Roman"/>
          <w:sz w:val="24"/>
          <w:szCs w:val="24"/>
        </w:rPr>
      </w:pPr>
      <w:r>
        <w:rPr>
          <w:rFonts w:ascii="Times New Roman" w:hAnsi="Times New Roman" w:cs="Times New Roman"/>
          <w:sz w:val="24"/>
          <w:szCs w:val="24"/>
        </w:rPr>
        <w:t xml:space="preserve">No </w:t>
      </w:r>
      <w:r w:rsidRPr="004B16F8">
        <w:rPr>
          <w:rFonts w:ascii="Times New Roman" w:hAnsi="Times New Roman" w:cs="Times New Roman"/>
          <w:sz w:val="24"/>
          <w:szCs w:val="24"/>
        </w:rPr>
        <w:t>PII is collected by the TCEO Post-</w:t>
      </w:r>
      <w:r w:rsidR="00D87C62">
        <w:rPr>
          <w:rFonts w:ascii="Times New Roman" w:hAnsi="Times New Roman" w:cs="Times New Roman"/>
          <w:sz w:val="24"/>
          <w:szCs w:val="24"/>
        </w:rPr>
        <w:t>C</w:t>
      </w:r>
      <w:r w:rsidRPr="004B16F8">
        <w:rPr>
          <w:rFonts w:ascii="Times New Roman" w:hAnsi="Times New Roman" w:cs="Times New Roman"/>
          <w:sz w:val="24"/>
          <w:szCs w:val="24"/>
        </w:rPr>
        <w:t>ourse Evaluation (A</w:t>
      </w:r>
      <w:r w:rsidR="00E50697">
        <w:rPr>
          <w:rFonts w:ascii="Times New Roman" w:hAnsi="Times New Roman" w:cs="Times New Roman"/>
          <w:sz w:val="24"/>
          <w:szCs w:val="24"/>
        </w:rPr>
        <w:t>ttachment 5</w:t>
      </w:r>
      <w:r w:rsidRPr="004B16F8">
        <w:rPr>
          <w:rFonts w:ascii="Times New Roman" w:hAnsi="Times New Roman" w:cs="Times New Roman"/>
          <w:sz w:val="24"/>
          <w:szCs w:val="24"/>
        </w:rPr>
        <w:t>)</w:t>
      </w:r>
      <w:r w:rsidR="004B16F8" w:rsidRPr="004B16F8">
        <w:rPr>
          <w:rFonts w:ascii="Times New Roman" w:hAnsi="Times New Roman" w:cs="Times New Roman"/>
          <w:sz w:val="24"/>
          <w:szCs w:val="24"/>
        </w:rPr>
        <w:t xml:space="preserve"> or the </w:t>
      </w:r>
      <w:r w:rsidRPr="004B16F8">
        <w:rPr>
          <w:rFonts w:ascii="Times New Roman" w:hAnsi="Times New Roman" w:cs="Times New Roman"/>
          <w:sz w:val="24"/>
          <w:szCs w:val="24"/>
        </w:rPr>
        <w:t>TCEO Follow-up Evaluation</w:t>
      </w:r>
      <w:r w:rsidR="00131B5B">
        <w:rPr>
          <w:rFonts w:ascii="Times New Roman" w:hAnsi="Times New Roman" w:cs="Times New Roman"/>
          <w:sz w:val="24"/>
          <w:szCs w:val="24"/>
        </w:rPr>
        <w:t xml:space="preserve"> </w:t>
      </w:r>
      <w:r w:rsidR="00E50697">
        <w:rPr>
          <w:rFonts w:ascii="Times New Roman" w:hAnsi="Times New Roman" w:cs="Times New Roman"/>
          <w:sz w:val="24"/>
          <w:szCs w:val="24"/>
        </w:rPr>
        <w:t>(Attachment 6</w:t>
      </w:r>
      <w:r w:rsidRPr="004B16F8">
        <w:rPr>
          <w:rFonts w:ascii="Times New Roman" w:hAnsi="Times New Roman" w:cs="Times New Roman"/>
          <w:sz w:val="24"/>
          <w:szCs w:val="24"/>
        </w:rPr>
        <w:t xml:space="preserve">).  The PII </w:t>
      </w:r>
      <w:r w:rsidR="00E51C18">
        <w:rPr>
          <w:rFonts w:ascii="Times New Roman" w:hAnsi="Times New Roman" w:cs="Times New Roman"/>
          <w:sz w:val="24"/>
          <w:szCs w:val="24"/>
        </w:rPr>
        <w:t>associated with</w:t>
      </w:r>
      <w:r w:rsidRPr="004B16F8">
        <w:rPr>
          <w:rFonts w:ascii="Times New Roman" w:hAnsi="Times New Roman" w:cs="Times New Roman"/>
          <w:sz w:val="24"/>
          <w:szCs w:val="24"/>
        </w:rPr>
        <w:t xml:space="preserve"> the learner</w:t>
      </w:r>
      <w:r w:rsidR="00D87C62">
        <w:rPr>
          <w:rFonts w:ascii="Times New Roman" w:hAnsi="Times New Roman" w:cs="Times New Roman"/>
          <w:sz w:val="24"/>
          <w:szCs w:val="24"/>
        </w:rPr>
        <w:t>’</w:t>
      </w:r>
      <w:r w:rsidRPr="004B16F8">
        <w:rPr>
          <w:rFonts w:ascii="Times New Roman" w:hAnsi="Times New Roman" w:cs="Times New Roman"/>
          <w:sz w:val="24"/>
          <w:szCs w:val="24"/>
        </w:rPr>
        <w:t>s New Participant Registration is encrypted.</w:t>
      </w:r>
    </w:p>
    <w:p w14:paraId="0CB98B5B" w14:textId="77777777" w:rsidR="00226DF5" w:rsidRDefault="00226DF5" w:rsidP="001F6FB7">
      <w:pPr>
        <w:spacing w:after="120" w:line="240" w:lineRule="auto"/>
        <w:ind w:right="522"/>
        <w:rPr>
          <w:rFonts w:ascii="Times New Roman" w:hAnsi="Times New Roman" w:cs="Times New Roman"/>
          <w:sz w:val="24"/>
          <w:szCs w:val="24"/>
        </w:rPr>
      </w:pPr>
    </w:p>
    <w:p w14:paraId="4523D622" w14:textId="77777777" w:rsidR="001F6FB7" w:rsidRDefault="001F6FB7" w:rsidP="001F6FB7">
      <w:pPr>
        <w:spacing w:after="120" w:line="240" w:lineRule="auto"/>
        <w:ind w:right="522"/>
        <w:rPr>
          <w:rFonts w:ascii="Times New Roman" w:hAnsi="Times New Roman" w:cs="Times New Roman"/>
          <w:sz w:val="24"/>
          <w:szCs w:val="24"/>
        </w:rPr>
      </w:pPr>
      <w:r>
        <w:rPr>
          <w:rFonts w:ascii="Times New Roman" w:hAnsi="Times New Roman" w:cs="Times New Roman"/>
          <w:sz w:val="24"/>
          <w:szCs w:val="24"/>
        </w:rPr>
        <w:t xml:space="preserve">Personal information is maintained for at least </w:t>
      </w:r>
      <w:r w:rsidR="00615055">
        <w:rPr>
          <w:rFonts w:ascii="Times New Roman" w:hAnsi="Times New Roman" w:cs="Times New Roman"/>
          <w:sz w:val="24"/>
          <w:szCs w:val="24"/>
        </w:rPr>
        <w:t>seven</w:t>
      </w:r>
      <w:r>
        <w:rPr>
          <w:rFonts w:ascii="Times New Roman" w:hAnsi="Times New Roman" w:cs="Times New Roman"/>
          <w:sz w:val="24"/>
          <w:szCs w:val="24"/>
        </w:rPr>
        <w:t xml:space="preserve"> years. CDC will retain and destroy records in accordance with the applicable CDC Records Control Schedule.</w:t>
      </w:r>
    </w:p>
    <w:p w14:paraId="0ADAB969" w14:textId="77777777" w:rsidR="00E475F8" w:rsidRDefault="00E475F8" w:rsidP="00702B9E">
      <w:pPr>
        <w:widowControl w:val="0"/>
        <w:tabs>
          <w:tab w:val="left" w:pos="0"/>
        </w:tabs>
        <w:spacing w:after="0" w:line="240" w:lineRule="auto"/>
        <w:rPr>
          <w:rFonts w:ascii="Times New Roman" w:hAnsi="Times New Roman" w:cs="Times New Roman"/>
          <w:color w:val="000000"/>
          <w:sz w:val="24"/>
          <w:szCs w:val="24"/>
        </w:rPr>
      </w:pPr>
    </w:p>
    <w:p w14:paraId="0407A992" w14:textId="77777777" w:rsidR="00830174" w:rsidRPr="00EF1F39" w:rsidRDefault="007112A2" w:rsidP="009B4623">
      <w:pPr>
        <w:widowControl w:val="0"/>
        <w:tabs>
          <w:tab w:val="left" w:pos="0"/>
        </w:tabs>
        <w:spacing w:after="0" w:line="240" w:lineRule="auto"/>
        <w:rPr>
          <w:rFonts w:ascii="Times New Roman" w:hAnsi="Times New Roman" w:cs="Times New Roman"/>
          <w:b/>
          <w:color w:val="000000"/>
          <w:sz w:val="24"/>
          <w:szCs w:val="24"/>
        </w:rPr>
      </w:pPr>
      <w:r>
        <w:rPr>
          <w:rFonts w:ascii="Times New Roman" w:hAnsi="Times New Roman" w:cs="Times New Roman"/>
          <w:color w:val="000000"/>
          <w:sz w:val="24"/>
          <w:szCs w:val="24"/>
        </w:rPr>
        <w:t xml:space="preserve">TCEO allows CDC TCEO staff to use the information collected through password and firewall protections to efficiently process and review </w:t>
      </w:r>
      <w:r w:rsidR="0013029E" w:rsidRPr="0013029E">
        <w:rPr>
          <w:rFonts w:ascii="Times New Roman" w:hAnsi="Times New Roman" w:cs="Times New Roman"/>
          <w:sz w:val="24"/>
          <w:szCs w:val="24"/>
        </w:rPr>
        <w:t>educational developers</w:t>
      </w:r>
      <w:r>
        <w:rPr>
          <w:rFonts w:ascii="Times New Roman" w:hAnsi="Times New Roman" w:cs="Times New Roman"/>
          <w:sz w:val="24"/>
          <w:szCs w:val="24"/>
        </w:rPr>
        <w:t>’</w:t>
      </w:r>
      <w:r w:rsidRPr="00277BC0">
        <w:rPr>
          <w:rFonts w:ascii="Times New Roman" w:hAnsi="Times New Roman" w:cs="Times New Roman"/>
          <w:sz w:val="24"/>
          <w:szCs w:val="24"/>
        </w:rPr>
        <w:t xml:space="preserve"> </w:t>
      </w:r>
      <w:r>
        <w:rPr>
          <w:rFonts w:ascii="Times New Roman" w:hAnsi="Times New Roman" w:cs="Times New Roman"/>
          <w:color w:val="000000"/>
          <w:sz w:val="24"/>
          <w:szCs w:val="24"/>
        </w:rPr>
        <w:t xml:space="preserve">submissions to ensure </w:t>
      </w:r>
      <w:r>
        <w:rPr>
          <w:rFonts w:ascii="Times New Roman" w:hAnsi="Times New Roman" w:cs="Times New Roman"/>
          <w:sz w:val="24"/>
          <w:szCs w:val="24"/>
        </w:rPr>
        <w:t>national accreditation standar</w:t>
      </w:r>
      <w:r w:rsidR="00B21D02">
        <w:rPr>
          <w:rFonts w:ascii="Times New Roman" w:hAnsi="Times New Roman" w:cs="Times New Roman"/>
          <w:sz w:val="24"/>
          <w:szCs w:val="24"/>
        </w:rPr>
        <w:t xml:space="preserve">ds are met </w:t>
      </w:r>
      <w:r w:rsidR="00E51C18">
        <w:rPr>
          <w:rFonts w:ascii="Times New Roman" w:hAnsi="Times New Roman" w:cs="Times New Roman"/>
          <w:sz w:val="24"/>
          <w:szCs w:val="24"/>
        </w:rPr>
        <w:t>before</w:t>
      </w:r>
      <w:r w:rsidR="00B21D02">
        <w:rPr>
          <w:rFonts w:ascii="Times New Roman" w:hAnsi="Times New Roman" w:cs="Times New Roman"/>
          <w:sz w:val="24"/>
          <w:szCs w:val="24"/>
        </w:rPr>
        <w:t xml:space="preserve"> accrediting educational </w:t>
      </w:r>
      <w:r>
        <w:rPr>
          <w:rFonts w:ascii="Times New Roman" w:hAnsi="Times New Roman" w:cs="Times New Roman"/>
          <w:sz w:val="24"/>
          <w:szCs w:val="24"/>
        </w:rPr>
        <w:t>activities.</w:t>
      </w:r>
      <w:r w:rsidR="007F689E">
        <w:rPr>
          <w:rFonts w:ascii="Times New Roman" w:hAnsi="Times New Roman" w:cs="Times New Roman"/>
          <w:color w:val="000000"/>
          <w:sz w:val="24"/>
          <w:szCs w:val="24"/>
        </w:rPr>
        <w:t xml:space="preserve"> CDC</w:t>
      </w:r>
      <w:r w:rsidR="00B21D02">
        <w:rPr>
          <w:rFonts w:ascii="Times New Roman" w:hAnsi="Times New Roman" w:cs="Times New Roman"/>
          <w:color w:val="000000"/>
          <w:sz w:val="24"/>
          <w:szCs w:val="24"/>
        </w:rPr>
        <w:t>’s TCEO staff</w:t>
      </w:r>
      <w:r w:rsidR="007F689E">
        <w:rPr>
          <w:rFonts w:ascii="Times New Roman" w:hAnsi="Times New Roman" w:cs="Times New Roman"/>
          <w:color w:val="000000"/>
          <w:sz w:val="24"/>
          <w:szCs w:val="24"/>
        </w:rPr>
        <w:t xml:space="preserve"> use the information collected through password and firewall protections to efficiently pr</w:t>
      </w:r>
      <w:r w:rsidR="00830174">
        <w:rPr>
          <w:rFonts w:ascii="Times New Roman" w:hAnsi="Times New Roman" w:cs="Times New Roman"/>
          <w:color w:val="000000"/>
          <w:sz w:val="24"/>
          <w:szCs w:val="24"/>
        </w:rPr>
        <w:t xml:space="preserve">ocess new </w:t>
      </w:r>
      <w:r w:rsidR="00B21D02">
        <w:rPr>
          <w:rFonts w:ascii="Times New Roman" w:hAnsi="Times New Roman" w:cs="Times New Roman"/>
          <w:color w:val="000000"/>
          <w:sz w:val="24"/>
          <w:szCs w:val="24"/>
        </w:rPr>
        <w:t>participants</w:t>
      </w:r>
      <w:r w:rsidR="00830174">
        <w:rPr>
          <w:rFonts w:ascii="Times New Roman" w:hAnsi="Times New Roman" w:cs="Times New Roman"/>
          <w:color w:val="000000"/>
          <w:sz w:val="24"/>
          <w:szCs w:val="24"/>
        </w:rPr>
        <w:t>’ registrations</w:t>
      </w:r>
      <w:r w:rsidR="00EF1F39">
        <w:rPr>
          <w:rFonts w:ascii="Times New Roman" w:hAnsi="Times New Roman" w:cs="Times New Roman"/>
          <w:color w:val="000000"/>
          <w:sz w:val="24"/>
          <w:szCs w:val="24"/>
        </w:rPr>
        <w:t xml:space="preserve"> and</w:t>
      </w:r>
      <w:r w:rsidR="00830174">
        <w:rPr>
          <w:rFonts w:ascii="Times New Roman" w:hAnsi="Times New Roman" w:cs="Times New Roman"/>
          <w:color w:val="000000"/>
          <w:sz w:val="24"/>
          <w:szCs w:val="24"/>
        </w:rPr>
        <w:t xml:space="preserve"> post-course evaluations</w:t>
      </w:r>
      <w:r w:rsidR="00EF1F3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ensure </w:t>
      </w:r>
      <w:r w:rsidR="0096614D">
        <w:rPr>
          <w:rFonts w:ascii="Times New Roman" w:hAnsi="Times New Roman" w:cs="Times New Roman"/>
          <w:color w:val="000000"/>
          <w:sz w:val="24"/>
          <w:szCs w:val="24"/>
        </w:rPr>
        <w:t>learners</w:t>
      </w:r>
      <w:r w:rsidR="00B21D02">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receive the</w:t>
      </w:r>
      <w:r w:rsidR="00830174">
        <w:rPr>
          <w:rFonts w:ascii="Times New Roman" w:hAnsi="Times New Roman" w:cs="Times New Roman"/>
          <w:color w:val="000000"/>
          <w:sz w:val="24"/>
          <w:szCs w:val="24"/>
        </w:rPr>
        <w:t xml:space="preserve"> </w:t>
      </w:r>
      <w:r w:rsidR="00B21D02">
        <w:rPr>
          <w:rFonts w:ascii="Times New Roman" w:hAnsi="Times New Roman" w:cs="Times New Roman"/>
          <w:color w:val="000000"/>
          <w:sz w:val="24"/>
          <w:szCs w:val="24"/>
        </w:rPr>
        <w:t xml:space="preserve">CE </w:t>
      </w:r>
      <w:r>
        <w:rPr>
          <w:rFonts w:ascii="Times New Roman" w:hAnsi="Times New Roman" w:cs="Times New Roman"/>
          <w:color w:val="000000"/>
          <w:sz w:val="24"/>
          <w:szCs w:val="24"/>
        </w:rPr>
        <w:t xml:space="preserve">they earned </w:t>
      </w:r>
      <w:r w:rsidR="00830174">
        <w:rPr>
          <w:rFonts w:ascii="Times New Roman" w:hAnsi="Times New Roman" w:cs="Times New Roman"/>
          <w:color w:val="000000"/>
          <w:sz w:val="24"/>
          <w:szCs w:val="24"/>
        </w:rPr>
        <w:t xml:space="preserve">to maintain professional </w:t>
      </w:r>
      <w:r w:rsidR="00CA75AE">
        <w:rPr>
          <w:rFonts w:ascii="Times New Roman" w:hAnsi="Times New Roman" w:cs="Times New Roman"/>
          <w:color w:val="000000"/>
          <w:sz w:val="24"/>
          <w:szCs w:val="24"/>
        </w:rPr>
        <w:t>licensures</w:t>
      </w:r>
      <w:r w:rsidR="000F43AC" w:rsidRPr="000F43AC">
        <w:rPr>
          <w:rFonts w:ascii="Times New Roman" w:hAnsi="Times New Roman" w:cs="Times New Roman"/>
          <w:color w:val="000000"/>
          <w:sz w:val="24"/>
          <w:szCs w:val="24"/>
        </w:rPr>
        <w:t xml:space="preserve"> and certifications, </w:t>
      </w:r>
      <w:r w:rsidR="00830174" w:rsidRPr="00BD135D">
        <w:rPr>
          <w:rFonts w:ascii="Times New Roman" w:hAnsi="Times New Roman" w:cs="Times New Roman"/>
          <w:color w:val="000000"/>
          <w:sz w:val="24"/>
          <w:szCs w:val="24"/>
        </w:rPr>
        <w:t>generat</w:t>
      </w:r>
      <w:r w:rsidR="00830174">
        <w:rPr>
          <w:rFonts w:ascii="Times New Roman" w:hAnsi="Times New Roman" w:cs="Times New Roman"/>
          <w:color w:val="000000"/>
          <w:sz w:val="24"/>
          <w:szCs w:val="24"/>
        </w:rPr>
        <w:t>e</w:t>
      </w:r>
      <w:r w:rsidR="00830174" w:rsidRPr="00BD135D">
        <w:rPr>
          <w:rFonts w:ascii="Times New Roman" w:hAnsi="Times New Roman" w:cs="Times New Roman"/>
          <w:color w:val="000000"/>
          <w:sz w:val="24"/>
          <w:szCs w:val="24"/>
        </w:rPr>
        <w:t xml:space="preserve"> certificates of attendance and </w:t>
      </w:r>
      <w:r w:rsidR="0018409E">
        <w:rPr>
          <w:rFonts w:ascii="Times New Roman" w:hAnsi="Times New Roman" w:cs="Times New Roman"/>
          <w:color w:val="000000"/>
          <w:sz w:val="24"/>
          <w:szCs w:val="24"/>
        </w:rPr>
        <w:t>CE</w:t>
      </w:r>
      <w:r w:rsidR="00830174" w:rsidRPr="00BD135D">
        <w:rPr>
          <w:rFonts w:ascii="Times New Roman" w:hAnsi="Times New Roman" w:cs="Times New Roman"/>
          <w:color w:val="000000"/>
          <w:sz w:val="24"/>
          <w:szCs w:val="24"/>
        </w:rPr>
        <w:t xml:space="preserve"> as verification of trai</w:t>
      </w:r>
      <w:r w:rsidR="00830174">
        <w:rPr>
          <w:rFonts w:ascii="Times New Roman" w:hAnsi="Times New Roman" w:cs="Times New Roman"/>
          <w:color w:val="000000"/>
          <w:sz w:val="24"/>
          <w:szCs w:val="24"/>
        </w:rPr>
        <w:t>ning activity attendance, produc</w:t>
      </w:r>
      <w:r w:rsidR="009B4623">
        <w:rPr>
          <w:rFonts w:ascii="Times New Roman" w:hAnsi="Times New Roman" w:cs="Times New Roman"/>
          <w:color w:val="000000"/>
          <w:sz w:val="24"/>
          <w:szCs w:val="24"/>
        </w:rPr>
        <w:t>e</w:t>
      </w:r>
      <w:r w:rsidR="00830174" w:rsidRPr="00BD135D">
        <w:rPr>
          <w:rFonts w:ascii="Times New Roman" w:hAnsi="Times New Roman" w:cs="Times New Roman"/>
          <w:color w:val="000000"/>
          <w:sz w:val="24"/>
          <w:szCs w:val="24"/>
        </w:rPr>
        <w:t xml:space="preserve"> participant transcripts when requested</w:t>
      </w:r>
      <w:r w:rsidR="008301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improve</w:t>
      </w:r>
      <w:r w:rsidR="00830174">
        <w:rPr>
          <w:rFonts w:ascii="Times New Roman" w:hAnsi="Times New Roman" w:cs="Times New Roman"/>
          <w:color w:val="000000"/>
          <w:sz w:val="24"/>
          <w:szCs w:val="24"/>
        </w:rPr>
        <w:t xml:space="preserve"> educational activities as needed, and produc</w:t>
      </w:r>
      <w:r w:rsidR="009B4623">
        <w:rPr>
          <w:rFonts w:ascii="Times New Roman" w:hAnsi="Times New Roman" w:cs="Times New Roman"/>
          <w:color w:val="000000"/>
          <w:sz w:val="24"/>
          <w:szCs w:val="24"/>
        </w:rPr>
        <w:t>e</w:t>
      </w:r>
      <w:r w:rsidR="00830174">
        <w:rPr>
          <w:rFonts w:ascii="Times New Roman" w:hAnsi="Times New Roman" w:cs="Times New Roman"/>
          <w:color w:val="000000"/>
          <w:sz w:val="24"/>
          <w:szCs w:val="24"/>
        </w:rPr>
        <w:t xml:space="preserve"> reports for the </w:t>
      </w:r>
      <w:r w:rsidR="00906247">
        <w:rPr>
          <w:rFonts w:ascii="Times New Roman" w:hAnsi="Times New Roman" w:cs="Times New Roman"/>
          <w:color w:val="000000"/>
          <w:sz w:val="24"/>
          <w:szCs w:val="24"/>
        </w:rPr>
        <w:t>accrediting organizations</w:t>
      </w:r>
      <w:r w:rsidR="008301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 an annual bas</w:t>
      </w:r>
      <w:r w:rsidR="00CA1619">
        <w:rPr>
          <w:rFonts w:ascii="Times New Roman" w:hAnsi="Times New Roman" w:cs="Times New Roman"/>
          <w:color w:val="000000"/>
          <w:sz w:val="24"/>
          <w:szCs w:val="24"/>
        </w:rPr>
        <w:t>i</w:t>
      </w:r>
      <w:r>
        <w:rPr>
          <w:rFonts w:ascii="Times New Roman" w:hAnsi="Times New Roman" w:cs="Times New Roman"/>
          <w:color w:val="000000"/>
          <w:sz w:val="24"/>
          <w:szCs w:val="24"/>
        </w:rPr>
        <w:t>s</w:t>
      </w:r>
      <w:r w:rsidR="00830174" w:rsidRPr="00BD135D">
        <w:rPr>
          <w:rFonts w:ascii="Times New Roman" w:hAnsi="Times New Roman" w:cs="Times New Roman"/>
          <w:color w:val="000000"/>
          <w:sz w:val="24"/>
          <w:szCs w:val="24"/>
        </w:rPr>
        <w:t>.</w:t>
      </w:r>
      <w:r w:rsidR="009B4623">
        <w:rPr>
          <w:rFonts w:ascii="Times New Roman" w:hAnsi="Times New Roman" w:cs="Times New Roman"/>
          <w:color w:val="000000"/>
          <w:sz w:val="24"/>
          <w:szCs w:val="24"/>
        </w:rPr>
        <w:t xml:space="preserve"> </w:t>
      </w:r>
      <w:r w:rsidR="00EF1F39">
        <w:rPr>
          <w:rFonts w:ascii="Times New Roman" w:hAnsi="Times New Roman" w:cs="Times New Roman"/>
          <w:color w:val="000000"/>
          <w:sz w:val="24"/>
          <w:szCs w:val="24"/>
        </w:rPr>
        <w:t>CDC’s TCEO staff use the information collected through password and firewall protections to efficiently process follow-up course evaluations to improve educational activities as needed and to produce reports for the accrediting organizations on an annual bas</w:t>
      </w:r>
      <w:r w:rsidR="00D87C62">
        <w:rPr>
          <w:rFonts w:ascii="Times New Roman" w:hAnsi="Times New Roman" w:cs="Times New Roman"/>
          <w:color w:val="000000"/>
          <w:sz w:val="24"/>
          <w:szCs w:val="24"/>
        </w:rPr>
        <w:t>i</w:t>
      </w:r>
      <w:r w:rsidR="00EF1F39">
        <w:rPr>
          <w:rFonts w:ascii="Times New Roman" w:hAnsi="Times New Roman" w:cs="Times New Roman"/>
          <w:color w:val="000000"/>
          <w:sz w:val="24"/>
          <w:szCs w:val="24"/>
        </w:rPr>
        <w:t>s</w:t>
      </w:r>
      <w:r w:rsidR="00EF1F39" w:rsidRPr="00BD135D">
        <w:rPr>
          <w:rFonts w:ascii="Times New Roman" w:hAnsi="Times New Roman" w:cs="Times New Roman"/>
          <w:color w:val="000000"/>
          <w:sz w:val="24"/>
          <w:szCs w:val="24"/>
        </w:rPr>
        <w:t>.</w:t>
      </w:r>
    </w:p>
    <w:p w14:paraId="3500F0E6" w14:textId="77777777" w:rsidR="001C18E2" w:rsidRDefault="001C18E2" w:rsidP="00702B9E">
      <w:pPr>
        <w:widowControl w:val="0"/>
        <w:tabs>
          <w:tab w:val="left" w:pos="0"/>
        </w:tabs>
        <w:spacing w:after="0" w:line="240" w:lineRule="auto"/>
        <w:rPr>
          <w:rFonts w:ascii="Times New Roman" w:hAnsi="Times New Roman" w:cs="Times New Roman"/>
          <w:color w:val="000000"/>
          <w:sz w:val="24"/>
          <w:szCs w:val="24"/>
        </w:rPr>
      </w:pPr>
    </w:p>
    <w:p w14:paraId="7EA533DC" w14:textId="3B843BF5" w:rsidR="00972B03" w:rsidRDefault="00D52B71" w:rsidP="00972B03">
      <w:pPr>
        <w:spacing w:after="120" w:line="240" w:lineRule="auto"/>
        <w:rPr>
          <w:rFonts w:ascii="Times New Roman" w:hAnsi="Times New Roman" w:cs="Times New Roman"/>
          <w:sz w:val="24"/>
          <w:szCs w:val="24"/>
        </w:rPr>
      </w:pPr>
      <w:r w:rsidRPr="001145C3">
        <w:rPr>
          <w:rFonts w:ascii="Times New Roman" w:hAnsi="Times New Roman" w:cs="Times New Roman"/>
          <w:color w:val="000000"/>
          <w:sz w:val="24"/>
          <w:szCs w:val="24"/>
        </w:rPr>
        <w:t>This submission has been reviewed by staff in the CDC ICRO who determined that the Privacy Act does</w:t>
      </w:r>
      <w:r w:rsidR="00864830" w:rsidRPr="001145C3">
        <w:rPr>
          <w:rFonts w:ascii="Times New Roman" w:hAnsi="Times New Roman" w:cs="Times New Roman"/>
          <w:color w:val="000000"/>
          <w:sz w:val="24"/>
          <w:szCs w:val="24"/>
        </w:rPr>
        <w:t xml:space="preserve"> </w:t>
      </w:r>
      <w:r w:rsidR="00A91C6B" w:rsidRPr="001145C3">
        <w:rPr>
          <w:rFonts w:ascii="Times New Roman" w:hAnsi="Times New Roman" w:cs="Times New Roman"/>
          <w:color w:val="000000"/>
          <w:sz w:val="24"/>
          <w:szCs w:val="24"/>
        </w:rPr>
        <w:t xml:space="preserve">apply. The applicable System of Records </w:t>
      </w:r>
      <w:r w:rsidR="00A91C6B" w:rsidRPr="007B324C">
        <w:rPr>
          <w:rFonts w:ascii="Times New Roman" w:hAnsi="Times New Roman" w:cs="Times New Roman"/>
          <w:color w:val="000000"/>
          <w:sz w:val="24"/>
          <w:szCs w:val="24"/>
        </w:rPr>
        <w:t>Notice (</w:t>
      </w:r>
      <w:r w:rsidR="00A91C6B" w:rsidRPr="001145C3">
        <w:rPr>
          <w:rFonts w:ascii="Times New Roman" w:hAnsi="Times New Roman" w:cs="Times New Roman"/>
          <w:sz w:val="24"/>
          <w:szCs w:val="24"/>
        </w:rPr>
        <w:t>SORN) is 09-20-0161, “Records of Health Professionals in Disease Prevention and Control Training Programs,</w:t>
      </w:r>
      <w:r w:rsidR="00846354" w:rsidRPr="001145C3">
        <w:rPr>
          <w:rFonts w:ascii="Times New Roman" w:hAnsi="Times New Roman" w:cs="Times New Roman"/>
          <w:sz w:val="24"/>
          <w:szCs w:val="24"/>
        </w:rPr>
        <w:t xml:space="preserve"> HHS/CDC/NCPS</w:t>
      </w:r>
      <w:r w:rsidR="00A91C6B" w:rsidRPr="001145C3">
        <w:rPr>
          <w:rFonts w:ascii="Times New Roman" w:hAnsi="Times New Roman" w:cs="Times New Roman"/>
          <w:sz w:val="24"/>
          <w:szCs w:val="24"/>
        </w:rPr>
        <w:t>” (</w:t>
      </w:r>
      <w:r w:rsidR="00E50697">
        <w:rPr>
          <w:rFonts w:ascii="Times New Roman" w:hAnsi="Times New Roman" w:cs="Times New Roman"/>
          <w:sz w:val="24"/>
          <w:szCs w:val="24"/>
        </w:rPr>
        <w:t>Attachment 7</w:t>
      </w:r>
      <w:r w:rsidR="00846354" w:rsidRPr="001145C3">
        <w:rPr>
          <w:rFonts w:ascii="Times New Roman" w:hAnsi="Times New Roman" w:cs="Times New Roman"/>
          <w:sz w:val="24"/>
          <w:szCs w:val="24"/>
        </w:rPr>
        <w:t>. Privacy Act Issuances 09-20-0161</w:t>
      </w:r>
      <w:r w:rsidR="00972B03" w:rsidRPr="001145C3">
        <w:rPr>
          <w:rFonts w:ascii="Times New Roman" w:hAnsi="Times New Roman" w:cs="Times New Roman"/>
          <w:sz w:val="24"/>
          <w:szCs w:val="24"/>
        </w:rPr>
        <w:t>). Safeguards</w:t>
      </w:r>
      <w:r w:rsidR="00972B03">
        <w:rPr>
          <w:rFonts w:ascii="Times New Roman" w:hAnsi="Times New Roman" w:cs="Times New Roman"/>
          <w:sz w:val="24"/>
          <w:szCs w:val="24"/>
        </w:rPr>
        <w:t xml:space="preserve"> have been established to minimize the possibility of unauthorized access to the information being collected </w:t>
      </w:r>
      <w:r w:rsidR="00E51C18">
        <w:rPr>
          <w:rFonts w:ascii="Times New Roman" w:hAnsi="Times New Roman" w:cs="Times New Roman"/>
          <w:sz w:val="24"/>
          <w:szCs w:val="24"/>
        </w:rPr>
        <w:t>through</w:t>
      </w:r>
      <w:r w:rsidR="00972B03">
        <w:rPr>
          <w:rFonts w:ascii="Times New Roman" w:hAnsi="Times New Roman" w:cs="Times New Roman"/>
          <w:sz w:val="24"/>
          <w:szCs w:val="24"/>
        </w:rPr>
        <w:t xml:space="preserve"> the TCEO system. Technical controls </w:t>
      </w:r>
      <w:r w:rsidR="00FC4582">
        <w:rPr>
          <w:rFonts w:ascii="Times New Roman" w:hAnsi="Times New Roman" w:cs="Times New Roman"/>
          <w:sz w:val="24"/>
          <w:szCs w:val="24"/>
        </w:rPr>
        <w:t>include password protection and</w:t>
      </w:r>
      <w:r w:rsidR="00972B03">
        <w:rPr>
          <w:rFonts w:ascii="Times New Roman" w:hAnsi="Times New Roman" w:cs="Times New Roman"/>
          <w:sz w:val="24"/>
          <w:szCs w:val="24"/>
        </w:rPr>
        <w:t xml:space="preserve"> storing all p</w:t>
      </w:r>
      <w:r w:rsidR="00972B03" w:rsidRPr="00D30C9B">
        <w:rPr>
          <w:rFonts w:ascii="Times New Roman" w:hAnsi="Times New Roman" w:cs="Times New Roman"/>
          <w:sz w:val="24"/>
          <w:szCs w:val="24"/>
        </w:rPr>
        <w:t xml:space="preserve">ersonal identifiable information </w:t>
      </w:r>
      <w:r w:rsidR="00972B03">
        <w:rPr>
          <w:rFonts w:ascii="Times New Roman" w:hAnsi="Times New Roman" w:cs="Times New Roman"/>
          <w:sz w:val="24"/>
          <w:szCs w:val="24"/>
        </w:rPr>
        <w:t xml:space="preserve">on </w:t>
      </w:r>
      <w:r w:rsidR="00972B03" w:rsidRPr="00D30C9B">
        <w:rPr>
          <w:rFonts w:ascii="Times New Roman" w:hAnsi="Times New Roman" w:cs="Times New Roman"/>
          <w:sz w:val="24"/>
          <w:szCs w:val="24"/>
        </w:rPr>
        <w:t xml:space="preserve">a </w:t>
      </w:r>
      <w:r w:rsidR="00972B03">
        <w:rPr>
          <w:rFonts w:ascii="Times New Roman" w:hAnsi="Times New Roman" w:cs="Times New Roman"/>
          <w:sz w:val="24"/>
          <w:szCs w:val="24"/>
        </w:rPr>
        <w:t xml:space="preserve">Microsoft SQL </w:t>
      </w:r>
      <w:r w:rsidR="00972B03" w:rsidRPr="00D30C9B">
        <w:rPr>
          <w:rFonts w:ascii="Times New Roman" w:hAnsi="Times New Roman" w:cs="Times New Roman"/>
          <w:sz w:val="24"/>
          <w:szCs w:val="24"/>
        </w:rPr>
        <w:t>server</w:t>
      </w:r>
      <w:r w:rsidR="00972B03">
        <w:rPr>
          <w:rFonts w:ascii="Times New Roman" w:hAnsi="Times New Roman" w:cs="Times New Roman"/>
          <w:sz w:val="24"/>
          <w:szCs w:val="24"/>
        </w:rPr>
        <w:t>,</w:t>
      </w:r>
      <w:r w:rsidR="00972B03" w:rsidRPr="00D30C9B">
        <w:rPr>
          <w:rFonts w:ascii="Times New Roman" w:hAnsi="Times New Roman" w:cs="Times New Roman"/>
          <w:sz w:val="24"/>
          <w:szCs w:val="24"/>
        </w:rPr>
        <w:t xml:space="preserve"> </w:t>
      </w:r>
      <w:r w:rsidR="00972B03">
        <w:rPr>
          <w:rFonts w:ascii="Times New Roman" w:hAnsi="Times New Roman" w:cs="Times New Roman"/>
          <w:sz w:val="24"/>
          <w:szCs w:val="24"/>
        </w:rPr>
        <w:t>configured</w:t>
      </w:r>
      <w:r w:rsidR="00972B03" w:rsidRPr="00D30C9B">
        <w:rPr>
          <w:rFonts w:ascii="Times New Roman" w:hAnsi="Times New Roman" w:cs="Times New Roman"/>
          <w:sz w:val="24"/>
          <w:szCs w:val="24"/>
        </w:rPr>
        <w:t xml:space="preserve"> behind the CDC firewall</w:t>
      </w:r>
      <w:r w:rsidR="00972B03">
        <w:rPr>
          <w:rFonts w:ascii="Times New Roman" w:hAnsi="Times New Roman" w:cs="Times New Roman"/>
          <w:sz w:val="24"/>
          <w:szCs w:val="24"/>
        </w:rPr>
        <w:t>. Physical controls include the use of a secure data center, which requires identification badges and authorized key cards for entry.</w:t>
      </w:r>
      <w:r w:rsidR="00972B03" w:rsidRPr="00D30C9B">
        <w:rPr>
          <w:rFonts w:ascii="Times New Roman" w:hAnsi="Times New Roman" w:cs="Times New Roman"/>
          <w:sz w:val="24"/>
          <w:szCs w:val="24"/>
        </w:rPr>
        <w:t xml:space="preserve"> Security provisions meet all requirements established by CDC’s Health Information System and Surveillance Board. </w:t>
      </w:r>
      <w:r w:rsidR="00972B03">
        <w:rPr>
          <w:rFonts w:ascii="Times New Roman" w:hAnsi="Times New Roman" w:cs="Times New Roman"/>
          <w:sz w:val="24"/>
          <w:szCs w:val="24"/>
        </w:rPr>
        <w:t xml:space="preserve">Administrative </w:t>
      </w:r>
      <w:r w:rsidR="00CA1619">
        <w:rPr>
          <w:rFonts w:ascii="Times New Roman" w:hAnsi="Times New Roman" w:cs="Times New Roman"/>
          <w:sz w:val="24"/>
          <w:szCs w:val="24"/>
        </w:rPr>
        <w:t>c</w:t>
      </w:r>
      <w:r w:rsidR="00972B03">
        <w:rPr>
          <w:rFonts w:ascii="Times New Roman" w:hAnsi="Times New Roman" w:cs="Times New Roman"/>
          <w:sz w:val="24"/>
          <w:szCs w:val="24"/>
        </w:rPr>
        <w:t xml:space="preserve">ontrols restrict access to the </w:t>
      </w:r>
      <w:r w:rsidR="00972B03" w:rsidRPr="00D30C9B">
        <w:rPr>
          <w:rFonts w:ascii="Times New Roman" w:hAnsi="Times New Roman" w:cs="Times New Roman"/>
          <w:sz w:val="24"/>
          <w:szCs w:val="24"/>
        </w:rPr>
        <w:t xml:space="preserve">SQL </w:t>
      </w:r>
      <w:r w:rsidR="00972B03">
        <w:rPr>
          <w:rFonts w:ascii="Times New Roman" w:hAnsi="Times New Roman" w:cs="Times New Roman"/>
          <w:sz w:val="24"/>
          <w:szCs w:val="24"/>
        </w:rPr>
        <w:t>d</w:t>
      </w:r>
      <w:r w:rsidR="00972B03" w:rsidRPr="00D30C9B">
        <w:rPr>
          <w:rFonts w:ascii="Times New Roman" w:hAnsi="Times New Roman" w:cs="Times New Roman"/>
          <w:sz w:val="24"/>
          <w:szCs w:val="24"/>
        </w:rPr>
        <w:t>atabase</w:t>
      </w:r>
      <w:r w:rsidR="00972B03">
        <w:rPr>
          <w:rFonts w:ascii="Times New Roman" w:hAnsi="Times New Roman" w:cs="Times New Roman"/>
          <w:sz w:val="24"/>
          <w:szCs w:val="24"/>
        </w:rPr>
        <w:t>, ensuring accessibility</w:t>
      </w:r>
      <w:r w:rsidR="00972B03" w:rsidRPr="00D30C9B">
        <w:rPr>
          <w:rFonts w:ascii="Times New Roman" w:hAnsi="Times New Roman" w:cs="Times New Roman"/>
          <w:sz w:val="24"/>
          <w:szCs w:val="24"/>
        </w:rPr>
        <w:t xml:space="preserve"> only through the TCEO application</w:t>
      </w:r>
      <w:r w:rsidR="00972B03">
        <w:rPr>
          <w:rFonts w:ascii="Times New Roman" w:hAnsi="Times New Roman" w:cs="Times New Roman"/>
          <w:sz w:val="24"/>
          <w:szCs w:val="24"/>
        </w:rPr>
        <w:t>,</w:t>
      </w:r>
      <w:r w:rsidR="00972B03" w:rsidRPr="00D30C9B">
        <w:rPr>
          <w:rFonts w:ascii="Times New Roman" w:hAnsi="Times New Roman" w:cs="Times New Roman"/>
          <w:sz w:val="24"/>
          <w:szCs w:val="24"/>
        </w:rPr>
        <w:t xml:space="preserve"> </w:t>
      </w:r>
      <w:r w:rsidR="00972B03">
        <w:rPr>
          <w:rFonts w:ascii="Times New Roman" w:hAnsi="Times New Roman" w:cs="Times New Roman"/>
          <w:sz w:val="24"/>
          <w:szCs w:val="24"/>
        </w:rPr>
        <w:t>for</w:t>
      </w:r>
      <w:r w:rsidR="00972B03" w:rsidRPr="00D30C9B">
        <w:rPr>
          <w:rFonts w:ascii="Times New Roman" w:hAnsi="Times New Roman" w:cs="Times New Roman"/>
          <w:sz w:val="24"/>
          <w:szCs w:val="24"/>
        </w:rPr>
        <w:t xml:space="preserve"> </w:t>
      </w:r>
      <w:r w:rsidR="00972B03">
        <w:rPr>
          <w:rFonts w:ascii="Times New Roman" w:hAnsi="Times New Roman" w:cs="Times New Roman"/>
          <w:sz w:val="24"/>
          <w:szCs w:val="24"/>
        </w:rPr>
        <w:t>CDC/C</w:t>
      </w:r>
      <w:r w:rsidR="00972B03" w:rsidRPr="00D30C9B">
        <w:rPr>
          <w:rFonts w:ascii="Times New Roman" w:hAnsi="Times New Roman" w:cs="Times New Roman"/>
          <w:sz w:val="24"/>
          <w:szCs w:val="24"/>
        </w:rPr>
        <w:t xml:space="preserve">SELS administrative personnel and IT staff. </w:t>
      </w:r>
      <w:r w:rsidR="00972B03" w:rsidRPr="007D6886">
        <w:rPr>
          <w:rFonts w:ascii="Times New Roman" w:hAnsi="Times New Roman" w:cs="Times New Roman"/>
          <w:sz w:val="24"/>
          <w:szCs w:val="24"/>
        </w:rPr>
        <w:t xml:space="preserve">Although contractors at CDC maintain the TCEO system, or support the collection and administration of learner data and </w:t>
      </w:r>
      <w:r w:rsidR="00B21D02">
        <w:rPr>
          <w:rFonts w:ascii="Times New Roman" w:hAnsi="Times New Roman" w:cs="Times New Roman"/>
          <w:sz w:val="24"/>
          <w:szCs w:val="24"/>
        </w:rPr>
        <w:t xml:space="preserve">CE </w:t>
      </w:r>
      <w:r w:rsidR="00972B03" w:rsidRPr="007D6886">
        <w:rPr>
          <w:rFonts w:ascii="Times New Roman" w:hAnsi="Times New Roman" w:cs="Times New Roman"/>
          <w:sz w:val="24"/>
          <w:szCs w:val="24"/>
        </w:rPr>
        <w:t>proposals, CDC owns the information collections.</w:t>
      </w:r>
      <w:r w:rsidR="00972B03">
        <w:rPr>
          <w:rFonts w:ascii="Times New Roman" w:hAnsi="Times New Roman" w:cs="Times New Roman"/>
          <w:sz w:val="24"/>
          <w:szCs w:val="24"/>
        </w:rPr>
        <w:t xml:space="preserve"> Data are not sold, rented, or shared with third parties for promotional use or otherwise. Data are and will be treated in a secure manner and will not be disclosed, unless otherwise compelled by law.</w:t>
      </w:r>
    </w:p>
    <w:p w14:paraId="22C36E6B" w14:textId="77777777" w:rsidR="00972B03" w:rsidRDefault="00972B03" w:rsidP="00972B03">
      <w:pPr>
        <w:spacing w:after="120" w:line="240" w:lineRule="auto"/>
        <w:rPr>
          <w:rFonts w:ascii="Times New Roman" w:hAnsi="Times New Roman" w:cs="Times New Roman"/>
          <w:sz w:val="24"/>
        </w:rPr>
      </w:pPr>
      <w:r>
        <w:rPr>
          <w:rFonts w:ascii="Times New Roman" w:hAnsi="Times New Roman" w:cs="Times New Roman"/>
          <w:color w:val="000000"/>
          <w:sz w:val="24"/>
        </w:rPr>
        <w:t xml:space="preserve">Other administrative controls </w:t>
      </w:r>
      <w:r w:rsidRPr="007A7A6C">
        <w:rPr>
          <w:rFonts w:ascii="Times New Roman" w:hAnsi="Times New Roman" w:cs="Times New Roman"/>
          <w:sz w:val="24"/>
        </w:rPr>
        <w:t xml:space="preserve">include the system’s </w:t>
      </w:r>
      <w:r w:rsidR="00CA1619">
        <w:rPr>
          <w:rFonts w:ascii="Times New Roman" w:hAnsi="Times New Roman" w:cs="Times New Roman"/>
          <w:sz w:val="24"/>
        </w:rPr>
        <w:t>s</w:t>
      </w:r>
      <w:r w:rsidRPr="007A7A6C">
        <w:rPr>
          <w:rFonts w:ascii="Times New Roman" w:hAnsi="Times New Roman" w:cs="Times New Roman"/>
          <w:sz w:val="24"/>
        </w:rPr>
        <w:t xml:space="preserve">ecurity </w:t>
      </w:r>
      <w:r w:rsidR="00CA1619">
        <w:rPr>
          <w:rFonts w:ascii="Times New Roman" w:hAnsi="Times New Roman" w:cs="Times New Roman"/>
          <w:sz w:val="24"/>
        </w:rPr>
        <w:t>p</w:t>
      </w:r>
      <w:r w:rsidRPr="007A7A6C">
        <w:rPr>
          <w:rFonts w:ascii="Times New Roman" w:hAnsi="Times New Roman" w:cs="Times New Roman"/>
          <w:sz w:val="24"/>
        </w:rPr>
        <w:t xml:space="preserve">lan, which defines the process for handling security incidents. The system’s team and the Office of the Chief Information Security Officer (OCISO) share the responsibilities for event monitoring and incident response. </w:t>
      </w:r>
      <w:r>
        <w:rPr>
          <w:rFonts w:ascii="Times New Roman" w:hAnsi="Times New Roman" w:cs="Times New Roman"/>
          <w:sz w:val="24"/>
        </w:rPr>
        <w:t>S</w:t>
      </w:r>
      <w:r w:rsidRPr="007A7A6C">
        <w:rPr>
          <w:rFonts w:ascii="Times New Roman" w:hAnsi="Times New Roman" w:cs="Times New Roman"/>
          <w:sz w:val="24"/>
        </w:rPr>
        <w:t xml:space="preserve">uspicious security or adverse privacy related events </w:t>
      </w:r>
      <w:r>
        <w:rPr>
          <w:rFonts w:ascii="Times New Roman" w:hAnsi="Times New Roman" w:cs="Times New Roman"/>
          <w:sz w:val="24"/>
        </w:rPr>
        <w:t xml:space="preserve">are directly reported </w:t>
      </w:r>
      <w:r w:rsidRPr="007A7A6C">
        <w:rPr>
          <w:rFonts w:ascii="Times New Roman" w:hAnsi="Times New Roman" w:cs="Times New Roman"/>
          <w:sz w:val="24"/>
        </w:rPr>
        <w:t>to the component’s Information Systems Security Officer, CDC helpdesk, or to the CDC Incident Response Team. The CDC OCISO reports to the HHS Secure One Communications Center, which reports incidents to US-CERT as appropriate.</w:t>
      </w:r>
    </w:p>
    <w:p w14:paraId="3E6FBD23" w14:textId="77777777" w:rsidR="00AF5199" w:rsidRPr="000617B1" w:rsidRDefault="00AF5199" w:rsidP="00C42381">
      <w:pPr>
        <w:pStyle w:val="Heading1"/>
        <w:numPr>
          <w:ilvl w:val="0"/>
          <w:numId w:val="8"/>
        </w:numPr>
        <w:spacing w:line="240" w:lineRule="auto"/>
        <w:ind w:left="720"/>
      </w:pPr>
      <w:bookmarkStart w:id="236" w:name="_Toc432146416"/>
      <w:bookmarkStart w:id="237" w:name="_Toc432146437"/>
      <w:bookmarkStart w:id="238" w:name="_Toc431890038"/>
      <w:bookmarkStart w:id="239" w:name="_Toc431891686"/>
      <w:bookmarkStart w:id="240" w:name="_Toc431906477"/>
      <w:bookmarkStart w:id="241" w:name="_Toc431909909"/>
      <w:bookmarkStart w:id="242" w:name="_Toc431911468"/>
      <w:bookmarkStart w:id="243" w:name="_Toc431911603"/>
      <w:bookmarkStart w:id="244" w:name="_Toc431890039"/>
      <w:bookmarkStart w:id="245" w:name="_Toc431891687"/>
      <w:bookmarkStart w:id="246" w:name="_Toc431906478"/>
      <w:bookmarkStart w:id="247" w:name="_Toc431909910"/>
      <w:bookmarkStart w:id="248" w:name="_Toc431911469"/>
      <w:bookmarkStart w:id="249" w:name="_Toc431911604"/>
      <w:bookmarkStart w:id="250" w:name="_Toc431890040"/>
      <w:bookmarkStart w:id="251" w:name="_Toc431891688"/>
      <w:bookmarkStart w:id="252" w:name="_Toc431906479"/>
      <w:bookmarkStart w:id="253" w:name="_Toc431909911"/>
      <w:bookmarkStart w:id="254" w:name="_Toc431911470"/>
      <w:bookmarkStart w:id="255" w:name="_Toc431911605"/>
      <w:bookmarkStart w:id="256" w:name="_Toc431890041"/>
      <w:bookmarkStart w:id="257" w:name="_Toc431891689"/>
      <w:bookmarkStart w:id="258" w:name="_Toc431906480"/>
      <w:bookmarkStart w:id="259" w:name="_Toc431909912"/>
      <w:bookmarkStart w:id="260" w:name="_Toc431911471"/>
      <w:bookmarkStart w:id="261" w:name="_Toc431911606"/>
      <w:bookmarkStart w:id="262" w:name="_Toc431890042"/>
      <w:bookmarkStart w:id="263" w:name="_Toc431891690"/>
      <w:bookmarkStart w:id="264" w:name="_Toc431906481"/>
      <w:bookmarkStart w:id="265" w:name="_Toc431909913"/>
      <w:bookmarkStart w:id="266" w:name="_Toc431911472"/>
      <w:bookmarkStart w:id="267" w:name="_Toc431911607"/>
      <w:bookmarkStart w:id="268" w:name="_Toc431890043"/>
      <w:bookmarkStart w:id="269" w:name="_Toc431891691"/>
      <w:bookmarkStart w:id="270" w:name="_Toc431906482"/>
      <w:bookmarkStart w:id="271" w:name="_Toc431909914"/>
      <w:bookmarkStart w:id="272" w:name="_Toc431911473"/>
      <w:bookmarkStart w:id="273" w:name="_Toc431911608"/>
      <w:bookmarkStart w:id="274" w:name="_Toc431890044"/>
      <w:bookmarkStart w:id="275" w:name="_Toc431891692"/>
      <w:bookmarkStart w:id="276" w:name="_Toc431906483"/>
      <w:bookmarkStart w:id="277" w:name="_Toc431909915"/>
      <w:bookmarkStart w:id="278" w:name="_Toc431911474"/>
      <w:bookmarkStart w:id="279" w:name="_Toc431911609"/>
      <w:bookmarkStart w:id="280" w:name="_Toc431890045"/>
      <w:bookmarkStart w:id="281" w:name="_Toc431891693"/>
      <w:bookmarkStart w:id="282" w:name="_Toc431906484"/>
      <w:bookmarkStart w:id="283" w:name="_Toc431909916"/>
      <w:bookmarkStart w:id="284" w:name="_Toc431911475"/>
      <w:bookmarkStart w:id="285" w:name="_Toc431911610"/>
      <w:bookmarkStart w:id="286" w:name="_Toc431890046"/>
      <w:bookmarkStart w:id="287" w:name="_Toc431891694"/>
      <w:bookmarkStart w:id="288" w:name="_Toc431906485"/>
      <w:bookmarkStart w:id="289" w:name="_Toc431909917"/>
      <w:bookmarkStart w:id="290" w:name="_Toc431911476"/>
      <w:bookmarkStart w:id="291" w:name="_Toc431911611"/>
      <w:bookmarkStart w:id="292" w:name="_Toc431890047"/>
      <w:bookmarkStart w:id="293" w:name="_Toc431891695"/>
      <w:bookmarkStart w:id="294" w:name="_Toc431906486"/>
      <w:bookmarkStart w:id="295" w:name="_Toc431909918"/>
      <w:bookmarkStart w:id="296" w:name="_Toc431911477"/>
      <w:bookmarkStart w:id="297" w:name="_Toc431911612"/>
      <w:bookmarkStart w:id="298" w:name="_Toc431890048"/>
      <w:bookmarkStart w:id="299" w:name="_Toc431891696"/>
      <w:bookmarkStart w:id="300" w:name="_Toc431906487"/>
      <w:bookmarkStart w:id="301" w:name="_Toc431909919"/>
      <w:bookmarkStart w:id="302" w:name="_Toc431911478"/>
      <w:bookmarkStart w:id="303" w:name="_Toc431911613"/>
      <w:bookmarkStart w:id="304" w:name="_Toc431890049"/>
      <w:bookmarkStart w:id="305" w:name="_Toc431891697"/>
      <w:bookmarkStart w:id="306" w:name="_Toc431906488"/>
      <w:bookmarkStart w:id="307" w:name="_Toc431909920"/>
      <w:bookmarkStart w:id="308" w:name="_Toc431911479"/>
      <w:bookmarkStart w:id="309" w:name="_Toc431911614"/>
      <w:bookmarkStart w:id="310" w:name="_Toc431890050"/>
      <w:bookmarkStart w:id="311" w:name="_Toc431891698"/>
      <w:bookmarkStart w:id="312" w:name="_Toc431906489"/>
      <w:bookmarkStart w:id="313" w:name="_Toc431909921"/>
      <w:bookmarkStart w:id="314" w:name="_Toc431911480"/>
      <w:bookmarkStart w:id="315" w:name="_Toc431911615"/>
      <w:bookmarkStart w:id="316" w:name="_Toc431890051"/>
      <w:bookmarkStart w:id="317" w:name="_Toc431891699"/>
      <w:bookmarkStart w:id="318" w:name="_Toc431906490"/>
      <w:bookmarkStart w:id="319" w:name="_Toc431909922"/>
      <w:bookmarkStart w:id="320" w:name="_Toc431911481"/>
      <w:bookmarkStart w:id="321" w:name="_Toc431911616"/>
      <w:bookmarkStart w:id="322" w:name="_Toc431890052"/>
      <w:bookmarkStart w:id="323" w:name="_Toc431891700"/>
      <w:bookmarkStart w:id="324" w:name="_Toc431906491"/>
      <w:bookmarkStart w:id="325" w:name="_Toc431909923"/>
      <w:bookmarkStart w:id="326" w:name="_Toc431911482"/>
      <w:bookmarkStart w:id="327" w:name="_Toc431911617"/>
      <w:bookmarkStart w:id="328" w:name="_Toc431890053"/>
      <w:bookmarkStart w:id="329" w:name="_Toc431891701"/>
      <w:bookmarkStart w:id="330" w:name="_Toc431906492"/>
      <w:bookmarkStart w:id="331" w:name="_Toc431909924"/>
      <w:bookmarkStart w:id="332" w:name="_Toc431911483"/>
      <w:bookmarkStart w:id="333" w:name="_Toc431911618"/>
      <w:bookmarkStart w:id="334" w:name="_Toc431890054"/>
      <w:bookmarkStart w:id="335" w:name="_Toc431891702"/>
      <w:bookmarkStart w:id="336" w:name="_Toc431906493"/>
      <w:bookmarkStart w:id="337" w:name="_Toc431909925"/>
      <w:bookmarkStart w:id="338" w:name="_Toc431911484"/>
      <w:bookmarkStart w:id="339" w:name="_Toc431911619"/>
      <w:bookmarkStart w:id="340" w:name="_Toc431890055"/>
      <w:bookmarkStart w:id="341" w:name="_Toc431891703"/>
      <w:bookmarkStart w:id="342" w:name="_Toc431906494"/>
      <w:bookmarkStart w:id="343" w:name="_Toc431909926"/>
      <w:bookmarkStart w:id="344" w:name="_Toc431911485"/>
      <w:bookmarkStart w:id="345" w:name="_Toc431911620"/>
      <w:bookmarkStart w:id="346" w:name="_Toc431890056"/>
      <w:bookmarkStart w:id="347" w:name="_Toc431891704"/>
      <w:bookmarkStart w:id="348" w:name="_Toc431906495"/>
      <w:bookmarkStart w:id="349" w:name="_Toc431909927"/>
      <w:bookmarkStart w:id="350" w:name="_Toc431911486"/>
      <w:bookmarkStart w:id="351" w:name="_Toc431911621"/>
      <w:bookmarkStart w:id="352" w:name="_Toc431890057"/>
      <w:bookmarkStart w:id="353" w:name="_Toc431891705"/>
      <w:bookmarkStart w:id="354" w:name="_Toc431906496"/>
      <w:bookmarkStart w:id="355" w:name="_Toc431909928"/>
      <w:bookmarkStart w:id="356" w:name="_Toc431911487"/>
      <w:bookmarkStart w:id="357" w:name="_Toc431911622"/>
      <w:bookmarkStart w:id="358" w:name="_Toc522700954"/>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0617B1">
        <w:t>Justification for Sensitive Questions</w:t>
      </w:r>
      <w:bookmarkEnd w:id="358"/>
    </w:p>
    <w:p w14:paraId="5FB7BF61" w14:textId="77777777" w:rsidR="004B16F8" w:rsidRDefault="004B16F8" w:rsidP="00C14E28">
      <w:pPr>
        <w:spacing w:after="120" w:line="240" w:lineRule="auto"/>
        <w:ind w:left="90"/>
        <w:rPr>
          <w:rFonts w:ascii="Times New Roman" w:hAnsi="Times New Roman" w:cs="Times New Roman"/>
          <w:sz w:val="24"/>
          <w:szCs w:val="24"/>
        </w:rPr>
      </w:pPr>
    </w:p>
    <w:p w14:paraId="2735DA03" w14:textId="749733EB" w:rsidR="002A452A" w:rsidRDefault="004B16F8" w:rsidP="002A452A">
      <w:pPr>
        <w:widowControl w:val="0"/>
        <w:tabs>
          <w:tab w:val="left" w:pos="0"/>
        </w:tabs>
        <w:spacing w:after="0" w:line="240" w:lineRule="auto"/>
        <w:rPr>
          <w:rFonts w:ascii="Times New Roman" w:hAnsi="Times New Roman" w:cs="Times New Roman"/>
          <w:color w:val="000000"/>
          <w:sz w:val="24"/>
          <w:szCs w:val="24"/>
        </w:rPr>
      </w:pPr>
      <w:r>
        <w:rPr>
          <w:rFonts w:ascii="Times New Roman" w:hAnsi="Times New Roman" w:cs="Times New Roman"/>
          <w:sz w:val="24"/>
          <w:szCs w:val="24"/>
        </w:rPr>
        <w:t>No questions of a sensitive</w:t>
      </w:r>
      <w:r w:rsidR="002C6D99">
        <w:rPr>
          <w:rFonts w:ascii="Times New Roman" w:hAnsi="Times New Roman" w:cs="Times New Roman"/>
          <w:sz w:val="24"/>
          <w:szCs w:val="24"/>
        </w:rPr>
        <w:t xml:space="preserve"> </w:t>
      </w:r>
      <w:r>
        <w:rPr>
          <w:rFonts w:ascii="Times New Roman" w:hAnsi="Times New Roman" w:cs="Times New Roman"/>
          <w:sz w:val="24"/>
          <w:szCs w:val="24"/>
        </w:rPr>
        <w:t>nature are asked of respondents.</w:t>
      </w:r>
      <w:r w:rsidR="002A452A">
        <w:rPr>
          <w:rFonts w:ascii="Times New Roman" w:hAnsi="Times New Roman" w:cs="Times New Roman"/>
          <w:sz w:val="24"/>
          <w:szCs w:val="24"/>
        </w:rPr>
        <w:t xml:space="preserve"> </w:t>
      </w:r>
      <w:r w:rsidR="002A452A">
        <w:rPr>
          <w:rFonts w:ascii="Times New Roman" w:hAnsi="Times New Roman" w:cs="Times New Roman"/>
          <w:color w:val="000000"/>
          <w:sz w:val="24"/>
          <w:szCs w:val="24"/>
        </w:rPr>
        <w:t>Approval by the CDC Institutional Review Board (IRB) is not required for this information collection system. This data collection is not considered human subject research.  This conclusion is based on the description and justification for TCEO and on the definition research, as defined by the federal policy for the protection of human subjects (45 CFR 46) (</w:t>
      </w:r>
      <w:r w:rsidR="00E50697">
        <w:rPr>
          <w:rFonts w:ascii="Times New Roman" w:hAnsi="Times New Roman" w:cs="Times New Roman"/>
          <w:color w:val="000000"/>
          <w:sz w:val="24"/>
          <w:szCs w:val="24"/>
        </w:rPr>
        <w:t>Attachment 8</w:t>
      </w:r>
      <w:r w:rsidR="002A452A" w:rsidRPr="004B16F8">
        <w:rPr>
          <w:rFonts w:ascii="Times New Roman" w:hAnsi="Times New Roman" w:cs="Times New Roman"/>
          <w:color w:val="000000"/>
          <w:sz w:val="24"/>
          <w:szCs w:val="24"/>
        </w:rPr>
        <w:t>. Research Determination Memorandum).</w:t>
      </w:r>
    </w:p>
    <w:p w14:paraId="57F95C89" w14:textId="77777777" w:rsidR="004B16F8" w:rsidRDefault="004B16F8" w:rsidP="00C14E28">
      <w:pPr>
        <w:spacing w:after="120" w:line="240" w:lineRule="auto"/>
        <w:ind w:left="90"/>
        <w:rPr>
          <w:rFonts w:ascii="Times New Roman" w:hAnsi="Times New Roman" w:cs="Times New Roman"/>
          <w:sz w:val="24"/>
          <w:szCs w:val="24"/>
        </w:rPr>
      </w:pPr>
    </w:p>
    <w:p w14:paraId="145FDD7F" w14:textId="77777777" w:rsidR="006542B4" w:rsidRPr="006542B4" w:rsidRDefault="00AF5199" w:rsidP="00C42381">
      <w:pPr>
        <w:pStyle w:val="Heading1"/>
        <w:numPr>
          <w:ilvl w:val="0"/>
          <w:numId w:val="8"/>
        </w:numPr>
        <w:spacing w:line="240" w:lineRule="auto"/>
        <w:ind w:left="630" w:hanging="270"/>
      </w:pPr>
      <w:bookmarkStart w:id="359" w:name="_Toc522700955"/>
      <w:r w:rsidRPr="000617B1">
        <w:t>Estimates of Annualized Burden Hours and Costs</w:t>
      </w:r>
      <w:bookmarkEnd w:id="359"/>
    </w:p>
    <w:p w14:paraId="3CC10FED" w14:textId="77777777" w:rsidR="002C6D99" w:rsidRDefault="002C6D99" w:rsidP="000C5C24">
      <w:pPr>
        <w:spacing w:line="240" w:lineRule="auto"/>
        <w:rPr>
          <w:rFonts w:ascii="Times New Roman" w:hAnsi="Times New Roman" w:cs="Times New Roman"/>
          <w:sz w:val="24"/>
          <w:szCs w:val="24"/>
        </w:rPr>
      </w:pPr>
    </w:p>
    <w:p w14:paraId="558CD92E" w14:textId="77777777" w:rsidR="002C6D99" w:rsidRDefault="002C6D99" w:rsidP="002C6D99">
      <w:pPr>
        <w:spacing w:line="240" w:lineRule="auto"/>
        <w:rPr>
          <w:rFonts w:ascii="Times New Roman" w:hAnsi="Times New Roman" w:cs="Times New Roman"/>
          <w:sz w:val="24"/>
          <w:szCs w:val="24"/>
        </w:rPr>
      </w:pPr>
      <w:r>
        <w:rPr>
          <w:rFonts w:ascii="Times New Roman" w:hAnsi="Times New Roman" w:cs="Times New Roman"/>
          <w:sz w:val="24"/>
          <w:szCs w:val="24"/>
        </w:rPr>
        <w:t xml:space="preserve">Pilot tests </w:t>
      </w:r>
      <w:r w:rsidR="00FC4582">
        <w:rPr>
          <w:rFonts w:ascii="Times New Roman" w:hAnsi="Times New Roman" w:cs="Times New Roman"/>
          <w:sz w:val="24"/>
          <w:szCs w:val="24"/>
        </w:rPr>
        <w:t xml:space="preserve">with </w:t>
      </w:r>
      <w:r w:rsidR="0095425A">
        <w:rPr>
          <w:rFonts w:ascii="Times New Roman" w:hAnsi="Times New Roman" w:cs="Times New Roman"/>
          <w:sz w:val="24"/>
          <w:szCs w:val="24"/>
        </w:rPr>
        <w:t>fewer</w:t>
      </w:r>
      <w:r w:rsidR="00FC4582">
        <w:rPr>
          <w:rFonts w:ascii="Times New Roman" w:hAnsi="Times New Roman" w:cs="Times New Roman"/>
          <w:sz w:val="24"/>
          <w:szCs w:val="24"/>
        </w:rPr>
        <w:t xml:space="preserve"> than 9 respondents </w:t>
      </w:r>
      <w:r w:rsidR="009A22A7">
        <w:rPr>
          <w:rFonts w:ascii="Times New Roman" w:hAnsi="Times New Roman" w:cs="Times New Roman"/>
          <w:sz w:val="24"/>
          <w:szCs w:val="24"/>
        </w:rPr>
        <w:t xml:space="preserve">from the target population </w:t>
      </w:r>
      <w:r>
        <w:rPr>
          <w:rFonts w:ascii="Times New Roman" w:hAnsi="Times New Roman" w:cs="Times New Roman"/>
          <w:sz w:val="24"/>
          <w:szCs w:val="24"/>
        </w:rPr>
        <w:t xml:space="preserve">were </w:t>
      </w:r>
      <w:r w:rsidR="000A480A">
        <w:rPr>
          <w:rFonts w:ascii="Times New Roman" w:hAnsi="Times New Roman" w:cs="Times New Roman"/>
          <w:sz w:val="24"/>
          <w:szCs w:val="24"/>
        </w:rPr>
        <w:t>conducted</w:t>
      </w:r>
      <w:r>
        <w:rPr>
          <w:rFonts w:ascii="Times New Roman" w:hAnsi="Times New Roman" w:cs="Times New Roman"/>
          <w:sz w:val="24"/>
          <w:szCs w:val="24"/>
        </w:rPr>
        <w:t xml:space="preserve"> </w:t>
      </w:r>
      <w:r w:rsidR="00376D81">
        <w:rPr>
          <w:rFonts w:ascii="Times New Roman" w:hAnsi="Times New Roman" w:cs="Times New Roman"/>
          <w:sz w:val="24"/>
          <w:szCs w:val="24"/>
        </w:rPr>
        <w:t xml:space="preserve">to improve usability </w:t>
      </w:r>
      <w:r w:rsidR="00FC4582">
        <w:rPr>
          <w:rFonts w:ascii="Times New Roman" w:hAnsi="Times New Roman" w:cs="Times New Roman"/>
          <w:sz w:val="24"/>
          <w:szCs w:val="24"/>
        </w:rPr>
        <w:t>because</w:t>
      </w:r>
      <w:r>
        <w:rPr>
          <w:rFonts w:ascii="Times New Roman" w:hAnsi="Times New Roman" w:cs="Times New Roman"/>
          <w:sz w:val="24"/>
          <w:szCs w:val="24"/>
        </w:rPr>
        <w:t xml:space="preserve"> </w:t>
      </w:r>
      <w:r w:rsidR="00534376">
        <w:rPr>
          <w:rFonts w:ascii="Times New Roman" w:hAnsi="Times New Roman" w:cs="Times New Roman"/>
          <w:sz w:val="24"/>
          <w:szCs w:val="24"/>
        </w:rPr>
        <w:t>minor</w:t>
      </w:r>
      <w:r>
        <w:rPr>
          <w:rFonts w:ascii="Times New Roman" w:hAnsi="Times New Roman" w:cs="Times New Roman"/>
          <w:sz w:val="24"/>
          <w:szCs w:val="24"/>
        </w:rPr>
        <w:t xml:space="preserve"> changes </w:t>
      </w:r>
      <w:r w:rsidR="00FC4582">
        <w:rPr>
          <w:rFonts w:ascii="Times New Roman" w:hAnsi="Times New Roman" w:cs="Times New Roman"/>
          <w:sz w:val="24"/>
          <w:szCs w:val="24"/>
        </w:rPr>
        <w:t xml:space="preserve">were made </w:t>
      </w:r>
      <w:r>
        <w:rPr>
          <w:rFonts w:ascii="Times New Roman" w:hAnsi="Times New Roman" w:cs="Times New Roman"/>
          <w:sz w:val="24"/>
          <w:szCs w:val="24"/>
        </w:rPr>
        <w:t xml:space="preserve">to </w:t>
      </w:r>
      <w:r w:rsidR="00617ED9">
        <w:rPr>
          <w:rFonts w:ascii="Times New Roman" w:hAnsi="Times New Roman" w:cs="Times New Roman"/>
          <w:sz w:val="24"/>
          <w:szCs w:val="24"/>
        </w:rPr>
        <w:t>the TCEO New Participant Registration</w:t>
      </w:r>
      <w:r w:rsidR="009A22A7">
        <w:rPr>
          <w:rFonts w:ascii="Times New Roman" w:hAnsi="Times New Roman" w:cs="Times New Roman"/>
          <w:sz w:val="24"/>
          <w:szCs w:val="24"/>
        </w:rPr>
        <w:t>.</w:t>
      </w:r>
      <w:r w:rsidR="00617ED9">
        <w:rPr>
          <w:rFonts w:ascii="Times New Roman" w:hAnsi="Times New Roman" w:cs="Times New Roman"/>
          <w:sz w:val="24"/>
          <w:szCs w:val="24"/>
        </w:rPr>
        <w:t xml:space="preserve"> </w:t>
      </w:r>
      <w:r w:rsidR="00FC4582">
        <w:rPr>
          <w:rFonts w:ascii="Times New Roman" w:hAnsi="Times New Roman" w:cs="Times New Roman"/>
          <w:sz w:val="24"/>
          <w:szCs w:val="24"/>
        </w:rPr>
        <w:t>Response times have not changed</w:t>
      </w:r>
      <w:r w:rsidR="00617ED9">
        <w:rPr>
          <w:rFonts w:ascii="Times New Roman" w:hAnsi="Times New Roman" w:cs="Times New Roman"/>
          <w:sz w:val="24"/>
          <w:szCs w:val="24"/>
        </w:rPr>
        <w:t xml:space="preserve">. </w:t>
      </w:r>
      <w:r w:rsidR="009A22A7">
        <w:rPr>
          <w:rFonts w:ascii="Times New Roman" w:hAnsi="Times New Roman" w:cs="Times New Roman"/>
          <w:sz w:val="24"/>
          <w:szCs w:val="24"/>
        </w:rPr>
        <w:t xml:space="preserve">Pilot tests with </w:t>
      </w:r>
      <w:r w:rsidR="0095425A">
        <w:rPr>
          <w:rFonts w:ascii="Times New Roman" w:hAnsi="Times New Roman" w:cs="Times New Roman"/>
          <w:sz w:val="24"/>
          <w:szCs w:val="24"/>
        </w:rPr>
        <w:t>fewer</w:t>
      </w:r>
      <w:r w:rsidR="009A22A7">
        <w:rPr>
          <w:rFonts w:ascii="Times New Roman" w:hAnsi="Times New Roman" w:cs="Times New Roman"/>
          <w:sz w:val="24"/>
          <w:szCs w:val="24"/>
        </w:rPr>
        <w:t xml:space="preserve"> than 9 respondents from the target population </w:t>
      </w:r>
      <w:r w:rsidR="00617ED9">
        <w:rPr>
          <w:rFonts w:ascii="Times New Roman" w:hAnsi="Times New Roman" w:cs="Times New Roman"/>
          <w:sz w:val="24"/>
          <w:szCs w:val="24"/>
        </w:rPr>
        <w:t xml:space="preserve">were conducted for </w:t>
      </w:r>
      <w:r w:rsidR="00EF1F39">
        <w:rPr>
          <w:rFonts w:ascii="Times New Roman" w:hAnsi="Times New Roman" w:cs="Times New Roman"/>
          <w:sz w:val="24"/>
          <w:szCs w:val="24"/>
        </w:rPr>
        <w:t xml:space="preserve">both </w:t>
      </w:r>
      <w:r w:rsidR="00617ED9">
        <w:rPr>
          <w:rFonts w:ascii="Times New Roman" w:hAnsi="Times New Roman" w:cs="Times New Roman"/>
          <w:sz w:val="24"/>
          <w:szCs w:val="24"/>
        </w:rPr>
        <w:t xml:space="preserve">the </w:t>
      </w:r>
      <w:r w:rsidR="00131B5B">
        <w:rPr>
          <w:rFonts w:ascii="Times New Roman" w:hAnsi="Times New Roman" w:cs="Times New Roman"/>
          <w:sz w:val="24"/>
          <w:szCs w:val="24"/>
        </w:rPr>
        <w:t>new TCEO Post-</w:t>
      </w:r>
      <w:r w:rsidR="00D87C62">
        <w:rPr>
          <w:rFonts w:ascii="Times New Roman" w:hAnsi="Times New Roman" w:cs="Times New Roman"/>
          <w:sz w:val="24"/>
          <w:szCs w:val="24"/>
        </w:rPr>
        <w:t>C</w:t>
      </w:r>
      <w:r w:rsidR="00131B5B">
        <w:rPr>
          <w:rFonts w:ascii="Times New Roman" w:hAnsi="Times New Roman" w:cs="Times New Roman"/>
          <w:sz w:val="24"/>
          <w:szCs w:val="24"/>
        </w:rPr>
        <w:t>ourse Evaluation</w:t>
      </w:r>
      <w:r w:rsidR="00617ED9">
        <w:rPr>
          <w:rFonts w:ascii="Times New Roman" w:hAnsi="Times New Roman" w:cs="Times New Roman"/>
          <w:sz w:val="24"/>
          <w:szCs w:val="24"/>
        </w:rPr>
        <w:t xml:space="preserve"> and the new TCEO Follow-up Evaluation to ensure usability and determine response times</w:t>
      </w:r>
      <w:r w:rsidR="00E93E80">
        <w:rPr>
          <w:rFonts w:ascii="Times New Roman" w:hAnsi="Times New Roman" w:cs="Times New Roman"/>
          <w:sz w:val="24"/>
          <w:szCs w:val="24"/>
        </w:rPr>
        <w:t xml:space="preserve"> for the burden tables</w:t>
      </w:r>
      <w:r w:rsidR="00617ED9">
        <w:rPr>
          <w:rFonts w:ascii="Times New Roman" w:hAnsi="Times New Roman" w:cs="Times New Roman"/>
          <w:sz w:val="24"/>
          <w:szCs w:val="24"/>
        </w:rPr>
        <w:t>.</w:t>
      </w:r>
    </w:p>
    <w:p w14:paraId="17748AA3" w14:textId="77777777" w:rsidR="002C6D99" w:rsidRDefault="00617ED9" w:rsidP="00172F69">
      <w:pPr>
        <w:spacing w:line="240" w:lineRule="auto"/>
        <w:rPr>
          <w:rFonts w:ascii="Times New Roman" w:hAnsi="Times New Roman" w:cs="Times New Roman"/>
          <w:sz w:val="24"/>
          <w:szCs w:val="24"/>
        </w:rPr>
      </w:pPr>
      <w:r w:rsidRPr="00172F69">
        <w:rPr>
          <w:rFonts w:ascii="Times New Roman" w:hAnsi="Times New Roman" w:cs="Times New Roman"/>
          <w:sz w:val="24"/>
          <w:szCs w:val="24"/>
        </w:rPr>
        <w:t>The respondent types included in the bu</w:t>
      </w:r>
      <w:r w:rsidR="00CC2BD7">
        <w:rPr>
          <w:rFonts w:ascii="Times New Roman" w:hAnsi="Times New Roman" w:cs="Times New Roman"/>
          <w:sz w:val="24"/>
          <w:szCs w:val="24"/>
        </w:rPr>
        <w:t>rden e</w:t>
      </w:r>
      <w:r w:rsidRPr="00172F69">
        <w:rPr>
          <w:rFonts w:ascii="Times New Roman" w:hAnsi="Times New Roman" w:cs="Times New Roman"/>
          <w:sz w:val="24"/>
          <w:szCs w:val="24"/>
        </w:rPr>
        <w:t xml:space="preserve">stimates for this ICR are </w:t>
      </w:r>
      <w:r w:rsidR="00EF1F39">
        <w:rPr>
          <w:rFonts w:ascii="Times New Roman" w:hAnsi="Times New Roman" w:cs="Times New Roman"/>
          <w:color w:val="211D1E"/>
          <w:sz w:val="24"/>
          <w:szCs w:val="24"/>
        </w:rPr>
        <w:t>e</w:t>
      </w:r>
      <w:r w:rsidR="0013029E">
        <w:rPr>
          <w:rFonts w:ascii="Times New Roman" w:hAnsi="Times New Roman" w:cs="Times New Roman"/>
          <w:sz w:val="24"/>
          <w:szCs w:val="24"/>
        </w:rPr>
        <w:t xml:space="preserve">ducational </w:t>
      </w:r>
      <w:r w:rsidR="00EF1F39">
        <w:rPr>
          <w:rFonts w:ascii="Times New Roman" w:hAnsi="Times New Roman" w:cs="Times New Roman"/>
          <w:sz w:val="24"/>
          <w:szCs w:val="24"/>
        </w:rPr>
        <w:t>d</w:t>
      </w:r>
      <w:r w:rsidR="0013029E">
        <w:rPr>
          <w:rFonts w:ascii="Times New Roman" w:hAnsi="Times New Roman" w:cs="Times New Roman"/>
          <w:sz w:val="24"/>
          <w:szCs w:val="24"/>
        </w:rPr>
        <w:t>evelopers</w:t>
      </w:r>
      <w:r w:rsidR="000139EB">
        <w:rPr>
          <w:rFonts w:ascii="Times New Roman" w:hAnsi="Times New Roman" w:cs="Times New Roman"/>
          <w:sz w:val="24"/>
          <w:szCs w:val="24"/>
        </w:rPr>
        <w:t xml:space="preserve"> and </w:t>
      </w:r>
      <w:r w:rsidR="00EF1F39">
        <w:rPr>
          <w:rFonts w:ascii="Times New Roman" w:hAnsi="Times New Roman" w:cs="Times New Roman"/>
          <w:sz w:val="24"/>
          <w:szCs w:val="24"/>
        </w:rPr>
        <w:t>learners</w:t>
      </w:r>
      <w:r w:rsidR="00D87C62">
        <w:rPr>
          <w:rFonts w:ascii="Times New Roman" w:hAnsi="Times New Roman" w:cs="Times New Roman"/>
          <w:sz w:val="24"/>
          <w:szCs w:val="24"/>
        </w:rPr>
        <w:t>.</w:t>
      </w:r>
      <w:r w:rsidR="000139EB">
        <w:rPr>
          <w:rFonts w:ascii="Times New Roman" w:hAnsi="Times New Roman" w:cs="Times New Roman"/>
          <w:sz w:val="24"/>
          <w:szCs w:val="24"/>
        </w:rPr>
        <w:t xml:space="preserve"> Annualized burden hours and costs </w:t>
      </w:r>
      <w:r w:rsidR="0064561F">
        <w:rPr>
          <w:rFonts w:ascii="Times New Roman" w:hAnsi="Times New Roman" w:cs="Times New Roman"/>
          <w:sz w:val="24"/>
          <w:szCs w:val="24"/>
        </w:rPr>
        <w:t>presented</w:t>
      </w:r>
      <w:r w:rsidR="000139EB">
        <w:rPr>
          <w:rFonts w:ascii="Times New Roman" w:hAnsi="Times New Roman" w:cs="Times New Roman"/>
          <w:sz w:val="24"/>
          <w:szCs w:val="24"/>
        </w:rPr>
        <w:t xml:space="preserve"> include only the burden of respondents who are not federal employees or entities.</w:t>
      </w:r>
    </w:p>
    <w:p w14:paraId="6CF74948" w14:textId="77777777" w:rsidR="002C6D99" w:rsidRDefault="00137667" w:rsidP="000C5C24">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calculated annualized burden </w:t>
      </w:r>
      <w:r w:rsidR="009A22A7">
        <w:rPr>
          <w:rFonts w:ascii="Times New Roman" w:hAnsi="Times New Roman" w:cs="Times New Roman"/>
          <w:sz w:val="24"/>
          <w:szCs w:val="24"/>
        </w:rPr>
        <w:t xml:space="preserve">hours </w:t>
      </w:r>
      <w:r>
        <w:rPr>
          <w:rFonts w:ascii="Times New Roman" w:hAnsi="Times New Roman" w:cs="Times New Roman"/>
          <w:sz w:val="24"/>
          <w:szCs w:val="24"/>
        </w:rPr>
        <w:t xml:space="preserve">and </w:t>
      </w:r>
      <w:r w:rsidR="009A22A7">
        <w:rPr>
          <w:rFonts w:ascii="Times New Roman" w:hAnsi="Times New Roman" w:cs="Times New Roman"/>
          <w:sz w:val="24"/>
          <w:szCs w:val="24"/>
        </w:rPr>
        <w:t xml:space="preserve">burden </w:t>
      </w:r>
      <w:r>
        <w:rPr>
          <w:rFonts w:ascii="Times New Roman" w:hAnsi="Times New Roman" w:cs="Times New Roman"/>
          <w:sz w:val="24"/>
          <w:szCs w:val="24"/>
        </w:rPr>
        <w:t xml:space="preserve">costs for each TCEO data collection </w:t>
      </w:r>
      <w:r w:rsidR="0007789C">
        <w:rPr>
          <w:rFonts w:ascii="Times New Roman" w:hAnsi="Times New Roman" w:cs="Times New Roman"/>
          <w:sz w:val="24"/>
          <w:szCs w:val="24"/>
        </w:rPr>
        <w:t>tool</w:t>
      </w:r>
      <w:r>
        <w:rPr>
          <w:rFonts w:ascii="Times New Roman" w:hAnsi="Times New Roman" w:cs="Times New Roman"/>
          <w:sz w:val="24"/>
          <w:szCs w:val="24"/>
        </w:rPr>
        <w:t xml:space="preserve"> take</w:t>
      </w:r>
      <w:r w:rsidR="00B8320C">
        <w:rPr>
          <w:rFonts w:ascii="Times New Roman" w:hAnsi="Times New Roman" w:cs="Times New Roman"/>
          <w:sz w:val="24"/>
          <w:szCs w:val="24"/>
        </w:rPr>
        <w:t>s</w:t>
      </w:r>
      <w:r>
        <w:rPr>
          <w:rFonts w:ascii="Times New Roman" w:hAnsi="Times New Roman" w:cs="Times New Roman"/>
          <w:sz w:val="24"/>
          <w:szCs w:val="24"/>
        </w:rPr>
        <w:t xml:space="preserve"> into consideratio</w:t>
      </w:r>
      <w:r w:rsidR="00D0213A">
        <w:rPr>
          <w:rFonts w:ascii="Times New Roman" w:hAnsi="Times New Roman" w:cs="Times New Roman"/>
          <w:sz w:val="24"/>
          <w:szCs w:val="24"/>
        </w:rPr>
        <w:t>n the variances for each</w:t>
      </w:r>
      <w:r w:rsidR="000139EB">
        <w:rPr>
          <w:rFonts w:ascii="Times New Roman" w:hAnsi="Times New Roman" w:cs="Times New Roman"/>
          <w:sz w:val="24"/>
          <w:szCs w:val="24"/>
        </w:rPr>
        <w:t xml:space="preserve"> data collection</w:t>
      </w:r>
      <w:r w:rsidR="00D0213A">
        <w:rPr>
          <w:rFonts w:ascii="Times New Roman" w:hAnsi="Times New Roman" w:cs="Times New Roman"/>
          <w:sz w:val="24"/>
          <w:szCs w:val="24"/>
        </w:rPr>
        <w:t xml:space="preserve"> </w:t>
      </w:r>
      <w:r w:rsidR="0007789C">
        <w:rPr>
          <w:rFonts w:ascii="Times New Roman" w:hAnsi="Times New Roman" w:cs="Times New Roman"/>
          <w:sz w:val="24"/>
          <w:szCs w:val="24"/>
        </w:rPr>
        <w:t>tool</w:t>
      </w:r>
      <w:r w:rsidR="00B8320C">
        <w:rPr>
          <w:rFonts w:ascii="Times New Roman" w:hAnsi="Times New Roman" w:cs="Times New Roman"/>
          <w:sz w:val="24"/>
          <w:szCs w:val="24"/>
        </w:rPr>
        <w:t xml:space="preserve"> </w:t>
      </w:r>
      <w:r w:rsidR="00D0213A">
        <w:rPr>
          <w:rFonts w:ascii="Times New Roman" w:hAnsi="Times New Roman" w:cs="Times New Roman"/>
          <w:sz w:val="24"/>
          <w:szCs w:val="24"/>
        </w:rPr>
        <w:t xml:space="preserve">and an adjustment for increased cost of living in respondents’ estimated </w:t>
      </w:r>
      <w:r w:rsidR="00E20FA7">
        <w:rPr>
          <w:rFonts w:ascii="Times New Roman" w:hAnsi="Times New Roman" w:cs="Times New Roman"/>
          <w:sz w:val="24"/>
          <w:szCs w:val="24"/>
        </w:rPr>
        <w:t>salaries.</w:t>
      </w:r>
    </w:p>
    <w:p w14:paraId="65C34697" w14:textId="77777777" w:rsidR="00F22BC9" w:rsidRPr="005B1062" w:rsidRDefault="000C5C24" w:rsidP="000C5C24">
      <w:pPr>
        <w:spacing w:line="240" w:lineRule="auto"/>
        <w:rPr>
          <w:rFonts w:ascii="Times New Roman" w:hAnsi="Times New Roman" w:cs="Times New Roman"/>
          <w:b/>
          <w:sz w:val="24"/>
          <w:szCs w:val="24"/>
        </w:rPr>
      </w:pPr>
      <w:r w:rsidRPr="005B1062">
        <w:rPr>
          <w:rFonts w:ascii="Times New Roman" w:hAnsi="Times New Roman" w:cs="Times New Roman"/>
          <w:b/>
          <w:sz w:val="24"/>
          <w:szCs w:val="24"/>
        </w:rPr>
        <w:t xml:space="preserve">A. </w:t>
      </w:r>
      <w:r w:rsidR="00E9058D" w:rsidRPr="005B1062">
        <w:rPr>
          <w:rFonts w:ascii="Times New Roman" w:hAnsi="Times New Roman" w:cs="Times New Roman"/>
          <w:b/>
          <w:sz w:val="24"/>
          <w:szCs w:val="24"/>
        </w:rPr>
        <w:t>Es</w:t>
      </w:r>
      <w:r w:rsidR="000A480A" w:rsidRPr="005B1062">
        <w:rPr>
          <w:rFonts w:ascii="Times New Roman" w:hAnsi="Times New Roman" w:cs="Times New Roman"/>
          <w:b/>
          <w:sz w:val="24"/>
          <w:szCs w:val="24"/>
        </w:rPr>
        <w:t>timated Annualized Burden Hours</w:t>
      </w:r>
    </w:p>
    <w:p w14:paraId="0F77FD61" w14:textId="0360F01B" w:rsidR="00CC2BD7" w:rsidRDefault="002659DE" w:rsidP="00941AC2">
      <w:pPr>
        <w:widowControl w:val="0"/>
        <w:tabs>
          <w:tab w:val="left" w:pos="0"/>
        </w:tabs>
        <w:spacing w:after="0" w:line="240" w:lineRule="auto"/>
        <w:rPr>
          <w:rFonts w:ascii="Times New Roman" w:hAnsi="Times New Roman" w:cs="Times New Roman"/>
          <w:sz w:val="24"/>
        </w:rPr>
      </w:pPr>
      <w:r>
        <w:rPr>
          <w:rFonts w:ascii="Times New Roman" w:hAnsi="Times New Roman" w:cs="Times New Roman"/>
          <w:sz w:val="24"/>
        </w:rPr>
        <w:t>The TCEO Proposal</w:t>
      </w:r>
      <w:r w:rsidR="00131B5B">
        <w:rPr>
          <w:rFonts w:ascii="Times New Roman" w:hAnsi="Times New Roman" w:cs="Times New Roman"/>
          <w:sz w:val="24"/>
        </w:rPr>
        <w:t xml:space="preserve"> </w:t>
      </w:r>
      <w:r>
        <w:rPr>
          <w:rFonts w:ascii="Times New Roman" w:hAnsi="Times New Roman" w:cs="Times New Roman"/>
          <w:sz w:val="24"/>
        </w:rPr>
        <w:t xml:space="preserve">(Attachment </w:t>
      </w:r>
      <w:r w:rsidR="00E50697">
        <w:rPr>
          <w:rFonts w:ascii="Times New Roman" w:hAnsi="Times New Roman" w:cs="Times New Roman"/>
          <w:sz w:val="24"/>
        </w:rPr>
        <w:t>3</w:t>
      </w:r>
      <w:r>
        <w:rPr>
          <w:rFonts w:ascii="Times New Roman" w:hAnsi="Times New Roman" w:cs="Times New Roman"/>
          <w:sz w:val="24"/>
        </w:rPr>
        <w:t>) reflects an average of 5 hours</w:t>
      </w:r>
      <w:r w:rsidR="00DE3AAB">
        <w:rPr>
          <w:rFonts w:ascii="Times New Roman" w:hAnsi="Times New Roman" w:cs="Times New Roman"/>
          <w:sz w:val="24"/>
        </w:rPr>
        <w:t xml:space="preserve"> to complete the tool</w:t>
      </w:r>
      <w:r>
        <w:rPr>
          <w:rFonts w:ascii="Times New Roman" w:hAnsi="Times New Roman" w:cs="Times New Roman"/>
          <w:sz w:val="24"/>
        </w:rPr>
        <w:t xml:space="preserve"> </w:t>
      </w:r>
      <w:r w:rsidR="000139EB">
        <w:rPr>
          <w:rFonts w:ascii="Times New Roman" w:hAnsi="Times New Roman" w:cs="Times New Roman"/>
          <w:sz w:val="24"/>
        </w:rPr>
        <w:t xml:space="preserve">and 120 </w:t>
      </w:r>
      <w:r w:rsidR="0013029E">
        <w:rPr>
          <w:rFonts w:ascii="Times New Roman" w:hAnsi="Times New Roman" w:cs="Times New Roman"/>
          <w:sz w:val="24"/>
          <w:szCs w:val="24"/>
        </w:rPr>
        <w:t>educational developers</w:t>
      </w:r>
      <w:r w:rsidR="00F32D3D">
        <w:rPr>
          <w:rFonts w:ascii="Times New Roman" w:hAnsi="Times New Roman" w:cs="Times New Roman"/>
          <w:sz w:val="24"/>
          <w:szCs w:val="24"/>
        </w:rPr>
        <w:t xml:space="preserve"> (health educators)</w:t>
      </w:r>
      <w:r w:rsidR="006909C7">
        <w:rPr>
          <w:rFonts w:ascii="Times New Roman" w:hAnsi="Times New Roman" w:cs="Times New Roman"/>
          <w:sz w:val="24"/>
          <w:szCs w:val="24"/>
        </w:rPr>
        <w:t xml:space="preserve"> are expected to complete the TCEO Proposal</w:t>
      </w:r>
      <w:r>
        <w:rPr>
          <w:rFonts w:ascii="Times New Roman" w:hAnsi="Times New Roman" w:cs="Times New Roman"/>
          <w:sz w:val="24"/>
        </w:rPr>
        <w:t xml:space="preserve">. </w:t>
      </w:r>
      <w:r w:rsidR="00A75382" w:rsidRPr="00361BB9">
        <w:rPr>
          <w:rFonts w:ascii="Times New Roman" w:hAnsi="Times New Roman" w:cs="Times New Roman"/>
          <w:color w:val="211D1E"/>
          <w:sz w:val="24"/>
          <w:szCs w:val="24"/>
        </w:rPr>
        <w:t>The TCEO New Participant Registration (</w:t>
      </w:r>
      <w:r w:rsidR="00A75382" w:rsidRPr="00361BB9">
        <w:rPr>
          <w:rFonts w:ascii="Times New Roman" w:hAnsi="Times New Roman" w:cs="Times New Roman"/>
          <w:sz w:val="24"/>
        </w:rPr>
        <w:t xml:space="preserve">Attachment </w:t>
      </w:r>
      <w:r w:rsidR="00E50697">
        <w:rPr>
          <w:rFonts w:ascii="Times New Roman" w:hAnsi="Times New Roman" w:cs="Times New Roman"/>
          <w:sz w:val="24"/>
        </w:rPr>
        <w:t>4</w:t>
      </w:r>
      <w:r w:rsidR="006C66C5" w:rsidRPr="00361BB9">
        <w:rPr>
          <w:rFonts w:ascii="Times New Roman" w:hAnsi="Times New Roman" w:cs="Times New Roman"/>
          <w:sz w:val="24"/>
        </w:rPr>
        <w:t>) reflects a</w:t>
      </w:r>
      <w:r w:rsidR="00C568B1" w:rsidRPr="00361BB9">
        <w:rPr>
          <w:rFonts w:ascii="Times New Roman" w:hAnsi="Times New Roman" w:cs="Times New Roman"/>
          <w:sz w:val="24"/>
        </w:rPr>
        <w:t>n</w:t>
      </w:r>
      <w:r w:rsidR="00A75382" w:rsidRPr="00361BB9">
        <w:rPr>
          <w:rFonts w:ascii="Times New Roman" w:hAnsi="Times New Roman" w:cs="Times New Roman"/>
          <w:sz w:val="24"/>
        </w:rPr>
        <w:t xml:space="preserve"> average </w:t>
      </w:r>
      <w:r w:rsidR="006C66C5" w:rsidRPr="00361BB9">
        <w:rPr>
          <w:rFonts w:ascii="Times New Roman" w:hAnsi="Times New Roman" w:cs="Times New Roman"/>
          <w:sz w:val="24"/>
        </w:rPr>
        <w:t>5 minute</w:t>
      </w:r>
      <w:r w:rsidR="00361BB9" w:rsidRPr="00361BB9">
        <w:rPr>
          <w:rFonts w:ascii="Times New Roman" w:hAnsi="Times New Roman" w:cs="Times New Roman"/>
          <w:sz w:val="24"/>
        </w:rPr>
        <w:t>s</w:t>
      </w:r>
      <w:r w:rsidR="00DE3AAB" w:rsidRPr="00361BB9">
        <w:rPr>
          <w:rFonts w:ascii="Times New Roman" w:hAnsi="Times New Roman" w:cs="Times New Roman"/>
          <w:sz w:val="24"/>
        </w:rPr>
        <w:t xml:space="preserve"> to complete the tool</w:t>
      </w:r>
      <w:r w:rsidR="00361BB9" w:rsidRPr="00361BB9">
        <w:rPr>
          <w:rFonts w:ascii="Times New Roman" w:hAnsi="Times New Roman" w:cs="Times New Roman"/>
          <w:sz w:val="24"/>
        </w:rPr>
        <w:t>.</w:t>
      </w:r>
      <w:r w:rsidR="000139EB" w:rsidRPr="00361BB9">
        <w:rPr>
          <w:rFonts w:ascii="Times New Roman" w:hAnsi="Times New Roman" w:cs="Times New Roman"/>
          <w:sz w:val="24"/>
        </w:rPr>
        <w:t xml:space="preserve"> T</w:t>
      </w:r>
      <w:r w:rsidR="00C568B1" w:rsidRPr="00361BB9">
        <w:rPr>
          <w:rFonts w:ascii="Times New Roman" w:hAnsi="Times New Roman" w:cs="Times New Roman"/>
          <w:sz w:val="24"/>
        </w:rPr>
        <w:t>he new TCEO Post-</w:t>
      </w:r>
      <w:r w:rsidR="0095425A" w:rsidRPr="00361BB9">
        <w:rPr>
          <w:rFonts w:ascii="Times New Roman" w:hAnsi="Times New Roman" w:cs="Times New Roman"/>
          <w:sz w:val="24"/>
        </w:rPr>
        <w:t>C</w:t>
      </w:r>
      <w:r w:rsidR="00C568B1" w:rsidRPr="00361BB9">
        <w:rPr>
          <w:rFonts w:ascii="Times New Roman" w:hAnsi="Times New Roman" w:cs="Times New Roman"/>
          <w:sz w:val="24"/>
        </w:rPr>
        <w:t xml:space="preserve">ourse </w:t>
      </w:r>
      <w:r w:rsidR="000A480A" w:rsidRPr="00361BB9">
        <w:rPr>
          <w:rFonts w:ascii="Times New Roman" w:hAnsi="Times New Roman" w:cs="Times New Roman"/>
          <w:sz w:val="24"/>
        </w:rPr>
        <w:t>Evaluation</w:t>
      </w:r>
      <w:r w:rsidR="00B46612" w:rsidRPr="00361BB9">
        <w:rPr>
          <w:rFonts w:ascii="Times New Roman" w:hAnsi="Times New Roman" w:cs="Times New Roman"/>
          <w:sz w:val="24"/>
        </w:rPr>
        <w:t xml:space="preserve"> </w:t>
      </w:r>
      <w:r w:rsidR="00C568B1" w:rsidRPr="00361BB9">
        <w:rPr>
          <w:rFonts w:ascii="Times New Roman" w:hAnsi="Times New Roman" w:cs="Times New Roman"/>
          <w:color w:val="211D1E"/>
          <w:sz w:val="24"/>
          <w:szCs w:val="24"/>
        </w:rPr>
        <w:t>(</w:t>
      </w:r>
      <w:r w:rsidR="00E50697">
        <w:rPr>
          <w:rFonts w:ascii="Times New Roman" w:hAnsi="Times New Roman" w:cs="Times New Roman"/>
          <w:sz w:val="24"/>
        </w:rPr>
        <w:t>Attachment 5</w:t>
      </w:r>
      <w:r w:rsidR="00C568B1" w:rsidRPr="00361BB9">
        <w:rPr>
          <w:rFonts w:ascii="Times New Roman" w:hAnsi="Times New Roman" w:cs="Times New Roman"/>
          <w:sz w:val="24"/>
        </w:rPr>
        <w:t>) reflects an average of 10 minutes</w:t>
      </w:r>
      <w:r w:rsidR="00F32D3D" w:rsidRPr="00361BB9">
        <w:rPr>
          <w:rFonts w:ascii="Times New Roman" w:hAnsi="Times New Roman" w:cs="Times New Roman"/>
          <w:sz w:val="24"/>
        </w:rPr>
        <w:t>,</w:t>
      </w:r>
      <w:r w:rsidR="00DE3AAB" w:rsidRPr="00361BB9">
        <w:rPr>
          <w:rFonts w:ascii="Times New Roman" w:hAnsi="Times New Roman" w:cs="Times New Roman"/>
          <w:sz w:val="24"/>
        </w:rPr>
        <w:t xml:space="preserve"> to complete the tool</w:t>
      </w:r>
      <w:r w:rsidR="00C568B1" w:rsidRPr="00361BB9">
        <w:rPr>
          <w:rFonts w:ascii="Times New Roman" w:hAnsi="Times New Roman" w:cs="Times New Roman"/>
          <w:sz w:val="24"/>
        </w:rPr>
        <w:t xml:space="preserve"> and </w:t>
      </w:r>
      <w:r w:rsidR="00F969A5" w:rsidRPr="00361BB9">
        <w:rPr>
          <w:rFonts w:ascii="Times New Roman" w:hAnsi="Times New Roman" w:cs="Times New Roman"/>
          <w:sz w:val="24"/>
        </w:rPr>
        <w:t>2</w:t>
      </w:r>
      <w:r w:rsidR="00C568B1" w:rsidRPr="00361BB9">
        <w:rPr>
          <w:rFonts w:ascii="Times New Roman" w:hAnsi="Times New Roman" w:cs="Times New Roman"/>
          <w:sz w:val="24"/>
        </w:rPr>
        <w:t>00,000 respondents</w:t>
      </w:r>
      <w:r w:rsidR="00F969A5" w:rsidRPr="00361BB9">
        <w:rPr>
          <w:rFonts w:ascii="Times New Roman" w:hAnsi="Times New Roman" w:cs="Times New Roman"/>
          <w:sz w:val="24"/>
        </w:rPr>
        <w:t>, each responding twice</w:t>
      </w:r>
      <w:r w:rsidR="00F32D3D" w:rsidRPr="00361BB9">
        <w:rPr>
          <w:rFonts w:ascii="Times New Roman" w:hAnsi="Times New Roman" w:cs="Times New Roman"/>
          <w:sz w:val="24"/>
        </w:rPr>
        <w:t xml:space="preserve"> per year</w:t>
      </w:r>
      <w:r w:rsidR="009A0BDF" w:rsidRPr="00361BB9">
        <w:rPr>
          <w:rFonts w:ascii="Times New Roman" w:hAnsi="Times New Roman" w:cs="Times New Roman"/>
          <w:sz w:val="24"/>
        </w:rPr>
        <w:t>. Th</w:t>
      </w:r>
      <w:r w:rsidR="00C568B1" w:rsidRPr="00361BB9">
        <w:rPr>
          <w:rFonts w:ascii="Times New Roman" w:hAnsi="Times New Roman" w:cs="Times New Roman"/>
          <w:sz w:val="24"/>
        </w:rPr>
        <w:t xml:space="preserve">e new TCEO Follow-up </w:t>
      </w:r>
      <w:r w:rsidR="000A480A" w:rsidRPr="00361BB9">
        <w:rPr>
          <w:rFonts w:ascii="Times New Roman" w:hAnsi="Times New Roman" w:cs="Times New Roman"/>
          <w:sz w:val="24"/>
        </w:rPr>
        <w:t>Evaluation</w:t>
      </w:r>
      <w:r w:rsidR="00C568B1" w:rsidRPr="00361BB9">
        <w:rPr>
          <w:rFonts w:ascii="Times New Roman" w:hAnsi="Times New Roman" w:cs="Times New Roman"/>
          <w:sz w:val="24"/>
        </w:rPr>
        <w:t xml:space="preserve"> </w:t>
      </w:r>
      <w:r w:rsidR="00C568B1" w:rsidRPr="00361BB9">
        <w:rPr>
          <w:rFonts w:ascii="Times New Roman" w:hAnsi="Times New Roman" w:cs="Times New Roman"/>
          <w:color w:val="211D1E"/>
          <w:sz w:val="24"/>
          <w:szCs w:val="24"/>
        </w:rPr>
        <w:t>(</w:t>
      </w:r>
      <w:r w:rsidR="00C568B1" w:rsidRPr="00361BB9">
        <w:rPr>
          <w:rFonts w:ascii="Times New Roman" w:hAnsi="Times New Roman" w:cs="Times New Roman"/>
          <w:sz w:val="24"/>
        </w:rPr>
        <w:t xml:space="preserve">Attachment </w:t>
      </w:r>
      <w:r w:rsidR="00E50697">
        <w:rPr>
          <w:rFonts w:ascii="Times New Roman" w:hAnsi="Times New Roman" w:cs="Times New Roman"/>
          <w:sz w:val="24"/>
        </w:rPr>
        <w:t>6</w:t>
      </w:r>
      <w:r w:rsidR="00C568B1" w:rsidRPr="00361BB9">
        <w:rPr>
          <w:rFonts w:ascii="Times New Roman" w:hAnsi="Times New Roman" w:cs="Times New Roman"/>
          <w:sz w:val="24"/>
        </w:rPr>
        <w:t>) reflects an average of 3 minutes</w:t>
      </w:r>
      <w:r w:rsidR="00F32D3D" w:rsidRPr="00361BB9">
        <w:rPr>
          <w:rFonts w:ascii="Times New Roman" w:hAnsi="Times New Roman" w:cs="Times New Roman"/>
          <w:sz w:val="24"/>
        </w:rPr>
        <w:t xml:space="preserve">, </w:t>
      </w:r>
      <w:r w:rsidR="00DE3AAB" w:rsidRPr="00361BB9">
        <w:rPr>
          <w:rFonts w:ascii="Times New Roman" w:hAnsi="Times New Roman" w:cs="Times New Roman"/>
          <w:sz w:val="24"/>
        </w:rPr>
        <w:t xml:space="preserve"> to complete the tool</w:t>
      </w:r>
      <w:r w:rsidR="00C568B1" w:rsidRPr="00361BB9">
        <w:rPr>
          <w:rFonts w:ascii="Times New Roman" w:hAnsi="Times New Roman" w:cs="Times New Roman"/>
          <w:sz w:val="24"/>
        </w:rPr>
        <w:t xml:space="preserve"> and </w:t>
      </w:r>
      <w:r w:rsidR="00F969A5" w:rsidRPr="00361BB9">
        <w:rPr>
          <w:rFonts w:ascii="Times New Roman" w:hAnsi="Times New Roman" w:cs="Times New Roman"/>
          <w:sz w:val="24"/>
        </w:rPr>
        <w:t>2</w:t>
      </w:r>
      <w:r w:rsidR="00C568B1" w:rsidRPr="00361BB9">
        <w:rPr>
          <w:rFonts w:ascii="Times New Roman" w:hAnsi="Times New Roman" w:cs="Times New Roman"/>
          <w:sz w:val="24"/>
        </w:rPr>
        <w:t>0,000 respondents</w:t>
      </w:r>
      <w:r w:rsidR="009A0BDF" w:rsidRPr="00361BB9">
        <w:rPr>
          <w:rFonts w:ascii="Times New Roman" w:hAnsi="Times New Roman" w:cs="Times New Roman"/>
          <w:sz w:val="24"/>
        </w:rPr>
        <w:t xml:space="preserve"> (</w:t>
      </w:r>
      <w:r w:rsidR="000139EB" w:rsidRPr="00361BB9">
        <w:rPr>
          <w:rFonts w:ascii="Times New Roman" w:hAnsi="Times New Roman" w:cs="Times New Roman"/>
          <w:sz w:val="24"/>
        </w:rPr>
        <w:t xml:space="preserve">approximately </w:t>
      </w:r>
      <w:r w:rsidR="00F969A5" w:rsidRPr="00361BB9">
        <w:rPr>
          <w:rFonts w:ascii="Times New Roman" w:hAnsi="Times New Roman" w:cs="Times New Roman"/>
          <w:sz w:val="24"/>
        </w:rPr>
        <w:t>10</w:t>
      </w:r>
      <w:r w:rsidR="009A0BDF" w:rsidRPr="00361BB9">
        <w:rPr>
          <w:rFonts w:ascii="Times New Roman" w:hAnsi="Times New Roman" w:cs="Times New Roman"/>
          <w:sz w:val="24"/>
        </w:rPr>
        <w:t>% of those taking the Post-</w:t>
      </w:r>
      <w:r w:rsidR="0095425A" w:rsidRPr="00361BB9">
        <w:rPr>
          <w:rFonts w:ascii="Times New Roman" w:hAnsi="Times New Roman" w:cs="Times New Roman"/>
          <w:sz w:val="24"/>
        </w:rPr>
        <w:t>C</w:t>
      </w:r>
      <w:r w:rsidR="009A0BDF" w:rsidRPr="00361BB9">
        <w:rPr>
          <w:rFonts w:ascii="Times New Roman" w:hAnsi="Times New Roman" w:cs="Times New Roman"/>
          <w:sz w:val="24"/>
        </w:rPr>
        <w:t>ourse Eva</w:t>
      </w:r>
      <w:r w:rsidR="00131B5B" w:rsidRPr="00361BB9">
        <w:rPr>
          <w:rFonts w:ascii="Times New Roman" w:hAnsi="Times New Roman" w:cs="Times New Roman"/>
          <w:sz w:val="24"/>
        </w:rPr>
        <w:t>l</w:t>
      </w:r>
      <w:r w:rsidR="009A0BDF" w:rsidRPr="00361BB9">
        <w:rPr>
          <w:rFonts w:ascii="Times New Roman" w:hAnsi="Times New Roman" w:cs="Times New Roman"/>
          <w:sz w:val="24"/>
        </w:rPr>
        <w:t>uation</w:t>
      </w:r>
      <w:r w:rsidR="00444FCE" w:rsidRPr="00361BB9">
        <w:rPr>
          <w:rFonts w:ascii="Times New Roman" w:hAnsi="Times New Roman" w:cs="Times New Roman"/>
          <w:sz w:val="24"/>
        </w:rPr>
        <w:t>)</w:t>
      </w:r>
      <w:r w:rsidR="00F969A5" w:rsidRPr="00361BB9">
        <w:rPr>
          <w:rFonts w:ascii="Times New Roman" w:hAnsi="Times New Roman" w:cs="Times New Roman"/>
          <w:sz w:val="24"/>
        </w:rPr>
        <w:t>, each responding twice</w:t>
      </w:r>
      <w:r w:rsidR="00F32D3D">
        <w:rPr>
          <w:rFonts w:ascii="Times New Roman" w:hAnsi="Times New Roman" w:cs="Times New Roman"/>
          <w:sz w:val="24"/>
        </w:rPr>
        <w:t xml:space="preserve"> per year</w:t>
      </w:r>
      <w:r w:rsidR="00444FCE">
        <w:rPr>
          <w:rFonts w:ascii="Times New Roman" w:hAnsi="Times New Roman" w:cs="Times New Roman"/>
          <w:sz w:val="24"/>
        </w:rPr>
        <w:t>.</w:t>
      </w:r>
    </w:p>
    <w:p w14:paraId="094022A5" w14:textId="77777777" w:rsidR="00961916" w:rsidRDefault="00961916" w:rsidP="00941AC2">
      <w:pPr>
        <w:widowControl w:val="0"/>
        <w:tabs>
          <w:tab w:val="left" w:pos="0"/>
        </w:tabs>
        <w:spacing w:after="0" w:line="240" w:lineRule="auto"/>
        <w:rPr>
          <w:rFonts w:ascii="Times New Roman" w:hAnsi="Times New Roman" w:cs="Times New Roman"/>
          <w:sz w:val="24"/>
        </w:rPr>
      </w:pPr>
    </w:p>
    <w:p w14:paraId="7C7DD474" w14:textId="34B137AA" w:rsidR="00961916" w:rsidRDefault="00961916" w:rsidP="007B324C">
      <w:pPr>
        <w:widowControl w:val="0"/>
        <w:tabs>
          <w:tab w:val="left" w:pos="0"/>
        </w:tabs>
        <w:spacing w:after="0" w:line="240" w:lineRule="auto"/>
        <w:rPr>
          <w:rFonts w:ascii="Times New Roman" w:hAnsi="Times New Roman" w:cs="Times New Roman"/>
          <w:sz w:val="24"/>
        </w:rPr>
      </w:pPr>
      <w:r>
        <w:rPr>
          <w:rFonts w:ascii="Times New Roman" w:hAnsi="Times New Roman" w:cs="Times New Roman"/>
          <w:sz w:val="24"/>
        </w:rPr>
        <w:t>The</w:t>
      </w:r>
      <w:r w:rsidR="00193970">
        <w:rPr>
          <w:rFonts w:ascii="Times New Roman" w:hAnsi="Times New Roman" w:cs="Times New Roman"/>
          <w:sz w:val="24"/>
        </w:rPr>
        <w:t xml:space="preserve"> respondent types</w:t>
      </w:r>
      <w:r>
        <w:rPr>
          <w:rFonts w:ascii="Times New Roman" w:hAnsi="Times New Roman" w:cs="Times New Roman"/>
          <w:sz w:val="24"/>
        </w:rPr>
        <w:t xml:space="preserve"> </w:t>
      </w:r>
      <w:r w:rsidR="000B737C">
        <w:rPr>
          <w:rFonts w:ascii="Times New Roman" w:hAnsi="Times New Roman" w:cs="Times New Roman"/>
          <w:sz w:val="24"/>
        </w:rPr>
        <w:t>for</w:t>
      </w:r>
      <w:r w:rsidR="006909C7">
        <w:rPr>
          <w:rFonts w:ascii="Times New Roman" w:hAnsi="Times New Roman" w:cs="Times New Roman"/>
          <w:sz w:val="24"/>
        </w:rPr>
        <w:t xml:space="preserve"> </w:t>
      </w:r>
      <w:r>
        <w:rPr>
          <w:rFonts w:ascii="Times New Roman" w:hAnsi="Times New Roman" w:cs="Times New Roman"/>
          <w:sz w:val="24"/>
        </w:rPr>
        <w:t xml:space="preserve">the TCEO proposal </w:t>
      </w:r>
      <w:r w:rsidR="006909C7">
        <w:rPr>
          <w:rFonts w:ascii="Times New Roman" w:hAnsi="Times New Roman" w:cs="Times New Roman"/>
          <w:sz w:val="24"/>
        </w:rPr>
        <w:t xml:space="preserve">are </w:t>
      </w:r>
      <w:r>
        <w:rPr>
          <w:rFonts w:ascii="Times New Roman" w:hAnsi="Times New Roman" w:cs="Times New Roman"/>
          <w:sz w:val="24"/>
        </w:rPr>
        <w:t>Education</w:t>
      </w:r>
      <w:r w:rsidR="000B737C">
        <w:rPr>
          <w:rFonts w:ascii="Times New Roman" w:hAnsi="Times New Roman" w:cs="Times New Roman"/>
          <w:sz w:val="24"/>
        </w:rPr>
        <w:t>al</w:t>
      </w:r>
      <w:r>
        <w:rPr>
          <w:rFonts w:ascii="Times New Roman" w:hAnsi="Times New Roman" w:cs="Times New Roman"/>
          <w:sz w:val="24"/>
        </w:rPr>
        <w:t xml:space="preserve"> Developers (health educators</w:t>
      </w:r>
      <w:r w:rsidR="00F811D4">
        <w:rPr>
          <w:rFonts w:ascii="Times New Roman" w:hAnsi="Times New Roman" w:cs="Times New Roman"/>
          <w:sz w:val="24"/>
        </w:rPr>
        <w:t>)</w:t>
      </w:r>
      <w:r>
        <w:rPr>
          <w:rFonts w:ascii="Times New Roman" w:hAnsi="Times New Roman" w:cs="Times New Roman"/>
          <w:sz w:val="24"/>
        </w:rPr>
        <w:t xml:space="preserve">. </w:t>
      </w:r>
      <w:r w:rsidR="000B737C">
        <w:rPr>
          <w:rFonts w:ascii="Times New Roman" w:hAnsi="Times New Roman" w:cs="Times New Roman"/>
          <w:sz w:val="24"/>
        </w:rPr>
        <w:t>P</w:t>
      </w:r>
      <w:r w:rsidR="00F811D4">
        <w:rPr>
          <w:rFonts w:ascii="Times New Roman" w:hAnsi="Times New Roman" w:cs="Times New Roman"/>
          <w:sz w:val="24"/>
        </w:rPr>
        <w:t>ublic health and health care professionals</w:t>
      </w:r>
      <w:r w:rsidR="00DC6277">
        <w:rPr>
          <w:rFonts w:ascii="Times New Roman" w:hAnsi="Times New Roman" w:cs="Times New Roman"/>
          <w:sz w:val="24"/>
        </w:rPr>
        <w:t xml:space="preserve"> (learners)</w:t>
      </w:r>
      <w:r>
        <w:rPr>
          <w:rFonts w:ascii="Times New Roman" w:hAnsi="Times New Roman" w:cs="Times New Roman"/>
          <w:sz w:val="24"/>
        </w:rPr>
        <w:t xml:space="preserve"> seeking </w:t>
      </w:r>
      <w:r w:rsidR="0018409E">
        <w:rPr>
          <w:rFonts w:ascii="Times New Roman" w:hAnsi="Times New Roman" w:cs="Times New Roman"/>
          <w:sz w:val="24"/>
        </w:rPr>
        <w:t>CE</w:t>
      </w:r>
      <w:r w:rsidR="00F811D4">
        <w:rPr>
          <w:rFonts w:ascii="Times New Roman" w:hAnsi="Times New Roman" w:cs="Times New Roman"/>
          <w:sz w:val="24"/>
        </w:rPr>
        <w:t xml:space="preserve"> </w:t>
      </w:r>
      <w:r w:rsidR="006909C7">
        <w:rPr>
          <w:rFonts w:ascii="Times New Roman" w:hAnsi="Times New Roman" w:cs="Times New Roman"/>
          <w:sz w:val="24"/>
        </w:rPr>
        <w:t>use</w:t>
      </w:r>
      <w:r>
        <w:rPr>
          <w:rFonts w:ascii="Times New Roman" w:hAnsi="Times New Roman" w:cs="Times New Roman"/>
          <w:sz w:val="24"/>
        </w:rPr>
        <w:t xml:space="preserve"> the TCEO new participant registration, the TCEO Post-Course Evaluation, and the TCEO Follow-up </w:t>
      </w:r>
      <w:r w:rsidR="00F811D4">
        <w:rPr>
          <w:rFonts w:ascii="Times New Roman" w:hAnsi="Times New Roman" w:cs="Times New Roman"/>
          <w:sz w:val="24"/>
        </w:rPr>
        <w:t>evaluation</w:t>
      </w:r>
      <w:r w:rsidR="00DC6277">
        <w:rPr>
          <w:rFonts w:ascii="Times New Roman" w:hAnsi="Times New Roman" w:cs="Times New Roman"/>
          <w:sz w:val="24"/>
        </w:rPr>
        <w:t xml:space="preserve"> tools</w:t>
      </w:r>
      <w:r>
        <w:rPr>
          <w:rFonts w:ascii="Times New Roman" w:hAnsi="Times New Roman" w:cs="Times New Roman"/>
          <w:sz w:val="24"/>
        </w:rPr>
        <w:t>.</w:t>
      </w:r>
      <w:r w:rsidR="007B324C">
        <w:rPr>
          <w:rFonts w:ascii="Times New Roman" w:hAnsi="Times New Roman" w:cs="Times New Roman"/>
          <w:sz w:val="24"/>
        </w:rPr>
        <w:t xml:space="preserve"> </w:t>
      </w:r>
      <w:r w:rsidR="0045607E">
        <w:rPr>
          <w:rFonts w:ascii="Times New Roman" w:hAnsi="Times New Roman" w:cs="Times New Roman"/>
          <w:color w:val="211D1E"/>
          <w:sz w:val="24"/>
          <w:szCs w:val="24"/>
        </w:rPr>
        <w:t>The total estimated annualized burden hours for public health and health care professionals is 85,334</w:t>
      </w:r>
      <w:r w:rsidR="00CF1B43">
        <w:rPr>
          <w:rFonts w:ascii="Times New Roman" w:hAnsi="Times New Roman" w:cs="Times New Roman"/>
          <w:color w:val="211D1E"/>
          <w:sz w:val="24"/>
          <w:szCs w:val="24"/>
        </w:rPr>
        <w:t>.</w:t>
      </w:r>
    </w:p>
    <w:p w14:paraId="024C4F0B" w14:textId="77777777" w:rsidR="00E425A1" w:rsidRDefault="00E425A1" w:rsidP="00941AC2">
      <w:pPr>
        <w:widowControl w:val="0"/>
        <w:tabs>
          <w:tab w:val="left" w:pos="0"/>
        </w:tabs>
        <w:spacing w:after="0" w:line="240" w:lineRule="auto"/>
        <w:rPr>
          <w:rFonts w:ascii="Times New Roman" w:hAnsi="Times New Roman" w:cs="Times New Roman"/>
          <w:color w:val="211D1E"/>
          <w:sz w:val="24"/>
          <w:szCs w:val="24"/>
        </w:rPr>
      </w:pPr>
    </w:p>
    <w:p w14:paraId="448117DC" w14:textId="1B9C6FAB" w:rsidR="00CC2BD7" w:rsidRDefault="00B21D02" w:rsidP="00F703E1">
      <w:pPr>
        <w:widowControl w:val="0"/>
        <w:tabs>
          <w:tab w:val="left" w:pos="0"/>
        </w:tabs>
        <w:spacing w:after="0" w:line="240" w:lineRule="auto"/>
        <w:rPr>
          <w:rFonts w:ascii="Times New Roman" w:hAnsi="Times New Roman" w:cs="Times New Roman"/>
          <w:color w:val="211D1E"/>
          <w:sz w:val="24"/>
          <w:szCs w:val="24"/>
        </w:rPr>
      </w:pPr>
      <w:r>
        <w:rPr>
          <w:rFonts w:ascii="Times New Roman" w:hAnsi="Times New Roman" w:cs="Times New Roman"/>
          <w:color w:val="211D1E"/>
          <w:sz w:val="24"/>
          <w:szCs w:val="24"/>
        </w:rPr>
        <w:t>Each accredited educational activity</w:t>
      </w:r>
      <w:r w:rsidR="00552787" w:rsidRPr="00552787">
        <w:rPr>
          <w:rFonts w:ascii="Times New Roman" w:hAnsi="Times New Roman" w:cs="Times New Roman"/>
          <w:color w:val="211D1E"/>
          <w:sz w:val="24"/>
          <w:szCs w:val="24"/>
        </w:rPr>
        <w:t xml:space="preserve"> taken by registered </w:t>
      </w:r>
      <w:r>
        <w:rPr>
          <w:rFonts w:ascii="Times New Roman" w:hAnsi="Times New Roman" w:cs="Times New Roman"/>
          <w:color w:val="211D1E"/>
          <w:sz w:val="24"/>
          <w:szCs w:val="24"/>
        </w:rPr>
        <w:t xml:space="preserve">learners </w:t>
      </w:r>
      <w:r w:rsidR="00552787" w:rsidRPr="00552787">
        <w:rPr>
          <w:rFonts w:ascii="Times New Roman" w:hAnsi="Times New Roman" w:cs="Times New Roman"/>
          <w:color w:val="211D1E"/>
          <w:sz w:val="24"/>
          <w:szCs w:val="24"/>
        </w:rPr>
        <w:t xml:space="preserve">has </w:t>
      </w:r>
      <w:r w:rsidR="00200F33">
        <w:rPr>
          <w:rFonts w:ascii="Times New Roman" w:hAnsi="Times New Roman" w:cs="Times New Roman"/>
          <w:color w:val="211D1E"/>
          <w:sz w:val="24"/>
          <w:szCs w:val="24"/>
        </w:rPr>
        <w:t>an</w:t>
      </w:r>
      <w:r w:rsidR="00552787" w:rsidRPr="00552787">
        <w:rPr>
          <w:rFonts w:ascii="Times New Roman" w:hAnsi="Times New Roman" w:cs="Times New Roman"/>
          <w:color w:val="211D1E"/>
          <w:sz w:val="24"/>
          <w:szCs w:val="24"/>
        </w:rPr>
        <w:t xml:space="preserve"> </w:t>
      </w:r>
      <w:r w:rsidR="00EF10ED">
        <w:rPr>
          <w:rFonts w:ascii="Times New Roman" w:hAnsi="Times New Roman" w:cs="Times New Roman"/>
          <w:color w:val="211D1E"/>
          <w:sz w:val="24"/>
          <w:szCs w:val="24"/>
        </w:rPr>
        <w:t xml:space="preserve">associated </w:t>
      </w:r>
      <w:r w:rsidR="00EF1F39">
        <w:rPr>
          <w:rFonts w:ascii="Times New Roman" w:hAnsi="Times New Roman" w:cs="Times New Roman"/>
          <w:color w:val="211D1E"/>
          <w:sz w:val="24"/>
          <w:szCs w:val="24"/>
        </w:rPr>
        <w:t>new</w:t>
      </w:r>
      <w:r w:rsidR="0013704B">
        <w:rPr>
          <w:rFonts w:ascii="Times New Roman" w:hAnsi="Times New Roman" w:cs="Times New Roman"/>
          <w:color w:val="211D1E"/>
          <w:sz w:val="24"/>
          <w:szCs w:val="24"/>
        </w:rPr>
        <w:t xml:space="preserve"> TCEO</w:t>
      </w:r>
      <w:r w:rsidR="00552787" w:rsidRPr="00552787">
        <w:rPr>
          <w:rFonts w:ascii="Times New Roman" w:hAnsi="Times New Roman" w:cs="Times New Roman"/>
          <w:color w:val="211D1E"/>
          <w:sz w:val="24"/>
          <w:szCs w:val="24"/>
        </w:rPr>
        <w:t xml:space="preserve"> Post-</w:t>
      </w:r>
      <w:r w:rsidR="002153DD">
        <w:rPr>
          <w:rFonts w:ascii="Times New Roman" w:hAnsi="Times New Roman" w:cs="Times New Roman"/>
          <w:color w:val="211D1E"/>
          <w:sz w:val="24"/>
          <w:szCs w:val="24"/>
        </w:rPr>
        <w:t>C</w:t>
      </w:r>
      <w:r w:rsidR="00552787" w:rsidRPr="00552787">
        <w:rPr>
          <w:rFonts w:ascii="Times New Roman" w:hAnsi="Times New Roman" w:cs="Times New Roman"/>
          <w:color w:val="211D1E"/>
          <w:sz w:val="24"/>
          <w:szCs w:val="24"/>
        </w:rPr>
        <w:t xml:space="preserve">ourse Evaluation and </w:t>
      </w:r>
      <w:r w:rsidR="00200F33">
        <w:rPr>
          <w:rFonts w:ascii="Times New Roman" w:hAnsi="Times New Roman" w:cs="Times New Roman"/>
          <w:color w:val="211D1E"/>
          <w:sz w:val="24"/>
          <w:szCs w:val="24"/>
        </w:rPr>
        <w:t>an associated</w:t>
      </w:r>
      <w:r w:rsidR="00552787" w:rsidRPr="00552787">
        <w:rPr>
          <w:rFonts w:ascii="Times New Roman" w:hAnsi="Times New Roman" w:cs="Times New Roman"/>
          <w:color w:val="211D1E"/>
          <w:sz w:val="24"/>
          <w:szCs w:val="24"/>
        </w:rPr>
        <w:t xml:space="preserve"> new </w:t>
      </w:r>
      <w:r w:rsidR="0013704B">
        <w:rPr>
          <w:rFonts w:ascii="Times New Roman" w:hAnsi="Times New Roman" w:cs="Times New Roman"/>
          <w:color w:val="211D1E"/>
          <w:sz w:val="24"/>
          <w:szCs w:val="24"/>
        </w:rPr>
        <w:t xml:space="preserve">TCEO </w:t>
      </w:r>
      <w:r w:rsidR="00EF6B6C">
        <w:rPr>
          <w:rFonts w:ascii="Times New Roman" w:hAnsi="Times New Roman" w:cs="Times New Roman"/>
          <w:color w:val="211D1E"/>
          <w:sz w:val="24"/>
          <w:szCs w:val="24"/>
        </w:rPr>
        <w:t>F</w:t>
      </w:r>
      <w:r w:rsidR="00EF10ED">
        <w:rPr>
          <w:rFonts w:ascii="Times New Roman" w:hAnsi="Times New Roman" w:cs="Times New Roman"/>
          <w:color w:val="211D1E"/>
          <w:sz w:val="24"/>
          <w:szCs w:val="24"/>
        </w:rPr>
        <w:t>ollow-up Evaluation. These two</w:t>
      </w:r>
      <w:r w:rsidR="000867F0">
        <w:rPr>
          <w:rFonts w:ascii="Times New Roman" w:hAnsi="Times New Roman" w:cs="Times New Roman"/>
          <w:color w:val="211D1E"/>
          <w:sz w:val="24"/>
          <w:szCs w:val="24"/>
        </w:rPr>
        <w:t xml:space="preserve"> new</w:t>
      </w:r>
      <w:r w:rsidR="00552787" w:rsidRPr="00552787">
        <w:rPr>
          <w:rFonts w:ascii="Times New Roman" w:hAnsi="Times New Roman" w:cs="Times New Roman"/>
          <w:color w:val="211D1E"/>
          <w:sz w:val="24"/>
          <w:szCs w:val="24"/>
        </w:rPr>
        <w:t xml:space="preserve"> tools resulted in the</w:t>
      </w:r>
      <w:r w:rsidR="0045607E">
        <w:rPr>
          <w:rFonts w:ascii="Times New Roman" w:hAnsi="Times New Roman" w:cs="Times New Roman"/>
          <w:color w:val="211D1E"/>
          <w:sz w:val="24"/>
          <w:szCs w:val="24"/>
        </w:rPr>
        <w:t xml:space="preserve"> estimated</w:t>
      </w:r>
      <w:r w:rsidR="00552787" w:rsidRPr="00552787">
        <w:rPr>
          <w:rFonts w:ascii="Times New Roman" w:hAnsi="Times New Roman" w:cs="Times New Roman"/>
          <w:color w:val="211D1E"/>
          <w:sz w:val="24"/>
          <w:szCs w:val="24"/>
        </w:rPr>
        <w:t xml:space="preserve"> increase of respondents and burden</w:t>
      </w:r>
      <w:r w:rsidR="0045607E">
        <w:rPr>
          <w:rFonts w:ascii="Times New Roman" w:hAnsi="Times New Roman" w:cs="Times New Roman"/>
          <w:color w:val="211D1E"/>
          <w:sz w:val="24"/>
          <w:szCs w:val="24"/>
        </w:rPr>
        <w:t xml:space="preserve"> from 2016</w:t>
      </w:r>
      <w:r w:rsidR="00552787" w:rsidRPr="00552787">
        <w:rPr>
          <w:rFonts w:ascii="Times New Roman" w:hAnsi="Times New Roman" w:cs="Times New Roman"/>
          <w:color w:val="211D1E"/>
          <w:sz w:val="24"/>
          <w:szCs w:val="24"/>
        </w:rPr>
        <w:t>.</w:t>
      </w:r>
      <w:r w:rsidR="000867F0" w:rsidRPr="00552787" w:rsidDel="000867F0">
        <w:rPr>
          <w:rFonts w:ascii="Times New Roman" w:hAnsi="Times New Roman" w:cs="Times New Roman"/>
          <w:color w:val="211D1E"/>
          <w:sz w:val="24"/>
          <w:szCs w:val="24"/>
        </w:rPr>
        <w:t xml:space="preserve"> </w:t>
      </w:r>
    </w:p>
    <w:p w14:paraId="277D3BFA" w14:textId="77777777" w:rsidR="00AF14CE" w:rsidRDefault="00AF14CE" w:rsidP="00941AC2">
      <w:pPr>
        <w:widowControl w:val="0"/>
        <w:tabs>
          <w:tab w:val="left" w:pos="0"/>
        </w:tabs>
        <w:spacing w:after="0" w:line="240" w:lineRule="auto"/>
        <w:rPr>
          <w:rFonts w:ascii="Times New Roman" w:hAnsi="Times New Roman" w:cs="Times New Roman"/>
          <w:color w:val="211D1E"/>
          <w:sz w:val="24"/>
          <w:szCs w:val="24"/>
        </w:rPr>
      </w:pPr>
    </w:p>
    <w:p w14:paraId="0A72A344" w14:textId="77777777" w:rsidR="00905E25" w:rsidRPr="00480993" w:rsidRDefault="00DB243D" w:rsidP="00941AC2">
      <w:pPr>
        <w:pStyle w:val="ListParagraph"/>
        <w:spacing w:after="120" w:line="240" w:lineRule="auto"/>
        <w:ind w:left="0"/>
        <w:rPr>
          <w:rFonts w:ascii="Times New Roman" w:hAnsi="Times New Roman" w:cs="Times New Roman"/>
          <w:sz w:val="24"/>
          <w:szCs w:val="24"/>
        </w:rPr>
      </w:pPr>
      <w:r w:rsidRPr="00480993">
        <w:rPr>
          <w:rFonts w:ascii="Times New Roman" w:hAnsi="Times New Roman" w:cs="Times New Roman"/>
          <w:sz w:val="24"/>
          <w:szCs w:val="24"/>
        </w:rPr>
        <w:t>Following is a table showing the average total response burden</w:t>
      </w:r>
      <w:r w:rsidR="002659DE" w:rsidRPr="00480993">
        <w:rPr>
          <w:rFonts w:ascii="Times New Roman" w:hAnsi="Times New Roman" w:cs="Times New Roman"/>
          <w:sz w:val="24"/>
          <w:szCs w:val="24"/>
        </w:rPr>
        <w:t xml:space="preserve"> hours</w:t>
      </w:r>
      <w:r w:rsidR="00AF636F" w:rsidRPr="00480993">
        <w:rPr>
          <w:rFonts w:ascii="Times New Roman" w:hAnsi="Times New Roman" w:cs="Times New Roman"/>
          <w:sz w:val="24"/>
          <w:szCs w:val="24"/>
        </w:rPr>
        <w:t xml:space="preserve"> for the </w:t>
      </w:r>
      <w:r w:rsidR="002659DE" w:rsidRPr="00480993">
        <w:rPr>
          <w:rFonts w:ascii="Times New Roman" w:hAnsi="Times New Roman" w:cs="Times New Roman"/>
          <w:sz w:val="24"/>
          <w:szCs w:val="24"/>
        </w:rPr>
        <w:t>four</w:t>
      </w:r>
      <w:r w:rsidR="00AF636F" w:rsidRPr="00480993">
        <w:rPr>
          <w:rFonts w:ascii="Times New Roman" w:hAnsi="Times New Roman" w:cs="Times New Roman"/>
          <w:sz w:val="24"/>
          <w:szCs w:val="24"/>
        </w:rPr>
        <w:t xml:space="preserve"> TCEO system </w:t>
      </w:r>
      <w:r w:rsidR="00F16427" w:rsidRPr="00480993">
        <w:rPr>
          <w:rFonts w:ascii="Times New Roman" w:hAnsi="Times New Roman" w:cs="Times New Roman"/>
          <w:sz w:val="24"/>
          <w:szCs w:val="24"/>
        </w:rPr>
        <w:t>tool</w:t>
      </w:r>
      <w:r w:rsidR="000A480A" w:rsidRPr="00480993">
        <w:rPr>
          <w:rFonts w:ascii="Times New Roman" w:hAnsi="Times New Roman" w:cs="Times New Roman"/>
          <w:sz w:val="24"/>
          <w:szCs w:val="24"/>
        </w:rPr>
        <w:t>s</w:t>
      </w:r>
      <w:r w:rsidR="00AF636F" w:rsidRPr="00480993">
        <w:rPr>
          <w:rFonts w:ascii="Times New Roman" w:hAnsi="Times New Roman" w:cs="Times New Roman"/>
          <w:sz w:val="24"/>
          <w:szCs w:val="24"/>
        </w:rPr>
        <w:t xml:space="preserve"> by respondent type.</w:t>
      </w:r>
    </w:p>
    <w:p w14:paraId="6AEE1914" w14:textId="77777777" w:rsidR="00410C50" w:rsidRDefault="00410C50">
      <w:pPr>
        <w:rPr>
          <w:rFonts w:ascii="Times New Roman" w:hAnsi="Times New Roman" w:cs="Times New Roman"/>
        </w:rPr>
      </w:pPr>
    </w:p>
    <w:p w14:paraId="4B450901" w14:textId="77777777" w:rsidR="00431129" w:rsidRPr="00C42381" w:rsidRDefault="00431129" w:rsidP="00B8320C">
      <w:pPr>
        <w:spacing w:after="120" w:line="240" w:lineRule="auto"/>
        <w:rPr>
          <w:rFonts w:ascii="Times New Roman" w:hAnsi="Times New Roman" w:cs="Times New Roman"/>
          <w:b/>
        </w:rPr>
      </w:pPr>
      <w:r w:rsidRPr="00C42381">
        <w:rPr>
          <w:rFonts w:ascii="Times New Roman" w:hAnsi="Times New Roman" w:cs="Times New Roman"/>
          <w:b/>
        </w:rPr>
        <w:t>Estimate</w:t>
      </w:r>
      <w:r w:rsidR="0016610A" w:rsidRPr="00C42381">
        <w:rPr>
          <w:rFonts w:ascii="Times New Roman" w:hAnsi="Times New Roman" w:cs="Times New Roman"/>
          <w:b/>
        </w:rPr>
        <w:t>d</w:t>
      </w:r>
      <w:r w:rsidRPr="00C42381">
        <w:rPr>
          <w:rFonts w:ascii="Times New Roman" w:hAnsi="Times New Roman" w:cs="Times New Roman"/>
          <w:b/>
        </w:rPr>
        <w:t xml:space="preserve"> Annualized Burden </w:t>
      </w:r>
      <w:r w:rsidR="0016610A" w:rsidRPr="00C42381">
        <w:rPr>
          <w:rFonts w:ascii="Times New Roman" w:hAnsi="Times New Roman" w:cs="Times New Roman"/>
          <w:b/>
        </w:rPr>
        <w:t>Hours</w:t>
      </w:r>
    </w:p>
    <w:tbl>
      <w:tblPr>
        <w:tblW w:w="9260" w:type="dxa"/>
        <w:tblLook w:val="04A0" w:firstRow="1" w:lastRow="0" w:firstColumn="1" w:lastColumn="0" w:noHBand="0" w:noVBand="1"/>
      </w:tblPr>
      <w:tblGrid>
        <w:gridCol w:w="1610"/>
        <w:gridCol w:w="2250"/>
        <w:gridCol w:w="1350"/>
        <w:gridCol w:w="1530"/>
        <w:gridCol w:w="1350"/>
        <w:gridCol w:w="1170"/>
      </w:tblGrid>
      <w:tr w:rsidR="003C1ACB" w:rsidRPr="003C1ACB" w14:paraId="65B9EA44" w14:textId="77777777" w:rsidTr="003C1ACB">
        <w:trPr>
          <w:trHeight w:val="1515"/>
        </w:trPr>
        <w:tc>
          <w:tcPr>
            <w:tcW w:w="16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774534" w14:textId="77777777" w:rsidR="003C1ACB" w:rsidRPr="003C1ACB" w:rsidRDefault="003C1ACB" w:rsidP="003C1ACB">
            <w:pPr>
              <w:widowControl w:val="0"/>
              <w:tabs>
                <w:tab w:val="left" w:pos="0"/>
              </w:tabs>
              <w:spacing w:line="240" w:lineRule="auto"/>
              <w:rPr>
                <w:rFonts w:ascii="Times New Roman" w:hAnsi="Times New Roman" w:cs="Times New Roman"/>
              </w:rPr>
            </w:pPr>
            <w:r w:rsidRPr="003C1ACB">
              <w:rPr>
                <w:rFonts w:ascii="Times New Roman" w:hAnsi="Times New Roman" w:cs="Times New Roman"/>
              </w:rPr>
              <w:t>Type of Respondents</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14:paraId="24A6AD91" w14:textId="77777777" w:rsidR="003C1ACB" w:rsidRPr="003C1ACB" w:rsidRDefault="003C1ACB" w:rsidP="003C1ACB">
            <w:pPr>
              <w:widowControl w:val="0"/>
              <w:tabs>
                <w:tab w:val="left" w:pos="0"/>
              </w:tabs>
              <w:spacing w:line="240" w:lineRule="auto"/>
              <w:rPr>
                <w:rFonts w:ascii="Times New Roman" w:hAnsi="Times New Roman" w:cs="Times New Roman"/>
              </w:rPr>
            </w:pPr>
            <w:r w:rsidRPr="003C1ACB">
              <w:rPr>
                <w:rFonts w:ascii="Times New Roman" w:hAnsi="Times New Roman" w:cs="Times New Roman"/>
              </w:rPr>
              <w:t>Tool</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295D46B4" w14:textId="77777777" w:rsidR="003C1ACB" w:rsidRPr="003C1ACB" w:rsidRDefault="003C1ACB" w:rsidP="003C1ACB">
            <w:pPr>
              <w:widowControl w:val="0"/>
              <w:tabs>
                <w:tab w:val="left" w:pos="0"/>
              </w:tabs>
              <w:spacing w:line="240" w:lineRule="auto"/>
              <w:rPr>
                <w:rFonts w:ascii="Times New Roman" w:hAnsi="Times New Roman" w:cs="Times New Roman"/>
              </w:rPr>
            </w:pPr>
            <w:r w:rsidRPr="003C1ACB">
              <w:rPr>
                <w:rFonts w:ascii="Times New Roman" w:hAnsi="Times New Roman" w:cs="Times New Roman"/>
              </w:rPr>
              <w:t>Number. of Respondents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14:paraId="7A6E359D" w14:textId="77777777" w:rsidR="003C1ACB" w:rsidRPr="003C1ACB" w:rsidRDefault="003C1ACB" w:rsidP="003C1ACB">
            <w:pPr>
              <w:widowControl w:val="0"/>
              <w:tabs>
                <w:tab w:val="left" w:pos="0"/>
              </w:tabs>
              <w:spacing w:line="240" w:lineRule="auto"/>
              <w:rPr>
                <w:rFonts w:ascii="Times New Roman" w:hAnsi="Times New Roman" w:cs="Times New Roman"/>
              </w:rPr>
            </w:pPr>
            <w:r w:rsidRPr="003C1ACB">
              <w:rPr>
                <w:rFonts w:ascii="Times New Roman" w:hAnsi="Times New Roman" w:cs="Times New Roman"/>
              </w:rPr>
              <w:t>Frequency of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710BBA26" w14:textId="77777777" w:rsidR="003C1ACB" w:rsidRPr="003C1ACB" w:rsidRDefault="003C1ACB" w:rsidP="003C1ACB">
            <w:pPr>
              <w:widowControl w:val="0"/>
              <w:tabs>
                <w:tab w:val="left" w:pos="0"/>
              </w:tabs>
              <w:spacing w:line="240" w:lineRule="auto"/>
              <w:rPr>
                <w:rFonts w:ascii="Times New Roman" w:hAnsi="Times New Roman" w:cs="Times New Roman"/>
              </w:rPr>
            </w:pPr>
            <w:r w:rsidRPr="003C1ACB">
              <w:rPr>
                <w:rFonts w:ascii="Times New Roman" w:hAnsi="Times New Roman" w:cs="Times New Roman"/>
              </w:rPr>
              <w:t>Average Burden Time per Response (in hours)</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9F13638" w14:textId="77777777" w:rsidR="003C1ACB" w:rsidRPr="003C1ACB" w:rsidRDefault="003C1ACB" w:rsidP="003C1ACB">
            <w:pPr>
              <w:widowControl w:val="0"/>
              <w:tabs>
                <w:tab w:val="left" w:pos="0"/>
              </w:tabs>
              <w:spacing w:line="240" w:lineRule="auto"/>
              <w:rPr>
                <w:rFonts w:ascii="Times New Roman" w:hAnsi="Times New Roman" w:cs="Times New Roman"/>
              </w:rPr>
            </w:pPr>
            <w:r w:rsidRPr="003C1ACB">
              <w:rPr>
                <w:rFonts w:ascii="Times New Roman" w:hAnsi="Times New Roman" w:cs="Times New Roman"/>
              </w:rPr>
              <w:t>Average Total Response Burden (in hours)</w:t>
            </w:r>
          </w:p>
        </w:tc>
      </w:tr>
      <w:tr w:rsidR="00A82294" w:rsidRPr="003C1ACB" w14:paraId="4B24BBCE" w14:textId="77777777" w:rsidTr="00410C50">
        <w:trPr>
          <w:trHeight w:val="1042"/>
        </w:trPr>
        <w:tc>
          <w:tcPr>
            <w:tcW w:w="1610" w:type="dxa"/>
            <w:tcBorders>
              <w:top w:val="nil"/>
              <w:left w:val="single" w:sz="8" w:space="0" w:color="auto"/>
              <w:bottom w:val="single" w:sz="8" w:space="0" w:color="auto"/>
              <w:right w:val="single" w:sz="8" w:space="0" w:color="auto"/>
            </w:tcBorders>
            <w:shd w:val="clear" w:color="auto" w:fill="auto"/>
            <w:vAlign w:val="center"/>
            <w:hideMark/>
          </w:tcPr>
          <w:p w14:paraId="285D306F" w14:textId="77777777" w:rsidR="00A82294" w:rsidRPr="003C1ACB" w:rsidRDefault="00A82294" w:rsidP="00A82294">
            <w:pPr>
              <w:widowControl w:val="0"/>
              <w:tabs>
                <w:tab w:val="left" w:pos="0"/>
              </w:tabs>
              <w:spacing w:line="240" w:lineRule="auto"/>
              <w:rPr>
                <w:rFonts w:ascii="Times New Roman" w:hAnsi="Times New Roman" w:cs="Times New Roman"/>
              </w:rPr>
            </w:pPr>
            <w:r w:rsidRPr="003C1ACB">
              <w:rPr>
                <w:rFonts w:ascii="Times New Roman" w:hAnsi="Times New Roman" w:cs="Times New Roman"/>
              </w:rPr>
              <w:t>Educational Developers (Health Educators)</w:t>
            </w:r>
          </w:p>
        </w:tc>
        <w:tc>
          <w:tcPr>
            <w:tcW w:w="2250" w:type="dxa"/>
            <w:tcBorders>
              <w:top w:val="nil"/>
              <w:left w:val="nil"/>
              <w:bottom w:val="single" w:sz="8" w:space="0" w:color="auto"/>
              <w:right w:val="single" w:sz="8" w:space="0" w:color="auto"/>
            </w:tcBorders>
            <w:shd w:val="clear" w:color="auto" w:fill="auto"/>
            <w:vAlign w:val="center"/>
            <w:hideMark/>
          </w:tcPr>
          <w:p w14:paraId="1A17E439" w14:textId="77777777" w:rsidR="00A82294" w:rsidRPr="003C1ACB" w:rsidRDefault="00A82294" w:rsidP="00A82294">
            <w:pPr>
              <w:widowControl w:val="0"/>
              <w:tabs>
                <w:tab w:val="left" w:pos="0"/>
              </w:tabs>
              <w:spacing w:line="240" w:lineRule="auto"/>
              <w:rPr>
                <w:rFonts w:ascii="Times New Roman" w:hAnsi="Times New Roman" w:cs="Times New Roman"/>
              </w:rPr>
            </w:pPr>
            <w:r w:rsidRPr="003C1ACB">
              <w:rPr>
                <w:rFonts w:ascii="Times New Roman" w:hAnsi="Times New Roman" w:cs="Times New Roman"/>
              </w:rPr>
              <w:t>TCEO Proposal</w:t>
            </w:r>
          </w:p>
        </w:tc>
        <w:tc>
          <w:tcPr>
            <w:tcW w:w="1350" w:type="dxa"/>
            <w:tcBorders>
              <w:top w:val="nil"/>
              <w:left w:val="nil"/>
              <w:bottom w:val="single" w:sz="8" w:space="0" w:color="auto"/>
              <w:right w:val="single" w:sz="8" w:space="0" w:color="auto"/>
            </w:tcBorders>
            <w:shd w:val="clear" w:color="auto" w:fill="auto"/>
            <w:vAlign w:val="center"/>
            <w:hideMark/>
          </w:tcPr>
          <w:p w14:paraId="219B26A4" w14:textId="77777777" w:rsidR="00A82294" w:rsidRPr="00F65804" w:rsidRDefault="00A82294" w:rsidP="00A82294">
            <w:pPr>
              <w:widowControl w:val="0"/>
              <w:tabs>
                <w:tab w:val="left" w:pos="0"/>
              </w:tabs>
              <w:spacing w:line="240" w:lineRule="auto"/>
              <w:jc w:val="right"/>
              <w:rPr>
                <w:rFonts w:ascii="Times New Roman" w:hAnsi="Times New Roman" w:cs="Times New Roman"/>
              </w:rPr>
            </w:pPr>
            <w:r w:rsidRPr="00F65804">
              <w:rPr>
                <w:rFonts w:ascii="Times New Roman" w:hAnsi="Times New Roman" w:cs="Times New Roman"/>
              </w:rPr>
              <w:t>120</w:t>
            </w:r>
          </w:p>
        </w:tc>
        <w:tc>
          <w:tcPr>
            <w:tcW w:w="1530" w:type="dxa"/>
            <w:tcBorders>
              <w:top w:val="nil"/>
              <w:left w:val="nil"/>
              <w:bottom w:val="single" w:sz="8" w:space="0" w:color="auto"/>
              <w:right w:val="single" w:sz="8" w:space="0" w:color="auto"/>
            </w:tcBorders>
            <w:shd w:val="clear" w:color="auto" w:fill="auto"/>
            <w:vAlign w:val="center"/>
            <w:hideMark/>
          </w:tcPr>
          <w:p w14:paraId="58262370" w14:textId="77777777" w:rsidR="00A82294" w:rsidRPr="00F65804" w:rsidRDefault="00A82294" w:rsidP="00A82294">
            <w:pPr>
              <w:widowControl w:val="0"/>
              <w:tabs>
                <w:tab w:val="left" w:pos="0"/>
              </w:tabs>
              <w:spacing w:line="240" w:lineRule="auto"/>
              <w:jc w:val="center"/>
              <w:rPr>
                <w:rFonts w:ascii="Times New Roman" w:hAnsi="Times New Roman" w:cs="Times New Roman"/>
              </w:rPr>
            </w:pPr>
            <w:r w:rsidRPr="00F65804">
              <w:rPr>
                <w:rFonts w:ascii="Times New Roman" w:hAnsi="Times New Roman" w:cs="Times New Roman"/>
              </w:rPr>
              <w:t>1</w:t>
            </w:r>
          </w:p>
        </w:tc>
        <w:tc>
          <w:tcPr>
            <w:tcW w:w="1350" w:type="dxa"/>
            <w:tcBorders>
              <w:top w:val="nil"/>
              <w:left w:val="nil"/>
              <w:bottom w:val="single" w:sz="8" w:space="0" w:color="auto"/>
              <w:right w:val="single" w:sz="8" w:space="0" w:color="auto"/>
            </w:tcBorders>
            <w:shd w:val="clear" w:color="auto" w:fill="auto"/>
            <w:vAlign w:val="center"/>
            <w:hideMark/>
          </w:tcPr>
          <w:p w14:paraId="4A2A72ED" w14:textId="77777777" w:rsidR="00A82294" w:rsidRPr="00F65804" w:rsidRDefault="00A82294" w:rsidP="00410C50">
            <w:pPr>
              <w:widowControl w:val="0"/>
              <w:tabs>
                <w:tab w:val="left" w:pos="0"/>
              </w:tabs>
              <w:spacing w:line="240" w:lineRule="auto"/>
              <w:jc w:val="center"/>
              <w:rPr>
                <w:rFonts w:ascii="Times New Roman" w:hAnsi="Times New Roman" w:cs="Times New Roman"/>
              </w:rPr>
            </w:pPr>
            <w:r w:rsidRPr="00F65804">
              <w:rPr>
                <w:rFonts w:ascii="Times New Roman" w:hAnsi="Times New Roman" w:cs="Times New Roman"/>
              </w:rPr>
              <w:t>5</w:t>
            </w:r>
          </w:p>
        </w:tc>
        <w:tc>
          <w:tcPr>
            <w:tcW w:w="1170" w:type="dxa"/>
            <w:tcBorders>
              <w:top w:val="nil"/>
              <w:left w:val="nil"/>
              <w:bottom w:val="single" w:sz="8" w:space="0" w:color="auto"/>
              <w:right w:val="single" w:sz="8" w:space="0" w:color="auto"/>
            </w:tcBorders>
            <w:shd w:val="clear" w:color="auto" w:fill="auto"/>
            <w:vAlign w:val="center"/>
            <w:hideMark/>
          </w:tcPr>
          <w:p w14:paraId="5987D5DF" w14:textId="77777777" w:rsidR="00A82294" w:rsidRPr="00F65804" w:rsidRDefault="00A82294" w:rsidP="00A82294">
            <w:pPr>
              <w:widowControl w:val="0"/>
              <w:tabs>
                <w:tab w:val="left" w:pos="0"/>
              </w:tabs>
              <w:spacing w:line="240" w:lineRule="auto"/>
              <w:jc w:val="right"/>
              <w:rPr>
                <w:rFonts w:ascii="Times New Roman" w:hAnsi="Times New Roman" w:cs="Times New Roman"/>
              </w:rPr>
            </w:pPr>
            <w:r w:rsidRPr="00F65804">
              <w:rPr>
                <w:rFonts w:ascii="Times New Roman" w:hAnsi="Times New Roman" w:cs="Times New Roman"/>
              </w:rPr>
              <w:t>600</w:t>
            </w:r>
          </w:p>
        </w:tc>
      </w:tr>
      <w:tr w:rsidR="00A82294" w:rsidRPr="003C1ACB" w14:paraId="1310F8C3" w14:textId="77777777" w:rsidTr="00410C50">
        <w:trPr>
          <w:trHeight w:val="1438"/>
        </w:trPr>
        <w:tc>
          <w:tcPr>
            <w:tcW w:w="1610" w:type="dxa"/>
            <w:tcBorders>
              <w:top w:val="nil"/>
              <w:left w:val="single" w:sz="8" w:space="0" w:color="auto"/>
              <w:bottom w:val="single" w:sz="8" w:space="0" w:color="auto"/>
              <w:right w:val="single" w:sz="8" w:space="0" w:color="auto"/>
            </w:tcBorders>
            <w:shd w:val="clear" w:color="auto" w:fill="auto"/>
            <w:vAlign w:val="center"/>
            <w:hideMark/>
          </w:tcPr>
          <w:p w14:paraId="5B45A7F9" w14:textId="77777777" w:rsidR="00A82294" w:rsidRPr="003C1ACB" w:rsidRDefault="00A82294" w:rsidP="00A82294">
            <w:pPr>
              <w:widowControl w:val="0"/>
              <w:tabs>
                <w:tab w:val="left" w:pos="0"/>
              </w:tabs>
              <w:spacing w:line="240" w:lineRule="auto"/>
              <w:rPr>
                <w:rFonts w:ascii="Times New Roman" w:hAnsi="Times New Roman" w:cs="Times New Roman"/>
              </w:rPr>
            </w:pPr>
            <w:r w:rsidRPr="003C1ACB">
              <w:rPr>
                <w:rFonts w:ascii="Times New Roman" w:hAnsi="Times New Roman" w:cs="Times New Roman"/>
              </w:rPr>
              <w:t xml:space="preserve">Public Health and Health Care Professionals (Learners) </w:t>
            </w:r>
          </w:p>
        </w:tc>
        <w:tc>
          <w:tcPr>
            <w:tcW w:w="2250" w:type="dxa"/>
            <w:tcBorders>
              <w:top w:val="nil"/>
              <w:left w:val="nil"/>
              <w:bottom w:val="single" w:sz="8" w:space="0" w:color="auto"/>
              <w:right w:val="single" w:sz="8" w:space="0" w:color="auto"/>
            </w:tcBorders>
            <w:shd w:val="clear" w:color="auto" w:fill="auto"/>
            <w:vAlign w:val="center"/>
            <w:hideMark/>
          </w:tcPr>
          <w:p w14:paraId="1A49E901" w14:textId="77777777" w:rsidR="00A82294" w:rsidRPr="003C1ACB" w:rsidRDefault="00A82294" w:rsidP="00A82294">
            <w:pPr>
              <w:widowControl w:val="0"/>
              <w:tabs>
                <w:tab w:val="left" w:pos="0"/>
              </w:tabs>
              <w:spacing w:line="240" w:lineRule="auto"/>
              <w:rPr>
                <w:rFonts w:ascii="Times New Roman" w:hAnsi="Times New Roman" w:cs="Times New Roman"/>
              </w:rPr>
            </w:pPr>
            <w:r w:rsidRPr="003C1ACB">
              <w:rPr>
                <w:rFonts w:ascii="Times New Roman" w:hAnsi="Times New Roman" w:cs="Times New Roman"/>
              </w:rPr>
              <w:t xml:space="preserve">TCEO New Participant Registration </w:t>
            </w:r>
          </w:p>
        </w:tc>
        <w:tc>
          <w:tcPr>
            <w:tcW w:w="1350" w:type="dxa"/>
            <w:tcBorders>
              <w:top w:val="nil"/>
              <w:left w:val="nil"/>
              <w:bottom w:val="single" w:sz="8" w:space="0" w:color="auto"/>
              <w:right w:val="single" w:sz="8" w:space="0" w:color="auto"/>
            </w:tcBorders>
            <w:shd w:val="clear" w:color="auto" w:fill="auto"/>
            <w:vAlign w:val="center"/>
            <w:hideMark/>
          </w:tcPr>
          <w:p w14:paraId="207C9445" w14:textId="77777777" w:rsidR="00A82294" w:rsidRPr="00F65804" w:rsidRDefault="00A82294" w:rsidP="00A82294">
            <w:pPr>
              <w:widowControl w:val="0"/>
              <w:tabs>
                <w:tab w:val="left" w:pos="0"/>
              </w:tabs>
              <w:spacing w:line="240" w:lineRule="auto"/>
              <w:jc w:val="right"/>
              <w:rPr>
                <w:rFonts w:ascii="Times New Roman" w:hAnsi="Times New Roman" w:cs="Times New Roman"/>
              </w:rPr>
            </w:pPr>
            <w:r w:rsidRPr="00F65804">
              <w:rPr>
                <w:rFonts w:ascii="Times New Roman" w:hAnsi="Times New Roman" w:cs="Times New Roman"/>
              </w:rPr>
              <w:t>200,000</w:t>
            </w:r>
          </w:p>
        </w:tc>
        <w:tc>
          <w:tcPr>
            <w:tcW w:w="1530" w:type="dxa"/>
            <w:tcBorders>
              <w:top w:val="nil"/>
              <w:left w:val="nil"/>
              <w:bottom w:val="single" w:sz="8" w:space="0" w:color="auto"/>
              <w:right w:val="single" w:sz="8" w:space="0" w:color="auto"/>
            </w:tcBorders>
            <w:shd w:val="clear" w:color="auto" w:fill="auto"/>
            <w:vAlign w:val="center"/>
            <w:hideMark/>
          </w:tcPr>
          <w:p w14:paraId="6650EACA" w14:textId="77777777" w:rsidR="00A82294" w:rsidRPr="00F65804" w:rsidRDefault="00A82294" w:rsidP="00A82294">
            <w:pPr>
              <w:widowControl w:val="0"/>
              <w:tabs>
                <w:tab w:val="left" w:pos="0"/>
              </w:tabs>
              <w:spacing w:line="240" w:lineRule="auto"/>
              <w:jc w:val="center"/>
              <w:rPr>
                <w:rFonts w:ascii="Times New Roman" w:hAnsi="Times New Roman" w:cs="Times New Roman"/>
              </w:rPr>
            </w:pPr>
            <w:r w:rsidRPr="00F65804">
              <w:rPr>
                <w:rFonts w:ascii="Times New Roman" w:hAnsi="Times New Roman" w:cs="Times New Roman"/>
              </w:rPr>
              <w:t>1</w:t>
            </w:r>
          </w:p>
        </w:tc>
        <w:tc>
          <w:tcPr>
            <w:tcW w:w="1350" w:type="dxa"/>
            <w:tcBorders>
              <w:top w:val="nil"/>
              <w:left w:val="nil"/>
              <w:bottom w:val="single" w:sz="8" w:space="0" w:color="auto"/>
              <w:right w:val="single" w:sz="8" w:space="0" w:color="auto"/>
            </w:tcBorders>
            <w:shd w:val="clear" w:color="auto" w:fill="auto"/>
            <w:vAlign w:val="center"/>
            <w:hideMark/>
          </w:tcPr>
          <w:p w14:paraId="494C2B69" w14:textId="77777777" w:rsidR="00A82294" w:rsidRPr="00F65804" w:rsidRDefault="00A82294" w:rsidP="00410C50">
            <w:pPr>
              <w:widowControl w:val="0"/>
              <w:tabs>
                <w:tab w:val="left" w:pos="0"/>
              </w:tabs>
              <w:spacing w:line="240" w:lineRule="auto"/>
              <w:jc w:val="center"/>
              <w:rPr>
                <w:rFonts w:ascii="Times New Roman" w:hAnsi="Times New Roman" w:cs="Times New Roman"/>
              </w:rPr>
            </w:pPr>
            <w:r w:rsidRPr="00F65804">
              <w:rPr>
                <w:rFonts w:ascii="Times New Roman" w:hAnsi="Times New Roman" w:cs="Times New Roman"/>
              </w:rPr>
              <w:t>5/60</w:t>
            </w:r>
          </w:p>
        </w:tc>
        <w:tc>
          <w:tcPr>
            <w:tcW w:w="1170" w:type="dxa"/>
            <w:tcBorders>
              <w:top w:val="nil"/>
              <w:left w:val="nil"/>
              <w:bottom w:val="single" w:sz="8" w:space="0" w:color="auto"/>
              <w:right w:val="single" w:sz="8" w:space="0" w:color="auto"/>
            </w:tcBorders>
            <w:shd w:val="clear" w:color="auto" w:fill="auto"/>
            <w:vAlign w:val="center"/>
            <w:hideMark/>
          </w:tcPr>
          <w:p w14:paraId="0A2A47CB" w14:textId="77777777" w:rsidR="00A82294" w:rsidRPr="00F65804" w:rsidRDefault="00A82294" w:rsidP="00A82294">
            <w:pPr>
              <w:widowControl w:val="0"/>
              <w:tabs>
                <w:tab w:val="left" w:pos="0"/>
              </w:tabs>
              <w:spacing w:line="240" w:lineRule="auto"/>
              <w:jc w:val="right"/>
              <w:rPr>
                <w:rFonts w:ascii="Times New Roman" w:hAnsi="Times New Roman" w:cs="Times New Roman"/>
              </w:rPr>
            </w:pPr>
            <w:r w:rsidRPr="00F65804">
              <w:rPr>
                <w:rFonts w:ascii="Times New Roman" w:hAnsi="Times New Roman" w:cs="Times New Roman"/>
              </w:rPr>
              <w:t>16</w:t>
            </w:r>
            <w:r w:rsidR="00215208" w:rsidRPr="00F65804">
              <w:rPr>
                <w:rFonts w:ascii="Times New Roman" w:hAnsi="Times New Roman" w:cs="Times New Roman"/>
              </w:rPr>
              <w:t>,</w:t>
            </w:r>
            <w:r w:rsidRPr="00F65804">
              <w:rPr>
                <w:rFonts w:ascii="Times New Roman" w:hAnsi="Times New Roman" w:cs="Times New Roman"/>
              </w:rPr>
              <w:t>667</w:t>
            </w:r>
          </w:p>
        </w:tc>
      </w:tr>
      <w:tr w:rsidR="00A82294" w:rsidRPr="003C1ACB" w14:paraId="41FC063D" w14:textId="77777777" w:rsidTr="00410C50">
        <w:trPr>
          <w:trHeight w:val="1690"/>
        </w:trPr>
        <w:tc>
          <w:tcPr>
            <w:tcW w:w="1610" w:type="dxa"/>
            <w:tcBorders>
              <w:top w:val="nil"/>
              <w:left w:val="single" w:sz="8" w:space="0" w:color="auto"/>
              <w:bottom w:val="single" w:sz="8" w:space="0" w:color="auto"/>
              <w:right w:val="single" w:sz="8" w:space="0" w:color="auto"/>
            </w:tcBorders>
            <w:shd w:val="clear" w:color="auto" w:fill="auto"/>
            <w:vAlign w:val="center"/>
            <w:hideMark/>
          </w:tcPr>
          <w:p w14:paraId="0D24054B" w14:textId="77777777" w:rsidR="00A82294" w:rsidRPr="003C1ACB" w:rsidRDefault="00A82294" w:rsidP="00A82294">
            <w:pPr>
              <w:widowControl w:val="0"/>
              <w:tabs>
                <w:tab w:val="left" w:pos="0"/>
              </w:tabs>
              <w:spacing w:line="240" w:lineRule="auto"/>
              <w:rPr>
                <w:rFonts w:ascii="Times New Roman" w:hAnsi="Times New Roman" w:cs="Times New Roman"/>
              </w:rPr>
            </w:pPr>
            <w:r w:rsidRPr="003C1ACB">
              <w:rPr>
                <w:rFonts w:ascii="Times New Roman" w:hAnsi="Times New Roman" w:cs="Times New Roman"/>
              </w:rPr>
              <w:t xml:space="preserve">Public Health and Health Care Professionals (Learners)  </w:t>
            </w:r>
          </w:p>
        </w:tc>
        <w:tc>
          <w:tcPr>
            <w:tcW w:w="2250" w:type="dxa"/>
            <w:tcBorders>
              <w:top w:val="nil"/>
              <w:left w:val="nil"/>
              <w:bottom w:val="single" w:sz="8" w:space="0" w:color="auto"/>
              <w:right w:val="single" w:sz="8" w:space="0" w:color="auto"/>
            </w:tcBorders>
            <w:shd w:val="clear" w:color="auto" w:fill="auto"/>
            <w:vAlign w:val="center"/>
            <w:hideMark/>
          </w:tcPr>
          <w:p w14:paraId="39EBC76B" w14:textId="77777777" w:rsidR="00A82294" w:rsidRPr="003C1ACB" w:rsidRDefault="00A82294" w:rsidP="00A82294">
            <w:pPr>
              <w:widowControl w:val="0"/>
              <w:tabs>
                <w:tab w:val="left" w:pos="0"/>
              </w:tabs>
              <w:spacing w:line="240" w:lineRule="auto"/>
              <w:rPr>
                <w:rFonts w:ascii="Times New Roman" w:hAnsi="Times New Roman" w:cs="Times New Roman"/>
              </w:rPr>
            </w:pPr>
            <w:r w:rsidRPr="003C1ACB">
              <w:rPr>
                <w:rFonts w:ascii="Times New Roman" w:hAnsi="Times New Roman" w:cs="Times New Roman"/>
              </w:rPr>
              <w:t>TCEO Post-</w:t>
            </w:r>
            <w:r w:rsidR="00A67A38">
              <w:rPr>
                <w:rFonts w:ascii="Times New Roman" w:hAnsi="Times New Roman" w:cs="Times New Roman"/>
              </w:rPr>
              <w:t>C</w:t>
            </w:r>
            <w:r w:rsidRPr="003C1ACB">
              <w:rPr>
                <w:rFonts w:ascii="Times New Roman" w:hAnsi="Times New Roman" w:cs="Times New Roman"/>
              </w:rPr>
              <w:t>ourse Evaluation</w:t>
            </w:r>
          </w:p>
        </w:tc>
        <w:tc>
          <w:tcPr>
            <w:tcW w:w="1350" w:type="dxa"/>
            <w:tcBorders>
              <w:top w:val="nil"/>
              <w:left w:val="nil"/>
              <w:bottom w:val="single" w:sz="8" w:space="0" w:color="auto"/>
              <w:right w:val="single" w:sz="8" w:space="0" w:color="auto"/>
            </w:tcBorders>
            <w:shd w:val="clear" w:color="auto" w:fill="auto"/>
            <w:vAlign w:val="center"/>
            <w:hideMark/>
          </w:tcPr>
          <w:p w14:paraId="254E1E0D" w14:textId="77777777" w:rsidR="00A82294" w:rsidRPr="00F65804" w:rsidRDefault="00A82294" w:rsidP="00A82294">
            <w:pPr>
              <w:widowControl w:val="0"/>
              <w:tabs>
                <w:tab w:val="left" w:pos="0"/>
              </w:tabs>
              <w:spacing w:line="240" w:lineRule="auto"/>
              <w:jc w:val="right"/>
              <w:rPr>
                <w:rFonts w:ascii="Times New Roman" w:hAnsi="Times New Roman" w:cs="Times New Roman"/>
              </w:rPr>
            </w:pPr>
            <w:r w:rsidRPr="00F65804">
              <w:rPr>
                <w:rFonts w:ascii="Times New Roman" w:hAnsi="Times New Roman" w:cs="Times New Roman"/>
              </w:rPr>
              <w:t>200,000</w:t>
            </w:r>
          </w:p>
        </w:tc>
        <w:tc>
          <w:tcPr>
            <w:tcW w:w="1530" w:type="dxa"/>
            <w:tcBorders>
              <w:top w:val="nil"/>
              <w:left w:val="nil"/>
              <w:bottom w:val="single" w:sz="8" w:space="0" w:color="auto"/>
              <w:right w:val="single" w:sz="8" w:space="0" w:color="auto"/>
            </w:tcBorders>
            <w:shd w:val="clear" w:color="auto" w:fill="auto"/>
            <w:vAlign w:val="center"/>
            <w:hideMark/>
          </w:tcPr>
          <w:p w14:paraId="40E3ABD2" w14:textId="77777777" w:rsidR="00A82294" w:rsidRPr="00F65804" w:rsidRDefault="00A82294" w:rsidP="00A82294">
            <w:pPr>
              <w:widowControl w:val="0"/>
              <w:tabs>
                <w:tab w:val="left" w:pos="0"/>
              </w:tabs>
              <w:spacing w:line="240" w:lineRule="auto"/>
              <w:jc w:val="center"/>
              <w:rPr>
                <w:rFonts w:ascii="Times New Roman" w:hAnsi="Times New Roman" w:cs="Times New Roman"/>
              </w:rPr>
            </w:pPr>
            <w:r w:rsidRPr="00F65804">
              <w:rPr>
                <w:rFonts w:ascii="Times New Roman" w:hAnsi="Times New Roman" w:cs="Times New Roman"/>
              </w:rPr>
              <w:t>2</w:t>
            </w:r>
          </w:p>
        </w:tc>
        <w:tc>
          <w:tcPr>
            <w:tcW w:w="1350" w:type="dxa"/>
            <w:tcBorders>
              <w:top w:val="nil"/>
              <w:left w:val="nil"/>
              <w:bottom w:val="single" w:sz="8" w:space="0" w:color="auto"/>
              <w:right w:val="single" w:sz="8" w:space="0" w:color="auto"/>
            </w:tcBorders>
            <w:shd w:val="clear" w:color="auto" w:fill="auto"/>
            <w:vAlign w:val="center"/>
            <w:hideMark/>
          </w:tcPr>
          <w:p w14:paraId="79435B9F" w14:textId="77777777" w:rsidR="00A82294" w:rsidRPr="00F65804" w:rsidRDefault="00A82294" w:rsidP="00410C50">
            <w:pPr>
              <w:widowControl w:val="0"/>
              <w:tabs>
                <w:tab w:val="left" w:pos="0"/>
              </w:tabs>
              <w:spacing w:line="240" w:lineRule="auto"/>
              <w:jc w:val="center"/>
              <w:rPr>
                <w:rFonts w:ascii="Times New Roman" w:hAnsi="Times New Roman" w:cs="Times New Roman"/>
              </w:rPr>
            </w:pPr>
            <w:r w:rsidRPr="00F65804">
              <w:rPr>
                <w:rFonts w:ascii="Times New Roman" w:hAnsi="Times New Roman" w:cs="Times New Roman"/>
              </w:rPr>
              <w:t>10/60</w:t>
            </w:r>
          </w:p>
        </w:tc>
        <w:tc>
          <w:tcPr>
            <w:tcW w:w="1170" w:type="dxa"/>
            <w:tcBorders>
              <w:top w:val="nil"/>
              <w:left w:val="nil"/>
              <w:bottom w:val="single" w:sz="8" w:space="0" w:color="auto"/>
              <w:right w:val="single" w:sz="8" w:space="0" w:color="auto"/>
            </w:tcBorders>
            <w:shd w:val="clear" w:color="auto" w:fill="auto"/>
            <w:vAlign w:val="center"/>
            <w:hideMark/>
          </w:tcPr>
          <w:p w14:paraId="281ED5C7" w14:textId="77777777" w:rsidR="00A82294" w:rsidRPr="00F65804" w:rsidRDefault="00A82294" w:rsidP="00A82294">
            <w:pPr>
              <w:widowControl w:val="0"/>
              <w:tabs>
                <w:tab w:val="left" w:pos="0"/>
              </w:tabs>
              <w:spacing w:line="240" w:lineRule="auto"/>
              <w:jc w:val="right"/>
              <w:rPr>
                <w:rFonts w:ascii="Times New Roman" w:hAnsi="Times New Roman" w:cs="Times New Roman"/>
              </w:rPr>
            </w:pPr>
            <w:r w:rsidRPr="00F65804">
              <w:rPr>
                <w:rFonts w:ascii="Times New Roman" w:hAnsi="Times New Roman" w:cs="Times New Roman"/>
              </w:rPr>
              <w:t>66</w:t>
            </w:r>
            <w:r w:rsidR="00215208" w:rsidRPr="00F65804">
              <w:rPr>
                <w:rFonts w:ascii="Times New Roman" w:hAnsi="Times New Roman" w:cs="Times New Roman"/>
              </w:rPr>
              <w:t>,</w:t>
            </w:r>
            <w:r w:rsidRPr="00F65804">
              <w:rPr>
                <w:rFonts w:ascii="Times New Roman" w:hAnsi="Times New Roman" w:cs="Times New Roman"/>
              </w:rPr>
              <w:t>667</w:t>
            </w:r>
          </w:p>
        </w:tc>
      </w:tr>
      <w:tr w:rsidR="00A82294" w:rsidRPr="003C1ACB" w14:paraId="1BAC5183" w14:textId="77777777" w:rsidTr="00410C50">
        <w:trPr>
          <w:trHeight w:val="1474"/>
        </w:trPr>
        <w:tc>
          <w:tcPr>
            <w:tcW w:w="1610" w:type="dxa"/>
            <w:tcBorders>
              <w:top w:val="nil"/>
              <w:left w:val="single" w:sz="8" w:space="0" w:color="auto"/>
              <w:bottom w:val="single" w:sz="8" w:space="0" w:color="auto"/>
              <w:right w:val="single" w:sz="8" w:space="0" w:color="auto"/>
            </w:tcBorders>
            <w:shd w:val="clear" w:color="auto" w:fill="auto"/>
            <w:vAlign w:val="center"/>
            <w:hideMark/>
          </w:tcPr>
          <w:p w14:paraId="7C882EEB" w14:textId="77777777" w:rsidR="00A82294" w:rsidRPr="003C1ACB" w:rsidRDefault="00A82294" w:rsidP="00A82294">
            <w:pPr>
              <w:widowControl w:val="0"/>
              <w:tabs>
                <w:tab w:val="left" w:pos="0"/>
              </w:tabs>
              <w:spacing w:line="240" w:lineRule="auto"/>
              <w:rPr>
                <w:rFonts w:ascii="Times New Roman" w:hAnsi="Times New Roman" w:cs="Times New Roman"/>
              </w:rPr>
            </w:pPr>
            <w:r w:rsidRPr="003C1ACB">
              <w:rPr>
                <w:rFonts w:ascii="Times New Roman" w:hAnsi="Times New Roman" w:cs="Times New Roman"/>
              </w:rPr>
              <w:t xml:space="preserve">Public Health and Health Care Professionals (Learners)  </w:t>
            </w:r>
          </w:p>
        </w:tc>
        <w:tc>
          <w:tcPr>
            <w:tcW w:w="2250" w:type="dxa"/>
            <w:tcBorders>
              <w:top w:val="nil"/>
              <w:left w:val="nil"/>
              <w:bottom w:val="single" w:sz="8" w:space="0" w:color="auto"/>
              <w:right w:val="single" w:sz="8" w:space="0" w:color="auto"/>
            </w:tcBorders>
            <w:shd w:val="clear" w:color="auto" w:fill="auto"/>
            <w:vAlign w:val="center"/>
            <w:hideMark/>
          </w:tcPr>
          <w:p w14:paraId="0F7CE8A2" w14:textId="77777777" w:rsidR="00A82294" w:rsidRPr="003C1ACB" w:rsidRDefault="00A82294" w:rsidP="00A82294">
            <w:pPr>
              <w:widowControl w:val="0"/>
              <w:tabs>
                <w:tab w:val="left" w:pos="0"/>
              </w:tabs>
              <w:spacing w:line="240" w:lineRule="auto"/>
              <w:rPr>
                <w:rFonts w:ascii="Times New Roman" w:hAnsi="Times New Roman" w:cs="Times New Roman"/>
              </w:rPr>
            </w:pPr>
            <w:r w:rsidRPr="003C1ACB">
              <w:rPr>
                <w:rFonts w:ascii="Times New Roman" w:hAnsi="Times New Roman" w:cs="Times New Roman"/>
              </w:rPr>
              <w:t>TCEO Follow-up Evaluation</w:t>
            </w:r>
          </w:p>
        </w:tc>
        <w:tc>
          <w:tcPr>
            <w:tcW w:w="1350" w:type="dxa"/>
            <w:tcBorders>
              <w:top w:val="nil"/>
              <w:left w:val="nil"/>
              <w:bottom w:val="single" w:sz="8" w:space="0" w:color="auto"/>
              <w:right w:val="single" w:sz="8" w:space="0" w:color="auto"/>
            </w:tcBorders>
            <w:shd w:val="clear" w:color="auto" w:fill="auto"/>
            <w:vAlign w:val="center"/>
            <w:hideMark/>
          </w:tcPr>
          <w:p w14:paraId="45F53AAF" w14:textId="77777777" w:rsidR="00A82294" w:rsidRPr="00F65804" w:rsidRDefault="00A82294" w:rsidP="00A82294">
            <w:pPr>
              <w:widowControl w:val="0"/>
              <w:tabs>
                <w:tab w:val="left" w:pos="0"/>
              </w:tabs>
              <w:spacing w:line="240" w:lineRule="auto"/>
              <w:jc w:val="right"/>
              <w:rPr>
                <w:rFonts w:ascii="Times New Roman" w:hAnsi="Times New Roman" w:cs="Times New Roman"/>
              </w:rPr>
            </w:pPr>
            <w:r w:rsidRPr="00F65804">
              <w:rPr>
                <w:rFonts w:ascii="Times New Roman" w:hAnsi="Times New Roman" w:cs="Times New Roman"/>
              </w:rPr>
              <w:t>20,000</w:t>
            </w:r>
          </w:p>
        </w:tc>
        <w:tc>
          <w:tcPr>
            <w:tcW w:w="1530" w:type="dxa"/>
            <w:tcBorders>
              <w:top w:val="nil"/>
              <w:left w:val="nil"/>
              <w:bottom w:val="single" w:sz="8" w:space="0" w:color="auto"/>
              <w:right w:val="single" w:sz="8" w:space="0" w:color="auto"/>
            </w:tcBorders>
            <w:shd w:val="clear" w:color="auto" w:fill="auto"/>
            <w:vAlign w:val="center"/>
            <w:hideMark/>
          </w:tcPr>
          <w:p w14:paraId="6BD92F60" w14:textId="77777777" w:rsidR="00A82294" w:rsidRPr="00F65804" w:rsidRDefault="00A82294" w:rsidP="00A82294">
            <w:pPr>
              <w:widowControl w:val="0"/>
              <w:tabs>
                <w:tab w:val="left" w:pos="0"/>
              </w:tabs>
              <w:spacing w:line="240" w:lineRule="auto"/>
              <w:jc w:val="center"/>
              <w:rPr>
                <w:rFonts w:ascii="Times New Roman" w:hAnsi="Times New Roman" w:cs="Times New Roman"/>
              </w:rPr>
            </w:pPr>
            <w:r w:rsidRPr="00F65804">
              <w:rPr>
                <w:rFonts w:ascii="Times New Roman" w:hAnsi="Times New Roman" w:cs="Times New Roman"/>
              </w:rPr>
              <w:t>2</w:t>
            </w:r>
          </w:p>
        </w:tc>
        <w:tc>
          <w:tcPr>
            <w:tcW w:w="1350" w:type="dxa"/>
            <w:tcBorders>
              <w:top w:val="nil"/>
              <w:left w:val="nil"/>
              <w:bottom w:val="single" w:sz="8" w:space="0" w:color="auto"/>
              <w:right w:val="single" w:sz="8" w:space="0" w:color="auto"/>
            </w:tcBorders>
            <w:shd w:val="clear" w:color="auto" w:fill="auto"/>
            <w:vAlign w:val="center"/>
            <w:hideMark/>
          </w:tcPr>
          <w:p w14:paraId="05FB73FC" w14:textId="77777777" w:rsidR="00A82294" w:rsidRPr="00F65804" w:rsidRDefault="00410C50" w:rsidP="00410C50">
            <w:pPr>
              <w:widowControl w:val="0"/>
              <w:tabs>
                <w:tab w:val="left" w:pos="0"/>
              </w:tabs>
              <w:spacing w:line="240" w:lineRule="auto"/>
              <w:jc w:val="center"/>
              <w:rPr>
                <w:rFonts w:ascii="Times New Roman" w:hAnsi="Times New Roman" w:cs="Times New Roman"/>
              </w:rPr>
            </w:pPr>
            <w:r w:rsidRPr="00F65804">
              <w:rPr>
                <w:rFonts w:ascii="Times New Roman" w:hAnsi="Times New Roman" w:cs="Times New Roman"/>
              </w:rPr>
              <w:t>3/60</w:t>
            </w:r>
          </w:p>
        </w:tc>
        <w:tc>
          <w:tcPr>
            <w:tcW w:w="1170" w:type="dxa"/>
            <w:tcBorders>
              <w:top w:val="nil"/>
              <w:left w:val="nil"/>
              <w:bottom w:val="single" w:sz="8" w:space="0" w:color="auto"/>
              <w:right w:val="single" w:sz="8" w:space="0" w:color="auto"/>
            </w:tcBorders>
            <w:shd w:val="clear" w:color="auto" w:fill="auto"/>
            <w:vAlign w:val="center"/>
            <w:hideMark/>
          </w:tcPr>
          <w:p w14:paraId="1A9D32A3" w14:textId="77777777" w:rsidR="00A82294" w:rsidRPr="00F65804" w:rsidRDefault="00A82294" w:rsidP="00A82294">
            <w:pPr>
              <w:widowControl w:val="0"/>
              <w:tabs>
                <w:tab w:val="left" w:pos="0"/>
              </w:tabs>
              <w:spacing w:line="240" w:lineRule="auto"/>
              <w:jc w:val="right"/>
              <w:rPr>
                <w:rFonts w:ascii="Times New Roman" w:hAnsi="Times New Roman" w:cs="Times New Roman"/>
              </w:rPr>
            </w:pPr>
            <w:r w:rsidRPr="00F65804">
              <w:rPr>
                <w:rFonts w:ascii="Times New Roman" w:hAnsi="Times New Roman" w:cs="Times New Roman"/>
              </w:rPr>
              <w:t>2</w:t>
            </w:r>
            <w:r w:rsidR="00215208" w:rsidRPr="00F65804">
              <w:rPr>
                <w:rFonts w:ascii="Times New Roman" w:hAnsi="Times New Roman" w:cs="Times New Roman"/>
              </w:rPr>
              <w:t>,</w:t>
            </w:r>
            <w:r w:rsidRPr="00F65804">
              <w:rPr>
                <w:rFonts w:ascii="Times New Roman" w:hAnsi="Times New Roman" w:cs="Times New Roman"/>
              </w:rPr>
              <w:t>000</w:t>
            </w:r>
          </w:p>
        </w:tc>
      </w:tr>
      <w:tr w:rsidR="00A82294" w:rsidRPr="003C1ACB" w14:paraId="2DA3DD4D" w14:textId="77777777" w:rsidTr="003C1ACB">
        <w:trPr>
          <w:trHeight w:val="390"/>
        </w:trPr>
        <w:tc>
          <w:tcPr>
            <w:tcW w:w="1610" w:type="dxa"/>
            <w:tcBorders>
              <w:top w:val="nil"/>
              <w:left w:val="single" w:sz="8" w:space="0" w:color="auto"/>
              <w:bottom w:val="single" w:sz="8" w:space="0" w:color="auto"/>
              <w:right w:val="single" w:sz="8" w:space="0" w:color="auto"/>
            </w:tcBorders>
            <w:shd w:val="clear" w:color="auto" w:fill="auto"/>
            <w:vAlign w:val="center"/>
            <w:hideMark/>
          </w:tcPr>
          <w:p w14:paraId="3CBFCE34" w14:textId="77777777" w:rsidR="00A82294" w:rsidRPr="003C1ACB" w:rsidRDefault="00A82294" w:rsidP="00A82294">
            <w:pPr>
              <w:widowControl w:val="0"/>
              <w:tabs>
                <w:tab w:val="left" w:pos="0"/>
              </w:tabs>
              <w:spacing w:line="240" w:lineRule="auto"/>
              <w:rPr>
                <w:rFonts w:ascii="Times New Roman" w:hAnsi="Times New Roman" w:cs="Times New Roman"/>
              </w:rPr>
            </w:pPr>
            <w:r w:rsidRPr="003C1ACB">
              <w:rPr>
                <w:rFonts w:ascii="Times New Roman" w:hAnsi="Times New Roman" w:cs="Times New Roman"/>
              </w:rPr>
              <w:t>Total</w:t>
            </w:r>
          </w:p>
        </w:tc>
        <w:tc>
          <w:tcPr>
            <w:tcW w:w="2250" w:type="dxa"/>
            <w:tcBorders>
              <w:top w:val="nil"/>
              <w:left w:val="nil"/>
              <w:bottom w:val="single" w:sz="8" w:space="0" w:color="auto"/>
              <w:right w:val="single" w:sz="8" w:space="0" w:color="auto"/>
            </w:tcBorders>
            <w:shd w:val="clear" w:color="auto" w:fill="auto"/>
            <w:vAlign w:val="center"/>
            <w:hideMark/>
          </w:tcPr>
          <w:p w14:paraId="255682E6" w14:textId="77777777" w:rsidR="00A82294" w:rsidRPr="003C1ACB" w:rsidRDefault="00A82294" w:rsidP="00A82294">
            <w:pPr>
              <w:widowControl w:val="0"/>
              <w:tabs>
                <w:tab w:val="left" w:pos="0"/>
              </w:tabs>
              <w:spacing w:line="240" w:lineRule="auto"/>
              <w:rPr>
                <w:rFonts w:ascii="Times New Roman" w:hAnsi="Times New Roman" w:cs="Times New Roman"/>
              </w:rPr>
            </w:pPr>
            <w:r w:rsidRPr="003C1ACB">
              <w:rPr>
                <w:rFonts w:ascii="Times New Roman" w:hAnsi="Times New Roman" w:cs="Times New Roman"/>
              </w:rPr>
              <w:t> </w:t>
            </w:r>
          </w:p>
        </w:tc>
        <w:tc>
          <w:tcPr>
            <w:tcW w:w="1350" w:type="dxa"/>
            <w:tcBorders>
              <w:top w:val="nil"/>
              <w:left w:val="nil"/>
              <w:bottom w:val="single" w:sz="8" w:space="0" w:color="auto"/>
              <w:right w:val="single" w:sz="8" w:space="0" w:color="auto"/>
            </w:tcBorders>
            <w:shd w:val="clear" w:color="auto" w:fill="auto"/>
            <w:vAlign w:val="center"/>
            <w:hideMark/>
          </w:tcPr>
          <w:p w14:paraId="02E87B83" w14:textId="5BA561CF" w:rsidR="00A82294" w:rsidRPr="003C1ACB" w:rsidRDefault="0099797A" w:rsidP="00D028C9">
            <w:pPr>
              <w:widowControl w:val="0"/>
              <w:tabs>
                <w:tab w:val="left" w:pos="0"/>
              </w:tabs>
              <w:spacing w:line="240" w:lineRule="auto"/>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end"/>
            </w:r>
          </w:p>
        </w:tc>
        <w:tc>
          <w:tcPr>
            <w:tcW w:w="1530" w:type="dxa"/>
            <w:tcBorders>
              <w:top w:val="nil"/>
              <w:left w:val="nil"/>
              <w:bottom w:val="single" w:sz="8" w:space="0" w:color="auto"/>
              <w:right w:val="single" w:sz="8" w:space="0" w:color="auto"/>
            </w:tcBorders>
            <w:shd w:val="clear" w:color="auto" w:fill="auto"/>
            <w:vAlign w:val="center"/>
            <w:hideMark/>
          </w:tcPr>
          <w:p w14:paraId="2BD70EC8" w14:textId="77777777" w:rsidR="00A82294" w:rsidRPr="003C1ACB" w:rsidRDefault="00A82294" w:rsidP="00A82294">
            <w:pPr>
              <w:widowControl w:val="0"/>
              <w:tabs>
                <w:tab w:val="left" w:pos="0"/>
              </w:tabs>
              <w:spacing w:line="240" w:lineRule="auto"/>
              <w:jc w:val="right"/>
              <w:rPr>
                <w:rFonts w:ascii="Times New Roman" w:hAnsi="Times New Roman" w:cs="Times New Roman"/>
              </w:rPr>
            </w:pPr>
            <w:r w:rsidRPr="003C1ACB">
              <w:rPr>
                <w:rFonts w:ascii="Times New Roman" w:hAnsi="Times New Roman" w:cs="Times New Roman"/>
              </w:rPr>
              <w:t> </w:t>
            </w:r>
          </w:p>
        </w:tc>
        <w:tc>
          <w:tcPr>
            <w:tcW w:w="1350" w:type="dxa"/>
            <w:tcBorders>
              <w:top w:val="nil"/>
              <w:left w:val="nil"/>
              <w:bottom w:val="single" w:sz="8" w:space="0" w:color="auto"/>
              <w:right w:val="single" w:sz="8" w:space="0" w:color="auto"/>
            </w:tcBorders>
            <w:shd w:val="clear" w:color="auto" w:fill="auto"/>
            <w:vAlign w:val="center"/>
            <w:hideMark/>
          </w:tcPr>
          <w:p w14:paraId="745EDF5A" w14:textId="77777777" w:rsidR="00A82294" w:rsidRPr="003C1ACB" w:rsidRDefault="00A82294" w:rsidP="00A82294">
            <w:pPr>
              <w:widowControl w:val="0"/>
              <w:tabs>
                <w:tab w:val="left" w:pos="0"/>
              </w:tabs>
              <w:spacing w:line="240" w:lineRule="auto"/>
              <w:jc w:val="right"/>
              <w:rPr>
                <w:rFonts w:ascii="Times New Roman" w:hAnsi="Times New Roman" w:cs="Times New Roman"/>
              </w:rPr>
            </w:pPr>
            <w:r w:rsidRPr="003C1ACB">
              <w:rPr>
                <w:rFonts w:ascii="Times New Roman" w:hAnsi="Times New Roman" w:cs="Times New Roman"/>
              </w:rPr>
              <w:t> </w:t>
            </w:r>
          </w:p>
        </w:tc>
        <w:tc>
          <w:tcPr>
            <w:tcW w:w="1170" w:type="dxa"/>
            <w:tcBorders>
              <w:top w:val="nil"/>
              <w:left w:val="nil"/>
              <w:bottom w:val="single" w:sz="8" w:space="0" w:color="auto"/>
              <w:right w:val="single" w:sz="8" w:space="0" w:color="auto"/>
            </w:tcBorders>
            <w:shd w:val="clear" w:color="auto" w:fill="auto"/>
            <w:vAlign w:val="center"/>
            <w:hideMark/>
          </w:tcPr>
          <w:p w14:paraId="76AB8896" w14:textId="77777777" w:rsidR="00A82294" w:rsidRPr="003C1ACB" w:rsidRDefault="00215208" w:rsidP="00741B49">
            <w:pPr>
              <w:widowControl w:val="0"/>
              <w:tabs>
                <w:tab w:val="left" w:pos="0"/>
              </w:tabs>
              <w:spacing w:line="240" w:lineRule="auto"/>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=SUM(ABOVE) </w:instrText>
            </w:r>
            <w:r>
              <w:rPr>
                <w:rFonts w:ascii="Times New Roman" w:hAnsi="Times New Roman" w:cs="Times New Roman"/>
              </w:rPr>
              <w:fldChar w:fldCharType="separate"/>
            </w:r>
            <w:r>
              <w:rPr>
                <w:rFonts w:ascii="Times New Roman" w:hAnsi="Times New Roman" w:cs="Times New Roman"/>
                <w:noProof/>
              </w:rPr>
              <w:t>85,93</w:t>
            </w:r>
            <w:r w:rsidR="00741B49">
              <w:rPr>
                <w:rFonts w:ascii="Times New Roman" w:hAnsi="Times New Roman" w:cs="Times New Roman"/>
                <w:noProof/>
              </w:rPr>
              <w:t>4</w:t>
            </w:r>
            <w:r>
              <w:rPr>
                <w:rFonts w:ascii="Times New Roman" w:hAnsi="Times New Roman" w:cs="Times New Roman"/>
              </w:rPr>
              <w:fldChar w:fldCharType="end"/>
            </w:r>
          </w:p>
        </w:tc>
      </w:tr>
    </w:tbl>
    <w:p w14:paraId="026DA1BA" w14:textId="77777777" w:rsidR="006F7839" w:rsidRPr="006F7839" w:rsidRDefault="006F7839" w:rsidP="005B1062">
      <w:pPr>
        <w:pStyle w:val="ListParagraph"/>
        <w:spacing w:after="120" w:line="240" w:lineRule="auto"/>
        <w:ind w:left="360"/>
        <w:rPr>
          <w:rFonts w:ascii="Times New Roman" w:hAnsi="Times New Roman" w:cs="Times New Roman"/>
          <w:sz w:val="24"/>
          <w:szCs w:val="24"/>
        </w:rPr>
      </w:pPr>
    </w:p>
    <w:p w14:paraId="42E20C60" w14:textId="77777777" w:rsidR="00880F81" w:rsidRPr="00D705FF" w:rsidRDefault="00E76998" w:rsidP="00656427">
      <w:pPr>
        <w:pStyle w:val="ListParagraph"/>
        <w:numPr>
          <w:ilvl w:val="0"/>
          <w:numId w:val="7"/>
        </w:numPr>
        <w:spacing w:after="120" w:line="240" w:lineRule="auto"/>
        <w:rPr>
          <w:rFonts w:ascii="Times New Roman" w:hAnsi="Times New Roman" w:cs="Times New Roman"/>
          <w:sz w:val="24"/>
          <w:szCs w:val="24"/>
        </w:rPr>
      </w:pPr>
      <w:r w:rsidRPr="005B1062">
        <w:rPr>
          <w:rFonts w:ascii="Times New Roman" w:hAnsi="Times New Roman" w:cs="Times New Roman"/>
          <w:b/>
          <w:sz w:val="24"/>
          <w:szCs w:val="24"/>
        </w:rPr>
        <w:t>Estimate</w:t>
      </w:r>
      <w:r w:rsidR="00D6713A" w:rsidRPr="005B1062">
        <w:rPr>
          <w:rFonts w:ascii="Times New Roman" w:hAnsi="Times New Roman" w:cs="Times New Roman"/>
          <w:b/>
          <w:sz w:val="24"/>
          <w:szCs w:val="24"/>
        </w:rPr>
        <w:t>d</w:t>
      </w:r>
      <w:r w:rsidRPr="005B1062">
        <w:rPr>
          <w:rFonts w:ascii="Times New Roman" w:hAnsi="Times New Roman" w:cs="Times New Roman"/>
          <w:b/>
          <w:sz w:val="24"/>
          <w:szCs w:val="24"/>
        </w:rPr>
        <w:t xml:space="preserve"> Annualized Cost to Respondent</w:t>
      </w:r>
      <w:r w:rsidR="00656427" w:rsidRPr="005B1062">
        <w:rPr>
          <w:rFonts w:ascii="Times New Roman" w:hAnsi="Times New Roman" w:cs="Times New Roman"/>
          <w:b/>
          <w:sz w:val="24"/>
          <w:szCs w:val="24"/>
        </w:rPr>
        <w:t>s</w:t>
      </w:r>
      <w:r w:rsidR="00485B62" w:rsidRPr="00D705FF">
        <w:rPr>
          <w:rFonts w:ascii="Times New Roman" w:hAnsi="Times New Roman" w:cs="Times New Roman"/>
          <w:sz w:val="24"/>
          <w:szCs w:val="24"/>
        </w:rPr>
        <w:t>:</w:t>
      </w:r>
    </w:p>
    <w:p w14:paraId="7501945E" w14:textId="77777777" w:rsidR="00CD1250" w:rsidRDefault="00CD1250" w:rsidP="00CD1250">
      <w:pPr>
        <w:rPr>
          <w:rFonts w:ascii="Times New Roman" w:hAnsi="Times New Roman" w:cs="Times New Roman"/>
          <w:sz w:val="24"/>
          <w:szCs w:val="24"/>
        </w:rPr>
      </w:pPr>
      <w:r>
        <w:rPr>
          <w:rFonts w:ascii="Times New Roman" w:hAnsi="Times New Roman" w:cs="Times New Roman"/>
          <w:sz w:val="24"/>
          <w:szCs w:val="24"/>
        </w:rPr>
        <w:t>There is no cost to respondents other than their time to complete the data collection. The following sources were used to determine the average salaries of the TCEO learners:</w:t>
      </w:r>
    </w:p>
    <w:p w14:paraId="58A5D4A8" w14:textId="19802DCF" w:rsidR="00CD1250" w:rsidRPr="00CD1250" w:rsidRDefault="00CD1250" w:rsidP="00CD1250">
      <w:pPr>
        <w:pStyle w:val="ListParagraph"/>
        <w:numPr>
          <w:ilvl w:val="0"/>
          <w:numId w:val="11"/>
        </w:numPr>
        <w:rPr>
          <w:rFonts w:ascii="Times New Roman" w:hAnsi="Times New Roman" w:cs="Times New Roman"/>
          <w:sz w:val="24"/>
          <w:szCs w:val="24"/>
        </w:rPr>
      </w:pPr>
      <w:r w:rsidRPr="00CD1250">
        <w:rPr>
          <w:rFonts w:ascii="Times New Roman" w:hAnsi="Times New Roman" w:cs="Times New Roman"/>
          <w:sz w:val="24"/>
          <w:szCs w:val="24"/>
        </w:rPr>
        <w:t xml:space="preserve">US Department of Labor, Bureau of Labor Statistics, Occupational Employment Statistics Program, CareerOneStop </w:t>
      </w:r>
    </w:p>
    <w:p w14:paraId="2E67E814" w14:textId="77777777" w:rsidR="00CD1250" w:rsidRDefault="00CD1250" w:rsidP="00CD1250">
      <w:pPr>
        <w:rPr>
          <w:rFonts w:ascii="Times New Roman" w:hAnsi="Times New Roman" w:cs="Times New Roman"/>
          <w:sz w:val="24"/>
          <w:szCs w:val="24"/>
        </w:rPr>
      </w:pPr>
      <w:r w:rsidRPr="00CD1250">
        <w:rPr>
          <w:rFonts w:ascii="Times New Roman" w:hAnsi="Times New Roman" w:cs="Times New Roman"/>
          <w:sz w:val="24"/>
          <w:szCs w:val="24"/>
        </w:rPr>
        <w:t>The annualized cost burden to nonfederal educational developers submitting courses through the TCEO Proposal and for nonfederal learners registering through the TCEO New Participant Registration has not significantly increased since 2016.  However, the addition of the new TCEO Post-Course Evaluation tool and the new TCEO Follow-up Evaluation tool has significantly increased the annualized cost burden to nonfederal public health and healthcare professionals.</w:t>
      </w:r>
    </w:p>
    <w:p w14:paraId="633F0095" w14:textId="77777777" w:rsidR="0080521F" w:rsidRDefault="0080521F" w:rsidP="00277BC0">
      <w:pPr>
        <w:pStyle w:val="ListParagraph"/>
        <w:spacing w:after="120" w:line="240" w:lineRule="auto"/>
        <w:ind w:left="0"/>
        <w:rPr>
          <w:rFonts w:ascii="Times New Roman" w:hAnsi="Times New Roman" w:cs="Times New Roman"/>
          <w:sz w:val="24"/>
          <w:szCs w:val="24"/>
        </w:rPr>
      </w:pPr>
    </w:p>
    <w:p w14:paraId="0306529D" w14:textId="77777777" w:rsidR="00977F55" w:rsidRPr="00CF6E10" w:rsidRDefault="00977F55" w:rsidP="00CF6E10">
      <w:pPr>
        <w:rPr>
          <w:rFonts w:ascii="Times New Roman" w:hAnsi="Times New Roman" w:cs="Times New Roman"/>
          <w:sz w:val="24"/>
          <w:szCs w:val="24"/>
        </w:rPr>
      </w:pPr>
      <w:r w:rsidRPr="00CF6E10">
        <w:rPr>
          <w:rFonts w:ascii="Times New Roman" w:hAnsi="Times New Roman" w:cs="Times New Roman"/>
          <w:b/>
          <w:sz w:val="24"/>
          <w:szCs w:val="24"/>
        </w:rPr>
        <w:t>Estimated Annualized Burden Costs</w:t>
      </w:r>
    </w:p>
    <w:tbl>
      <w:tblPr>
        <w:tblW w:w="9264" w:type="dxa"/>
        <w:jc w:val="center"/>
        <w:tblLook w:val="04A0" w:firstRow="1" w:lastRow="0" w:firstColumn="1" w:lastColumn="0" w:noHBand="0" w:noVBand="1"/>
      </w:tblPr>
      <w:tblGrid>
        <w:gridCol w:w="1437"/>
        <w:gridCol w:w="1566"/>
        <w:gridCol w:w="1349"/>
        <w:gridCol w:w="1160"/>
        <w:gridCol w:w="1278"/>
        <w:gridCol w:w="984"/>
        <w:gridCol w:w="1490"/>
      </w:tblGrid>
      <w:tr w:rsidR="00977F55" w:rsidRPr="00330515" w14:paraId="6B06FCAD" w14:textId="77777777" w:rsidTr="00CF1B43">
        <w:trPr>
          <w:trHeight w:val="1174"/>
          <w:jc w:val="center"/>
        </w:trPr>
        <w:tc>
          <w:tcPr>
            <w:tcW w:w="143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49BF587" w14:textId="77777777" w:rsidR="00977F55" w:rsidRPr="00330515" w:rsidRDefault="00977F55" w:rsidP="00F357AE">
            <w:pPr>
              <w:widowControl w:val="0"/>
              <w:tabs>
                <w:tab w:val="left" w:pos="0"/>
              </w:tabs>
              <w:spacing w:line="240" w:lineRule="auto"/>
              <w:rPr>
                <w:rFonts w:ascii="Times New Roman" w:hAnsi="Times New Roman" w:cs="Times New Roman"/>
              </w:rPr>
            </w:pPr>
            <w:r w:rsidRPr="00330515">
              <w:rPr>
                <w:rFonts w:ascii="Times New Roman" w:hAnsi="Times New Roman" w:cs="Times New Roman"/>
              </w:rPr>
              <w:t>Type of Respondents</w:t>
            </w:r>
          </w:p>
        </w:tc>
        <w:tc>
          <w:tcPr>
            <w:tcW w:w="156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E270122" w14:textId="77777777" w:rsidR="00977F55" w:rsidRPr="00330515" w:rsidRDefault="00977F55" w:rsidP="009E31DD">
            <w:pPr>
              <w:widowControl w:val="0"/>
              <w:tabs>
                <w:tab w:val="left" w:pos="0"/>
              </w:tabs>
              <w:spacing w:line="240" w:lineRule="auto"/>
              <w:rPr>
                <w:rFonts w:ascii="Times New Roman" w:hAnsi="Times New Roman" w:cs="Times New Roman"/>
              </w:rPr>
            </w:pPr>
            <w:r w:rsidRPr="00330515">
              <w:rPr>
                <w:rFonts w:ascii="Times New Roman" w:hAnsi="Times New Roman" w:cs="Times New Roman"/>
              </w:rPr>
              <w:t>Tool</w:t>
            </w:r>
          </w:p>
        </w:tc>
        <w:tc>
          <w:tcPr>
            <w:tcW w:w="134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632B9A" w14:textId="77777777" w:rsidR="00977F55" w:rsidRPr="00330515" w:rsidRDefault="00977F55" w:rsidP="009E31DD">
            <w:pPr>
              <w:widowControl w:val="0"/>
              <w:tabs>
                <w:tab w:val="left" w:pos="0"/>
              </w:tabs>
              <w:spacing w:line="240" w:lineRule="auto"/>
              <w:rPr>
                <w:rFonts w:ascii="Times New Roman" w:hAnsi="Times New Roman" w:cs="Times New Roman"/>
              </w:rPr>
            </w:pPr>
            <w:r w:rsidRPr="00330515">
              <w:rPr>
                <w:rFonts w:ascii="Times New Roman" w:hAnsi="Times New Roman" w:cs="Times New Roman"/>
              </w:rPr>
              <w:t>Number of Respondents</w:t>
            </w:r>
          </w:p>
        </w:tc>
        <w:tc>
          <w:tcPr>
            <w:tcW w:w="11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C8C79E7" w14:textId="77777777" w:rsidR="00977F55" w:rsidRPr="00330515" w:rsidRDefault="00977F55" w:rsidP="009E31DD">
            <w:pPr>
              <w:widowControl w:val="0"/>
              <w:tabs>
                <w:tab w:val="left" w:pos="0"/>
              </w:tabs>
              <w:spacing w:line="240" w:lineRule="auto"/>
              <w:rPr>
                <w:rFonts w:ascii="Times New Roman" w:hAnsi="Times New Roman" w:cs="Times New Roman"/>
              </w:rPr>
            </w:pPr>
            <w:r w:rsidRPr="00330515">
              <w:rPr>
                <w:rFonts w:ascii="Times New Roman" w:hAnsi="Times New Roman" w:cs="Times New Roman"/>
              </w:rPr>
              <w:t>Frequency of Response</w:t>
            </w:r>
          </w:p>
        </w:tc>
        <w:tc>
          <w:tcPr>
            <w:tcW w:w="127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42D6D47" w14:textId="77777777" w:rsidR="00977F55" w:rsidRPr="00330515" w:rsidRDefault="00977F55" w:rsidP="009E31DD">
            <w:pPr>
              <w:widowControl w:val="0"/>
              <w:tabs>
                <w:tab w:val="left" w:pos="0"/>
              </w:tabs>
              <w:spacing w:line="240" w:lineRule="auto"/>
              <w:rPr>
                <w:rFonts w:ascii="Times New Roman" w:hAnsi="Times New Roman" w:cs="Times New Roman"/>
              </w:rPr>
            </w:pPr>
            <w:r w:rsidRPr="00330515">
              <w:rPr>
                <w:rFonts w:ascii="Times New Roman" w:hAnsi="Times New Roman" w:cs="Times New Roman"/>
              </w:rPr>
              <w:t>Average Burden per Response (in hours)</w:t>
            </w:r>
          </w:p>
        </w:tc>
        <w:tc>
          <w:tcPr>
            <w:tcW w:w="98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DC63F3F" w14:textId="77777777" w:rsidR="00977F55" w:rsidRPr="00330515" w:rsidRDefault="00D651F1" w:rsidP="0097643D">
            <w:pPr>
              <w:widowControl w:val="0"/>
              <w:tabs>
                <w:tab w:val="left" w:pos="0"/>
              </w:tabs>
              <w:spacing w:line="240" w:lineRule="auto"/>
              <w:rPr>
                <w:rFonts w:ascii="Times New Roman" w:hAnsi="Times New Roman" w:cs="Times New Roman"/>
              </w:rPr>
            </w:pPr>
            <w:r>
              <w:rPr>
                <w:rFonts w:ascii="Times New Roman" w:hAnsi="Times New Roman" w:cs="Times New Roman"/>
              </w:rPr>
              <w:t>Hourly Wage Rate</w:t>
            </w:r>
            <w:r w:rsidR="00977F55" w:rsidRPr="00330515">
              <w:rPr>
                <w:rFonts w:ascii="Times New Roman" w:hAnsi="Times New Roman" w:cs="Times New Roman"/>
              </w:rPr>
              <w:t xml:space="preserve"> </w:t>
            </w:r>
          </w:p>
        </w:tc>
        <w:tc>
          <w:tcPr>
            <w:tcW w:w="149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751082" w14:textId="77777777" w:rsidR="00977F55" w:rsidRPr="00330515" w:rsidRDefault="00977F55" w:rsidP="009E31DD">
            <w:pPr>
              <w:widowControl w:val="0"/>
              <w:tabs>
                <w:tab w:val="left" w:pos="0"/>
              </w:tabs>
              <w:spacing w:line="240" w:lineRule="auto"/>
              <w:jc w:val="center"/>
              <w:rPr>
                <w:rFonts w:ascii="Times New Roman" w:hAnsi="Times New Roman" w:cs="Times New Roman"/>
              </w:rPr>
            </w:pPr>
            <w:r w:rsidRPr="00330515">
              <w:rPr>
                <w:rFonts w:ascii="Times New Roman" w:hAnsi="Times New Roman" w:cs="Times New Roman"/>
              </w:rPr>
              <w:t>Total Respondent Costs</w:t>
            </w:r>
          </w:p>
        </w:tc>
      </w:tr>
      <w:tr w:rsidR="00A82294" w:rsidRPr="00330515" w14:paraId="737705FA" w14:textId="77777777" w:rsidTr="00CF1B43">
        <w:trPr>
          <w:trHeight w:val="1244"/>
          <w:jc w:val="center"/>
        </w:trPr>
        <w:tc>
          <w:tcPr>
            <w:tcW w:w="1437" w:type="dxa"/>
            <w:tcBorders>
              <w:top w:val="nil"/>
              <w:left w:val="single" w:sz="8" w:space="0" w:color="auto"/>
              <w:bottom w:val="single" w:sz="8" w:space="0" w:color="auto"/>
              <w:right w:val="single" w:sz="8" w:space="0" w:color="auto"/>
            </w:tcBorders>
            <w:shd w:val="clear" w:color="auto" w:fill="auto"/>
            <w:vAlign w:val="center"/>
            <w:hideMark/>
          </w:tcPr>
          <w:p w14:paraId="0618748F" w14:textId="77777777" w:rsidR="00A82294" w:rsidRPr="00330515" w:rsidRDefault="00A82294" w:rsidP="00A82294">
            <w:pPr>
              <w:widowControl w:val="0"/>
              <w:tabs>
                <w:tab w:val="left" w:pos="0"/>
              </w:tabs>
              <w:spacing w:line="240" w:lineRule="auto"/>
              <w:rPr>
                <w:rFonts w:ascii="Times New Roman" w:hAnsi="Times New Roman" w:cs="Times New Roman"/>
              </w:rPr>
            </w:pPr>
            <w:r w:rsidRPr="00330515">
              <w:rPr>
                <w:rFonts w:ascii="Times New Roman" w:hAnsi="Times New Roman" w:cs="Times New Roman"/>
              </w:rPr>
              <w:t>Educational Developers (Health Educators)</w:t>
            </w:r>
          </w:p>
        </w:tc>
        <w:tc>
          <w:tcPr>
            <w:tcW w:w="1566" w:type="dxa"/>
            <w:tcBorders>
              <w:top w:val="nil"/>
              <w:left w:val="nil"/>
              <w:bottom w:val="single" w:sz="8" w:space="0" w:color="auto"/>
              <w:right w:val="single" w:sz="8" w:space="0" w:color="auto"/>
            </w:tcBorders>
            <w:shd w:val="clear" w:color="auto" w:fill="auto"/>
            <w:vAlign w:val="center"/>
            <w:hideMark/>
          </w:tcPr>
          <w:p w14:paraId="733C413A" w14:textId="77777777" w:rsidR="00A82294" w:rsidRPr="00330515" w:rsidRDefault="00A82294" w:rsidP="00A82294">
            <w:pPr>
              <w:widowControl w:val="0"/>
              <w:tabs>
                <w:tab w:val="left" w:pos="0"/>
              </w:tabs>
              <w:spacing w:line="240" w:lineRule="auto"/>
              <w:rPr>
                <w:rFonts w:ascii="Times New Roman" w:hAnsi="Times New Roman" w:cs="Times New Roman"/>
              </w:rPr>
            </w:pPr>
            <w:r w:rsidRPr="00330515">
              <w:rPr>
                <w:rFonts w:ascii="Times New Roman" w:hAnsi="Times New Roman" w:cs="Times New Roman"/>
              </w:rPr>
              <w:t>TCEO Proposal</w:t>
            </w:r>
          </w:p>
        </w:tc>
        <w:tc>
          <w:tcPr>
            <w:tcW w:w="1349" w:type="dxa"/>
            <w:tcBorders>
              <w:top w:val="nil"/>
              <w:left w:val="nil"/>
              <w:bottom w:val="single" w:sz="8" w:space="0" w:color="auto"/>
              <w:right w:val="single" w:sz="8" w:space="0" w:color="auto"/>
            </w:tcBorders>
            <w:shd w:val="clear" w:color="auto" w:fill="auto"/>
            <w:vAlign w:val="center"/>
            <w:hideMark/>
          </w:tcPr>
          <w:p w14:paraId="699F3F82" w14:textId="77777777" w:rsidR="00A82294" w:rsidRPr="00330515" w:rsidRDefault="00A82294" w:rsidP="00A82294">
            <w:pPr>
              <w:widowControl w:val="0"/>
              <w:tabs>
                <w:tab w:val="left" w:pos="0"/>
              </w:tabs>
              <w:spacing w:line="240" w:lineRule="auto"/>
              <w:jc w:val="center"/>
              <w:rPr>
                <w:rFonts w:ascii="Times New Roman" w:hAnsi="Times New Roman" w:cs="Times New Roman"/>
              </w:rPr>
            </w:pPr>
            <w:r w:rsidRPr="00330515">
              <w:rPr>
                <w:rFonts w:ascii="Times New Roman" w:hAnsi="Times New Roman" w:cs="Times New Roman"/>
              </w:rPr>
              <w:t>120</w:t>
            </w:r>
          </w:p>
        </w:tc>
        <w:tc>
          <w:tcPr>
            <w:tcW w:w="1160" w:type="dxa"/>
            <w:tcBorders>
              <w:top w:val="nil"/>
              <w:left w:val="nil"/>
              <w:bottom w:val="single" w:sz="8" w:space="0" w:color="auto"/>
              <w:right w:val="single" w:sz="8" w:space="0" w:color="auto"/>
            </w:tcBorders>
            <w:shd w:val="clear" w:color="auto" w:fill="auto"/>
            <w:vAlign w:val="center"/>
            <w:hideMark/>
          </w:tcPr>
          <w:p w14:paraId="1D545EBB" w14:textId="77777777" w:rsidR="00A82294" w:rsidRPr="00330515" w:rsidRDefault="00A82294" w:rsidP="00A82294">
            <w:pPr>
              <w:widowControl w:val="0"/>
              <w:tabs>
                <w:tab w:val="left" w:pos="0"/>
              </w:tabs>
              <w:spacing w:line="240" w:lineRule="auto"/>
              <w:jc w:val="center"/>
              <w:rPr>
                <w:rFonts w:ascii="Times New Roman" w:hAnsi="Times New Roman" w:cs="Times New Roman"/>
              </w:rPr>
            </w:pPr>
            <w:r w:rsidRPr="00330515">
              <w:rPr>
                <w:rFonts w:ascii="Times New Roman" w:hAnsi="Times New Roman" w:cs="Times New Roman"/>
              </w:rPr>
              <w:t>1</w:t>
            </w:r>
          </w:p>
        </w:tc>
        <w:tc>
          <w:tcPr>
            <w:tcW w:w="1278" w:type="dxa"/>
            <w:tcBorders>
              <w:top w:val="nil"/>
              <w:left w:val="nil"/>
              <w:bottom w:val="single" w:sz="8" w:space="0" w:color="auto"/>
              <w:right w:val="single" w:sz="8" w:space="0" w:color="auto"/>
            </w:tcBorders>
            <w:shd w:val="clear" w:color="auto" w:fill="auto"/>
            <w:vAlign w:val="center"/>
            <w:hideMark/>
          </w:tcPr>
          <w:p w14:paraId="48C2F31E" w14:textId="77777777" w:rsidR="00A82294" w:rsidRPr="00330515" w:rsidRDefault="00A82294" w:rsidP="00A82294">
            <w:pPr>
              <w:widowControl w:val="0"/>
              <w:tabs>
                <w:tab w:val="left" w:pos="0"/>
              </w:tabs>
              <w:spacing w:line="240" w:lineRule="auto"/>
              <w:jc w:val="center"/>
              <w:rPr>
                <w:rFonts w:ascii="Times New Roman" w:hAnsi="Times New Roman" w:cs="Times New Roman"/>
              </w:rPr>
            </w:pPr>
            <w:r w:rsidRPr="00A82294">
              <w:rPr>
                <w:rFonts w:ascii="Times New Roman" w:hAnsi="Times New Roman" w:cs="Times New Roman"/>
              </w:rPr>
              <w:t>5</w:t>
            </w:r>
          </w:p>
        </w:tc>
        <w:tc>
          <w:tcPr>
            <w:tcW w:w="984" w:type="dxa"/>
            <w:tcBorders>
              <w:top w:val="nil"/>
              <w:left w:val="nil"/>
              <w:bottom w:val="single" w:sz="8" w:space="0" w:color="auto"/>
              <w:right w:val="single" w:sz="8" w:space="0" w:color="auto"/>
            </w:tcBorders>
            <w:shd w:val="clear" w:color="auto" w:fill="auto"/>
            <w:vAlign w:val="center"/>
            <w:hideMark/>
          </w:tcPr>
          <w:p w14:paraId="79F58ECD" w14:textId="77777777" w:rsidR="00A82294" w:rsidRPr="00330515" w:rsidRDefault="0097643D" w:rsidP="00144951">
            <w:pPr>
              <w:widowControl w:val="0"/>
              <w:tabs>
                <w:tab w:val="left" w:pos="0"/>
              </w:tabs>
              <w:spacing w:line="240" w:lineRule="auto"/>
              <w:jc w:val="right"/>
              <w:rPr>
                <w:rFonts w:ascii="Times New Roman" w:hAnsi="Times New Roman" w:cs="Times New Roman"/>
              </w:rPr>
            </w:pPr>
            <w:r>
              <w:rPr>
                <w:rFonts w:ascii="Times New Roman" w:hAnsi="Times New Roman" w:cs="Times New Roman"/>
              </w:rPr>
              <w:t>25.51</w:t>
            </w:r>
          </w:p>
        </w:tc>
        <w:tc>
          <w:tcPr>
            <w:tcW w:w="1490" w:type="dxa"/>
            <w:tcBorders>
              <w:top w:val="nil"/>
              <w:left w:val="nil"/>
              <w:bottom w:val="single" w:sz="8" w:space="0" w:color="auto"/>
              <w:right w:val="single" w:sz="8" w:space="0" w:color="auto"/>
            </w:tcBorders>
            <w:shd w:val="clear" w:color="auto" w:fill="auto"/>
            <w:vAlign w:val="center"/>
            <w:hideMark/>
          </w:tcPr>
          <w:p w14:paraId="5C74448F" w14:textId="77777777" w:rsidR="00A82294" w:rsidRPr="00330515" w:rsidRDefault="00A82294" w:rsidP="000341AC">
            <w:pPr>
              <w:widowControl w:val="0"/>
              <w:tabs>
                <w:tab w:val="left" w:pos="0"/>
              </w:tabs>
              <w:spacing w:line="240" w:lineRule="auto"/>
              <w:jc w:val="right"/>
              <w:rPr>
                <w:rFonts w:ascii="Times New Roman" w:hAnsi="Times New Roman" w:cs="Times New Roman"/>
              </w:rPr>
            </w:pPr>
            <w:r w:rsidRPr="00330515">
              <w:rPr>
                <w:rFonts w:ascii="Times New Roman" w:hAnsi="Times New Roman" w:cs="Times New Roman"/>
              </w:rPr>
              <w:t>$15,</w:t>
            </w:r>
            <w:r w:rsidR="000341AC">
              <w:rPr>
                <w:rFonts w:ascii="Times New Roman" w:hAnsi="Times New Roman" w:cs="Times New Roman"/>
              </w:rPr>
              <w:t>306</w:t>
            </w:r>
            <w:r w:rsidR="0080521F">
              <w:rPr>
                <w:rFonts w:ascii="Times New Roman" w:hAnsi="Times New Roman" w:cs="Times New Roman"/>
              </w:rPr>
              <w:t>.00</w:t>
            </w:r>
          </w:p>
        </w:tc>
      </w:tr>
      <w:tr w:rsidR="00A82294" w:rsidRPr="00330515" w14:paraId="570F2347" w14:textId="77777777" w:rsidTr="00CF1B43">
        <w:trPr>
          <w:trHeight w:val="1450"/>
          <w:jc w:val="center"/>
        </w:trPr>
        <w:tc>
          <w:tcPr>
            <w:tcW w:w="1437" w:type="dxa"/>
            <w:tcBorders>
              <w:top w:val="nil"/>
              <w:left w:val="single" w:sz="8" w:space="0" w:color="auto"/>
              <w:bottom w:val="single" w:sz="8" w:space="0" w:color="auto"/>
              <w:right w:val="single" w:sz="8" w:space="0" w:color="auto"/>
            </w:tcBorders>
            <w:shd w:val="clear" w:color="auto" w:fill="auto"/>
            <w:vAlign w:val="center"/>
            <w:hideMark/>
          </w:tcPr>
          <w:p w14:paraId="382D3478" w14:textId="77777777" w:rsidR="00A82294" w:rsidRPr="00330515" w:rsidRDefault="00A82294" w:rsidP="00A82294">
            <w:pPr>
              <w:widowControl w:val="0"/>
              <w:tabs>
                <w:tab w:val="left" w:pos="0"/>
              </w:tabs>
              <w:spacing w:line="240" w:lineRule="auto"/>
              <w:rPr>
                <w:rFonts w:ascii="Times New Roman" w:hAnsi="Times New Roman" w:cs="Times New Roman"/>
              </w:rPr>
            </w:pPr>
            <w:r w:rsidRPr="00330515">
              <w:rPr>
                <w:rFonts w:ascii="Times New Roman" w:hAnsi="Times New Roman" w:cs="Times New Roman"/>
              </w:rPr>
              <w:t xml:space="preserve">Public Health and Health Care Professionals (Learners) </w:t>
            </w:r>
          </w:p>
        </w:tc>
        <w:tc>
          <w:tcPr>
            <w:tcW w:w="1566" w:type="dxa"/>
            <w:tcBorders>
              <w:top w:val="nil"/>
              <w:left w:val="nil"/>
              <w:bottom w:val="single" w:sz="8" w:space="0" w:color="auto"/>
              <w:right w:val="single" w:sz="8" w:space="0" w:color="auto"/>
            </w:tcBorders>
            <w:shd w:val="clear" w:color="auto" w:fill="auto"/>
            <w:vAlign w:val="center"/>
            <w:hideMark/>
          </w:tcPr>
          <w:p w14:paraId="3942A1C2" w14:textId="77777777" w:rsidR="00A82294" w:rsidRPr="00330515" w:rsidRDefault="00A82294" w:rsidP="00A82294">
            <w:pPr>
              <w:widowControl w:val="0"/>
              <w:tabs>
                <w:tab w:val="left" w:pos="0"/>
              </w:tabs>
              <w:spacing w:line="240" w:lineRule="auto"/>
              <w:rPr>
                <w:rFonts w:ascii="Times New Roman" w:hAnsi="Times New Roman" w:cs="Times New Roman"/>
              </w:rPr>
            </w:pPr>
            <w:r w:rsidRPr="00330515">
              <w:rPr>
                <w:rFonts w:ascii="Times New Roman" w:hAnsi="Times New Roman" w:cs="Times New Roman"/>
              </w:rPr>
              <w:t xml:space="preserve">TCEO New Participant Registration </w:t>
            </w:r>
          </w:p>
        </w:tc>
        <w:tc>
          <w:tcPr>
            <w:tcW w:w="1349" w:type="dxa"/>
            <w:tcBorders>
              <w:top w:val="nil"/>
              <w:left w:val="nil"/>
              <w:bottom w:val="single" w:sz="8" w:space="0" w:color="auto"/>
              <w:right w:val="single" w:sz="8" w:space="0" w:color="auto"/>
            </w:tcBorders>
            <w:shd w:val="clear" w:color="auto" w:fill="auto"/>
            <w:vAlign w:val="center"/>
            <w:hideMark/>
          </w:tcPr>
          <w:p w14:paraId="4C4451DD" w14:textId="77777777" w:rsidR="00A82294" w:rsidRPr="00330515" w:rsidRDefault="00A82294" w:rsidP="00A82294">
            <w:pPr>
              <w:widowControl w:val="0"/>
              <w:tabs>
                <w:tab w:val="left" w:pos="0"/>
              </w:tabs>
              <w:spacing w:line="240" w:lineRule="auto"/>
              <w:jc w:val="center"/>
              <w:rPr>
                <w:rFonts w:ascii="Times New Roman" w:hAnsi="Times New Roman" w:cs="Times New Roman"/>
              </w:rPr>
            </w:pPr>
            <w:r w:rsidRPr="00330515">
              <w:rPr>
                <w:rFonts w:ascii="Times New Roman" w:hAnsi="Times New Roman" w:cs="Times New Roman"/>
              </w:rPr>
              <w:t>200,000</w:t>
            </w:r>
          </w:p>
        </w:tc>
        <w:tc>
          <w:tcPr>
            <w:tcW w:w="1160" w:type="dxa"/>
            <w:tcBorders>
              <w:top w:val="nil"/>
              <w:left w:val="nil"/>
              <w:bottom w:val="single" w:sz="8" w:space="0" w:color="auto"/>
              <w:right w:val="single" w:sz="8" w:space="0" w:color="auto"/>
            </w:tcBorders>
            <w:shd w:val="clear" w:color="auto" w:fill="auto"/>
            <w:vAlign w:val="center"/>
            <w:hideMark/>
          </w:tcPr>
          <w:p w14:paraId="74056293" w14:textId="77777777" w:rsidR="00A82294" w:rsidRPr="00330515" w:rsidRDefault="00A82294" w:rsidP="00A82294">
            <w:pPr>
              <w:widowControl w:val="0"/>
              <w:tabs>
                <w:tab w:val="left" w:pos="0"/>
              </w:tabs>
              <w:spacing w:line="240" w:lineRule="auto"/>
              <w:jc w:val="center"/>
              <w:rPr>
                <w:rFonts w:ascii="Times New Roman" w:hAnsi="Times New Roman" w:cs="Times New Roman"/>
              </w:rPr>
            </w:pPr>
            <w:r w:rsidRPr="00330515">
              <w:rPr>
                <w:rFonts w:ascii="Times New Roman" w:hAnsi="Times New Roman" w:cs="Times New Roman"/>
              </w:rPr>
              <w:t>1</w:t>
            </w:r>
          </w:p>
        </w:tc>
        <w:tc>
          <w:tcPr>
            <w:tcW w:w="1278" w:type="dxa"/>
            <w:tcBorders>
              <w:top w:val="nil"/>
              <w:left w:val="nil"/>
              <w:bottom w:val="single" w:sz="8" w:space="0" w:color="auto"/>
              <w:right w:val="single" w:sz="8" w:space="0" w:color="auto"/>
            </w:tcBorders>
            <w:shd w:val="clear" w:color="auto" w:fill="auto"/>
            <w:vAlign w:val="center"/>
            <w:hideMark/>
          </w:tcPr>
          <w:p w14:paraId="0DA392B3" w14:textId="77777777" w:rsidR="00A82294" w:rsidRPr="005B1062" w:rsidRDefault="00A82294" w:rsidP="00A82294">
            <w:pPr>
              <w:widowControl w:val="0"/>
              <w:tabs>
                <w:tab w:val="left" w:pos="0"/>
              </w:tabs>
              <w:spacing w:line="240" w:lineRule="auto"/>
              <w:jc w:val="center"/>
              <w:rPr>
                <w:rFonts w:ascii="Times New Roman" w:hAnsi="Times New Roman" w:cs="Times New Roman"/>
              </w:rPr>
            </w:pPr>
            <w:r w:rsidRPr="005B1062">
              <w:rPr>
                <w:rFonts w:ascii="Times New Roman" w:hAnsi="Times New Roman" w:cs="Times New Roman"/>
              </w:rPr>
              <w:t>5/60</w:t>
            </w:r>
          </w:p>
        </w:tc>
        <w:tc>
          <w:tcPr>
            <w:tcW w:w="984" w:type="dxa"/>
            <w:tcBorders>
              <w:top w:val="nil"/>
              <w:left w:val="nil"/>
              <w:bottom w:val="single" w:sz="8" w:space="0" w:color="auto"/>
              <w:right w:val="single" w:sz="8" w:space="0" w:color="auto"/>
            </w:tcBorders>
            <w:shd w:val="clear" w:color="auto" w:fill="auto"/>
            <w:vAlign w:val="center"/>
            <w:hideMark/>
          </w:tcPr>
          <w:p w14:paraId="573F82B7" w14:textId="77777777" w:rsidR="00A82294" w:rsidRPr="00330515" w:rsidRDefault="00A82294" w:rsidP="00E12A4D">
            <w:pPr>
              <w:widowControl w:val="0"/>
              <w:tabs>
                <w:tab w:val="left" w:pos="0"/>
              </w:tabs>
              <w:spacing w:line="240" w:lineRule="auto"/>
              <w:jc w:val="right"/>
              <w:rPr>
                <w:rFonts w:ascii="Times New Roman" w:hAnsi="Times New Roman" w:cs="Times New Roman"/>
              </w:rPr>
            </w:pPr>
            <w:r w:rsidRPr="00330515">
              <w:rPr>
                <w:rFonts w:ascii="Times New Roman" w:hAnsi="Times New Roman" w:cs="Times New Roman"/>
              </w:rPr>
              <w:t>$46</w:t>
            </w:r>
            <w:r w:rsidR="0097643D">
              <w:rPr>
                <w:rFonts w:ascii="Times New Roman" w:hAnsi="Times New Roman" w:cs="Times New Roman"/>
              </w:rPr>
              <w:t>.30</w:t>
            </w:r>
          </w:p>
        </w:tc>
        <w:tc>
          <w:tcPr>
            <w:tcW w:w="1490" w:type="dxa"/>
            <w:tcBorders>
              <w:top w:val="nil"/>
              <w:left w:val="nil"/>
              <w:bottom w:val="single" w:sz="8" w:space="0" w:color="auto"/>
              <w:right w:val="single" w:sz="8" w:space="0" w:color="auto"/>
            </w:tcBorders>
            <w:shd w:val="clear" w:color="auto" w:fill="auto"/>
            <w:vAlign w:val="center"/>
            <w:hideMark/>
          </w:tcPr>
          <w:p w14:paraId="3A868E55" w14:textId="77777777" w:rsidR="00A82294" w:rsidRPr="00330515" w:rsidRDefault="00A82294" w:rsidP="0080521F">
            <w:pPr>
              <w:widowControl w:val="0"/>
              <w:tabs>
                <w:tab w:val="left" w:pos="0"/>
              </w:tabs>
              <w:spacing w:line="240" w:lineRule="auto"/>
              <w:jc w:val="right"/>
              <w:rPr>
                <w:rFonts w:ascii="Times New Roman" w:hAnsi="Times New Roman" w:cs="Times New Roman"/>
              </w:rPr>
            </w:pPr>
            <w:r w:rsidRPr="00330515">
              <w:rPr>
                <w:rFonts w:ascii="Times New Roman" w:hAnsi="Times New Roman" w:cs="Times New Roman"/>
              </w:rPr>
              <w:t>$771,66</w:t>
            </w:r>
            <w:r w:rsidR="0080521F">
              <w:rPr>
                <w:rFonts w:ascii="Times New Roman" w:hAnsi="Times New Roman" w:cs="Times New Roman"/>
              </w:rPr>
              <w:t>6.67</w:t>
            </w:r>
            <w:r w:rsidRPr="00330515">
              <w:rPr>
                <w:rFonts w:ascii="Times New Roman" w:hAnsi="Times New Roman" w:cs="Times New Roman"/>
              </w:rPr>
              <w:t xml:space="preserve"> </w:t>
            </w:r>
          </w:p>
        </w:tc>
      </w:tr>
      <w:tr w:rsidR="00A82294" w:rsidRPr="00330515" w14:paraId="1AF64C87" w14:textId="77777777" w:rsidTr="00CF1B43">
        <w:trPr>
          <w:trHeight w:val="1680"/>
          <w:jc w:val="center"/>
        </w:trPr>
        <w:tc>
          <w:tcPr>
            <w:tcW w:w="1437" w:type="dxa"/>
            <w:tcBorders>
              <w:top w:val="nil"/>
              <w:left w:val="single" w:sz="8" w:space="0" w:color="auto"/>
              <w:bottom w:val="single" w:sz="8" w:space="0" w:color="auto"/>
              <w:right w:val="single" w:sz="8" w:space="0" w:color="auto"/>
            </w:tcBorders>
            <w:shd w:val="clear" w:color="auto" w:fill="auto"/>
            <w:vAlign w:val="center"/>
            <w:hideMark/>
          </w:tcPr>
          <w:p w14:paraId="7AC930CF" w14:textId="77777777" w:rsidR="00A82294" w:rsidRPr="00330515" w:rsidRDefault="00A82294" w:rsidP="00A82294">
            <w:pPr>
              <w:widowControl w:val="0"/>
              <w:tabs>
                <w:tab w:val="left" w:pos="0"/>
              </w:tabs>
              <w:spacing w:line="240" w:lineRule="auto"/>
              <w:rPr>
                <w:rFonts w:ascii="Times New Roman" w:hAnsi="Times New Roman" w:cs="Times New Roman"/>
              </w:rPr>
            </w:pPr>
            <w:r w:rsidRPr="00330515">
              <w:rPr>
                <w:rFonts w:ascii="Times New Roman" w:hAnsi="Times New Roman" w:cs="Times New Roman"/>
              </w:rPr>
              <w:t xml:space="preserve">Public Health and Health Care Professionals (Learners)  </w:t>
            </w:r>
          </w:p>
        </w:tc>
        <w:tc>
          <w:tcPr>
            <w:tcW w:w="1566" w:type="dxa"/>
            <w:tcBorders>
              <w:top w:val="nil"/>
              <w:left w:val="nil"/>
              <w:bottom w:val="single" w:sz="8" w:space="0" w:color="auto"/>
              <w:right w:val="single" w:sz="8" w:space="0" w:color="auto"/>
            </w:tcBorders>
            <w:shd w:val="clear" w:color="auto" w:fill="auto"/>
            <w:vAlign w:val="center"/>
            <w:hideMark/>
          </w:tcPr>
          <w:p w14:paraId="1362631F" w14:textId="77777777" w:rsidR="00A82294" w:rsidRPr="00330515" w:rsidRDefault="00A82294" w:rsidP="00A82294">
            <w:pPr>
              <w:widowControl w:val="0"/>
              <w:tabs>
                <w:tab w:val="left" w:pos="0"/>
              </w:tabs>
              <w:spacing w:line="240" w:lineRule="auto"/>
              <w:rPr>
                <w:rFonts w:ascii="Times New Roman" w:hAnsi="Times New Roman" w:cs="Times New Roman"/>
              </w:rPr>
            </w:pPr>
            <w:r w:rsidRPr="00330515">
              <w:rPr>
                <w:rFonts w:ascii="Times New Roman" w:hAnsi="Times New Roman" w:cs="Times New Roman"/>
              </w:rPr>
              <w:t>TCEO Post-</w:t>
            </w:r>
            <w:r w:rsidR="00A67A38">
              <w:rPr>
                <w:rFonts w:ascii="Times New Roman" w:hAnsi="Times New Roman" w:cs="Times New Roman"/>
              </w:rPr>
              <w:t>C</w:t>
            </w:r>
            <w:r w:rsidRPr="00330515">
              <w:rPr>
                <w:rFonts w:ascii="Times New Roman" w:hAnsi="Times New Roman" w:cs="Times New Roman"/>
              </w:rPr>
              <w:t xml:space="preserve">ourse Evaluation </w:t>
            </w:r>
          </w:p>
        </w:tc>
        <w:tc>
          <w:tcPr>
            <w:tcW w:w="1349" w:type="dxa"/>
            <w:tcBorders>
              <w:top w:val="nil"/>
              <w:left w:val="nil"/>
              <w:bottom w:val="single" w:sz="8" w:space="0" w:color="auto"/>
              <w:right w:val="single" w:sz="8" w:space="0" w:color="auto"/>
            </w:tcBorders>
            <w:shd w:val="clear" w:color="auto" w:fill="auto"/>
            <w:vAlign w:val="center"/>
            <w:hideMark/>
          </w:tcPr>
          <w:p w14:paraId="408161B8" w14:textId="77777777" w:rsidR="00A82294" w:rsidRPr="00330515" w:rsidRDefault="00A82294" w:rsidP="00A82294">
            <w:pPr>
              <w:widowControl w:val="0"/>
              <w:tabs>
                <w:tab w:val="left" w:pos="0"/>
              </w:tabs>
              <w:spacing w:line="240" w:lineRule="auto"/>
              <w:jc w:val="center"/>
              <w:rPr>
                <w:rFonts w:ascii="Times New Roman" w:hAnsi="Times New Roman" w:cs="Times New Roman"/>
              </w:rPr>
            </w:pPr>
            <w:r w:rsidRPr="00330515">
              <w:rPr>
                <w:rFonts w:ascii="Times New Roman" w:hAnsi="Times New Roman" w:cs="Times New Roman"/>
              </w:rPr>
              <w:t>200,000</w:t>
            </w:r>
          </w:p>
        </w:tc>
        <w:tc>
          <w:tcPr>
            <w:tcW w:w="1160" w:type="dxa"/>
            <w:tcBorders>
              <w:top w:val="nil"/>
              <w:left w:val="nil"/>
              <w:bottom w:val="single" w:sz="8" w:space="0" w:color="auto"/>
              <w:right w:val="single" w:sz="8" w:space="0" w:color="auto"/>
            </w:tcBorders>
            <w:shd w:val="clear" w:color="auto" w:fill="auto"/>
            <w:vAlign w:val="center"/>
            <w:hideMark/>
          </w:tcPr>
          <w:p w14:paraId="3E8EB84B" w14:textId="77777777" w:rsidR="00A82294" w:rsidRPr="00330515" w:rsidRDefault="00A82294" w:rsidP="00A82294">
            <w:pPr>
              <w:widowControl w:val="0"/>
              <w:tabs>
                <w:tab w:val="left" w:pos="0"/>
              </w:tabs>
              <w:spacing w:line="240" w:lineRule="auto"/>
              <w:jc w:val="center"/>
              <w:rPr>
                <w:rFonts w:ascii="Times New Roman" w:hAnsi="Times New Roman" w:cs="Times New Roman"/>
              </w:rPr>
            </w:pPr>
            <w:r w:rsidRPr="00330515">
              <w:rPr>
                <w:rFonts w:ascii="Times New Roman" w:hAnsi="Times New Roman" w:cs="Times New Roman"/>
              </w:rPr>
              <w:t>2</w:t>
            </w:r>
          </w:p>
        </w:tc>
        <w:tc>
          <w:tcPr>
            <w:tcW w:w="1278" w:type="dxa"/>
            <w:tcBorders>
              <w:top w:val="nil"/>
              <w:left w:val="nil"/>
              <w:bottom w:val="single" w:sz="8" w:space="0" w:color="auto"/>
              <w:right w:val="single" w:sz="8" w:space="0" w:color="auto"/>
            </w:tcBorders>
            <w:shd w:val="clear" w:color="auto" w:fill="auto"/>
            <w:vAlign w:val="center"/>
            <w:hideMark/>
          </w:tcPr>
          <w:p w14:paraId="0440F708" w14:textId="77777777" w:rsidR="00A82294" w:rsidRPr="00330515" w:rsidRDefault="00A82294" w:rsidP="00A82294">
            <w:pPr>
              <w:widowControl w:val="0"/>
              <w:tabs>
                <w:tab w:val="left" w:pos="0"/>
              </w:tabs>
              <w:spacing w:line="240" w:lineRule="auto"/>
              <w:jc w:val="center"/>
              <w:rPr>
                <w:rFonts w:ascii="Times New Roman" w:hAnsi="Times New Roman" w:cs="Times New Roman"/>
              </w:rPr>
            </w:pPr>
            <w:r>
              <w:rPr>
                <w:rFonts w:ascii="Times New Roman" w:hAnsi="Times New Roman" w:cs="Times New Roman"/>
              </w:rPr>
              <w:t>10/60</w:t>
            </w:r>
          </w:p>
        </w:tc>
        <w:tc>
          <w:tcPr>
            <w:tcW w:w="984" w:type="dxa"/>
            <w:tcBorders>
              <w:top w:val="nil"/>
              <w:left w:val="nil"/>
              <w:bottom w:val="single" w:sz="8" w:space="0" w:color="auto"/>
              <w:right w:val="single" w:sz="8" w:space="0" w:color="auto"/>
            </w:tcBorders>
            <w:shd w:val="clear" w:color="auto" w:fill="auto"/>
            <w:vAlign w:val="center"/>
            <w:hideMark/>
          </w:tcPr>
          <w:p w14:paraId="4B51A2F5" w14:textId="77777777" w:rsidR="00A82294" w:rsidRPr="00330515" w:rsidRDefault="0097643D" w:rsidP="009A01AF">
            <w:pPr>
              <w:widowControl w:val="0"/>
              <w:tabs>
                <w:tab w:val="left" w:pos="0"/>
              </w:tabs>
              <w:spacing w:line="240" w:lineRule="auto"/>
              <w:jc w:val="right"/>
              <w:rPr>
                <w:rFonts w:ascii="Times New Roman" w:hAnsi="Times New Roman" w:cs="Times New Roman"/>
              </w:rPr>
            </w:pPr>
            <w:r w:rsidRPr="00330515">
              <w:rPr>
                <w:rFonts w:ascii="Times New Roman" w:hAnsi="Times New Roman" w:cs="Times New Roman"/>
              </w:rPr>
              <w:t>$46</w:t>
            </w:r>
            <w:r>
              <w:rPr>
                <w:rFonts w:ascii="Times New Roman" w:hAnsi="Times New Roman" w:cs="Times New Roman"/>
              </w:rPr>
              <w:t>.30</w:t>
            </w:r>
          </w:p>
        </w:tc>
        <w:tc>
          <w:tcPr>
            <w:tcW w:w="1490" w:type="dxa"/>
            <w:tcBorders>
              <w:top w:val="nil"/>
              <w:left w:val="nil"/>
              <w:bottom w:val="single" w:sz="8" w:space="0" w:color="auto"/>
              <w:right w:val="single" w:sz="8" w:space="0" w:color="auto"/>
            </w:tcBorders>
            <w:shd w:val="clear" w:color="auto" w:fill="auto"/>
            <w:vAlign w:val="center"/>
            <w:hideMark/>
          </w:tcPr>
          <w:p w14:paraId="15E55B8F" w14:textId="77777777" w:rsidR="00A82294" w:rsidRPr="00330515" w:rsidRDefault="0080521F" w:rsidP="0080521F">
            <w:pPr>
              <w:widowControl w:val="0"/>
              <w:tabs>
                <w:tab w:val="left" w:pos="0"/>
              </w:tabs>
              <w:spacing w:line="240" w:lineRule="auto"/>
              <w:jc w:val="right"/>
              <w:rPr>
                <w:rFonts w:ascii="Times New Roman" w:hAnsi="Times New Roman" w:cs="Times New Roman"/>
              </w:rPr>
            </w:pPr>
            <w:r>
              <w:rPr>
                <w:rFonts w:ascii="Times New Roman" w:hAnsi="Times New Roman" w:cs="Times New Roman"/>
              </w:rPr>
              <w:t>$3</w:t>
            </w:r>
            <w:r w:rsidR="00234E40">
              <w:rPr>
                <w:rFonts w:ascii="Times New Roman" w:hAnsi="Times New Roman" w:cs="Times New Roman"/>
              </w:rPr>
              <w:t>,</w:t>
            </w:r>
            <w:r>
              <w:rPr>
                <w:rFonts w:ascii="Times New Roman" w:hAnsi="Times New Roman" w:cs="Times New Roman"/>
              </w:rPr>
              <w:t>086,666.67</w:t>
            </w:r>
            <w:r w:rsidR="00A82294" w:rsidRPr="00330515">
              <w:rPr>
                <w:rFonts w:ascii="Times New Roman" w:hAnsi="Times New Roman" w:cs="Times New Roman"/>
              </w:rPr>
              <w:t xml:space="preserve"> </w:t>
            </w:r>
          </w:p>
        </w:tc>
      </w:tr>
      <w:tr w:rsidR="00A82294" w:rsidRPr="00330515" w14:paraId="54B4CF29" w14:textId="77777777" w:rsidTr="00CF1B43">
        <w:trPr>
          <w:trHeight w:val="1634"/>
          <w:jc w:val="center"/>
        </w:trPr>
        <w:tc>
          <w:tcPr>
            <w:tcW w:w="1437" w:type="dxa"/>
            <w:tcBorders>
              <w:top w:val="nil"/>
              <w:left w:val="single" w:sz="8" w:space="0" w:color="auto"/>
              <w:bottom w:val="single" w:sz="8" w:space="0" w:color="auto"/>
              <w:right w:val="single" w:sz="8" w:space="0" w:color="auto"/>
            </w:tcBorders>
            <w:shd w:val="clear" w:color="auto" w:fill="auto"/>
            <w:vAlign w:val="center"/>
            <w:hideMark/>
          </w:tcPr>
          <w:p w14:paraId="75E286C5" w14:textId="77777777" w:rsidR="00A82294" w:rsidRPr="00330515" w:rsidRDefault="00A82294" w:rsidP="00A82294">
            <w:pPr>
              <w:widowControl w:val="0"/>
              <w:tabs>
                <w:tab w:val="left" w:pos="0"/>
              </w:tabs>
              <w:spacing w:line="240" w:lineRule="auto"/>
              <w:rPr>
                <w:rFonts w:ascii="Times New Roman" w:hAnsi="Times New Roman" w:cs="Times New Roman"/>
              </w:rPr>
            </w:pPr>
            <w:r w:rsidRPr="00330515">
              <w:rPr>
                <w:rFonts w:ascii="Times New Roman" w:hAnsi="Times New Roman" w:cs="Times New Roman"/>
              </w:rPr>
              <w:t xml:space="preserve">Public Health and Health Care Professionals (Learners)  </w:t>
            </w:r>
          </w:p>
        </w:tc>
        <w:tc>
          <w:tcPr>
            <w:tcW w:w="1566" w:type="dxa"/>
            <w:tcBorders>
              <w:top w:val="nil"/>
              <w:left w:val="nil"/>
              <w:bottom w:val="single" w:sz="8" w:space="0" w:color="auto"/>
              <w:right w:val="single" w:sz="8" w:space="0" w:color="auto"/>
            </w:tcBorders>
            <w:shd w:val="clear" w:color="auto" w:fill="auto"/>
            <w:vAlign w:val="center"/>
            <w:hideMark/>
          </w:tcPr>
          <w:p w14:paraId="0E592875" w14:textId="77777777" w:rsidR="00A82294" w:rsidRPr="00330515" w:rsidRDefault="00A82294" w:rsidP="00A82294">
            <w:pPr>
              <w:widowControl w:val="0"/>
              <w:tabs>
                <w:tab w:val="left" w:pos="0"/>
              </w:tabs>
              <w:spacing w:line="240" w:lineRule="auto"/>
              <w:rPr>
                <w:rFonts w:ascii="Times New Roman" w:hAnsi="Times New Roman" w:cs="Times New Roman"/>
              </w:rPr>
            </w:pPr>
            <w:r w:rsidRPr="00330515">
              <w:rPr>
                <w:rFonts w:ascii="Times New Roman" w:hAnsi="Times New Roman" w:cs="Times New Roman"/>
              </w:rPr>
              <w:t xml:space="preserve">TCEO Follow-up Evaluation </w:t>
            </w:r>
          </w:p>
        </w:tc>
        <w:tc>
          <w:tcPr>
            <w:tcW w:w="1349" w:type="dxa"/>
            <w:tcBorders>
              <w:top w:val="nil"/>
              <w:left w:val="nil"/>
              <w:bottom w:val="single" w:sz="8" w:space="0" w:color="auto"/>
              <w:right w:val="single" w:sz="8" w:space="0" w:color="auto"/>
            </w:tcBorders>
            <w:shd w:val="clear" w:color="auto" w:fill="auto"/>
            <w:vAlign w:val="center"/>
            <w:hideMark/>
          </w:tcPr>
          <w:p w14:paraId="0D71D1C5" w14:textId="77777777" w:rsidR="00A82294" w:rsidRPr="00F65804" w:rsidRDefault="00A82294" w:rsidP="00A82294">
            <w:pPr>
              <w:widowControl w:val="0"/>
              <w:tabs>
                <w:tab w:val="left" w:pos="0"/>
              </w:tabs>
              <w:spacing w:line="240" w:lineRule="auto"/>
              <w:jc w:val="center"/>
              <w:rPr>
                <w:rFonts w:ascii="Times New Roman" w:hAnsi="Times New Roman" w:cs="Times New Roman"/>
              </w:rPr>
            </w:pPr>
            <w:r w:rsidRPr="00F65804">
              <w:rPr>
                <w:rFonts w:ascii="Times New Roman" w:hAnsi="Times New Roman" w:cs="Times New Roman"/>
              </w:rPr>
              <w:t>20,000</w:t>
            </w:r>
          </w:p>
        </w:tc>
        <w:tc>
          <w:tcPr>
            <w:tcW w:w="1160" w:type="dxa"/>
            <w:tcBorders>
              <w:top w:val="nil"/>
              <w:left w:val="nil"/>
              <w:bottom w:val="single" w:sz="8" w:space="0" w:color="auto"/>
              <w:right w:val="single" w:sz="8" w:space="0" w:color="auto"/>
            </w:tcBorders>
            <w:shd w:val="clear" w:color="auto" w:fill="auto"/>
            <w:vAlign w:val="center"/>
            <w:hideMark/>
          </w:tcPr>
          <w:p w14:paraId="62892E0F" w14:textId="77777777" w:rsidR="00A82294" w:rsidRPr="00F65804" w:rsidRDefault="00A82294" w:rsidP="00A82294">
            <w:pPr>
              <w:widowControl w:val="0"/>
              <w:tabs>
                <w:tab w:val="left" w:pos="0"/>
              </w:tabs>
              <w:spacing w:line="240" w:lineRule="auto"/>
              <w:jc w:val="center"/>
              <w:rPr>
                <w:rFonts w:ascii="Times New Roman" w:hAnsi="Times New Roman" w:cs="Times New Roman"/>
              </w:rPr>
            </w:pPr>
            <w:r w:rsidRPr="00F65804">
              <w:rPr>
                <w:rFonts w:ascii="Times New Roman" w:hAnsi="Times New Roman" w:cs="Times New Roman"/>
              </w:rPr>
              <w:t>2</w:t>
            </w:r>
          </w:p>
        </w:tc>
        <w:tc>
          <w:tcPr>
            <w:tcW w:w="1278" w:type="dxa"/>
            <w:tcBorders>
              <w:top w:val="nil"/>
              <w:left w:val="nil"/>
              <w:bottom w:val="single" w:sz="8" w:space="0" w:color="auto"/>
              <w:right w:val="single" w:sz="8" w:space="0" w:color="auto"/>
            </w:tcBorders>
            <w:shd w:val="clear" w:color="auto" w:fill="auto"/>
            <w:vAlign w:val="center"/>
            <w:hideMark/>
          </w:tcPr>
          <w:p w14:paraId="43B8D7D5" w14:textId="77777777" w:rsidR="00A82294" w:rsidRPr="00F65804" w:rsidRDefault="00A82294" w:rsidP="00410C50">
            <w:pPr>
              <w:widowControl w:val="0"/>
              <w:tabs>
                <w:tab w:val="left" w:pos="0"/>
              </w:tabs>
              <w:spacing w:line="240" w:lineRule="auto"/>
              <w:jc w:val="center"/>
              <w:rPr>
                <w:rFonts w:ascii="Times New Roman" w:hAnsi="Times New Roman" w:cs="Times New Roman"/>
              </w:rPr>
            </w:pPr>
            <w:r w:rsidRPr="00F65804">
              <w:rPr>
                <w:rFonts w:ascii="Times New Roman" w:hAnsi="Times New Roman" w:cs="Times New Roman"/>
              </w:rPr>
              <w:t>3/60</w:t>
            </w:r>
          </w:p>
        </w:tc>
        <w:tc>
          <w:tcPr>
            <w:tcW w:w="984" w:type="dxa"/>
            <w:tcBorders>
              <w:top w:val="nil"/>
              <w:left w:val="nil"/>
              <w:bottom w:val="single" w:sz="8" w:space="0" w:color="auto"/>
              <w:right w:val="single" w:sz="8" w:space="0" w:color="auto"/>
            </w:tcBorders>
            <w:shd w:val="clear" w:color="auto" w:fill="auto"/>
            <w:vAlign w:val="center"/>
            <w:hideMark/>
          </w:tcPr>
          <w:p w14:paraId="253CCCD0" w14:textId="77777777" w:rsidR="00A82294" w:rsidRPr="00F65804" w:rsidRDefault="0097643D" w:rsidP="009A01AF">
            <w:pPr>
              <w:widowControl w:val="0"/>
              <w:tabs>
                <w:tab w:val="left" w:pos="0"/>
              </w:tabs>
              <w:spacing w:line="240" w:lineRule="auto"/>
              <w:jc w:val="right"/>
              <w:rPr>
                <w:rFonts w:ascii="Times New Roman" w:hAnsi="Times New Roman" w:cs="Times New Roman"/>
              </w:rPr>
            </w:pPr>
            <w:r w:rsidRPr="00F65804">
              <w:rPr>
                <w:rFonts w:ascii="Times New Roman" w:hAnsi="Times New Roman" w:cs="Times New Roman"/>
              </w:rPr>
              <w:t>$46.30</w:t>
            </w:r>
          </w:p>
        </w:tc>
        <w:tc>
          <w:tcPr>
            <w:tcW w:w="1490" w:type="dxa"/>
            <w:tcBorders>
              <w:top w:val="nil"/>
              <w:left w:val="nil"/>
              <w:bottom w:val="single" w:sz="8" w:space="0" w:color="auto"/>
              <w:right w:val="single" w:sz="8" w:space="0" w:color="auto"/>
            </w:tcBorders>
            <w:shd w:val="clear" w:color="auto" w:fill="auto"/>
            <w:vAlign w:val="center"/>
            <w:hideMark/>
          </w:tcPr>
          <w:p w14:paraId="288A1783" w14:textId="77777777" w:rsidR="00A82294" w:rsidRPr="00F65804" w:rsidRDefault="00A82294" w:rsidP="0080521F">
            <w:pPr>
              <w:widowControl w:val="0"/>
              <w:tabs>
                <w:tab w:val="left" w:pos="0"/>
              </w:tabs>
              <w:spacing w:line="240" w:lineRule="auto"/>
              <w:jc w:val="right"/>
              <w:rPr>
                <w:rFonts w:ascii="Times New Roman" w:hAnsi="Times New Roman" w:cs="Times New Roman"/>
              </w:rPr>
            </w:pPr>
            <w:r w:rsidRPr="00F65804">
              <w:rPr>
                <w:rFonts w:ascii="Times New Roman" w:hAnsi="Times New Roman" w:cs="Times New Roman"/>
              </w:rPr>
              <w:t>$92,</w:t>
            </w:r>
            <w:r w:rsidR="0080521F" w:rsidRPr="00F65804">
              <w:rPr>
                <w:rFonts w:ascii="Times New Roman" w:hAnsi="Times New Roman" w:cs="Times New Roman"/>
              </w:rPr>
              <w:t>6</w:t>
            </w:r>
            <w:r w:rsidRPr="00F65804">
              <w:rPr>
                <w:rFonts w:ascii="Times New Roman" w:hAnsi="Times New Roman" w:cs="Times New Roman"/>
              </w:rPr>
              <w:t>00</w:t>
            </w:r>
            <w:r w:rsidR="0080521F" w:rsidRPr="00F65804">
              <w:rPr>
                <w:rFonts w:ascii="Times New Roman" w:hAnsi="Times New Roman" w:cs="Times New Roman"/>
              </w:rPr>
              <w:t>.00</w:t>
            </w:r>
          </w:p>
        </w:tc>
      </w:tr>
      <w:tr w:rsidR="00A82294" w:rsidRPr="00330515" w14:paraId="6BBD5D36" w14:textId="77777777" w:rsidTr="00CF1B43">
        <w:trPr>
          <w:trHeight w:val="347"/>
          <w:jc w:val="center"/>
        </w:trPr>
        <w:tc>
          <w:tcPr>
            <w:tcW w:w="1437" w:type="dxa"/>
            <w:tcBorders>
              <w:top w:val="nil"/>
              <w:left w:val="single" w:sz="8" w:space="0" w:color="auto"/>
              <w:bottom w:val="single" w:sz="8" w:space="0" w:color="auto"/>
              <w:right w:val="single" w:sz="8" w:space="0" w:color="auto"/>
            </w:tcBorders>
            <w:shd w:val="clear" w:color="auto" w:fill="auto"/>
            <w:vAlign w:val="center"/>
            <w:hideMark/>
          </w:tcPr>
          <w:p w14:paraId="377C382E" w14:textId="77777777" w:rsidR="00A82294" w:rsidRPr="00330515" w:rsidRDefault="00A82294" w:rsidP="00A82294">
            <w:pPr>
              <w:widowControl w:val="0"/>
              <w:tabs>
                <w:tab w:val="left" w:pos="0"/>
              </w:tabs>
              <w:spacing w:line="240" w:lineRule="auto"/>
              <w:rPr>
                <w:rFonts w:ascii="Times New Roman" w:hAnsi="Times New Roman" w:cs="Times New Roman"/>
              </w:rPr>
            </w:pPr>
            <w:r w:rsidRPr="00330515">
              <w:rPr>
                <w:rFonts w:ascii="Times New Roman" w:hAnsi="Times New Roman" w:cs="Times New Roman"/>
              </w:rPr>
              <w:t> </w:t>
            </w:r>
          </w:p>
        </w:tc>
        <w:tc>
          <w:tcPr>
            <w:tcW w:w="1566" w:type="dxa"/>
            <w:tcBorders>
              <w:top w:val="nil"/>
              <w:left w:val="nil"/>
              <w:bottom w:val="single" w:sz="8" w:space="0" w:color="auto"/>
              <w:right w:val="single" w:sz="8" w:space="0" w:color="auto"/>
            </w:tcBorders>
            <w:shd w:val="clear" w:color="auto" w:fill="auto"/>
            <w:vAlign w:val="center"/>
            <w:hideMark/>
          </w:tcPr>
          <w:p w14:paraId="3383FFD9" w14:textId="77777777" w:rsidR="00A82294" w:rsidRPr="00330515" w:rsidRDefault="00A82294" w:rsidP="00A82294">
            <w:pPr>
              <w:widowControl w:val="0"/>
              <w:tabs>
                <w:tab w:val="left" w:pos="0"/>
              </w:tabs>
              <w:spacing w:line="240" w:lineRule="auto"/>
              <w:rPr>
                <w:rFonts w:ascii="Times New Roman" w:hAnsi="Times New Roman" w:cs="Times New Roman"/>
              </w:rPr>
            </w:pPr>
            <w:r w:rsidRPr="00330515">
              <w:rPr>
                <w:rFonts w:ascii="Times New Roman" w:hAnsi="Times New Roman" w:cs="Times New Roman"/>
              </w:rPr>
              <w:t> </w:t>
            </w:r>
          </w:p>
        </w:tc>
        <w:tc>
          <w:tcPr>
            <w:tcW w:w="1349" w:type="dxa"/>
            <w:tcBorders>
              <w:top w:val="nil"/>
              <w:left w:val="nil"/>
              <w:bottom w:val="single" w:sz="8" w:space="0" w:color="auto"/>
              <w:right w:val="single" w:sz="8" w:space="0" w:color="auto"/>
            </w:tcBorders>
            <w:shd w:val="clear" w:color="auto" w:fill="auto"/>
            <w:vAlign w:val="center"/>
            <w:hideMark/>
          </w:tcPr>
          <w:p w14:paraId="69FAF814" w14:textId="77777777" w:rsidR="00A82294" w:rsidRPr="00F65804" w:rsidRDefault="00A82294" w:rsidP="00410C50">
            <w:pPr>
              <w:widowControl w:val="0"/>
              <w:tabs>
                <w:tab w:val="left" w:pos="0"/>
              </w:tabs>
              <w:spacing w:line="240" w:lineRule="auto"/>
              <w:jc w:val="center"/>
              <w:rPr>
                <w:rFonts w:ascii="Times New Roman" w:hAnsi="Times New Roman" w:cs="Times New Roman"/>
              </w:rPr>
            </w:pPr>
            <w:r w:rsidRPr="00F65804">
              <w:rPr>
                <w:rFonts w:ascii="Times New Roman" w:hAnsi="Times New Roman" w:cs="Times New Roman"/>
              </w:rPr>
              <w:t>420,120</w:t>
            </w:r>
          </w:p>
        </w:tc>
        <w:tc>
          <w:tcPr>
            <w:tcW w:w="1160" w:type="dxa"/>
            <w:tcBorders>
              <w:top w:val="nil"/>
              <w:left w:val="nil"/>
              <w:bottom w:val="single" w:sz="8" w:space="0" w:color="auto"/>
              <w:right w:val="single" w:sz="8" w:space="0" w:color="auto"/>
            </w:tcBorders>
            <w:shd w:val="clear" w:color="auto" w:fill="auto"/>
            <w:vAlign w:val="center"/>
            <w:hideMark/>
          </w:tcPr>
          <w:p w14:paraId="5C0C05B5" w14:textId="77777777" w:rsidR="00A82294" w:rsidRPr="00F65804" w:rsidRDefault="00A82294" w:rsidP="00A82294">
            <w:pPr>
              <w:widowControl w:val="0"/>
              <w:tabs>
                <w:tab w:val="left" w:pos="0"/>
              </w:tabs>
              <w:spacing w:line="240" w:lineRule="auto"/>
              <w:jc w:val="center"/>
              <w:rPr>
                <w:rFonts w:ascii="Times New Roman" w:hAnsi="Times New Roman" w:cs="Times New Roman"/>
              </w:rPr>
            </w:pPr>
          </w:p>
        </w:tc>
        <w:tc>
          <w:tcPr>
            <w:tcW w:w="1278" w:type="dxa"/>
            <w:tcBorders>
              <w:top w:val="nil"/>
              <w:left w:val="nil"/>
              <w:bottom w:val="single" w:sz="8" w:space="0" w:color="auto"/>
              <w:right w:val="single" w:sz="8" w:space="0" w:color="auto"/>
            </w:tcBorders>
            <w:shd w:val="clear" w:color="auto" w:fill="auto"/>
            <w:vAlign w:val="center"/>
            <w:hideMark/>
          </w:tcPr>
          <w:p w14:paraId="5443E6EA" w14:textId="77777777" w:rsidR="00A82294" w:rsidRPr="00F65804" w:rsidRDefault="00A82294" w:rsidP="00A82294">
            <w:pPr>
              <w:widowControl w:val="0"/>
              <w:tabs>
                <w:tab w:val="left" w:pos="0"/>
              </w:tabs>
              <w:spacing w:line="240" w:lineRule="auto"/>
              <w:jc w:val="center"/>
              <w:rPr>
                <w:rFonts w:ascii="Times New Roman" w:hAnsi="Times New Roman" w:cs="Times New Roman"/>
              </w:rPr>
            </w:pPr>
          </w:p>
        </w:tc>
        <w:tc>
          <w:tcPr>
            <w:tcW w:w="984" w:type="dxa"/>
            <w:tcBorders>
              <w:top w:val="nil"/>
              <w:left w:val="nil"/>
              <w:bottom w:val="single" w:sz="8" w:space="0" w:color="auto"/>
              <w:right w:val="single" w:sz="8" w:space="0" w:color="auto"/>
            </w:tcBorders>
            <w:shd w:val="clear" w:color="auto" w:fill="auto"/>
            <w:vAlign w:val="center"/>
            <w:hideMark/>
          </w:tcPr>
          <w:p w14:paraId="4BFE8A01" w14:textId="77777777" w:rsidR="00A82294" w:rsidRPr="00F65804" w:rsidRDefault="00A82294" w:rsidP="00A82294">
            <w:pPr>
              <w:widowControl w:val="0"/>
              <w:tabs>
                <w:tab w:val="left" w:pos="0"/>
              </w:tabs>
              <w:spacing w:line="240" w:lineRule="auto"/>
              <w:jc w:val="center"/>
              <w:rPr>
                <w:rFonts w:ascii="Times New Roman" w:hAnsi="Times New Roman" w:cs="Times New Roman"/>
              </w:rPr>
            </w:pPr>
          </w:p>
        </w:tc>
        <w:tc>
          <w:tcPr>
            <w:tcW w:w="1490" w:type="dxa"/>
            <w:tcBorders>
              <w:top w:val="nil"/>
              <w:left w:val="nil"/>
              <w:bottom w:val="single" w:sz="8" w:space="0" w:color="auto"/>
              <w:right w:val="single" w:sz="8" w:space="0" w:color="auto"/>
            </w:tcBorders>
            <w:shd w:val="clear" w:color="auto" w:fill="auto"/>
            <w:vAlign w:val="center"/>
          </w:tcPr>
          <w:p w14:paraId="7F0130E2" w14:textId="77777777" w:rsidR="00A82294" w:rsidRPr="00F65804" w:rsidRDefault="0080521F" w:rsidP="00DC62C3">
            <w:pPr>
              <w:widowControl w:val="0"/>
              <w:tabs>
                <w:tab w:val="left" w:pos="0"/>
              </w:tabs>
              <w:spacing w:line="240" w:lineRule="auto"/>
              <w:jc w:val="right"/>
              <w:rPr>
                <w:rFonts w:ascii="Times New Roman" w:hAnsi="Times New Roman" w:cs="Times New Roman"/>
              </w:rPr>
            </w:pPr>
            <w:r w:rsidRPr="00F65804">
              <w:rPr>
                <w:rFonts w:ascii="Times New Roman" w:hAnsi="Times New Roman" w:cs="Times New Roman"/>
              </w:rPr>
              <w:fldChar w:fldCharType="begin"/>
            </w:r>
            <w:r w:rsidRPr="00F65804">
              <w:rPr>
                <w:rFonts w:ascii="Times New Roman" w:hAnsi="Times New Roman" w:cs="Times New Roman"/>
              </w:rPr>
              <w:instrText xml:space="preserve"> =SUM(ABOVE) </w:instrText>
            </w:r>
            <w:r w:rsidRPr="00F65804">
              <w:rPr>
                <w:rFonts w:ascii="Times New Roman" w:hAnsi="Times New Roman" w:cs="Times New Roman"/>
              </w:rPr>
              <w:fldChar w:fldCharType="separate"/>
            </w:r>
            <w:r w:rsidRPr="00F65804">
              <w:rPr>
                <w:rFonts w:ascii="Times New Roman" w:hAnsi="Times New Roman" w:cs="Times New Roman"/>
                <w:noProof/>
              </w:rPr>
              <w:t>$3,966,239.34</w:t>
            </w:r>
            <w:r w:rsidRPr="00F65804">
              <w:rPr>
                <w:rFonts w:ascii="Times New Roman" w:hAnsi="Times New Roman" w:cs="Times New Roman"/>
              </w:rPr>
              <w:fldChar w:fldCharType="end"/>
            </w:r>
          </w:p>
        </w:tc>
      </w:tr>
    </w:tbl>
    <w:p w14:paraId="5AADDE6C" w14:textId="77777777" w:rsidR="002044EA" w:rsidRDefault="002044EA" w:rsidP="002044EA">
      <w:pPr>
        <w:pStyle w:val="ListParagraph"/>
        <w:spacing w:after="120" w:line="240" w:lineRule="auto"/>
        <w:ind w:left="990"/>
        <w:rPr>
          <w:rFonts w:ascii="Times New Roman" w:hAnsi="Times New Roman" w:cs="Times New Roman"/>
          <w:sz w:val="24"/>
          <w:szCs w:val="24"/>
        </w:rPr>
      </w:pPr>
      <w:bookmarkStart w:id="360" w:name="_Toc431891710"/>
      <w:bookmarkStart w:id="361" w:name="_Toc431906501"/>
      <w:bookmarkStart w:id="362" w:name="_Toc431909933"/>
      <w:bookmarkStart w:id="363" w:name="_Toc431911492"/>
      <w:bookmarkStart w:id="364" w:name="_Toc431911627"/>
      <w:bookmarkStart w:id="365" w:name="_Toc522700956"/>
      <w:bookmarkEnd w:id="360"/>
      <w:bookmarkEnd w:id="361"/>
      <w:bookmarkEnd w:id="362"/>
      <w:bookmarkEnd w:id="363"/>
      <w:bookmarkEnd w:id="364"/>
    </w:p>
    <w:p w14:paraId="5B3AAE2C" w14:textId="77777777" w:rsidR="00615055" w:rsidRDefault="00615055" w:rsidP="002044EA">
      <w:pPr>
        <w:pStyle w:val="ListParagraph"/>
        <w:spacing w:after="120" w:line="240" w:lineRule="auto"/>
        <w:ind w:left="990"/>
        <w:rPr>
          <w:rFonts w:ascii="Times New Roman" w:hAnsi="Times New Roman" w:cs="Times New Roman"/>
          <w:sz w:val="24"/>
          <w:szCs w:val="24"/>
        </w:rPr>
      </w:pPr>
    </w:p>
    <w:p w14:paraId="7538BF20" w14:textId="77777777" w:rsidR="00615055" w:rsidRPr="002044EA" w:rsidRDefault="00615055" w:rsidP="002044EA">
      <w:pPr>
        <w:pStyle w:val="ListParagraph"/>
        <w:spacing w:after="120" w:line="240" w:lineRule="auto"/>
        <w:ind w:left="990"/>
        <w:rPr>
          <w:rFonts w:ascii="Times New Roman" w:hAnsi="Times New Roman" w:cs="Times New Roman"/>
          <w:sz w:val="24"/>
          <w:szCs w:val="24"/>
        </w:rPr>
      </w:pPr>
    </w:p>
    <w:p w14:paraId="1D09131B" w14:textId="77777777" w:rsidR="00234E40" w:rsidRPr="00234E40" w:rsidRDefault="004B45CB" w:rsidP="00234E40">
      <w:pPr>
        <w:pStyle w:val="ListParagraph"/>
        <w:numPr>
          <w:ilvl w:val="0"/>
          <w:numId w:val="8"/>
        </w:numPr>
        <w:spacing w:after="120" w:line="240" w:lineRule="auto"/>
        <w:rPr>
          <w:rFonts w:ascii="Times New Roman" w:hAnsi="Times New Roman" w:cs="Times New Roman"/>
          <w:sz w:val="24"/>
          <w:szCs w:val="24"/>
        </w:rPr>
      </w:pPr>
      <w:r w:rsidRPr="00234E40">
        <w:rPr>
          <w:rFonts w:ascii="Times New Roman" w:hAnsi="Times New Roman" w:cs="Cambria"/>
          <w:b/>
          <w:bCs/>
          <w:sz w:val="24"/>
          <w:szCs w:val="28"/>
        </w:rPr>
        <w:t>Estimates of Other Total Annual Cost Burden to Respondents and Record Keepers</w:t>
      </w:r>
      <w:bookmarkEnd w:id="365"/>
    </w:p>
    <w:p w14:paraId="002EBC9E" w14:textId="77777777" w:rsidR="00234E40" w:rsidRPr="00234E40" w:rsidRDefault="00234E40" w:rsidP="00234E40">
      <w:pPr>
        <w:spacing w:after="120" w:line="240" w:lineRule="auto"/>
        <w:rPr>
          <w:rFonts w:ascii="Times New Roman" w:hAnsi="Times New Roman" w:cs="Times New Roman"/>
          <w:sz w:val="24"/>
          <w:szCs w:val="24"/>
        </w:rPr>
      </w:pPr>
      <w:r w:rsidRPr="00234E40">
        <w:rPr>
          <w:rFonts w:ascii="Times New Roman" w:hAnsi="Times New Roman" w:cs="Times New Roman"/>
          <w:sz w:val="24"/>
          <w:szCs w:val="24"/>
        </w:rPr>
        <w:t>There are no capital or maintenance costs to respondents or record keepers.</w:t>
      </w:r>
    </w:p>
    <w:p w14:paraId="46A7449C" w14:textId="77777777" w:rsidR="00E8134C" w:rsidRPr="0008401B" w:rsidRDefault="00AF5199" w:rsidP="00C42381">
      <w:pPr>
        <w:pStyle w:val="Heading1"/>
        <w:numPr>
          <w:ilvl w:val="0"/>
          <w:numId w:val="8"/>
        </w:numPr>
        <w:spacing w:line="240" w:lineRule="auto"/>
        <w:ind w:left="810" w:hanging="450"/>
        <w:rPr>
          <w:rStyle w:val="Heading2Char"/>
          <w:rFonts w:ascii="Times New Roman" w:hAnsi="Times New Roman" w:cs="Times New Roman"/>
          <w:b/>
          <w:bCs/>
          <w:color w:val="auto"/>
          <w:sz w:val="24"/>
          <w:szCs w:val="24"/>
        </w:rPr>
      </w:pPr>
      <w:bookmarkStart w:id="366" w:name="_Toc522700957"/>
      <w:r w:rsidRPr="0008401B">
        <w:rPr>
          <w:rStyle w:val="Heading2Char"/>
          <w:rFonts w:ascii="Times New Roman" w:hAnsi="Times New Roman" w:cs="Times New Roman"/>
          <w:b/>
          <w:color w:val="auto"/>
          <w:sz w:val="24"/>
          <w:szCs w:val="24"/>
        </w:rPr>
        <w:t>Annualized Cost to the Government</w:t>
      </w:r>
      <w:bookmarkEnd w:id="366"/>
    </w:p>
    <w:p w14:paraId="19FFEDD7" w14:textId="77777777" w:rsidR="00277BC0" w:rsidRDefault="00277BC0" w:rsidP="00277BC0">
      <w:pPr>
        <w:spacing w:after="120" w:line="240" w:lineRule="auto"/>
        <w:rPr>
          <w:rFonts w:ascii="Times New Roman" w:hAnsi="Times New Roman" w:cs="Times New Roman"/>
          <w:sz w:val="24"/>
          <w:szCs w:val="24"/>
        </w:rPr>
      </w:pPr>
    </w:p>
    <w:p w14:paraId="5520CFB6" w14:textId="130F269C" w:rsidR="00792659" w:rsidRPr="00234E40" w:rsidRDefault="00792659" w:rsidP="00792659">
      <w:pPr>
        <w:pStyle w:val="ListParagraph"/>
        <w:spacing w:after="120" w:line="240" w:lineRule="auto"/>
        <w:ind w:left="0"/>
        <w:rPr>
          <w:rFonts w:ascii="Times New Roman" w:hAnsi="Times New Roman" w:cs="Times New Roman"/>
          <w:sz w:val="24"/>
          <w:szCs w:val="24"/>
        </w:rPr>
      </w:pPr>
      <w:r w:rsidRPr="00277BC0">
        <w:rPr>
          <w:rFonts w:ascii="Times New Roman" w:hAnsi="Times New Roman" w:cs="Times New Roman"/>
          <w:sz w:val="24"/>
          <w:szCs w:val="24"/>
        </w:rPr>
        <w:t xml:space="preserve">Capital </w:t>
      </w:r>
      <w:r>
        <w:rPr>
          <w:rFonts w:ascii="Times New Roman" w:hAnsi="Times New Roman" w:cs="Times New Roman"/>
          <w:sz w:val="24"/>
          <w:szCs w:val="24"/>
        </w:rPr>
        <w:t>and start-up costs for building</w:t>
      </w:r>
      <w:r w:rsidRPr="00277BC0">
        <w:rPr>
          <w:rFonts w:ascii="Times New Roman" w:hAnsi="Times New Roman" w:cs="Times New Roman"/>
          <w:sz w:val="24"/>
          <w:szCs w:val="24"/>
        </w:rPr>
        <w:t xml:space="preserve"> the new Post-</w:t>
      </w:r>
      <w:r>
        <w:rPr>
          <w:rFonts w:ascii="Times New Roman" w:hAnsi="Times New Roman" w:cs="Times New Roman"/>
          <w:sz w:val="24"/>
          <w:szCs w:val="24"/>
        </w:rPr>
        <w:t>C</w:t>
      </w:r>
      <w:r w:rsidRPr="00277BC0">
        <w:rPr>
          <w:rFonts w:ascii="Times New Roman" w:hAnsi="Times New Roman" w:cs="Times New Roman"/>
          <w:sz w:val="24"/>
          <w:szCs w:val="24"/>
        </w:rPr>
        <w:t xml:space="preserve">ourse </w:t>
      </w:r>
      <w:r>
        <w:rPr>
          <w:rFonts w:ascii="Times New Roman" w:hAnsi="Times New Roman" w:cs="Times New Roman"/>
          <w:sz w:val="24"/>
          <w:szCs w:val="24"/>
        </w:rPr>
        <w:t>Evaluation</w:t>
      </w:r>
      <w:r w:rsidRPr="00277BC0">
        <w:rPr>
          <w:rFonts w:ascii="Times New Roman" w:hAnsi="Times New Roman" w:cs="Times New Roman"/>
          <w:sz w:val="24"/>
          <w:szCs w:val="24"/>
        </w:rPr>
        <w:t xml:space="preserve"> </w:t>
      </w:r>
      <w:r>
        <w:rPr>
          <w:rFonts w:ascii="Times New Roman" w:hAnsi="Times New Roman" w:cs="Times New Roman"/>
          <w:sz w:val="24"/>
          <w:szCs w:val="24"/>
        </w:rPr>
        <w:t>are</w:t>
      </w:r>
      <w:r w:rsidRPr="00277BC0">
        <w:rPr>
          <w:rFonts w:ascii="Times New Roman" w:hAnsi="Times New Roman" w:cs="Times New Roman"/>
          <w:sz w:val="24"/>
          <w:szCs w:val="24"/>
        </w:rPr>
        <w:t xml:space="preserve"> estimated at $27,600</w:t>
      </w:r>
      <w:r>
        <w:rPr>
          <w:rFonts w:ascii="Times New Roman" w:hAnsi="Times New Roman" w:cs="Times New Roman"/>
          <w:sz w:val="24"/>
          <w:szCs w:val="24"/>
        </w:rPr>
        <w:t>, and c</w:t>
      </w:r>
      <w:r w:rsidRPr="00923223">
        <w:rPr>
          <w:rFonts w:ascii="Times New Roman" w:hAnsi="Times New Roman" w:cs="Times New Roman"/>
          <w:sz w:val="24"/>
          <w:szCs w:val="24"/>
        </w:rPr>
        <w:t>apital and start-up cost</w:t>
      </w:r>
      <w:r>
        <w:rPr>
          <w:rFonts w:ascii="Times New Roman" w:hAnsi="Times New Roman" w:cs="Times New Roman"/>
          <w:sz w:val="24"/>
          <w:szCs w:val="24"/>
        </w:rPr>
        <w:t>s</w:t>
      </w:r>
      <w:r w:rsidRPr="00923223">
        <w:rPr>
          <w:rFonts w:ascii="Times New Roman" w:hAnsi="Times New Roman" w:cs="Times New Roman"/>
          <w:sz w:val="24"/>
          <w:szCs w:val="24"/>
        </w:rPr>
        <w:t xml:space="preserve"> for building the new Follow-up Evaluation </w:t>
      </w:r>
      <w:r>
        <w:rPr>
          <w:rFonts w:ascii="Times New Roman" w:hAnsi="Times New Roman" w:cs="Times New Roman"/>
          <w:sz w:val="24"/>
          <w:szCs w:val="24"/>
        </w:rPr>
        <w:t>are</w:t>
      </w:r>
      <w:r w:rsidRPr="00923223">
        <w:rPr>
          <w:rFonts w:ascii="Times New Roman" w:hAnsi="Times New Roman" w:cs="Times New Roman"/>
          <w:sz w:val="24"/>
          <w:szCs w:val="24"/>
        </w:rPr>
        <w:t xml:space="preserve"> estimated at $36,800. This amount includes </w:t>
      </w:r>
      <w:r>
        <w:rPr>
          <w:rFonts w:ascii="Times New Roman" w:hAnsi="Times New Roman" w:cs="Times New Roman"/>
          <w:sz w:val="24"/>
          <w:szCs w:val="24"/>
        </w:rPr>
        <w:t>one</w:t>
      </w:r>
      <w:r w:rsidRPr="00923223">
        <w:rPr>
          <w:rFonts w:ascii="Times New Roman" w:hAnsi="Times New Roman" w:cs="Times New Roman"/>
          <w:sz w:val="24"/>
          <w:szCs w:val="24"/>
        </w:rPr>
        <w:t xml:space="preserve"> non-full</w:t>
      </w:r>
      <w:r>
        <w:rPr>
          <w:rFonts w:ascii="Times New Roman" w:hAnsi="Times New Roman" w:cs="Times New Roman"/>
          <w:sz w:val="24"/>
          <w:szCs w:val="24"/>
        </w:rPr>
        <w:t>-</w:t>
      </w:r>
      <w:r w:rsidRPr="00923223">
        <w:rPr>
          <w:rFonts w:ascii="Times New Roman" w:hAnsi="Times New Roman" w:cs="Times New Roman"/>
          <w:sz w:val="24"/>
          <w:szCs w:val="24"/>
        </w:rPr>
        <w:t>time equivalent software engineer at 65%</w:t>
      </w:r>
      <w:r>
        <w:rPr>
          <w:rFonts w:ascii="Times New Roman" w:hAnsi="Times New Roman" w:cs="Times New Roman"/>
          <w:sz w:val="24"/>
          <w:szCs w:val="24"/>
        </w:rPr>
        <w:t xml:space="preserve"> </w:t>
      </w:r>
      <w:r w:rsidRPr="00923223">
        <w:rPr>
          <w:rFonts w:ascii="Times New Roman" w:hAnsi="Times New Roman" w:cs="Times New Roman"/>
          <w:sz w:val="24"/>
          <w:szCs w:val="24"/>
        </w:rPr>
        <w:t>of time and costs</w:t>
      </w:r>
      <w:r w:rsidRPr="00277BC0">
        <w:rPr>
          <w:rFonts w:ascii="Times New Roman" w:hAnsi="Times New Roman" w:cs="Times New Roman"/>
          <w:sz w:val="24"/>
          <w:szCs w:val="24"/>
        </w:rPr>
        <w:t xml:space="preserve"> for required computer equipment, for the first year </w:t>
      </w:r>
      <w:r>
        <w:rPr>
          <w:rFonts w:ascii="Times New Roman" w:hAnsi="Times New Roman" w:cs="Times New Roman"/>
          <w:sz w:val="24"/>
          <w:szCs w:val="24"/>
        </w:rPr>
        <w:t>following</w:t>
      </w:r>
      <w:r w:rsidRPr="00277BC0">
        <w:rPr>
          <w:rFonts w:ascii="Times New Roman" w:hAnsi="Times New Roman" w:cs="Times New Roman"/>
          <w:sz w:val="24"/>
          <w:szCs w:val="24"/>
        </w:rPr>
        <w:t xml:space="preserve"> OMB appr</w:t>
      </w:r>
      <w:r>
        <w:rPr>
          <w:rFonts w:ascii="Times New Roman" w:hAnsi="Times New Roman" w:cs="Times New Roman"/>
          <w:sz w:val="24"/>
          <w:szCs w:val="24"/>
        </w:rPr>
        <w:t>o</w:t>
      </w:r>
      <w:r w:rsidRPr="00277BC0">
        <w:rPr>
          <w:rFonts w:ascii="Times New Roman" w:hAnsi="Times New Roman" w:cs="Times New Roman"/>
          <w:sz w:val="24"/>
          <w:szCs w:val="24"/>
        </w:rPr>
        <w:t>val.</w:t>
      </w:r>
    </w:p>
    <w:p w14:paraId="71752A53" w14:textId="728C28BC" w:rsidR="00D30227" w:rsidRPr="00D30227" w:rsidRDefault="00B72E48" w:rsidP="00D30227">
      <w:pPr>
        <w:spacing w:after="120" w:line="240" w:lineRule="auto"/>
        <w:rPr>
          <w:rFonts w:ascii="Times New Roman" w:hAnsi="Times New Roman" w:cs="Times New Roman"/>
          <w:sz w:val="24"/>
          <w:szCs w:val="24"/>
        </w:rPr>
      </w:pPr>
      <w:r w:rsidRPr="00480993">
        <w:rPr>
          <w:rFonts w:ascii="Times New Roman" w:hAnsi="Times New Roman" w:cs="Times New Roman"/>
          <w:sz w:val="24"/>
          <w:szCs w:val="24"/>
        </w:rPr>
        <w:t xml:space="preserve">The estimated </w:t>
      </w:r>
      <w:r w:rsidR="00D30227" w:rsidRPr="00480993">
        <w:rPr>
          <w:rFonts w:ascii="Times New Roman" w:hAnsi="Times New Roman" w:cs="Times New Roman"/>
          <w:sz w:val="24"/>
          <w:szCs w:val="24"/>
        </w:rPr>
        <w:t xml:space="preserve">annualized </w:t>
      </w:r>
      <w:r w:rsidRPr="00480993">
        <w:rPr>
          <w:rFonts w:ascii="Times New Roman" w:hAnsi="Times New Roman" w:cs="Times New Roman"/>
          <w:sz w:val="24"/>
          <w:szCs w:val="24"/>
        </w:rPr>
        <w:t>costs to operate and maintain</w:t>
      </w:r>
      <w:r w:rsidR="005E710D" w:rsidRPr="00480993">
        <w:rPr>
          <w:rFonts w:ascii="Times New Roman" w:hAnsi="Times New Roman" w:cs="Times New Roman"/>
          <w:sz w:val="24"/>
          <w:szCs w:val="24"/>
        </w:rPr>
        <w:t xml:space="preserve"> the</w:t>
      </w:r>
      <w:r w:rsidR="0092018B">
        <w:rPr>
          <w:rFonts w:ascii="Times New Roman" w:hAnsi="Times New Roman" w:cs="Times New Roman"/>
          <w:sz w:val="24"/>
          <w:szCs w:val="24"/>
        </w:rPr>
        <w:t xml:space="preserve"> system</w:t>
      </w:r>
      <w:r w:rsidR="005E710D" w:rsidRPr="00480993">
        <w:rPr>
          <w:rFonts w:ascii="Times New Roman" w:hAnsi="Times New Roman" w:cs="Times New Roman"/>
          <w:sz w:val="24"/>
          <w:szCs w:val="24"/>
        </w:rPr>
        <w:t xml:space="preserve"> </w:t>
      </w:r>
      <w:r w:rsidR="000C5DF7">
        <w:rPr>
          <w:rFonts w:ascii="Times New Roman" w:hAnsi="Times New Roman" w:cs="Times New Roman"/>
          <w:sz w:val="24"/>
          <w:szCs w:val="24"/>
        </w:rPr>
        <w:t>are</w:t>
      </w:r>
      <w:r w:rsidR="000C5DF7" w:rsidRPr="00480993">
        <w:rPr>
          <w:rFonts w:ascii="Times New Roman" w:hAnsi="Times New Roman" w:cs="Times New Roman"/>
          <w:sz w:val="24"/>
          <w:szCs w:val="24"/>
        </w:rPr>
        <w:t xml:space="preserve"> </w:t>
      </w:r>
      <w:r w:rsidR="00D30227" w:rsidRPr="00480993">
        <w:rPr>
          <w:rFonts w:ascii="Times New Roman" w:hAnsi="Times New Roman" w:cs="Times New Roman"/>
          <w:sz w:val="24"/>
          <w:szCs w:val="24"/>
        </w:rPr>
        <w:t xml:space="preserve">$834,164.00. </w:t>
      </w:r>
      <w:r w:rsidR="00474065" w:rsidRPr="00480993">
        <w:rPr>
          <w:rFonts w:ascii="Times New Roman" w:hAnsi="Times New Roman" w:cs="Times New Roman"/>
          <w:sz w:val="24"/>
          <w:szCs w:val="24"/>
        </w:rPr>
        <w:t xml:space="preserve">No </w:t>
      </w:r>
      <w:r w:rsidR="00480993" w:rsidRPr="00480993">
        <w:rPr>
          <w:rFonts w:ascii="Times New Roman" w:hAnsi="Times New Roman" w:cs="Times New Roman"/>
          <w:sz w:val="24"/>
          <w:szCs w:val="24"/>
        </w:rPr>
        <w:t xml:space="preserve">additional </w:t>
      </w:r>
      <w:r w:rsidR="00474065" w:rsidRPr="00480993">
        <w:rPr>
          <w:rFonts w:ascii="Times New Roman" w:hAnsi="Times New Roman" w:cs="Times New Roman"/>
          <w:sz w:val="24"/>
          <w:szCs w:val="24"/>
        </w:rPr>
        <w:t>development costs are anticipated</w:t>
      </w:r>
      <w:r w:rsidR="00474065">
        <w:rPr>
          <w:rFonts w:ascii="Times New Roman" w:hAnsi="Times New Roman" w:cs="Times New Roman"/>
          <w:sz w:val="24"/>
          <w:szCs w:val="24"/>
        </w:rPr>
        <w:t xml:space="preserve"> for </w:t>
      </w:r>
      <w:r w:rsidR="00480993">
        <w:rPr>
          <w:rFonts w:ascii="Times New Roman" w:hAnsi="Times New Roman" w:cs="Times New Roman"/>
          <w:sz w:val="24"/>
          <w:szCs w:val="24"/>
        </w:rPr>
        <w:t>TCEO</w:t>
      </w:r>
      <w:r w:rsidR="00474065">
        <w:rPr>
          <w:rFonts w:ascii="Times New Roman" w:hAnsi="Times New Roman" w:cs="Times New Roman"/>
          <w:sz w:val="24"/>
          <w:szCs w:val="24"/>
        </w:rPr>
        <w:t xml:space="preserve"> over the next </w:t>
      </w:r>
      <w:r w:rsidR="005559A5">
        <w:rPr>
          <w:rFonts w:ascii="Times New Roman" w:hAnsi="Times New Roman" w:cs="Times New Roman"/>
          <w:sz w:val="24"/>
          <w:szCs w:val="24"/>
        </w:rPr>
        <w:t>3-</w:t>
      </w:r>
      <w:r w:rsidR="00474065">
        <w:rPr>
          <w:rFonts w:ascii="Times New Roman" w:hAnsi="Times New Roman" w:cs="Times New Roman"/>
          <w:sz w:val="24"/>
          <w:szCs w:val="24"/>
        </w:rPr>
        <w:t>years.</w:t>
      </w:r>
    </w:p>
    <w:p w14:paraId="36E59E20" w14:textId="77777777" w:rsidR="00B06866" w:rsidRPr="00480993" w:rsidRDefault="00480993" w:rsidP="00480993">
      <w:pPr>
        <w:pStyle w:val="ListParagraph"/>
        <w:spacing w:after="120" w:line="240" w:lineRule="auto"/>
        <w:ind w:left="0"/>
        <w:rPr>
          <w:rFonts w:ascii="Times New Roman" w:hAnsi="Times New Roman" w:cs="Times New Roman"/>
          <w:sz w:val="24"/>
          <w:szCs w:val="24"/>
        </w:rPr>
      </w:pPr>
      <w:r w:rsidRPr="005E15FC">
        <w:rPr>
          <w:rFonts w:ascii="Times New Roman" w:hAnsi="Times New Roman" w:cs="Times New Roman"/>
          <w:sz w:val="24"/>
          <w:szCs w:val="24"/>
        </w:rPr>
        <w:t xml:space="preserve">Estimated </w:t>
      </w:r>
      <w:r w:rsidR="00EF10ED">
        <w:rPr>
          <w:rFonts w:ascii="Times New Roman" w:hAnsi="Times New Roman" w:cs="Times New Roman"/>
          <w:sz w:val="24"/>
          <w:szCs w:val="24"/>
        </w:rPr>
        <w:t xml:space="preserve">Annualized </w:t>
      </w:r>
      <w:r>
        <w:rPr>
          <w:rFonts w:ascii="Times New Roman" w:hAnsi="Times New Roman" w:cs="Times New Roman"/>
          <w:sz w:val="24"/>
          <w:szCs w:val="24"/>
        </w:rPr>
        <w:t>Operations</w:t>
      </w:r>
      <w:r w:rsidR="00BB6DF0">
        <w:rPr>
          <w:rFonts w:ascii="Times New Roman" w:hAnsi="Times New Roman" w:cs="Times New Roman"/>
          <w:sz w:val="24"/>
          <w:szCs w:val="24"/>
        </w:rPr>
        <w:t xml:space="preserve"> and</w:t>
      </w:r>
      <w:r>
        <w:rPr>
          <w:rFonts w:ascii="Times New Roman" w:hAnsi="Times New Roman" w:cs="Times New Roman"/>
          <w:sz w:val="24"/>
          <w:szCs w:val="24"/>
        </w:rPr>
        <w:t xml:space="preserve"> Maintenance</w:t>
      </w:r>
      <w:r w:rsidR="00CE6D8C">
        <w:rPr>
          <w:rFonts w:ascii="Times New Roman" w:hAnsi="Times New Roman" w:cs="Times New Roman"/>
          <w:sz w:val="24"/>
          <w:szCs w:val="24"/>
        </w:rPr>
        <w:t xml:space="preserve"> Costs</w:t>
      </w:r>
    </w:p>
    <w:tbl>
      <w:tblPr>
        <w:tblW w:w="8447" w:type="dxa"/>
        <w:tblInd w:w="95" w:type="dxa"/>
        <w:tblCellMar>
          <w:left w:w="0" w:type="dxa"/>
          <w:right w:w="0" w:type="dxa"/>
        </w:tblCellMar>
        <w:tblLook w:val="04A0" w:firstRow="1" w:lastRow="0" w:firstColumn="1" w:lastColumn="0" w:noHBand="0" w:noVBand="1"/>
      </w:tblPr>
      <w:tblGrid>
        <w:gridCol w:w="3253"/>
        <w:gridCol w:w="2880"/>
        <w:gridCol w:w="2314"/>
      </w:tblGrid>
      <w:tr w:rsidR="00366021" w:rsidRPr="005D5D9F" w14:paraId="6326B290" w14:textId="77777777" w:rsidTr="0013029E">
        <w:trPr>
          <w:trHeight w:val="510"/>
        </w:trPr>
        <w:tc>
          <w:tcPr>
            <w:tcW w:w="325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001BA" w14:textId="77777777" w:rsidR="00366021" w:rsidRPr="00F65804" w:rsidRDefault="00366021" w:rsidP="0013029E">
            <w:pPr>
              <w:spacing w:after="120" w:line="240" w:lineRule="auto"/>
              <w:rPr>
                <w:rFonts w:ascii="Times New Roman" w:hAnsi="Times New Roman" w:cs="Times New Roman"/>
              </w:rPr>
            </w:pPr>
            <w:r w:rsidRPr="00F65804">
              <w:rPr>
                <w:rFonts w:ascii="Times New Roman" w:hAnsi="Times New Roman" w:cs="Times New Roman"/>
              </w:rPr>
              <w:t>Item</w:t>
            </w:r>
          </w:p>
        </w:tc>
        <w:tc>
          <w:tcPr>
            <w:tcW w:w="28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F7EF6B8" w14:textId="77777777" w:rsidR="00366021" w:rsidRPr="00F65804" w:rsidRDefault="00366021" w:rsidP="0013029E">
            <w:pPr>
              <w:spacing w:after="120" w:line="240" w:lineRule="auto"/>
              <w:rPr>
                <w:rFonts w:ascii="Times New Roman" w:hAnsi="Times New Roman" w:cs="Times New Roman"/>
              </w:rPr>
            </w:pPr>
            <w:r w:rsidRPr="00F65804">
              <w:rPr>
                <w:rFonts w:ascii="Times New Roman" w:hAnsi="Times New Roman" w:cs="Times New Roman"/>
              </w:rPr>
              <w:t>Cost Categories</w:t>
            </w:r>
          </w:p>
        </w:tc>
        <w:tc>
          <w:tcPr>
            <w:tcW w:w="2314" w:type="dxa"/>
            <w:tcBorders>
              <w:top w:val="single" w:sz="8" w:space="0" w:color="auto"/>
              <w:left w:val="nil"/>
              <w:bottom w:val="single" w:sz="8" w:space="0" w:color="auto"/>
              <w:right w:val="single" w:sz="8" w:space="0" w:color="auto"/>
            </w:tcBorders>
            <w:hideMark/>
          </w:tcPr>
          <w:p w14:paraId="14CBA286" w14:textId="77777777" w:rsidR="00366021" w:rsidRPr="00F65804" w:rsidRDefault="00366021" w:rsidP="0013029E">
            <w:pPr>
              <w:spacing w:after="120" w:line="240" w:lineRule="auto"/>
              <w:jc w:val="center"/>
              <w:rPr>
                <w:rFonts w:ascii="Times New Roman" w:hAnsi="Times New Roman" w:cs="Times New Roman"/>
              </w:rPr>
            </w:pPr>
            <w:r w:rsidRPr="00F65804">
              <w:rPr>
                <w:rFonts w:ascii="Times New Roman" w:hAnsi="Times New Roman" w:cs="Times New Roman"/>
              </w:rPr>
              <w:t>Annualized Cost to Federal Government</w:t>
            </w:r>
          </w:p>
        </w:tc>
      </w:tr>
      <w:tr w:rsidR="00366021" w:rsidRPr="005D5D9F" w14:paraId="62B5072A" w14:textId="77777777" w:rsidTr="0013029E">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5E9D2DE1" w14:textId="77777777" w:rsidR="00366021" w:rsidRPr="00F65804" w:rsidRDefault="00366021" w:rsidP="0013029E">
            <w:pPr>
              <w:spacing w:after="120" w:line="240" w:lineRule="auto"/>
              <w:rPr>
                <w:rFonts w:ascii="Times New Roman" w:hAnsi="Times New Roman" w:cs="Times New Roman"/>
              </w:rPr>
            </w:pPr>
            <w:r w:rsidRPr="00F65804">
              <w:rPr>
                <w:rFonts w:ascii="Times New Roman" w:hAnsi="Times New Roman" w:cs="Times New Roman"/>
              </w:rPr>
              <w:t xml:space="preserve">Operations &amp; Maintenance (O&amp;M) Cost </w:t>
            </w:r>
          </w:p>
        </w:tc>
        <w:tc>
          <w:tcPr>
            <w:tcW w:w="2880" w:type="dxa"/>
            <w:tcBorders>
              <w:top w:val="nil"/>
              <w:left w:val="nil"/>
              <w:bottom w:val="nil"/>
              <w:right w:val="single" w:sz="8" w:space="0" w:color="auto"/>
            </w:tcBorders>
            <w:tcMar>
              <w:top w:w="0" w:type="dxa"/>
              <w:left w:w="108" w:type="dxa"/>
              <w:bottom w:w="0" w:type="dxa"/>
              <w:right w:w="108" w:type="dxa"/>
            </w:tcMar>
            <w:hideMark/>
          </w:tcPr>
          <w:p w14:paraId="4EF5FC56" w14:textId="77777777" w:rsidR="00366021" w:rsidRPr="00F65804" w:rsidRDefault="00366021" w:rsidP="0013029E">
            <w:pPr>
              <w:spacing w:after="120" w:line="240" w:lineRule="auto"/>
              <w:rPr>
                <w:rFonts w:ascii="Times New Roman" w:hAnsi="Times New Roman" w:cs="Times New Roman"/>
              </w:rPr>
            </w:pPr>
            <w:r w:rsidRPr="00F65804">
              <w:rPr>
                <w:rFonts w:ascii="Times New Roman" w:hAnsi="Times New Roman" w:cs="Times New Roman"/>
              </w:rPr>
              <w:t>Project Management</w:t>
            </w:r>
          </w:p>
        </w:tc>
        <w:tc>
          <w:tcPr>
            <w:tcW w:w="2314" w:type="dxa"/>
            <w:tcBorders>
              <w:top w:val="nil"/>
              <w:left w:val="nil"/>
              <w:bottom w:val="nil"/>
              <w:right w:val="single" w:sz="8" w:space="0" w:color="auto"/>
            </w:tcBorders>
          </w:tcPr>
          <w:p w14:paraId="4DDE42C9" w14:textId="77777777" w:rsidR="00366021" w:rsidRPr="00F65804" w:rsidRDefault="00366021" w:rsidP="00DE2787">
            <w:pPr>
              <w:spacing w:after="120" w:line="240" w:lineRule="auto"/>
              <w:jc w:val="right"/>
              <w:rPr>
                <w:rFonts w:ascii="Times New Roman" w:hAnsi="Times New Roman" w:cs="Times New Roman"/>
              </w:rPr>
            </w:pPr>
            <w:r w:rsidRPr="00F65804">
              <w:rPr>
                <w:rFonts w:ascii="Times New Roman" w:hAnsi="Times New Roman" w:cs="Times New Roman"/>
              </w:rPr>
              <w:t>$38,160</w:t>
            </w:r>
          </w:p>
        </w:tc>
      </w:tr>
      <w:tr w:rsidR="00366021" w:rsidRPr="005D5D9F" w14:paraId="7189154D" w14:textId="77777777" w:rsidTr="0013029E">
        <w:trPr>
          <w:trHeight w:val="255"/>
        </w:trPr>
        <w:tc>
          <w:tcPr>
            <w:tcW w:w="3253"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55E0B08C" w14:textId="77777777" w:rsidR="00366021" w:rsidRPr="00F65804" w:rsidRDefault="00366021" w:rsidP="0013029E">
            <w:pPr>
              <w:spacing w:after="120" w:line="240" w:lineRule="auto"/>
              <w:rPr>
                <w:rFonts w:ascii="Times New Roman" w:hAnsi="Times New Roman" w:cs="Times New Roman"/>
              </w:rPr>
            </w:pPr>
          </w:p>
        </w:tc>
        <w:tc>
          <w:tcPr>
            <w:tcW w:w="2880" w:type="dxa"/>
            <w:tcBorders>
              <w:top w:val="nil"/>
              <w:left w:val="nil"/>
              <w:bottom w:val="nil"/>
              <w:right w:val="single" w:sz="8" w:space="0" w:color="auto"/>
            </w:tcBorders>
            <w:tcMar>
              <w:top w:w="0" w:type="dxa"/>
              <w:left w:w="108" w:type="dxa"/>
              <w:bottom w:w="0" w:type="dxa"/>
              <w:right w:w="108" w:type="dxa"/>
            </w:tcMar>
            <w:vAlign w:val="bottom"/>
            <w:hideMark/>
          </w:tcPr>
          <w:p w14:paraId="27E1BFFB" w14:textId="77777777" w:rsidR="00366021" w:rsidRPr="00F65804" w:rsidRDefault="00366021" w:rsidP="0013029E">
            <w:pPr>
              <w:spacing w:after="120" w:line="240" w:lineRule="auto"/>
              <w:rPr>
                <w:rFonts w:ascii="Times New Roman" w:hAnsi="Times New Roman" w:cs="Times New Roman"/>
              </w:rPr>
            </w:pPr>
            <w:r w:rsidRPr="00F65804">
              <w:rPr>
                <w:rFonts w:ascii="Times New Roman" w:hAnsi="Times New Roman" w:cs="Times New Roman"/>
              </w:rPr>
              <w:t>Program Staff*</w:t>
            </w:r>
          </w:p>
        </w:tc>
        <w:tc>
          <w:tcPr>
            <w:tcW w:w="2314" w:type="dxa"/>
            <w:tcBorders>
              <w:top w:val="nil"/>
              <w:left w:val="nil"/>
              <w:bottom w:val="nil"/>
              <w:right w:val="single" w:sz="8" w:space="0" w:color="auto"/>
            </w:tcBorders>
          </w:tcPr>
          <w:p w14:paraId="1A8EC0D9" w14:textId="77777777" w:rsidR="00366021" w:rsidRPr="00F65804" w:rsidRDefault="00366021" w:rsidP="00DE2787">
            <w:pPr>
              <w:spacing w:after="120" w:line="240" w:lineRule="auto"/>
              <w:jc w:val="right"/>
              <w:rPr>
                <w:rFonts w:ascii="Times New Roman" w:hAnsi="Times New Roman" w:cs="Times New Roman"/>
              </w:rPr>
            </w:pPr>
            <w:r w:rsidRPr="00F65804">
              <w:rPr>
                <w:rFonts w:ascii="Times New Roman" w:hAnsi="Times New Roman" w:cs="Times New Roman"/>
              </w:rPr>
              <w:t>$133,000</w:t>
            </w:r>
          </w:p>
        </w:tc>
      </w:tr>
      <w:tr w:rsidR="00366021" w:rsidRPr="005D5D9F" w14:paraId="79DACDE2" w14:textId="77777777" w:rsidTr="0013029E">
        <w:trPr>
          <w:trHeight w:val="255"/>
        </w:trPr>
        <w:tc>
          <w:tcPr>
            <w:tcW w:w="3253"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33032E53" w14:textId="77777777" w:rsidR="00366021" w:rsidRPr="00F65804" w:rsidRDefault="00366021" w:rsidP="0013029E">
            <w:pPr>
              <w:spacing w:after="120" w:line="240" w:lineRule="auto"/>
              <w:rPr>
                <w:rFonts w:ascii="Times New Roman" w:hAnsi="Times New Roman" w:cs="Times New Roman"/>
              </w:rPr>
            </w:pPr>
          </w:p>
        </w:tc>
        <w:tc>
          <w:tcPr>
            <w:tcW w:w="2880" w:type="dxa"/>
            <w:tcBorders>
              <w:top w:val="nil"/>
              <w:left w:val="nil"/>
              <w:bottom w:val="single" w:sz="4" w:space="0" w:color="auto"/>
              <w:right w:val="single" w:sz="8" w:space="0" w:color="auto"/>
            </w:tcBorders>
            <w:tcMar>
              <w:top w:w="0" w:type="dxa"/>
              <w:left w:w="108" w:type="dxa"/>
              <w:bottom w:w="0" w:type="dxa"/>
              <w:right w:w="108" w:type="dxa"/>
            </w:tcMar>
            <w:vAlign w:val="bottom"/>
            <w:hideMark/>
          </w:tcPr>
          <w:p w14:paraId="1C14E9AA" w14:textId="77777777" w:rsidR="00366021" w:rsidRPr="00F65804" w:rsidRDefault="00366021" w:rsidP="0013029E">
            <w:pPr>
              <w:spacing w:after="120" w:line="240" w:lineRule="auto"/>
              <w:rPr>
                <w:rFonts w:ascii="Times New Roman" w:hAnsi="Times New Roman" w:cs="Times New Roman"/>
              </w:rPr>
            </w:pPr>
            <w:r w:rsidRPr="00F65804">
              <w:rPr>
                <w:rFonts w:ascii="Times New Roman" w:hAnsi="Times New Roman" w:cs="Times New Roman"/>
              </w:rPr>
              <w:t>System Maintenance and IT Support*</w:t>
            </w:r>
          </w:p>
        </w:tc>
        <w:tc>
          <w:tcPr>
            <w:tcW w:w="2314" w:type="dxa"/>
            <w:tcBorders>
              <w:top w:val="nil"/>
              <w:left w:val="nil"/>
              <w:bottom w:val="single" w:sz="4" w:space="0" w:color="auto"/>
              <w:right w:val="single" w:sz="8" w:space="0" w:color="auto"/>
            </w:tcBorders>
          </w:tcPr>
          <w:p w14:paraId="6954EB7B" w14:textId="77777777" w:rsidR="00366021" w:rsidRPr="00F65804" w:rsidRDefault="00366021" w:rsidP="00DE2787">
            <w:pPr>
              <w:spacing w:after="120" w:line="240" w:lineRule="auto"/>
              <w:jc w:val="right"/>
              <w:rPr>
                <w:rFonts w:ascii="Times New Roman" w:hAnsi="Times New Roman" w:cs="Times New Roman"/>
              </w:rPr>
            </w:pPr>
            <w:r w:rsidRPr="00F65804">
              <w:rPr>
                <w:rFonts w:ascii="Times New Roman" w:hAnsi="Times New Roman" w:cs="Times New Roman"/>
              </w:rPr>
              <w:t>$663,000</w:t>
            </w:r>
          </w:p>
        </w:tc>
      </w:tr>
      <w:tr w:rsidR="00366021" w:rsidRPr="006A06C9" w14:paraId="77398DCD" w14:textId="77777777" w:rsidTr="0013029E">
        <w:trPr>
          <w:trHeight w:val="431"/>
        </w:trPr>
        <w:tc>
          <w:tcPr>
            <w:tcW w:w="3253"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A194F23" w14:textId="77777777" w:rsidR="00366021" w:rsidRPr="00F65804" w:rsidRDefault="00366021" w:rsidP="0013029E">
            <w:pPr>
              <w:spacing w:after="120" w:line="240" w:lineRule="auto"/>
              <w:rPr>
                <w:rFonts w:ascii="Times New Roman" w:hAnsi="Times New Roman" w:cs="Times New Roman"/>
              </w:rPr>
            </w:pPr>
            <w:r w:rsidRPr="00F65804">
              <w:rPr>
                <w:rFonts w:ascii="Times New Roman" w:hAnsi="Times New Roman" w:cs="Times New Roman"/>
              </w:rPr>
              <w:t>Total O&amp;M Cost</w:t>
            </w:r>
          </w:p>
        </w:tc>
        <w:tc>
          <w:tcPr>
            <w:tcW w:w="288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14:paraId="17FDCB42" w14:textId="77777777" w:rsidR="00366021" w:rsidRPr="00F65804" w:rsidRDefault="00366021" w:rsidP="0013029E">
            <w:pPr>
              <w:spacing w:after="120" w:line="240" w:lineRule="auto"/>
              <w:rPr>
                <w:rFonts w:ascii="Times New Roman" w:hAnsi="Times New Roman" w:cs="Times New Roman"/>
              </w:rPr>
            </w:pPr>
          </w:p>
        </w:tc>
        <w:tc>
          <w:tcPr>
            <w:tcW w:w="2314" w:type="dxa"/>
            <w:tcBorders>
              <w:top w:val="single" w:sz="4" w:space="0" w:color="auto"/>
              <w:left w:val="nil"/>
              <w:bottom w:val="single" w:sz="8" w:space="0" w:color="auto"/>
              <w:right w:val="single" w:sz="8" w:space="0" w:color="auto"/>
            </w:tcBorders>
          </w:tcPr>
          <w:p w14:paraId="7E6B58C6" w14:textId="77777777" w:rsidR="00366021" w:rsidRPr="00F65804" w:rsidRDefault="00366021" w:rsidP="00E12A4D">
            <w:pPr>
              <w:spacing w:after="120" w:line="240" w:lineRule="auto"/>
              <w:jc w:val="right"/>
              <w:rPr>
                <w:rFonts w:ascii="Times New Roman" w:hAnsi="Times New Roman" w:cs="Times New Roman"/>
              </w:rPr>
            </w:pPr>
            <w:r w:rsidRPr="00F65804">
              <w:rPr>
                <w:rFonts w:ascii="Times New Roman" w:hAnsi="Times New Roman" w:cs="Times New Roman"/>
              </w:rPr>
              <w:fldChar w:fldCharType="begin"/>
            </w:r>
            <w:r w:rsidRPr="00F65804">
              <w:rPr>
                <w:rFonts w:ascii="Times New Roman" w:hAnsi="Times New Roman" w:cs="Times New Roman"/>
              </w:rPr>
              <w:instrText xml:space="preserve"> =SUM(ABOVE) </w:instrText>
            </w:r>
            <w:r w:rsidRPr="00F65804">
              <w:rPr>
                <w:rFonts w:ascii="Times New Roman" w:hAnsi="Times New Roman" w:cs="Times New Roman"/>
              </w:rPr>
              <w:fldChar w:fldCharType="separate"/>
            </w:r>
            <w:r w:rsidRPr="00F65804">
              <w:rPr>
                <w:rFonts w:ascii="Times New Roman" w:hAnsi="Times New Roman" w:cs="Times New Roman"/>
                <w:noProof/>
              </w:rPr>
              <w:t>$834,160</w:t>
            </w:r>
            <w:r w:rsidRPr="00F65804">
              <w:rPr>
                <w:rFonts w:ascii="Times New Roman" w:hAnsi="Times New Roman" w:cs="Times New Roman"/>
              </w:rPr>
              <w:fldChar w:fldCharType="end"/>
            </w:r>
          </w:p>
        </w:tc>
      </w:tr>
    </w:tbl>
    <w:p w14:paraId="7601E4A2" w14:textId="77777777" w:rsidR="00B06866" w:rsidRPr="00A95C7F" w:rsidRDefault="00B06866" w:rsidP="00A95C7F">
      <w:pPr>
        <w:spacing w:after="120" w:line="240" w:lineRule="auto"/>
        <w:rPr>
          <w:rFonts w:ascii="Times New Roman" w:hAnsi="Times New Roman" w:cs="Times New Roman"/>
          <w:sz w:val="24"/>
          <w:szCs w:val="24"/>
        </w:rPr>
      </w:pPr>
      <w:r w:rsidRPr="00A95C7F">
        <w:rPr>
          <w:rFonts w:ascii="Times New Roman" w:hAnsi="Times New Roman" w:cs="Times New Roman"/>
          <w:sz w:val="24"/>
          <w:szCs w:val="24"/>
        </w:rPr>
        <w:t>*Contractor Costs</w:t>
      </w:r>
    </w:p>
    <w:p w14:paraId="41AD2219" w14:textId="77777777" w:rsidR="008C3EE3" w:rsidRPr="008C3EE3" w:rsidRDefault="00AF5199" w:rsidP="00C42381">
      <w:pPr>
        <w:pStyle w:val="Heading1"/>
        <w:numPr>
          <w:ilvl w:val="0"/>
          <w:numId w:val="8"/>
        </w:numPr>
        <w:spacing w:line="240" w:lineRule="auto"/>
        <w:ind w:left="810" w:hanging="450"/>
        <w:rPr>
          <w:rStyle w:val="Heading2Char"/>
          <w:rFonts w:ascii="Times New Roman" w:hAnsi="Times New Roman" w:cs="Times New Roman"/>
          <w:b/>
          <w:color w:val="auto"/>
          <w:sz w:val="24"/>
          <w:szCs w:val="24"/>
        </w:rPr>
      </w:pPr>
      <w:bookmarkStart w:id="367" w:name="_Toc522700958"/>
      <w:r w:rsidRPr="008C3EE3">
        <w:rPr>
          <w:rStyle w:val="Heading2Char"/>
          <w:rFonts w:ascii="Times New Roman" w:hAnsi="Times New Roman" w:cs="Times New Roman"/>
          <w:b/>
          <w:color w:val="auto"/>
          <w:sz w:val="24"/>
          <w:szCs w:val="24"/>
        </w:rPr>
        <w:t>Explanation for Program Changes or Adjustments</w:t>
      </w:r>
      <w:bookmarkEnd w:id="367"/>
    </w:p>
    <w:p w14:paraId="2A01EDAE" w14:textId="77777777" w:rsidR="00C92B87" w:rsidRPr="002307EA" w:rsidRDefault="00C92B87" w:rsidP="00014C1E">
      <w:pPr>
        <w:widowControl w:val="0"/>
        <w:tabs>
          <w:tab w:val="left" w:pos="0"/>
          <w:tab w:val="left" w:pos="90"/>
          <w:tab w:val="left" w:pos="4347"/>
        </w:tabs>
        <w:spacing w:line="240" w:lineRule="auto"/>
      </w:pPr>
    </w:p>
    <w:p w14:paraId="2707E276" w14:textId="4049FC34" w:rsidR="008C3EE3" w:rsidRPr="002307EA" w:rsidRDefault="008C3EE3" w:rsidP="008F5EA0">
      <w:pPr>
        <w:spacing w:after="0" w:line="240" w:lineRule="auto"/>
        <w:rPr>
          <w:rFonts w:ascii="Times New Roman" w:hAnsi="Times New Roman" w:cs="Times New Roman"/>
          <w:sz w:val="24"/>
          <w:szCs w:val="24"/>
        </w:rPr>
      </w:pPr>
      <w:r w:rsidRPr="002307EA">
        <w:rPr>
          <w:rFonts w:ascii="Times New Roman" w:hAnsi="Times New Roman" w:cs="Times New Roman"/>
          <w:sz w:val="24"/>
          <w:szCs w:val="24"/>
        </w:rPr>
        <w:t xml:space="preserve">This ICR </w:t>
      </w:r>
      <w:r w:rsidR="00014C1E" w:rsidRPr="002307EA">
        <w:rPr>
          <w:rFonts w:ascii="Times New Roman" w:hAnsi="Times New Roman" w:cs="Times New Roman"/>
          <w:sz w:val="24"/>
          <w:szCs w:val="24"/>
        </w:rPr>
        <w:t>request</w:t>
      </w:r>
      <w:r w:rsidR="002307EA" w:rsidRPr="002307EA">
        <w:rPr>
          <w:rFonts w:ascii="Times New Roman" w:hAnsi="Times New Roman" w:cs="Times New Roman"/>
          <w:sz w:val="24"/>
          <w:szCs w:val="24"/>
        </w:rPr>
        <w:t>s</w:t>
      </w:r>
      <w:r w:rsidRPr="002307EA">
        <w:rPr>
          <w:rFonts w:ascii="Times New Roman" w:hAnsi="Times New Roman" w:cs="Times New Roman"/>
          <w:sz w:val="24"/>
          <w:szCs w:val="24"/>
        </w:rPr>
        <w:t xml:space="preserve"> </w:t>
      </w:r>
      <w:r w:rsidR="00014C1E" w:rsidRPr="002307EA">
        <w:rPr>
          <w:rFonts w:ascii="Times New Roman" w:hAnsi="Times New Roman" w:cs="Times New Roman"/>
          <w:sz w:val="24"/>
          <w:szCs w:val="24"/>
        </w:rPr>
        <w:t>a revision to</w:t>
      </w:r>
      <w:r w:rsidRPr="002307EA">
        <w:rPr>
          <w:rFonts w:ascii="Times New Roman" w:hAnsi="Times New Roman" w:cs="Times New Roman"/>
          <w:sz w:val="24"/>
          <w:szCs w:val="24"/>
        </w:rPr>
        <w:t xml:space="preserve"> the </w:t>
      </w:r>
      <w:r w:rsidR="002307EA" w:rsidRPr="00480993">
        <w:rPr>
          <w:rFonts w:ascii="Times New Roman" w:hAnsi="Times New Roman" w:cs="Times New Roman"/>
          <w:sz w:val="24"/>
          <w:szCs w:val="24"/>
        </w:rPr>
        <w:t>Application for Training, OMB No. 0920-0017</w:t>
      </w:r>
      <w:r w:rsidR="002307EA">
        <w:rPr>
          <w:rFonts w:ascii="Times New Roman" w:hAnsi="Times New Roman" w:cs="Times New Roman"/>
          <w:sz w:val="24"/>
          <w:szCs w:val="24"/>
        </w:rPr>
        <w:t xml:space="preserve">, </w:t>
      </w:r>
      <w:r w:rsidR="00014C1E" w:rsidRPr="002307EA">
        <w:rPr>
          <w:rFonts w:ascii="Times New Roman" w:hAnsi="Times New Roman" w:cs="Times New Roman"/>
          <w:sz w:val="24"/>
          <w:szCs w:val="24"/>
        </w:rPr>
        <w:t xml:space="preserve">with </w:t>
      </w:r>
      <w:r w:rsidR="00EF10ED">
        <w:rPr>
          <w:rFonts w:ascii="Times New Roman" w:hAnsi="Times New Roman" w:cs="Times New Roman"/>
          <w:sz w:val="24"/>
          <w:szCs w:val="24"/>
        </w:rPr>
        <w:t>additional questions added</w:t>
      </w:r>
      <w:r w:rsidR="00014C1E" w:rsidRPr="002307EA">
        <w:rPr>
          <w:rFonts w:ascii="Times New Roman" w:hAnsi="Times New Roman" w:cs="Times New Roman"/>
          <w:sz w:val="24"/>
          <w:szCs w:val="24"/>
        </w:rPr>
        <w:t xml:space="preserve"> to the TCEO New Participant Registration and </w:t>
      </w:r>
      <w:r w:rsidR="002307EA">
        <w:rPr>
          <w:rFonts w:ascii="Times New Roman" w:hAnsi="Times New Roman" w:cs="Times New Roman"/>
          <w:sz w:val="24"/>
          <w:szCs w:val="24"/>
        </w:rPr>
        <w:t xml:space="preserve">the </w:t>
      </w:r>
      <w:r w:rsidR="00014C1E" w:rsidRPr="002307EA">
        <w:rPr>
          <w:rFonts w:ascii="Times New Roman" w:hAnsi="Times New Roman" w:cs="Times New Roman"/>
          <w:sz w:val="24"/>
          <w:szCs w:val="24"/>
        </w:rPr>
        <w:t>addition of</w:t>
      </w:r>
      <w:r w:rsidR="002307EA">
        <w:rPr>
          <w:rFonts w:ascii="Times New Roman" w:hAnsi="Times New Roman" w:cs="Times New Roman"/>
          <w:sz w:val="24"/>
          <w:szCs w:val="24"/>
        </w:rPr>
        <w:t xml:space="preserve"> two new evaluation tools: the </w:t>
      </w:r>
      <w:r w:rsidR="00014C1E" w:rsidRPr="002307EA">
        <w:rPr>
          <w:rFonts w:ascii="Times New Roman" w:hAnsi="Times New Roman" w:cs="Times New Roman"/>
          <w:sz w:val="24"/>
          <w:szCs w:val="24"/>
        </w:rPr>
        <w:t>T</w:t>
      </w:r>
      <w:r w:rsidR="002307EA">
        <w:rPr>
          <w:rFonts w:ascii="Times New Roman" w:hAnsi="Times New Roman" w:cs="Times New Roman"/>
          <w:sz w:val="24"/>
          <w:szCs w:val="24"/>
        </w:rPr>
        <w:t>CE</w:t>
      </w:r>
      <w:r w:rsidR="00131B5B">
        <w:rPr>
          <w:rFonts w:ascii="Times New Roman" w:hAnsi="Times New Roman" w:cs="Times New Roman"/>
          <w:sz w:val="24"/>
          <w:szCs w:val="24"/>
        </w:rPr>
        <w:t>O Post-</w:t>
      </w:r>
      <w:r w:rsidR="00B20239">
        <w:rPr>
          <w:rFonts w:ascii="Times New Roman" w:hAnsi="Times New Roman" w:cs="Times New Roman"/>
          <w:sz w:val="24"/>
          <w:szCs w:val="24"/>
        </w:rPr>
        <w:t>C</w:t>
      </w:r>
      <w:r w:rsidR="00131B5B">
        <w:rPr>
          <w:rFonts w:ascii="Times New Roman" w:hAnsi="Times New Roman" w:cs="Times New Roman"/>
          <w:sz w:val="24"/>
          <w:szCs w:val="24"/>
        </w:rPr>
        <w:t>ourse Evaluation</w:t>
      </w:r>
      <w:r w:rsidR="00014C1E" w:rsidRPr="002307EA">
        <w:rPr>
          <w:rFonts w:ascii="Times New Roman" w:hAnsi="Times New Roman" w:cs="Times New Roman"/>
          <w:sz w:val="24"/>
          <w:szCs w:val="24"/>
        </w:rPr>
        <w:t xml:space="preserve"> and </w:t>
      </w:r>
      <w:r w:rsidR="002307EA">
        <w:rPr>
          <w:rFonts w:ascii="Times New Roman" w:hAnsi="Times New Roman" w:cs="Times New Roman"/>
          <w:sz w:val="24"/>
          <w:szCs w:val="24"/>
        </w:rPr>
        <w:t>the</w:t>
      </w:r>
      <w:r w:rsidR="00014C1E" w:rsidRPr="002307EA">
        <w:rPr>
          <w:rFonts w:ascii="Times New Roman" w:hAnsi="Times New Roman" w:cs="Times New Roman"/>
          <w:sz w:val="24"/>
          <w:szCs w:val="24"/>
        </w:rPr>
        <w:t xml:space="preserve"> TCEO Follow-up Evaluation. </w:t>
      </w:r>
      <w:r w:rsidR="009D2448">
        <w:rPr>
          <w:rFonts w:ascii="Times New Roman" w:hAnsi="Times New Roman" w:cs="Times New Roman"/>
          <w:sz w:val="24"/>
          <w:szCs w:val="24"/>
        </w:rPr>
        <w:t>This</w:t>
      </w:r>
      <w:r w:rsidR="005430E8" w:rsidRPr="002307EA">
        <w:rPr>
          <w:rFonts w:ascii="Times New Roman" w:hAnsi="Times New Roman" w:cs="Times New Roman"/>
          <w:sz w:val="24"/>
          <w:szCs w:val="24"/>
        </w:rPr>
        <w:t xml:space="preserve"> will allow CDC to comply with </w:t>
      </w:r>
      <w:r w:rsidR="00906247" w:rsidRPr="002307EA">
        <w:rPr>
          <w:rFonts w:ascii="Times New Roman" w:hAnsi="Times New Roman" w:cs="Times New Roman"/>
          <w:sz w:val="24"/>
          <w:szCs w:val="24"/>
        </w:rPr>
        <w:t>accrediting organizations</w:t>
      </w:r>
      <w:r w:rsidR="000C5DF7">
        <w:rPr>
          <w:rFonts w:ascii="Times New Roman" w:hAnsi="Times New Roman" w:cs="Times New Roman"/>
          <w:sz w:val="24"/>
          <w:szCs w:val="24"/>
        </w:rPr>
        <w:t>’</w:t>
      </w:r>
      <w:r w:rsidR="00BC7EC2" w:rsidRPr="002307EA">
        <w:rPr>
          <w:rFonts w:ascii="Times New Roman" w:hAnsi="Times New Roman" w:cs="Times New Roman"/>
          <w:sz w:val="24"/>
          <w:szCs w:val="24"/>
        </w:rPr>
        <w:t xml:space="preserve"> </w:t>
      </w:r>
      <w:r w:rsidR="000C5DF7" w:rsidRPr="002307EA">
        <w:rPr>
          <w:rFonts w:ascii="Times New Roman" w:hAnsi="Times New Roman" w:cs="Times New Roman"/>
          <w:sz w:val="24"/>
          <w:szCs w:val="24"/>
        </w:rPr>
        <w:t xml:space="preserve">mandatory </w:t>
      </w:r>
      <w:r w:rsidR="005430E8" w:rsidRPr="002307EA">
        <w:rPr>
          <w:rFonts w:ascii="Times New Roman" w:hAnsi="Times New Roman" w:cs="Times New Roman"/>
          <w:sz w:val="24"/>
          <w:szCs w:val="24"/>
        </w:rPr>
        <w:t>standards.</w:t>
      </w:r>
      <w:r w:rsidR="00510D11" w:rsidRPr="002307EA">
        <w:rPr>
          <w:rFonts w:ascii="Times New Roman" w:hAnsi="Times New Roman" w:cs="Times New Roman"/>
          <w:sz w:val="24"/>
          <w:szCs w:val="24"/>
        </w:rPr>
        <w:t xml:space="preserve"> Addition of the two new </w:t>
      </w:r>
      <w:r w:rsidR="00EF10ED">
        <w:rPr>
          <w:rFonts w:ascii="Times New Roman" w:hAnsi="Times New Roman" w:cs="Times New Roman"/>
          <w:sz w:val="24"/>
          <w:szCs w:val="24"/>
        </w:rPr>
        <w:t>e</w:t>
      </w:r>
      <w:r w:rsidR="00510D11" w:rsidRPr="002307EA">
        <w:rPr>
          <w:rFonts w:ascii="Times New Roman" w:hAnsi="Times New Roman" w:cs="Times New Roman"/>
          <w:sz w:val="24"/>
          <w:szCs w:val="24"/>
        </w:rPr>
        <w:t>valuation tool</w:t>
      </w:r>
      <w:r w:rsidR="002307EA">
        <w:rPr>
          <w:rFonts w:ascii="Times New Roman" w:hAnsi="Times New Roman" w:cs="Times New Roman"/>
          <w:sz w:val="24"/>
          <w:szCs w:val="24"/>
        </w:rPr>
        <w:t>s</w:t>
      </w:r>
      <w:r w:rsidR="00510D11" w:rsidRPr="002307EA">
        <w:rPr>
          <w:rFonts w:ascii="Times New Roman" w:hAnsi="Times New Roman" w:cs="Times New Roman"/>
          <w:sz w:val="24"/>
          <w:szCs w:val="24"/>
        </w:rPr>
        <w:t xml:space="preserve"> will also provide CDC with information for</w:t>
      </w:r>
      <w:r w:rsidR="00EF10ED">
        <w:rPr>
          <w:rFonts w:ascii="Times New Roman" w:hAnsi="Times New Roman" w:cs="Times New Roman"/>
          <w:sz w:val="24"/>
          <w:szCs w:val="24"/>
        </w:rPr>
        <w:t xml:space="preserve"> improving</w:t>
      </w:r>
      <w:r w:rsidR="00510D11" w:rsidRPr="002307EA">
        <w:rPr>
          <w:rFonts w:ascii="Times New Roman" w:hAnsi="Times New Roman" w:cs="Times New Roman"/>
          <w:sz w:val="24"/>
          <w:szCs w:val="24"/>
        </w:rPr>
        <w:t xml:space="preserve"> educational activities </w:t>
      </w:r>
      <w:r w:rsidR="00B20239">
        <w:rPr>
          <w:rFonts w:ascii="Times New Roman" w:hAnsi="Times New Roman" w:cs="Times New Roman"/>
          <w:sz w:val="24"/>
          <w:szCs w:val="24"/>
        </w:rPr>
        <w:t xml:space="preserve">that are offered for </w:t>
      </w:r>
      <w:r w:rsidR="00BC7EC2" w:rsidRPr="002307EA">
        <w:rPr>
          <w:rFonts w:ascii="Times New Roman" w:hAnsi="Times New Roman" w:cs="Times New Roman"/>
          <w:sz w:val="24"/>
          <w:szCs w:val="24"/>
        </w:rPr>
        <w:t>accreditation</w:t>
      </w:r>
      <w:r w:rsidR="00540B1D">
        <w:rPr>
          <w:rFonts w:ascii="Times New Roman" w:hAnsi="Times New Roman" w:cs="Times New Roman"/>
          <w:sz w:val="24"/>
          <w:szCs w:val="24"/>
        </w:rPr>
        <w:t>, resulting in a more highly skilled public health and healthcare workforce</w:t>
      </w:r>
      <w:r w:rsidR="00510D11" w:rsidRPr="002307EA">
        <w:rPr>
          <w:rFonts w:ascii="Times New Roman" w:hAnsi="Times New Roman" w:cs="Times New Roman"/>
          <w:sz w:val="24"/>
          <w:szCs w:val="24"/>
        </w:rPr>
        <w:t>.</w:t>
      </w:r>
      <w:r w:rsidR="002307EA">
        <w:rPr>
          <w:rFonts w:ascii="Times New Roman" w:hAnsi="Times New Roman" w:cs="Times New Roman"/>
          <w:sz w:val="24"/>
          <w:szCs w:val="24"/>
        </w:rPr>
        <w:t xml:space="preserve"> </w:t>
      </w:r>
      <w:r w:rsidR="009D2448">
        <w:rPr>
          <w:rFonts w:ascii="Times New Roman" w:hAnsi="Times New Roman" w:cs="Times New Roman"/>
          <w:sz w:val="24"/>
          <w:szCs w:val="24"/>
        </w:rPr>
        <w:t>T</w:t>
      </w:r>
      <w:r w:rsidR="002307EA">
        <w:rPr>
          <w:rFonts w:ascii="Times New Roman" w:hAnsi="Times New Roman" w:cs="Times New Roman"/>
          <w:sz w:val="24"/>
          <w:szCs w:val="24"/>
        </w:rPr>
        <w:t xml:space="preserve">he two new evaluation tools are required by the accrediting organizations to </w:t>
      </w:r>
      <w:r w:rsidR="00A66180">
        <w:rPr>
          <w:rFonts w:ascii="Times New Roman" w:hAnsi="Times New Roman" w:cs="Times New Roman"/>
          <w:sz w:val="24"/>
          <w:szCs w:val="24"/>
        </w:rPr>
        <w:t>ensure compliance with mandatory accreditation standards.</w:t>
      </w:r>
      <w:r w:rsidR="00792659">
        <w:rPr>
          <w:rFonts w:ascii="Times New Roman" w:hAnsi="Times New Roman" w:cs="Times New Roman"/>
          <w:sz w:val="24"/>
          <w:szCs w:val="24"/>
        </w:rPr>
        <w:t xml:space="preserve"> These changes result in a burden increase of 68,667 hours. </w:t>
      </w:r>
    </w:p>
    <w:p w14:paraId="74878FD2" w14:textId="77777777" w:rsidR="003A5D5E" w:rsidRDefault="003A5D5E" w:rsidP="008F5EA0">
      <w:pPr>
        <w:spacing w:after="0" w:line="240" w:lineRule="auto"/>
        <w:rPr>
          <w:rFonts w:ascii="Times New Roman" w:hAnsi="Times New Roman" w:cs="Times New Roman"/>
          <w:sz w:val="24"/>
          <w:szCs w:val="24"/>
        </w:rPr>
      </w:pPr>
    </w:p>
    <w:p w14:paraId="582DB1B0" w14:textId="77777777" w:rsidR="003A5D5E" w:rsidRDefault="003914CF" w:rsidP="008F5EA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respondent types and burden hours included for each data collection included in this ICR are </w:t>
      </w:r>
      <w:r w:rsidR="00A66180">
        <w:rPr>
          <w:rFonts w:ascii="Times New Roman" w:hAnsi="Times New Roman" w:cs="Times New Roman"/>
          <w:sz w:val="24"/>
          <w:szCs w:val="24"/>
        </w:rPr>
        <w:t>nonfederal CDC partner funded organization</w:t>
      </w:r>
      <w:r w:rsidR="00121D23">
        <w:rPr>
          <w:rFonts w:ascii="Times New Roman" w:hAnsi="Times New Roman" w:cs="Times New Roman"/>
          <w:sz w:val="24"/>
          <w:szCs w:val="24"/>
        </w:rPr>
        <w:t>s</w:t>
      </w:r>
      <w:r w:rsidR="00A66180">
        <w:rPr>
          <w:rFonts w:ascii="Times New Roman" w:hAnsi="Times New Roman" w:cs="Times New Roman"/>
          <w:sz w:val="24"/>
          <w:szCs w:val="24"/>
        </w:rPr>
        <w:t xml:space="preserve">’ </w:t>
      </w:r>
      <w:r w:rsidR="00242D95">
        <w:rPr>
          <w:rFonts w:ascii="Times New Roman" w:hAnsi="Times New Roman" w:cs="Times New Roman"/>
          <w:sz w:val="24"/>
          <w:szCs w:val="24"/>
        </w:rPr>
        <w:t>educational developers</w:t>
      </w:r>
      <w:r w:rsidR="00A66180">
        <w:rPr>
          <w:rFonts w:ascii="Times New Roman" w:hAnsi="Times New Roman" w:cs="Times New Roman"/>
          <w:sz w:val="24"/>
          <w:szCs w:val="24"/>
        </w:rPr>
        <w:t xml:space="preserve"> </w:t>
      </w:r>
      <w:r w:rsidR="0064561F">
        <w:rPr>
          <w:rFonts w:ascii="Times New Roman" w:hAnsi="Times New Roman" w:cs="Times New Roman"/>
          <w:sz w:val="24"/>
          <w:szCs w:val="24"/>
        </w:rPr>
        <w:t>and nonfederal</w:t>
      </w:r>
      <w:r>
        <w:rPr>
          <w:rFonts w:ascii="Times New Roman" w:hAnsi="Times New Roman" w:cs="Times New Roman"/>
          <w:sz w:val="24"/>
          <w:szCs w:val="24"/>
        </w:rPr>
        <w:t xml:space="preserve"> public health and healthcare professionals</w:t>
      </w:r>
      <w:r w:rsidR="009E7679">
        <w:rPr>
          <w:rFonts w:ascii="Times New Roman" w:hAnsi="Times New Roman" w:cs="Times New Roman"/>
          <w:sz w:val="24"/>
          <w:szCs w:val="24"/>
        </w:rPr>
        <w:t xml:space="preserve"> (learners)</w:t>
      </w:r>
      <w:r w:rsidR="00A66180">
        <w:rPr>
          <w:rFonts w:ascii="Times New Roman" w:hAnsi="Times New Roman" w:cs="Times New Roman"/>
          <w:sz w:val="24"/>
          <w:szCs w:val="24"/>
        </w:rPr>
        <w:t>.</w:t>
      </w:r>
      <w:r>
        <w:rPr>
          <w:rFonts w:ascii="Times New Roman" w:hAnsi="Times New Roman" w:cs="Times New Roman"/>
          <w:sz w:val="24"/>
          <w:szCs w:val="24"/>
        </w:rPr>
        <w:t xml:space="preserve"> </w:t>
      </w:r>
    </w:p>
    <w:p w14:paraId="6C069DC7" w14:textId="77777777" w:rsidR="003A5D5E" w:rsidRDefault="003A5D5E" w:rsidP="008F5EA0">
      <w:pPr>
        <w:spacing w:after="0" w:line="240" w:lineRule="auto"/>
        <w:rPr>
          <w:rFonts w:ascii="Times New Roman" w:hAnsi="Times New Roman" w:cs="Times New Roman"/>
          <w:sz w:val="24"/>
          <w:szCs w:val="24"/>
        </w:rPr>
      </w:pPr>
    </w:p>
    <w:p w14:paraId="54DFCA43" w14:textId="77777777" w:rsidR="00AF5199" w:rsidRPr="00421D74" w:rsidRDefault="00AF5199" w:rsidP="00C42381">
      <w:pPr>
        <w:pStyle w:val="Heading1"/>
        <w:numPr>
          <w:ilvl w:val="0"/>
          <w:numId w:val="8"/>
        </w:numPr>
        <w:spacing w:line="240" w:lineRule="auto"/>
        <w:ind w:left="810" w:hanging="450"/>
        <w:rPr>
          <w:rStyle w:val="Heading2Char"/>
          <w:rFonts w:ascii="Times New Roman" w:hAnsi="Times New Roman" w:cs="Times New Roman"/>
          <w:b/>
          <w:color w:val="auto"/>
          <w:sz w:val="24"/>
          <w:szCs w:val="24"/>
        </w:rPr>
      </w:pPr>
      <w:bookmarkStart w:id="368" w:name="_Toc431909938"/>
      <w:bookmarkStart w:id="369" w:name="_Toc431911497"/>
      <w:bookmarkStart w:id="370" w:name="_Toc431911632"/>
      <w:bookmarkStart w:id="371" w:name="_Toc431906506"/>
      <w:bookmarkStart w:id="372" w:name="_Toc431909939"/>
      <w:bookmarkStart w:id="373" w:name="_Toc431911498"/>
      <w:bookmarkStart w:id="374" w:name="_Toc431911633"/>
      <w:bookmarkStart w:id="375" w:name="_Toc522700959"/>
      <w:bookmarkEnd w:id="368"/>
      <w:bookmarkEnd w:id="369"/>
      <w:bookmarkEnd w:id="370"/>
      <w:bookmarkEnd w:id="371"/>
      <w:bookmarkEnd w:id="372"/>
      <w:bookmarkEnd w:id="373"/>
      <w:bookmarkEnd w:id="374"/>
      <w:r w:rsidRPr="00CF6E10">
        <w:rPr>
          <w:rStyle w:val="Heading2Char"/>
          <w:rFonts w:ascii="Times New Roman" w:hAnsi="Times New Roman" w:cs="Times New Roman"/>
          <w:b/>
          <w:color w:val="auto"/>
          <w:sz w:val="24"/>
          <w:szCs w:val="24"/>
        </w:rPr>
        <w:t>Plans for Tabulation and Publication and Project Time Schedule</w:t>
      </w:r>
      <w:bookmarkEnd w:id="375"/>
    </w:p>
    <w:p w14:paraId="285F46A1" w14:textId="77777777" w:rsidR="00656427" w:rsidRDefault="00656427">
      <w:pPr>
        <w:spacing w:after="240" w:line="240" w:lineRule="auto"/>
        <w:rPr>
          <w:rFonts w:ascii="Times New Roman" w:hAnsi="Times New Roman" w:cs="Times New Roman"/>
          <w:sz w:val="24"/>
          <w:szCs w:val="24"/>
        </w:rPr>
      </w:pPr>
    </w:p>
    <w:p w14:paraId="6A25639B" w14:textId="7F7EB6CC" w:rsidR="00722792" w:rsidRDefault="00507864" w:rsidP="00AD082F">
      <w:pPr>
        <w:pStyle w:val="CommentText"/>
        <w:rPr>
          <w:sz w:val="24"/>
          <w:szCs w:val="24"/>
        </w:rPr>
      </w:pPr>
      <w:r>
        <w:rPr>
          <w:sz w:val="24"/>
          <w:szCs w:val="24"/>
        </w:rPr>
        <w:t xml:space="preserve"> Internal reports will be generated using available TCEO data </w:t>
      </w:r>
      <w:r w:rsidR="00722792">
        <w:rPr>
          <w:sz w:val="24"/>
          <w:szCs w:val="24"/>
        </w:rPr>
        <w:t xml:space="preserve">elements to provide trends and program data for DSEPD leadership and </w:t>
      </w:r>
      <w:r w:rsidR="00A66180">
        <w:rPr>
          <w:sz w:val="24"/>
          <w:szCs w:val="24"/>
        </w:rPr>
        <w:t xml:space="preserve">the </w:t>
      </w:r>
      <w:r w:rsidR="00906247">
        <w:rPr>
          <w:sz w:val="24"/>
          <w:szCs w:val="24"/>
        </w:rPr>
        <w:t>accrediting organizations</w:t>
      </w:r>
      <w:r w:rsidR="00722792">
        <w:rPr>
          <w:sz w:val="24"/>
          <w:szCs w:val="24"/>
        </w:rPr>
        <w:t>. TCEO staff collect the information and compile them in program reports document</w:t>
      </w:r>
      <w:r w:rsidR="00A66180">
        <w:rPr>
          <w:sz w:val="24"/>
          <w:szCs w:val="24"/>
        </w:rPr>
        <w:t>ing</w:t>
      </w:r>
      <w:r w:rsidR="00722792">
        <w:rPr>
          <w:sz w:val="24"/>
          <w:szCs w:val="24"/>
        </w:rPr>
        <w:t xml:space="preserve"> </w:t>
      </w:r>
      <w:r w:rsidR="005A770A">
        <w:rPr>
          <w:sz w:val="24"/>
          <w:szCs w:val="24"/>
        </w:rPr>
        <w:t>accreditation</w:t>
      </w:r>
      <w:r w:rsidR="00A66180">
        <w:rPr>
          <w:sz w:val="24"/>
          <w:szCs w:val="24"/>
        </w:rPr>
        <w:t xml:space="preserve"> progress, </w:t>
      </w:r>
      <w:r w:rsidR="00722792">
        <w:rPr>
          <w:sz w:val="24"/>
          <w:szCs w:val="24"/>
        </w:rPr>
        <w:t xml:space="preserve">continuing education </w:t>
      </w:r>
      <w:r w:rsidR="00A66180">
        <w:rPr>
          <w:sz w:val="24"/>
          <w:szCs w:val="24"/>
        </w:rPr>
        <w:t>processes</w:t>
      </w:r>
      <w:r w:rsidR="00A2703E">
        <w:rPr>
          <w:sz w:val="24"/>
          <w:szCs w:val="24"/>
        </w:rPr>
        <w:t>,</w:t>
      </w:r>
      <w:r w:rsidR="00A66180">
        <w:rPr>
          <w:sz w:val="24"/>
          <w:szCs w:val="24"/>
        </w:rPr>
        <w:t xml:space="preserve"> and</w:t>
      </w:r>
      <w:r w:rsidR="00722792">
        <w:rPr>
          <w:sz w:val="24"/>
          <w:szCs w:val="24"/>
        </w:rPr>
        <w:t xml:space="preserve"> performance</w:t>
      </w:r>
      <w:r w:rsidR="00A66180">
        <w:rPr>
          <w:sz w:val="24"/>
          <w:szCs w:val="24"/>
        </w:rPr>
        <w:t>. O</w:t>
      </w:r>
      <w:r w:rsidR="00722792">
        <w:rPr>
          <w:sz w:val="24"/>
          <w:szCs w:val="24"/>
        </w:rPr>
        <w:t xml:space="preserve">nly aggregate data are reported. </w:t>
      </w:r>
      <w:r w:rsidR="00AD082F" w:rsidRPr="00AD082F">
        <w:rPr>
          <w:sz w:val="24"/>
          <w:szCs w:val="24"/>
        </w:rPr>
        <w:t xml:space="preserve">Reports to accrediting bodies occur once a year for some and monthly for others. Reports to developers for aggregate data on their courses and evaluation data to inform course improvement </w:t>
      </w:r>
      <w:r w:rsidR="00670F4B" w:rsidRPr="00AD082F">
        <w:rPr>
          <w:sz w:val="24"/>
          <w:szCs w:val="24"/>
        </w:rPr>
        <w:t>occurs quarterly</w:t>
      </w:r>
      <w:r w:rsidR="00AD082F" w:rsidRPr="00AD082F">
        <w:rPr>
          <w:sz w:val="24"/>
          <w:szCs w:val="24"/>
        </w:rPr>
        <w:t>.</w:t>
      </w:r>
      <w:r w:rsidR="00AD082F">
        <w:rPr>
          <w:sz w:val="24"/>
          <w:szCs w:val="24"/>
        </w:rPr>
        <w:t xml:space="preserve"> </w:t>
      </w:r>
      <w:r w:rsidR="00722792">
        <w:rPr>
          <w:sz w:val="24"/>
          <w:szCs w:val="24"/>
        </w:rPr>
        <w:t xml:space="preserve">Programmatic data from </w:t>
      </w:r>
      <w:r w:rsidR="00BC7EC2">
        <w:rPr>
          <w:sz w:val="24"/>
          <w:szCs w:val="24"/>
        </w:rPr>
        <w:t xml:space="preserve">TCEO </w:t>
      </w:r>
      <w:r w:rsidR="00722792">
        <w:rPr>
          <w:sz w:val="24"/>
          <w:szCs w:val="24"/>
        </w:rPr>
        <w:t>repor</w:t>
      </w:r>
      <w:r w:rsidR="00BC7EC2">
        <w:rPr>
          <w:sz w:val="24"/>
          <w:szCs w:val="24"/>
        </w:rPr>
        <w:t>ts</w:t>
      </w:r>
      <w:r w:rsidR="00722792">
        <w:rPr>
          <w:sz w:val="24"/>
          <w:szCs w:val="24"/>
        </w:rPr>
        <w:t xml:space="preserve"> include trends and program d</w:t>
      </w:r>
      <w:r w:rsidR="00906247">
        <w:rPr>
          <w:sz w:val="24"/>
          <w:szCs w:val="24"/>
        </w:rPr>
        <w:t>ata</w:t>
      </w:r>
      <w:r w:rsidR="00AF04E2">
        <w:rPr>
          <w:sz w:val="24"/>
          <w:szCs w:val="24"/>
        </w:rPr>
        <w:t>,</w:t>
      </w:r>
      <w:r w:rsidR="00906247">
        <w:rPr>
          <w:sz w:val="24"/>
          <w:szCs w:val="24"/>
        </w:rPr>
        <w:t xml:space="preserve"> such as the number of educational activities</w:t>
      </w:r>
      <w:r w:rsidR="00A2703E">
        <w:rPr>
          <w:sz w:val="24"/>
          <w:szCs w:val="24"/>
        </w:rPr>
        <w:t xml:space="preserve"> submitted by educational developers</w:t>
      </w:r>
      <w:r w:rsidR="00906247">
        <w:rPr>
          <w:sz w:val="24"/>
          <w:szCs w:val="24"/>
        </w:rPr>
        <w:t xml:space="preserve"> to receive </w:t>
      </w:r>
      <w:r w:rsidR="005A770A">
        <w:rPr>
          <w:sz w:val="24"/>
          <w:szCs w:val="24"/>
        </w:rPr>
        <w:t>accreditation</w:t>
      </w:r>
      <w:r w:rsidR="00906247">
        <w:rPr>
          <w:sz w:val="24"/>
          <w:szCs w:val="24"/>
        </w:rPr>
        <w:t xml:space="preserve">, </w:t>
      </w:r>
      <w:r w:rsidR="00BC7EC2">
        <w:rPr>
          <w:sz w:val="24"/>
          <w:szCs w:val="24"/>
        </w:rPr>
        <w:t>number</w:t>
      </w:r>
      <w:r w:rsidR="00722792">
        <w:rPr>
          <w:sz w:val="24"/>
          <w:szCs w:val="24"/>
        </w:rPr>
        <w:t xml:space="preserve"> of</w:t>
      </w:r>
      <w:r w:rsidR="00875996">
        <w:rPr>
          <w:sz w:val="24"/>
          <w:szCs w:val="24"/>
        </w:rPr>
        <w:t xml:space="preserve"> </w:t>
      </w:r>
      <w:r w:rsidR="0096614D">
        <w:rPr>
          <w:sz w:val="24"/>
          <w:szCs w:val="24"/>
        </w:rPr>
        <w:t>learners</w:t>
      </w:r>
      <w:r w:rsidR="009E7679">
        <w:rPr>
          <w:sz w:val="24"/>
          <w:szCs w:val="24"/>
        </w:rPr>
        <w:t xml:space="preserve"> </w:t>
      </w:r>
      <w:r w:rsidR="00875996">
        <w:rPr>
          <w:sz w:val="24"/>
          <w:szCs w:val="24"/>
        </w:rPr>
        <w:t xml:space="preserve">seeking continuing </w:t>
      </w:r>
      <w:r w:rsidR="00A66180">
        <w:rPr>
          <w:sz w:val="24"/>
          <w:szCs w:val="24"/>
        </w:rPr>
        <w:t xml:space="preserve">education </w:t>
      </w:r>
      <w:r w:rsidR="00875996">
        <w:rPr>
          <w:sz w:val="24"/>
          <w:szCs w:val="24"/>
        </w:rPr>
        <w:t xml:space="preserve">who register using the TCEO </w:t>
      </w:r>
      <w:r w:rsidR="00A66180">
        <w:rPr>
          <w:sz w:val="24"/>
          <w:szCs w:val="24"/>
        </w:rPr>
        <w:t xml:space="preserve">New Participant Registration and </w:t>
      </w:r>
      <w:r w:rsidR="00875996">
        <w:rPr>
          <w:sz w:val="24"/>
          <w:szCs w:val="24"/>
        </w:rPr>
        <w:t>tak</w:t>
      </w:r>
      <w:r w:rsidR="00906247">
        <w:rPr>
          <w:sz w:val="24"/>
          <w:szCs w:val="24"/>
        </w:rPr>
        <w:t>e</w:t>
      </w:r>
      <w:r w:rsidR="00875996">
        <w:rPr>
          <w:sz w:val="24"/>
          <w:szCs w:val="24"/>
        </w:rPr>
        <w:t xml:space="preserve"> the TCEO Post-</w:t>
      </w:r>
      <w:r w:rsidR="00A2703E">
        <w:rPr>
          <w:sz w:val="24"/>
          <w:szCs w:val="24"/>
        </w:rPr>
        <w:t>C</w:t>
      </w:r>
      <w:r w:rsidR="00875996">
        <w:rPr>
          <w:sz w:val="24"/>
          <w:szCs w:val="24"/>
        </w:rPr>
        <w:t xml:space="preserve">ourse </w:t>
      </w:r>
      <w:r w:rsidR="00131B5B">
        <w:rPr>
          <w:sz w:val="24"/>
          <w:szCs w:val="24"/>
        </w:rPr>
        <w:t>E</w:t>
      </w:r>
      <w:r w:rsidR="00875996">
        <w:rPr>
          <w:sz w:val="24"/>
          <w:szCs w:val="24"/>
        </w:rPr>
        <w:t>valuation</w:t>
      </w:r>
      <w:r w:rsidR="00A2703E">
        <w:rPr>
          <w:sz w:val="24"/>
          <w:szCs w:val="24"/>
        </w:rPr>
        <w:t>,</w:t>
      </w:r>
      <w:r w:rsidR="00875996">
        <w:rPr>
          <w:sz w:val="24"/>
          <w:szCs w:val="24"/>
        </w:rPr>
        <w:t xml:space="preserve"> </w:t>
      </w:r>
      <w:r w:rsidR="00A66180">
        <w:rPr>
          <w:sz w:val="24"/>
          <w:szCs w:val="24"/>
        </w:rPr>
        <w:t>and</w:t>
      </w:r>
      <w:r w:rsidR="00875996">
        <w:rPr>
          <w:sz w:val="24"/>
          <w:szCs w:val="24"/>
        </w:rPr>
        <w:t xml:space="preserve"> number of </w:t>
      </w:r>
      <w:r w:rsidR="0096614D">
        <w:rPr>
          <w:sz w:val="24"/>
          <w:szCs w:val="24"/>
        </w:rPr>
        <w:t>learners</w:t>
      </w:r>
      <w:r w:rsidR="009E7679">
        <w:rPr>
          <w:sz w:val="24"/>
          <w:szCs w:val="24"/>
        </w:rPr>
        <w:t xml:space="preserve"> </w:t>
      </w:r>
      <w:r w:rsidR="00875996">
        <w:rPr>
          <w:sz w:val="24"/>
          <w:szCs w:val="24"/>
        </w:rPr>
        <w:t xml:space="preserve">who </w:t>
      </w:r>
      <w:r w:rsidR="00A66180">
        <w:rPr>
          <w:sz w:val="24"/>
          <w:szCs w:val="24"/>
        </w:rPr>
        <w:t>earned</w:t>
      </w:r>
      <w:r w:rsidR="00875996">
        <w:rPr>
          <w:sz w:val="24"/>
          <w:szCs w:val="24"/>
        </w:rPr>
        <w:t xml:space="preserve"> continuing education who take the</w:t>
      </w:r>
      <w:r w:rsidR="00906247">
        <w:rPr>
          <w:sz w:val="24"/>
          <w:szCs w:val="24"/>
        </w:rPr>
        <w:t xml:space="preserve"> </w:t>
      </w:r>
      <w:r w:rsidR="00131B5B">
        <w:rPr>
          <w:sz w:val="24"/>
          <w:szCs w:val="24"/>
        </w:rPr>
        <w:t>TCEO Follow-up Evaluation.</w:t>
      </w:r>
    </w:p>
    <w:p w14:paraId="376B1856" w14:textId="77777777" w:rsidR="00FD38D9" w:rsidRDefault="00FD38D9" w:rsidP="00AD082F">
      <w:pPr>
        <w:pStyle w:val="CommentText"/>
        <w:rPr>
          <w:sz w:val="24"/>
          <w:szCs w:val="24"/>
        </w:rPr>
      </w:pPr>
    </w:p>
    <w:p w14:paraId="22916BB8" w14:textId="77777777" w:rsidR="009060F2" w:rsidRPr="0049239B" w:rsidRDefault="00987B77" w:rsidP="0049239B">
      <w:pPr>
        <w:spacing w:after="0" w:line="240" w:lineRule="auto"/>
        <w:rPr>
          <w:rFonts w:ascii="Times New Roman" w:hAnsi="Times New Roman" w:cs="Times New Roman"/>
          <w:sz w:val="24"/>
          <w:szCs w:val="24"/>
        </w:rPr>
      </w:pPr>
      <w:r w:rsidRPr="0049239B">
        <w:rPr>
          <w:rFonts w:ascii="Times New Roman" w:hAnsi="Times New Roman" w:cs="Times New Roman"/>
          <w:sz w:val="24"/>
          <w:szCs w:val="24"/>
        </w:rPr>
        <w:t xml:space="preserve">Timeline of </w:t>
      </w:r>
      <w:r w:rsidR="009026E7" w:rsidRPr="0049239B">
        <w:rPr>
          <w:rFonts w:ascii="Times New Roman" w:hAnsi="Times New Roman" w:cs="Times New Roman"/>
          <w:sz w:val="24"/>
          <w:szCs w:val="24"/>
        </w:rPr>
        <w:t>K</w:t>
      </w:r>
      <w:r w:rsidRPr="0049239B">
        <w:rPr>
          <w:rFonts w:ascii="Times New Roman" w:hAnsi="Times New Roman" w:cs="Times New Roman"/>
          <w:sz w:val="24"/>
          <w:szCs w:val="24"/>
        </w:rPr>
        <w:t xml:space="preserve">ey </w:t>
      </w:r>
      <w:r w:rsidR="009026E7" w:rsidRPr="0049239B">
        <w:rPr>
          <w:rFonts w:ascii="Times New Roman" w:hAnsi="Times New Roman" w:cs="Times New Roman"/>
          <w:sz w:val="24"/>
          <w:szCs w:val="24"/>
        </w:rPr>
        <w:t>Events F</w:t>
      </w:r>
      <w:r w:rsidRPr="0049239B">
        <w:rPr>
          <w:rFonts w:ascii="Times New Roman" w:hAnsi="Times New Roman" w:cs="Times New Roman"/>
          <w:sz w:val="24"/>
          <w:szCs w:val="24"/>
        </w:rPr>
        <w:t xml:space="preserve">ollowing </w:t>
      </w:r>
      <w:r w:rsidR="009026E7" w:rsidRPr="0049239B">
        <w:rPr>
          <w:rFonts w:ascii="Times New Roman" w:hAnsi="Times New Roman" w:cs="Times New Roman"/>
          <w:sz w:val="24"/>
          <w:szCs w:val="24"/>
        </w:rPr>
        <w:t>R</w:t>
      </w:r>
      <w:r w:rsidRPr="0049239B">
        <w:rPr>
          <w:rFonts w:ascii="Times New Roman" w:hAnsi="Times New Roman" w:cs="Times New Roman"/>
          <w:sz w:val="24"/>
          <w:szCs w:val="24"/>
        </w:rPr>
        <w:t xml:space="preserve">eceipt of OMB Clearance </w:t>
      </w:r>
      <w:r w:rsidR="00067DA2" w:rsidRPr="0049239B">
        <w:rPr>
          <w:rFonts w:ascii="Times New Roman" w:hAnsi="Times New Roman" w:cs="Times New Roman"/>
          <w:sz w:val="24"/>
          <w:szCs w:val="24"/>
        </w:rPr>
        <w:t xml:space="preserve">for </w:t>
      </w:r>
      <w:r w:rsidRPr="0049239B">
        <w:rPr>
          <w:rFonts w:ascii="Times New Roman" w:hAnsi="Times New Roman" w:cs="Times New Roman"/>
          <w:sz w:val="24"/>
          <w:szCs w:val="24"/>
        </w:rPr>
        <w:t>Revision Request</w:t>
      </w:r>
    </w:p>
    <w:tbl>
      <w:tblPr>
        <w:tblStyle w:val="TableGrid"/>
        <w:tblW w:w="0" w:type="auto"/>
        <w:tblLook w:val="00A0" w:firstRow="1" w:lastRow="0" w:firstColumn="1" w:lastColumn="0" w:noHBand="0" w:noVBand="0"/>
      </w:tblPr>
      <w:tblGrid>
        <w:gridCol w:w="3877"/>
        <w:gridCol w:w="5969"/>
      </w:tblGrid>
      <w:tr w:rsidR="0091456B" w:rsidRPr="000617B1" w14:paraId="0688C3AB" w14:textId="77777777">
        <w:tc>
          <w:tcPr>
            <w:tcW w:w="0" w:type="auto"/>
          </w:tcPr>
          <w:p w14:paraId="3FDE2878" w14:textId="77777777" w:rsidR="00600B8A" w:rsidRPr="009026E7" w:rsidRDefault="008B2499">
            <w:pPr>
              <w:rPr>
                <w:rFonts w:ascii="Times New Roman" w:hAnsi="Times New Roman" w:cs="Times New Roman"/>
                <w:b/>
                <w:bCs/>
                <w:sz w:val="24"/>
                <w:szCs w:val="24"/>
              </w:rPr>
            </w:pPr>
            <w:r>
              <w:rPr>
                <w:rFonts w:ascii="Times New Roman" w:hAnsi="Times New Roman" w:cs="Times New Roman"/>
                <w:b/>
                <w:bCs/>
                <w:sz w:val="24"/>
                <w:szCs w:val="24"/>
              </w:rPr>
              <w:t>Activity</w:t>
            </w:r>
          </w:p>
        </w:tc>
        <w:tc>
          <w:tcPr>
            <w:tcW w:w="0" w:type="auto"/>
          </w:tcPr>
          <w:p w14:paraId="48C34707" w14:textId="77777777" w:rsidR="00600B8A" w:rsidRPr="009026E7" w:rsidRDefault="00600B8A">
            <w:pPr>
              <w:rPr>
                <w:rFonts w:ascii="Times New Roman" w:hAnsi="Times New Roman" w:cs="Times New Roman"/>
                <w:b/>
                <w:bCs/>
                <w:sz w:val="24"/>
                <w:szCs w:val="24"/>
              </w:rPr>
            </w:pPr>
            <w:r w:rsidRPr="009026E7">
              <w:rPr>
                <w:rFonts w:ascii="Times New Roman" w:hAnsi="Times New Roman" w:cs="Times New Roman"/>
                <w:b/>
                <w:bCs/>
                <w:sz w:val="24"/>
                <w:szCs w:val="24"/>
              </w:rPr>
              <w:t>Time</w:t>
            </w:r>
            <w:r w:rsidR="008B2499">
              <w:rPr>
                <w:rFonts w:ascii="Times New Roman" w:hAnsi="Times New Roman" w:cs="Times New Roman"/>
                <w:b/>
                <w:bCs/>
                <w:sz w:val="24"/>
                <w:szCs w:val="24"/>
              </w:rPr>
              <w:t xml:space="preserve"> Schedule</w:t>
            </w:r>
          </w:p>
        </w:tc>
      </w:tr>
      <w:tr w:rsidR="00906247" w:rsidRPr="000617B1" w14:paraId="31EFB3FE" w14:textId="77777777" w:rsidTr="0091456B">
        <w:tc>
          <w:tcPr>
            <w:tcW w:w="0" w:type="auto"/>
            <w:tcBorders>
              <w:bottom w:val="single" w:sz="4" w:space="0" w:color="auto"/>
            </w:tcBorders>
            <w:shd w:val="clear" w:color="auto" w:fill="FFFFFF" w:themeFill="background1"/>
          </w:tcPr>
          <w:p w14:paraId="47C72EB8" w14:textId="77777777" w:rsidR="00906247" w:rsidRDefault="00906247" w:rsidP="00906247">
            <w:pPr>
              <w:rPr>
                <w:rFonts w:ascii="Times New Roman" w:hAnsi="Times New Roman" w:cs="Times New Roman"/>
                <w:sz w:val="24"/>
                <w:szCs w:val="24"/>
              </w:rPr>
            </w:pPr>
            <w:r>
              <w:rPr>
                <w:rFonts w:ascii="Times New Roman" w:hAnsi="Times New Roman" w:cs="Times New Roman"/>
                <w:sz w:val="24"/>
                <w:szCs w:val="24"/>
              </w:rPr>
              <w:t>Training and Continuing Education Online (TCEO ) Proposal</w:t>
            </w:r>
          </w:p>
        </w:tc>
        <w:tc>
          <w:tcPr>
            <w:tcW w:w="0" w:type="auto"/>
            <w:tcBorders>
              <w:bottom w:val="single" w:sz="4" w:space="0" w:color="auto"/>
            </w:tcBorders>
            <w:shd w:val="clear" w:color="auto" w:fill="FFFFFF" w:themeFill="background1"/>
          </w:tcPr>
          <w:p w14:paraId="3F581A24" w14:textId="77777777" w:rsidR="00906247" w:rsidRDefault="00906247" w:rsidP="00906247">
            <w:pPr>
              <w:rPr>
                <w:rFonts w:ascii="Times New Roman" w:hAnsi="Times New Roman" w:cs="Times New Roman"/>
                <w:sz w:val="24"/>
                <w:szCs w:val="24"/>
              </w:rPr>
            </w:pPr>
            <w:r w:rsidRPr="0091456B">
              <w:rPr>
                <w:rFonts w:ascii="Times New Roman" w:hAnsi="Times New Roman" w:cs="Times New Roman"/>
                <w:sz w:val="24"/>
                <w:szCs w:val="24"/>
              </w:rPr>
              <w:t xml:space="preserve">Following receipt of OMB clearance, CDC will </w:t>
            </w:r>
            <w:r>
              <w:rPr>
                <w:rFonts w:ascii="Times New Roman" w:hAnsi="Times New Roman" w:cs="Times New Roman"/>
                <w:sz w:val="24"/>
                <w:szCs w:val="24"/>
              </w:rPr>
              <w:t xml:space="preserve">continue </w:t>
            </w:r>
            <w:r w:rsidRPr="0091456B">
              <w:rPr>
                <w:rFonts w:ascii="Times New Roman" w:hAnsi="Times New Roman" w:cs="Times New Roman"/>
                <w:sz w:val="24"/>
                <w:szCs w:val="24"/>
              </w:rPr>
              <w:t>collecting data throughout the approval period.</w:t>
            </w:r>
          </w:p>
        </w:tc>
      </w:tr>
      <w:tr w:rsidR="00906247" w:rsidRPr="000617B1" w14:paraId="6EFD2080" w14:textId="77777777" w:rsidTr="0091456B">
        <w:tc>
          <w:tcPr>
            <w:tcW w:w="0" w:type="auto"/>
            <w:tcBorders>
              <w:bottom w:val="single" w:sz="4" w:space="0" w:color="auto"/>
            </w:tcBorders>
            <w:shd w:val="clear" w:color="auto" w:fill="FFFFFF" w:themeFill="background1"/>
          </w:tcPr>
          <w:p w14:paraId="53D8D3BD" w14:textId="77777777" w:rsidR="00906247" w:rsidRDefault="00906247" w:rsidP="00131B5B">
            <w:pPr>
              <w:rPr>
                <w:rFonts w:ascii="Times New Roman" w:hAnsi="Times New Roman" w:cs="Times New Roman"/>
                <w:sz w:val="24"/>
                <w:szCs w:val="24"/>
              </w:rPr>
            </w:pPr>
            <w:r>
              <w:rPr>
                <w:rFonts w:ascii="Times New Roman" w:hAnsi="Times New Roman" w:cs="Times New Roman"/>
                <w:sz w:val="24"/>
                <w:szCs w:val="24"/>
              </w:rPr>
              <w:t xml:space="preserve">TCEO New Participant Registration </w:t>
            </w:r>
          </w:p>
        </w:tc>
        <w:tc>
          <w:tcPr>
            <w:tcW w:w="0" w:type="auto"/>
            <w:tcBorders>
              <w:bottom w:val="single" w:sz="4" w:space="0" w:color="auto"/>
            </w:tcBorders>
            <w:shd w:val="clear" w:color="auto" w:fill="FFFFFF" w:themeFill="background1"/>
          </w:tcPr>
          <w:p w14:paraId="403FE9E7" w14:textId="77777777" w:rsidR="00906247" w:rsidRPr="0091456B" w:rsidRDefault="00906247" w:rsidP="00906247">
            <w:pPr>
              <w:rPr>
                <w:rFonts w:ascii="Times New Roman" w:hAnsi="Times New Roman" w:cs="Times New Roman"/>
                <w:sz w:val="24"/>
                <w:szCs w:val="24"/>
              </w:rPr>
            </w:pPr>
            <w:r>
              <w:rPr>
                <w:rFonts w:ascii="Times New Roman" w:hAnsi="Times New Roman" w:cs="Times New Roman"/>
                <w:sz w:val="24"/>
                <w:szCs w:val="24"/>
              </w:rPr>
              <w:t xml:space="preserve">Following receipt of OMB clearance, CDC will continue collecting data throughout the approval period. </w:t>
            </w:r>
          </w:p>
        </w:tc>
      </w:tr>
      <w:tr w:rsidR="00906247" w:rsidRPr="000617B1" w14:paraId="0837C768" w14:textId="77777777" w:rsidTr="0091456B">
        <w:tc>
          <w:tcPr>
            <w:tcW w:w="0" w:type="auto"/>
            <w:tcBorders>
              <w:bottom w:val="single" w:sz="4" w:space="0" w:color="auto"/>
            </w:tcBorders>
            <w:shd w:val="clear" w:color="auto" w:fill="FFFFFF" w:themeFill="background1"/>
          </w:tcPr>
          <w:p w14:paraId="7FD4C9AE" w14:textId="77777777" w:rsidR="00906247" w:rsidRPr="008F5EA0" w:rsidRDefault="00906247" w:rsidP="00906247">
            <w:pPr>
              <w:rPr>
                <w:rFonts w:ascii="Times New Roman" w:hAnsi="Times New Roman" w:cs="Times New Roman"/>
                <w:sz w:val="24"/>
                <w:szCs w:val="24"/>
              </w:rPr>
            </w:pPr>
            <w:r>
              <w:rPr>
                <w:rFonts w:ascii="Times New Roman" w:hAnsi="Times New Roman" w:cs="Times New Roman"/>
                <w:sz w:val="24"/>
                <w:szCs w:val="24"/>
              </w:rPr>
              <w:t xml:space="preserve">TCEO </w:t>
            </w:r>
            <w:r w:rsidRPr="008F5EA0">
              <w:rPr>
                <w:rFonts w:ascii="Times New Roman" w:hAnsi="Times New Roman" w:cs="Times New Roman"/>
                <w:sz w:val="24"/>
                <w:szCs w:val="24"/>
              </w:rPr>
              <w:t>Post-</w:t>
            </w:r>
            <w:r w:rsidR="00A67A38">
              <w:rPr>
                <w:rFonts w:ascii="Times New Roman" w:hAnsi="Times New Roman" w:cs="Times New Roman"/>
                <w:sz w:val="24"/>
                <w:szCs w:val="24"/>
              </w:rPr>
              <w:t>C</w:t>
            </w:r>
            <w:r w:rsidRPr="008F5EA0">
              <w:rPr>
                <w:rFonts w:ascii="Times New Roman" w:hAnsi="Times New Roman" w:cs="Times New Roman"/>
                <w:sz w:val="24"/>
                <w:szCs w:val="24"/>
              </w:rPr>
              <w:t xml:space="preserve">ourse </w:t>
            </w:r>
            <w:r w:rsidR="00131B5B">
              <w:rPr>
                <w:rFonts w:ascii="Times New Roman" w:hAnsi="Times New Roman" w:cs="Times New Roman"/>
                <w:sz w:val="24"/>
                <w:szCs w:val="24"/>
              </w:rPr>
              <w:t>E</w:t>
            </w:r>
            <w:r w:rsidRPr="008F5EA0">
              <w:rPr>
                <w:rFonts w:ascii="Times New Roman" w:hAnsi="Times New Roman" w:cs="Times New Roman"/>
                <w:sz w:val="24"/>
                <w:szCs w:val="24"/>
              </w:rPr>
              <w:t>valuation</w:t>
            </w:r>
          </w:p>
          <w:p w14:paraId="214A09BB" w14:textId="77777777" w:rsidR="00906247" w:rsidRDefault="00906247" w:rsidP="00906247">
            <w:pPr>
              <w:rPr>
                <w:rFonts w:ascii="Times New Roman" w:hAnsi="Times New Roman" w:cs="Times New Roman"/>
                <w:sz w:val="24"/>
                <w:szCs w:val="24"/>
              </w:rPr>
            </w:pPr>
          </w:p>
        </w:tc>
        <w:tc>
          <w:tcPr>
            <w:tcW w:w="0" w:type="auto"/>
            <w:tcBorders>
              <w:bottom w:val="single" w:sz="4" w:space="0" w:color="auto"/>
            </w:tcBorders>
            <w:shd w:val="clear" w:color="auto" w:fill="FFFFFF" w:themeFill="background1"/>
          </w:tcPr>
          <w:p w14:paraId="3064059B" w14:textId="77777777" w:rsidR="00906247" w:rsidRDefault="00906247" w:rsidP="00906247">
            <w:pPr>
              <w:rPr>
                <w:rFonts w:ascii="Times New Roman" w:hAnsi="Times New Roman" w:cs="Times New Roman"/>
                <w:sz w:val="24"/>
                <w:szCs w:val="24"/>
              </w:rPr>
            </w:pPr>
            <w:r w:rsidRPr="0091456B">
              <w:rPr>
                <w:rFonts w:ascii="Times New Roman" w:hAnsi="Times New Roman" w:cs="Times New Roman"/>
                <w:sz w:val="24"/>
                <w:szCs w:val="24"/>
              </w:rPr>
              <w:t xml:space="preserve">Following receipt of OMB clearance, CDC will </w:t>
            </w:r>
            <w:r>
              <w:rPr>
                <w:rFonts w:ascii="Times New Roman" w:hAnsi="Times New Roman" w:cs="Times New Roman"/>
                <w:sz w:val="24"/>
                <w:szCs w:val="24"/>
              </w:rPr>
              <w:t xml:space="preserve">begin </w:t>
            </w:r>
            <w:r w:rsidRPr="0091456B">
              <w:rPr>
                <w:rFonts w:ascii="Times New Roman" w:hAnsi="Times New Roman" w:cs="Times New Roman"/>
                <w:sz w:val="24"/>
                <w:szCs w:val="24"/>
              </w:rPr>
              <w:t>collecting data throughout the approval period.</w:t>
            </w:r>
          </w:p>
        </w:tc>
      </w:tr>
      <w:tr w:rsidR="00906247" w:rsidRPr="000617B1" w14:paraId="334404D8" w14:textId="77777777" w:rsidTr="0091456B">
        <w:tc>
          <w:tcPr>
            <w:tcW w:w="0" w:type="auto"/>
            <w:tcBorders>
              <w:bottom w:val="single" w:sz="4" w:space="0" w:color="auto"/>
            </w:tcBorders>
            <w:shd w:val="clear" w:color="auto" w:fill="FFFFFF" w:themeFill="background1"/>
          </w:tcPr>
          <w:p w14:paraId="5EE987D1" w14:textId="77777777" w:rsidR="00906247" w:rsidRDefault="00906247" w:rsidP="00906247">
            <w:pPr>
              <w:rPr>
                <w:rFonts w:ascii="Times New Roman" w:hAnsi="Times New Roman" w:cs="Times New Roman"/>
                <w:sz w:val="24"/>
                <w:szCs w:val="24"/>
              </w:rPr>
            </w:pPr>
            <w:r>
              <w:rPr>
                <w:rFonts w:ascii="Times New Roman" w:hAnsi="Times New Roman" w:cs="Times New Roman"/>
                <w:sz w:val="24"/>
                <w:szCs w:val="24"/>
              </w:rPr>
              <w:t xml:space="preserve">TCEO </w:t>
            </w:r>
            <w:r w:rsidRPr="008F5EA0">
              <w:rPr>
                <w:rFonts w:ascii="Times New Roman" w:hAnsi="Times New Roman" w:cs="Times New Roman"/>
                <w:sz w:val="24"/>
                <w:szCs w:val="24"/>
              </w:rPr>
              <w:t xml:space="preserve">Follow-up </w:t>
            </w:r>
            <w:r w:rsidR="00131B5B">
              <w:rPr>
                <w:rFonts w:ascii="Times New Roman" w:hAnsi="Times New Roman" w:cs="Times New Roman"/>
                <w:sz w:val="24"/>
                <w:szCs w:val="24"/>
              </w:rPr>
              <w:t>E</w:t>
            </w:r>
            <w:r w:rsidR="00131B5B" w:rsidRPr="008F5EA0">
              <w:rPr>
                <w:rFonts w:ascii="Times New Roman" w:hAnsi="Times New Roman" w:cs="Times New Roman"/>
                <w:sz w:val="24"/>
                <w:szCs w:val="24"/>
              </w:rPr>
              <w:t>valuation</w:t>
            </w:r>
          </w:p>
        </w:tc>
        <w:tc>
          <w:tcPr>
            <w:tcW w:w="0" w:type="auto"/>
            <w:tcBorders>
              <w:bottom w:val="single" w:sz="4" w:space="0" w:color="auto"/>
            </w:tcBorders>
            <w:shd w:val="clear" w:color="auto" w:fill="FFFFFF" w:themeFill="background1"/>
          </w:tcPr>
          <w:p w14:paraId="400C4F1E" w14:textId="77777777" w:rsidR="00906247" w:rsidRDefault="00906247" w:rsidP="00906247">
            <w:pPr>
              <w:rPr>
                <w:rFonts w:ascii="Times New Roman" w:hAnsi="Times New Roman" w:cs="Times New Roman"/>
                <w:sz w:val="24"/>
                <w:szCs w:val="24"/>
              </w:rPr>
            </w:pPr>
            <w:r w:rsidRPr="0091456B">
              <w:rPr>
                <w:rFonts w:ascii="Times New Roman" w:hAnsi="Times New Roman" w:cs="Times New Roman"/>
                <w:sz w:val="24"/>
                <w:szCs w:val="24"/>
              </w:rPr>
              <w:t xml:space="preserve">Following receipt of OMB clearance, CDC will </w:t>
            </w:r>
            <w:r>
              <w:rPr>
                <w:rFonts w:ascii="Times New Roman" w:hAnsi="Times New Roman" w:cs="Times New Roman"/>
                <w:sz w:val="24"/>
                <w:szCs w:val="24"/>
              </w:rPr>
              <w:t xml:space="preserve">begin </w:t>
            </w:r>
            <w:r w:rsidRPr="0091456B">
              <w:rPr>
                <w:rFonts w:ascii="Times New Roman" w:hAnsi="Times New Roman" w:cs="Times New Roman"/>
                <w:sz w:val="24"/>
                <w:szCs w:val="24"/>
              </w:rPr>
              <w:t>collecting data throughout the approval period.</w:t>
            </w:r>
          </w:p>
        </w:tc>
      </w:tr>
    </w:tbl>
    <w:p w14:paraId="537AAF3B" w14:textId="77777777" w:rsidR="0049239B" w:rsidRPr="005B1062" w:rsidRDefault="004C2CE2" w:rsidP="00F671AC">
      <w:pPr>
        <w:pStyle w:val="Heading1"/>
        <w:numPr>
          <w:ilvl w:val="0"/>
          <w:numId w:val="8"/>
        </w:numPr>
        <w:spacing w:line="240" w:lineRule="auto"/>
        <w:ind w:left="810"/>
        <w:rPr>
          <w:rFonts w:cs="Times New Roman"/>
          <w:b w:val="0"/>
          <w:szCs w:val="24"/>
        </w:rPr>
      </w:pPr>
      <w:r w:rsidRPr="00A70BD7">
        <w:rPr>
          <w:rStyle w:val="Heading2Char"/>
          <w:rFonts w:ascii="Times New Roman" w:hAnsi="Times New Roman" w:cs="Times New Roman"/>
          <w:color w:val="auto"/>
          <w:sz w:val="24"/>
          <w:szCs w:val="24"/>
        </w:rPr>
        <w:t xml:space="preserve"> </w:t>
      </w:r>
      <w:bookmarkStart w:id="376" w:name="_Toc522700960"/>
      <w:r w:rsidR="002F3D63" w:rsidRPr="005B1062">
        <w:rPr>
          <w:rStyle w:val="Heading2Char"/>
          <w:rFonts w:ascii="Times New Roman" w:hAnsi="Times New Roman" w:cs="Times New Roman"/>
          <w:b/>
          <w:color w:val="auto"/>
          <w:sz w:val="24"/>
          <w:szCs w:val="24"/>
        </w:rPr>
        <w:t xml:space="preserve">Reasons </w:t>
      </w:r>
      <w:r w:rsidR="00AF5199" w:rsidRPr="005B1062">
        <w:rPr>
          <w:rStyle w:val="Heading2Char"/>
          <w:rFonts w:ascii="Times New Roman" w:hAnsi="Times New Roman" w:cs="Times New Roman"/>
          <w:b/>
          <w:color w:val="auto"/>
          <w:sz w:val="24"/>
          <w:szCs w:val="24"/>
        </w:rPr>
        <w:t xml:space="preserve">Display of OMB Expiration Date is </w:t>
      </w:r>
      <w:r w:rsidR="004D55C0" w:rsidRPr="005B1062">
        <w:rPr>
          <w:rStyle w:val="Heading2Char"/>
          <w:rFonts w:ascii="Times New Roman" w:hAnsi="Times New Roman" w:cs="Times New Roman"/>
          <w:b/>
          <w:color w:val="auto"/>
          <w:sz w:val="24"/>
          <w:szCs w:val="24"/>
        </w:rPr>
        <w:t>I</w:t>
      </w:r>
      <w:r w:rsidR="00AF5199" w:rsidRPr="005B1062">
        <w:rPr>
          <w:rStyle w:val="Heading2Char"/>
          <w:rFonts w:ascii="Times New Roman" w:hAnsi="Times New Roman" w:cs="Times New Roman"/>
          <w:b/>
          <w:color w:val="auto"/>
          <w:sz w:val="24"/>
          <w:szCs w:val="24"/>
        </w:rPr>
        <w:t>nappropriate</w:t>
      </w:r>
      <w:bookmarkEnd w:id="376"/>
      <w:r w:rsidR="00A70BD7" w:rsidRPr="005B1062">
        <w:rPr>
          <w:rStyle w:val="Heading2Char"/>
          <w:rFonts w:ascii="Times New Roman" w:hAnsi="Times New Roman" w:cs="Times New Roman"/>
          <w:b/>
          <w:color w:val="auto"/>
          <w:sz w:val="24"/>
          <w:szCs w:val="24"/>
        </w:rPr>
        <w:br/>
      </w:r>
    </w:p>
    <w:p w14:paraId="24A13F54" w14:textId="77777777" w:rsidR="0049239B" w:rsidRPr="0049239B" w:rsidRDefault="0049239B" w:rsidP="0049239B">
      <w:pPr>
        <w:spacing w:after="0" w:line="240" w:lineRule="auto"/>
        <w:rPr>
          <w:rFonts w:ascii="Times New Roman" w:hAnsi="Times New Roman" w:cs="Times New Roman"/>
          <w:sz w:val="24"/>
          <w:szCs w:val="24"/>
        </w:rPr>
      </w:pPr>
      <w:r>
        <w:rPr>
          <w:rFonts w:ascii="Times New Roman" w:hAnsi="Times New Roman" w:cs="Times New Roman"/>
          <w:sz w:val="24"/>
          <w:szCs w:val="24"/>
        </w:rPr>
        <w:t>CDC is not requesting an exemption from displaying the expiration date.</w:t>
      </w:r>
    </w:p>
    <w:p w14:paraId="59074BA3" w14:textId="77777777" w:rsidR="00CD370B" w:rsidRPr="00C42381" w:rsidRDefault="004C2CE2" w:rsidP="00C42381">
      <w:pPr>
        <w:pStyle w:val="Heading1"/>
        <w:numPr>
          <w:ilvl w:val="0"/>
          <w:numId w:val="8"/>
        </w:numPr>
        <w:spacing w:line="240" w:lineRule="auto"/>
        <w:ind w:left="810" w:hanging="450"/>
        <w:rPr>
          <w:rStyle w:val="Heading2Char"/>
          <w:rFonts w:ascii="Times New Roman" w:hAnsi="Times New Roman" w:cs="Times New Roman"/>
          <w:b/>
          <w:color w:val="auto"/>
          <w:sz w:val="24"/>
          <w:szCs w:val="24"/>
        </w:rPr>
      </w:pPr>
      <w:r w:rsidRPr="00C42381">
        <w:rPr>
          <w:rStyle w:val="Heading2Char"/>
          <w:rFonts w:ascii="Times New Roman" w:hAnsi="Times New Roman" w:cs="Times New Roman"/>
          <w:b/>
          <w:color w:val="auto"/>
          <w:sz w:val="24"/>
          <w:szCs w:val="24"/>
        </w:rPr>
        <w:t xml:space="preserve"> </w:t>
      </w:r>
      <w:bookmarkStart w:id="377" w:name="_Toc522700961"/>
      <w:r w:rsidR="00CD370B" w:rsidRPr="00C42381">
        <w:rPr>
          <w:rStyle w:val="Heading2Char"/>
          <w:rFonts w:ascii="Times New Roman" w:hAnsi="Times New Roman" w:cs="Times New Roman"/>
          <w:b/>
          <w:color w:val="auto"/>
          <w:sz w:val="24"/>
          <w:szCs w:val="24"/>
        </w:rPr>
        <w:t>Exceptions to the Certification for Paperwork Reduction Act Submissions</w:t>
      </w:r>
      <w:bookmarkEnd w:id="377"/>
    </w:p>
    <w:p w14:paraId="07ED890E" w14:textId="77777777" w:rsidR="0049239B" w:rsidRDefault="0049239B" w:rsidP="00F23C29">
      <w:pPr>
        <w:spacing w:line="240" w:lineRule="auto"/>
        <w:rPr>
          <w:rFonts w:ascii="Times New Roman" w:hAnsi="Times New Roman" w:cs="Times New Roman"/>
          <w:sz w:val="24"/>
          <w:szCs w:val="24"/>
        </w:rPr>
      </w:pPr>
      <w:r>
        <w:rPr>
          <w:rFonts w:ascii="Times New Roman" w:hAnsi="Times New Roman" w:cs="Times New Roman"/>
          <w:sz w:val="24"/>
          <w:szCs w:val="24"/>
        </w:rPr>
        <w:t>No exceptions to certification apply to this request.</w:t>
      </w:r>
    </w:p>
    <w:p w14:paraId="3EAF9396" w14:textId="77777777" w:rsidR="00966A4B" w:rsidRPr="00F23C29" w:rsidRDefault="00966A4B" w:rsidP="00F23C29">
      <w:pPr>
        <w:spacing w:line="240" w:lineRule="auto"/>
        <w:rPr>
          <w:rFonts w:ascii="Times New Roman" w:hAnsi="Times New Roman"/>
          <w:sz w:val="24"/>
        </w:rPr>
      </w:pPr>
      <w:r>
        <w:rPr>
          <w:rFonts w:ascii="Times New Roman" w:hAnsi="Times New Roman" w:cs="Times New Roman"/>
          <w:sz w:val="24"/>
          <w:szCs w:val="24"/>
        </w:rPr>
        <w:t>____________________________________________________________________</w:t>
      </w:r>
    </w:p>
    <w:sectPr w:rsidR="00966A4B" w:rsidRPr="00F23C29" w:rsidSect="00DC6277">
      <w:pgSz w:w="12240" w:h="15840"/>
      <w:pgMar w:top="990" w:right="1080" w:bottom="540" w:left="1530" w:header="450" w:footer="347"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4B879F" w14:textId="77777777" w:rsidR="00C06FF3" w:rsidRDefault="00C06FF3" w:rsidP="00E77CC3">
      <w:pPr>
        <w:spacing w:after="0" w:line="240" w:lineRule="auto"/>
        <w:rPr>
          <w:rFonts w:cs="Times New Roman"/>
        </w:rPr>
      </w:pPr>
      <w:r>
        <w:rPr>
          <w:rFonts w:cs="Times New Roman"/>
        </w:rPr>
        <w:separator/>
      </w:r>
    </w:p>
  </w:endnote>
  <w:endnote w:type="continuationSeparator" w:id="0">
    <w:p w14:paraId="71406CA2" w14:textId="77777777" w:rsidR="00C06FF3" w:rsidRDefault="00C06FF3" w:rsidP="00E77CC3">
      <w:pPr>
        <w:spacing w:after="0" w:line="240" w:lineRule="auto"/>
        <w:rPr>
          <w:rFonts w:cs="Times New Roman"/>
        </w:rPr>
      </w:pPr>
      <w:r>
        <w:rPr>
          <w:rFonts w:cs="Times New Roman"/>
        </w:rPr>
        <w:continuationSeparator/>
      </w:r>
    </w:p>
  </w:endnote>
  <w:endnote w:type="continuationNotice" w:id="1">
    <w:p w14:paraId="0D49BADF" w14:textId="77777777" w:rsidR="00C06FF3" w:rsidRDefault="00C06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ITC Franklin Gothic Std Bk Cd">
    <w:altName w:val="ITC Franklin Gothic Std Bk 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B72D3" w14:textId="77777777" w:rsidR="0089272C" w:rsidRDefault="0089272C" w:rsidP="002773EE">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Application for Training </w:t>
    </w:r>
    <w:r w:rsidRPr="000617B1">
      <w:rPr>
        <w:rFonts w:ascii="Times New Roman" w:hAnsi="Times New Roman" w:cs="Times New Roman"/>
        <w:sz w:val="24"/>
        <w:szCs w:val="24"/>
      </w:rPr>
      <w:t>OMB</w:t>
    </w:r>
    <w:r>
      <w:rPr>
        <w:rFonts w:ascii="Times New Roman" w:hAnsi="Times New Roman" w:cs="Times New Roman"/>
        <w:sz w:val="24"/>
        <w:szCs w:val="24"/>
      </w:rPr>
      <w:t xml:space="preserve"> No. </w:t>
    </w:r>
    <w:r w:rsidRPr="000617B1">
      <w:rPr>
        <w:rFonts w:ascii="Times New Roman" w:hAnsi="Times New Roman" w:cs="Times New Roman"/>
        <w:sz w:val="24"/>
        <w:szCs w:val="24"/>
      </w:rPr>
      <w:t>0920-0017</w:t>
    </w:r>
  </w:p>
  <w:p w14:paraId="7920D719" w14:textId="398E5C59" w:rsidR="0089272C" w:rsidRPr="006D233A" w:rsidRDefault="0089272C" w:rsidP="00DC6277">
    <w:pPr>
      <w:pStyle w:val="Footer"/>
      <w:jc w:val="right"/>
    </w:pPr>
    <w:r>
      <w:rPr>
        <w:rFonts w:ascii="Times New Roman" w:hAnsi="Times New Roman" w:cs="Times New Roman"/>
        <w:sz w:val="24"/>
        <w:szCs w:val="24"/>
      </w:rPr>
      <w:t xml:space="preserve">Supporting Statement A                                                                                                                     </w:t>
    </w:r>
    <w:sdt>
      <w:sdtPr>
        <w:id w:val="17678068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436CA">
          <w:rPr>
            <w:noProof/>
          </w:rPr>
          <w:t>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8893" w14:textId="77777777" w:rsidR="0089272C" w:rsidRDefault="0089272C" w:rsidP="000E1532">
    <w:pPr>
      <w:pBdr>
        <w:top w:val="single" w:sz="4"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Application for Training </w:t>
    </w:r>
    <w:r w:rsidRPr="000617B1">
      <w:rPr>
        <w:rFonts w:ascii="Times New Roman" w:hAnsi="Times New Roman" w:cs="Times New Roman"/>
        <w:sz w:val="24"/>
        <w:szCs w:val="24"/>
      </w:rPr>
      <w:t>OMB</w:t>
    </w:r>
    <w:r>
      <w:rPr>
        <w:rFonts w:ascii="Times New Roman" w:hAnsi="Times New Roman" w:cs="Times New Roman"/>
        <w:sz w:val="24"/>
        <w:szCs w:val="24"/>
      </w:rPr>
      <w:t xml:space="preserve"> No. </w:t>
    </w:r>
    <w:r w:rsidRPr="000617B1">
      <w:rPr>
        <w:rFonts w:ascii="Times New Roman" w:hAnsi="Times New Roman" w:cs="Times New Roman"/>
        <w:sz w:val="24"/>
        <w:szCs w:val="24"/>
      </w:rPr>
      <w:t>0920-0017</w:t>
    </w:r>
  </w:p>
  <w:p w14:paraId="05543910" w14:textId="77777777" w:rsidR="0089272C" w:rsidRPr="006D233A" w:rsidRDefault="0089272C" w:rsidP="000E1532">
    <w:pPr>
      <w:pStyle w:val="Footer"/>
    </w:pPr>
    <w:r>
      <w:rPr>
        <w:rFonts w:ascii="Times New Roman" w:hAnsi="Times New Roman" w:cs="Times New Roman"/>
        <w:sz w:val="24"/>
        <w:szCs w:val="24"/>
      </w:rPr>
      <w:t xml:space="preserve">Supporting Statement A                                                                                                                     </w:t>
    </w:r>
    <w:sdt>
      <w:sdtPr>
        <w:id w:val="1604300723"/>
        <w:docPartObj>
          <w:docPartGallery w:val="Page Numbers (Bottom of Page)"/>
          <w:docPartUnique/>
        </w:docPartObj>
      </w:sdtPr>
      <w:sdtEndPr>
        <w:rPr>
          <w:noProof/>
        </w:rPr>
      </w:sdtEndPr>
      <w:sdtContent>
        <w:r>
          <w:t>1</w:t>
        </w:r>
      </w:sdtContent>
    </w:sdt>
  </w:p>
  <w:p w14:paraId="0B1DBD22" w14:textId="77777777" w:rsidR="0089272C" w:rsidRPr="006D233A" w:rsidRDefault="0089272C" w:rsidP="000E1532">
    <w:pPr>
      <w:pStyle w:val="Footer"/>
    </w:pPr>
  </w:p>
  <w:p w14:paraId="0EED7C2C" w14:textId="77777777" w:rsidR="0089272C" w:rsidRDefault="00892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879521" w14:textId="77777777" w:rsidR="00C06FF3" w:rsidRDefault="00C06FF3" w:rsidP="00E77CC3">
      <w:pPr>
        <w:spacing w:after="0" w:line="240" w:lineRule="auto"/>
        <w:rPr>
          <w:rFonts w:cs="Times New Roman"/>
        </w:rPr>
      </w:pPr>
      <w:r>
        <w:rPr>
          <w:rFonts w:cs="Times New Roman"/>
        </w:rPr>
        <w:separator/>
      </w:r>
    </w:p>
  </w:footnote>
  <w:footnote w:type="continuationSeparator" w:id="0">
    <w:p w14:paraId="3A52ADBC" w14:textId="77777777" w:rsidR="00C06FF3" w:rsidRDefault="00C06FF3" w:rsidP="00E77CC3">
      <w:pPr>
        <w:spacing w:after="0" w:line="240" w:lineRule="auto"/>
        <w:rPr>
          <w:rFonts w:cs="Times New Roman"/>
        </w:rPr>
      </w:pPr>
      <w:r>
        <w:rPr>
          <w:rFonts w:cs="Times New Roman"/>
        </w:rPr>
        <w:continuationSeparator/>
      </w:r>
    </w:p>
  </w:footnote>
  <w:footnote w:type="continuationNotice" w:id="1">
    <w:p w14:paraId="754CACBB" w14:textId="77777777" w:rsidR="00C06FF3" w:rsidRDefault="00C06FF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C731E"/>
    <w:multiLevelType w:val="hybridMultilevel"/>
    <w:tmpl w:val="07E6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D65209"/>
    <w:multiLevelType w:val="hybridMultilevel"/>
    <w:tmpl w:val="4B02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D784F"/>
    <w:multiLevelType w:val="hybridMultilevel"/>
    <w:tmpl w:val="1668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9E264B"/>
    <w:multiLevelType w:val="hybridMultilevel"/>
    <w:tmpl w:val="386E511E"/>
    <w:lvl w:ilvl="0" w:tplc="ECB6CA66">
      <w:start w:val="1"/>
      <w:numFmt w:val="upperLetter"/>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AA764D"/>
    <w:multiLevelType w:val="hybridMultilevel"/>
    <w:tmpl w:val="BF3E462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B9C2EE9"/>
    <w:multiLevelType w:val="hybridMultilevel"/>
    <w:tmpl w:val="04743676"/>
    <w:lvl w:ilvl="0" w:tplc="B2E46B4A">
      <w:start w:val="1"/>
      <w:numFmt w:val="decimal"/>
      <w:lvlText w:val="%1."/>
      <w:lvlJc w:val="left"/>
      <w:pPr>
        <w:ind w:left="99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9B3F58"/>
    <w:multiLevelType w:val="hybridMultilevel"/>
    <w:tmpl w:val="902457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F3F17C1"/>
    <w:multiLevelType w:val="hybridMultilevel"/>
    <w:tmpl w:val="04743676"/>
    <w:lvl w:ilvl="0" w:tplc="B2E46B4A">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1646639"/>
    <w:multiLevelType w:val="hybridMultilevel"/>
    <w:tmpl w:val="8E6C6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DBD05D8"/>
    <w:multiLevelType w:val="hybridMultilevel"/>
    <w:tmpl w:val="C9787324"/>
    <w:lvl w:ilvl="0" w:tplc="B2B8CB30">
      <w:start w:val="1"/>
      <w:numFmt w:val="decimal"/>
      <w:lvlText w:val="%1."/>
      <w:lvlJc w:val="left"/>
      <w:pPr>
        <w:ind w:left="1350" w:hanging="360"/>
      </w:pPr>
      <w:rPr>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1"/>
  </w:num>
  <w:num w:numId="5">
    <w:abstractNumId w:val="8"/>
  </w:num>
  <w:num w:numId="6">
    <w:abstractNumId w:val="6"/>
  </w:num>
  <w:num w:numId="7">
    <w:abstractNumId w:val="4"/>
  </w:num>
  <w:num w:numId="8">
    <w:abstractNumId w:val="5"/>
  </w:num>
  <w:num w:numId="9">
    <w:abstractNumId w:val="7"/>
  </w:num>
  <w:num w:numId="10">
    <w:abstractNumId w:val="2"/>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defaultTabStop w:val="720"/>
  <w:doNotHyphenateCaps/>
  <w:characterSpacingControl w:val="doNotCompress"/>
  <w:doNotValidateAgainstSchema/>
  <w:doNotDemarcateInvalidXml/>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CF"/>
    <w:rsid w:val="00001667"/>
    <w:rsid w:val="000024E8"/>
    <w:rsid w:val="000026CA"/>
    <w:rsid w:val="00003441"/>
    <w:rsid w:val="0000379F"/>
    <w:rsid w:val="0000608C"/>
    <w:rsid w:val="00007FFA"/>
    <w:rsid w:val="00010736"/>
    <w:rsid w:val="000112F4"/>
    <w:rsid w:val="000119D8"/>
    <w:rsid w:val="00012152"/>
    <w:rsid w:val="000125AD"/>
    <w:rsid w:val="0001296C"/>
    <w:rsid w:val="000139EB"/>
    <w:rsid w:val="00014C1E"/>
    <w:rsid w:val="000160AD"/>
    <w:rsid w:val="000201C5"/>
    <w:rsid w:val="00020F35"/>
    <w:rsid w:val="00021E3D"/>
    <w:rsid w:val="000220E9"/>
    <w:rsid w:val="0002294D"/>
    <w:rsid w:val="0002544E"/>
    <w:rsid w:val="00025794"/>
    <w:rsid w:val="000266E8"/>
    <w:rsid w:val="00032038"/>
    <w:rsid w:val="00032CA1"/>
    <w:rsid w:val="000341AC"/>
    <w:rsid w:val="000346F2"/>
    <w:rsid w:val="000359AB"/>
    <w:rsid w:val="000404AD"/>
    <w:rsid w:val="00040867"/>
    <w:rsid w:val="00040AB2"/>
    <w:rsid w:val="00040B19"/>
    <w:rsid w:val="000418FB"/>
    <w:rsid w:val="00041BDE"/>
    <w:rsid w:val="00041FB6"/>
    <w:rsid w:val="0004222D"/>
    <w:rsid w:val="00042800"/>
    <w:rsid w:val="00044B85"/>
    <w:rsid w:val="00045BE7"/>
    <w:rsid w:val="000461FE"/>
    <w:rsid w:val="00046809"/>
    <w:rsid w:val="00047E05"/>
    <w:rsid w:val="00051E81"/>
    <w:rsid w:val="00052DC3"/>
    <w:rsid w:val="00054984"/>
    <w:rsid w:val="0005550F"/>
    <w:rsid w:val="00057A81"/>
    <w:rsid w:val="00057FEF"/>
    <w:rsid w:val="0006073F"/>
    <w:rsid w:val="000608DB"/>
    <w:rsid w:val="000617B1"/>
    <w:rsid w:val="00063FE0"/>
    <w:rsid w:val="0006473E"/>
    <w:rsid w:val="00064AEF"/>
    <w:rsid w:val="000655D5"/>
    <w:rsid w:val="00066776"/>
    <w:rsid w:val="00066AEB"/>
    <w:rsid w:val="00067DA2"/>
    <w:rsid w:val="00070E52"/>
    <w:rsid w:val="00071022"/>
    <w:rsid w:val="00072A4D"/>
    <w:rsid w:val="00072BEF"/>
    <w:rsid w:val="00072C79"/>
    <w:rsid w:val="00075E81"/>
    <w:rsid w:val="0007767A"/>
    <w:rsid w:val="0007789C"/>
    <w:rsid w:val="00077B5F"/>
    <w:rsid w:val="000801F5"/>
    <w:rsid w:val="00080E59"/>
    <w:rsid w:val="000815A1"/>
    <w:rsid w:val="00081C3C"/>
    <w:rsid w:val="0008225A"/>
    <w:rsid w:val="000825D4"/>
    <w:rsid w:val="00082D7D"/>
    <w:rsid w:val="00082E7A"/>
    <w:rsid w:val="0008331E"/>
    <w:rsid w:val="000835B5"/>
    <w:rsid w:val="00083BA8"/>
    <w:rsid w:val="00083CB7"/>
    <w:rsid w:val="0008401B"/>
    <w:rsid w:val="0008535B"/>
    <w:rsid w:val="000867F0"/>
    <w:rsid w:val="00086C4B"/>
    <w:rsid w:val="00086D45"/>
    <w:rsid w:val="0008708F"/>
    <w:rsid w:val="00090F23"/>
    <w:rsid w:val="000936F0"/>
    <w:rsid w:val="00095909"/>
    <w:rsid w:val="00095B82"/>
    <w:rsid w:val="000A05C0"/>
    <w:rsid w:val="000A272A"/>
    <w:rsid w:val="000A38BD"/>
    <w:rsid w:val="000A480A"/>
    <w:rsid w:val="000A4FC1"/>
    <w:rsid w:val="000A531D"/>
    <w:rsid w:val="000A58B8"/>
    <w:rsid w:val="000A6046"/>
    <w:rsid w:val="000A63F9"/>
    <w:rsid w:val="000A6410"/>
    <w:rsid w:val="000A65FB"/>
    <w:rsid w:val="000A7983"/>
    <w:rsid w:val="000B00C1"/>
    <w:rsid w:val="000B1065"/>
    <w:rsid w:val="000B25B6"/>
    <w:rsid w:val="000B2650"/>
    <w:rsid w:val="000B2ABE"/>
    <w:rsid w:val="000B72F4"/>
    <w:rsid w:val="000B737C"/>
    <w:rsid w:val="000B7538"/>
    <w:rsid w:val="000C0677"/>
    <w:rsid w:val="000C1051"/>
    <w:rsid w:val="000C194C"/>
    <w:rsid w:val="000C3352"/>
    <w:rsid w:val="000C3BB5"/>
    <w:rsid w:val="000C54DA"/>
    <w:rsid w:val="000C5C24"/>
    <w:rsid w:val="000C5DF7"/>
    <w:rsid w:val="000C5F45"/>
    <w:rsid w:val="000C70CE"/>
    <w:rsid w:val="000C7A9A"/>
    <w:rsid w:val="000C7DCF"/>
    <w:rsid w:val="000D060F"/>
    <w:rsid w:val="000D18D8"/>
    <w:rsid w:val="000D24E5"/>
    <w:rsid w:val="000D2F80"/>
    <w:rsid w:val="000D4366"/>
    <w:rsid w:val="000D7BCF"/>
    <w:rsid w:val="000E0611"/>
    <w:rsid w:val="000E113C"/>
    <w:rsid w:val="000E14D4"/>
    <w:rsid w:val="000E1532"/>
    <w:rsid w:val="000E1C6D"/>
    <w:rsid w:val="000E26BC"/>
    <w:rsid w:val="000E3377"/>
    <w:rsid w:val="000E40B5"/>
    <w:rsid w:val="000E43F4"/>
    <w:rsid w:val="000E4BA3"/>
    <w:rsid w:val="000E61A7"/>
    <w:rsid w:val="000E7990"/>
    <w:rsid w:val="000E7A0D"/>
    <w:rsid w:val="000E7FBE"/>
    <w:rsid w:val="000F0A27"/>
    <w:rsid w:val="000F0DAE"/>
    <w:rsid w:val="000F15B6"/>
    <w:rsid w:val="000F1A2B"/>
    <w:rsid w:val="000F1C52"/>
    <w:rsid w:val="000F2122"/>
    <w:rsid w:val="000F384C"/>
    <w:rsid w:val="000F43AC"/>
    <w:rsid w:val="000F4647"/>
    <w:rsid w:val="000F6DB6"/>
    <w:rsid w:val="000F6F0E"/>
    <w:rsid w:val="000F7310"/>
    <w:rsid w:val="000F7411"/>
    <w:rsid w:val="00100805"/>
    <w:rsid w:val="0010083E"/>
    <w:rsid w:val="00100BED"/>
    <w:rsid w:val="00101786"/>
    <w:rsid w:val="00101A7B"/>
    <w:rsid w:val="00102C90"/>
    <w:rsid w:val="00104598"/>
    <w:rsid w:val="001070CE"/>
    <w:rsid w:val="00112142"/>
    <w:rsid w:val="0011220C"/>
    <w:rsid w:val="00112AA8"/>
    <w:rsid w:val="00113005"/>
    <w:rsid w:val="00113630"/>
    <w:rsid w:val="001138AF"/>
    <w:rsid w:val="001145C3"/>
    <w:rsid w:val="00114D6C"/>
    <w:rsid w:val="0011549E"/>
    <w:rsid w:val="00117819"/>
    <w:rsid w:val="00120E6E"/>
    <w:rsid w:val="00121CF6"/>
    <w:rsid w:val="00121D23"/>
    <w:rsid w:val="00122324"/>
    <w:rsid w:val="00122A9F"/>
    <w:rsid w:val="00122BA2"/>
    <w:rsid w:val="00122D69"/>
    <w:rsid w:val="00122E8D"/>
    <w:rsid w:val="00125031"/>
    <w:rsid w:val="00125678"/>
    <w:rsid w:val="00127C2E"/>
    <w:rsid w:val="0013029E"/>
    <w:rsid w:val="00131B5B"/>
    <w:rsid w:val="00134CF9"/>
    <w:rsid w:val="00134E47"/>
    <w:rsid w:val="00134E69"/>
    <w:rsid w:val="00135CFF"/>
    <w:rsid w:val="00135F4C"/>
    <w:rsid w:val="0013704B"/>
    <w:rsid w:val="00137667"/>
    <w:rsid w:val="001401CA"/>
    <w:rsid w:val="001409C5"/>
    <w:rsid w:val="00140FEB"/>
    <w:rsid w:val="001425CC"/>
    <w:rsid w:val="00142F93"/>
    <w:rsid w:val="00143652"/>
    <w:rsid w:val="00143BEB"/>
    <w:rsid w:val="00144208"/>
    <w:rsid w:val="00144951"/>
    <w:rsid w:val="00145473"/>
    <w:rsid w:val="00147405"/>
    <w:rsid w:val="00150DDC"/>
    <w:rsid w:val="001517F7"/>
    <w:rsid w:val="00152276"/>
    <w:rsid w:val="001531E3"/>
    <w:rsid w:val="001535F1"/>
    <w:rsid w:val="00154A79"/>
    <w:rsid w:val="0015544E"/>
    <w:rsid w:val="001555CA"/>
    <w:rsid w:val="00156466"/>
    <w:rsid w:val="00156989"/>
    <w:rsid w:val="001578EE"/>
    <w:rsid w:val="00157AB3"/>
    <w:rsid w:val="00160E54"/>
    <w:rsid w:val="00160EF0"/>
    <w:rsid w:val="001610DD"/>
    <w:rsid w:val="00161E61"/>
    <w:rsid w:val="0016228C"/>
    <w:rsid w:val="0016340D"/>
    <w:rsid w:val="001650DB"/>
    <w:rsid w:val="0016535E"/>
    <w:rsid w:val="00165777"/>
    <w:rsid w:val="0016592D"/>
    <w:rsid w:val="0016610A"/>
    <w:rsid w:val="0017156D"/>
    <w:rsid w:val="00171FFE"/>
    <w:rsid w:val="00172230"/>
    <w:rsid w:val="00172866"/>
    <w:rsid w:val="00172F69"/>
    <w:rsid w:val="00173121"/>
    <w:rsid w:val="00173317"/>
    <w:rsid w:val="0017446F"/>
    <w:rsid w:val="00174E21"/>
    <w:rsid w:val="0017707E"/>
    <w:rsid w:val="0018040C"/>
    <w:rsid w:val="00180BCD"/>
    <w:rsid w:val="00180C27"/>
    <w:rsid w:val="00181C6A"/>
    <w:rsid w:val="00182101"/>
    <w:rsid w:val="001827AB"/>
    <w:rsid w:val="0018347C"/>
    <w:rsid w:val="001837DC"/>
    <w:rsid w:val="00183BA0"/>
    <w:rsid w:val="0018409E"/>
    <w:rsid w:val="00184280"/>
    <w:rsid w:val="001842F2"/>
    <w:rsid w:val="001868CE"/>
    <w:rsid w:val="001868E7"/>
    <w:rsid w:val="00190940"/>
    <w:rsid w:val="00191CB5"/>
    <w:rsid w:val="00192B0C"/>
    <w:rsid w:val="0019360C"/>
    <w:rsid w:val="00193970"/>
    <w:rsid w:val="00193A50"/>
    <w:rsid w:val="0019566F"/>
    <w:rsid w:val="00195BEB"/>
    <w:rsid w:val="00195D0A"/>
    <w:rsid w:val="00195FED"/>
    <w:rsid w:val="001962D7"/>
    <w:rsid w:val="001A0357"/>
    <w:rsid w:val="001A06DD"/>
    <w:rsid w:val="001A0ADF"/>
    <w:rsid w:val="001A12EA"/>
    <w:rsid w:val="001A1CA0"/>
    <w:rsid w:val="001A2BB5"/>
    <w:rsid w:val="001A3B6A"/>
    <w:rsid w:val="001A5679"/>
    <w:rsid w:val="001A56FC"/>
    <w:rsid w:val="001A5C57"/>
    <w:rsid w:val="001A6A0E"/>
    <w:rsid w:val="001A6D3F"/>
    <w:rsid w:val="001A7BFF"/>
    <w:rsid w:val="001B1B2D"/>
    <w:rsid w:val="001B2D25"/>
    <w:rsid w:val="001B2E93"/>
    <w:rsid w:val="001B44F8"/>
    <w:rsid w:val="001B4E18"/>
    <w:rsid w:val="001B6455"/>
    <w:rsid w:val="001B6746"/>
    <w:rsid w:val="001B7100"/>
    <w:rsid w:val="001B7235"/>
    <w:rsid w:val="001C18E2"/>
    <w:rsid w:val="001C2E39"/>
    <w:rsid w:val="001C3C8D"/>
    <w:rsid w:val="001D12FE"/>
    <w:rsid w:val="001D5207"/>
    <w:rsid w:val="001D5826"/>
    <w:rsid w:val="001E3BFD"/>
    <w:rsid w:val="001E40F8"/>
    <w:rsid w:val="001E6AB0"/>
    <w:rsid w:val="001E6DE7"/>
    <w:rsid w:val="001E6F2E"/>
    <w:rsid w:val="001E702B"/>
    <w:rsid w:val="001F1870"/>
    <w:rsid w:val="001F1912"/>
    <w:rsid w:val="001F3487"/>
    <w:rsid w:val="001F3926"/>
    <w:rsid w:val="001F435B"/>
    <w:rsid w:val="001F4FC0"/>
    <w:rsid w:val="001F5F33"/>
    <w:rsid w:val="001F64A5"/>
    <w:rsid w:val="001F6646"/>
    <w:rsid w:val="001F6FB7"/>
    <w:rsid w:val="001F7547"/>
    <w:rsid w:val="001F7A51"/>
    <w:rsid w:val="00200B7F"/>
    <w:rsid w:val="00200F33"/>
    <w:rsid w:val="002012A3"/>
    <w:rsid w:val="002017B6"/>
    <w:rsid w:val="00201862"/>
    <w:rsid w:val="002019A1"/>
    <w:rsid w:val="002021CF"/>
    <w:rsid w:val="002044EA"/>
    <w:rsid w:val="0020508C"/>
    <w:rsid w:val="00210314"/>
    <w:rsid w:val="00210F9B"/>
    <w:rsid w:val="00211BBE"/>
    <w:rsid w:val="0021299B"/>
    <w:rsid w:val="002136DE"/>
    <w:rsid w:val="002149FC"/>
    <w:rsid w:val="00215208"/>
    <w:rsid w:val="002153DD"/>
    <w:rsid w:val="0021592B"/>
    <w:rsid w:val="00215AEE"/>
    <w:rsid w:val="00216A02"/>
    <w:rsid w:val="00217257"/>
    <w:rsid w:val="0021795E"/>
    <w:rsid w:val="00217AD4"/>
    <w:rsid w:val="0022122F"/>
    <w:rsid w:val="00222C81"/>
    <w:rsid w:val="00223923"/>
    <w:rsid w:val="00223A70"/>
    <w:rsid w:val="00224758"/>
    <w:rsid w:val="00225329"/>
    <w:rsid w:val="00225991"/>
    <w:rsid w:val="00226DF5"/>
    <w:rsid w:val="00226EC4"/>
    <w:rsid w:val="002307EA"/>
    <w:rsid w:val="00230BA6"/>
    <w:rsid w:val="00231867"/>
    <w:rsid w:val="00231CD8"/>
    <w:rsid w:val="00233E3F"/>
    <w:rsid w:val="00234E40"/>
    <w:rsid w:val="00235984"/>
    <w:rsid w:val="00235F7F"/>
    <w:rsid w:val="002369D6"/>
    <w:rsid w:val="0023790B"/>
    <w:rsid w:val="0024001C"/>
    <w:rsid w:val="00240083"/>
    <w:rsid w:val="00240F2D"/>
    <w:rsid w:val="0024182D"/>
    <w:rsid w:val="002425EF"/>
    <w:rsid w:val="00242D95"/>
    <w:rsid w:val="00242F98"/>
    <w:rsid w:val="00243016"/>
    <w:rsid w:val="00243704"/>
    <w:rsid w:val="00243E26"/>
    <w:rsid w:val="00243F50"/>
    <w:rsid w:val="002443C2"/>
    <w:rsid w:val="002465EA"/>
    <w:rsid w:val="0024730C"/>
    <w:rsid w:val="0025083A"/>
    <w:rsid w:val="00250D67"/>
    <w:rsid w:val="00250FE1"/>
    <w:rsid w:val="0025408B"/>
    <w:rsid w:val="0025417E"/>
    <w:rsid w:val="00255BCA"/>
    <w:rsid w:val="00257169"/>
    <w:rsid w:val="00257B83"/>
    <w:rsid w:val="00260BAF"/>
    <w:rsid w:val="00263B02"/>
    <w:rsid w:val="002659DE"/>
    <w:rsid w:val="00265D19"/>
    <w:rsid w:val="00266FA7"/>
    <w:rsid w:val="0026760C"/>
    <w:rsid w:val="00271777"/>
    <w:rsid w:val="00273702"/>
    <w:rsid w:val="002742AD"/>
    <w:rsid w:val="002746E9"/>
    <w:rsid w:val="00274E25"/>
    <w:rsid w:val="00274FC9"/>
    <w:rsid w:val="00276B85"/>
    <w:rsid w:val="00276EFD"/>
    <w:rsid w:val="002773EE"/>
    <w:rsid w:val="00277BC0"/>
    <w:rsid w:val="00277F62"/>
    <w:rsid w:val="00281B15"/>
    <w:rsid w:val="00281E68"/>
    <w:rsid w:val="00283122"/>
    <w:rsid w:val="0028365E"/>
    <w:rsid w:val="0028461A"/>
    <w:rsid w:val="0028622C"/>
    <w:rsid w:val="00286D9D"/>
    <w:rsid w:val="00286E00"/>
    <w:rsid w:val="002875EB"/>
    <w:rsid w:val="00287AF1"/>
    <w:rsid w:val="002916DD"/>
    <w:rsid w:val="002917CE"/>
    <w:rsid w:val="00292149"/>
    <w:rsid w:val="0029268F"/>
    <w:rsid w:val="00292CEF"/>
    <w:rsid w:val="00293973"/>
    <w:rsid w:val="00293A8D"/>
    <w:rsid w:val="00294354"/>
    <w:rsid w:val="00294741"/>
    <w:rsid w:val="00294DC3"/>
    <w:rsid w:val="00297B9A"/>
    <w:rsid w:val="002A030B"/>
    <w:rsid w:val="002A12AC"/>
    <w:rsid w:val="002A15C2"/>
    <w:rsid w:val="002A1A78"/>
    <w:rsid w:val="002A4363"/>
    <w:rsid w:val="002A452A"/>
    <w:rsid w:val="002A4B18"/>
    <w:rsid w:val="002A4CC9"/>
    <w:rsid w:val="002A5233"/>
    <w:rsid w:val="002A5CC2"/>
    <w:rsid w:val="002B1BD3"/>
    <w:rsid w:val="002B30B6"/>
    <w:rsid w:val="002B386C"/>
    <w:rsid w:val="002B48BD"/>
    <w:rsid w:val="002B490D"/>
    <w:rsid w:val="002B5ADF"/>
    <w:rsid w:val="002B619E"/>
    <w:rsid w:val="002B7436"/>
    <w:rsid w:val="002B7831"/>
    <w:rsid w:val="002C0B61"/>
    <w:rsid w:val="002C0EFD"/>
    <w:rsid w:val="002C223D"/>
    <w:rsid w:val="002C27EC"/>
    <w:rsid w:val="002C3C18"/>
    <w:rsid w:val="002C4191"/>
    <w:rsid w:val="002C4920"/>
    <w:rsid w:val="002C4950"/>
    <w:rsid w:val="002C526B"/>
    <w:rsid w:val="002C6D99"/>
    <w:rsid w:val="002C79A5"/>
    <w:rsid w:val="002C7D5A"/>
    <w:rsid w:val="002D0256"/>
    <w:rsid w:val="002D05E1"/>
    <w:rsid w:val="002D1973"/>
    <w:rsid w:val="002D522F"/>
    <w:rsid w:val="002D5F5F"/>
    <w:rsid w:val="002D6380"/>
    <w:rsid w:val="002D639E"/>
    <w:rsid w:val="002D63C0"/>
    <w:rsid w:val="002D698A"/>
    <w:rsid w:val="002D6C5C"/>
    <w:rsid w:val="002E216E"/>
    <w:rsid w:val="002E50B8"/>
    <w:rsid w:val="002E66C4"/>
    <w:rsid w:val="002E7302"/>
    <w:rsid w:val="002F0A5B"/>
    <w:rsid w:val="002F0FAA"/>
    <w:rsid w:val="002F14E0"/>
    <w:rsid w:val="002F1F9A"/>
    <w:rsid w:val="002F2A0D"/>
    <w:rsid w:val="002F3D63"/>
    <w:rsid w:val="002F463C"/>
    <w:rsid w:val="002F47CC"/>
    <w:rsid w:val="002F4A99"/>
    <w:rsid w:val="002F545F"/>
    <w:rsid w:val="002F5BB0"/>
    <w:rsid w:val="002F5E99"/>
    <w:rsid w:val="002F6298"/>
    <w:rsid w:val="002F77EE"/>
    <w:rsid w:val="002F7FF2"/>
    <w:rsid w:val="003011F6"/>
    <w:rsid w:val="00301CE3"/>
    <w:rsid w:val="0030221A"/>
    <w:rsid w:val="00303845"/>
    <w:rsid w:val="003038A0"/>
    <w:rsid w:val="00304306"/>
    <w:rsid w:val="00304907"/>
    <w:rsid w:val="00305B58"/>
    <w:rsid w:val="00305D86"/>
    <w:rsid w:val="00306216"/>
    <w:rsid w:val="00306399"/>
    <w:rsid w:val="00306F17"/>
    <w:rsid w:val="00310105"/>
    <w:rsid w:val="00310452"/>
    <w:rsid w:val="00311432"/>
    <w:rsid w:val="00315E8B"/>
    <w:rsid w:val="00316EFE"/>
    <w:rsid w:val="00317BD4"/>
    <w:rsid w:val="00320978"/>
    <w:rsid w:val="003213B3"/>
    <w:rsid w:val="00326A56"/>
    <w:rsid w:val="00327638"/>
    <w:rsid w:val="003304B7"/>
    <w:rsid w:val="00330515"/>
    <w:rsid w:val="00331774"/>
    <w:rsid w:val="00332695"/>
    <w:rsid w:val="00333809"/>
    <w:rsid w:val="00334F5C"/>
    <w:rsid w:val="0033693C"/>
    <w:rsid w:val="003372DE"/>
    <w:rsid w:val="00337D8D"/>
    <w:rsid w:val="00340301"/>
    <w:rsid w:val="00340707"/>
    <w:rsid w:val="00341C15"/>
    <w:rsid w:val="0034225B"/>
    <w:rsid w:val="003429E8"/>
    <w:rsid w:val="00343DE3"/>
    <w:rsid w:val="00345975"/>
    <w:rsid w:val="00345F26"/>
    <w:rsid w:val="0034661A"/>
    <w:rsid w:val="00350334"/>
    <w:rsid w:val="00350DC3"/>
    <w:rsid w:val="00351C46"/>
    <w:rsid w:val="00352DC4"/>
    <w:rsid w:val="003548EA"/>
    <w:rsid w:val="00355EC9"/>
    <w:rsid w:val="0035639A"/>
    <w:rsid w:val="00356E24"/>
    <w:rsid w:val="00357870"/>
    <w:rsid w:val="0035798C"/>
    <w:rsid w:val="00360073"/>
    <w:rsid w:val="00360671"/>
    <w:rsid w:val="003619FF"/>
    <w:rsid w:val="00361BB9"/>
    <w:rsid w:val="00366021"/>
    <w:rsid w:val="00366D6F"/>
    <w:rsid w:val="00367AA8"/>
    <w:rsid w:val="003706FE"/>
    <w:rsid w:val="003713AC"/>
    <w:rsid w:val="00372A2A"/>
    <w:rsid w:val="003742C1"/>
    <w:rsid w:val="0037496F"/>
    <w:rsid w:val="00376753"/>
    <w:rsid w:val="00376829"/>
    <w:rsid w:val="00376D81"/>
    <w:rsid w:val="00380455"/>
    <w:rsid w:val="0038084A"/>
    <w:rsid w:val="00380A38"/>
    <w:rsid w:val="00382016"/>
    <w:rsid w:val="003825B4"/>
    <w:rsid w:val="003847BB"/>
    <w:rsid w:val="00386427"/>
    <w:rsid w:val="00386FEB"/>
    <w:rsid w:val="00390177"/>
    <w:rsid w:val="0039046B"/>
    <w:rsid w:val="003914CF"/>
    <w:rsid w:val="00393807"/>
    <w:rsid w:val="0039380A"/>
    <w:rsid w:val="00397BD0"/>
    <w:rsid w:val="003A0280"/>
    <w:rsid w:val="003A1580"/>
    <w:rsid w:val="003A4197"/>
    <w:rsid w:val="003A4205"/>
    <w:rsid w:val="003A4407"/>
    <w:rsid w:val="003A5112"/>
    <w:rsid w:val="003A5655"/>
    <w:rsid w:val="003A5D5E"/>
    <w:rsid w:val="003A71FA"/>
    <w:rsid w:val="003B0271"/>
    <w:rsid w:val="003B02F3"/>
    <w:rsid w:val="003B2521"/>
    <w:rsid w:val="003B315B"/>
    <w:rsid w:val="003B33C9"/>
    <w:rsid w:val="003B44D3"/>
    <w:rsid w:val="003B7E39"/>
    <w:rsid w:val="003C115B"/>
    <w:rsid w:val="003C14F2"/>
    <w:rsid w:val="003C1ACB"/>
    <w:rsid w:val="003C2247"/>
    <w:rsid w:val="003C23CA"/>
    <w:rsid w:val="003C2EB2"/>
    <w:rsid w:val="003C2FC5"/>
    <w:rsid w:val="003C4494"/>
    <w:rsid w:val="003C5153"/>
    <w:rsid w:val="003C527A"/>
    <w:rsid w:val="003C61F4"/>
    <w:rsid w:val="003C63AE"/>
    <w:rsid w:val="003C6A65"/>
    <w:rsid w:val="003C70F8"/>
    <w:rsid w:val="003C7CBA"/>
    <w:rsid w:val="003D1591"/>
    <w:rsid w:val="003D1FD1"/>
    <w:rsid w:val="003D351A"/>
    <w:rsid w:val="003D47E6"/>
    <w:rsid w:val="003D4837"/>
    <w:rsid w:val="003D4AD0"/>
    <w:rsid w:val="003D728D"/>
    <w:rsid w:val="003D7B94"/>
    <w:rsid w:val="003D7DD0"/>
    <w:rsid w:val="003E31A6"/>
    <w:rsid w:val="003E32FD"/>
    <w:rsid w:val="003E391F"/>
    <w:rsid w:val="003E3B2B"/>
    <w:rsid w:val="003E3FFA"/>
    <w:rsid w:val="003E5FD5"/>
    <w:rsid w:val="003E7109"/>
    <w:rsid w:val="003F0F80"/>
    <w:rsid w:val="003F1D32"/>
    <w:rsid w:val="003F2AEA"/>
    <w:rsid w:val="003F46C5"/>
    <w:rsid w:val="003F4DA8"/>
    <w:rsid w:val="003F6498"/>
    <w:rsid w:val="003F74F1"/>
    <w:rsid w:val="003F761A"/>
    <w:rsid w:val="0040162C"/>
    <w:rsid w:val="00401A38"/>
    <w:rsid w:val="00402272"/>
    <w:rsid w:val="0040350C"/>
    <w:rsid w:val="004036B9"/>
    <w:rsid w:val="00403AE6"/>
    <w:rsid w:val="00405F6A"/>
    <w:rsid w:val="00406472"/>
    <w:rsid w:val="00406AC9"/>
    <w:rsid w:val="00407492"/>
    <w:rsid w:val="00407729"/>
    <w:rsid w:val="00407E3C"/>
    <w:rsid w:val="00410C50"/>
    <w:rsid w:val="0041304E"/>
    <w:rsid w:val="00413299"/>
    <w:rsid w:val="00413AE4"/>
    <w:rsid w:val="004140AF"/>
    <w:rsid w:val="004144F0"/>
    <w:rsid w:val="00415A3D"/>
    <w:rsid w:val="00416923"/>
    <w:rsid w:val="00416F25"/>
    <w:rsid w:val="004172F0"/>
    <w:rsid w:val="004208CF"/>
    <w:rsid w:val="00420EC8"/>
    <w:rsid w:val="00421D74"/>
    <w:rsid w:val="0042246B"/>
    <w:rsid w:val="00424CEB"/>
    <w:rsid w:val="00424EF0"/>
    <w:rsid w:val="00425BC2"/>
    <w:rsid w:val="00425DE9"/>
    <w:rsid w:val="004274EE"/>
    <w:rsid w:val="0042760C"/>
    <w:rsid w:val="004277E0"/>
    <w:rsid w:val="00427C86"/>
    <w:rsid w:val="00430400"/>
    <w:rsid w:val="00430735"/>
    <w:rsid w:val="00430D7B"/>
    <w:rsid w:val="00431129"/>
    <w:rsid w:val="00431196"/>
    <w:rsid w:val="0043170B"/>
    <w:rsid w:val="00431E45"/>
    <w:rsid w:val="00432717"/>
    <w:rsid w:val="004330B5"/>
    <w:rsid w:val="00433404"/>
    <w:rsid w:val="00433EFD"/>
    <w:rsid w:val="00435937"/>
    <w:rsid w:val="00435BA8"/>
    <w:rsid w:val="00436589"/>
    <w:rsid w:val="0043690D"/>
    <w:rsid w:val="00436985"/>
    <w:rsid w:val="00440693"/>
    <w:rsid w:val="004409AB"/>
    <w:rsid w:val="004409B3"/>
    <w:rsid w:val="00441B59"/>
    <w:rsid w:val="00442409"/>
    <w:rsid w:val="004436CA"/>
    <w:rsid w:val="00443854"/>
    <w:rsid w:val="00444426"/>
    <w:rsid w:val="00444FCE"/>
    <w:rsid w:val="004479CB"/>
    <w:rsid w:val="00450831"/>
    <w:rsid w:val="00452321"/>
    <w:rsid w:val="00452829"/>
    <w:rsid w:val="00453FA1"/>
    <w:rsid w:val="0045607E"/>
    <w:rsid w:val="004563EC"/>
    <w:rsid w:val="00456410"/>
    <w:rsid w:val="00457AAE"/>
    <w:rsid w:val="00457B73"/>
    <w:rsid w:val="00462056"/>
    <w:rsid w:val="00462BAB"/>
    <w:rsid w:val="004631F2"/>
    <w:rsid w:val="0046407A"/>
    <w:rsid w:val="004640A1"/>
    <w:rsid w:val="00465AB5"/>
    <w:rsid w:val="00466218"/>
    <w:rsid w:val="004708D7"/>
    <w:rsid w:val="00470D26"/>
    <w:rsid w:val="00472887"/>
    <w:rsid w:val="004729B0"/>
    <w:rsid w:val="00472A18"/>
    <w:rsid w:val="00474065"/>
    <w:rsid w:val="004747FE"/>
    <w:rsid w:val="00474A42"/>
    <w:rsid w:val="00476517"/>
    <w:rsid w:val="00477E11"/>
    <w:rsid w:val="00480993"/>
    <w:rsid w:val="00482FFA"/>
    <w:rsid w:val="004833AF"/>
    <w:rsid w:val="00483D16"/>
    <w:rsid w:val="00485B62"/>
    <w:rsid w:val="0048639D"/>
    <w:rsid w:val="00490BC4"/>
    <w:rsid w:val="0049239B"/>
    <w:rsid w:val="004957A3"/>
    <w:rsid w:val="00497120"/>
    <w:rsid w:val="004A0073"/>
    <w:rsid w:val="004A0274"/>
    <w:rsid w:val="004A07D1"/>
    <w:rsid w:val="004A0918"/>
    <w:rsid w:val="004A2718"/>
    <w:rsid w:val="004A2D4D"/>
    <w:rsid w:val="004A3579"/>
    <w:rsid w:val="004A37DC"/>
    <w:rsid w:val="004A3F4A"/>
    <w:rsid w:val="004A7D39"/>
    <w:rsid w:val="004B0209"/>
    <w:rsid w:val="004B16F8"/>
    <w:rsid w:val="004B3DFF"/>
    <w:rsid w:val="004B45CB"/>
    <w:rsid w:val="004B4761"/>
    <w:rsid w:val="004B5443"/>
    <w:rsid w:val="004B681A"/>
    <w:rsid w:val="004B6B48"/>
    <w:rsid w:val="004B755B"/>
    <w:rsid w:val="004B79B1"/>
    <w:rsid w:val="004C228A"/>
    <w:rsid w:val="004C2CE2"/>
    <w:rsid w:val="004C39EA"/>
    <w:rsid w:val="004C4F99"/>
    <w:rsid w:val="004C57A7"/>
    <w:rsid w:val="004C63BC"/>
    <w:rsid w:val="004C7654"/>
    <w:rsid w:val="004D05F2"/>
    <w:rsid w:val="004D0779"/>
    <w:rsid w:val="004D07D4"/>
    <w:rsid w:val="004D09FB"/>
    <w:rsid w:val="004D0C7D"/>
    <w:rsid w:val="004D1429"/>
    <w:rsid w:val="004D1A30"/>
    <w:rsid w:val="004D248E"/>
    <w:rsid w:val="004D278F"/>
    <w:rsid w:val="004D396C"/>
    <w:rsid w:val="004D3ADB"/>
    <w:rsid w:val="004D4061"/>
    <w:rsid w:val="004D5172"/>
    <w:rsid w:val="004D55C0"/>
    <w:rsid w:val="004D69FA"/>
    <w:rsid w:val="004D766D"/>
    <w:rsid w:val="004E0C52"/>
    <w:rsid w:val="004E0D21"/>
    <w:rsid w:val="004E12EA"/>
    <w:rsid w:val="004E16C8"/>
    <w:rsid w:val="004E3737"/>
    <w:rsid w:val="004E3C73"/>
    <w:rsid w:val="004E4927"/>
    <w:rsid w:val="004E7F2C"/>
    <w:rsid w:val="004F113E"/>
    <w:rsid w:val="004F12D0"/>
    <w:rsid w:val="004F12F2"/>
    <w:rsid w:val="004F1793"/>
    <w:rsid w:val="004F4DE9"/>
    <w:rsid w:val="004F4F45"/>
    <w:rsid w:val="004F525D"/>
    <w:rsid w:val="004F6A0C"/>
    <w:rsid w:val="00502819"/>
    <w:rsid w:val="005028FB"/>
    <w:rsid w:val="00502CF0"/>
    <w:rsid w:val="00502E68"/>
    <w:rsid w:val="005037E5"/>
    <w:rsid w:val="005044E5"/>
    <w:rsid w:val="005071BE"/>
    <w:rsid w:val="00507422"/>
    <w:rsid w:val="00507864"/>
    <w:rsid w:val="00510D11"/>
    <w:rsid w:val="00511164"/>
    <w:rsid w:val="005130EA"/>
    <w:rsid w:val="00513386"/>
    <w:rsid w:val="00515CA8"/>
    <w:rsid w:val="00516FE1"/>
    <w:rsid w:val="005226E0"/>
    <w:rsid w:val="005229A7"/>
    <w:rsid w:val="005233DE"/>
    <w:rsid w:val="005236A0"/>
    <w:rsid w:val="0052469B"/>
    <w:rsid w:val="00525798"/>
    <w:rsid w:val="005258ED"/>
    <w:rsid w:val="00527AD1"/>
    <w:rsid w:val="005314EE"/>
    <w:rsid w:val="005326C2"/>
    <w:rsid w:val="005337A7"/>
    <w:rsid w:val="00534376"/>
    <w:rsid w:val="00534A06"/>
    <w:rsid w:val="00534ADD"/>
    <w:rsid w:val="00534D1F"/>
    <w:rsid w:val="00535BFD"/>
    <w:rsid w:val="00536059"/>
    <w:rsid w:val="0053682A"/>
    <w:rsid w:val="005368A0"/>
    <w:rsid w:val="00537CA0"/>
    <w:rsid w:val="00540B1D"/>
    <w:rsid w:val="00540FE9"/>
    <w:rsid w:val="005430E8"/>
    <w:rsid w:val="005431E4"/>
    <w:rsid w:val="0054330C"/>
    <w:rsid w:val="005433BA"/>
    <w:rsid w:val="00546EF7"/>
    <w:rsid w:val="00547561"/>
    <w:rsid w:val="00550383"/>
    <w:rsid w:val="00550D4F"/>
    <w:rsid w:val="00551E17"/>
    <w:rsid w:val="00552787"/>
    <w:rsid w:val="00555237"/>
    <w:rsid w:val="005553F0"/>
    <w:rsid w:val="00555920"/>
    <w:rsid w:val="005559A5"/>
    <w:rsid w:val="005619B5"/>
    <w:rsid w:val="0056274A"/>
    <w:rsid w:val="00562FA3"/>
    <w:rsid w:val="00563A3D"/>
    <w:rsid w:val="00563F2B"/>
    <w:rsid w:val="00564437"/>
    <w:rsid w:val="00566AB6"/>
    <w:rsid w:val="00566B9C"/>
    <w:rsid w:val="00566FA4"/>
    <w:rsid w:val="00567B58"/>
    <w:rsid w:val="0057102D"/>
    <w:rsid w:val="00572A08"/>
    <w:rsid w:val="00573E05"/>
    <w:rsid w:val="00574096"/>
    <w:rsid w:val="00574E1B"/>
    <w:rsid w:val="00575AAC"/>
    <w:rsid w:val="00577763"/>
    <w:rsid w:val="005802C3"/>
    <w:rsid w:val="0058048E"/>
    <w:rsid w:val="00580B62"/>
    <w:rsid w:val="0058124A"/>
    <w:rsid w:val="00581286"/>
    <w:rsid w:val="00581F87"/>
    <w:rsid w:val="005825BC"/>
    <w:rsid w:val="0058291A"/>
    <w:rsid w:val="005829FE"/>
    <w:rsid w:val="00583BFC"/>
    <w:rsid w:val="005849E4"/>
    <w:rsid w:val="005856BE"/>
    <w:rsid w:val="00585810"/>
    <w:rsid w:val="00586A2A"/>
    <w:rsid w:val="00587536"/>
    <w:rsid w:val="00587DB1"/>
    <w:rsid w:val="00591D2D"/>
    <w:rsid w:val="0059300B"/>
    <w:rsid w:val="00593B08"/>
    <w:rsid w:val="00596B5F"/>
    <w:rsid w:val="005A0130"/>
    <w:rsid w:val="005A132B"/>
    <w:rsid w:val="005A50F3"/>
    <w:rsid w:val="005A5B63"/>
    <w:rsid w:val="005A6419"/>
    <w:rsid w:val="005A6873"/>
    <w:rsid w:val="005A76F9"/>
    <w:rsid w:val="005A770A"/>
    <w:rsid w:val="005A7713"/>
    <w:rsid w:val="005B0719"/>
    <w:rsid w:val="005B1062"/>
    <w:rsid w:val="005B130E"/>
    <w:rsid w:val="005B3D26"/>
    <w:rsid w:val="005B4890"/>
    <w:rsid w:val="005B4B0C"/>
    <w:rsid w:val="005B4E94"/>
    <w:rsid w:val="005B5D64"/>
    <w:rsid w:val="005B7722"/>
    <w:rsid w:val="005B7C1A"/>
    <w:rsid w:val="005C046F"/>
    <w:rsid w:val="005C0B4B"/>
    <w:rsid w:val="005C179F"/>
    <w:rsid w:val="005C1D98"/>
    <w:rsid w:val="005C2749"/>
    <w:rsid w:val="005C4340"/>
    <w:rsid w:val="005C4E0E"/>
    <w:rsid w:val="005C4E51"/>
    <w:rsid w:val="005C6A3A"/>
    <w:rsid w:val="005C712B"/>
    <w:rsid w:val="005C76FA"/>
    <w:rsid w:val="005C78A5"/>
    <w:rsid w:val="005C79D0"/>
    <w:rsid w:val="005D1831"/>
    <w:rsid w:val="005D2146"/>
    <w:rsid w:val="005D32C5"/>
    <w:rsid w:val="005D3347"/>
    <w:rsid w:val="005D3980"/>
    <w:rsid w:val="005D3FFC"/>
    <w:rsid w:val="005D5D9F"/>
    <w:rsid w:val="005D6A83"/>
    <w:rsid w:val="005D6E01"/>
    <w:rsid w:val="005E147D"/>
    <w:rsid w:val="005E15FC"/>
    <w:rsid w:val="005E29E8"/>
    <w:rsid w:val="005E2AFF"/>
    <w:rsid w:val="005E3588"/>
    <w:rsid w:val="005E4880"/>
    <w:rsid w:val="005E710D"/>
    <w:rsid w:val="005E7E42"/>
    <w:rsid w:val="005F0B4B"/>
    <w:rsid w:val="005F0CE3"/>
    <w:rsid w:val="005F0FCC"/>
    <w:rsid w:val="005F22E2"/>
    <w:rsid w:val="005F3783"/>
    <w:rsid w:val="005F47F2"/>
    <w:rsid w:val="005F4DD4"/>
    <w:rsid w:val="005F6E01"/>
    <w:rsid w:val="005F725E"/>
    <w:rsid w:val="0060079D"/>
    <w:rsid w:val="00600B8A"/>
    <w:rsid w:val="0060104D"/>
    <w:rsid w:val="00602126"/>
    <w:rsid w:val="00603935"/>
    <w:rsid w:val="00606528"/>
    <w:rsid w:val="00607FE7"/>
    <w:rsid w:val="00610275"/>
    <w:rsid w:val="00610535"/>
    <w:rsid w:val="00612A45"/>
    <w:rsid w:val="00613C1D"/>
    <w:rsid w:val="00615055"/>
    <w:rsid w:val="0061722E"/>
    <w:rsid w:val="00617ED9"/>
    <w:rsid w:val="00620711"/>
    <w:rsid w:val="00623BC7"/>
    <w:rsid w:val="00624043"/>
    <w:rsid w:val="006247DF"/>
    <w:rsid w:val="00625450"/>
    <w:rsid w:val="006257EC"/>
    <w:rsid w:val="006275FB"/>
    <w:rsid w:val="006278A0"/>
    <w:rsid w:val="00627ACC"/>
    <w:rsid w:val="00627B34"/>
    <w:rsid w:val="00627C34"/>
    <w:rsid w:val="0063316A"/>
    <w:rsid w:val="006359E1"/>
    <w:rsid w:val="00635E21"/>
    <w:rsid w:val="00636D3E"/>
    <w:rsid w:val="00637171"/>
    <w:rsid w:val="00637FC8"/>
    <w:rsid w:val="00641142"/>
    <w:rsid w:val="0064212A"/>
    <w:rsid w:val="00642FED"/>
    <w:rsid w:val="0064561F"/>
    <w:rsid w:val="00645F4F"/>
    <w:rsid w:val="0064622D"/>
    <w:rsid w:val="0065009E"/>
    <w:rsid w:val="00650E4F"/>
    <w:rsid w:val="006537AF"/>
    <w:rsid w:val="006542B4"/>
    <w:rsid w:val="0065545D"/>
    <w:rsid w:val="00655DAC"/>
    <w:rsid w:val="006561EA"/>
    <w:rsid w:val="00656427"/>
    <w:rsid w:val="00657984"/>
    <w:rsid w:val="00657B6C"/>
    <w:rsid w:val="00660819"/>
    <w:rsid w:val="00660D77"/>
    <w:rsid w:val="00660F4F"/>
    <w:rsid w:val="00661492"/>
    <w:rsid w:val="00662681"/>
    <w:rsid w:val="00662C2D"/>
    <w:rsid w:val="006661B0"/>
    <w:rsid w:val="00666A7E"/>
    <w:rsid w:val="00670F4B"/>
    <w:rsid w:val="00672F10"/>
    <w:rsid w:val="00673285"/>
    <w:rsid w:val="0067540C"/>
    <w:rsid w:val="0067641D"/>
    <w:rsid w:val="0067666F"/>
    <w:rsid w:val="00676821"/>
    <w:rsid w:val="006778EC"/>
    <w:rsid w:val="00677B3A"/>
    <w:rsid w:val="00681132"/>
    <w:rsid w:val="00681E5B"/>
    <w:rsid w:val="00682D87"/>
    <w:rsid w:val="006853E1"/>
    <w:rsid w:val="006858F2"/>
    <w:rsid w:val="00686531"/>
    <w:rsid w:val="00686FAA"/>
    <w:rsid w:val="00690047"/>
    <w:rsid w:val="006909C7"/>
    <w:rsid w:val="00690C0A"/>
    <w:rsid w:val="00690F51"/>
    <w:rsid w:val="0069222F"/>
    <w:rsid w:val="00693248"/>
    <w:rsid w:val="00693C58"/>
    <w:rsid w:val="0069415E"/>
    <w:rsid w:val="006957FB"/>
    <w:rsid w:val="00695D12"/>
    <w:rsid w:val="00696193"/>
    <w:rsid w:val="006966A8"/>
    <w:rsid w:val="00696F84"/>
    <w:rsid w:val="006A00F9"/>
    <w:rsid w:val="006A06C9"/>
    <w:rsid w:val="006A0F24"/>
    <w:rsid w:val="006A0FEB"/>
    <w:rsid w:val="006A3A03"/>
    <w:rsid w:val="006A3BEE"/>
    <w:rsid w:val="006A3C6B"/>
    <w:rsid w:val="006A4146"/>
    <w:rsid w:val="006A4555"/>
    <w:rsid w:val="006A4995"/>
    <w:rsid w:val="006A5343"/>
    <w:rsid w:val="006A5F4E"/>
    <w:rsid w:val="006A6667"/>
    <w:rsid w:val="006B000D"/>
    <w:rsid w:val="006B01B7"/>
    <w:rsid w:val="006B10DF"/>
    <w:rsid w:val="006B2541"/>
    <w:rsid w:val="006B2C10"/>
    <w:rsid w:val="006B357D"/>
    <w:rsid w:val="006B39FF"/>
    <w:rsid w:val="006B3C38"/>
    <w:rsid w:val="006B4816"/>
    <w:rsid w:val="006B5441"/>
    <w:rsid w:val="006B54EB"/>
    <w:rsid w:val="006B6049"/>
    <w:rsid w:val="006B71B5"/>
    <w:rsid w:val="006B75B1"/>
    <w:rsid w:val="006B7680"/>
    <w:rsid w:val="006C1072"/>
    <w:rsid w:val="006C1B0F"/>
    <w:rsid w:val="006C3D92"/>
    <w:rsid w:val="006C43BC"/>
    <w:rsid w:val="006C56FB"/>
    <w:rsid w:val="006C61AC"/>
    <w:rsid w:val="006C634F"/>
    <w:rsid w:val="006C6578"/>
    <w:rsid w:val="006C66C5"/>
    <w:rsid w:val="006C6A13"/>
    <w:rsid w:val="006C7543"/>
    <w:rsid w:val="006D0CA0"/>
    <w:rsid w:val="006D0DDD"/>
    <w:rsid w:val="006D0DF0"/>
    <w:rsid w:val="006D1C44"/>
    <w:rsid w:val="006D1DE3"/>
    <w:rsid w:val="006D233A"/>
    <w:rsid w:val="006D2EE5"/>
    <w:rsid w:val="006D3D7B"/>
    <w:rsid w:val="006D3EB3"/>
    <w:rsid w:val="006D415E"/>
    <w:rsid w:val="006D542B"/>
    <w:rsid w:val="006D6CBA"/>
    <w:rsid w:val="006D6E67"/>
    <w:rsid w:val="006E16C7"/>
    <w:rsid w:val="006E1D54"/>
    <w:rsid w:val="006E23C6"/>
    <w:rsid w:val="006E282E"/>
    <w:rsid w:val="006E29E0"/>
    <w:rsid w:val="006E2BDE"/>
    <w:rsid w:val="006E307E"/>
    <w:rsid w:val="006E3514"/>
    <w:rsid w:val="006E375D"/>
    <w:rsid w:val="006E5A9F"/>
    <w:rsid w:val="006E6CF4"/>
    <w:rsid w:val="006F168D"/>
    <w:rsid w:val="006F17FA"/>
    <w:rsid w:val="006F4195"/>
    <w:rsid w:val="006F4BAE"/>
    <w:rsid w:val="006F61BD"/>
    <w:rsid w:val="006F7722"/>
    <w:rsid w:val="006F7839"/>
    <w:rsid w:val="00700C42"/>
    <w:rsid w:val="007011C1"/>
    <w:rsid w:val="00701C22"/>
    <w:rsid w:val="00702094"/>
    <w:rsid w:val="00702715"/>
    <w:rsid w:val="00702B9E"/>
    <w:rsid w:val="00702E4B"/>
    <w:rsid w:val="00703889"/>
    <w:rsid w:val="00705457"/>
    <w:rsid w:val="007068AB"/>
    <w:rsid w:val="00707084"/>
    <w:rsid w:val="007070E3"/>
    <w:rsid w:val="007112A2"/>
    <w:rsid w:val="00712A73"/>
    <w:rsid w:val="00712A83"/>
    <w:rsid w:val="00721238"/>
    <w:rsid w:val="00722083"/>
    <w:rsid w:val="007224DB"/>
    <w:rsid w:val="00722792"/>
    <w:rsid w:val="00722E84"/>
    <w:rsid w:val="00724015"/>
    <w:rsid w:val="00724731"/>
    <w:rsid w:val="00726A62"/>
    <w:rsid w:val="00727273"/>
    <w:rsid w:val="00727C23"/>
    <w:rsid w:val="00727FED"/>
    <w:rsid w:val="00732FC1"/>
    <w:rsid w:val="00734255"/>
    <w:rsid w:val="007353E2"/>
    <w:rsid w:val="007358D7"/>
    <w:rsid w:val="0073771F"/>
    <w:rsid w:val="00737E31"/>
    <w:rsid w:val="0074128D"/>
    <w:rsid w:val="00741B49"/>
    <w:rsid w:val="00742B3C"/>
    <w:rsid w:val="00743AB0"/>
    <w:rsid w:val="007464BE"/>
    <w:rsid w:val="00746D4F"/>
    <w:rsid w:val="00747701"/>
    <w:rsid w:val="00747F09"/>
    <w:rsid w:val="00750BE8"/>
    <w:rsid w:val="00751EA7"/>
    <w:rsid w:val="00752769"/>
    <w:rsid w:val="00754D46"/>
    <w:rsid w:val="0075549A"/>
    <w:rsid w:val="00755D12"/>
    <w:rsid w:val="007565BB"/>
    <w:rsid w:val="0076073D"/>
    <w:rsid w:val="00760B84"/>
    <w:rsid w:val="007616E5"/>
    <w:rsid w:val="0076431E"/>
    <w:rsid w:val="00765F82"/>
    <w:rsid w:val="007661CF"/>
    <w:rsid w:val="007662B9"/>
    <w:rsid w:val="0076775B"/>
    <w:rsid w:val="00771C77"/>
    <w:rsid w:val="00773B51"/>
    <w:rsid w:val="0077489D"/>
    <w:rsid w:val="00775AA9"/>
    <w:rsid w:val="00775E14"/>
    <w:rsid w:val="00776436"/>
    <w:rsid w:val="007767DA"/>
    <w:rsid w:val="00777F26"/>
    <w:rsid w:val="00784A0B"/>
    <w:rsid w:val="00785B32"/>
    <w:rsid w:val="00786D87"/>
    <w:rsid w:val="0078702C"/>
    <w:rsid w:val="007902D6"/>
    <w:rsid w:val="00791245"/>
    <w:rsid w:val="0079228F"/>
    <w:rsid w:val="00792659"/>
    <w:rsid w:val="00794EA1"/>
    <w:rsid w:val="00795F64"/>
    <w:rsid w:val="0079680F"/>
    <w:rsid w:val="00796E20"/>
    <w:rsid w:val="0079779B"/>
    <w:rsid w:val="007A0D8A"/>
    <w:rsid w:val="007A0FBC"/>
    <w:rsid w:val="007A18BF"/>
    <w:rsid w:val="007A19E2"/>
    <w:rsid w:val="007A35C2"/>
    <w:rsid w:val="007A41C6"/>
    <w:rsid w:val="007A4767"/>
    <w:rsid w:val="007A5859"/>
    <w:rsid w:val="007A5A09"/>
    <w:rsid w:val="007A5F83"/>
    <w:rsid w:val="007A63A0"/>
    <w:rsid w:val="007A6452"/>
    <w:rsid w:val="007A7A6C"/>
    <w:rsid w:val="007B15DC"/>
    <w:rsid w:val="007B175A"/>
    <w:rsid w:val="007B1E17"/>
    <w:rsid w:val="007B2BAB"/>
    <w:rsid w:val="007B317F"/>
    <w:rsid w:val="007B3223"/>
    <w:rsid w:val="007B324C"/>
    <w:rsid w:val="007B4048"/>
    <w:rsid w:val="007B4867"/>
    <w:rsid w:val="007B571D"/>
    <w:rsid w:val="007B6F47"/>
    <w:rsid w:val="007C220F"/>
    <w:rsid w:val="007C2770"/>
    <w:rsid w:val="007C2F8D"/>
    <w:rsid w:val="007C3B61"/>
    <w:rsid w:val="007C44C3"/>
    <w:rsid w:val="007C6E9B"/>
    <w:rsid w:val="007C7173"/>
    <w:rsid w:val="007D3626"/>
    <w:rsid w:val="007D368F"/>
    <w:rsid w:val="007D3957"/>
    <w:rsid w:val="007D43E8"/>
    <w:rsid w:val="007D6886"/>
    <w:rsid w:val="007D768F"/>
    <w:rsid w:val="007E22EC"/>
    <w:rsid w:val="007E2D89"/>
    <w:rsid w:val="007E40B0"/>
    <w:rsid w:val="007E4516"/>
    <w:rsid w:val="007E6A14"/>
    <w:rsid w:val="007F0FF6"/>
    <w:rsid w:val="007F2B42"/>
    <w:rsid w:val="007F33D0"/>
    <w:rsid w:val="007F37B7"/>
    <w:rsid w:val="007F4774"/>
    <w:rsid w:val="007F5EAA"/>
    <w:rsid w:val="007F689E"/>
    <w:rsid w:val="00800CCB"/>
    <w:rsid w:val="008019D5"/>
    <w:rsid w:val="0080243D"/>
    <w:rsid w:val="00802BD1"/>
    <w:rsid w:val="00803F22"/>
    <w:rsid w:val="00804772"/>
    <w:rsid w:val="008049DB"/>
    <w:rsid w:val="00804BF3"/>
    <w:rsid w:val="0080521F"/>
    <w:rsid w:val="0080523A"/>
    <w:rsid w:val="00806A55"/>
    <w:rsid w:val="00806A8B"/>
    <w:rsid w:val="00807163"/>
    <w:rsid w:val="008100AB"/>
    <w:rsid w:val="00812E68"/>
    <w:rsid w:val="00814994"/>
    <w:rsid w:val="00814C6F"/>
    <w:rsid w:val="008158E5"/>
    <w:rsid w:val="00817500"/>
    <w:rsid w:val="00820517"/>
    <w:rsid w:val="00820FF6"/>
    <w:rsid w:val="00821692"/>
    <w:rsid w:val="0082216B"/>
    <w:rsid w:val="008226A9"/>
    <w:rsid w:val="00822E92"/>
    <w:rsid w:val="0082354E"/>
    <w:rsid w:val="00823D19"/>
    <w:rsid w:val="00824034"/>
    <w:rsid w:val="00824E5E"/>
    <w:rsid w:val="0082628E"/>
    <w:rsid w:val="00826B84"/>
    <w:rsid w:val="00827F26"/>
    <w:rsid w:val="00830174"/>
    <w:rsid w:val="00830553"/>
    <w:rsid w:val="00830655"/>
    <w:rsid w:val="00830AC2"/>
    <w:rsid w:val="0083109F"/>
    <w:rsid w:val="00833764"/>
    <w:rsid w:val="00833EA7"/>
    <w:rsid w:val="00834682"/>
    <w:rsid w:val="008347FF"/>
    <w:rsid w:val="0083571F"/>
    <w:rsid w:val="00836D92"/>
    <w:rsid w:val="008378BE"/>
    <w:rsid w:val="008402C6"/>
    <w:rsid w:val="008436A2"/>
    <w:rsid w:val="00844B8A"/>
    <w:rsid w:val="008458A0"/>
    <w:rsid w:val="00846354"/>
    <w:rsid w:val="008472CA"/>
    <w:rsid w:val="008507AE"/>
    <w:rsid w:val="00851D28"/>
    <w:rsid w:val="00852177"/>
    <w:rsid w:val="00852620"/>
    <w:rsid w:val="00853049"/>
    <w:rsid w:val="00853EAD"/>
    <w:rsid w:val="008544A3"/>
    <w:rsid w:val="008548BC"/>
    <w:rsid w:val="00855DB8"/>
    <w:rsid w:val="008571D5"/>
    <w:rsid w:val="00857745"/>
    <w:rsid w:val="00860B9F"/>
    <w:rsid w:val="00861EB0"/>
    <w:rsid w:val="0086240C"/>
    <w:rsid w:val="0086251C"/>
    <w:rsid w:val="0086343C"/>
    <w:rsid w:val="00863AEA"/>
    <w:rsid w:val="0086427C"/>
    <w:rsid w:val="00864353"/>
    <w:rsid w:val="008645C6"/>
    <w:rsid w:val="00864830"/>
    <w:rsid w:val="00865C56"/>
    <w:rsid w:val="00865D7F"/>
    <w:rsid w:val="008662F4"/>
    <w:rsid w:val="00871E18"/>
    <w:rsid w:val="0087393D"/>
    <w:rsid w:val="00874CE3"/>
    <w:rsid w:val="00875996"/>
    <w:rsid w:val="008760A1"/>
    <w:rsid w:val="008766CB"/>
    <w:rsid w:val="0087788F"/>
    <w:rsid w:val="00877D17"/>
    <w:rsid w:val="00880021"/>
    <w:rsid w:val="00880BAE"/>
    <w:rsid w:val="00880F75"/>
    <w:rsid w:val="00880F81"/>
    <w:rsid w:val="008813FA"/>
    <w:rsid w:val="0088213D"/>
    <w:rsid w:val="0088384A"/>
    <w:rsid w:val="008838C0"/>
    <w:rsid w:val="008842FC"/>
    <w:rsid w:val="00885B2C"/>
    <w:rsid w:val="00886EBD"/>
    <w:rsid w:val="00887811"/>
    <w:rsid w:val="0089032E"/>
    <w:rsid w:val="00890FE0"/>
    <w:rsid w:val="00891E80"/>
    <w:rsid w:val="008924AD"/>
    <w:rsid w:val="0089272C"/>
    <w:rsid w:val="00893677"/>
    <w:rsid w:val="00893DAE"/>
    <w:rsid w:val="0089425A"/>
    <w:rsid w:val="008947E9"/>
    <w:rsid w:val="0089519E"/>
    <w:rsid w:val="0089635E"/>
    <w:rsid w:val="008A1A5C"/>
    <w:rsid w:val="008A2B96"/>
    <w:rsid w:val="008A2CE8"/>
    <w:rsid w:val="008A3267"/>
    <w:rsid w:val="008A3D24"/>
    <w:rsid w:val="008A45B9"/>
    <w:rsid w:val="008A4F6C"/>
    <w:rsid w:val="008A65FF"/>
    <w:rsid w:val="008A78C3"/>
    <w:rsid w:val="008A7F0C"/>
    <w:rsid w:val="008B0C0D"/>
    <w:rsid w:val="008B2499"/>
    <w:rsid w:val="008B3148"/>
    <w:rsid w:val="008B36E8"/>
    <w:rsid w:val="008B59B8"/>
    <w:rsid w:val="008B5D54"/>
    <w:rsid w:val="008C053F"/>
    <w:rsid w:val="008C0A91"/>
    <w:rsid w:val="008C0B96"/>
    <w:rsid w:val="008C20B9"/>
    <w:rsid w:val="008C2781"/>
    <w:rsid w:val="008C2A8B"/>
    <w:rsid w:val="008C316C"/>
    <w:rsid w:val="008C3EE3"/>
    <w:rsid w:val="008C553A"/>
    <w:rsid w:val="008C5C63"/>
    <w:rsid w:val="008D0736"/>
    <w:rsid w:val="008D19AF"/>
    <w:rsid w:val="008D2364"/>
    <w:rsid w:val="008D2EAF"/>
    <w:rsid w:val="008D356F"/>
    <w:rsid w:val="008D3DD6"/>
    <w:rsid w:val="008D416C"/>
    <w:rsid w:val="008D6AF4"/>
    <w:rsid w:val="008D77F3"/>
    <w:rsid w:val="008D7F2E"/>
    <w:rsid w:val="008E072E"/>
    <w:rsid w:val="008E0C62"/>
    <w:rsid w:val="008E1DC6"/>
    <w:rsid w:val="008E1F42"/>
    <w:rsid w:val="008E25FD"/>
    <w:rsid w:val="008E34D4"/>
    <w:rsid w:val="008E5203"/>
    <w:rsid w:val="008E535E"/>
    <w:rsid w:val="008E5CCE"/>
    <w:rsid w:val="008E6066"/>
    <w:rsid w:val="008E666D"/>
    <w:rsid w:val="008E6FA9"/>
    <w:rsid w:val="008E76A4"/>
    <w:rsid w:val="008E79A2"/>
    <w:rsid w:val="008F015F"/>
    <w:rsid w:val="008F09D0"/>
    <w:rsid w:val="008F11F7"/>
    <w:rsid w:val="008F2319"/>
    <w:rsid w:val="008F3303"/>
    <w:rsid w:val="008F3EB1"/>
    <w:rsid w:val="008F4819"/>
    <w:rsid w:val="008F5C28"/>
    <w:rsid w:val="008F5EA0"/>
    <w:rsid w:val="008F6957"/>
    <w:rsid w:val="008F7C5B"/>
    <w:rsid w:val="00900241"/>
    <w:rsid w:val="00901616"/>
    <w:rsid w:val="009026E7"/>
    <w:rsid w:val="00903317"/>
    <w:rsid w:val="00903EFB"/>
    <w:rsid w:val="0090466C"/>
    <w:rsid w:val="00905545"/>
    <w:rsid w:val="00905D43"/>
    <w:rsid w:val="00905E25"/>
    <w:rsid w:val="009060F2"/>
    <w:rsid w:val="00906247"/>
    <w:rsid w:val="00906C43"/>
    <w:rsid w:val="009071D8"/>
    <w:rsid w:val="009073C5"/>
    <w:rsid w:val="009104B2"/>
    <w:rsid w:val="009107BC"/>
    <w:rsid w:val="0091356F"/>
    <w:rsid w:val="0091429E"/>
    <w:rsid w:val="0091456B"/>
    <w:rsid w:val="00915FCF"/>
    <w:rsid w:val="00917390"/>
    <w:rsid w:val="0092018B"/>
    <w:rsid w:val="00920CC9"/>
    <w:rsid w:val="00920EFB"/>
    <w:rsid w:val="0092177A"/>
    <w:rsid w:val="00921BC3"/>
    <w:rsid w:val="00923223"/>
    <w:rsid w:val="00924532"/>
    <w:rsid w:val="0093088A"/>
    <w:rsid w:val="00933582"/>
    <w:rsid w:val="009344A5"/>
    <w:rsid w:val="00935518"/>
    <w:rsid w:val="0093738E"/>
    <w:rsid w:val="00937EEA"/>
    <w:rsid w:val="00940DA0"/>
    <w:rsid w:val="009410C1"/>
    <w:rsid w:val="00941125"/>
    <w:rsid w:val="00941AC2"/>
    <w:rsid w:val="009425BF"/>
    <w:rsid w:val="00943FFC"/>
    <w:rsid w:val="0094680E"/>
    <w:rsid w:val="009469D9"/>
    <w:rsid w:val="009477CB"/>
    <w:rsid w:val="009509E8"/>
    <w:rsid w:val="009510E7"/>
    <w:rsid w:val="00951FA0"/>
    <w:rsid w:val="00952583"/>
    <w:rsid w:val="00952A51"/>
    <w:rsid w:val="00953C57"/>
    <w:rsid w:val="0095425A"/>
    <w:rsid w:val="009546EF"/>
    <w:rsid w:val="0095483A"/>
    <w:rsid w:val="0095603E"/>
    <w:rsid w:val="009579B3"/>
    <w:rsid w:val="00961916"/>
    <w:rsid w:val="00962832"/>
    <w:rsid w:val="009647CB"/>
    <w:rsid w:val="0096483F"/>
    <w:rsid w:val="0096614D"/>
    <w:rsid w:val="009669A9"/>
    <w:rsid w:val="00966A4B"/>
    <w:rsid w:val="00967780"/>
    <w:rsid w:val="00971D29"/>
    <w:rsid w:val="00972B03"/>
    <w:rsid w:val="009737FD"/>
    <w:rsid w:val="00974678"/>
    <w:rsid w:val="00975141"/>
    <w:rsid w:val="00975BEF"/>
    <w:rsid w:val="0097643D"/>
    <w:rsid w:val="00976F4E"/>
    <w:rsid w:val="00977F55"/>
    <w:rsid w:val="00980077"/>
    <w:rsid w:val="009805B1"/>
    <w:rsid w:val="009813B0"/>
    <w:rsid w:val="0098145F"/>
    <w:rsid w:val="00981D77"/>
    <w:rsid w:val="00982395"/>
    <w:rsid w:val="0098244B"/>
    <w:rsid w:val="00982682"/>
    <w:rsid w:val="009858AC"/>
    <w:rsid w:val="0098667A"/>
    <w:rsid w:val="0098691A"/>
    <w:rsid w:val="00987B77"/>
    <w:rsid w:val="00987C3A"/>
    <w:rsid w:val="0099219F"/>
    <w:rsid w:val="009929B2"/>
    <w:rsid w:val="00992E96"/>
    <w:rsid w:val="00994254"/>
    <w:rsid w:val="00994E74"/>
    <w:rsid w:val="009953EB"/>
    <w:rsid w:val="009958E7"/>
    <w:rsid w:val="00996ACC"/>
    <w:rsid w:val="0099746C"/>
    <w:rsid w:val="0099797A"/>
    <w:rsid w:val="009A01AF"/>
    <w:rsid w:val="009A06AD"/>
    <w:rsid w:val="009A0BDF"/>
    <w:rsid w:val="009A0DA6"/>
    <w:rsid w:val="009A1412"/>
    <w:rsid w:val="009A1743"/>
    <w:rsid w:val="009A1B24"/>
    <w:rsid w:val="009A22A7"/>
    <w:rsid w:val="009A2778"/>
    <w:rsid w:val="009A3CB6"/>
    <w:rsid w:val="009A3D3D"/>
    <w:rsid w:val="009A482B"/>
    <w:rsid w:val="009A6E64"/>
    <w:rsid w:val="009B1250"/>
    <w:rsid w:val="009B2097"/>
    <w:rsid w:val="009B4623"/>
    <w:rsid w:val="009B4D7A"/>
    <w:rsid w:val="009B4E82"/>
    <w:rsid w:val="009B5030"/>
    <w:rsid w:val="009B79AA"/>
    <w:rsid w:val="009B7E95"/>
    <w:rsid w:val="009C0DDA"/>
    <w:rsid w:val="009C194C"/>
    <w:rsid w:val="009C1D32"/>
    <w:rsid w:val="009C2032"/>
    <w:rsid w:val="009C2533"/>
    <w:rsid w:val="009C3CD4"/>
    <w:rsid w:val="009C414F"/>
    <w:rsid w:val="009C48B9"/>
    <w:rsid w:val="009C4B43"/>
    <w:rsid w:val="009C63F4"/>
    <w:rsid w:val="009C7DEC"/>
    <w:rsid w:val="009D204E"/>
    <w:rsid w:val="009D2448"/>
    <w:rsid w:val="009D2F29"/>
    <w:rsid w:val="009D392A"/>
    <w:rsid w:val="009D3FDE"/>
    <w:rsid w:val="009D48E7"/>
    <w:rsid w:val="009D5EF4"/>
    <w:rsid w:val="009D5F07"/>
    <w:rsid w:val="009D620A"/>
    <w:rsid w:val="009E03C5"/>
    <w:rsid w:val="009E1135"/>
    <w:rsid w:val="009E1FB3"/>
    <w:rsid w:val="009E24CF"/>
    <w:rsid w:val="009E31DD"/>
    <w:rsid w:val="009E32BD"/>
    <w:rsid w:val="009E7679"/>
    <w:rsid w:val="009E797B"/>
    <w:rsid w:val="009E7CDC"/>
    <w:rsid w:val="009F036B"/>
    <w:rsid w:val="009F1D66"/>
    <w:rsid w:val="009F1FAE"/>
    <w:rsid w:val="009F2160"/>
    <w:rsid w:val="009F3CCE"/>
    <w:rsid w:val="009F4BC5"/>
    <w:rsid w:val="009F7C26"/>
    <w:rsid w:val="009F7E02"/>
    <w:rsid w:val="00A00EDE"/>
    <w:rsid w:val="00A018F3"/>
    <w:rsid w:val="00A02E30"/>
    <w:rsid w:val="00A033B8"/>
    <w:rsid w:val="00A04937"/>
    <w:rsid w:val="00A04B36"/>
    <w:rsid w:val="00A06638"/>
    <w:rsid w:val="00A114EC"/>
    <w:rsid w:val="00A1197F"/>
    <w:rsid w:val="00A12207"/>
    <w:rsid w:val="00A12418"/>
    <w:rsid w:val="00A12C42"/>
    <w:rsid w:val="00A145DC"/>
    <w:rsid w:val="00A14BDD"/>
    <w:rsid w:val="00A15A69"/>
    <w:rsid w:val="00A15B85"/>
    <w:rsid w:val="00A15BFD"/>
    <w:rsid w:val="00A214C0"/>
    <w:rsid w:val="00A2197A"/>
    <w:rsid w:val="00A237AE"/>
    <w:rsid w:val="00A2393D"/>
    <w:rsid w:val="00A23E49"/>
    <w:rsid w:val="00A23E6D"/>
    <w:rsid w:val="00A24A0F"/>
    <w:rsid w:val="00A2570B"/>
    <w:rsid w:val="00A2703E"/>
    <w:rsid w:val="00A27AB3"/>
    <w:rsid w:val="00A30D2A"/>
    <w:rsid w:val="00A31676"/>
    <w:rsid w:val="00A31D24"/>
    <w:rsid w:val="00A34CD2"/>
    <w:rsid w:val="00A35477"/>
    <w:rsid w:val="00A35671"/>
    <w:rsid w:val="00A36420"/>
    <w:rsid w:val="00A37155"/>
    <w:rsid w:val="00A371FA"/>
    <w:rsid w:val="00A402C4"/>
    <w:rsid w:val="00A40551"/>
    <w:rsid w:val="00A40807"/>
    <w:rsid w:val="00A40EEF"/>
    <w:rsid w:val="00A438CE"/>
    <w:rsid w:val="00A44F3B"/>
    <w:rsid w:val="00A44FEA"/>
    <w:rsid w:val="00A464E9"/>
    <w:rsid w:val="00A53BDC"/>
    <w:rsid w:val="00A55155"/>
    <w:rsid w:val="00A615D3"/>
    <w:rsid w:val="00A61BCE"/>
    <w:rsid w:val="00A625A3"/>
    <w:rsid w:val="00A62AAA"/>
    <w:rsid w:val="00A63160"/>
    <w:rsid w:val="00A63302"/>
    <w:rsid w:val="00A66180"/>
    <w:rsid w:val="00A66334"/>
    <w:rsid w:val="00A67A38"/>
    <w:rsid w:val="00A70BD7"/>
    <w:rsid w:val="00A72FD3"/>
    <w:rsid w:val="00A7378A"/>
    <w:rsid w:val="00A73E38"/>
    <w:rsid w:val="00A741A0"/>
    <w:rsid w:val="00A75382"/>
    <w:rsid w:val="00A7617E"/>
    <w:rsid w:val="00A80E0D"/>
    <w:rsid w:val="00A81764"/>
    <w:rsid w:val="00A82294"/>
    <w:rsid w:val="00A82303"/>
    <w:rsid w:val="00A823FB"/>
    <w:rsid w:val="00A833E9"/>
    <w:rsid w:val="00A84818"/>
    <w:rsid w:val="00A85588"/>
    <w:rsid w:val="00A855E9"/>
    <w:rsid w:val="00A855F1"/>
    <w:rsid w:val="00A85B3E"/>
    <w:rsid w:val="00A863A2"/>
    <w:rsid w:val="00A86996"/>
    <w:rsid w:val="00A87668"/>
    <w:rsid w:val="00A87874"/>
    <w:rsid w:val="00A9185B"/>
    <w:rsid w:val="00A91C6B"/>
    <w:rsid w:val="00A93667"/>
    <w:rsid w:val="00A93D65"/>
    <w:rsid w:val="00A95036"/>
    <w:rsid w:val="00A9539D"/>
    <w:rsid w:val="00A95A62"/>
    <w:rsid w:val="00A95C7F"/>
    <w:rsid w:val="00A95E64"/>
    <w:rsid w:val="00A95EBB"/>
    <w:rsid w:val="00A96764"/>
    <w:rsid w:val="00A9748E"/>
    <w:rsid w:val="00A97627"/>
    <w:rsid w:val="00A977DF"/>
    <w:rsid w:val="00AA0A99"/>
    <w:rsid w:val="00AA1DA7"/>
    <w:rsid w:val="00AA2991"/>
    <w:rsid w:val="00AA4743"/>
    <w:rsid w:val="00AA5493"/>
    <w:rsid w:val="00AA6291"/>
    <w:rsid w:val="00AA6384"/>
    <w:rsid w:val="00AB10E0"/>
    <w:rsid w:val="00AB1699"/>
    <w:rsid w:val="00AB2407"/>
    <w:rsid w:val="00AB26BC"/>
    <w:rsid w:val="00AB2C43"/>
    <w:rsid w:val="00AB4E31"/>
    <w:rsid w:val="00AB5668"/>
    <w:rsid w:val="00AB5739"/>
    <w:rsid w:val="00AB6A2F"/>
    <w:rsid w:val="00AC081B"/>
    <w:rsid w:val="00AC0F69"/>
    <w:rsid w:val="00AC3A3D"/>
    <w:rsid w:val="00AD027D"/>
    <w:rsid w:val="00AD082F"/>
    <w:rsid w:val="00AD1F70"/>
    <w:rsid w:val="00AD2258"/>
    <w:rsid w:val="00AD2ACF"/>
    <w:rsid w:val="00AD3802"/>
    <w:rsid w:val="00AD5F96"/>
    <w:rsid w:val="00AD61D5"/>
    <w:rsid w:val="00AD70D9"/>
    <w:rsid w:val="00AD7593"/>
    <w:rsid w:val="00AD7F38"/>
    <w:rsid w:val="00AE02F4"/>
    <w:rsid w:val="00AE0644"/>
    <w:rsid w:val="00AE199B"/>
    <w:rsid w:val="00AE35FF"/>
    <w:rsid w:val="00AE3C70"/>
    <w:rsid w:val="00AE3F2B"/>
    <w:rsid w:val="00AE51AB"/>
    <w:rsid w:val="00AE65BE"/>
    <w:rsid w:val="00AE77D6"/>
    <w:rsid w:val="00AF01BE"/>
    <w:rsid w:val="00AF04E2"/>
    <w:rsid w:val="00AF0727"/>
    <w:rsid w:val="00AF08CD"/>
    <w:rsid w:val="00AF0DF2"/>
    <w:rsid w:val="00AF14CE"/>
    <w:rsid w:val="00AF17B6"/>
    <w:rsid w:val="00AF2310"/>
    <w:rsid w:val="00AF2548"/>
    <w:rsid w:val="00AF26CD"/>
    <w:rsid w:val="00AF5199"/>
    <w:rsid w:val="00AF62D5"/>
    <w:rsid w:val="00AF636F"/>
    <w:rsid w:val="00AF66E2"/>
    <w:rsid w:val="00AF7EE0"/>
    <w:rsid w:val="00B006DA"/>
    <w:rsid w:val="00B00E75"/>
    <w:rsid w:val="00B00FDE"/>
    <w:rsid w:val="00B01096"/>
    <w:rsid w:val="00B0279D"/>
    <w:rsid w:val="00B02A4D"/>
    <w:rsid w:val="00B02EEC"/>
    <w:rsid w:val="00B04995"/>
    <w:rsid w:val="00B06866"/>
    <w:rsid w:val="00B06D9E"/>
    <w:rsid w:val="00B0748A"/>
    <w:rsid w:val="00B078B0"/>
    <w:rsid w:val="00B11A2E"/>
    <w:rsid w:val="00B12F9B"/>
    <w:rsid w:val="00B13D15"/>
    <w:rsid w:val="00B140A8"/>
    <w:rsid w:val="00B14636"/>
    <w:rsid w:val="00B16AC8"/>
    <w:rsid w:val="00B20239"/>
    <w:rsid w:val="00B2082F"/>
    <w:rsid w:val="00B20BC0"/>
    <w:rsid w:val="00B20FBE"/>
    <w:rsid w:val="00B21AAF"/>
    <w:rsid w:val="00B21CCA"/>
    <w:rsid w:val="00B21D02"/>
    <w:rsid w:val="00B22750"/>
    <w:rsid w:val="00B22A6D"/>
    <w:rsid w:val="00B231A4"/>
    <w:rsid w:val="00B2365D"/>
    <w:rsid w:val="00B23B38"/>
    <w:rsid w:val="00B251EF"/>
    <w:rsid w:val="00B266E8"/>
    <w:rsid w:val="00B2721E"/>
    <w:rsid w:val="00B27EE4"/>
    <w:rsid w:val="00B31475"/>
    <w:rsid w:val="00B316A8"/>
    <w:rsid w:val="00B3200C"/>
    <w:rsid w:val="00B320C7"/>
    <w:rsid w:val="00B326E6"/>
    <w:rsid w:val="00B339AD"/>
    <w:rsid w:val="00B33E40"/>
    <w:rsid w:val="00B3441B"/>
    <w:rsid w:val="00B346D2"/>
    <w:rsid w:val="00B40163"/>
    <w:rsid w:val="00B40B4E"/>
    <w:rsid w:val="00B40D01"/>
    <w:rsid w:val="00B41187"/>
    <w:rsid w:val="00B42EA2"/>
    <w:rsid w:val="00B43577"/>
    <w:rsid w:val="00B43B21"/>
    <w:rsid w:val="00B453C0"/>
    <w:rsid w:val="00B46612"/>
    <w:rsid w:val="00B47263"/>
    <w:rsid w:val="00B50736"/>
    <w:rsid w:val="00B53871"/>
    <w:rsid w:val="00B53B0D"/>
    <w:rsid w:val="00B54B06"/>
    <w:rsid w:val="00B55735"/>
    <w:rsid w:val="00B608AC"/>
    <w:rsid w:val="00B6093A"/>
    <w:rsid w:val="00B64369"/>
    <w:rsid w:val="00B6502A"/>
    <w:rsid w:val="00B67CC6"/>
    <w:rsid w:val="00B705E1"/>
    <w:rsid w:val="00B70B30"/>
    <w:rsid w:val="00B7208F"/>
    <w:rsid w:val="00B72E48"/>
    <w:rsid w:val="00B75AD5"/>
    <w:rsid w:val="00B77902"/>
    <w:rsid w:val="00B80095"/>
    <w:rsid w:val="00B8298F"/>
    <w:rsid w:val="00B82B8B"/>
    <w:rsid w:val="00B82EF2"/>
    <w:rsid w:val="00B8320C"/>
    <w:rsid w:val="00B83555"/>
    <w:rsid w:val="00B85C86"/>
    <w:rsid w:val="00B86EB7"/>
    <w:rsid w:val="00B86ED9"/>
    <w:rsid w:val="00B873FE"/>
    <w:rsid w:val="00B878E6"/>
    <w:rsid w:val="00B907DC"/>
    <w:rsid w:val="00B91173"/>
    <w:rsid w:val="00B916DE"/>
    <w:rsid w:val="00B92912"/>
    <w:rsid w:val="00B92F30"/>
    <w:rsid w:val="00B93779"/>
    <w:rsid w:val="00B9384D"/>
    <w:rsid w:val="00B95161"/>
    <w:rsid w:val="00B95B64"/>
    <w:rsid w:val="00B96F54"/>
    <w:rsid w:val="00B97677"/>
    <w:rsid w:val="00BA217F"/>
    <w:rsid w:val="00BA26D1"/>
    <w:rsid w:val="00BA382C"/>
    <w:rsid w:val="00BA3AD5"/>
    <w:rsid w:val="00BA4C1B"/>
    <w:rsid w:val="00BA515F"/>
    <w:rsid w:val="00BA7EFE"/>
    <w:rsid w:val="00BB0433"/>
    <w:rsid w:val="00BB06A0"/>
    <w:rsid w:val="00BB3ABE"/>
    <w:rsid w:val="00BB5EDB"/>
    <w:rsid w:val="00BB60E0"/>
    <w:rsid w:val="00BB610B"/>
    <w:rsid w:val="00BB6DF0"/>
    <w:rsid w:val="00BC00C3"/>
    <w:rsid w:val="00BC0D8F"/>
    <w:rsid w:val="00BC1D72"/>
    <w:rsid w:val="00BC289A"/>
    <w:rsid w:val="00BC318E"/>
    <w:rsid w:val="00BC3BDA"/>
    <w:rsid w:val="00BC3E62"/>
    <w:rsid w:val="00BC49AE"/>
    <w:rsid w:val="00BC511E"/>
    <w:rsid w:val="00BC526F"/>
    <w:rsid w:val="00BC588D"/>
    <w:rsid w:val="00BC6441"/>
    <w:rsid w:val="00BC6EDA"/>
    <w:rsid w:val="00BC7834"/>
    <w:rsid w:val="00BC7DD4"/>
    <w:rsid w:val="00BC7EC2"/>
    <w:rsid w:val="00BD135D"/>
    <w:rsid w:val="00BD16E7"/>
    <w:rsid w:val="00BD1EF4"/>
    <w:rsid w:val="00BD247B"/>
    <w:rsid w:val="00BD3D9A"/>
    <w:rsid w:val="00BD4079"/>
    <w:rsid w:val="00BD460D"/>
    <w:rsid w:val="00BD5261"/>
    <w:rsid w:val="00BD54B4"/>
    <w:rsid w:val="00BD6922"/>
    <w:rsid w:val="00BD6C4E"/>
    <w:rsid w:val="00BE211A"/>
    <w:rsid w:val="00BE2F50"/>
    <w:rsid w:val="00BE30D0"/>
    <w:rsid w:val="00BE30D5"/>
    <w:rsid w:val="00BE39CB"/>
    <w:rsid w:val="00BE3B98"/>
    <w:rsid w:val="00BE3BC6"/>
    <w:rsid w:val="00BE4F57"/>
    <w:rsid w:val="00BE6136"/>
    <w:rsid w:val="00BE6AE1"/>
    <w:rsid w:val="00BE6F41"/>
    <w:rsid w:val="00BE726C"/>
    <w:rsid w:val="00BF0C1B"/>
    <w:rsid w:val="00BF192B"/>
    <w:rsid w:val="00BF2674"/>
    <w:rsid w:val="00BF3AD9"/>
    <w:rsid w:val="00BF3F28"/>
    <w:rsid w:val="00BF4253"/>
    <w:rsid w:val="00BF4A1E"/>
    <w:rsid w:val="00BF4B42"/>
    <w:rsid w:val="00BF5690"/>
    <w:rsid w:val="00BF5CF2"/>
    <w:rsid w:val="00C02A02"/>
    <w:rsid w:val="00C04A7C"/>
    <w:rsid w:val="00C06456"/>
    <w:rsid w:val="00C06FF3"/>
    <w:rsid w:val="00C070E4"/>
    <w:rsid w:val="00C10F92"/>
    <w:rsid w:val="00C121D2"/>
    <w:rsid w:val="00C133B6"/>
    <w:rsid w:val="00C14CBF"/>
    <w:rsid w:val="00C14E12"/>
    <w:rsid w:val="00C14E28"/>
    <w:rsid w:val="00C156CA"/>
    <w:rsid w:val="00C1610B"/>
    <w:rsid w:val="00C1758D"/>
    <w:rsid w:val="00C17F2E"/>
    <w:rsid w:val="00C21372"/>
    <w:rsid w:val="00C2343F"/>
    <w:rsid w:val="00C23874"/>
    <w:rsid w:val="00C24410"/>
    <w:rsid w:val="00C24A1B"/>
    <w:rsid w:val="00C24BC2"/>
    <w:rsid w:val="00C26049"/>
    <w:rsid w:val="00C260F9"/>
    <w:rsid w:val="00C266B2"/>
    <w:rsid w:val="00C26FD4"/>
    <w:rsid w:val="00C2738C"/>
    <w:rsid w:val="00C30218"/>
    <w:rsid w:val="00C303E8"/>
    <w:rsid w:val="00C3104A"/>
    <w:rsid w:val="00C32973"/>
    <w:rsid w:val="00C33364"/>
    <w:rsid w:val="00C334B3"/>
    <w:rsid w:val="00C34228"/>
    <w:rsid w:val="00C34461"/>
    <w:rsid w:val="00C354AD"/>
    <w:rsid w:val="00C3773D"/>
    <w:rsid w:val="00C40B9B"/>
    <w:rsid w:val="00C41721"/>
    <w:rsid w:val="00C42381"/>
    <w:rsid w:val="00C424D5"/>
    <w:rsid w:val="00C4394C"/>
    <w:rsid w:val="00C43D40"/>
    <w:rsid w:val="00C4459A"/>
    <w:rsid w:val="00C4463A"/>
    <w:rsid w:val="00C4469A"/>
    <w:rsid w:val="00C458CA"/>
    <w:rsid w:val="00C50BED"/>
    <w:rsid w:val="00C5215A"/>
    <w:rsid w:val="00C53EE1"/>
    <w:rsid w:val="00C5600E"/>
    <w:rsid w:val="00C568B1"/>
    <w:rsid w:val="00C57539"/>
    <w:rsid w:val="00C57C22"/>
    <w:rsid w:val="00C6149A"/>
    <w:rsid w:val="00C62AD0"/>
    <w:rsid w:val="00C63706"/>
    <w:rsid w:val="00C64AA4"/>
    <w:rsid w:val="00C66CAA"/>
    <w:rsid w:val="00C66F13"/>
    <w:rsid w:val="00C67620"/>
    <w:rsid w:val="00C67A12"/>
    <w:rsid w:val="00C67E87"/>
    <w:rsid w:val="00C71E30"/>
    <w:rsid w:val="00C7207D"/>
    <w:rsid w:val="00C729B6"/>
    <w:rsid w:val="00C72EC9"/>
    <w:rsid w:val="00C73473"/>
    <w:rsid w:val="00C73B20"/>
    <w:rsid w:val="00C7634A"/>
    <w:rsid w:val="00C80CB1"/>
    <w:rsid w:val="00C80F88"/>
    <w:rsid w:val="00C8142D"/>
    <w:rsid w:val="00C814B9"/>
    <w:rsid w:val="00C819F0"/>
    <w:rsid w:val="00C81D68"/>
    <w:rsid w:val="00C81E40"/>
    <w:rsid w:val="00C82235"/>
    <w:rsid w:val="00C82436"/>
    <w:rsid w:val="00C841EF"/>
    <w:rsid w:val="00C842CC"/>
    <w:rsid w:val="00C84486"/>
    <w:rsid w:val="00C84608"/>
    <w:rsid w:val="00C8564D"/>
    <w:rsid w:val="00C85A7A"/>
    <w:rsid w:val="00C85AAF"/>
    <w:rsid w:val="00C876BA"/>
    <w:rsid w:val="00C87A64"/>
    <w:rsid w:val="00C87B06"/>
    <w:rsid w:val="00C90BC4"/>
    <w:rsid w:val="00C90D5A"/>
    <w:rsid w:val="00C920AE"/>
    <w:rsid w:val="00C92B87"/>
    <w:rsid w:val="00C96A24"/>
    <w:rsid w:val="00C975A7"/>
    <w:rsid w:val="00CA0FAB"/>
    <w:rsid w:val="00CA1235"/>
    <w:rsid w:val="00CA1619"/>
    <w:rsid w:val="00CA1884"/>
    <w:rsid w:val="00CA188B"/>
    <w:rsid w:val="00CA3472"/>
    <w:rsid w:val="00CA36CF"/>
    <w:rsid w:val="00CA444F"/>
    <w:rsid w:val="00CA480C"/>
    <w:rsid w:val="00CA4B59"/>
    <w:rsid w:val="00CA4C98"/>
    <w:rsid w:val="00CA75AE"/>
    <w:rsid w:val="00CA7D28"/>
    <w:rsid w:val="00CB0580"/>
    <w:rsid w:val="00CB0F90"/>
    <w:rsid w:val="00CB3C7A"/>
    <w:rsid w:val="00CB44C1"/>
    <w:rsid w:val="00CB5247"/>
    <w:rsid w:val="00CB5419"/>
    <w:rsid w:val="00CB606F"/>
    <w:rsid w:val="00CB6997"/>
    <w:rsid w:val="00CB73DE"/>
    <w:rsid w:val="00CC036E"/>
    <w:rsid w:val="00CC1233"/>
    <w:rsid w:val="00CC1C9B"/>
    <w:rsid w:val="00CC29C6"/>
    <w:rsid w:val="00CC2BD7"/>
    <w:rsid w:val="00CC432A"/>
    <w:rsid w:val="00CC447D"/>
    <w:rsid w:val="00CC531C"/>
    <w:rsid w:val="00CC5D28"/>
    <w:rsid w:val="00CC609D"/>
    <w:rsid w:val="00CC7DA4"/>
    <w:rsid w:val="00CD0EA6"/>
    <w:rsid w:val="00CD1250"/>
    <w:rsid w:val="00CD370B"/>
    <w:rsid w:val="00CD638E"/>
    <w:rsid w:val="00CD683C"/>
    <w:rsid w:val="00CD6C90"/>
    <w:rsid w:val="00CE6D8C"/>
    <w:rsid w:val="00CE6FF5"/>
    <w:rsid w:val="00CE773B"/>
    <w:rsid w:val="00CF0728"/>
    <w:rsid w:val="00CF1B43"/>
    <w:rsid w:val="00CF21FF"/>
    <w:rsid w:val="00CF3A37"/>
    <w:rsid w:val="00CF3E69"/>
    <w:rsid w:val="00CF4A29"/>
    <w:rsid w:val="00CF57F7"/>
    <w:rsid w:val="00CF676E"/>
    <w:rsid w:val="00CF6E10"/>
    <w:rsid w:val="00CF7FC1"/>
    <w:rsid w:val="00D01790"/>
    <w:rsid w:val="00D0213A"/>
    <w:rsid w:val="00D028C9"/>
    <w:rsid w:val="00D02ABB"/>
    <w:rsid w:val="00D03207"/>
    <w:rsid w:val="00D03CF0"/>
    <w:rsid w:val="00D04705"/>
    <w:rsid w:val="00D0479E"/>
    <w:rsid w:val="00D05BA5"/>
    <w:rsid w:val="00D06C28"/>
    <w:rsid w:val="00D06F03"/>
    <w:rsid w:val="00D07816"/>
    <w:rsid w:val="00D108C9"/>
    <w:rsid w:val="00D13A27"/>
    <w:rsid w:val="00D1428F"/>
    <w:rsid w:val="00D14924"/>
    <w:rsid w:val="00D14BA4"/>
    <w:rsid w:val="00D15556"/>
    <w:rsid w:val="00D15CA7"/>
    <w:rsid w:val="00D16FC0"/>
    <w:rsid w:val="00D201E2"/>
    <w:rsid w:val="00D22BEF"/>
    <w:rsid w:val="00D22DC6"/>
    <w:rsid w:val="00D2562F"/>
    <w:rsid w:val="00D263C4"/>
    <w:rsid w:val="00D26C51"/>
    <w:rsid w:val="00D2766D"/>
    <w:rsid w:val="00D30227"/>
    <w:rsid w:val="00D304E0"/>
    <w:rsid w:val="00D30C9B"/>
    <w:rsid w:val="00D33945"/>
    <w:rsid w:val="00D34365"/>
    <w:rsid w:val="00D34C85"/>
    <w:rsid w:val="00D37740"/>
    <w:rsid w:val="00D40CBC"/>
    <w:rsid w:val="00D412DB"/>
    <w:rsid w:val="00D42B0C"/>
    <w:rsid w:val="00D43257"/>
    <w:rsid w:val="00D456B0"/>
    <w:rsid w:val="00D45D93"/>
    <w:rsid w:val="00D467C0"/>
    <w:rsid w:val="00D46F9A"/>
    <w:rsid w:val="00D5032C"/>
    <w:rsid w:val="00D50CEF"/>
    <w:rsid w:val="00D52338"/>
    <w:rsid w:val="00D52B71"/>
    <w:rsid w:val="00D54271"/>
    <w:rsid w:val="00D56012"/>
    <w:rsid w:val="00D6118C"/>
    <w:rsid w:val="00D617FF"/>
    <w:rsid w:val="00D625C5"/>
    <w:rsid w:val="00D62793"/>
    <w:rsid w:val="00D631BE"/>
    <w:rsid w:val="00D651F1"/>
    <w:rsid w:val="00D65A33"/>
    <w:rsid w:val="00D6713A"/>
    <w:rsid w:val="00D705FF"/>
    <w:rsid w:val="00D709EB"/>
    <w:rsid w:val="00D711F4"/>
    <w:rsid w:val="00D722C3"/>
    <w:rsid w:val="00D738B0"/>
    <w:rsid w:val="00D74235"/>
    <w:rsid w:val="00D74F7B"/>
    <w:rsid w:val="00D75096"/>
    <w:rsid w:val="00D76C5A"/>
    <w:rsid w:val="00D817B1"/>
    <w:rsid w:val="00D818A4"/>
    <w:rsid w:val="00D8210A"/>
    <w:rsid w:val="00D829B0"/>
    <w:rsid w:val="00D82B6A"/>
    <w:rsid w:val="00D8318A"/>
    <w:rsid w:val="00D83B0A"/>
    <w:rsid w:val="00D86376"/>
    <w:rsid w:val="00D86F8A"/>
    <w:rsid w:val="00D874F0"/>
    <w:rsid w:val="00D87C62"/>
    <w:rsid w:val="00D87E46"/>
    <w:rsid w:val="00D94770"/>
    <w:rsid w:val="00D955E9"/>
    <w:rsid w:val="00D96F49"/>
    <w:rsid w:val="00D9781F"/>
    <w:rsid w:val="00DA0A7C"/>
    <w:rsid w:val="00DA1E78"/>
    <w:rsid w:val="00DA25DC"/>
    <w:rsid w:val="00DA311B"/>
    <w:rsid w:val="00DA465D"/>
    <w:rsid w:val="00DA6914"/>
    <w:rsid w:val="00DB0901"/>
    <w:rsid w:val="00DB0E71"/>
    <w:rsid w:val="00DB1474"/>
    <w:rsid w:val="00DB243D"/>
    <w:rsid w:val="00DB461E"/>
    <w:rsid w:val="00DB61E0"/>
    <w:rsid w:val="00DB724D"/>
    <w:rsid w:val="00DB7F56"/>
    <w:rsid w:val="00DC0942"/>
    <w:rsid w:val="00DC0AC0"/>
    <w:rsid w:val="00DC12A1"/>
    <w:rsid w:val="00DC1B63"/>
    <w:rsid w:val="00DC1E27"/>
    <w:rsid w:val="00DC25B3"/>
    <w:rsid w:val="00DC309B"/>
    <w:rsid w:val="00DC3291"/>
    <w:rsid w:val="00DC363A"/>
    <w:rsid w:val="00DC3E80"/>
    <w:rsid w:val="00DC50B7"/>
    <w:rsid w:val="00DC57CC"/>
    <w:rsid w:val="00DC6277"/>
    <w:rsid w:val="00DC62C3"/>
    <w:rsid w:val="00DC7639"/>
    <w:rsid w:val="00DD0FF9"/>
    <w:rsid w:val="00DD16C7"/>
    <w:rsid w:val="00DD20C7"/>
    <w:rsid w:val="00DD2F42"/>
    <w:rsid w:val="00DD50BC"/>
    <w:rsid w:val="00DE0186"/>
    <w:rsid w:val="00DE122F"/>
    <w:rsid w:val="00DE2609"/>
    <w:rsid w:val="00DE2787"/>
    <w:rsid w:val="00DE3AAB"/>
    <w:rsid w:val="00DE4F2B"/>
    <w:rsid w:val="00DE65AE"/>
    <w:rsid w:val="00DE6C32"/>
    <w:rsid w:val="00DE7B2A"/>
    <w:rsid w:val="00DF0390"/>
    <w:rsid w:val="00DF11A7"/>
    <w:rsid w:val="00DF3872"/>
    <w:rsid w:val="00DF4056"/>
    <w:rsid w:val="00DF43CB"/>
    <w:rsid w:val="00DF600D"/>
    <w:rsid w:val="00DF6648"/>
    <w:rsid w:val="00DF6E0A"/>
    <w:rsid w:val="00DF79BA"/>
    <w:rsid w:val="00E01F72"/>
    <w:rsid w:val="00E031DD"/>
    <w:rsid w:val="00E03B27"/>
    <w:rsid w:val="00E05C57"/>
    <w:rsid w:val="00E064E9"/>
    <w:rsid w:val="00E1058F"/>
    <w:rsid w:val="00E106B0"/>
    <w:rsid w:val="00E11231"/>
    <w:rsid w:val="00E11916"/>
    <w:rsid w:val="00E11C09"/>
    <w:rsid w:val="00E11C99"/>
    <w:rsid w:val="00E128BE"/>
    <w:rsid w:val="00E12A4D"/>
    <w:rsid w:val="00E1387C"/>
    <w:rsid w:val="00E15FB7"/>
    <w:rsid w:val="00E166B9"/>
    <w:rsid w:val="00E1691B"/>
    <w:rsid w:val="00E20FA7"/>
    <w:rsid w:val="00E22A56"/>
    <w:rsid w:val="00E25BC5"/>
    <w:rsid w:val="00E26712"/>
    <w:rsid w:val="00E26C5D"/>
    <w:rsid w:val="00E278E5"/>
    <w:rsid w:val="00E3043F"/>
    <w:rsid w:val="00E31A34"/>
    <w:rsid w:val="00E334D8"/>
    <w:rsid w:val="00E33CCF"/>
    <w:rsid w:val="00E35996"/>
    <w:rsid w:val="00E375C4"/>
    <w:rsid w:val="00E400EC"/>
    <w:rsid w:val="00E425A1"/>
    <w:rsid w:val="00E432A7"/>
    <w:rsid w:val="00E4434E"/>
    <w:rsid w:val="00E451C3"/>
    <w:rsid w:val="00E456C6"/>
    <w:rsid w:val="00E460F0"/>
    <w:rsid w:val="00E464D3"/>
    <w:rsid w:val="00E46C93"/>
    <w:rsid w:val="00E47541"/>
    <w:rsid w:val="00E475F8"/>
    <w:rsid w:val="00E47983"/>
    <w:rsid w:val="00E50431"/>
    <w:rsid w:val="00E50697"/>
    <w:rsid w:val="00E50B3E"/>
    <w:rsid w:val="00E51083"/>
    <w:rsid w:val="00E51C18"/>
    <w:rsid w:val="00E51EF3"/>
    <w:rsid w:val="00E52E87"/>
    <w:rsid w:val="00E531B8"/>
    <w:rsid w:val="00E53969"/>
    <w:rsid w:val="00E56C73"/>
    <w:rsid w:val="00E575B7"/>
    <w:rsid w:val="00E60728"/>
    <w:rsid w:val="00E611AB"/>
    <w:rsid w:val="00E61AAB"/>
    <w:rsid w:val="00E62C8B"/>
    <w:rsid w:val="00E62E27"/>
    <w:rsid w:val="00E6485B"/>
    <w:rsid w:val="00E64944"/>
    <w:rsid w:val="00E65520"/>
    <w:rsid w:val="00E665F4"/>
    <w:rsid w:val="00E7066C"/>
    <w:rsid w:val="00E70A91"/>
    <w:rsid w:val="00E71BD1"/>
    <w:rsid w:val="00E727F4"/>
    <w:rsid w:val="00E732E1"/>
    <w:rsid w:val="00E76698"/>
    <w:rsid w:val="00E76998"/>
    <w:rsid w:val="00E76CBD"/>
    <w:rsid w:val="00E76FD4"/>
    <w:rsid w:val="00E7764F"/>
    <w:rsid w:val="00E77CC3"/>
    <w:rsid w:val="00E811FE"/>
    <w:rsid w:val="00E8134C"/>
    <w:rsid w:val="00E82A05"/>
    <w:rsid w:val="00E82E23"/>
    <w:rsid w:val="00E83CC2"/>
    <w:rsid w:val="00E83CD5"/>
    <w:rsid w:val="00E84599"/>
    <w:rsid w:val="00E84C3A"/>
    <w:rsid w:val="00E85D8B"/>
    <w:rsid w:val="00E877E0"/>
    <w:rsid w:val="00E87A21"/>
    <w:rsid w:val="00E9058D"/>
    <w:rsid w:val="00E9193F"/>
    <w:rsid w:val="00E92383"/>
    <w:rsid w:val="00E931D1"/>
    <w:rsid w:val="00E93D9F"/>
    <w:rsid w:val="00E93E80"/>
    <w:rsid w:val="00E945BF"/>
    <w:rsid w:val="00E946A2"/>
    <w:rsid w:val="00E95066"/>
    <w:rsid w:val="00E972F8"/>
    <w:rsid w:val="00E977B1"/>
    <w:rsid w:val="00E97E84"/>
    <w:rsid w:val="00EA06E9"/>
    <w:rsid w:val="00EA1E8D"/>
    <w:rsid w:val="00EA3E3D"/>
    <w:rsid w:val="00EA4177"/>
    <w:rsid w:val="00EA4F72"/>
    <w:rsid w:val="00EA56BF"/>
    <w:rsid w:val="00EA5E77"/>
    <w:rsid w:val="00EA62B0"/>
    <w:rsid w:val="00EA7B60"/>
    <w:rsid w:val="00EB1857"/>
    <w:rsid w:val="00EB3912"/>
    <w:rsid w:val="00EB4CE0"/>
    <w:rsid w:val="00EB4D65"/>
    <w:rsid w:val="00EB50B7"/>
    <w:rsid w:val="00EB55E4"/>
    <w:rsid w:val="00EB70F4"/>
    <w:rsid w:val="00EC03CE"/>
    <w:rsid w:val="00EC28A0"/>
    <w:rsid w:val="00EC3415"/>
    <w:rsid w:val="00EC63A6"/>
    <w:rsid w:val="00EC6B70"/>
    <w:rsid w:val="00ED0E4F"/>
    <w:rsid w:val="00ED1877"/>
    <w:rsid w:val="00ED47A0"/>
    <w:rsid w:val="00ED5A37"/>
    <w:rsid w:val="00ED77D2"/>
    <w:rsid w:val="00EE0327"/>
    <w:rsid w:val="00EE112B"/>
    <w:rsid w:val="00EE35F5"/>
    <w:rsid w:val="00EE360A"/>
    <w:rsid w:val="00EE38BA"/>
    <w:rsid w:val="00EE3F8F"/>
    <w:rsid w:val="00EE4193"/>
    <w:rsid w:val="00EE42C5"/>
    <w:rsid w:val="00EE58D8"/>
    <w:rsid w:val="00EF10ED"/>
    <w:rsid w:val="00EF1902"/>
    <w:rsid w:val="00EF1F39"/>
    <w:rsid w:val="00EF2BC6"/>
    <w:rsid w:val="00EF2EB9"/>
    <w:rsid w:val="00EF5FFD"/>
    <w:rsid w:val="00EF6B6C"/>
    <w:rsid w:val="00EF7668"/>
    <w:rsid w:val="00EF7EBC"/>
    <w:rsid w:val="00EF7FA4"/>
    <w:rsid w:val="00F001F7"/>
    <w:rsid w:val="00F00450"/>
    <w:rsid w:val="00F0065A"/>
    <w:rsid w:val="00F00F6B"/>
    <w:rsid w:val="00F013B7"/>
    <w:rsid w:val="00F0140D"/>
    <w:rsid w:val="00F02DCF"/>
    <w:rsid w:val="00F0301F"/>
    <w:rsid w:val="00F033D6"/>
    <w:rsid w:val="00F04BDE"/>
    <w:rsid w:val="00F10808"/>
    <w:rsid w:val="00F1171A"/>
    <w:rsid w:val="00F131A9"/>
    <w:rsid w:val="00F14C4D"/>
    <w:rsid w:val="00F14E70"/>
    <w:rsid w:val="00F16427"/>
    <w:rsid w:val="00F167E4"/>
    <w:rsid w:val="00F17365"/>
    <w:rsid w:val="00F1752D"/>
    <w:rsid w:val="00F179E9"/>
    <w:rsid w:val="00F2172A"/>
    <w:rsid w:val="00F21C49"/>
    <w:rsid w:val="00F21F2C"/>
    <w:rsid w:val="00F22674"/>
    <w:rsid w:val="00F22BC9"/>
    <w:rsid w:val="00F238E8"/>
    <w:rsid w:val="00F23C29"/>
    <w:rsid w:val="00F23DE6"/>
    <w:rsid w:val="00F2515F"/>
    <w:rsid w:val="00F257AC"/>
    <w:rsid w:val="00F26387"/>
    <w:rsid w:val="00F263C0"/>
    <w:rsid w:val="00F266B4"/>
    <w:rsid w:val="00F272C5"/>
    <w:rsid w:val="00F27BEE"/>
    <w:rsid w:val="00F31901"/>
    <w:rsid w:val="00F32D3D"/>
    <w:rsid w:val="00F33CFA"/>
    <w:rsid w:val="00F348BD"/>
    <w:rsid w:val="00F357AE"/>
    <w:rsid w:val="00F36679"/>
    <w:rsid w:val="00F36E9B"/>
    <w:rsid w:val="00F4193B"/>
    <w:rsid w:val="00F43374"/>
    <w:rsid w:val="00F4363F"/>
    <w:rsid w:val="00F4473A"/>
    <w:rsid w:val="00F458AF"/>
    <w:rsid w:val="00F4719F"/>
    <w:rsid w:val="00F50508"/>
    <w:rsid w:val="00F507B1"/>
    <w:rsid w:val="00F515BD"/>
    <w:rsid w:val="00F51F9F"/>
    <w:rsid w:val="00F535D2"/>
    <w:rsid w:val="00F54E3E"/>
    <w:rsid w:val="00F55CD0"/>
    <w:rsid w:val="00F55D45"/>
    <w:rsid w:val="00F566C0"/>
    <w:rsid w:val="00F5698A"/>
    <w:rsid w:val="00F56F5D"/>
    <w:rsid w:val="00F56FB6"/>
    <w:rsid w:val="00F61DD6"/>
    <w:rsid w:val="00F61FC2"/>
    <w:rsid w:val="00F62D40"/>
    <w:rsid w:val="00F6328A"/>
    <w:rsid w:val="00F65804"/>
    <w:rsid w:val="00F65B39"/>
    <w:rsid w:val="00F661C2"/>
    <w:rsid w:val="00F671AC"/>
    <w:rsid w:val="00F67437"/>
    <w:rsid w:val="00F67C0E"/>
    <w:rsid w:val="00F67CAE"/>
    <w:rsid w:val="00F67F35"/>
    <w:rsid w:val="00F703E1"/>
    <w:rsid w:val="00F71E35"/>
    <w:rsid w:val="00F724FE"/>
    <w:rsid w:val="00F736E0"/>
    <w:rsid w:val="00F7381F"/>
    <w:rsid w:val="00F74BD7"/>
    <w:rsid w:val="00F75499"/>
    <w:rsid w:val="00F7588D"/>
    <w:rsid w:val="00F7624F"/>
    <w:rsid w:val="00F77470"/>
    <w:rsid w:val="00F77692"/>
    <w:rsid w:val="00F77E53"/>
    <w:rsid w:val="00F80028"/>
    <w:rsid w:val="00F811D4"/>
    <w:rsid w:val="00F82522"/>
    <w:rsid w:val="00F827BF"/>
    <w:rsid w:val="00F86F63"/>
    <w:rsid w:val="00F874F8"/>
    <w:rsid w:val="00F9138A"/>
    <w:rsid w:val="00F91854"/>
    <w:rsid w:val="00F93038"/>
    <w:rsid w:val="00F9557B"/>
    <w:rsid w:val="00F965F2"/>
    <w:rsid w:val="00F969A5"/>
    <w:rsid w:val="00F970AD"/>
    <w:rsid w:val="00F977B1"/>
    <w:rsid w:val="00FA0763"/>
    <w:rsid w:val="00FA111E"/>
    <w:rsid w:val="00FA255F"/>
    <w:rsid w:val="00FA276C"/>
    <w:rsid w:val="00FA4125"/>
    <w:rsid w:val="00FA61D2"/>
    <w:rsid w:val="00FA70E8"/>
    <w:rsid w:val="00FA78EF"/>
    <w:rsid w:val="00FA7D9A"/>
    <w:rsid w:val="00FB189B"/>
    <w:rsid w:val="00FB1EC1"/>
    <w:rsid w:val="00FB21EF"/>
    <w:rsid w:val="00FB3A1E"/>
    <w:rsid w:val="00FB453D"/>
    <w:rsid w:val="00FB4B32"/>
    <w:rsid w:val="00FB5818"/>
    <w:rsid w:val="00FB6186"/>
    <w:rsid w:val="00FB6523"/>
    <w:rsid w:val="00FB6752"/>
    <w:rsid w:val="00FB6998"/>
    <w:rsid w:val="00FB69DA"/>
    <w:rsid w:val="00FB7FF3"/>
    <w:rsid w:val="00FC054D"/>
    <w:rsid w:val="00FC0806"/>
    <w:rsid w:val="00FC0E30"/>
    <w:rsid w:val="00FC0E3B"/>
    <w:rsid w:val="00FC2130"/>
    <w:rsid w:val="00FC27F4"/>
    <w:rsid w:val="00FC3553"/>
    <w:rsid w:val="00FC3BA7"/>
    <w:rsid w:val="00FC4582"/>
    <w:rsid w:val="00FD0AD5"/>
    <w:rsid w:val="00FD0E40"/>
    <w:rsid w:val="00FD22BB"/>
    <w:rsid w:val="00FD322D"/>
    <w:rsid w:val="00FD388D"/>
    <w:rsid w:val="00FD38A3"/>
    <w:rsid w:val="00FD38D9"/>
    <w:rsid w:val="00FD39EE"/>
    <w:rsid w:val="00FD4D0A"/>
    <w:rsid w:val="00FD5D6C"/>
    <w:rsid w:val="00FD678A"/>
    <w:rsid w:val="00FD69E9"/>
    <w:rsid w:val="00FD7513"/>
    <w:rsid w:val="00FE00F2"/>
    <w:rsid w:val="00FE04C7"/>
    <w:rsid w:val="00FE1366"/>
    <w:rsid w:val="00FE1A83"/>
    <w:rsid w:val="00FE1D08"/>
    <w:rsid w:val="00FE2691"/>
    <w:rsid w:val="00FE27F1"/>
    <w:rsid w:val="00FE45E8"/>
    <w:rsid w:val="00FE5792"/>
    <w:rsid w:val="00FE5DD5"/>
    <w:rsid w:val="00FE7171"/>
    <w:rsid w:val="00FE7467"/>
    <w:rsid w:val="00FF0516"/>
    <w:rsid w:val="00FF2497"/>
    <w:rsid w:val="00FF2EC7"/>
    <w:rsid w:val="00FF2FCA"/>
    <w:rsid w:val="00FF45DE"/>
    <w:rsid w:val="00FF4E13"/>
    <w:rsid w:val="00FF5E6F"/>
    <w:rsid w:val="00FF60A2"/>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75AEDCB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style>
  <w:style w:type="paragraph" w:styleId="Heading1">
    <w:name w:val="heading 1"/>
    <w:basedOn w:val="Normal"/>
    <w:next w:val="Normal"/>
    <w:link w:val="Heading1Char"/>
    <w:uiPriority w:val="9"/>
    <w:qFormat/>
    <w:rsid w:val="00E451C3"/>
    <w:pPr>
      <w:keepNext/>
      <w:keepLines/>
      <w:spacing w:before="480" w:after="0"/>
      <w:outlineLvl w:val="0"/>
    </w:pPr>
    <w:rPr>
      <w:rFonts w:ascii="Times New Roman" w:hAnsi="Times New Roman" w:cs="Cambria"/>
      <w:b/>
      <w:bCs/>
      <w:sz w:val="24"/>
      <w:szCs w:val="28"/>
    </w:rPr>
  </w:style>
  <w:style w:type="paragraph" w:styleId="Heading2">
    <w:name w:val="heading 2"/>
    <w:basedOn w:val="Normal"/>
    <w:next w:val="Normal"/>
    <w:link w:val="Heading2Char"/>
    <w:uiPriority w:val="9"/>
    <w:qFormat/>
    <w:rsid w:val="009D2F29"/>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853049"/>
    <w:pPr>
      <w:keepNext/>
      <w:keepLines/>
      <w:spacing w:before="200" w:after="0"/>
      <w:outlineLvl w:val="2"/>
    </w:pPr>
    <w:rPr>
      <w:rFonts w:ascii="Cambria" w:hAnsi="Cambria" w:cs="Cambria"/>
      <w:b/>
      <w:bCs/>
      <w:color w:val="4F81BD"/>
    </w:rPr>
  </w:style>
  <w:style w:type="paragraph" w:styleId="Heading4">
    <w:name w:val="heading 4"/>
    <w:basedOn w:val="Normal"/>
    <w:next w:val="Normal"/>
    <w:link w:val="Heading4Char"/>
    <w:unhideWhenUsed/>
    <w:qFormat/>
    <w:locked/>
    <w:rsid w:val="004D05F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4C2CE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51C3"/>
    <w:rPr>
      <w:rFonts w:ascii="Times New Roman" w:hAnsi="Times New Roman" w:cs="Cambria"/>
      <w:b/>
      <w:bCs/>
      <w:sz w:val="24"/>
      <w:szCs w:val="28"/>
    </w:rPr>
  </w:style>
  <w:style w:type="character" w:customStyle="1" w:styleId="Heading2Char">
    <w:name w:val="Heading 2 Char"/>
    <w:basedOn w:val="DefaultParagraphFont"/>
    <w:link w:val="Heading2"/>
    <w:uiPriority w:val="9"/>
    <w:locked/>
    <w:rsid w:val="009D2F29"/>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853049"/>
    <w:rPr>
      <w:rFonts w:ascii="Cambria" w:hAnsi="Cambria" w:cs="Cambria"/>
      <w:b/>
      <w:bCs/>
      <w:color w:val="4F81BD"/>
    </w:rPr>
  </w:style>
  <w:style w:type="paragraph" w:styleId="ListParagraph">
    <w:name w:val="List Paragraph"/>
    <w:basedOn w:val="Normal"/>
    <w:uiPriority w:val="34"/>
    <w:qFormat/>
    <w:rsid w:val="009E24CF"/>
    <w:pPr>
      <w:ind w:left="720"/>
    </w:pPr>
  </w:style>
  <w:style w:type="character" w:styleId="CommentReference">
    <w:name w:val="annotation reference"/>
    <w:basedOn w:val="DefaultParagraphFont"/>
    <w:uiPriority w:val="99"/>
    <w:semiHidden/>
    <w:rsid w:val="00122D69"/>
    <w:rPr>
      <w:rFonts w:cs="Times New Roman"/>
      <w:sz w:val="16"/>
      <w:szCs w:val="16"/>
    </w:rPr>
  </w:style>
  <w:style w:type="paragraph" w:styleId="CommentText">
    <w:name w:val="annotation text"/>
    <w:basedOn w:val="Normal"/>
    <w:link w:val="CommentTextChar"/>
    <w:uiPriority w:val="99"/>
    <w:semiHidden/>
    <w:rsid w:val="00122D69"/>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locked/>
    <w:rsid w:val="00122D69"/>
    <w:rPr>
      <w:rFonts w:ascii="Times New Roman" w:hAnsi="Times New Roman" w:cs="Times New Roman"/>
      <w:sz w:val="20"/>
      <w:szCs w:val="20"/>
    </w:rPr>
  </w:style>
  <w:style w:type="paragraph" w:styleId="BalloonText">
    <w:name w:val="Balloon Text"/>
    <w:basedOn w:val="Normal"/>
    <w:link w:val="BalloonTextChar"/>
    <w:uiPriority w:val="99"/>
    <w:semiHidden/>
    <w:rsid w:val="00122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2D69"/>
    <w:rPr>
      <w:rFonts w:ascii="Tahoma" w:hAnsi="Tahoma" w:cs="Tahoma"/>
      <w:sz w:val="16"/>
      <w:szCs w:val="16"/>
    </w:rPr>
  </w:style>
  <w:style w:type="character" w:styleId="Hyperlink">
    <w:name w:val="Hyperlink"/>
    <w:basedOn w:val="DefaultParagraphFont"/>
    <w:uiPriority w:val="99"/>
    <w:rsid w:val="00620711"/>
    <w:rPr>
      <w:rFonts w:cs="Times New Roman"/>
      <w:color w:val="0000FF"/>
      <w:u w:val="single"/>
    </w:rPr>
  </w:style>
  <w:style w:type="paragraph" w:styleId="TOCHeading">
    <w:name w:val="TOC Heading"/>
    <w:basedOn w:val="Heading1"/>
    <w:next w:val="Normal"/>
    <w:uiPriority w:val="99"/>
    <w:qFormat/>
    <w:rsid w:val="00201862"/>
    <w:pPr>
      <w:outlineLvl w:val="9"/>
    </w:pPr>
    <w:rPr>
      <w:lang w:eastAsia="ja-JP"/>
    </w:rPr>
  </w:style>
  <w:style w:type="paragraph" w:styleId="TOC1">
    <w:name w:val="toc 1"/>
    <w:basedOn w:val="Normal"/>
    <w:next w:val="Normal"/>
    <w:autoRedefine/>
    <w:uiPriority w:val="39"/>
    <w:rsid w:val="0067540C"/>
    <w:pPr>
      <w:tabs>
        <w:tab w:val="left" w:pos="450"/>
        <w:tab w:val="right" w:leader="dot" w:pos="9422"/>
      </w:tabs>
      <w:spacing w:after="0"/>
    </w:pPr>
    <w:rPr>
      <w:rFonts w:ascii="Times New Roman" w:hAnsi="Times New Roman"/>
      <w:sz w:val="24"/>
    </w:rPr>
  </w:style>
  <w:style w:type="paragraph" w:styleId="TOC2">
    <w:name w:val="toc 2"/>
    <w:basedOn w:val="Normal"/>
    <w:next w:val="Normal"/>
    <w:autoRedefine/>
    <w:uiPriority w:val="39"/>
    <w:rsid w:val="004D55C0"/>
    <w:pPr>
      <w:tabs>
        <w:tab w:val="left" w:pos="450"/>
        <w:tab w:val="left" w:pos="880"/>
        <w:tab w:val="right" w:leader="dot" w:pos="9422"/>
      </w:tabs>
      <w:spacing w:after="100"/>
    </w:pPr>
    <w:rPr>
      <w:rFonts w:ascii="Times New Roman" w:hAnsi="Times New Roman"/>
      <w:noProof/>
      <w:sz w:val="24"/>
      <w:szCs w:val="24"/>
    </w:rPr>
  </w:style>
  <w:style w:type="paragraph" w:styleId="Header">
    <w:name w:val="header"/>
    <w:basedOn w:val="Normal"/>
    <w:link w:val="HeaderChar"/>
    <w:uiPriority w:val="99"/>
    <w:rsid w:val="00BD1EF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77CC3"/>
  </w:style>
  <w:style w:type="paragraph" w:styleId="Footer">
    <w:name w:val="footer"/>
    <w:basedOn w:val="Normal"/>
    <w:link w:val="FooterChar"/>
    <w:uiPriority w:val="99"/>
    <w:rsid w:val="00BD1EF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77CC3"/>
  </w:style>
  <w:style w:type="paragraph" w:styleId="TOC3">
    <w:name w:val="toc 3"/>
    <w:basedOn w:val="Normal"/>
    <w:next w:val="Normal"/>
    <w:autoRedefine/>
    <w:uiPriority w:val="39"/>
    <w:rsid w:val="0021299B"/>
    <w:pPr>
      <w:spacing w:after="100"/>
      <w:ind w:left="440"/>
    </w:pPr>
  </w:style>
  <w:style w:type="paragraph" w:styleId="NoSpacing">
    <w:name w:val="No Spacing"/>
    <w:link w:val="NoSpacingChar"/>
    <w:uiPriority w:val="99"/>
    <w:qFormat/>
    <w:rsid w:val="006966A8"/>
    <w:pPr>
      <w:spacing w:after="0" w:line="240" w:lineRule="auto"/>
    </w:pPr>
    <w:rPr>
      <w:lang w:eastAsia="ja-JP"/>
    </w:rPr>
  </w:style>
  <w:style w:type="character" w:customStyle="1" w:styleId="NoSpacingChar">
    <w:name w:val="No Spacing Char"/>
    <w:basedOn w:val="DefaultParagraphFont"/>
    <w:link w:val="NoSpacing"/>
    <w:uiPriority w:val="99"/>
    <w:locked/>
    <w:rsid w:val="006966A8"/>
    <w:rPr>
      <w:rFonts w:eastAsia="Times New Roman" w:cs="Times New Roman"/>
      <w:lang w:val="x-none" w:eastAsia="ja-JP"/>
    </w:rPr>
  </w:style>
  <w:style w:type="table" w:styleId="TableGrid">
    <w:name w:val="Table Grid"/>
    <w:basedOn w:val="TableNormal"/>
    <w:uiPriority w:val="39"/>
    <w:rsid w:val="0060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955E9"/>
    <w:pPr>
      <w:spacing w:after="200"/>
    </w:pPr>
    <w:rPr>
      <w:rFonts w:ascii="Calibri" w:hAnsi="Calibri" w:cs="Calibri"/>
      <w:b/>
      <w:bCs/>
    </w:rPr>
  </w:style>
  <w:style w:type="character" w:customStyle="1" w:styleId="CommentSubjectChar">
    <w:name w:val="Comment Subject Char"/>
    <w:basedOn w:val="CommentTextChar"/>
    <w:link w:val="CommentSubject"/>
    <w:uiPriority w:val="99"/>
    <w:semiHidden/>
    <w:locked/>
    <w:rsid w:val="00D955E9"/>
    <w:rPr>
      <w:rFonts w:ascii="Times New Roman" w:hAnsi="Times New Roman" w:cs="Times New Roman"/>
      <w:b/>
      <w:bCs/>
      <w:sz w:val="20"/>
      <w:szCs w:val="20"/>
    </w:rPr>
  </w:style>
  <w:style w:type="paragraph" w:styleId="Revision">
    <w:name w:val="Revision"/>
    <w:hidden/>
    <w:uiPriority w:val="99"/>
    <w:semiHidden/>
    <w:rsid w:val="00ED47A0"/>
    <w:pPr>
      <w:spacing w:after="0" w:line="240" w:lineRule="auto"/>
    </w:pPr>
  </w:style>
  <w:style w:type="character" w:styleId="FollowedHyperlink">
    <w:name w:val="FollowedHyperlink"/>
    <w:basedOn w:val="DefaultParagraphFont"/>
    <w:uiPriority w:val="99"/>
    <w:semiHidden/>
    <w:rsid w:val="00B43B21"/>
    <w:rPr>
      <w:rFonts w:cs="Times New Roman"/>
      <w:color w:val="800080"/>
      <w:u w:val="single"/>
    </w:rPr>
  </w:style>
  <w:style w:type="paragraph" w:customStyle="1" w:styleId="Default">
    <w:name w:val="Default"/>
    <w:rsid w:val="009060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A9"/>
    <w:uiPriority w:val="99"/>
    <w:rsid w:val="001962D7"/>
    <w:rPr>
      <w:rFonts w:cs="ITC Franklin Gothic Std Book"/>
      <w:color w:val="211D1E"/>
      <w:sz w:val="12"/>
      <w:szCs w:val="12"/>
    </w:rPr>
  </w:style>
  <w:style w:type="character" w:customStyle="1" w:styleId="A12">
    <w:name w:val="A12"/>
    <w:uiPriority w:val="99"/>
    <w:rsid w:val="00A95EBB"/>
    <w:rPr>
      <w:rFonts w:cs="ITC Franklin Gothic Std Bk Cd"/>
      <w:color w:val="536CB4"/>
      <w:sz w:val="18"/>
      <w:szCs w:val="18"/>
      <w:u w:val="single"/>
    </w:rPr>
  </w:style>
  <w:style w:type="paragraph" w:customStyle="1" w:styleId="Pa0">
    <w:name w:val="Pa0"/>
    <w:basedOn w:val="Default"/>
    <w:next w:val="Default"/>
    <w:uiPriority w:val="99"/>
    <w:rsid w:val="000801F5"/>
    <w:pPr>
      <w:spacing w:line="221" w:lineRule="atLeast"/>
    </w:pPr>
    <w:rPr>
      <w:rFonts w:ascii="ITC Franklin Gothic Std Book" w:hAnsi="ITC Franklin Gothic Std Book"/>
      <w:color w:val="auto"/>
    </w:rPr>
  </w:style>
  <w:style w:type="character" w:customStyle="1" w:styleId="A8">
    <w:name w:val="A8"/>
    <w:uiPriority w:val="99"/>
    <w:rsid w:val="003C6A65"/>
    <w:rPr>
      <w:rFonts w:cs="ITC Franklin Gothic Std Book"/>
      <w:b/>
      <w:bCs/>
      <w:color w:val="211D1E"/>
      <w:sz w:val="22"/>
      <w:szCs w:val="22"/>
      <w:u w:val="single"/>
    </w:rPr>
  </w:style>
  <w:style w:type="character" w:customStyle="1" w:styleId="A6">
    <w:name w:val="A6"/>
    <w:uiPriority w:val="99"/>
    <w:rsid w:val="006542B4"/>
    <w:rPr>
      <w:rFonts w:cs="ITC Franklin Gothic Std Book"/>
      <w:color w:val="221E1F"/>
      <w:sz w:val="22"/>
      <w:szCs w:val="22"/>
    </w:rPr>
  </w:style>
  <w:style w:type="paragraph" w:customStyle="1" w:styleId="Pa17">
    <w:name w:val="Pa17"/>
    <w:basedOn w:val="Default"/>
    <w:next w:val="Default"/>
    <w:uiPriority w:val="99"/>
    <w:rsid w:val="004729B0"/>
    <w:pPr>
      <w:spacing w:line="221" w:lineRule="atLeast"/>
    </w:pPr>
    <w:rPr>
      <w:rFonts w:ascii="ITC Franklin Gothic Std Book" w:hAnsi="ITC Franklin Gothic Std Book"/>
      <w:color w:val="auto"/>
    </w:rPr>
  </w:style>
  <w:style w:type="character" w:customStyle="1" w:styleId="Heading4Char">
    <w:name w:val="Heading 4 Char"/>
    <w:basedOn w:val="DefaultParagraphFont"/>
    <w:link w:val="Heading4"/>
    <w:rsid w:val="004D05F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4C2CE2"/>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locked/>
    <w:rsid w:val="004C2CE2"/>
    <w:rPr>
      <w:b/>
      <w:bCs/>
    </w:rPr>
  </w:style>
  <w:style w:type="paragraph" w:styleId="NormalWeb">
    <w:name w:val="Normal (Web)"/>
    <w:basedOn w:val="Normal"/>
    <w:uiPriority w:val="99"/>
    <w:semiHidden/>
    <w:unhideWhenUsed/>
    <w:rsid w:val="00951FA0"/>
    <w:pPr>
      <w:spacing w:after="266" w:line="293" w:lineRule="atLeast"/>
    </w:pPr>
    <w:rPr>
      <w:rFonts w:ascii="Times New Roman" w:hAnsi="Times New Roman" w:cs="Times New Roman"/>
      <w:sz w:val="27"/>
      <w:szCs w:val="27"/>
    </w:rPr>
  </w:style>
  <w:style w:type="character" w:styleId="Emphasis">
    <w:name w:val="Emphasis"/>
    <w:basedOn w:val="DefaultParagraphFont"/>
    <w:uiPriority w:val="20"/>
    <w:qFormat/>
    <w:locked/>
    <w:rsid w:val="00E278E5"/>
    <w:rPr>
      <w:i/>
      <w:iCs/>
    </w:rPr>
  </w:style>
  <w:style w:type="character" w:customStyle="1" w:styleId="st1">
    <w:name w:val="st1"/>
    <w:basedOn w:val="DefaultParagraphFont"/>
    <w:rsid w:val="005314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style>
  <w:style w:type="paragraph" w:styleId="Heading1">
    <w:name w:val="heading 1"/>
    <w:basedOn w:val="Normal"/>
    <w:next w:val="Normal"/>
    <w:link w:val="Heading1Char"/>
    <w:uiPriority w:val="9"/>
    <w:qFormat/>
    <w:rsid w:val="00E451C3"/>
    <w:pPr>
      <w:keepNext/>
      <w:keepLines/>
      <w:spacing w:before="480" w:after="0"/>
      <w:outlineLvl w:val="0"/>
    </w:pPr>
    <w:rPr>
      <w:rFonts w:ascii="Times New Roman" w:hAnsi="Times New Roman" w:cs="Cambria"/>
      <w:b/>
      <w:bCs/>
      <w:sz w:val="24"/>
      <w:szCs w:val="28"/>
    </w:rPr>
  </w:style>
  <w:style w:type="paragraph" w:styleId="Heading2">
    <w:name w:val="heading 2"/>
    <w:basedOn w:val="Normal"/>
    <w:next w:val="Normal"/>
    <w:link w:val="Heading2Char"/>
    <w:uiPriority w:val="9"/>
    <w:qFormat/>
    <w:rsid w:val="009D2F29"/>
    <w:pPr>
      <w:keepNext/>
      <w:keepLines/>
      <w:spacing w:before="200" w:after="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853049"/>
    <w:pPr>
      <w:keepNext/>
      <w:keepLines/>
      <w:spacing w:before="200" w:after="0"/>
      <w:outlineLvl w:val="2"/>
    </w:pPr>
    <w:rPr>
      <w:rFonts w:ascii="Cambria" w:hAnsi="Cambria" w:cs="Cambria"/>
      <w:b/>
      <w:bCs/>
      <w:color w:val="4F81BD"/>
    </w:rPr>
  </w:style>
  <w:style w:type="paragraph" w:styleId="Heading4">
    <w:name w:val="heading 4"/>
    <w:basedOn w:val="Normal"/>
    <w:next w:val="Normal"/>
    <w:link w:val="Heading4Char"/>
    <w:unhideWhenUsed/>
    <w:qFormat/>
    <w:locked/>
    <w:rsid w:val="004D05F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4C2CE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51C3"/>
    <w:rPr>
      <w:rFonts w:ascii="Times New Roman" w:hAnsi="Times New Roman" w:cs="Cambria"/>
      <w:b/>
      <w:bCs/>
      <w:sz w:val="24"/>
      <w:szCs w:val="28"/>
    </w:rPr>
  </w:style>
  <w:style w:type="character" w:customStyle="1" w:styleId="Heading2Char">
    <w:name w:val="Heading 2 Char"/>
    <w:basedOn w:val="DefaultParagraphFont"/>
    <w:link w:val="Heading2"/>
    <w:uiPriority w:val="9"/>
    <w:locked/>
    <w:rsid w:val="009D2F29"/>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853049"/>
    <w:rPr>
      <w:rFonts w:ascii="Cambria" w:hAnsi="Cambria" w:cs="Cambria"/>
      <w:b/>
      <w:bCs/>
      <w:color w:val="4F81BD"/>
    </w:rPr>
  </w:style>
  <w:style w:type="paragraph" w:styleId="ListParagraph">
    <w:name w:val="List Paragraph"/>
    <w:basedOn w:val="Normal"/>
    <w:uiPriority w:val="34"/>
    <w:qFormat/>
    <w:rsid w:val="009E24CF"/>
    <w:pPr>
      <w:ind w:left="720"/>
    </w:pPr>
  </w:style>
  <w:style w:type="character" w:styleId="CommentReference">
    <w:name w:val="annotation reference"/>
    <w:basedOn w:val="DefaultParagraphFont"/>
    <w:uiPriority w:val="99"/>
    <w:semiHidden/>
    <w:rsid w:val="00122D69"/>
    <w:rPr>
      <w:rFonts w:cs="Times New Roman"/>
      <w:sz w:val="16"/>
      <w:szCs w:val="16"/>
    </w:rPr>
  </w:style>
  <w:style w:type="paragraph" w:styleId="CommentText">
    <w:name w:val="annotation text"/>
    <w:basedOn w:val="Normal"/>
    <w:link w:val="CommentTextChar"/>
    <w:uiPriority w:val="99"/>
    <w:semiHidden/>
    <w:rsid w:val="00122D69"/>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locked/>
    <w:rsid w:val="00122D69"/>
    <w:rPr>
      <w:rFonts w:ascii="Times New Roman" w:hAnsi="Times New Roman" w:cs="Times New Roman"/>
      <w:sz w:val="20"/>
      <w:szCs w:val="20"/>
    </w:rPr>
  </w:style>
  <w:style w:type="paragraph" w:styleId="BalloonText">
    <w:name w:val="Balloon Text"/>
    <w:basedOn w:val="Normal"/>
    <w:link w:val="BalloonTextChar"/>
    <w:uiPriority w:val="99"/>
    <w:semiHidden/>
    <w:rsid w:val="00122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2D69"/>
    <w:rPr>
      <w:rFonts w:ascii="Tahoma" w:hAnsi="Tahoma" w:cs="Tahoma"/>
      <w:sz w:val="16"/>
      <w:szCs w:val="16"/>
    </w:rPr>
  </w:style>
  <w:style w:type="character" w:styleId="Hyperlink">
    <w:name w:val="Hyperlink"/>
    <w:basedOn w:val="DefaultParagraphFont"/>
    <w:uiPriority w:val="99"/>
    <w:rsid w:val="00620711"/>
    <w:rPr>
      <w:rFonts w:cs="Times New Roman"/>
      <w:color w:val="0000FF"/>
      <w:u w:val="single"/>
    </w:rPr>
  </w:style>
  <w:style w:type="paragraph" w:styleId="TOCHeading">
    <w:name w:val="TOC Heading"/>
    <w:basedOn w:val="Heading1"/>
    <w:next w:val="Normal"/>
    <w:uiPriority w:val="99"/>
    <w:qFormat/>
    <w:rsid w:val="00201862"/>
    <w:pPr>
      <w:outlineLvl w:val="9"/>
    </w:pPr>
    <w:rPr>
      <w:lang w:eastAsia="ja-JP"/>
    </w:rPr>
  </w:style>
  <w:style w:type="paragraph" w:styleId="TOC1">
    <w:name w:val="toc 1"/>
    <w:basedOn w:val="Normal"/>
    <w:next w:val="Normal"/>
    <w:autoRedefine/>
    <w:uiPriority w:val="39"/>
    <w:rsid w:val="0067540C"/>
    <w:pPr>
      <w:tabs>
        <w:tab w:val="left" w:pos="450"/>
        <w:tab w:val="right" w:leader="dot" w:pos="9422"/>
      </w:tabs>
      <w:spacing w:after="0"/>
    </w:pPr>
    <w:rPr>
      <w:rFonts w:ascii="Times New Roman" w:hAnsi="Times New Roman"/>
      <w:sz w:val="24"/>
    </w:rPr>
  </w:style>
  <w:style w:type="paragraph" w:styleId="TOC2">
    <w:name w:val="toc 2"/>
    <w:basedOn w:val="Normal"/>
    <w:next w:val="Normal"/>
    <w:autoRedefine/>
    <w:uiPriority w:val="39"/>
    <w:rsid w:val="004D55C0"/>
    <w:pPr>
      <w:tabs>
        <w:tab w:val="left" w:pos="450"/>
        <w:tab w:val="left" w:pos="880"/>
        <w:tab w:val="right" w:leader="dot" w:pos="9422"/>
      </w:tabs>
      <w:spacing w:after="100"/>
    </w:pPr>
    <w:rPr>
      <w:rFonts w:ascii="Times New Roman" w:hAnsi="Times New Roman"/>
      <w:noProof/>
      <w:sz w:val="24"/>
      <w:szCs w:val="24"/>
    </w:rPr>
  </w:style>
  <w:style w:type="paragraph" w:styleId="Header">
    <w:name w:val="header"/>
    <w:basedOn w:val="Normal"/>
    <w:link w:val="HeaderChar"/>
    <w:uiPriority w:val="99"/>
    <w:rsid w:val="00BD1EF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77CC3"/>
  </w:style>
  <w:style w:type="paragraph" w:styleId="Footer">
    <w:name w:val="footer"/>
    <w:basedOn w:val="Normal"/>
    <w:link w:val="FooterChar"/>
    <w:uiPriority w:val="99"/>
    <w:rsid w:val="00BD1EF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77CC3"/>
  </w:style>
  <w:style w:type="paragraph" w:styleId="TOC3">
    <w:name w:val="toc 3"/>
    <w:basedOn w:val="Normal"/>
    <w:next w:val="Normal"/>
    <w:autoRedefine/>
    <w:uiPriority w:val="39"/>
    <w:rsid w:val="0021299B"/>
    <w:pPr>
      <w:spacing w:after="100"/>
      <w:ind w:left="440"/>
    </w:pPr>
  </w:style>
  <w:style w:type="paragraph" w:styleId="NoSpacing">
    <w:name w:val="No Spacing"/>
    <w:link w:val="NoSpacingChar"/>
    <w:uiPriority w:val="99"/>
    <w:qFormat/>
    <w:rsid w:val="006966A8"/>
    <w:pPr>
      <w:spacing w:after="0" w:line="240" w:lineRule="auto"/>
    </w:pPr>
    <w:rPr>
      <w:lang w:eastAsia="ja-JP"/>
    </w:rPr>
  </w:style>
  <w:style w:type="character" w:customStyle="1" w:styleId="NoSpacingChar">
    <w:name w:val="No Spacing Char"/>
    <w:basedOn w:val="DefaultParagraphFont"/>
    <w:link w:val="NoSpacing"/>
    <w:uiPriority w:val="99"/>
    <w:locked/>
    <w:rsid w:val="006966A8"/>
    <w:rPr>
      <w:rFonts w:eastAsia="Times New Roman" w:cs="Times New Roman"/>
      <w:lang w:val="x-none" w:eastAsia="ja-JP"/>
    </w:rPr>
  </w:style>
  <w:style w:type="table" w:styleId="TableGrid">
    <w:name w:val="Table Grid"/>
    <w:basedOn w:val="TableNormal"/>
    <w:uiPriority w:val="39"/>
    <w:rsid w:val="0060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955E9"/>
    <w:pPr>
      <w:spacing w:after="200"/>
    </w:pPr>
    <w:rPr>
      <w:rFonts w:ascii="Calibri" w:hAnsi="Calibri" w:cs="Calibri"/>
      <w:b/>
      <w:bCs/>
    </w:rPr>
  </w:style>
  <w:style w:type="character" w:customStyle="1" w:styleId="CommentSubjectChar">
    <w:name w:val="Comment Subject Char"/>
    <w:basedOn w:val="CommentTextChar"/>
    <w:link w:val="CommentSubject"/>
    <w:uiPriority w:val="99"/>
    <w:semiHidden/>
    <w:locked/>
    <w:rsid w:val="00D955E9"/>
    <w:rPr>
      <w:rFonts w:ascii="Times New Roman" w:hAnsi="Times New Roman" w:cs="Times New Roman"/>
      <w:b/>
      <w:bCs/>
      <w:sz w:val="20"/>
      <w:szCs w:val="20"/>
    </w:rPr>
  </w:style>
  <w:style w:type="paragraph" w:styleId="Revision">
    <w:name w:val="Revision"/>
    <w:hidden/>
    <w:uiPriority w:val="99"/>
    <w:semiHidden/>
    <w:rsid w:val="00ED47A0"/>
    <w:pPr>
      <w:spacing w:after="0" w:line="240" w:lineRule="auto"/>
    </w:pPr>
  </w:style>
  <w:style w:type="character" w:styleId="FollowedHyperlink">
    <w:name w:val="FollowedHyperlink"/>
    <w:basedOn w:val="DefaultParagraphFont"/>
    <w:uiPriority w:val="99"/>
    <w:semiHidden/>
    <w:rsid w:val="00B43B21"/>
    <w:rPr>
      <w:rFonts w:cs="Times New Roman"/>
      <w:color w:val="800080"/>
      <w:u w:val="single"/>
    </w:rPr>
  </w:style>
  <w:style w:type="paragraph" w:customStyle="1" w:styleId="Default">
    <w:name w:val="Default"/>
    <w:rsid w:val="009060F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9">
    <w:name w:val="A9"/>
    <w:uiPriority w:val="99"/>
    <w:rsid w:val="001962D7"/>
    <w:rPr>
      <w:rFonts w:cs="ITC Franklin Gothic Std Book"/>
      <w:color w:val="211D1E"/>
      <w:sz w:val="12"/>
      <w:szCs w:val="12"/>
    </w:rPr>
  </w:style>
  <w:style w:type="character" w:customStyle="1" w:styleId="A12">
    <w:name w:val="A12"/>
    <w:uiPriority w:val="99"/>
    <w:rsid w:val="00A95EBB"/>
    <w:rPr>
      <w:rFonts w:cs="ITC Franklin Gothic Std Bk Cd"/>
      <w:color w:val="536CB4"/>
      <w:sz w:val="18"/>
      <w:szCs w:val="18"/>
      <w:u w:val="single"/>
    </w:rPr>
  </w:style>
  <w:style w:type="paragraph" w:customStyle="1" w:styleId="Pa0">
    <w:name w:val="Pa0"/>
    <w:basedOn w:val="Default"/>
    <w:next w:val="Default"/>
    <w:uiPriority w:val="99"/>
    <w:rsid w:val="000801F5"/>
    <w:pPr>
      <w:spacing w:line="221" w:lineRule="atLeast"/>
    </w:pPr>
    <w:rPr>
      <w:rFonts w:ascii="ITC Franklin Gothic Std Book" w:hAnsi="ITC Franklin Gothic Std Book"/>
      <w:color w:val="auto"/>
    </w:rPr>
  </w:style>
  <w:style w:type="character" w:customStyle="1" w:styleId="A8">
    <w:name w:val="A8"/>
    <w:uiPriority w:val="99"/>
    <w:rsid w:val="003C6A65"/>
    <w:rPr>
      <w:rFonts w:cs="ITC Franklin Gothic Std Book"/>
      <w:b/>
      <w:bCs/>
      <w:color w:val="211D1E"/>
      <w:sz w:val="22"/>
      <w:szCs w:val="22"/>
      <w:u w:val="single"/>
    </w:rPr>
  </w:style>
  <w:style w:type="character" w:customStyle="1" w:styleId="A6">
    <w:name w:val="A6"/>
    <w:uiPriority w:val="99"/>
    <w:rsid w:val="006542B4"/>
    <w:rPr>
      <w:rFonts w:cs="ITC Franklin Gothic Std Book"/>
      <w:color w:val="221E1F"/>
      <w:sz w:val="22"/>
      <w:szCs w:val="22"/>
    </w:rPr>
  </w:style>
  <w:style w:type="paragraph" w:customStyle="1" w:styleId="Pa17">
    <w:name w:val="Pa17"/>
    <w:basedOn w:val="Default"/>
    <w:next w:val="Default"/>
    <w:uiPriority w:val="99"/>
    <w:rsid w:val="004729B0"/>
    <w:pPr>
      <w:spacing w:line="221" w:lineRule="atLeast"/>
    </w:pPr>
    <w:rPr>
      <w:rFonts w:ascii="ITC Franklin Gothic Std Book" w:hAnsi="ITC Franklin Gothic Std Book"/>
      <w:color w:val="auto"/>
    </w:rPr>
  </w:style>
  <w:style w:type="character" w:customStyle="1" w:styleId="Heading4Char">
    <w:name w:val="Heading 4 Char"/>
    <w:basedOn w:val="DefaultParagraphFont"/>
    <w:link w:val="Heading4"/>
    <w:rsid w:val="004D05F2"/>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4C2CE2"/>
    <w:rPr>
      <w:rFonts w:asciiTheme="majorHAnsi" w:eastAsiaTheme="majorEastAsia" w:hAnsiTheme="majorHAnsi" w:cstheme="majorBidi"/>
      <w:color w:val="365F91" w:themeColor="accent1" w:themeShade="BF"/>
    </w:rPr>
  </w:style>
  <w:style w:type="character" w:styleId="Strong">
    <w:name w:val="Strong"/>
    <w:basedOn w:val="DefaultParagraphFont"/>
    <w:uiPriority w:val="22"/>
    <w:qFormat/>
    <w:locked/>
    <w:rsid w:val="004C2CE2"/>
    <w:rPr>
      <w:b/>
      <w:bCs/>
    </w:rPr>
  </w:style>
  <w:style w:type="paragraph" w:styleId="NormalWeb">
    <w:name w:val="Normal (Web)"/>
    <w:basedOn w:val="Normal"/>
    <w:uiPriority w:val="99"/>
    <w:semiHidden/>
    <w:unhideWhenUsed/>
    <w:rsid w:val="00951FA0"/>
    <w:pPr>
      <w:spacing w:after="266" w:line="293" w:lineRule="atLeast"/>
    </w:pPr>
    <w:rPr>
      <w:rFonts w:ascii="Times New Roman" w:hAnsi="Times New Roman" w:cs="Times New Roman"/>
      <w:sz w:val="27"/>
      <w:szCs w:val="27"/>
    </w:rPr>
  </w:style>
  <w:style w:type="character" w:styleId="Emphasis">
    <w:name w:val="Emphasis"/>
    <w:basedOn w:val="DefaultParagraphFont"/>
    <w:uiPriority w:val="20"/>
    <w:qFormat/>
    <w:locked/>
    <w:rsid w:val="00E278E5"/>
    <w:rPr>
      <w:i/>
      <w:iCs/>
    </w:rPr>
  </w:style>
  <w:style w:type="character" w:customStyle="1" w:styleId="st1">
    <w:name w:val="st1"/>
    <w:basedOn w:val="DefaultParagraphFont"/>
    <w:rsid w:val="00531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2450">
      <w:bodyDiv w:val="1"/>
      <w:marLeft w:val="0"/>
      <w:marRight w:val="0"/>
      <w:marTop w:val="0"/>
      <w:marBottom w:val="0"/>
      <w:divBdr>
        <w:top w:val="none" w:sz="0" w:space="0" w:color="auto"/>
        <w:left w:val="none" w:sz="0" w:space="0" w:color="auto"/>
        <w:bottom w:val="none" w:sz="0" w:space="0" w:color="auto"/>
        <w:right w:val="none" w:sz="0" w:space="0" w:color="auto"/>
      </w:divBdr>
    </w:div>
    <w:div w:id="250892089">
      <w:bodyDiv w:val="1"/>
      <w:marLeft w:val="0"/>
      <w:marRight w:val="0"/>
      <w:marTop w:val="0"/>
      <w:marBottom w:val="0"/>
      <w:divBdr>
        <w:top w:val="none" w:sz="0" w:space="0" w:color="auto"/>
        <w:left w:val="none" w:sz="0" w:space="0" w:color="auto"/>
        <w:bottom w:val="none" w:sz="0" w:space="0" w:color="auto"/>
        <w:right w:val="none" w:sz="0" w:space="0" w:color="auto"/>
      </w:divBdr>
    </w:div>
    <w:div w:id="263879873">
      <w:bodyDiv w:val="1"/>
      <w:marLeft w:val="0"/>
      <w:marRight w:val="0"/>
      <w:marTop w:val="0"/>
      <w:marBottom w:val="0"/>
      <w:divBdr>
        <w:top w:val="none" w:sz="0" w:space="0" w:color="auto"/>
        <w:left w:val="none" w:sz="0" w:space="0" w:color="auto"/>
        <w:bottom w:val="none" w:sz="0" w:space="0" w:color="auto"/>
        <w:right w:val="none" w:sz="0" w:space="0" w:color="auto"/>
      </w:divBdr>
      <w:divsChild>
        <w:div w:id="1538346273">
          <w:marLeft w:val="0"/>
          <w:marRight w:val="0"/>
          <w:marTop w:val="0"/>
          <w:marBottom w:val="0"/>
          <w:divBdr>
            <w:top w:val="none" w:sz="0" w:space="0" w:color="auto"/>
            <w:left w:val="none" w:sz="0" w:space="0" w:color="auto"/>
            <w:bottom w:val="none" w:sz="0" w:space="0" w:color="auto"/>
            <w:right w:val="none" w:sz="0" w:space="0" w:color="auto"/>
          </w:divBdr>
          <w:divsChild>
            <w:div w:id="2105107432">
              <w:marLeft w:val="0"/>
              <w:marRight w:val="0"/>
              <w:marTop w:val="0"/>
              <w:marBottom w:val="0"/>
              <w:divBdr>
                <w:top w:val="none" w:sz="0" w:space="0" w:color="auto"/>
                <w:left w:val="none" w:sz="0" w:space="0" w:color="auto"/>
                <w:bottom w:val="none" w:sz="0" w:space="0" w:color="auto"/>
                <w:right w:val="none" w:sz="0" w:space="0" w:color="auto"/>
              </w:divBdr>
              <w:divsChild>
                <w:div w:id="775710957">
                  <w:marLeft w:val="0"/>
                  <w:marRight w:val="0"/>
                  <w:marTop w:val="0"/>
                  <w:marBottom w:val="0"/>
                  <w:divBdr>
                    <w:top w:val="none" w:sz="0" w:space="0" w:color="auto"/>
                    <w:left w:val="none" w:sz="0" w:space="0" w:color="auto"/>
                    <w:bottom w:val="none" w:sz="0" w:space="0" w:color="auto"/>
                    <w:right w:val="none" w:sz="0" w:space="0" w:color="auto"/>
                  </w:divBdr>
                  <w:divsChild>
                    <w:div w:id="488330180">
                      <w:marLeft w:val="0"/>
                      <w:marRight w:val="0"/>
                      <w:marTop w:val="0"/>
                      <w:marBottom w:val="0"/>
                      <w:divBdr>
                        <w:top w:val="none" w:sz="0" w:space="0" w:color="auto"/>
                        <w:left w:val="none" w:sz="0" w:space="0" w:color="auto"/>
                        <w:bottom w:val="none" w:sz="0" w:space="0" w:color="auto"/>
                        <w:right w:val="none" w:sz="0" w:space="0" w:color="auto"/>
                      </w:divBdr>
                      <w:divsChild>
                        <w:div w:id="1789659170">
                          <w:marLeft w:val="0"/>
                          <w:marRight w:val="0"/>
                          <w:marTop w:val="0"/>
                          <w:marBottom w:val="0"/>
                          <w:divBdr>
                            <w:top w:val="none" w:sz="0" w:space="0" w:color="auto"/>
                            <w:left w:val="none" w:sz="0" w:space="0" w:color="auto"/>
                            <w:bottom w:val="none" w:sz="0" w:space="0" w:color="auto"/>
                            <w:right w:val="none" w:sz="0" w:space="0" w:color="auto"/>
                          </w:divBdr>
                          <w:divsChild>
                            <w:div w:id="178920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176129">
      <w:bodyDiv w:val="1"/>
      <w:marLeft w:val="0"/>
      <w:marRight w:val="0"/>
      <w:marTop w:val="0"/>
      <w:marBottom w:val="0"/>
      <w:divBdr>
        <w:top w:val="none" w:sz="0" w:space="0" w:color="auto"/>
        <w:left w:val="none" w:sz="0" w:space="0" w:color="auto"/>
        <w:bottom w:val="none" w:sz="0" w:space="0" w:color="auto"/>
        <w:right w:val="none" w:sz="0" w:space="0" w:color="auto"/>
      </w:divBdr>
      <w:divsChild>
        <w:div w:id="141311549">
          <w:marLeft w:val="0"/>
          <w:marRight w:val="0"/>
          <w:marTop w:val="0"/>
          <w:marBottom w:val="0"/>
          <w:divBdr>
            <w:top w:val="none" w:sz="0" w:space="0" w:color="auto"/>
            <w:left w:val="none" w:sz="0" w:space="0" w:color="auto"/>
            <w:bottom w:val="none" w:sz="0" w:space="0" w:color="auto"/>
            <w:right w:val="none" w:sz="0" w:space="0" w:color="auto"/>
          </w:divBdr>
          <w:divsChild>
            <w:div w:id="132450461">
              <w:marLeft w:val="-150"/>
              <w:marRight w:val="0"/>
              <w:marTop w:val="0"/>
              <w:marBottom w:val="0"/>
              <w:divBdr>
                <w:top w:val="none" w:sz="0" w:space="0" w:color="auto"/>
                <w:left w:val="none" w:sz="0" w:space="0" w:color="auto"/>
                <w:bottom w:val="none" w:sz="0" w:space="0" w:color="auto"/>
                <w:right w:val="none" w:sz="0" w:space="0" w:color="auto"/>
              </w:divBdr>
              <w:divsChild>
                <w:div w:id="72361086">
                  <w:marLeft w:val="0"/>
                  <w:marRight w:val="0"/>
                  <w:marTop w:val="0"/>
                  <w:marBottom w:val="0"/>
                  <w:divBdr>
                    <w:top w:val="none" w:sz="0" w:space="0" w:color="auto"/>
                    <w:left w:val="none" w:sz="0" w:space="0" w:color="auto"/>
                    <w:bottom w:val="none" w:sz="0" w:space="0" w:color="auto"/>
                    <w:right w:val="none" w:sz="0" w:space="0" w:color="auto"/>
                  </w:divBdr>
                  <w:divsChild>
                    <w:div w:id="2098865752">
                      <w:marLeft w:val="0"/>
                      <w:marRight w:val="0"/>
                      <w:marTop w:val="0"/>
                      <w:marBottom w:val="0"/>
                      <w:divBdr>
                        <w:top w:val="none" w:sz="0" w:space="0" w:color="auto"/>
                        <w:left w:val="none" w:sz="0" w:space="0" w:color="auto"/>
                        <w:bottom w:val="none" w:sz="0" w:space="0" w:color="auto"/>
                        <w:right w:val="none" w:sz="0" w:space="0" w:color="auto"/>
                      </w:divBdr>
                      <w:divsChild>
                        <w:div w:id="1121648840">
                          <w:marLeft w:val="0"/>
                          <w:marRight w:val="0"/>
                          <w:marTop w:val="0"/>
                          <w:marBottom w:val="0"/>
                          <w:divBdr>
                            <w:top w:val="none" w:sz="0" w:space="0" w:color="auto"/>
                            <w:left w:val="none" w:sz="0" w:space="0" w:color="auto"/>
                            <w:bottom w:val="none" w:sz="0" w:space="0" w:color="auto"/>
                            <w:right w:val="none" w:sz="0" w:space="0" w:color="auto"/>
                          </w:divBdr>
                          <w:divsChild>
                            <w:div w:id="5959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517065">
      <w:bodyDiv w:val="1"/>
      <w:marLeft w:val="0"/>
      <w:marRight w:val="0"/>
      <w:marTop w:val="0"/>
      <w:marBottom w:val="0"/>
      <w:divBdr>
        <w:top w:val="none" w:sz="0" w:space="0" w:color="auto"/>
        <w:left w:val="none" w:sz="0" w:space="0" w:color="auto"/>
        <w:bottom w:val="none" w:sz="0" w:space="0" w:color="auto"/>
        <w:right w:val="none" w:sz="0" w:space="0" w:color="auto"/>
      </w:divBdr>
    </w:div>
    <w:div w:id="1016617926">
      <w:bodyDiv w:val="1"/>
      <w:marLeft w:val="0"/>
      <w:marRight w:val="0"/>
      <w:marTop w:val="0"/>
      <w:marBottom w:val="0"/>
      <w:divBdr>
        <w:top w:val="none" w:sz="0" w:space="0" w:color="auto"/>
        <w:left w:val="none" w:sz="0" w:space="0" w:color="auto"/>
        <w:bottom w:val="none" w:sz="0" w:space="0" w:color="auto"/>
        <w:right w:val="none" w:sz="0" w:space="0" w:color="auto"/>
      </w:divBdr>
    </w:div>
    <w:div w:id="1206874003">
      <w:bodyDiv w:val="1"/>
      <w:marLeft w:val="0"/>
      <w:marRight w:val="0"/>
      <w:marTop w:val="0"/>
      <w:marBottom w:val="0"/>
      <w:divBdr>
        <w:top w:val="none" w:sz="0" w:space="0" w:color="auto"/>
        <w:left w:val="none" w:sz="0" w:space="0" w:color="auto"/>
        <w:bottom w:val="none" w:sz="0" w:space="0" w:color="auto"/>
        <w:right w:val="none" w:sz="0" w:space="0" w:color="auto"/>
      </w:divBdr>
    </w:div>
    <w:div w:id="1358121298">
      <w:bodyDiv w:val="1"/>
      <w:marLeft w:val="0"/>
      <w:marRight w:val="0"/>
      <w:marTop w:val="0"/>
      <w:marBottom w:val="0"/>
      <w:divBdr>
        <w:top w:val="none" w:sz="0" w:space="0" w:color="auto"/>
        <w:left w:val="none" w:sz="0" w:space="0" w:color="auto"/>
        <w:bottom w:val="none" w:sz="0" w:space="0" w:color="auto"/>
        <w:right w:val="none" w:sz="0" w:space="0" w:color="auto"/>
      </w:divBdr>
    </w:div>
    <w:div w:id="1376346030">
      <w:bodyDiv w:val="1"/>
      <w:marLeft w:val="0"/>
      <w:marRight w:val="0"/>
      <w:marTop w:val="0"/>
      <w:marBottom w:val="0"/>
      <w:divBdr>
        <w:top w:val="none" w:sz="0" w:space="0" w:color="auto"/>
        <w:left w:val="none" w:sz="0" w:space="0" w:color="auto"/>
        <w:bottom w:val="none" w:sz="0" w:space="0" w:color="auto"/>
        <w:right w:val="none" w:sz="0" w:space="0" w:color="auto"/>
      </w:divBdr>
    </w:div>
    <w:div w:id="1390300560">
      <w:marLeft w:val="0"/>
      <w:marRight w:val="0"/>
      <w:marTop w:val="0"/>
      <w:marBottom w:val="0"/>
      <w:divBdr>
        <w:top w:val="none" w:sz="0" w:space="0" w:color="auto"/>
        <w:left w:val="none" w:sz="0" w:space="0" w:color="auto"/>
        <w:bottom w:val="none" w:sz="0" w:space="0" w:color="auto"/>
        <w:right w:val="none" w:sz="0" w:space="0" w:color="auto"/>
      </w:divBdr>
    </w:div>
    <w:div w:id="1390300561">
      <w:marLeft w:val="0"/>
      <w:marRight w:val="0"/>
      <w:marTop w:val="0"/>
      <w:marBottom w:val="0"/>
      <w:divBdr>
        <w:top w:val="none" w:sz="0" w:space="0" w:color="auto"/>
        <w:left w:val="none" w:sz="0" w:space="0" w:color="auto"/>
        <w:bottom w:val="none" w:sz="0" w:space="0" w:color="auto"/>
        <w:right w:val="none" w:sz="0" w:space="0" w:color="auto"/>
      </w:divBdr>
    </w:div>
    <w:div w:id="1390300568">
      <w:marLeft w:val="0"/>
      <w:marRight w:val="0"/>
      <w:marTop w:val="0"/>
      <w:marBottom w:val="0"/>
      <w:divBdr>
        <w:top w:val="none" w:sz="0" w:space="0" w:color="auto"/>
        <w:left w:val="none" w:sz="0" w:space="0" w:color="auto"/>
        <w:bottom w:val="none" w:sz="0" w:space="0" w:color="auto"/>
        <w:right w:val="none" w:sz="0" w:space="0" w:color="auto"/>
      </w:divBdr>
    </w:div>
    <w:div w:id="1390300569">
      <w:marLeft w:val="0"/>
      <w:marRight w:val="0"/>
      <w:marTop w:val="0"/>
      <w:marBottom w:val="0"/>
      <w:divBdr>
        <w:top w:val="none" w:sz="0" w:space="0" w:color="auto"/>
        <w:left w:val="none" w:sz="0" w:space="0" w:color="auto"/>
        <w:bottom w:val="none" w:sz="0" w:space="0" w:color="auto"/>
        <w:right w:val="none" w:sz="0" w:space="0" w:color="auto"/>
      </w:divBdr>
      <w:divsChild>
        <w:div w:id="1390300570">
          <w:marLeft w:val="0"/>
          <w:marRight w:val="0"/>
          <w:marTop w:val="0"/>
          <w:marBottom w:val="0"/>
          <w:divBdr>
            <w:top w:val="none" w:sz="0" w:space="0" w:color="auto"/>
            <w:left w:val="none" w:sz="0" w:space="0" w:color="auto"/>
            <w:bottom w:val="none" w:sz="0" w:space="0" w:color="auto"/>
            <w:right w:val="none" w:sz="0" w:space="0" w:color="auto"/>
          </w:divBdr>
          <w:divsChild>
            <w:div w:id="1390300564">
              <w:marLeft w:val="0"/>
              <w:marRight w:val="0"/>
              <w:marTop w:val="0"/>
              <w:marBottom w:val="0"/>
              <w:divBdr>
                <w:top w:val="none" w:sz="0" w:space="0" w:color="auto"/>
                <w:left w:val="none" w:sz="0" w:space="0" w:color="auto"/>
                <w:bottom w:val="none" w:sz="0" w:space="0" w:color="auto"/>
                <w:right w:val="none" w:sz="0" w:space="0" w:color="auto"/>
              </w:divBdr>
              <w:divsChild>
                <w:div w:id="1390300571">
                  <w:marLeft w:val="0"/>
                  <w:marRight w:val="0"/>
                  <w:marTop w:val="0"/>
                  <w:marBottom w:val="0"/>
                  <w:divBdr>
                    <w:top w:val="none" w:sz="0" w:space="0" w:color="auto"/>
                    <w:left w:val="none" w:sz="0" w:space="0" w:color="auto"/>
                    <w:bottom w:val="none" w:sz="0" w:space="0" w:color="auto"/>
                    <w:right w:val="none" w:sz="0" w:space="0" w:color="auto"/>
                  </w:divBdr>
                  <w:divsChild>
                    <w:div w:id="1390300580">
                      <w:marLeft w:val="0"/>
                      <w:marRight w:val="0"/>
                      <w:marTop w:val="0"/>
                      <w:marBottom w:val="0"/>
                      <w:divBdr>
                        <w:top w:val="none" w:sz="0" w:space="0" w:color="auto"/>
                        <w:left w:val="none" w:sz="0" w:space="0" w:color="auto"/>
                        <w:bottom w:val="none" w:sz="0" w:space="0" w:color="auto"/>
                        <w:right w:val="none" w:sz="0" w:space="0" w:color="auto"/>
                      </w:divBdr>
                      <w:divsChild>
                        <w:div w:id="1390300577">
                          <w:marLeft w:val="0"/>
                          <w:marRight w:val="0"/>
                          <w:marTop w:val="0"/>
                          <w:marBottom w:val="0"/>
                          <w:divBdr>
                            <w:top w:val="none" w:sz="0" w:space="0" w:color="auto"/>
                            <w:left w:val="none" w:sz="0" w:space="0" w:color="auto"/>
                            <w:bottom w:val="none" w:sz="0" w:space="0" w:color="auto"/>
                            <w:right w:val="none" w:sz="0" w:space="0" w:color="auto"/>
                          </w:divBdr>
                          <w:divsChild>
                            <w:div w:id="139030056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300572">
      <w:marLeft w:val="0"/>
      <w:marRight w:val="0"/>
      <w:marTop w:val="0"/>
      <w:marBottom w:val="0"/>
      <w:divBdr>
        <w:top w:val="none" w:sz="0" w:space="0" w:color="auto"/>
        <w:left w:val="none" w:sz="0" w:space="0" w:color="auto"/>
        <w:bottom w:val="none" w:sz="0" w:space="0" w:color="auto"/>
        <w:right w:val="none" w:sz="0" w:space="0" w:color="auto"/>
      </w:divBdr>
      <w:divsChild>
        <w:div w:id="1390300578">
          <w:marLeft w:val="0"/>
          <w:marRight w:val="0"/>
          <w:marTop w:val="0"/>
          <w:marBottom w:val="0"/>
          <w:divBdr>
            <w:top w:val="none" w:sz="0" w:space="0" w:color="auto"/>
            <w:left w:val="none" w:sz="0" w:space="0" w:color="auto"/>
            <w:bottom w:val="none" w:sz="0" w:space="0" w:color="auto"/>
            <w:right w:val="none" w:sz="0" w:space="0" w:color="auto"/>
          </w:divBdr>
          <w:divsChild>
            <w:div w:id="13903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00574">
      <w:marLeft w:val="0"/>
      <w:marRight w:val="0"/>
      <w:marTop w:val="0"/>
      <w:marBottom w:val="0"/>
      <w:divBdr>
        <w:top w:val="none" w:sz="0" w:space="0" w:color="auto"/>
        <w:left w:val="none" w:sz="0" w:space="0" w:color="auto"/>
        <w:bottom w:val="none" w:sz="0" w:space="0" w:color="auto"/>
        <w:right w:val="none" w:sz="0" w:space="0" w:color="auto"/>
      </w:divBdr>
      <w:divsChild>
        <w:div w:id="1390300567">
          <w:marLeft w:val="0"/>
          <w:marRight w:val="0"/>
          <w:marTop w:val="0"/>
          <w:marBottom w:val="0"/>
          <w:divBdr>
            <w:top w:val="none" w:sz="0" w:space="0" w:color="auto"/>
            <w:left w:val="none" w:sz="0" w:space="0" w:color="auto"/>
            <w:bottom w:val="none" w:sz="0" w:space="0" w:color="auto"/>
            <w:right w:val="none" w:sz="0" w:space="0" w:color="auto"/>
          </w:divBdr>
          <w:divsChild>
            <w:div w:id="1390300575">
              <w:marLeft w:val="0"/>
              <w:marRight w:val="0"/>
              <w:marTop w:val="0"/>
              <w:marBottom w:val="0"/>
              <w:divBdr>
                <w:top w:val="none" w:sz="0" w:space="0" w:color="auto"/>
                <w:left w:val="none" w:sz="0" w:space="0" w:color="auto"/>
                <w:bottom w:val="none" w:sz="0" w:space="0" w:color="auto"/>
                <w:right w:val="none" w:sz="0" w:space="0" w:color="auto"/>
              </w:divBdr>
              <w:divsChild>
                <w:div w:id="1390300573">
                  <w:marLeft w:val="0"/>
                  <w:marRight w:val="0"/>
                  <w:marTop w:val="0"/>
                  <w:marBottom w:val="0"/>
                  <w:divBdr>
                    <w:top w:val="none" w:sz="0" w:space="0" w:color="auto"/>
                    <w:left w:val="none" w:sz="0" w:space="0" w:color="auto"/>
                    <w:bottom w:val="none" w:sz="0" w:space="0" w:color="auto"/>
                    <w:right w:val="none" w:sz="0" w:space="0" w:color="auto"/>
                  </w:divBdr>
                  <w:divsChild>
                    <w:div w:id="1390300562">
                      <w:marLeft w:val="0"/>
                      <w:marRight w:val="0"/>
                      <w:marTop w:val="0"/>
                      <w:marBottom w:val="0"/>
                      <w:divBdr>
                        <w:top w:val="none" w:sz="0" w:space="0" w:color="auto"/>
                        <w:left w:val="none" w:sz="0" w:space="0" w:color="auto"/>
                        <w:bottom w:val="none" w:sz="0" w:space="0" w:color="auto"/>
                        <w:right w:val="none" w:sz="0" w:space="0" w:color="auto"/>
                      </w:divBdr>
                      <w:divsChild>
                        <w:div w:id="1390300565">
                          <w:marLeft w:val="0"/>
                          <w:marRight w:val="0"/>
                          <w:marTop w:val="0"/>
                          <w:marBottom w:val="0"/>
                          <w:divBdr>
                            <w:top w:val="none" w:sz="0" w:space="0" w:color="auto"/>
                            <w:left w:val="none" w:sz="0" w:space="0" w:color="auto"/>
                            <w:bottom w:val="none" w:sz="0" w:space="0" w:color="auto"/>
                            <w:right w:val="none" w:sz="0" w:space="0" w:color="auto"/>
                          </w:divBdr>
                          <w:divsChild>
                            <w:div w:id="13903005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0300576">
      <w:marLeft w:val="0"/>
      <w:marRight w:val="0"/>
      <w:marTop w:val="0"/>
      <w:marBottom w:val="0"/>
      <w:divBdr>
        <w:top w:val="none" w:sz="0" w:space="0" w:color="auto"/>
        <w:left w:val="none" w:sz="0" w:space="0" w:color="auto"/>
        <w:bottom w:val="none" w:sz="0" w:space="0" w:color="auto"/>
        <w:right w:val="none" w:sz="0" w:space="0" w:color="auto"/>
      </w:divBdr>
    </w:div>
    <w:div w:id="1390300581">
      <w:marLeft w:val="0"/>
      <w:marRight w:val="0"/>
      <w:marTop w:val="0"/>
      <w:marBottom w:val="0"/>
      <w:divBdr>
        <w:top w:val="none" w:sz="0" w:space="0" w:color="auto"/>
        <w:left w:val="none" w:sz="0" w:space="0" w:color="auto"/>
        <w:bottom w:val="none" w:sz="0" w:space="0" w:color="auto"/>
        <w:right w:val="none" w:sz="0" w:space="0" w:color="auto"/>
      </w:divBdr>
    </w:div>
    <w:div w:id="1390300582">
      <w:marLeft w:val="0"/>
      <w:marRight w:val="0"/>
      <w:marTop w:val="0"/>
      <w:marBottom w:val="0"/>
      <w:divBdr>
        <w:top w:val="none" w:sz="0" w:space="0" w:color="auto"/>
        <w:left w:val="none" w:sz="0" w:space="0" w:color="auto"/>
        <w:bottom w:val="none" w:sz="0" w:space="0" w:color="auto"/>
        <w:right w:val="none" w:sz="0" w:space="0" w:color="auto"/>
      </w:divBdr>
    </w:div>
    <w:div w:id="1426461259">
      <w:bodyDiv w:val="1"/>
      <w:marLeft w:val="0"/>
      <w:marRight w:val="0"/>
      <w:marTop w:val="0"/>
      <w:marBottom w:val="0"/>
      <w:divBdr>
        <w:top w:val="none" w:sz="0" w:space="0" w:color="auto"/>
        <w:left w:val="none" w:sz="0" w:space="0" w:color="auto"/>
        <w:bottom w:val="none" w:sz="0" w:space="0" w:color="auto"/>
        <w:right w:val="none" w:sz="0" w:space="0" w:color="auto"/>
      </w:divBdr>
    </w:div>
    <w:div w:id="1477987427">
      <w:bodyDiv w:val="1"/>
      <w:marLeft w:val="0"/>
      <w:marRight w:val="0"/>
      <w:marTop w:val="0"/>
      <w:marBottom w:val="0"/>
      <w:divBdr>
        <w:top w:val="none" w:sz="0" w:space="0" w:color="auto"/>
        <w:left w:val="none" w:sz="0" w:space="0" w:color="auto"/>
        <w:bottom w:val="none" w:sz="0" w:space="0" w:color="auto"/>
        <w:right w:val="none" w:sz="0" w:space="0" w:color="auto"/>
      </w:divBdr>
    </w:div>
    <w:div w:id="1496266824">
      <w:bodyDiv w:val="1"/>
      <w:marLeft w:val="0"/>
      <w:marRight w:val="0"/>
      <w:marTop w:val="0"/>
      <w:marBottom w:val="0"/>
      <w:divBdr>
        <w:top w:val="none" w:sz="0" w:space="0" w:color="auto"/>
        <w:left w:val="none" w:sz="0" w:space="0" w:color="auto"/>
        <w:bottom w:val="none" w:sz="0" w:space="0" w:color="auto"/>
        <w:right w:val="none" w:sz="0" w:space="0" w:color="auto"/>
      </w:divBdr>
    </w:div>
    <w:div w:id="1571698796">
      <w:bodyDiv w:val="1"/>
      <w:marLeft w:val="0"/>
      <w:marRight w:val="0"/>
      <w:marTop w:val="0"/>
      <w:marBottom w:val="0"/>
      <w:divBdr>
        <w:top w:val="none" w:sz="0" w:space="0" w:color="auto"/>
        <w:left w:val="none" w:sz="0" w:space="0" w:color="auto"/>
        <w:bottom w:val="none" w:sz="0" w:space="0" w:color="auto"/>
        <w:right w:val="none" w:sz="0" w:space="0" w:color="auto"/>
      </w:divBdr>
    </w:div>
    <w:div w:id="1577979205">
      <w:bodyDiv w:val="1"/>
      <w:marLeft w:val="0"/>
      <w:marRight w:val="0"/>
      <w:marTop w:val="0"/>
      <w:marBottom w:val="0"/>
      <w:divBdr>
        <w:top w:val="none" w:sz="0" w:space="0" w:color="auto"/>
        <w:left w:val="none" w:sz="0" w:space="0" w:color="auto"/>
        <w:bottom w:val="none" w:sz="0" w:space="0" w:color="auto"/>
        <w:right w:val="none" w:sz="0" w:space="0" w:color="auto"/>
      </w:divBdr>
    </w:div>
    <w:div w:id="1603149399">
      <w:bodyDiv w:val="1"/>
      <w:marLeft w:val="0"/>
      <w:marRight w:val="0"/>
      <w:marTop w:val="0"/>
      <w:marBottom w:val="0"/>
      <w:divBdr>
        <w:top w:val="none" w:sz="0" w:space="0" w:color="auto"/>
        <w:left w:val="none" w:sz="0" w:space="0" w:color="auto"/>
        <w:bottom w:val="none" w:sz="0" w:space="0" w:color="auto"/>
        <w:right w:val="none" w:sz="0" w:space="0" w:color="auto"/>
      </w:divBdr>
    </w:div>
    <w:div w:id="1649481171">
      <w:bodyDiv w:val="1"/>
      <w:marLeft w:val="0"/>
      <w:marRight w:val="0"/>
      <w:marTop w:val="0"/>
      <w:marBottom w:val="0"/>
      <w:divBdr>
        <w:top w:val="none" w:sz="0" w:space="0" w:color="auto"/>
        <w:left w:val="none" w:sz="0" w:space="0" w:color="auto"/>
        <w:bottom w:val="none" w:sz="0" w:space="0" w:color="auto"/>
        <w:right w:val="none" w:sz="0" w:space="0" w:color="auto"/>
      </w:divBdr>
    </w:div>
    <w:div w:id="1687826087">
      <w:bodyDiv w:val="1"/>
      <w:marLeft w:val="0"/>
      <w:marRight w:val="0"/>
      <w:marTop w:val="0"/>
      <w:marBottom w:val="0"/>
      <w:divBdr>
        <w:top w:val="none" w:sz="0" w:space="0" w:color="auto"/>
        <w:left w:val="none" w:sz="0" w:space="0" w:color="auto"/>
        <w:bottom w:val="none" w:sz="0" w:space="0" w:color="auto"/>
        <w:right w:val="none" w:sz="0" w:space="0" w:color="auto"/>
      </w:divBdr>
      <w:divsChild>
        <w:div w:id="1015107138">
          <w:marLeft w:val="0"/>
          <w:marRight w:val="0"/>
          <w:marTop w:val="0"/>
          <w:marBottom w:val="0"/>
          <w:divBdr>
            <w:top w:val="none" w:sz="0" w:space="0" w:color="auto"/>
            <w:left w:val="none" w:sz="0" w:space="0" w:color="auto"/>
            <w:bottom w:val="none" w:sz="0" w:space="0" w:color="auto"/>
            <w:right w:val="none" w:sz="0" w:space="0" w:color="auto"/>
          </w:divBdr>
          <w:divsChild>
            <w:div w:id="1565751272">
              <w:marLeft w:val="0"/>
              <w:marRight w:val="0"/>
              <w:marTop w:val="0"/>
              <w:marBottom w:val="0"/>
              <w:divBdr>
                <w:top w:val="none" w:sz="0" w:space="0" w:color="auto"/>
                <w:left w:val="none" w:sz="0" w:space="0" w:color="auto"/>
                <w:bottom w:val="none" w:sz="0" w:space="0" w:color="auto"/>
                <w:right w:val="none" w:sz="0" w:space="0" w:color="auto"/>
              </w:divBdr>
              <w:divsChild>
                <w:div w:id="1641576419">
                  <w:marLeft w:val="0"/>
                  <w:marRight w:val="0"/>
                  <w:marTop w:val="0"/>
                  <w:marBottom w:val="0"/>
                  <w:divBdr>
                    <w:top w:val="none" w:sz="0" w:space="0" w:color="auto"/>
                    <w:left w:val="none" w:sz="0" w:space="0" w:color="auto"/>
                    <w:bottom w:val="none" w:sz="0" w:space="0" w:color="auto"/>
                    <w:right w:val="none" w:sz="0" w:space="0" w:color="auto"/>
                  </w:divBdr>
                  <w:divsChild>
                    <w:div w:id="374279708">
                      <w:marLeft w:val="0"/>
                      <w:marRight w:val="0"/>
                      <w:marTop w:val="0"/>
                      <w:marBottom w:val="0"/>
                      <w:divBdr>
                        <w:top w:val="none" w:sz="0" w:space="0" w:color="auto"/>
                        <w:left w:val="none" w:sz="0" w:space="0" w:color="auto"/>
                        <w:bottom w:val="none" w:sz="0" w:space="0" w:color="auto"/>
                        <w:right w:val="none" w:sz="0" w:space="0" w:color="auto"/>
                      </w:divBdr>
                      <w:divsChild>
                        <w:div w:id="2106458800">
                          <w:marLeft w:val="0"/>
                          <w:marRight w:val="0"/>
                          <w:marTop w:val="0"/>
                          <w:marBottom w:val="0"/>
                          <w:divBdr>
                            <w:top w:val="none" w:sz="0" w:space="0" w:color="auto"/>
                            <w:left w:val="none" w:sz="0" w:space="0" w:color="auto"/>
                            <w:bottom w:val="none" w:sz="0" w:space="0" w:color="auto"/>
                            <w:right w:val="none" w:sz="0" w:space="0" w:color="auto"/>
                          </w:divBdr>
                          <w:divsChild>
                            <w:div w:id="142823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634395">
      <w:bodyDiv w:val="1"/>
      <w:marLeft w:val="0"/>
      <w:marRight w:val="0"/>
      <w:marTop w:val="0"/>
      <w:marBottom w:val="0"/>
      <w:divBdr>
        <w:top w:val="none" w:sz="0" w:space="0" w:color="auto"/>
        <w:left w:val="none" w:sz="0" w:space="0" w:color="auto"/>
        <w:bottom w:val="none" w:sz="0" w:space="0" w:color="auto"/>
        <w:right w:val="none" w:sz="0" w:space="0" w:color="auto"/>
      </w:divBdr>
    </w:div>
    <w:div w:id="1917012500">
      <w:bodyDiv w:val="1"/>
      <w:marLeft w:val="0"/>
      <w:marRight w:val="0"/>
      <w:marTop w:val="0"/>
      <w:marBottom w:val="0"/>
      <w:divBdr>
        <w:top w:val="none" w:sz="0" w:space="0" w:color="auto"/>
        <w:left w:val="none" w:sz="0" w:space="0" w:color="auto"/>
        <w:bottom w:val="none" w:sz="0" w:space="0" w:color="auto"/>
        <w:right w:val="none" w:sz="0" w:space="0" w:color="auto"/>
      </w:divBdr>
    </w:div>
    <w:div w:id="208726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gkb6@cdc.gov" TargetMode="External"/><Relationship Id="rId18" Type="http://schemas.openxmlformats.org/officeDocument/2006/relationships/hyperlink" Target="http://uscode.house.gov/view.xhtml?req=(title:42%20section:243%20edition:preli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uscode.house.gov/view.xhtml?hl=false&amp;edition=prelim&amp;req=granuleid%3AUSC-prelim-title42-section295k&amp;num=0&amp;saved=%7CZ3JhbnVsZWlkOlVTQy1wcmVsaW0tdGl0bGU0Mi1zZWN0aW9uMjk1%7C%7C%7C0%7Cfalse%7Cprelim" TargetMode="External"/><Relationship Id="rId2" Type="http://schemas.openxmlformats.org/officeDocument/2006/relationships/customXml" Target="../customXml/item2.xml"/><Relationship Id="rId16" Type="http://schemas.openxmlformats.org/officeDocument/2006/relationships/hyperlink" Target="http://uscode.house.gov/view.xhtml?hl=false&amp;edition=prelim&amp;req=granuleid%3AUSC-prelim-title42-section295&amp;num=0&amp;saved=%7CKHRpdGxlOjQyIHNlY3Rpb246Mjk1Zi0xIGVkaXRpb246cHJlbGltKQ%3D%3D%7C%7C%7C0%7Cfalse%7Cpreli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9320E93080C47A917FA776C69FF29" ma:contentTypeVersion="0" ma:contentTypeDescription="Create a new document." ma:contentTypeScope="" ma:versionID="37f7aa48e2266b01d880c4d33a11dbd7">
  <xsd:schema xmlns:xsd="http://www.w3.org/2001/XMLSchema" xmlns:xs="http://www.w3.org/2001/XMLSchema" xmlns:p="http://schemas.microsoft.com/office/2006/metadata/properties" xmlns:ns2="61e0aa89-821a-4b43-b623-2509ea82b111" targetNamespace="http://schemas.microsoft.com/office/2006/metadata/properties" ma:root="true" ma:fieldsID="90cba85183f1d23f80ad0023b1becc00" ns2:_="">
    <xsd:import namespace="61e0aa89-821a-4b43-b623-2509ea82b1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1e0aa89-821a-4b43-b623-2509ea82b111">7DAU5SSH7P55-360781282-63</_dlc_DocId>
    <_dlc_DocIdUrl xmlns="61e0aa89-821a-4b43-b623-2509ea82b111">
      <Url>https://esp.cdc.gov/sites/csels/DSEPD/DLP/ETSBTeamSite/_layouts/15/DocIdRedir.aspx?ID=7DAU5SSH7P55-360781282-63</Url>
      <Description>7DAU5SSH7P55-360781282-63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DBD92-48D3-4D0C-80C5-D3B1152B7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6430C-09E1-4187-9C1C-E02C861F5DEE}">
  <ds:schemaRefs>
    <ds:schemaRef ds:uri="http://schemas.microsoft.com/office/2006/metadata/properties"/>
    <ds:schemaRef ds:uri="http://schemas.microsoft.com/office/infopath/2007/PartnerControls"/>
    <ds:schemaRef ds:uri="61e0aa89-821a-4b43-b623-2509ea82b111"/>
  </ds:schemaRefs>
</ds:datastoreItem>
</file>

<file path=customXml/itemProps3.xml><?xml version="1.0" encoding="utf-8"?>
<ds:datastoreItem xmlns:ds="http://schemas.openxmlformats.org/officeDocument/2006/customXml" ds:itemID="{EA980576-D8AE-4065-9D45-A1B22242E154}">
  <ds:schemaRefs>
    <ds:schemaRef ds:uri="http://schemas.microsoft.com/sharepoint/events"/>
  </ds:schemaRefs>
</ds:datastoreItem>
</file>

<file path=customXml/itemProps4.xml><?xml version="1.0" encoding="utf-8"?>
<ds:datastoreItem xmlns:ds="http://schemas.openxmlformats.org/officeDocument/2006/customXml" ds:itemID="{751228FA-D38D-40C5-B31C-8036812E4857}">
  <ds:schemaRefs>
    <ds:schemaRef ds:uri="http://schemas.microsoft.com/sharepoint/v3/contenttype/forms"/>
  </ds:schemaRefs>
</ds:datastoreItem>
</file>

<file path=customXml/itemProps5.xml><?xml version="1.0" encoding="utf-8"?>
<ds:datastoreItem xmlns:ds="http://schemas.openxmlformats.org/officeDocument/2006/customXml" ds:itemID="{F2381E4B-6D11-4458-9433-E6E49B1D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5173</Words>
  <Characters>29492</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SUPPORTING STATEMENT A and B APPLICATION FOR TRAINING OMB #0920-0017                        Expiration Date: March 31, 2013  August 15, 2012                                  *The collection does not involve statistical methods.</vt:lpstr>
      <vt:lpstr>JUSTIFICATION</vt:lpstr>
      <vt:lpstr>Circumstances Making the Collection of Information Necessary</vt:lpstr>
      <vt:lpstr>Purpose and Use of Information Collection</vt:lpstr>
      <vt:lpstr>Use of Improved Information Technology and Burden Reduction</vt:lpstr>
      <vt:lpstr>Efforts to Identify Duplication and Use of Similar Information</vt:lpstr>
      <vt:lpstr>Impact on Small Businesses or Other Small Entities </vt:lpstr>
      <vt:lpstr>No small businesses have been, are, or will be involved in TCEO data collection.</vt:lpstr>
      <vt:lpstr>Consequences of Collecting the Information Less Frequently</vt:lpstr>
      <vt:lpstr>The timeliness of data collection using the TCEO system is crucial. Data are col</vt:lpstr>
      <vt:lpstr>Special Circumstances Relating to the Guidelines of CFR 1320.5</vt:lpstr>
      <vt:lpstr>Comments in Response to the Federal Register Notice and Efforts to Consult Outsi</vt:lpstr>
      <vt:lpstr>Explanation of Any Payment or Gift to Respondents</vt:lpstr>
      <vt:lpstr>Assurance of Confidentiality Provided to Respondents</vt:lpstr>
      <vt:lpstr>Justification for Sensitive Questions</vt:lpstr>
      <vt:lpstr>Estimates of Annualized Burden Hours and Costs</vt:lpstr>
      <vt:lpstr>Annualized Cost to the Government</vt:lpstr>
      <vt:lpstr>Explanation for Program Changes or Adjustments</vt:lpstr>
      <vt:lpstr>Plans for Tabulation and Publication and Project Time Schedule</vt:lpstr>
      <vt:lpstr>Reasons Display of OMB Expiration Date is Inappropriate </vt:lpstr>
      <vt:lpstr>Exceptions to the Certification for Paperwork Reduction Act Submissions</vt:lpstr>
    </vt:vector>
  </TitlesOfParts>
  <Company>Centers for Disease Control and Prevention</Company>
  <LinksUpToDate>false</LinksUpToDate>
  <CharactersWithSpaces>34596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and B APPLICATION FOR TRAINING OMB #0920-0017                        Expiration Date: March 31, 2013  August 15, 2012                                  *The collection does not involve statistical methods.</dc:title>
  <dc:subject>Beth Stover                       CDC/OSELS/SEPDPO</dc:subject>
  <dc:creator>Hardwick, Isabella (CDC/OPHSS/CSELS/DSEPD)</dc:creator>
  <cp:keywords/>
  <dc:description/>
  <cp:lastModifiedBy>SYSTEM</cp:lastModifiedBy>
  <cp:revision>2</cp:revision>
  <cp:lastPrinted>2018-08-23T14:20:00Z</cp:lastPrinted>
  <dcterms:created xsi:type="dcterms:W3CDTF">2019-02-21T16:46:00Z</dcterms:created>
  <dcterms:modified xsi:type="dcterms:W3CDTF">2019-02-21T16:46:00Z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0x010100B7D9320E93080C47A917FA776C69FF29</vt:lpwstr>
  </property>
  <property fmtid="{D5CDD505-2E9C-101B-9397-08002B2CF9AE}" pid="3" name="_dlc_DocIdItemGuid">
    <vt:lpwstr>ff090226-7e9f-4086-9898-e5c85160c276</vt:lpwstr>
  </property>
</Properties>
</file>