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BF" w:rsidRDefault="001749BF" w:rsidP="001749BF">
      <w:pPr>
        <w:rPr>
          <w:rFonts w:ascii="Verdana" w:hAnsi="Verdana"/>
          <w:sz w:val="22"/>
        </w:rPr>
      </w:pPr>
      <w:bookmarkStart w:id="0" w:name="_GoBack"/>
      <w:bookmarkEnd w:id="0"/>
    </w:p>
    <w:p w:rsidR="00B152BB" w:rsidRDefault="00B152BB" w:rsidP="001749BF">
      <w:pPr>
        <w:rPr>
          <w:rFonts w:ascii="Verdana" w:hAnsi="Verdan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142FF80C" wp14:editId="0F4BA57A">
                <wp:simplePos x="0" y="0"/>
                <wp:positionH relativeFrom="margin">
                  <wp:align>right</wp:align>
                </wp:positionH>
                <wp:positionV relativeFrom="paragraph">
                  <wp:posOffset>17458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="008B1465" w:rsidRP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0920-1175</w:t>
                            </w:r>
                          </w:p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8B1465" w:rsidRP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04/30/2020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55pt;margin-top:1.35pt;width:96.75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" o:allowoverlap="f" strokecolor="#7f7f7f">
                <v:textbox>
                  <w:txbxContent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</w:t>
                      </w:r>
                      <w:r w:rsidR="008B1465" w:rsidRPr="008B1465">
                        <w:rPr>
                          <w:rFonts w:ascii="Calibri" w:hAnsi="Calibri"/>
                          <w:sz w:val="16"/>
                          <w:szCs w:val="16"/>
                        </w:rPr>
                        <w:t>0920-1175</w:t>
                      </w:r>
                    </w:p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="008B1465" w:rsidRPr="008B1465">
                        <w:rPr>
                          <w:rFonts w:ascii="Calibri" w:hAnsi="Calibri"/>
                          <w:sz w:val="16"/>
                          <w:szCs w:val="16"/>
                        </w:rPr>
                        <w:t>04/30/2020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tbl>
      <w:tblPr>
        <w:tblpPr w:leftFromText="180" w:rightFromText="180" w:vertAnchor="text" w:tblpY="41"/>
        <w:tblW w:w="90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7110"/>
      </w:tblGrid>
      <w:tr w:rsidR="00B152BB" w:rsidRPr="00291F69" w:rsidTr="00B152BB">
        <w:trPr>
          <w:cantSplit/>
          <w:tblHeader/>
        </w:trPr>
        <w:tc>
          <w:tcPr>
            <w:tcW w:w="9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vAlign w:val="center"/>
          </w:tcPr>
          <w:p w:rsidR="00B152BB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B152BB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B152BB" w:rsidRPr="007F48D1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 w:rsidRPr="007F48D1"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Birth Defects</w:t>
            </w:r>
          </w:p>
          <w:p w:rsidR="00B152BB" w:rsidRPr="00366A7A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B152BB" w:rsidRPr="00366A7A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="00B152BB" w:rsidRPr="00291F69" w:rsidRDefault="00B152BB" w:rsidP="00B152BB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  <w:sz w:val="22"/>
              </w:rPr>
            </w:pP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Characteristic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Description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Source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Birth Defects Registries</w:t>
            </w:r>
          </w:p>
        </w:tc>
      </w:tr>
      <w:tr w:rsidR="00B152BB" w:rsidRPr="00291F69" w:rsidTr="00B152BB">
        <w:trPr>
          <w:cantSplit/>
          <w:trHeight w:val="700"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Purpose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This data set will be used to calculate </w:t>
            </w:r>
            <w:r>
              <w:rPr>
                <w:rFonts w:ascii="Verdana" w:hAnsi="Verdana" w:cs="Shruti"/>
                <w:sz w:val="20"/>
                <w:szCs w:val="22"/>
              </w:rPr>
              <w:t xml:space="preserve">the nationally consistent data and measures (5 year rolling 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prevalence </w:t>
            </w:r>
            <w:r>
              <w:rPr>
                <w:rFonts w:ascii="Verdana" w:hAnsi="Verdana" w:cs="Shruti"/>
                <w:sz w:val="20"/>
                <w:szCs w:val="22"/>
              </w:rPr>
              <w:t>counts and rates)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for birth defects for use on the national public portal.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Geographic Level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 xml:space="preserve">The smallest geographic unit to be represented in this data set is the </w:t>
            </w:r>
            <w:r>
              <w:rPr>
                <w:rFonts w:ascii="Verdana" w:hAnsi="Verdana" w:cs="Shruti"/>
                <w:b/>
                <w:sz w:val="20"/>
                <w:szCs w:val="22"/>
              </w:rPr>
              <w:t>county</w:t>
            </w:r>
            <w:r w:rsidRPr="00291F69">
              <w:rPr>
                <w:rFonts w:ascii="Verdana" w:hAnsi="Verdana" w:cs="Shruti"/>
                <w:b/>
                <w:sz w:val="20"/>
                <w:szCs w:val="22"/>
              </w:rPr>
              <w:t>.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Restrictions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This is a restricted access data set.</w:t>
            </w: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will be displayed via the national public portal only when sufficient conditions have been met to protect data privacy.</w:t>
            </w: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</w:tbl>
    <w:p w:rsidR="00B152BB" w:rsidRDefault="00B152BB" w:rsidP="001749BF">
      <w:pPr>
        <w:rPr>
          <w:rFonts w:ascii="Verdana" w:hAnsi="Verdana"/>
          <w:sz w:val="22"/>
        </w:rPr>
      </w:pPr>
    </w:p>
    <w:p w:rsidR="00B152BB" w:rsidRPr="00291F69" w:rsidRDefault="00B152BB" w:rsidP="001749BF">
      <w:pPr>
        <w:rPr>
          <w:rFonts w:ascii="Verdana" w:hAnsi="Verdana"/>
          <w:sz w:val="22"/>
        </w:rPr>
      </w:pPr>
    </w:p>
    <w:p w:rsidR="001749BF" w:rsidRDefault="001749BF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7E6E0" wp14:editId="04010A00">
                <wp:simplePos x="0" y="0"/>
                <wp:positionH relativeFrom="margin">
                  <wp:posOffset>-354842</wp:posOffset>
                </wp:positionH>
                <wp:positionV relativeFrom="paragraph">
                  <wp:posOffset>456488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.95pt;margin-top:35.95pt;width:530.85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OCRs0jhAAAACwEAAA8AAABkcnMvZG93bnJl&#10;di54bWxMj8tOwzAQRfdI/IM1SGxQa7eQtgmZVAgJBDsoVdm6sZtE+BFsNw1/z3QFq9Foju6cW65H&#10;a9igQ+y8Q5hNBTDtaq861yBsP54mK2AxSaek8U4j/OgI6+ryopSF8if3rodNahiFuFhIhDalvuA8&#10;1q22Mk59rx3dDj5YmWgNDVdBnijcGj4XYsGt7Bx9aGWvH1tdf22OFmF19zJ8xtfbt129OJg83SyH&#10;5++AeH01PtwDS3pMfzCc9UkdKnLa+6NTkRmESZblhCIsZzTPgBAZldkjzEWeAa9K/r9D9Qs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DgkbNI4QAAAAsBAAAPAAAAAAAAAAAAAAAAAIUE&#10;AABkcnMvZG93bnJldi54bWxQSwUGAAAAAAQABADzAAAAkwUAAAAA&#10;">
                <v:textbox>
                  <w:txbxContent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2BB" w:rsidRPr="00291F69" w:rsidRDefault="00B152BB" w:rsidP="001749BF">
      <w:pPr>
        <w:rPr>
          <w:sz w:val="22"/>
        </w:rPr>
        <w:sectPr w:rsidR="00B152BB" w:rsidRPr="00291F69" w:rsidSect="00EB6A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49BF" w:rsidRPr="00291F69" w:rsidRDefault="001749BF" w:rsidP="001749BF">
      <w:pPr>
        <w:rPr>
          <w:rFonts w:ascii="Verdana" w:hAnsi="Verdana"/>
          <w:sz w:val="22"/>
        </w:rPr>
      </w:pPr>
    </w:p>
    <w:tbl>
      <w:tblPr>
        <w:tblW w:w="13976" w:type="dxa"/>
        <w:tblInd w:w="-57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96"/>
        <w:gridCol w:w="2430"/>
        <w:gridCol w:w="1080"/>
        <w:gridCol w:w="3690"/>
        <w:gridCol w:w="1800"/>
        <w:gridCol w:w="1260"/>
        <w:gridCol w:w="1620"/>
      </w:tblGrid>
      <w:tr w:rsidR="00047CA4" w:rsidRPr="00291F69" w:rsidTr="00047CA4">
        <w:trPr>
          <w:cantSplit/>
          <w:tblHeader/>
        </w:trPr>
        <w:tc>
          <w:tcPr>
            <w:tcW w:w="139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0045"/>
            <w:vAlign w:val="center"/>
          </w:tcPr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Birth Defects</w:t>
            </w:r>
          </w:p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</w:p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Data Dictionary for Aggregate</w:t>
            </w:r>
            <w:r w:rsidRPr="00062656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Data</w:t>
            </w:r>
          </w:p>
          <w:p w:rsidR="00047CA4" w:rsidRPr="00291F69" w:rsidRDefault="00047CA4" w:rsidP="00047CA4">
            <w:pPr>
              <w:spacing w:after="58"/>
              <w:jc w:val="center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062656">
              <w:rPr>
                <w:rFonts w:ascii="Verdana" w:hAnsi="Verdana"/>
                <w:b/>
                <w:bCs/>
                <w:color w:val="FFFFFF"/>
              </w:rPr>
              <w:t>Environmental Public Health Tracking</w:t>
            </w:r>
          </w:p>
        </w:tc>
      </w:tr>
      <w:tr w:rsidR="001749BF" w:rsidRPr="00291F69" w:rsidTr="001749BF">
        <w:trPr>
          <w:cantSplit/>
          <w:tblHeader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Name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Description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Data Type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Code Scheme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Legal Values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Length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Optionality</w:t>
            </w:r>
          </w:p>
        </w:tc>
      </w:tr>
      <w:tr w:rsidR="001749BF" w:rsidRPr="00291F69" w:rsidTr="001749BF">
        <w:trPr>
          <w:cantSplit/>
          <w:trHeight w:val="808"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BIRTH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Birth defect category.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= Anencephaly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lip with cleft palate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lip w/o cleft palate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4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palate w/o cleft lip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5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Gastroschisis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6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Hypoplastic left heart syndrome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7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Hypospadias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 = Limb deficiencies combined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9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Spina bifida (w/o anencephaly)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10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Tetralogy of Fallot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11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Transposition of the great arteries (vessels)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12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Trisomy 21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 – 12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  <w:trHeight w:val="334"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FIPS code.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 valid state FIPS code.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Not specified in schema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COUNTY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over which birth defect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A valid </w:t>
            </w: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for the state, or ‘U’.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START DATE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 on which data aggregation begins.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yyyymmdd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lastRenderedPageBreak/>
              <w:t>END DATE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Date on which data aggregation ends.  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yyyymmdd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AGE GROUP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Five-year maternal age intervals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= &lt;20 years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 = 20-24 years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3 = 25-29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 = 30-34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5 = 35-39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6 = </w:t>
            </w:r>
            <w:r w:rsidRPr="00291F69">
              <w:rPr>
                <w:rFonts w:ascii="Verdana" w:hAnsi="Verdana" w:cs="Shruti"/>
                <w:sz w:val="20"/>
                <w:szCs w:val="22"/>
              </w:rPr>
              <w:sym w:font="Symbol" w:char="F0B3"/>
            </w:r>
            <w:r w:rsidRPr="00291F69">
              <w:rPr>
                <w:rFonts w:ascii="Verdana" w:hAnsi="Verdana" w:cs="Shruti"/>
                <w:sz w:val="20"/>
                <w:szCs w:val="22"/>
              </w:rPr>
              <w:t>40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9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– 6, 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ETHNICITY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Hispanic ethnicity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H = Hispanic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NH = non-Hispanic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H, NH, U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RACE GROUP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race group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W = White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 = Black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O = Other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NS = Not submitted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code ‘NS’ is intended to allow the maternal race field to be selectively collapsed, for example, when maternal ethnicity is Hispanic.  </w:t>
            </w:r>
            <w:r w:rsidRPr="00291F69">
              <w:rPr>
                <w:rFonts w:ascii="Verdana" w:hAnsi="Verdana" w:cs="Shruti"/>
                <w:b/>
                <w:sz w:val="20"/>
                <w:szCs w:val="22"/>
              </w:rPr>
              <w:t>This code is not intended to indicate unknown race.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W, B, O, U, NS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INFANT SEX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Infant sex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 = Male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 = Female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M, F, U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</w:t>
            </w:r>
            <w:r>
              <w:rPr>
                <w:rFonts w:ascii="Verdana" w:hAnsi="Verdana" w:cs="Shruti"/>
                <w:sz w:val="20"/>
                <w:szCs w:val="22"/>
              </w:rPr>
              <w:t>OTAL LIVE BIRTHS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Total number of live births.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nnnnnnn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LIVE BIRTHS WITH BIRTH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Number of cases of birth defect among live births only.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missing value code -999 is appropriate when a birth count is known for a demographic classification, but the birth defect count is unknown.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LIVE BIRTHS + FETAL DEATHS + TERMINATIONS WITH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Number of cases of birth defect among live births plus fetal deaths and/or pregnancy terminations, in those states that ascertain cases among fetal deaths and/or terminations.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missing value code -999 is appropriate when a birth count is known for a demographic classification, but the birth defect count is unknown.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</w:tbl>
    <w:p w:rsidR="001749BF" w:rsidRPr="00291F69" w:rsidRDefault="001749BF" w:rsidP="001749BF">
      <w:pPr>
        <w:ind w:left="360"/>
        <w:rPr>
          <w:rFonts w:ascii="Verdana" w:hAnsi="Verdana"/>
          <w:sz w:val="18"/>
          <w:szCs w:val="20"/>
        </w:rPr>
      </w:pPr>
    </w:p>
    <w:p w:rsidR="00DC57CC" w:rsidRDefault="00DC57CC"/>
    <w:sectPr w:rsidR="00DC57CC" w:rsidSect="00174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BF" w:rsidRDefault="001749BF" w:rsidP="008B5D54">
      <w:r>
        <w:separator/>
      </w:r>
    </w:p>
  </w:endnote>
  <w:endnote w:type="continuationSeparator" w:id="0">
    <w:p w:rsidR="001749BF" w:rsidRDefault="001749B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BF" w:rsidRDefault="001749BF" w:rsidP="008B5D54">
      <w:r>
        <w:separator/>
      </w:r>
    </w:p>
  </w:footnote>
  <w:footnote w:type="continuationSeparator" w:id="0">
    <w:p w:rsidR="001749BF" w:rsidRDefault="001749B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F"/>
    <w:rsid w:val="00047CA4"/>
    <w:rsid w:val="001749BF"/>
    <w:rsid w:val="00282BA0"/>
    <w:rsid w:val="003C627B"/>
    <w:rsid w:val="00516F3C"/>
    <w:rsid w:val="006C2749"/>
    <w:rsid w:val="006C6578"/>
    <w:rsid w:val="008B1465"/>
    <w:rsid w:val="008B5D54"/>
    <w:rsid w:val="00A85D89"/>
    <w:rsid w:val="00B152BB"/>
    <w:rsid w:val="00B55735"/>
    <w:rsid w:val="00B608AC"/>
    <w:rsid w:val="00DC57CC"/>
    <w:rsid w:val="00E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152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152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A8E5-57DD-4C5B-B29C-5C484048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Strosnider, Heather (CDC/ONDIEH/NCEH)</dc:creator>
  <cp:keywords/>
  <dc:description/>
  <cp:lastModifiedBy>SYSTEM</cp:lastModifiedBy>
  <cp:revision>2</cp:revision>
  <dcterms:created xsi:type="dcterms:W3CDTF">2019-02-20T17:54:00Z</dcterms:created>
  <dcterms:modified xsi:type="dcterms:W3CDTF">2019-02-20T17:54:00Z</dcterms:modified>
</cp:coreProperties>
</file>