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4ED5C" w14:textId="77777777" w:rsidR="009E195A" w:rsidRDefault="009E195A">
      <w:pPr>
        <w:spacing w:line="240" w:lineRule="auto"/>
        <w:rPr>
          <w:rFonts w:cs="Calibri"/>
        </w:rPr>
      </w:pPr>
      <w:bookmarkStart w:id="0" w:name="_GoBack"/>
      <w:bookmarkEnd w:id="0"/>
    </w:p>
    <w:p w14:paraId="3CD2B6DE" w14:textId="77777777" w:rsidR="009E195A" w:rsidRDefault="009E195A">
      <w:pPr>
        <w:spacing w:line="240" w:lineRule="auto"/>
        <w:rPr>
          <w:rFonts w:cs="Calibri"/>
        </w:rPr>
      </w:pPr>
    </w:p>
    <w:p w14:paraId="7ABE3152" w14:textId="77777777" w:rsidR="009E195A" w:rsidRDefault="009E195A">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jc w:val="center"/>
        <w:rPr>
          <w:rFonts w:ascii="Arial Black" w:hAnsi="Arial Black"/>
          <w:bCs/>
          <w:sz w:val="40"/>
        </w:rPr>
      </w:pPr>
    </w:p>
    <w:p w14:paraId="6D770C59" w14:textId="3A4D9680" w:rsidR="009E195A" w:rsidRDefault="00D3374E">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spacing w:after="0" w:line="240" w:lineRule="auto"/>
        <w:jc w:val="center"/>
        <w:rPr>
          <w:bCs/>
          <w:sz w:val="40"/>
        </w:rPr>
      </w:pPr>
      <w:r>
        <w:rPr>
          <w:bCs/>
          <w:sz w:val="40"/>
        </w:rPr>
        <w:t xml:space="preserve">Information Collection Request </w:t>
      </w:r>
      <w:r w:rsidR="002A294E">
        <w:rPr>
          <w:bCs/>
          <w:sz w:val="40"/>
        </w:rPr>
        <w:t>Reinstatement</w:t>
      </w:r>
    </w:p>
    <w:p w14:paraId="0B21B263" w14:textId="77777777" w:rsidR="009E195A" w:rsidRDefault="00D3374E">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spacing w:after="0" w:line="240" w:lineRule="auto"/>
        <w:jc w:val="center"/>
        <w:rPr>
          <w:b/>
          <w:sz w:val="36"/>
        </w:rPr>
      </w:pPr>
      <w:r>
        <w:rPr>
          <w:bCs/>
          <w:sz w:val="40"/>
        </w:rPr>
        <w:t xml:space="preserve">Supporting Statement Part A </w:t>
      </w:r>
    </w:p>
    <w:p w14:paraId="26C543C7" w14:textId="77777777" w:rsidR="009E195A" w:rsidRDefault="009E195A">
      <w:pPr>
        <w:pStyle w:val="BodyText"/>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tabs>
          <w:tab w:val="left" w:pos="1080"/>
        </w:tabs>
        <w:jc w:val="center"/>
        <w:rPr>
          <w:b/>
          <w:sz w:val="36"/>
        </w:rPr>
      </w:pPr>
    </w:p>
    <w:p w14:paraId="78C5EB87" w14:textId="77777777" w:rsidR="009E195A" w:rsidRDefault="009E195A">
      <w:pPr>
        <w:pStyle w:val="BodyText"/>
        <w:tabs>
          <w:tab w:val="left" w:pos="1080"/>
        </w:tabs>
        <w:jc w:val="center"/>
        <w:rPr>
          <w:b/>
          <w:sz w:val="32"/>
        </w:rPr>
      </w:pPr>
    </w:p>
    <w:p w14:paraId="5BE989C2" w14:textId="77777777" w:rsidR="009E195A" w:rsidRDefault="009E195A">
      <w:pPr>
        <w:spacing w:line="240" w:lineRule="auto"/>
        <w:jc w:val="center"/>
        <w:rPr>
          <w:rFonts w:cs="Calibri"/>
          <w:b/>
        </w:rPr>
      </w:pPr>
    </w:p>
    <w:p w14:paraId="2956D116" w14:textId="77777777" w:rsidR="009E195A" w:rsidRDefault="00D3374E">
      <w:pPr>
        <w:spacing w:line="240" w:lineRule="auto"/>
        <w:jc w:val="center"/>
        <w:rPr>
          <w:rFonts w:cs="Calibri"/>
          <w:b/>
          <w:sz w:val="40"/>
          <w:szCs w:val="40"/>
        </w:rPr>
      </w:pPr>
      <w:r>
        <w:rPr>
          <w:rFonts w:cs="Calibri"/>
          <w:b/>
          <w:sz w:val="40"/>
          <w:szCs w:val="40"/>
        </w:rPr>
        <w:t>Sudden Death in the Young Case Registry</w:t>
      </w:r>
    </w:p>
    <w:p w14:paraId="02A00B44" w14:textId="40303AC8" w:rsidR="009E195A" w:rsidRDefault="00246D84">
      <w:pPr>
        <w:spacing w:line="240" w:lineRule="auto"/>
        <w:jc w:val="center"/>
        <w:rPr>
          <w:rFonts w:cs="Calibri"/>
          <w:b/>
        </w:rPr>
      </w:pPr>
      <w:r>
        <w:rPr>
          <w:rFonts w:asciiTheme="minorHAnsi" w:eastAsia="Times New Roman" w:hAnsiTheme="minorHAnsi" w:cstheme="minorHAnsi"/>
          <w:b/>
          <w:sz w:val="24"/>
          <w:szCs w:val="24"/>
        </w:rPr>
        <w:t xml:space="preserve">Reinstatement </w:t>
      </w:r>
      <w:r w:rsidR="00D3374E">
        <w:rPr>
          <w:rFonts w:asciiTheme="minorHAnsi" w:eastAsia="Times New Roman" w:hAnsiTheme="minorHAnsi" w:cstheme="minorHAnsi"/>
          <w:b/>
          <w:sz w:val="24"/>
          <w:szCs w:val="24"/>
        </w:rPr>
        <w:t xml:space="preserve">of OMB Number </w:t>
      </w:r>
      <w:r w:rsidR="00D3374E">
        <w:rPr>
          <w:rFonts w:asciiTheme="minorHAnsi" w:hAnsiTheme="minorHAnsi" w:cstheme="minorHAnsi"/>
          <w:b/>
          <w:sz w:val="24"/>
          <w:szCs w:val="24"/>
        </w:rPr>
        <w:t>0920-1092</w:t>
      </w:r>
    </w:p>
    <w:p w14:paraId="50DCF41D" w14:textId="77777777" w:rsidR="009E195A" w:rsidRDefault="009E195A">
      <w:pPr>
        <w:spacing w:line="240" w:lineRule="auto"/>
        <w:jc w:val="center"/>
        <w:rPr>
          <w:rFonts w:cs="Calibri"/>
          <w:b/>
        </w:rPr>
      </w:pPr>
    </w:p>
    <w:p w14:paraId="478DD028" w14:textId="77777777" w:rsidR="009E195A" w:rsidRDefault="00D3374E">
      <w:pPr>
        <w:spacing w:after="0" w:line="240" w:lineRule="auto"/>
        <w:jc w:val="center"/>
        <w:rPr>
          <w:rFonts w:cs="Calibri"/>
        </w:rPr>
      </w:pPr>
      <w:r>
        <w:rPr>
          <w:rFonts w:cs="Calibri"/>
        </w:rPr>
        <w:t>Project Officer: Carri Cottengim</w:t>
      </w:r>
    </w:p>
    <w:p w14:paraId="26777449" w14:textId="77777777" w:rsidR="009E195A" w:rsidRDefault="00D3374E">
      <w:pPr>
        <w:autoSpaceDE w:val="0"/>
        <w:autoSpaceDN w:val="0"/>
        <w:adjustRightInd w:val="0"/>
        <w:spacing w:after="0" w:line="240" w:lineRule="auto"/>
        <w:jc w:val="center"/>
        <w:rPr>
          <w:rFonts w:cs="Calibri"/>
        </w:rPr>
      </w:pPr>
      <w:r>
        <w:rPr>
          <w:rFonts w:cs="Calibri"/>
        </w:rPr>
        <w:t>Health Scientist, Sudden Unexpected Infant Death Initiative</w:t>
      </w:r>
    </w:p>
    <w:p w14:paraId="4FB4E19F" w14:textId="77777777" w:rsidR="009E195A" w:rsidRDefault="00D3374E">
      <w:pPr>
        <w:autoSpaceDE w:val="0"/>
        <w:autoSpaceDN w:val="0"/>
        <w:adjustRightInd w:val="0"/>
        <w:spacing w:after="0" w:line="240" w:lineRule="auto"/>
        <w:jc w:val="center"/>
      </w:pPr>
      <w:r>
        <w:rPr>
          <w:rFonts w:cs="Calibri"/>
        </w:rPr>
        <w:t>Division of Reproductive Health</w:t>
      </w:r>
      <w:r>
        <w:t xml:space="preserve"> </w:t>
      </w:r>
    </w:p>
    <w:p w14:paraId="69406714" w14:textId="77777777" w:rsidR="009E195A" w:rsidRDefault="00D3374E">
      <w:pPr>
        <w:autoSpaceDE w:val="0"/>
        <w:autoSpaceDN w:val="0"/>
        <w:adjustRightInd w:val="0"/>
        <w:spacing w:after="0" w:line="240" w:lineRule="auto"/>
        <w:jc w:val="center"/>
        <w:rPr>
          <w:rFonts w:cs="Calibri"/>
        </w:rPr>
      </w:pPr>
      <w:r>
        <w:t>National Center for Chronic Disease Prevention and Health Promotion</w:t>
      </w:r>
    </w:p>
    <w:p w14:paraId="66BF4DB2" w14:textId="77777777" w:rsidR="009E195A" w:rsidRDefault="00D3374E">
      <w:pPr>
        <w:autoSpaceDE w:val="0"/>
        <w:autoSpaceDN w:val="0"/>
        <w:adjustRightInd w:val="0"/>
        <w:spacing w:after="0" w:line="240" w:lineRule="auto"/>
        <w:jc w:val="center"/>
        <w:rPr>
          <w:rFonts w:cs="Calibri"/>
        </w:rPr>
      </w:pPr>
      <w:r>
        <w:rPr>
          <w:rFonts w:cs="Calibri"/>
        </w:rPr>
        <w:t>Centers for Disease Control &amp; Prevention</w:t>
      </w:r>
    </w:p>
    <w:p w14:paraId="541480ED" w14:textId="77777777" w:rsidR="009E195A" w:rsidRDefault="00D3374E">
      <w:pPr>
        <w:spacing w:after="0" w:line="240" w:lineRule="auto"/>
        <w:jc w:val="center"/>
        <w:rPr>
          <w:rFonts w:cs="Calibri"/>
        </w:rPr>
      </w:pPr>
      <w:r>
        <w:rPr>
          <w:rFonts w:cs="Calibri"/>
        </w:rPr>
        <w:t>770-488-4290 phone</w:t>
      </w:r>
    </w:p>
    <w:p w14:paraId="31A2E714" w14:textId="77777777" w:rsidR="009E195A" w:rsidRDefault="00FD5816">
      <w:pPr>
        <w:spacing w:after="0" w:line="240" w:lineRule="auto"/>
        <w:jc w:val="center"/>
        <w:rPr>
          <w:rFonts w:cs="Calibri"/>
        </w:rPr>
      </w:pPr>
      <w:hyperlink r:id="rId9" w:history="1">
        <w:r w:rsidR="00D3374E">
          <w:rPr>
            <w:rStyle w:val="Hyperlink"/>
            <w:rFonts w:cs="Calibri"/>
          </w:rPr>
          <w:t>ccottengim@cdc.gov</w:t>
        </w:r>
      </w:hyperlink>
    </w:p>
    <w:p w14:paraId="5187C215" w14:textId="77777777" w:rsidR="009E195A" w:rsidRDefault="00D3374E">
      <w:pPr>
        <w:spacing w:after="0" w:line="240" w:lineRule="auto"/>
        <w:jc w:val="center"/>
        <w:rPr>
          <w:rFonts w:cs="Calibri"/>
        </w:rPr>
      </w:pPr>
      <w:r>
        <w:rPr>
          <w:rFonts w:cs="Calibri"/>
        </w:rPr>
        <w:t>(770) 488-6283 fax</w:t>
      </w:r>
    </w:p>
    <w:p w14:paraId="602D74F8" w14:textId="77777777" w:rsidR="009E195A" w:rsidRDefault="009E195A">
      <w:pPr>
        <w:spacing w:after="0" w:line="240" w:lineRule="auto"/>
        <w:jc w:val="center"/>
        <w:rPr>
          <w:rFonts w:cs="Calibri"/>
        </w:rPr>
      </w:pPr>
    </w:p>
    <w:p w14:paraId="4AED4A06" w14:textId="77777777" w:rsidR="009E195A" w:rsidRDefault="009E195A">
      <w:pPr>
        <w:spacing w:after="0" w:line="240" w:lineRule="auto"/>
        <w:jc w:val="center"/>
        <w:rPr>
          <w:rFonts w:cs="Calibri"/>
        </w:rPr>
      </w:pPr>
    </w:p>
    <w:p w14:paraId="0C3DB2A8" w14:textId="444D239F" w:rsidR="009E195A" w:rsidRDefault="002A294E">
      <w:pPr>
        <w:spacing w:after="0" w:line="240" w:lineRule="auto"/>
        <w:jc w:val="center"/>
        <w:rPr>
          <w:rFonts w:cs="Calibri"/>
        </w:rPr>
      </w:pPr>
      <w:r>
        <w:rPr>
          <w:rFonts w:cs="Calibri"/>
        </w:rPr>
        <w:t>January 25</w:t>
      </w:r>
      <w:r w:rsidR="00AE208D">
        <w:rPr>
          <w:rFonts w:cs="Calibri"/>
        </w:rPr>
        <w:t>, 2019</w:t>
      </w:r>
    </w:p>
    <w:p w14:paraId="35FB8EC7" w14:textId="77777777" w:rsidR="009E195A" w:rsidRDefault="009E195A">
      <w:pPr>
        <w:spacing w:after="0" w:line="240" w:lineRule="auto"/>
        <w:rPr>
          <w:rFonts w:cs="Calibri"/>
        </w:rPr>
      </w:pPr>
    </w:p>
    <w:p w14:paraId="0EA14788" w14:textId="77777777" w:rsidR="009E195A" w:rsidRDefault="009E195A">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5C41DAB6" w14:textId="77777777" w:rsidR="009E195A" w:rsidRDefault="009E195A">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rPr>
          <w:i/>
        </w:rPr>
      </w:pPr>
    </w:p>
    <w:p w14:paraId="65705BB2" w14:textId="77777777" w:rsidR="009E195A" w:rsidRDefault="009E195A">
      <w:pPr>
        <w:spacing w:after="0" w:line="240" w:lineRule="auto"/>
        <w:rPr>
          <w:rFonts w:cs="Calibri"/>
        </w:rPr>
      </w:pPr>
    </w:p>
    <w:p w14:paraId="227AA4DE" w14:textId="77777777" w:rsidR="009E195A" w:rsidRDefault="00D3374E">
      <w:pPr>
        <w:spacing w:after="0" w:line="240" w:lineRule="auto"/>
        <w:jc w:val="center"/>
        <w:rPr>
          <w:b/>
          <w:sz w:val="28"/>
        </w:rPr>
      </w:pPr>
      <w:r>
        <w:rPr>
          <w:rFonts w:cs="Calibri"/>
        </w:rPr>
        <w:br w:type="page"/>
      </w:r>
    </w:p>
    <w:p w14:paraId="56138D06" w14:textId="77777777" w:rsidR="009E195A" w:rsidRDefault="009E195A">
      <w:pPr>
        <w:rPr>
          <w:lang w:eastAsia="x-none"/>
        </w:rPr>
      </w:pPr>
    </w:p>
    <w:sdt>
      <w:sdtPr>
        <w:rPr>
          <w:rFonts w:ascii="Calibri" w:eastAsia="Calibri" w:hAnsi="Calibri" w:cs="Times New Roman"/>
          <w:color w:val="auto"/>
          <w:sz w:val="22"/>
          <w:szCs w:val="22"/>
        </w:rPr>
        <w:id w:val="-473835790"/>
        <w:docPartObj>
          <w:docPartGallery w:val="Table of Contents"/>
          <w:docPartUnique/>
        </w:docPartObj>
      </w:sdtPr>
      <w:sdtEndPr>
        <w:rPr>
          <w:b/>
          <w:bCs/>
          <w:noProof/>
        </w:rPr>
      </w:sdtEndPr>
      <w:sdtContent>
        <w:p w14:paraId="4715F7BF" w14:textId="77777777" w:rsidR="009E195A" w:rsidRDefault="00D3374E">
          <w:pPr>
            <w:pStyle w:val="TOCHeading"/>
            <w:rPr>
              <w:b/>
              <w:sz w:val="28"/>
            </w:rPr>
          </w:pPr>
          <w:r>
            <w:rPr>
              <w:b/>
              <w:sz w:val="28"/>
            </w:rPr>
            <w:t>Table of Contents</w:t>
          </w:r>
        </w:p>
        <w:p w14:paraId="30CE28B0" w14:textId="77777777" w:rsidR="009E195A" w:rsidRDefault="009E195A"/>
        <w:p w14:paraId="6FFBBAA8" w14:textId="185F1248" w:rsidR="009E195A" w:rsidRDefault="00D3374E">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19847082" w:history="1">
            <w:r>
              <w:rPr>
                <w:rStyle w:val="Hyperlink"/>
                <w:rFonts w:cs="Calibri"/>
                <w:b/>
                <w:noProof/>
              </w:rPr>
              <w:t>Justification</w:t>
            </w:r>
            <w:r>
              <w:rPr>
                <w:noProof/>
                <w:webHidden/>
              </w:rPr>
              <w:tab/>
            </w:r>
            <w:r>
              <w:rPr>
                <w:noProof/>
                <w:webHidden/>
              </w:rPr>
              <w:fldChar w:fldCharType="begin"/>
            </w:r>
            <w:r>
              <w:rPr>
                <w:noProof/>
                <w:webHidden/>
              </w:rPr>
              <w:instrText xml:space="preserve"> PAGEREF _Toc519847082 \h </w:instrText>
            </w:r>
            <w:r>
              <w:rPr>
                <w:noProof/>
                <w:webHidden/>
              </w:rPr>
            </w:r>
            <w:r>
              <w:rPr>
                <w:noProof/>
                <w:webHidden/>
              </w:rPr>
              <w:fldChar w:fldCharType="separate"/>
            </w:r>
            <w:r w:rsidR="00007CE9">
              <w:rPr>
                <w:noProof/>
                <w:webHidden/>
              </w:rPr>
              <w:t>5</w:t>
            </w:r>
            <w:r>
              <w:rPr>
                <w:noProof/>
                <w:webHidden/>
              </w:rPr>
              <w:fldChar w:fldCharType="end"/>
            </w:r>
          </w:hyperlink>
        </w:p>
        <w:p w14:paraId="2734AD41" w14:textId="124D126D" w:rsidR="009E195A" w:rsidRDefault="00FD5816">
          <w:pPr>
            <w:pStyle w:val="TOC1"/>
            <w:rPr>
              <w:rFonts w:asciiTheme="minorHAnsi" w:eastAsiaTheme="minorEastAsia" w:hAnsiTheme="minorHAnsi" w:cstheme="minorBidi"/>
              <w:noProof/>
            </w:rPr>
          </w:pPr>
          <w:hyperlink w:anchor="_Toc519847083" w:history="1">
            <w:r w:rsidR="00D3374E">
              <w:rPr>
                <w:rStyle w:val="Hyperlink"/>
                <w:rFonts w:cstheme="minorHAnsi"/>
                <w:b/>
                <w:noProof/>
              </w:rPr>
              <w:t>1. Circumstances Making the Collection of Information Necessary</w:t>
            </w:r>
            <w:r w:rsidR="00D3374E">
              <w:rPr>
                <w:noProof/>
                <w:webHidden/>
              </w:rPr>
              <w:tab/>
            </w:r>
            <w:r w:rsidR="00D3374E">
              <w:rPr>
                <w:noProof/>
                <w:webHidden/>
              </w:rPr>
              <w:fldChar w:fldCharType="begin"/>
            </w:r>
            <w:r w:rsidR="00D3374E">
              <w:rPr>
                <w:noProof/>
                <w:webHidden/>
              </w:rPr>
              <w:instrText xml:space="preserve"> PAGEREF _Toc519847083 \h </w:instrText>
            </w:r>
            <w:r w:rsidR="00D3374E">
              <w:rPr>
                <w:noProof/>
                <w:webHidden/>
              </w:rPr>
            </w:r>
            <w:r w:rsidR="00D3374E">
              <w:rPr>
                <w:noProof/>
                <w:webHidden/>
              </w:rPr>
              <w:fldChar w:fldCharType="separate"/>
            </w:r>
            <w:r w:rsidR="00007CE9">
              <w:rPr>
                <w:noProof/>
                <w:webHidden/>
              </w:rPr>
              <w:t>5</w:t>
            </w:r>
            <w:r w:rsidR="00D3374E">
              <w:rPr>
                <w:noProof/>
                <w:webHidden/>
              </w:rPr>
              <w:fldChar w:fldCharType="end"/>
            </w:r>
          </w:hyperlink>
        </w:p>
        <w:p w14:paraId="2AE75195" w14:textId="31C890E7" w:rsidR="009E195A" w:rsidRDefault="00FD5816">
          <w:pPr>
            <w:pStyle w:val="TOC1"/>
            <w:rPr>
              <w:rFonts w:asciiTheme="minorHAnsi" w:eastAsiaTheme="minorEastAsia" w:hAnsiTheme="minorHAnsi" w:cstheme="minorBidi"/>
              <w:noProof/>
            </w:rPr>
          </w:pPr>
          <w:hyperlink w:anchor="_Toc519847084" w:history="1">
            <w:r w:rsidR="00D3374E">
              <w:rPr>
                <w:rStyle w:val="Hyperlink"/>
                <w:b/>
                <w:noProof/>
              </w:rPr>
              <w:t>2.  Purpose and Use of the Information Collection</w:t>
            </w:r>
            <w:r w:rsidR="00D3374E">
              <w:rPr>
                <w:noProof/>
                <w:webHidden/>
              </w:rPr>
              <w:tab/>
            </w:r>
            <w:r w:rsidR="00D3374E">
              <w:rPr>
                <w:noProof/>
                <w:webHidden/>
              </w:rPr>
              <w:fldChar w:fldCharType="begin"/>
            </w:r>
            <w:r w:rsidR="00D3374E">
              <w:rPr>
                <w:noProof/>
                <w:webHidden/>
              </w:rPr>
              <w:instrText xml:space="preserve"> PAGEREF _Toc519847084 \h </w:instrText>
            </w:r>
            <w:r w:rsidR="00D3374E">
              <w:rPr>
                <w:noProof/>
                <w:webHidden/>
              </w:rPr>
            </w:r>
            <w:r w:rsidR="00D3374E">
              <w:rPr>
                <w:noProof/>
                <w:webHidden/>
              </w:rPr>
              <w:fldChar w:fldCharType="separate"/>
            </w:r>
            <w:r w:rsidR="00007CE9">
              <w:rPr>
                <w:noProof/>
                <w:webHidden/>
              </w:rPr>
              <w:t>6</w:t>
            </w:r>
            <w:r w:rsidR="00D3374E">
              <w:rPr>
                <w:noProof/>
                <w:webHidden/>
              </w:rPr>
              <w:fldChar w:fldCharType="end"/>
            </w:r>
          </w:hyperlink>
        </w:p>
        <w:p w14:paraId="07319919" w14:textId="766BB552" w:rsidR="009E195A" w:rsidRDefault="00FD5816">
          <w:pPr>
            <w:pStyle w:val="TOC1"/>
            <w:rPr>
              <w:rFonts w:asciiTheme="minorHAnsi" w:eastAsiaTheme="minorEastAsia" w:hAnsiTheme="minorHAnsi" w:cstheme="minorBidi"/>
              <w:noProof/>
            </w:rPr>
          </w:pPr>
          <w:hyperlink w:anchor="_Toc519847085" w:history="1">
            <w:r w:rsidR="00D3374E">
              <w:rPr>
                <w:rStyle w:val="Hyperlink"/>
                <w:rFonts w:cstheme="minorHAnsi"/>
                <w:b/>
                <w:noProof/>
              </w:rPr>
              <w:t>3. Use of Improved Information Technology and Burden Reduction</w:t>
            </w:r>
            <w:r w:rsidR="00D3374E">
              <w:rPr>
                <w:noProof/>
                <w:webHidden/>
              </w:rPr>
              <w:tab/>
            </w:r>
            <w:r w:rsidR="00D3374E">
              <w:rPr>
                <w:noProof/>
                <w:webHidden/>
              </w:rPr>
              <w:fldChar w:fldCharType="begin"/>
            </w:r>
            <w:r w:rsidR="00D3374E">
              <w:rPr>
                <w:noProof/>
                <w:webHidden/>
              </w:rPr>
              <w:instrText xml:space="preserve"> PAGEREF _Toc519847085 \h </w:instrText>
            </w:r>
            <w:r w:rsidR="00D3374E">
              <w:rPr>
                <w:noProof/>
                <w:webHidden/>
              </w:rPr>
            </w:r>
            <w:r w:rsidR="00D3374E">
              <w:rPr>
                <w:noProof/>
                <w:webHidden/>
              </w:rPr>
              <w:fldChar w:fldCharType="separate"/>
            </w:r>
            <w:r w:rsidR="00007CE9">
              <w:rPr>
                <w:noProof/>
                <w:webHidden/>
              </w:rPr>
              <w:t>8</w:t>
            </w:r>
            <w:r w:rsidR="00D3374E">
              <w:rPr>
                <w:noProof/>
                <w:webHidden/>
              </w:rPr>
              <w:fldChar w:fldCharType="end"/>
            </w:r>
          </w:hyperlink>
        </w:p>
        <w:p w14:paraId="14CB1100" w14:textId="1D180EF7" w:rsidR="009E195A" w:rsidRDefault="00FD5816">
          <w:pPr>
            <w:pStyle w:val="TOC1"/>
            <w:rPr>
              <w:rFonts w:asciiTheme="minorHAnsi" w:eastAsiaTheme="minorEastAsia" w:hAnsiTheme="minorHAnsi" w:cstheme="minorBidi"/>
              <w:noProof/>
            </w:rPr>
          </w:pPr>
          <w:hyperlink w:anchor="_Toc519847086" w:history="1">
            <w:r w:rsidR="00D3374E">
              <w:rPr>
                <w:rStyle w:val="Hyperlink"/>
                <w:rFonts w:cstheme="minorHAnsi"/>
                <w:b/>
                <w:noProof/>
              </w:rPr>
              <w:t>4. Efforts to Identify Duplication and Use of Similar Information</w:t>
            </w:r>
            <w:r w:rsidR="00D3374E">
              <w:rPr>
                <w:noProof/>
                <w:webHidden/>
              </w:rPr>
              <w:tab/>
            </w:r>
            <w:r w:rsidR="00D3374E">
              <w:rPr>
                <w:noProof/>
                <w:webHidden/>
              </w:rPr>
              <w:fldChar w:fldCharType="begin"/>
            </w:r>
            <w:r w:rsidR="00D3374E">
              <w:rPr>
                <w:noProof/>
                <w:webHidden/>
              </w:rPr>
              <w:instrText xml:space="preserve"> PAGEREF _Toc519847086 \h </w:instrText>
            </w:r>
            <w:r w:rsidR="00D3374E">
              <w:rPr>
                <w:noProof/>
                <w:webHidden/>
              </w:rPr>
            </w:r>
            <w:r w:rsidR="00D3374E">
              <w:rPr>
                <w:noProof/>
                <w:webHidden/>
              </w:rPr>
              <w:fldChar w:fldCharType="separate"/>
            </w:r>
            <w:r w:rsidR="00007CE9">
              <w:rPr>
                <w:noProof/>
                <w:webHidden/>
              </w:rPr>
              <w:t>8</w:t>
            </w:r>
            <w:r w:rsidR="00D3374E">
              <w:rPr>
                <w:noProof/>
                <w:webHidden/>
              </w:rPr>
              <w:fldChar w:fldCharType="end"/>
            </w:r>
          </w:hyperlink>
        </w:p>
        <w:p w14:paraId="4D57FA53" w14:textId="3F02DD17" w:rsidR="009E195A" w:rsidRDefault="00FD5816">
          <w:pPr>
            <w:pStyle w:val="TOC1"/>
            <w:rPr>
              <w:rFonts w:asciiTheme="minorHAnsi" w:eastAsiaTheme="minorEastAsia" w:hAnsiTheme="minorHAnsi" w:cstheme="minorBidi"/>
              <w:noProof/>
            </w:rPr>
          </w:pPr>
          <w:hyperlink w:anchor="_Toc519847087" w:history="1">
            <w:r w:rsidR="00D3374E">
              <w:rPr>
                <w:rStyle w:val="Hyperlink"/>
                <w:rFonts w:cstheme="minorHAnsi"/>
                <w:b/>
                <w:noProof/>
              </w:rPr>
              <w:t>5. Impact on Small Businesses or Other Small Entities</w:t>
            </w:r>
            <w:r w:rsidR="00D3374E">
              <w:rPr>
                <w:noProof/>
                <w:webHidden/>
              </w:rPr>
              <w:tab/>
            </w:r>
            <w:r w:rsidR="00D3374E">
              <w:rPr>
                <w:noProof/>
                <w:webHidden/>
              </w:rPr>
              <w:fldChar w:fldCharType="begin"/>
            </w:r>
            <w:r w:rsidR="00D3374E">
              <w:rPr>
                <w:noProof/>
                <w:webHidden/>
              </w:rPr>
              <w:instrText xml:space="preserve"> PAGEREF _Toc519847087 \h </w:instrText>
            </w:r>
            <w:r w:rsidR="00D3374E">
              <w:rPr>
                <w:noProof/>
                <w:webHidden/>
              </w:rPr>
            </w:r>
            <w:r w:rsidR="00D3374E">
              <w:rPr>
                <w:noProof/>
                <w:webHidden/>
              </w:rPr>
              <w:fldChar w:fldCharType="separate"/>
            </w:r>
            <w:r w:rsidR="00007CE9">
              <w:rPr>
                <w:noProof/>
                <w:webHidden/>
              </w:rPr>
              <w:t>8</w:t>
            </w:r>
            <w:r w:rsidR="00D3374E">
              <w:rPr>
                <w:noProof/>
                <w:webHidden/>
              </w:rPr>
              <w:fldChar w:fldCharType="end"/>
            </w:r>
          </w:hyperlink>
        </w:p>
        <w:p w14:paraId="432B2D60" w14:textId="6BE8A082" w:rsidR="009E195A" w:rsidRDefault="00FD5816">
          <w:pPr>
            <w:pStyle w:val="TOC1"/>
            <w:rPr>
              <w:rFonts w:asciiTheme="minorHAnsi" w:eastAsiaTheme="minorEastAsia" w:hAnsiTheme="minorHAnsi" w:cstheme="minorBidi"/>
              <w:noProof/>
            </w:rPr>
          </w:pPr>
          <w:hyperlink w:anchor="_Toc519847088" w:history="1">
            <w:r w:rsidR="00D3374E">
              <w:rPr>
                <w:rStyle w:val="Hyperlink"/>
                <w:rFonts w:cstheme="minorHAnsi"/>
                <w:b/>
                <w:noProof/>
              </w:rPr>
              <w:t>6. Consequences of Collecting the Information Less Frequently</w:t>
            </w:r>
            <w:r w:rsidR="00D3374E">
              <w:rPr>
                <w:noProof/>
                <w:webHidden/>
              </w:rPr>
              <w:tab/>
            </w:r>
            <w:r w:rsidR="00D3374E">
              <w:rPr>
                <w:noProof/>
                <w:webHidden/>
              </w:rPr>
              <w:fldChar w:fldCharType="begin"/>
            </w:r>
            <w:r w:rsidR="00D3374E">
              <w:rPr>
                <w:noProof/>
                <w:webHidden/>
              </w:rPr>
              <w:instrText xml:space="preserve"> PAGEREF _Toc519847088 \h </w:instrText>
            </w:r>
            <w:r w:rsidR="00D3374E">
              <w:rPr>
                <w:noProof/>
                <w:webHidden/>
              </w:rPr>
            </w:r>
            <w:r w:rsidR="00D3374E">
              <w:rPr>
                <w:noProof/>
                <w:webHidden/>
              </w:rPr>
              <w:fldChar w:fldCharType="separate"/>
            </w:r>
            <w:r w:rsidR="00007CE9">
              <w:rPr>
                <w:noProof/>
                <w:webHidden/>
              </w:rPr>
              <w:t>8</w:t>
            </w:r>
            <w:r w:rsidR="00D3374E">
              <w:rPr>
                <w:noProof/>
                <w:webHidden/>
              </w:rPr>
              <w:fldChar w:fldCharType="end"/>
            </w:r>
          </w:hyperlink>
        </w:p>
        <w:p w14:paraId="6A7892F0" w14:textId="56627D4F" w:rsidR="009E195A" w:rsidRDefault="00FD5816">
          <w:pPr>
            <w:pStyle w:val="TOC1"/>
            <w:rPr>
              <w:rFonts w:asciiTheme="minorHAnsi" w:eastAsiaTheme="minorEastAsia" w:hAnsiTheme="minorHAnsi" w:cstheme="minorBidi"/>
              <w:noProof/>
            </w:rPr>
          </w:pPr>
          <w:hyperlink w:anchor="_Toc519847089" w:history="1">
            <w:r w:rsidR="00D3374E">
              <w:rPr>
                <w:rStyle w:val="Hyperlink"/>
                <w:rFonts w:cstheme="minorHAnsi"/>
                <w:b/>
                <w:noProof/>
              </w:rPr>
              <w:t>7. Special Circumstances Relating to the Guidelines of 5 CFR 1320.5</w:t>
            </w:r>
            <w:r w:rsidR="00D3374E">
              <w:rPr>
                <w:noProof/>
                <w:webHidden/>
              </w:rPr>
              <w:tab/>
            </w:r>
            <w:r w:rsidR="00D3374E">
              <w:rPr>
                <w:noProof/>
                <w:webHidden/>
              </w:rPr>
              <w:fldChar w:fldCharType="begin"/>
            </w:r>
            <w:r w:rsidR="00D3374E">
              <w:rPr>
                <w:noProof/>
                <w:webHidden/>
              </w:rPr>
              <w:instrText xml:space="preserve"> PAGEREF _Toc519847089 \h </w:instrText>
            </w:r>
            <w:r w:rsidR="00D3374E">
              <w:rPr>
                <w:noProof/>
                <w:webHidden/>
              </w:rPr>
            </w:r>
            <w:r w:rsidR="00D3374E">
              <w:rPr>
                <w:noProof/>
                <w:webHidden/>
              </w:rPr>
              <w:fldChar w:fldCharType="separate"/>
            </w:r>
            <w:r w:rsidR="00007CE9">
              <w:rPr>
                <w:noProof/>
                <w:webHidden/>
              </w:rPr>
              <w:t>8</w:t>
            </w:r>
            <w:r w:rsidR="00D3374E">
              <w:rPr>
                <w:noProof/>
                <w:webHidden/>
              </w:rPr>
              <w:fldChar w:fldCharType="end"/>
            </w:r>
          </w:hyperlink>
        </w:p>
        <w:p w14:paraId="2EAA03F0" w14:textId="1B6E10B3" w:rsidR="009E195A" w:rsidRDefault="00FD5816">
          <w:pPr>
            <w:pStyle w:val="TOC1"/>
            <w:rPr>
              <w:rFonts w:asciiTheme="minorHAnsi" w:eastAsiaTheme="minorEastAsia" w:hAnsiTheme="minorHAnsi" w:cstheme="minorBidi"/>
              <w:noProof/>
            </w:rPr>
          </w:pPr>
          <w:hyperlink w:anchor="_Toc519847090" w:history="1">
            <w:r w:rsidR="00D3374E">
              <w:rPr>
                <w:rStyle w:val="Hyperlink"/>
                <w:rFonts w:cstheme="minorHAnsi"/>
                <w:b/>
                <w:noProof/>
              </w:rPr>
              <w:t>8. Comments in Response to the Federal Register Notice and Efforts to Consult Outside the Agency</w:t>
            </w:r>
            <w:r w:rsidR="00D3374E">
              <w:rPr>
                <w:noProof/>
                <w:webHidden/>
              </w:rPr>
              <w:tab/>
            </w:r>
            <w:r w:rsidR="00D3374E">
              <w:rPr>
                <w:noProof/>
                <w:webHidden/>
              </w:rPr>
              <w:fldChar w:fldCharType="begin"/>
            </w:r>
            <w:r w:rsidR="00D3374E">
              <w:rPr>
                <w:noProof/>
                <w:webHidden/>
              </w:rPr>
              <w:instrText xml:space="preserve"> PAGEREF _Toc519847090 \h </w:instrText>
            </w:r>
            <w:r w:rsidR="00D3374E">
              <w:rPr>
                <w:noProof/>
                <w:webHidden/>
              </w:rPr>
            </w:r>
            <w:r w:rsidR="00D3374E">
              <w:rPr>
                <w:noProof/>
                <w:webHidden/>
              </w:rPr>
              <w:fldChar w:fldCharType="separate"/>
            </w:r>
            <w:r w:rsidR="00007CE9">
              <w:rPr>
                <w:noProof/>
                <w:webHidden/>
              </w:rPr>
              <w:t>8</w:t>
            </w:r>
            <w:r w:rsidR="00D3374E">
              <w:rPr>
                <w:noProof/>
                <w:webHidden/>
              </w:rPr>
              <w:fldChar w:fldCharType="end"/>
            </w:r>
          </w:hyperlink>
        </w:p>
        <w:p w14:paraId="4B65E69A" w14:textId="68836410" w:rsidR="009E195A" w:rsidRDefault="00FD5816">
          <w:pPr>
            <w:pStyle w:val="TOC1"/>
            <w:rPr>
              <w:rFonts w:asciiTheme="minorHAnsi" w:eastAsiaTheme="minorEastAsia" w:hAnsiTheme="minorHAnsi" w:cstheme="minorBidi"/>
              <w:noProof/>
            </w:rPr>
          </w:pPr>
          <w:hyperlink w:anchor="_Toc519847091" w:history="1">
            <w:r w:rsidR="00D3374E">
              <w:rPr>
                <w:rStyle w:val="Hyperlink"/>
                <w:rFonts w:cstheme="minorHAnsi"/>
                <w:b/>
                <w:noProof/>
              </w:rPr>
              <w:t>9. Explanation of Any Payment or Gift to Respondents</w:t>
            </w:r>
            <w:r w:rsidR="00D3374E">
              <w:rPr>
                <w:noProof/>
                <w:webHidden/>
              </w:rPr>
              <w:tab/>
            </w:r>
            <w:r w:rsidR="00D3374E">
              <w:rPr>
                <w:noProof/>
                <w:webHidden/>
              </w:rPr>
              <w:fldChar w:fldCharType="begin"/>
            </w:r>
            <w:r w:rsidR="00D3374E">
              <w:rPr>
                <w:noProof/>
                <w:webHidden/>
              </w:rPr>
              <w:instrText xml:space="preserve"> PAGEREF _Toc519847091 \h </w:instrText>
            </w:r>
            <w:r w:rsidR="00D3374E">
              <w:rPr>
                <w:noProof/>
                <w:webHidden/>
              </w:rPr>
            </w:r>
            <w:r w:rsidR="00D3374E">
              <w:rPr>
                <w:noProof/>
                <w:webHidden/>
              </w:rPr>
              <w:fldChar w:fldCharType="separate"/>
            </w:r>
            <w:r w:rsidR="00007CE9">
              <w:rPr>
                <w:noProof/>
                <w:webHidden/>
              </w:rPr>
              <w:t>10</w:t>
            </w:r>
            <w:r w:rsidR="00D3374E">
              <w:rPr>
                <w:noProof/>
                <w:webHidden/>
              </w:rPr>
              <w:fldChar w:fldCharType="end"/>
            </w:r>
          </w:hyperlink>
        </w:p>
        <w:p w14:paraId="1F4C88AD" w14:textId="13A2AD21" w:rsidR="009E195A" w:rsidRDefault="00FD5816">
          <w:pPr>
            <w:pStyle w:val="TOC1"/>
            <w:rPr>
              <w:rFonts w:asciiTheme="minorHAnsi" w:eastAsiaTheme="minorEastAsia" w:hAnsiTheme="minorHAnsi" w:cstheme="minorBidi"/>
              <w:noProof/>
            </w:rPr>
          </w:pPr>
          <w:hyperlink w:anchor="_Toc519847092" w:history="1">
            <w:r w:rsidR="00D3374E">
              <w:rPr>
                <w:rStyle w:val="Hyperlink"/>
                <w:rFonts w:cstheme="minorHAnsi"/>
                <w:b/>
                <w:noProof/>
              </w:rPr>
              <w:t>10. Protection of the Privacy and Confidentiality of Information Provided by Respondents</w:t>
            </w:r>
            <w:r w:rsidR="00D3374E">
              <w:rPr>
                <w:noProof/>
                <w:webHidden/>
              </w:rPr>
              <w:tab/>
            </w:r>
            <w:r w:rsidR="00D3374E">
              <w:rPr>
                <w:noProof/>
                <w:webHidden/>
              </w:rPr>
              <w:fldChar w:fldCharType="begin"/>
            </w:r>
            <w:r w:rsidR="00D3374E">
              <w:rPr>
                <w:noProof/>
                <w:webHidden/>
              </w:rPr>
              <w:instrText xml:space="preserve"> PAGEREF _Toc519847092 \h </w:instrText>
            </w:r>
            <w:r w:rsidR="00D3374E">
              <w:rPr>
                <w:noProof/>
                <w:webHidden/>
              </w:rPr>
            </w:r>
            <w:r w:rsidR="00D3374E">
              <w:rPr>
                <w:noProof/>
                <w:webHidden/>
              </w:rPr>
              <w:fldChar w:fldCharType="separate"/>
            </w:r>
            <w:r w:rsidR="00007CE9">
              <w:rPr>
                <w:noProof/>
                <w:webHidden/>
              </w:rPr>
              <w:t>10</w:t>
            </w:r>
            <w:r w:rsidR="00D3374E">
              <w:rPr>
                <w:noProof/>
                <w:webHidden/>
              </w:rPr>
              <w:fldChar w:fldCharType="end"/>
            </w:r>
          </w:hyperlink>
        </w:p>
        <w:p w14:paraId="56240972" w14:textId="62D8935E" w:rsidR="009E195A" w:rsidRDefault="00FD5816">
          <w:pPr>
            <w:pStyle w:val="TOC1"/>
            <w:rPr>
              <w:rFonts w:asciiTheme="minorHAnsi" w:eastAsiaTheme="minorEastAsia" w:hAnsiTheme="minorHAnsi" w:cstheme="minorBidi"/>
              <w:noProof/>
            </w:rPr>
          </w:pPr>
          <w:hyperlink w:anchor="_Toc519847093" w:history="1">
            <w:r w:rsidR="00D3374E">
              <w:rPr>
                <w:rStyle w:val="Hyperlink"/>
                <w:rFonts w:cstheme="minorHAnsi"/>
                <w:b/>
                <w:noProof/>
              </w:rPr>
              <w:t>11. Institutional Review Board (IRB) and Justification for Sensitive Questions</w:t>
            </w:r>
            <w:r w:rsidR="00D3374E">
              <w:rPr>
                <w:noProof/>
                <w:webHidden/>
              </w:rPr>
              <w:tab/>
            </w:r>
            <w:r w:rsidR="00D3374E">
              <w:rPr>
                <w:noProof/>
                <w:webHidden/>
              </w:rPr>
              <w:fldChar w:fldCharType="begin"/>
            </w:r>
            <w:r w:rsidR="00D3374E">
              <w:rPr>
                <w:noProof/>
                <w:webHidden/>
              </w:rPr>
              <w:instrText xml:space="preserve"> PAGEREF _Toc519847093 \h </w:instrText>
            </w:r>
            <w:r w:rsidR="00D3374E">
              <w:rPr>
                <w:noProof/>
                <w:webHidden/>
              </w:rPr>
            </w:r>
            <w:r w:rsidR="00D3374E">
              <w:rPr>
                <w:noProof/>
                <w:webHidden/>
              </w:rPr>
              <w:fldChar w:fldCharType="separate"/>
            </w:r>
            <w:r w:rsidR="00007CE9">
              <w:rPr>
                <w:noProof/>
                <w:webHidden/>
              </w:rPr>
              <w:t>11</w:t>
            </w:r>
            <w:r w:rsidR="00D3374E">
              <w:rPr>
                <w:noProof/>
                <w:webHidden/>
              </w:rPr>
              <w:fldChar w:fldCharType="end"/>
            </w:r>
          </w:hyperlink>
        </w:p>
        <w:p w14:paraId="3F8B47E2" w14:textId="299A68D2" w:rsidR="009E195A" w:rsidRDefault="00FD5816">
          <w:pPr>
            <w:pStyle w:val="TOC1"/>
            <w:rPr>
              <w:rFonts w:asciiTheme="minorHAnsi" w:eastAsiaTheme="minorEastAsia" w:hAnsiTheme="minorHAnsi" w:cstheme="minorBidi"/>
              <w:noProof/>
            </w:rPr>
          </w:pPr>
          <w:hyperlink w:anchor="_Toc519847094" w:history="1">
            <w:r w:rsidR="00D3374E">
              <w:rPr>
                <w:rStyle w:val="Hyperlink"/>
                <w:rFonts w:cstheme="minorHAnsi"/>
                <w:b/>
                <w:noProof/>
              </w:rPr>
              <w:t>12. Estimates of Annualized Burden Hours and Costs</w:t>
            </w:r>
            <w:r w:rsidR="00D3374E">
              <w:rPr>
                <w:noProof/>
                <w:webHidden/>
              </w:rPr>
              <w:tab/>
            </w:r>
            <w:r w:rsidR="00D3374E">
              <w:rPr>
                <w:noProof/>
                <w:webHidden/>
              </w:rPr>
              <w:fldChar w:fldCharType="begin"/>
            </w:r>
            <w:r w:rsidR="00D3374E">
              <w:rPr>
                <w:noProof/>
                <w:webHidden/>
              </w:rPr>
              <w:instrText xml:space="preserve"> PAGEREF _Toc519847094 \h </w:instrText>
            </w:r>
            <w:r w:rsidR="00D3374E">
              <w:rPr>
                <w:noProof/>
                <w:webHidden/>
              </w:rPr>
            </w:r>
            <w:r w:rsidR="00D3374E">
              <w:rPr>
                <w:noProof/>
                <w:webHidden/>
              </w:rPr>
              <w:fldChar w:fldCharType="separate"/>
            </w:r>
            <w:r w:rsidR="00007CE9">
              <w:rPr>
                <w:noProof/>
                <w:webHidden/>
              </w:rPr>
              <w:t>11</w:t>
            </w:r>
            <w:r w:rsidR="00D3374E">
              <w:rPr>
                <w:noProof/>
                <w:webHidden/>
              </w:rPr>
              <w:fldChar w:fldCharType="end"/>
            </w:r>
          </w:hyperlink>
        </w:p>
        <w:p w14:paraId="5D519166" w14:textId="23B41ACE" w:rsidR="009E195A" w:rsidRDefault="00FD5816">
          <w:pPr>
            <w:pStyle w:val="TOC1"/>
            <w:rPr>
              <w:rFonts w:asciiTheme="minorHAnsi" w:eastAsiaTheme="minorEastAsia" w:hAnsiTheme="minorHAnsi" w:cstheme="minorBidi"/>
              <w:noProof/>
            </w:rPr>
          </w:pPr>
          <w:hyperlink w:anchor="_Toc519847095" w:history="1">
            <w:r w:rsidR="00D3374E">
              <w:rPr>
                <w:rStyle w:val="Hyperlink"/>
                <w:rFonts w:cstheme="minorHAnsi"/>
                <w:b/>
                <w:noProof/>
              </w:rPr>
              <w:t>13. Estimates of Other Total Annual Cost Burden to Respondents or Record Keepers</w:t>
            </w:r>
            <w:r w:rsidR="00D3374E">
              <w:rPr>
                <w:noProof/>
                <w:webHidden/>
              </w:rPr>
              <w:tab/>
            </w:r>
            <w:r w:rsidR="00D3374E">
              <w:rPr>
                <w:noProof/>
                <w:webHidden/>
              </w:rPr>
              <w:fldChar w:fldCharType="begin"/>
            </w:r>
            <w:r w:rsidR="00D3374E">
              <w:rPr>
                <w:noProof/>
                <w:webHidden/>
              </w:rPr>
              <w:instrText xml:space="preserve"> PAGEREF _Toc519847095 \h </w:instrText>
            </w:r>
            <w:r w:rsidR="00D3374E">
              <w:rPr>
                <w:noProof/>
                <w:webHidden/>
              </w:rPr>
            </w:r>
            <w:r w:rsidR="00D3374E">
              <w:rPr>
                <w:noProof/>
                <w:webHidden/>
              </w:rPr>
              <w:fldChar w:fldCharType="separate"/>
            </w:r>
            <w:r w:rsidR="00007CE9">
              <w:rPr>
                <w:noProof/>
                <w:webHidden/>
              </w:rPr>
              <w:t>14</w:t>
            </w:r>
            <w:r w:rsidR="00D3374E">
              <w:rPr>
                <w:noProof/>
                <w:webHidden/>
              </w:rPr>
              <w:fldChar w:fldCharType="end"/>
            </w:r>
          </w:hyperlink>
        </w:p>
        <w:p w14:paraId="1D43F044" w14:textId="4F75147F" w:rsidR="009E195A" w:rsidRDefault="00FD5816">
          <w:pPr>
            <w:pStyle w:val="TOC1"/>
            <w:rPr>
              <w:rFonts w:asciiTheme="minorHAnsi" w:eastAsiaTheme="minorEastAsia" w:hAnsiTheme="minorHAnsi" w:cstheme="minorBidi"/>
              <w:noProof/>
            </w:rPr>
          </w:pPr>
          <w:hyperlink w:anchor="_Toc519847096" w:history="1">
            <w:r w:rsidR="00D3374E">
              <w:rPr>
                <w:rStyle w:val="Hyperlink"/>
                <w:rFonts w:cstheme="minorHAnsi"/>
                <w:b/>
                <w:noProof/>
              </w:rPr>
              <w:t>14. Annualized Cost to the Federal Government</w:t>
            </w:r>
            <w:r w:rsidR="00D3374E">
              <w:rPr>
                <w:noProof/>
                <w:webHidden/>
              </w:rPr>
              <w:tab/>
            </w:r>
            <w:r w:rsidR="00D3374E">
              <w:rPr>
                <w:noProof/>
                <w:webHidden/>
              </w:rPr>
              <w:fldChar w:fldCharType="begin"/>
            </w:r>
            <w:r w:rsidR="00D3374E">
              <w:rPr>
                <w:noProof/>
                <w:webHidden/>
              </w:rPr>
              <w:instrText xml:space="preserve"> PAGEREF _Toc519847096 \h </w:instrText>
            </w:r>
            <w:r w:rsidR="00D3374E">
              <w:rPr>
                <w:noProof/>
                <w:webHidden/>
              </w:rPr>
            </w:r>
            <w:r w:rsidR="00D3374E">
              <w:rPr>
                <w:noProof/>
                <w:webHidden/>
              </w:rPr>
              <w:fldChar w:fldCharType="separate"/>
            </w:r>
            <w:r w:rsidR="00007CE9">
              <w:rPr>
                <w:noProof/>
                <w:webHidden/>
              </w:rPr>
              <w:t>14</w:t>
            </w:r>
            <w:r w:rsidR="00D3374E">
              <w:rPr>
                <w:noProof/>
                <w:webHidden/>
              </w:rPr>
              <w:fldChar w:fldCharType="end"/>
            </w:r>
          </w:hyperlink>
        </w:p>
        <w:p w14:paraId="52651DFE" w14:textId="59A026CC" w:rsidR="009E195A" w:rsidRDefault="00FD5816">
          <w:pPr>
            <w:pStyle w:val="TOC1"/>
            <w:rPr>
              <w:rFonts w:asciiTheme="minorHAnsi" w:eastAsiaTheme="minorEastAsia" w:hAnsiTheme="minorHAnsi" w:cstheme="minorBidi"/>
              <w:noProof/>
            </w:rPr>
          </w:pPr>
          <w:hyperlink w:anchor="_Toc519847097" w:history="1">
            <w:r w:rsidR="00D3374E">
              <w:rPr>
                <w:rStyle w:val="Hyperlink"/>
                <w:rFonts w:cstheme="minorHAnsi"/>
                <w:b/>
                <w:noProof/>
              </w:rPr>
              <w:t>15. Explanation for Program Changes or Adjustments</w:t>
            </w:r>
            <w:r w:rsidR="00D3374E">
              <w:rPr>
                <w:noProof/>
                <w:webHidden/>
              </w:rPr>
              <w:tab/>
            </w:r>
            <w:r w:rsidR="00D3374E">
              <w:rPr>
                <w:noProof/>
                <w:webHidden/>
              </w:rPr>
              <w:fldChar w:fldCharType="begin"/>
            </w:r>
            <w:r w:rsidR="00D3374E">
              <w:rPr>
                <w:noProof/>
                <w:webHidden/>
              </w:rPr>
              <w:instrText xml:space="preserve"> PAGEREF _Toc519847097 \h </w:instrText>
            </w:r>
            <w:r w:rsidR="00D3374E">
              <w:rPr>
                <w:noProof/>
                <w:webHidden/>
              </w:rPr>
            </w:r>
            <w:r w:rsidR="00D3374E">
              <w:rPr>
                <w:noProof/>
                <w:webHidden/>
              </w:rPr>
              <w:fldChar w:fldCharType="separate"/>
            </w:r>
            <w:r w:rsidR="00007CE9">
              <w:rPr>
                <w:noProof/>
                <w:webHidden/>
              </w:rPr>
              <w:t>15</w:t>
            </w:r>
            <w:r w:rsidR="00D3374E">
              <w:rPr>
                <w:noProof/>
                <w:webHidden/>
              </w:rPr>
              <w:fldChar w:fldCharType="end"/>
            </w:r>
          </w:hyperlink>
        </w:p>
        <w:p w14:paraId="0C3C8972" w14:textId="6FFD5811" w:rsidR="009E195A" w:rsidRDefault="00FD5816">
          <w:pPr>
            <w:pStyle w:val="TOC1"/>
            <w:rPr>
              <w:rFonts w:asciiTheme="minorHAnsi" w:eastAsiaTheme="minorEastAsia" w:hAnsiTheme="minorHAnsi" w:cstheme="minorBidi"/>
              <w:noProof/>
            </w:rPr>
          </w:pPr>
          <w:hyperlink w:anchor="_Toc519847098" w:history="1">
            <w:r w:rsidR="00D3374E">
              <w:rPr>
                <w:rStyle w:val="Hyperlink"/>
                <w:rFonts w:cstheme="minorHAnsi"/>
                <w:b/>
                <w:noProof/>
              </w:rPr>
              <w:t>16. Plans for Tabulation and Publication and Project Time Schedule</w:t>
            </w:r>
            <w:r w:rsidR="00D3374E">
              <w:rPr>
                <w:noProof/>
                <w:webHidden/>
              </w:rPr>
              <w:tab/>
            </w:r>
            <w:r w:rsidR="00D3374E">
              <w:rPr>
                <w:noProof/>
                <w:webHidden/>
              </w:rPr>
              <w:fldChar w:fldCharType="begin"/>
            </w:r>
            <w:r w:rsidR="00D3374E">
              <w:rPr>
                <w:noProof/>
                <w:webHidden/>
              </w:rPr>
              <w:instrText xml:space="preserve"> PAGEREF _Toc519847098 \h </w:instrText>
            </w:r>
            <w:r w:rsidR="00D3374E">
              <w:rPr>
                <w:noProof/>
                <w:webHidden/>
              </w:rPr>
            </w:r>
            <w:r w:rsidR="00D3374E">
              <w:rPr>
                <w:noProof/>
                <w:webHidden/>
              </w:rPr>
              <w:fldChar w:fldCharType="separate"/>
            </w:r>
            <w:r w:rsidR="00007CE9">
              <w:rPr>
                <w:noProof/>
                <w:webHidden/>
              </w:rPr>
              <w:t>16</w:t>
            </w:r>
            <w:r w:rsidR="00D3374E">
              <w:rPr>
                <w:noProof/>
                <w:webHidden/>
              </w:rPr>
              <w:fldChar w:fldCharType="end"/>
            </w:r>
          </w:hyperlink>
        </w:p>
        <w:p w14:paraId="09718AAC" w14:textId="65287CF5" w:rsidR="009E195A" w:rsidRDefault="00FD5816">
          <w:pPr>
            <w:pStyle w:val="TOC1"/>
            <w:rPr>
              <w:rFonts w:asciiTheme="minorHAnsi" w:eastAsiaTheme="minorEastAsia" w:hAnsiTheme="minorHAnsi" w:cstheme="minorBidi"/>
              <w:noProof/>
            </w:rPr>
          </w:pPr>
          <w:hyperlink w:anchor="_Toc519847099" w:history="1">
            <w:r w:rsidR="00D3374E">
              <w:rPr>
                <w:rStyle w:val="Hyperlink"/>
                <w:rFonts w:cstheme="minorHAnsi"/>
                <w:b/>
                <w:noProof/>
              </w:rPr>
              <w:t>17. Reason(s) Display of OMB Expiration Date is Inappropriate</w:t>
            </w:r>
            <w:r w:rsidR="00D3374E">
              <w:rPr>
                <w:noProof/>
                <w:webHidden/>
              </w:rPr>
              <w:tab/>
            </w:r>
            <w:r w:rsidR="00D3374E">
              <w:rPr>
                <w:noProof/>
                <w:webHidden/>
              </w:rPr>
              <w:fldChar w:fldCharType="begin"/>
            </w:r>
            <w:r w:rsidR="00D3374E">
              <w:rPr>
                <w:noProof/>
                <w:webHidden/>
              </w:rPr>
              <w:instrText xml:space="preserve"> PAGEREF _Toc519847099 \h </w:instrText>
            </w:r>
            <w:r w:rsidR="00D3374E">
              <w:rPr>
                <w:noProof/>
                <w:webHidden/>
              </w:rPr>
            </w:r>
            <w:r w:rsidR="00D3374E">
              <w:rPr>
                <w:noProof/>
                <w:webHidden/>
              </w:rPr>
              <w:fldChar w:fldCharType="separate"/>
            </w:r>
            <w:r w:rsidR="00007CE9">
              <w:rPr>
                <w:noProof/>
                <w:webHidden/>
              </w:rPr>
              <w:t>17</w:t>
            </w:r>
            <w:r w:rsidR="00D3374E">
              <w:rPr>
                <w:noProof/>
                <w:webHidden/>
              </w:rPr>
              <w:fldChar w:fldCharType="end"/>
            </w:r>
          </w:hyperlink>
        </w:p>
        <w:p w14:paraId="63E19B0F" w14:textId="5D4EBBB6" w:rsidR="009E195A" w:rsidRDefault="00FD5816">
          <w:pPr>
            <w:pStyle w:val="TOC1"/>
            <w:rPr>
              <w:rFonts w:asciiTheme="minorHAnsi" w:eastAsiaTheme="minorEastAsia" w:hAnsiTheme="minorHAnsi" w:cstheme="minorBidi"/>
              <w:noProof/>
            </w:rPr>
          </w:pPr>
          <w:hyperlink w:anchor="_Toc519847100" w:history="1">
            <w:r w:rsidR="00D3374E">
              <w:rPr>
                <w:rStyle w:val="Hyperlink"/>
                <w:rFonts w:cstheme="minorHAnsi"/>
                <w:b/>
                <w:noProof/>
              </w:rPr>
              <w:t>18. Exceptions to Certification for Paperwork Reduction Act Submissions</w:t>
            </w:r>
            <w:r w:rsidR="00D3374E">
              <w:rPr>
                <w:noProof/>
                <w:webHidden/>
              </w:rPr>
              <w:tab/>
            </w:r>
            <w:r w:rsidR="00D3374E">
              <w:rPr>
                <w:noProof/>
                <w:webHidden/>
              </w:rPr>
              <w:fldChar w:fldCharType="begin"/>
            </w:r>
            <w:r w:rsidR="00D3374E">
              <w:rPr>
                <w:noProof/>
                <w:webHidden/>
              </w:rPr>
              <w:instrText xml:space="preserve"> PAGEREF _Toc519847100 \h </w:instrText>
            </w:r>
            <w:r w:rsidR="00D3374E">
              <w:rPr>
                <w:noProof/>
                <w:webHidden/>
              </w:rPr>
            </w:r>
            <w:r w:rsidR="00D3374E">
              <w:rPr>
                <w:noProof/>
                <w:webHidden/>
              </w:rPr>
              <w:fldChar w:fldCharType="separate"/>
            </w:r>
            <w:r w:rsidR="00007CE9">
              <w:rPr>
                <w:noProof/>
                <w:webHidden/>
              </w:rPr>
              <w:t>17</w:t>
            </w:r>
            <w:r w:rsidR="00D3374E">
              <w:rPr>
                <w:noProof/>
                <w:webHidden/>
              </w:rPr>
              <w:fldChar w:fldCharType="end"/>
            </w:r>
          </w:hyperlink>
        </w:p>
        <w:p w14:paraId="61067F97" w14:textId="77777777" w:rsidR="009E195A" w:rsidRDefault="00D3374E">
          <w:r>
            <w:rPr>
              <w:b/>
              <w:bCs/>
              <w:noProof/>
            </w:rPr>
            <w:fldChar w:fldCharType="end"/>
          </w:r>
        </w:p>
      </w:sdtContent>
    </w:sdt>
    <w:p w14:paraId="5159A855" w14:textId="77777777" w:rsidR="009E195A" w:rsidRDefault="009E195A">
      <w:pPr>
        <w:rPr>
          <w:lang w:eastAsia="x-none"/>
        </w:rPr>
      </w:pPr>
    </w:p>
    <w:p w14:paraId="779BB4F8" w14:textId="77777777" w:rsidR="009E195A" w:rsidRDefault="009E195A">
      <w:pPr>
        <w:spacing w:line="240" w:lineRule="auto"/>
        <w:rPr>
          <w:lang w:eastAsia="x-none"/>
        </w:rPr>
      </w:pPr>
    </w:p>
    <w:p w14:paraId="2B7A841B" w14:textId="77777777" w:rsidR="009E195A" w:rsidRDefault="009E195A">
      <w:pPr>
        <w:spacing w:line="240" w:lineRule="auto"/>
        <w:rPr>
          <w:lang w:eastAsia="x-none"/>
        </w:rPr>
      </w:pPr>
    </w:p>
    <w:p w14:paraId="162ADCF3" w14:textId="77777777" w:rsidR="009E195A" w:rsidRDefault="00D3374E">
      <w:pPr>
        <w:spacing w:line="240" w:lineRule="auto"/>
        <w:rPr>
          <w:rFonts w:cs="Calibri"/>
          <w:b/>
          <w:sz w:val="28"/>
          <w:szCs w:val="28"/>
        </w:rPr>
      </w:pPr>
      <w:r>
        <w:rPr>
          <w:lang w:eastAsia="x-none"/>
        </w:rPr>
        <w:br w:type="page"/>
      </w:r>
      <w:r>
        <w:rPr>
          <w:b/>
          <w:sz w:val="28"/>
        </w:rPr>
        <w:lastRenderedPageBreak/>
        <w:t xml:space="preserve"> </w:t>
      </w:r>
    </w:p>
    <w:p w14:paraId="056B014A" w14:textId="77777777" w:rsidR="009E195A" w:rsidRDefault="00D3374E">
      <w:pPr>
        <w:pStyle w:val="Heading6"/>
        <w:rPr>
          <w:rFonts w:asciiTheme="minorHAnsi" w:hAnsiTheme="minorHAnsi" w:cstheme="minorHAnsi"/>
          <w:sz w:val="22"/>
          <w:szCs w:val="22"/>
        </w:rPr>
      </w:pPr>
      <w:r>
        <w:rPr>
          <w:rFonts w:asciiTheme="minorHAnsi" w:hAnsiTheme="minorHAnsi" w:cstheme="minorHAnsi"/>
          <w:sz w:val="22"/>
          <w:szCs w:val="22"/>
        </w:rPr>
        <w:t xml:space="preserve">List of Attachments </w:t>
      </w:r>
    </w:p>
    <w:p w14:paraId="751D3165" w14:textId="77777777" w:rsidR="009E195A" w:rsidRDefault="00D3374E">
      <w:pPr>
        <w:numPr>
          <w:ilvl w:val="0"/>
          <w:numId w:val="6"/>
        </w:numPr>
        <w:spacing w:after="0" w:line="240" w:lineRule="auto"/>
        <w:rPr>
          <w:rFonts w:asciiTheme="minorHAnsi" w:hAnsiTheme="minorHAnsi" w:cstheme="minorHAnsi"/>
        </w:rPr>
      </w:pPr>
      <w:r>
        <w:rPr>
          <w:rFonts w:asciiTheme="minorHAnsi" w:hAnsiTheme="minorHAnsi" w:cstheme="minorHAnsi"/>
        </w:rPr>
        <w:t>Applicable Laws</w:t>
      </w:r>
    </w:p>
    <w:p w14:paraId="7BFCF4C3" w14:textId="77777777" w:rsidR="009E195A" w:rsidRDefault="00D3374E">
      <w:pPr>
        <w:numPr>
          <w:ilvl w:val="1"/>
          <w:numId w:val="6"/>
        </w:numPr>
        <w:spacing w:after="0" w:line="240" w:lineRule="auto"/>
        <w:rPr>
          <w:rFonts w:asciiTheme="minorHAnsi" w:hAnsiTheme="minorHAnsi" w:cstheme="minorHAnsi"/>
        </w:rPr>
      </w:pPr>
      <w:r>
        <w:rPr>
          <w:rFonts w:asciiTheme="minorHAnsi" w:hAnsiTheme="minorHAnsi" w:cstheme="minorHAnsi"/>
          <w:lang w:val="en"/>
        </w:rPr>
        <w:t xml:space="preserve">Public Health Service Act, Section 301(a) and Section 317K, 42 USC 241(a), 42 USC 247b-12 </w:t>
      </w:r>
    </w:p>
    <w:p w14:paraId="3246CD75" w14:textId="3CE77778" w:rsidR="009E195A" w:rsidRPr="00DC00BC" w:rsidRDefault="00D3374E">
      <w:pPr>
        <w:numPr>
          <w:ilvl w:val="1"/>
          <w:numId w:val="6"/>
        </w:numPr>
        <w:spacing w:after="0" w:line="240" w:lineRule="auto"/>
        <w:rPr>
          <w:rFonts w:asciiTheme="minorHAnsi" w:hAnsiTheme="minorHAnsi" w:cstheme="minorHAnsi"/>
        </w:rPr>
      </w:pPr>
      <w:r>
        <w:rPr>
          <w:rFonts w:asciiTheme="minorHAnsi" w:hAnsiTheme="minorHAnsi" w:cstheme="minorHAnsi"/>
          <w:lang w:val="en"/>
        </w:rPr>
        <w:t xml:space="preserve">Sudden Unexpected Death Data Enhancement and Awareness Act, </w:t>
      </w:r>
      <w:r>
        <w:rPr>
          <w:rFonts w:asciiTheme="minorHAnsi" w:hAnsiTheme="minorHAnsi" w:cstheme="minorHAnsi"/>
          <w:bCs/>
          <w:lang w:val="en"/>
        </w:rPr>
        <w:t>Public Law Number 113-236</w:t>
      </w:r>
      <w:r>
        <w:rPr>
          <w:rFonts w:asciiTheme="minorHAnsi" w:hAnsiTheme="minorHAnsi" w:cstheme="minorHAnsi"/>
          <w:b/>
          <w:bCs/>
          <w:lang w:val="en"/>
        </w:rPr>
        <w:t xml:space="preserve"> </w:t>
      </w:r>
      <w:r>
        <w:rPr>
          <w:rFonts w:asciiTheme="minorHAnsi" w:hAnsiTheme="minorHAnsi" w:cstheme="minorHAnsi"/>
          <w:bCs/>
          <w:lang w:val="en"/>
        </w:rPr>
        <w:t>(</w:t>
      </w:r>
      <w:r>
        <w:rPr>
          <w:rFonts w:asciiTheme="minorHAnsi" w:hAnsiTheme="minorHAnsi" w:cstheme="minorHAnsi"/>
          <w:lang w:val="en"/>
        </w:rPr>
        <w:t>enacted into law on December 18, 2014)</w:t>
      </w:r>
    </w:p>
    <w:p w14:paraId="16DF07F8" w14:textId="0AD6729D" w:rsidR="00D57289" w:rsidRDefault="00D57289" w:rsidP="00DC00BC">
      <w:pPr>
        <w:numPr>
          <w:ilvl w:val="0"/>
          <w:numId w:val="6"/>
        </w:numPr>
        <w:spacing w:after="0" w:line="240" w:lineRule="auto"/>
        <w:rPr>
          <w:rFonts w:asciiTheme="minorHAnsi" w:hAnsiTheme="minorHAnsi" w:cstheme="minorHAnsi"/>
        </w:rPr>
      </w:pPr>
      <w:r>
        <w:rPr>
          <w:rFonts w:asciiTheme="minorHAnsi" w:hAnsiTheme="minorHAnsi" w:cstheme="minorHAnsi"/>
        </w:rPr>
        <w:t xml:space="preserve"> 60 Day Federal Register Notice </w:t>
      </w:r>
    </w:p>
    <w:p w14:paraId="6144DBA4" w14:textId="598D18F9" w:rsidR="009E195A" w:rsidRDefault="00D3374E" w:rsidP="00DC00BC">
      <w:pPr>
        <w:spacing w:after="0" w:line="240" w:lineRule="auto"/>
        <w:rPr>
          <w:rFonts w:asciiTheme="minorHAnsi" w:hAnsiTheme="minorHAnsi" w:cstheme="minorHAnsi"/>
        </w:rPr>
      </w:pPr>
      <w:r>
        <w:rPr>
          <w:rFonts w:asciiTheme="minorHAnsi" w:hAnsiTheme="minorHAnsi" w:cstheme="minorHAnsi"/>
        </w:rPr>
        <w:t xml:space="preserve">  </w:t>
      </w:r>
    </w:p>
    <w:p w14:paraId="29AB1020" w14:textId="77777777" w:rsidR="009E195A" w:rsidRDefault="00D3374E">
      <w:pPr>
        <w:numPr>
          <w:ilvl w:val="0"/>
          <w:numId w:val="6"/>
        </w:numPr>
        <w:spacing w:after="0" w:line="240" w:lineRule="auto"/>
        <w:rPr>
          <w:rFonts w:asciiTheme="minorHAnsi" w:hAnsiTheme="minorHAnsi" w:cstheme="minorHAnsi"/>
        </w:rPr>
      </w:pPr>
      <w:r>
        <w:rPr>
          <w:rFonts w:asciiTheme="minorHAnsi" w:hAnsiTheme="minorHAnsi" w:cstheme="minorHAnsi"/>
        </w:rPr>
        <w:t xml:space="preserve">  Data Use Agreements</w:t>
      </w:r>
    </w:p>
    <w:p w14:paraId="22966488" w14:textId="1503FF85" w:rsidR="009E195A" w:rsidRDefault="00D3374E">
      <w:pPr>
        <w:pStyle w:val="ListParagraph"/>
        <w:numPr>
          <w:ilvl w:val="1"/>
          <w:numId w:val="6"/>
        </w:numPr>
        <w:spacing w:after="0" w:line="240" w:lineRule="auto"/>
        <w:rPr>
          <w:rFonts w:asciiTheme="minorHAnsi" w:hAnsiTheme="minorHAnsi" w:cstheme="minorHAnsi"/>
        </w:rPr>
      </w:pPr>
      <w:r>
        <w:rPr>
          <w:rFonts w:asciiTheme="minorHAnsi" w:hAnsiTheme="minorHAnsi" w:cstheme="minorHAnsi"/>
        </w:rPr>
        <w:t xml:space="preserve">Agreement between CDC and </w:t>
      </w:r>
      <w:r w:rsidR="00007CE9">
        <w:rPr>
          <w:rFonts w:asciiTheme="minorHAnsi" w:hAnsiTheme="minorHAnsi" w:cstheme="minorHAnsi"/>
        </w:rPr>
        <w:t>MPHI</w:t>
      </w:r>
    </w:p>
    <w:p w14:paraId="7E9B8520" w14:textId="556E5CD8" w:rsidR="009E195A" w:rsidRDefault="00D3374E">
      <w:pPr>
        <w:pStyle w:val="ListParagraph"/>
        <w:numPr>
          <w:ilvl w:val="1"/>
          <w:numId w:val="6"/>
        </w:numPr>
        <w:spacing w:after="0" w:line="240" w:lineRule="auto"/>
        <w:rPr>
          <w:rFonts w:asciiTheme="minorHAnsi" w:hAnsiTheme="minorHAnsi" w:cstheme="minorHAnsi"/>
        </w:rPr>
      </w:pPr>
      <w:r>
        <w:rPr>
          <w:rFonts w:asciiTheme="minorHAnsi" w:hAnsiTheme="minorHAnsi" w:cstheme="minorHAnsi"/>
        </w:rPr>
        <w:t>Agreement between</w:t>
      </w:r>
      <w:r w:rsidR="005443D2">
        <w:rPr>
          <w:rFonts w:asciiTheme="minorHAnsi" w:hAnsiTheme="minorHAnsi" w:cstheme="minorHAnsi"/>
        </w:rPr>
        <w:t xml:space="preserve"> </w:t>
      </w:r>
      <w:r w:rsidR="00007CE9">
        <w:rPr>
          <w:rFonts w:asciiTheme="minorHAnsi" w:hAnsiTheme="minorHAnsi" w:cstheme="minorHAnsi"/>
        </w:rPr>
        <w:t>CDC</w:t>
      </w:r>
      <w:r>
        <w:rPr>
          <w:rFonts w:asciiTheme="minorHAnsi" w:hAnsiTheme="minorHAnsi" w:cstheme="minorHAnsi"/>
        </w:rPr>
        <w:t xml:space="preserve"> and state/jurisdiction awardees</w:t>
      </w:r>
    </w:p>
    <w:p w14:paraId="72CB7134" w14:textId="77777777" w:rsidR="009E195A" w:rsidRDefault="00D3374E">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 xml:space="preserve">  Data Security Policy documents</w:t>
      </w:r>
    </w:p>
    <w:p w14:paraId="36734C6E" w14:textId="48482FE9" w:rsidR="009E195A" w:rsidRDefault="00D3374E">
      <w:pPr>
        <w:numPr>
          <w:ilvl w:val="1"/>
          <w:numId w:val="6"/>
        </w:numPr>
        <w:spacing w:after="0" w:line="240" w:lineRule="auto"/>
        <w:rPr>
          <w:rFonts w:asciiTheme="minorHAnsi" w:hAnsiTheme="minorHAnsi" w:cstheme="minorHAnsi"/>
        </w:rPr>
      </w:pPr>
      <w:r>
        <w:rPr>
          <w:rFonts w:asciiTheme="minorHAnsi" w:hAnsiTheme="minorHAnsi" w:cstheme="minorHAnsi"/>
        </w:rPr>
        <w:t>MPHI Security Policy</w:t>
      </w:r>
    </w:p>
    <w:p w14:paraId="0047DD6C" w14:textId="77777777" w:rsidR="009E195A" w:rsidRDefault="00D3374E">
      <w:pPr>
        <w:numPr>
          <w:ilvl w:val="1"/>
          <w:numId w:val="6"/>
        </w:numPr>
        <w:spacing w:after="0" w:line="240" w:lineRule="auto"/>
        <w:rPr>
          <w:rFonts w:asciiTheme="minorHAnsi" w:hAnsiTheme="minorHAnsi" w:cstheme="minorHAnsi"/>
        </w:rPr>
      </w:pPr>
      <w:r>
        <w:rPr>
          <w:rFonts w:asciiTheme="minorHAnsi" w:hAnsiTheme="minorHAnsi" w:cstheme="minorHAnsi"/>
        </w:rPr>
        <w:t>NCFRP Child Death Review – Case Reporting System Security Information</w:t>
      </w:r>
    </w:p>
    <w:p w14:paraId="60063A52" w14:textId="77777777" w:rsidR="009E195A" w:rsidRDefault="00D3374E">
      <w:pPr>
        <w:numPr>
          <w:ilvl w:val="0"/>
          <w:numId w:val="6"/>
        </w:numPr>
        <w:spacing w:after="0" w:line="240" w:lineRule="auto"/>
        <w:rPr>
          <w:rFonts w:asciiTheme="minorHAnsi" w:hAnsiTheme="minorHAnsi" w:cstheme="minorHAnsi"/>
          <w:color w:val="000000" w:themeColor="text1"/>
        </w:rPr>
      </w:pPr>
      <w:r>
        <w:rPr>
          <w:rFonts w:asciiTheme="minorHAnsi" w:hAnsiTheme="minorHAnsi" w:cstheme="minorHAnsi"/>
        </w:rPr>
        <w:t xml:space="preserve">Institutional </w:t>
      </w:r>
      <w:r>
        <w:rPr>
          <w:rFonts w:asciiTheme="minorHAnsi" w:hAnsiTheme="minorHAnsi" w:cstheme="minorHAnsi"/>
          <w:color w:val="000000" w:themeColor="text1"/>
        </w:rPr>
        <w:t xml:space="preserve">Request for Determination of Research Status </w:t>
      </w:r>
    </w:p>
    <w:p w14:paraId="69F83D92" w14:textId="77777777" w:rsidR="009E195A" w:rsidRDefault="00D3374E">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SDY awardees and expected number of cases</w:t>
      </w:r>
    </w:p>
    <w:p w14:paraId="735EF3D6" w14:textId="77777777" w:rsidR="009E195A" w:rsidRDefault="00D3374E">
      <w:pPr>
        <w:numPr>
          <w:ilvl w:val="0"/>
          <w:numId w:val="6"/>
        </w:numPr>
        <w:spacing w:after="0" w:line="240" w:lineRule="auto"/>
        <w:rPr>
          <w:rFonts w:asciiTheme="minorHAnsi" w:hAnsiTheme="minorHAnsi" w:cstheme="minorHAnsi"/>
        </w:rPr>
      </w:pPr>
      <w:r>
        <w:rPr>
          <w:rFonts w:asciiTheme="minorHAnsi" w:hAnsiTheme="minorHAnsi" w:cstheme="minorHAnsi"/>
        </w:rPr>
        <w:t>Data Collection Tools</w:t>
      </w:r>
    </w:p>
    <w:p w14:paraId="1CBD44DE" w14:textId="77777777" w:rsidR="009E195A" w:rsidRDefault="00D3374E">
      <w:pPr>
        <w:numPr>
          <w:ilvl w:val="1"/>
          <w:numId w:val="6"/>
        </w:numPr>
        <w:spacing w:after="0" w:line="240" w:lineRule="auto"/>
        <w:rPr>
          <w:rFonts w:asciiTheme="minorHAnsi" w:hAnsiTheme="minorHAnsi" w:cstheme="minorHAnsi"/>
        </w:rPr>
      </w:pPr>
      <w:r>
        <w:rPr>
          <w:rFonts w:asciiTheme="minorHAnsi" w:hAnsiTheme="minorHAnsi" w:cstheme="minorHAnsi"/>
        </w:rPr>
        <w:t>SDY Module Section I</w:t>
      </w:r>
    </w:p>
    <w:p w14:paraId="2407B052" w14:textId="77777777" w:rsidR="009E195A" w:rsidRDefault="00D3374E">
      <w:pPr>
        <w:pStyle w:val="ListParagraph"/>
        <w:numPr>
          <w:ilvl w:val="1"/>
          <w:numId w:val="6"/>
        </w:numPr>
        <w:spacing w:after="0" w:line="240" w:lineRule="auto"/>
        <w:rPr>
          <w:rFonts w:asciiTheme="minorHAnsi" w:hAnsiTheme="minorHAnsi" w:cstheme="minorHAnsi"/>
        </w:rPr>
      </w:pPr>
      <w:r>
        <w:rPr>
          <w:rFonts w:asciiTheme="minorHAnsi" w:hAnsiTheme="minorHAnsi" w:cstheme="minorHAnsi"/>
        </w:rPr>
        <w:t>Advanced Review Discussion Topics</w:t>
      </w:r>
    </w:p>
    <w:p w14:paraId="5604120E" w14:textId="77777777" w:rsidR="009E195A" w:rsidRDefault="00D3374E">
      <w:pPr>
        <w:numPr>
          <w:ilvl w:val="1"/>
          <w:numId w:val="6"/>
        </w:numPr>
        <w:spacing w:after="0" w:line="240" w:lineRule="auto"/>
        <w:rPr>
          <w:rFonts w:asciiTheme="minorHAnsi" w:hAnsiTheme="minorHAnsi" w:cstheme="minorHAnsi"/>
        </w:rPr>
      </w:pPr>
      <w:r>
        <w:rPr>
          <w:rFonts w:asciiTheme="minorHAnsi" w:hAnsiTheme="minorHAnsi" w:cstheme="minorHAnsi"/>
        </w:rPr>
        <w:t>SDY Module Section N</w:t>
      </w:r>
    </w:p>
    <w:p w14:paraId="75357BDF" w14:textId="77777777" w:rsidR="009E195A" w:rsidRDefault="009E195A">
      <w:pPr>
        <w:spacing w:line="240" w:lineRule="auto"/>
        <w:ind w:left="1440"/>
        <w:rPr>
          <w:rFonts w:asciiTheme="minorHAnsi" w:hAnsiTheme="minorHAnsi" w:cstheme="minorHAnsi"/>
        </w:rPr>
      </w:pPr>
    </w:p>
    <w:p w14:paraId="1FDE2395" w14:textId="77777777" w:rsidR="009E195A" w:rsidRDefault="00D3374E">
      <w:pPr>
        <w:spacing w:line="240" w:lineRule="auto"/>
        <w:rPr>
          <w:rFonts w:asciiTheme="minorHAnsi" w:hAnsiTheme="minorHAnsi" w:cstheme="minorHAnsi"/>
        </w:rPr>
      </w:pPr>
      <w:r>
        <w:rPr>
          <w:rFonts w:asciiTheme="minorHAnsi" w:hAnsiTheme="minorHAnsi" w:cstheme="minorHAnsi"/>
          <w:noProof/>
        </w:rPr>
        <mc:AlternateContent>
          <mc:Choice Requires="wps">
            <w:drawing>
              <wp:anchor distT="45720" distB="45720" distL="114300" distR="114300" simplePos="0" relativeHeight="251657728" behindDoc="0" locked="0" layoutInCell="1" allowOverlap="1" wp14:anchorId="4B65A978" wp14:editId="16232F59">
                <wp:simplePos x="0" y="0"/>
                <wp:positionH relativeFrom="column">
                  <wp:posOffset>47625</wp:posOffset>
                </wp:positionH>
                <wp:positionV relativeFrom="paragraph">
                  <wp:posOffset>457200</wp:posOffset>
                </wp:positionV>
                <wp:extent cx="5924550" cy="70580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058025"/>
                        </a:xfrm>
                        <a:prstGeom prst="rect">
                          <a:avLst/>
                        </a:prstGeom>
                        <a:solidFill>
                          <a:srgbClr val="FFFFFF"/>
                        </a:solidFill>
                        <a:ln w="9525">
                          <a:solidFill>
                            <a:srgbClr val="000000"/>
                          </a:solidFill>
                          <a:miter lim="800000"/>
                          <a:headEnd/>
                          <a:tailEnd/>
                        </a:ln>
                      </wps:spPr>
                      <wps:txbx>
                        <w:txbxContent>
                          <w:p w14:paraId="26233E11" w14:textId="77777777" w:rsidR="002A294E" w:rsidRDefault="002A294E">
                            <w:pPr>
                              <w:pStyle w:val="ListParagraph"/>
                              <w:numPr>
                                <w:ilvl w:val="0"/>
                                <w:numId w:val="7"/>
                              </w:numPr>
                              <w:contextualSpacing/>
                            </w:pPr>
                            <w:r>
                              <w:rPr>
                                <w:b/>
                              </w:rPr>
                              <w:t>Goal of the study</w:t>
                            </w:r>
                            <w:r>
                              <w:t xml:space="preserve">: The goal of the Sudden Death in the Young (SDY) Case Registry is to improve and standardize case ascertainment so that funded jurisdictions can better their understanding of the incidence and risk factors for sudden death in youth. </w:t>
                            </w:r>
                          </w:p>
                          <w:p w14:paraId="3110D011" w14:textId="77777777" w:rsidR="002A294E" w:rsidRDefault="002A294E">
                            <w:pPr>
                              <w:pStyle w:val="ListParagraph"/>
                              <w:numPr>
                                <w:ilvl w:val="0"/>
                                <w:numId w:val="7"/>
                              </w:numPr>
                              <w:contextualSpacing/>
                            </w:pPr>
                            <w:r>
                              <w:rPr>
                                <w:b/>
                              </w:rPr>
                              <w:t>Intended use of the resulting data</w:t>
                            </w:r>
                            <w:r>
                              <w:t xml:space="preserve">: Data will be used to inform the descriptive epidemiology of SDY, including the incidence, and risk factors. These data will be used to inform prevention strategies as well as development of best practices for national surveillance of SDY. </w:t>
                            </w:r>
                          </w:p>
                          <w:p w14:paraId="6D0AF75C" w14:textId="77777777" w:rsidR="002A294E" w:rsidRDefault="002A294E">
                            <w:pPr>
                              <w:pStyle w:val="ListParagraph"/>
                              <w:numPr>
                                <w:ilvl w:val="0"/>
                                <w:numId w:val="7"/>
                              </w:numPr>
                              <w:contextualSpacing/>
                            </w:pPr>
                            <w:r>
                              <w:rPr>
                                <w:b/>
                              </w:rPr>
                              <w:t>Methods:</w:t>
                            </w:r>
                            <w:r>
                              <w:t xml:space="preserve"> Information collection and reporting builds on existing state-based procedures for Child Death Review (CDR). Through their existing CDR programs, for an estimated 739 cases, awardees will compile data on a defined set of SDY questions and enter them into the existing SDY module that is part of the existing National Fatality Review-Case Reporting System (NFR-CRS) run through the Michigan Public Health Institute’s (MPHI) National Center for Fatality Review and Prevention (NCFRP) program. Data will be abstracted from primary data sources, including medical examiner/coroner reports, death investigation reports, medical records, and child protective services records. For approximately 370 of these cases, awardee jurisdictions will also convene an advanced review team with relevant clinical expertise, including state health personnel, pediatric cardiologists, pediatric neurologists or epileptologists, and forensic pathologists. The advanced review team will comprehensively review information from multiple data sources, discuss the information and use the information to classify cases according to a standardized algorithm that differentiates causes. Additional information from these advanced case reviews will be entered into the SDY module. Data is shared with CDC which uses the data to provide technical assistance to improve completeness (including missing and unknown responses) and timeliness of completed cases.</w:t>
                            </w:r>
                          </w:p>
                          <w:p w14:paraId="58C086CC" w14:textId="77777777" w:rsidR="002A294E" w:rsidRDefault="002A294E">
                            <w:pPr>
                              <w:pStyle w:val="ListParagraph"/>
                              <w:numPr>
                                <w:ilvl w:val="0"/>
                                <w:numId w:val="7"/>
                              </w:numPr>
                              <w:contextualSpacing/>
                            </w:pPr>
                            <w:r>
                              <w:rPr>
                                <w:b/>
                                <w:bCs/>
                              </w:rPr>
                              <w:t>Subpopulation to be studied:</w:t>
                            </w:r>
                            <w:r>
                              <w:t xml:space="preserve"> Youth (0-19 years old) in awardee jurisdictions who died suddenly and unexpectedly, and whose death was not explained by a homicide, suicide, drug overdose, terminal illness, or an external cause that was the only and obvious reason for the fatal injury (.e.g., driver in a single-motor vehicle crash). </w:t>
                            </w:r>
                          </w:p>
                          <w:p w14:paraId="6D001C0B" w14:textId="77777777" w:rsidR="002A294E" w:rsidRDefault="002A294E">
                            <w:pPr>
                              <w:pStyle w:val="ListParagraph"/>
                              <w:numPr>
                                <w:ilvl w:val="0"/>
                                <w:numId w:val="7"/>
                              </w:numPr>
                              <w:contextualSpacing/>
                            </w:pPr>
                            <w:r>
                              <w:rPr>
                                <w:b/>
                              </w:rPr>
                              <w:t>How data will be analyzed:</w:t>
                            </w:r>
                            <w:r>
                              <w:t xml:space="preserve"> CDC will analyze aggregated data and assess the completeness (including missing and unknown responses), timeliness, and case ascertainment of the data set. CDC will share findings and will work with SDY awardees to provide technical assistance to improve the data over time.  Data analyses beyond quality improvement analyses conducted by CDC are determined by the awardees. Awardees will use their data to develop targeted prevention strategies to reduce the number of infant and childhood deaths. </w:t>
                            </w:r>
                          </w:p>
                          <w:p w14:paraId="3840CD54" w14:textId="77777777" w:rsidR="002A294E" w:rsidRDefault="002A294E">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36pt;width:466.5pt;height:555.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">
                <v:textbox>
                  <w:txbxContent>
                    <w:p w14:paraId="26233E11" w14:textId="77777777" w:rsidR="002A294E" w:rsidRDefault="002A294E">
                      <w:pPr>
                        <w:pStyle w:val="ListParagraph"/>
                        <w:numPr>
                          <w:ilvl w:val="0"/>
                          <w:numId w:val="7"/>
                        </w:numPr>
                        <w:contextualSpacing/>
                      </w:pPr>
                      <w:r>
                        <w:rPr>
                          <w:b/>
                        </w:rPr>
                        <w:t>Goal of the study</w:t>
                      </w:r>
                      <w:r>
                        <w:t xml:space="preserve">: The goal of the Sudden Death in the Young (SDY) Case Registry is to improve and standardize case ascertainment so that funded jurisdictions can better their understanding of the incidence and risk factors for sudden death in youth. </w:t>
                      </w:r>
                    </w:p>
                    <w:p w14:paraId="3110D011" w14:textId="77777777" w:rsidR="002A294E" w:rsidRDefault="002A294E">
                      <w:pPr>
                        <w:pStyle w:val="ListParagraph"/>
                        <w:numPr>
                          <w:ilvl w:val="0"/>
                          <w:numId w:val="7"/>
                        </w:numPr>
                        <w:contextualSpacing/>
                      </w:pPr>
                      <w:r>
                        <w:rPr>
                          <w:b/>
                        </w:rPr>
                        <w:t>Intended use of the resulting data</w:t>
                      </w:r>
                      <w:r>
                        <w:t xml:space="preserve">: Data will be used to inform the descriptive epidemiology of SDY, including the incidence, and risk factors. These data will be used to inform prevention strategies as well as development of best practices for national surveillance of SDY. </w:t>
                      </w:r>
                    </w:p>
                    <w:p w14:paraId="6D0AF75C" w14:textId="77777777" w:rsidR="002A294E" w:rsidRDefault="002A294E">
                      <w:pPr>
                        <w:pStyle w:val="ListParagraph"/>
                        <w:numPr>
                          <w:ilvl w:val="0"/>
                          <w:numId w:val="7"/>
                        </w:numPr>
                        <w:contextualSpacing/>
                      </w:pPr>
                      <w:r>
                        <w:rPr>
                          <w:b/>
                        </w:rPr>
                        <w:t>Methods:</w:t>
                      </w:r>
                      <w:r>
                        <w:t xml:space="preserve"> Information collection and reporting builds on existing state-based procedures for Child Death Review (CDR). Through their existing CDR programs, for an estimated 739 cases, awardees will compile data on a defined set of SDY questions and enter them into the existing SDY module that is part of the existing National Fatality Review-Case Reporting System (NFR-CRS) run through the Michigan Public Health Institute’s (MPHI) National Center for Fatality Review and Prevention (NCFRP) program. Data will be abstracted from primary data sources, including medical examiner/coroner reports, death investigation reports, medical records, and child protective services records. For approximately 370 of these cases, awardee jurisdictions will also convene an advanced review team with relevant clinical expertise, including state health personnel, pediatric cardiologists, pediatric neurologists or epileptologists, and forensic pathologists. The advanced review team will comprehensively review information from multiple data sources, discuss the information and use the information to classify cases according to a standardized algorithm that differentiates causes. Additional information from these advanced case reviews will be entered into the SDY module. Data is shared with CDC which uses the data to provide technical assistance to improve completeness (including missing and unknown responses) and timeliness of completed cases.</w:t>
                      </w:r>
                    </w:p>
                    <w:p w14:paraId="58C086CC" w14:textId="77777777" w:rsidR="002A294E" w:rsidRDefault="002A294E">
                      <w:pPr>
                        <w:pStyle w:val="ListParagraph"/>
                        <w:numPr>
                          <w:ilvl w:val="0"/>
                          <w:numId w:val="7"/>
                        </w:numPr>
                        <w:contextualSpacing/>
                      </w:pPr>
                      <w:r>
                        <w:rPr>
                          <w:b/>
                          <w:bCs/>
                        </w:rPr>
                        <w:t>Subpopulation to be studied:</w:t>
                      </w:r>
                      <w:r>
                        <w:t xml:space="preserve"> Youth (0-19 years old) in awardee jurisdictions who died suddenly and unexpectedly, and whose death was not explained by a homicide, suicide, drug overdose, terminal illness, or an external cause that was the only and obvious reason for the fatal injury (.e.g., driver in a single-motor vehicle crash). </w:t>
                      </w:r>
                    </w:p>
                    <w:p w14:paraId="6D001C0B" w14:textId="77777777" w:rsidR="002A294E" w:rsidRDefault="002A294E">
                      <w:pPr>
                        <w:pStyle w:val="ListParagraph"/>
                        <w:numPr>
                          <w:ilvl w:val="0"/>
                          <w:numId w:val="7"/>
                        </w:numPr>
                        <w:contextualSpacing/>
                      </w:pPr>
                      <w:r>
                        <w:rPr>
                          <w:b/>
                        </w:rPr>
                        <w:t>How data will be analyzed:</w:t>
                      </w:r>
                      <w:r>
                        <w:t xml:space="preserve"> CDC will analyze aggregated data and assess the completeness (including missing and unknown responses), timeliness, and case ascertainment of the data set. CDC will share findings and will work with SDY awardees to provide technical assistance to improve the data over time.  Data analyses beyond quality improvement analyses conducted by CDC are determined by the awardees. Awardees will use their data to develop targeted prevention strategies to reduce the number of infant and childhood deaths. </w:t>
                      </w:r>
                    </w:p>
                    <w:p w14:paraId="3840CD54" w14:textId="77777777" w:rsidR="002A294E" w:rsidRDefault="002A294E">
                      <w:pPr>
                        <w:contextualSpacing/>
                      </w:pPr>
                    </w:p>
                  </w:txbxContent>
                </v:textbox>
                <w10:wrap type="square"/>
              </v:shape>
            </w:pict>
          </mc:Fallback>
        </mc:AlternateContent>
      </w:r>
    </w:p>
    <w:p w14:paraId="2807D17D" w14:textId="77777777" w:rsidR="009E195A" w:rsidRDefault="00D3374E">
      <w:pPr>
        <w:tabs>
          <w:tab w:val="left" w:pos="630"/>
        </w:tabs>
        <w:spacing w:line="240" w:lineRule="auto"/>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br w:type="page"/>
      </w:r>
    </w:p>
    <w:p w14:paraId="4EFC7164" w14:textId="77777777" w:rsidR="009E195A" w:rsidRDefault="00D3374E">
      <w:pPr>
        <w:tabs>
          <w:tab w:val="left" w:pos="630"/>
        </w:tabs>
        <w:spacing w:line="240" w:lineRule="auto"/>
        <w:jc w:val="center"/>
        <w:rPr>
          <w:rFonts w:asciiTheme="minorHAnsi" w:hAnsiTheme="minorHAnsi" w:cstheme="minorHAnsi"/>
          <w:b/>
        </w:rPr>
      </w:pPr>
      <w:r>
        <w:rPr>
          <w:rFonts w:asciiTheme="minorHAnsi" w:hAnsiTheme="minorHAnsi" w:cstheme="minorHAnsi"/>
          <w:b/>
        </w:rPr>
        <w:t>Supporting Statement A</w:t>
      </w:r>
    </w:p>
    <w:p w14:paraId="4596E005" w14:textId="77777777" w:rsidR="009E195A" w:rsidRDefault="00D3374E">
      <w:pPr>
        <w:tabs>
          <w:tab w:val="right" w:leader="dot" w:pos="9360"/>
        </w:tabs>
        <w:spacing w:before="120"/>
        <w:ind w:left="540" w:hanging="540"/>
        <w:outlineLvl w:val="0"/>
        <w:rPr>
          <w:rFonts w:asciiTheme="minorHAnsi" w:hAnsiTheme="minorHAnsi" w:cstheme="minorHAnsi"/>
          <w:b/>
        </w:rPr>
      </w:pPr>
      <w:bookmarkStart w:id="1" w:name="_Toc519845183"/>
      <w:bookmarkStart w:id="2" w:name="_Toc519847082"/>
      <w:r>
        <w:rPr>
          <w:rFonts w:asciiTheme="minorHAnsi" w:hAnsiTheme="minorHAnsi" w:cstheme="minorHAnsi"/>
          <w:b/>
        </w:rPr>
        <w:t>Justification</w:t>
      </w:r>
      <w:bookmarkEnd w:id="1"/>
      <w:bookmarkEnd w:id="2"/>
    </w:p>
    <w:p w14:paraId="481CFFB9" w14:textId="77777777" w:rsidR="009E195A" w:rsidRDefault="00D3374E">
      <w:pPr>
        <w:pStyle w:val="Heading1"/>
        <w:rPr>
          <w:rFonts w:asciiTheme="minorHAnsi" w:hAnsiTheme="minorHAnsi" w:cstheme="minorHAnsi"/>
          <w:b/>
          <w:sz w:val="22"/>
          <w:szCs w:val="22"/>
        </w:rPr>
      </w:pPr>
      <w:bookmarkStart w:id="3" w:name="_Toc519845184"/>
      <w:bookmarkStart w:id="4" w:name="_Toc519847083"/>
      <w:r>
        <w:rPr>
          <w:rFonts w:asciiTheme="minorHAnsi" w:hAnsiTheme="minorHAnsi" w:cstheme="minorHAnsi"/>
          <w:b/>
          <w:sz w:val="22"/>
          <w:szCs w:val="22"/>
        </w:rPr>
        <w:t>1. Circumstances Making the Collection of Information Necessary</w:t>
      </w:r>
      <w:bookmarkEnd w:id="3"/>
      <w:bookmarkEnd w:id="4"/>
    </w:p>
    <w:p w14:paraId="1B8B493B" w14:textId="26E72C99" w:rsidR="009E195A" w:rsidRDefault="00D3374E">
      <w:pPr>
        <w:tabs>
          <w:tab w:val="left" w:pos="630"/>
        </w:tabs>
        <w:spacing w:line="240" w:lineRule="auto"/>
        <w:rPr>
          <w:rFonts w:asciiTheme="minorHAnsi" w:hAnsiTheme="minorHAnsi" w:cstheme="minorHAnsi"/>
          <w:lang w:val="en"/>
        </w:rPr>
      </w:pPr>
      <w:r>
        <w:rPr>
          <w:rFonts w:asciiTheme="minorHAnsi" w:hAnsiTheme="minorHAnsi" w:cstheme="minorHAnsi"/>
        </w:rPr>
        <w:t xml:space="preserve">This Information Collection Request (ICR) is for </w:t>
      </w:r>
      <w:r w:rsidR="00246D84">
        <w:rPr>
          <w:rFonts w:asciiTheme="minorHAnsi" w:hAnsiTheme="minorHAnsi" w:cstheme="minorHAnsi"/>
        </w:rPr>
        <w:t>a reinstatement</w:t>
      </w:r>
      <w:r w:rsidR="001303FA">
        <w:rPr>
          <w:rFonts w:asciiTheme="minorHAnsi" w:hAnsiTheme="minorHAnsi" w:cstheme="minorHAnsi"/>
        </w:rPr>
        <w:t xml:space="preserve"> with changes</w:t>
      </w:r>
      <w:r w:rsidR="00246D84">
        <w:rPr>
          <w:rFonts w:asciiTheme="minorHAnsi" w:hAnsiTheme="minorHAnsi" w:cstheme="minorHAnsi"/>
        </w:rPr>
        <w:t xml:space="preserve"> of a</w:t>
      </w:r>
      <w:r>
        <w:rPr>
          <w:rFonts w:asciiTheme="minorHAnsi" w:hAnsiTheme="minorHAnsi" w:cstheme="minorHAnsi"/>
        </w:rPr>
        <w:t xml:space="preserve"> previous ICR (</w:t>
      </w:r>
      <w:r>
        <w:rPr>
          <w:rFonts w:asciiTheme="minorHAnsi" w:hAnsiTheme="minorHAnsi" w:cstheme="minorHAnsi"/>
          <w:b/>
        </w:rPr>
        <w:t>OMB #0920-1092, Expiration 12/31/2018</w:t>
      </w:r>
      <w:r>
        <w:rPr>
          <w:rFonts w:asciiTheme="minorHAnsi" w:hAnsiTheme="minorHAnsi" w:cstheme="minorHAnsi"/>
        </w:rPr>
        <w:t xml:space="preserve">). Authorization for this information collection comes from </w:t>
      </w:r>
      <w:r>
        <w:rPr>
          <w:rFonts w:asciiTheme="minorHAnsi" w:hAnsiTheme="minorHAnsi" w:cstheme="minorHAnsi"/>
          <w:lang w:val="en"/>
        </w:rPr>
        <w:t>the Public Health Service Act, as amended, Section 301(a) and Section 317K, 42 USC 241(a), 42 USC 247b-12 (</w:t>
      </w:r>
      <w:r>
        <w:rPr>
          <w:rFonts w:asciiTheme="minorHAnsi" w:hAnsiTheme="minorHAnsi" w:cstheme="minorHAnsi"/>
          <w:b/>
          <w:lang w:val="en"/>
        </w:rPr>
        <w:t>Attachment 1a</w:t>
      </w:r>
      <w:r>
        <w:rPr>
          <w:rFonts w:asciiTheme="minorHAnsi" w:hAnsiTheme="minorHAnsi" w:cstheme="minorHAnsi"/>
          <w:lang w:val="en"/>
        </w:rPr>
        <w:t xml:space="preserve">). In addition, this request fulfills the Centers for Disease Control and Prevention’s (CDC) obligation to the Sudden Unexpected Death Data Enhancement and Awareness Act, </w:t>
      </w:r>
      <w:r>
        <w:rPr>
          <w:rFonts w:asciiTheme="minorHAnsi" w:hAnsiTheme="minorHAnsi" w:cstheme="minorHAnsi"/>
          <w:bCs/>
          <w:lang w:val="en"/>
        </w:rPr>
        <w:t>Public Law Number 113-236 (</w:t>
      </w:r>
      <w:r>
        <w:rPr>
          <w:rFonts w:asciiTheme="minorHAnsi" w:hAnsiTheme="minorHAnsi" w:cstheme="minorHAnsi"/>
          <w:lang w:val="en"/>
        </w:rPr>
        <w:t>enacted into law on December 18, 2014) (</w:t>
      </w:r>
      <w:r>
        <w:rPr>
          <w:rFonts w:asciiTheme="minorHAnsi" w:hAnsiTheme="minorHAnsi" w:cstheme="minorHAnsi"/>
          <w:b/>
          <w:lang w:val="en"/>
        </w:rPr>
        <w:t>Attachment 1b</w:t>
      </w:r>
      <w:r>
        <w:rPr>
          <w:rFonts w:asciiTheme="minorHAnsi" w:hAnsiTheme="minorHAnsi" w:cstheme="minorHAnsi"/>
          <w:lang w:val="en"/>
        </w:rPr>
        <w:t xml:space="preserve">). This Bill directs CDC and the National Institutes of Health (NIH) to carry out surveillance activities related to sudden death in children less than 19 years of age. </w:t>
      </w:r>
    </w:p>
    <w:p w14:paraId="49851AEC" w14:textId="10D73CA4" w:rsidR="009E195A" w:rsidRDefault="00D3374E">
      <w:pPr>
        <w:tabs>
          <w:tab w:val="left" w:pos="630"/>
        </w:tabs>
        <w:spacing w:line="240" w:lineRule="auto"/>
        <w:rPr>
          <w:rFonts w:asciiTheme="minorHAnsi" w:hAnsiTheme="minorHAnsi" w:cstheme="minorHAnsi"/>
        </w:rPr>
      </w:pPr>
      <w:r>
        <w:rPr>
          <w:rFonts w:asciiTheme="minorHAnsi" w:hAnsiTheme="minorHAnsi" w:cstheme="minorHAnsi"/>
        </w:rPr>
        <w:t xml:space="preserve">CDC seeks OMB approval for a 3 </w:t>
      </w:r>
      <w:r w:rsidR="00246D84">
        <w:rPr>
          <w:rFonts w:asciiTheme="minorHAnsi" w:hAnsiTheme="minorHAnsi" w:cstheme="minorHAnsi"/>
        </w:rPr>
        <w:t>years for</w:t>
      </w:r>
      <w:r>
        <w:rPr>
          <w:rFonts w:asciiTheme="minorHAnsi" w:hAnsiTheme="minorHAnsi" w:cstheme="minorHAnsi"/>
        </w:rPr>
        <w:t xml:space="preserve"> a federally-sponsored information collection designed to improve the understanding of Sudden Death in Young (SDY) by standardizing and enhancing the data collected through state-based child death reviews (CDR) programs. </w:t>
      </w:r>
      <w:r>
        <w:t xml:space="preserve"> </w:t>
      </w:r>
      <w:r>
        <w:rPr>
          <w:rFonts w:asciiTheme="minorHAnsi" w:hAnsiTheme="minorHAnsi" w:cstheme="minorHAnsi"/>
        </w:rPr>
        <w:t xml:space="preserve">CDC is not proposing any changes to any of the </w:t>
      </w:r>
      <w:r w:rsidR="00246D84">
        <w:rPr>
          <w:rFonts w:asciiTheme="minorHAnsi" w:hAnsiTheme="minorHAnsi" w:cstheme="minorHAnsi"/>
        </w:rPr>
        <w:t xml:space="preserve">previously approved </w:t>
      </w:r>
      <w:r>
        <w:rPr>
          <w:rFonts w:asciiTheme="minorHAnsi" w:hAnsiTheme="minorHAnsi" w:cstheme="minorHAnsi"/>
        </w:rPr>
        <w:t xml:space="preserve">SDY </w:t>
      </w:r>
      <w:r w:rsidR="00D57289">
        <w:rPr>
          <w:rFonts w:asciiTheme="minorHAnsi" w:hAnsiTheme="minorHAnsi" w:cstheme="minorHAnsi"/>
        </w:rPr>
        <w:t>data collection modules</w:t>
      </w:r>
      <w:r w:rsidR="00716177">
        <w:rPr>
          <w:rFonts w:asciiTheme="minorHAnsi" w:hAnsiTheme="minorHAnsi" w:cstheme="minorHAnsi"/>
        </w:rPr>
        <w:t xml:space="preserve"> or the advanced review process, however, d</w:t>
      </w:r>
      <w:r w:rsidR="00D57289">
        <w:rPr>
          <w:rFonts w:asciiTheme="minorHAnsi" w:hAnsiTheme="minorHAnsi" w:cstheme="minorHAnsi"/>
        </w:rPr>
        <w:t xml:space="preserve">ue to previous experience with the system, burden hours on respondents are reduced.   </w:t>
      </w:r>
    </w:p>
    <w:p w14:paraId="1266BC4F" w14:textId="77777777" w:rsidR="009E195A" w:rsidRDefault="00D3374E">
      <w:pPr>
        <w:tabs>
          <w:tab w:val="left" w:pos="630"/>
        </w:tabs>
        <w:spacing w:line="240" w:lineRule="auto"/>
        <w:rPr>
          <w:rFonts w:asciiTheme="minorHAnsi" w:hAnsiTheme="minorHAnsi" w:cstheme="minorHAnsi"/>
        </w:rPr>
      </w:pPr>
      <w:r>
        <w:rPr>
          <w:rFonts w:asciiTheme="minorHAnsi" w:hAnsiTheme="minorHAnsi" w:cstheme="minorHAnsi"/>
        </w:rPr>
        <w:t xml:space="preserve">Establishing reliable estimates of incidence of SDY is a critical step in prevention efforts. SDY is defined as any sudden and unexpected death of an infant, child, or young adult, investigated by a medical examiner or coroner, not explained by homicides, suicides, overdoses, poisonings, other obvious external injury deaths, or terminal illnesses. Some injury deaths where there may have been an inciting natural cause (e.g., drowning or death of the driver in a motor vehicle accident, which may have been triggered by an underlying cardiac or neurological condition) are also included in the definition. </w:t>
      </w:r>
    </w:p>
    <w:p w14:paraId="0A52DDBF" w14:textId="6A3891ED" w:rsidR="009E195A" w:rsidRDefault="00D3374E">
      <w:pPr>
        <w:tabs>
          <w:tab w:val="left" w:pos="630"/>
        </w:tabs>
        <w:spacing w:line="240" w:lineRule="auto"/>
        <w:rPr>
          <w:rFonts w:asciiTheme="minorHAnsi" w:hAnsiTheme="minorHAnsi" w:cstheme="minorHAnsi"/>
          <w:lang w:val="en"/>
        </w:rPr>
      </w:pPr>
      <w:r>
        <w:rPr>
          <w:rFonts w:asciiTheme="minorHAnsi" w:hAnsiTheme="minorHAnsi" w:cstheme="minorHAnsi"/>
        </w:rPr>
        <w:t xml:space="preserve">Estimates of the annual incidence of SDY vary broadly due to differences in definitions, inconsistencies in classifying cause of death on death certificates, study populations, and case ascertainment. </w:t>
      </w:r>
      <w:r>
        <w:rPr>
          <w:rFonts w:asciiTheme="minorHAnsi" w:hAnsiTheme="minorHAnsi" w:cstheme="minorHAnsi"/>
          <w:lang w:val="en"/>
        </w:rPr>
        <w:t>To address the need for improved estimates of SDY incidence and its epidemiology based on uniform cases definitions</w:t>
      </w:r>
      <w:r>
        <w:rPr>
          <w:rFonts w:asciiTheme="minorHAnsi" w:hAnsiTheme="minorHAnsi" w:cstheme="minorHAnsi"/>
        </w:rPr>
        <w:t>, CDC, in collaboration with NIH’s National Heart, Lung, and Blood Institute (NHLBI) and National Institute of Neurological Disorders and Stroke (NINDS), implemented the SDY Case Registry with 10 awardees through cooperative agreements from 2015-2018</w:t>
      </w:r>
      <w:r>
        <w:rPr>
          <w:rFonts w:asciiTheme="minorHAnsi" w:hAnsiTheme="minorHAnsi" w:cstheme="minorHAnsi"/>
          <w:lang w:val="en"/>
        </w:rPr>
        <w:t xml:space="preserve">. </w:t>
      </w:r>
      <w:r>
        <w:rPr>
          <w:rFonts w:asciiTheme="minorHAnsi" w:hAnsiTheme="minorHAnsi" w:cstheme="minorHAnsi"/>
        </w:rPr>
        <w:t>To meet the ongoing need to</w:t>
      </w:r>
      <w:r>
        <w:rPr>
          <w:rFonts w:asciiTheme="minorHAnsi" w:hAnsiTheme="minorHAnsi" w:cstheme="minorHAnsi"/>
          <w:lang w:val="en"/>
        </w:rPr>
        <w:t xml:space="preserve"> produce accurate and uniform information,</w:t>
      </w:r>
      <w:r>
        <w:rPr>
          <w:rFonts w:asciiTheme="minorHAnsi" w:hAnsiTheme="minorHAnsi" w:cstheme="minorHAnsi"/>
        </w:rPr>
        <w:t xml:space="preserve"> CDC and NIH plan to continue the SDY Case Registry with 14 awardees through a CDC-based cooperative agreement program (DP18-1806)</w:t>
      </w:r>
      <w:r>
        <w:rPr>
          <w:rFonts w:asciiTheme="minorHAnsi" w:hAnsiTheme="minorHAnsi" w:cstheme="minorHAnsi"/>
          <w:lang w:val="en"/>
        </w:rPr>
        <w:t xml:space="preserve">. The information gathered will continue to inform the implementation of optimal diagnostic, treatment, and public health prevention approaches for reducing the incidence of SDY. </w:t>
      </w:r>
      <w:r>
        <w:rPr>
          <w:rFonts w:asciiTheme="minorHAnsi" w:hAnsiTheme="minorHAnsi" w:cstheme="minorHAnsi"/>
          <w:szCs w:val="24"/>
        </w:rPr>
        <w:t>The SDY Case Registry also creates NIH infrastructure for future research about previously unknown or unrecognized risk factors for, or causes of, these deaths</w:t>
      </w:r>
      <w:r w:rsidR="00FE34DB">
        <w:rPr>
          <w:rStyle w:val="FootnoteReference"/>
          <w:rFonts w:asciiTheme="minorHAnsi" w:hAnsiTheme="minorHAnsi" w:cstheme="minorHAnsi"/>
          <w:szCs w:val="24"/>
        </w:rPr>
        <w:footnoteReference w:id="2"/>
      </w:r>
      <w:r>
        <w:rPr>
          <w:rFonts w:asciiTheme="minorHAnsi" w:hAnsiTheme="minorHAnsi" w:cstheme="minorHAnsi"/>
          <w:szCs w:val="24"/>
        </w:rPr>
        <w:t>.</w:t>
      </w:r>
    </w:p>
    <w:p w14:paraId="2811A0F6" w14:textId="77777777" w:rsidR="009E195A" w:rsidRDefault="00D3374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Cs w:val="24"/>
          <w:lang w:val="en"/>
        </w:rPr>
      </w:pPr>
      <w:r>
        <w:rPr>
          <w:rFonts w:asciiTheme="minorHAnsi" w:hAnsiTheme="minorHAnsi" w:cstheme="minorHAnsi"/>
          <w:szCs w:val="24"/>
        </w:rPr>
        <w:t xml:space="preserve">The SDY Case Registry builds on ongoing collaborations involving state-based CDR teams, CDC, NIH, the Health Resources and Services Administration (HRSA) and the National Center for Fatality Review and Prevention (NCFRP) at the Michigan Public Health Institute (MPHI). The NCFRP supports a web-based National Fatality Review Case Reporting System (NFR-CRS) that states can use on a voluntary basis to manage their state-specific CDR data. Due to variability in case definitions and reporting procedures, the system does not produce national estimates, but serves as a vital repository of information to facilitate state-based surveillance and public health activities. </w:t>
      </w:r>
    </w:p>
    <w:p w14:paraId="4758B62A" w14:textId="77777777" w:rsidR="009E195A" w:rsidRDefault="00D3374E">
      <w:pPr>
        <w:tabs>
          <w:tab w:val="left" w:pos="630"/>
        </w:tabs>
        <w:spacing w:line="240" w:lineRule="auto"/>
        <w:rPr>
          <w:rFonts w:asciiTheme="minorHAnsi" w:hAnsiTheme="minorHAnsi" w:cstheme="minorHAnsi"/>
        </w:rPr>
      </w:pPr>
      <w:r>
        <w:rPr>
          <w:rFonts w:asciiTheme="minorHAnsi" w:hAnsiTheme="minorHAnsi" w:cstheme="minorHAnsi"/>
        </w:rPr>
        <w:t xml:space="preserve">Key activities for each state/jurisdiction participating in the SDY Case Registry include: </w:t>
      </w:r>
    </w:p>
    <w:p w14:paraId="315136F6" w14:textId="0445A9F1" w:rsidR="009E195A" w:rsidRDefault="00D3374E">
      <w:pPr>
        <w:numPr>
          <w:ilvl w:val="0"/>
          <w:numId w:val="9"/>
        </w:numPr>
        <w:tabs>
          <w:tab w:val="left" w:pos="630"/>
        </w:tabs>
        <w:spacing w:line="240" w:lineRule="auto"/>
        <w:rPr>
          <w:rFonts w:asciiTheme="minorHAnsi" w:hAnsiTheme="minorHAnsi" w:cstheme="minorHAnsi"/>
        </w:rPr>
      </w:pPr>
      <w:r>
        <w:rPr>
          <w:rFonts w:asciiTheme="minorHAnsi" w:hAnsiTheme="minorHAnsi" w:cstheme="minorHAnsi"/>
        </w:rPr>
        <w:t xml:space="preserve">As part of existing CDR process, awardees will follow procedures defined by the NCFRP to identify, review, and enter information pertaining to all infant and childhood deaths up to the age mandated by state law or protocol (often 18 years of age, but may be up to 20 in some jurisdictions). Information is entered into web-based NFR-CRS including Section I </w:t>
      </w:r>
      <w:r w:rsidRPr="005D7B4A">
        <w:rPr>
          <w:rFonts w:asciiTheme="minorHAnsi" w:hAnsiTheme="minorHAnsi" w:cstheme="minorHAnsi"/>
        </w:rPr>
        <w:t>(</w:t>
      </w:r>
      <w:r w:rsidR="005D7B4A">
        <w:rPr>
          <w:rFonts w:asciiTheme="minorHAnsi" w:hAnsiTheme="minorHAnsi" w:cstheme="minorHAnsi"/>
          <w:b/>
        </w:rPr>
        <w:t>A</w:t>
      </w:r>
      <w:r w:rsidRPr="00DC00BC">
        <w:rPr>
          <w:rFonts w:asciiTheme="minorHAnsi" w:hAnsiTheme="minorHAnsi" w:cstheme="minorHAnsi"/>
          <w:b/>
        </w:rPr>
        <w:t>ttachment 7a</w:t>
      </w:r>
      <w:r w:rsidRPr="005D7B4A">
        <w:rPr>
          <w:rFonts w:asciiTheme="minorHAnsi" w:hAnsiTheme="minorHAnsi" w:cstheme="minorHAnsi"/>
        </w:rPr>
        <w:t>)</w:t>
      </w:r>
      <w:r>
        <w:rPr>
          <w:rFonts w:asciiTheme="minorHAnsi" w:hAnsiTheme="minorHAnsi" w:cstheme="minorHAnsi"/>
        </w:rPr>
        <w:t xml:space="preserve"> of the SDY module SDY Case Registry awardees are required to complete. All information entered has been compiled from primary data sources already used by CDR teams (e.g., medical records, death investigation and autopsy reports, health and social services records).</w:t>
      </w:r>
    </w:p>
    <w:p w14:paraId="13B63CB5" w14:textId="77777777" w:rsidR="009E195A" w:rsidRDefault="00D3374E">
      <w:pPr>
        <w:numPr>
          <w:ilvl w:val="0"/>
          <w:numId w:val="9"/>
        </w:numPr>
        <w:tabs>
          <w:tab w:val="left" w:pos="630"/>
        </w:tabs>
        <w:spacing w:line="240" w:lineRule="auto"/>
        <w:rPr>
          <w:rFonts w:asciiTheme="minorHAnsi" w:hAnsiTheme="minorHAnsi" w:cstheme="minorHAnsi"/>
        </w:rPr>
      </w:pPr>
      <w:r>
        <w:rPr>
          <w:rFonts w:asciiTheme="minorHAnsi" w:hAnsiTheme="minorHAnsi" w:cstheme="minorHAnsi"/>
        </w:rPr>
        <w:t>After initial CDR review, awardees, will apply common CDC protocols and the SDY case definition. Only cases that meet this definition will be sent for advanced review. Based on our knowledge from the previous funding cycle approximately, 50% of all SDY cases initially entered in SDY module will continue on to advanced review.</w:t>
      </w:r>
    </w:p>
    <w:p w14:paraId="5143AE37" w14:textId="77777777" w:rsidR="009E195A" w:rsidRDefault="00D3374E">
      <w:pPr>
        <w:numPr>
          <w:ilvl w:val="0"/>
          <w:numId w:val="9"/>
        </w:numPr>
        <w:tabs>
          <w:tab w:val="left" w:pos="630"/>
        </w:tabs>
        <w:spacing w:line="240" w:lineRule="auto"/>
        <w:rPr>
          <w:rFonts w:asciiTheme="minorHAnsi" w:hAnsiTheme="minorHAnsi" w:cstheme="minorHAnsi"/>
        </w:rPr>
      </w:pPr>
      <w:r>
        <w:rPr>
          <w:rFonts w:asciiTheme="minorHAnsi" w:hAnsiTheme="minorHAnsi" w:cstheme="minorHAnsi"/>
        </w:rPr>
        <w:t xml:space="preserve">Next, awardees will conduct an advanced review for SDY cases identified in step 2. The advanced review includes </w:t>
      </w:r>
      <w:r>
        <w:rPr>
          <w:rFonts w:asciiTheme="minorHAnsi" w:hAnsiTheme="minorHAnsi" w:cstheme="minorHAnsi"/>
          <w:szCs w:val="24"/>
        </w:rPr>
        <w:t xml:space="preserve">convening clinicians with varying expertise (pediatric cardiology; pediatric neurology or epileptology; and forensic pathology) to participate in a more technical and medical review of information already compiled. </w:t>
      </w:r>
      <w:r>
        <w:rPr>
          <w:rFonts w:asciiTheme="minorHAnsi" w:hAnsiTheme="minorHAnsi" w:cstheme="minorHAnsi"/>
        </w:rPr>
        <w:t xml:space="preserve">These advanced reviews are more intensive than the typical reviews conducted by the state and jurisdiction’s CDR team. </w:t>
      </w:r>
      <w:r>
        <w:rPr>
          <w:rFonts w:asciiTheme="minorHAnsi" w:hAnsiTheme="minorHAnsi" w:cstheme="minorHAnsi"/>
          <w:lang w:val="en"/>
        </w:rPr>
        <w:t>Advanced review teams will comprehensively review information from multiple data sources, discuss the information, and use the information</w:t>
      </w:r>
      <w:r>
        <w:rPr>
          <w:rFonts w:asciiTheme="minorHAnsi" w:hAnsiTheme="minorHAnsi" w:cstheme="minorHAnsi"/>
        </w:rPr>
        <w:t xml:space="preserve"> to classify cases </w:t>
      </w:r>
      <w:r>
        <w:rPr>
          <w:rFonts w:asciiTheme="minorHAnsi" w:hAnsiTheme="minorHAnsi" w:cstheme="minorHAnsi"/>
          <w:lang w:val="en"/>
        </w:rPr>
        <w:t>according to a standardized algorithm that differentiates causes. (</w:t>
      </w:r>
      <w:r w:rsidRPr="00DC00BC">
        <w:rPr>
          <w:rFonts w:asciiTheme="minorHAnsi" w:hAnsiTheme="minorHAnsi" w:cstheme="minorHAnsi"/>
          <w:b/>
          <w:lang w:val="en"/>
        </w:rPr>
        <w:t>Attachment 7b</w:t>
      </w:r>
      <w:r>
        <w:rPr>
          <w:rFonts w:asciiTheme="minorHAnsi" w:hAnsiTheme="minorHAnsi" w:cstheme="minorHAnsi"/>
          <w:lang w:val="en"/>
        </w:rPr>
        <w:t>)</w:t>
      </w:r>
    </w:p>
    <w:p w14:paraId="2C7F523E" w14:textId="18FECAF6" w:rsidR="009E195A" w:rsidRDefault="00D3374E">
      <w:pPr>
        <w:numPr>
          <w:ilvl w:val="0"/>
          <w:numId w:val="9"/>
        </w:numPr>
        <w:tabs>
          <w:tab w:val="left" w:pos="630"/>
        </w:tabs>
        <w:spacing w:line="240" w:lineRule="auto"/>
        <w:rPr>
          <w:rFonts w:asciiTheme="minorHAnsi" w:hAnsiTheme="minorHAnsi" w:cstheme="minorHAnsi"/>
        </w:rPr>
      </w:pPr>
      <w:r>
        <w:rPr>
          <w:rFonts w:asciiTheme="minorHAnsi" w:hAnsiTheme="minorHAnsi" w:cstheme="minorHAnsi"/>
        </w:rPr>
        <w:t>Following the advanced review meeting, the coordinator will enter additional findings, the results of the classification of the cases, and any other SDY-specific information into Section N (</w:t>
      </w:r>
      <w:r w:rsidR="005D7B4A" w:rsidRPr="00DC00BC">
        <w:rPr>
          <w:rFonts w:asciiTheme="minorHAnsi" w:hAnsiTheme="minorHAnsi" w:cstheme="minorHAnsi"/>
          <w:b/>
        </w:rPr>
        <w:t>A</w:t>
      </w:r>
      <w:r w:rsidRPr="00DC00BC">
        <w:rPr>
          <w:rFonts w:asciiTheme="minorHAnsi" w:hAnsiTheme="minorHAnsi" w:cstheme="minorHAnsi"/>
          <w:b/>
        </w:rPr>
        <w:t>ttachment 7c</w:t>
      </w:r>
      <w:r>
        <w:rPr>
          <w:rFonts w:asciiTheme="minorHAnsi" w:hAnsiTheme="minorHAnsi" w:cstheme="minorHAnsi"/>
        </w:rPr>
        <w:t xml:space="preserve">) of the SDY module of the web-based NFR-CRS.  </w:t>
      </w:r>
    </w:p>
    <w:p w14:paraId="2B82DB55" w14:textId="77777777" w:rsidR="009E195A" w:rsidRDefault="00D3374E">
      <w:pPr>
        <w:numPr>
          <w:ilvl w:val="0"/>
          <w:numId w:val="9"/>
        </w:numPr>
        <w:tabs>
          <w:tab w:val="left" w:pos="630"/>
        </w:tabs>
        <w:spacing w:line="240" w:lineRule="auto"/>
        <w:rPr>
          <w:rFonts w:asciiTheme="minorHAnsi" w:hAnsiTheme="minorHAnsi" w:cstheme="minorHAnsi"/>
        </w:rPr>
      </w:pPr>
      <w:r>
        <w:rPr>
          <w:rFonts w:asciiTheme="minorHAnsi" w:hAnsiTheme="minorHAnsi" w:cstheme="minorHAnsi"/>
        </w:rPr>
        <w:t>CDC receives a quarterly de-identified data set from the NCFRP and will analyze the data to assess data completeness, timeliness of case information, and case ascertainment. CDC will share the findings with awardees; who will, in turn, work with CDC staff to develop, implement, and evaluate strategies to improve the quality of their data.</w:t>
      </w:r>
    </w:p>
    <w:p w14:paraId="5625184E" w14:textId="77777777" w:rsidR="009E195A" w:rsidRDefault="00D3374E">
      <w:pPr>
        <w:tabs>
          <w:tab w:val="left" w:pos="630"/>
        </w:tabs>
        <w:spacing w:line="240" w:lineRule="auto"/>
        <w:rPr>
          <w:rFonts w:asciiTheme="minorHAnsi" w:hAnsiTheme="minorHAnsi" w:cstheme="minorHAnsi"/>
          <w:lang w:val="en"/>
        </w:rPr>
      </w:pPr>
      <w:r>
        <w:rPr>
          <w:rFonts w:asciiTheme="minorHAnsi" w:hAnsiTheme="minorHAnsi" w:cstheme="minorHAnsi"/>
          <w:lang w:val="en"/>
        </w:rPr>
        <w:t xml:space="preserve">The guidance and resources offered to awardees under the cooperative agreement for conducting advanced reviews and entering data in the SDY module will establish the characteristics and incidence of SDY and contribute to multi-jurisdictional SDY classification, surveillance, and prevention efforts. </w:t>
      </w:r>
    </w:p>
    <w:p w14:paraId="68224CAA" w14:textId="77777777" w:rsidR="009E195A" w:rsidRDefault="009E195A">
      <w:pPr>
        <w:tabs>
          <w:tab w:val="left" w:pos="630"/>
        </w:tabs>
        <w:spacing w:line="240" w:lineRule="auto"/>
        <w:rPr>
          <w:rFonts w:asciiTheme="minorHAnsi" w:hAnsiTheme="minorHAnsi" w:cstheme="minorHAnsi"/>
        </w:rPr>
      </w:pPr>
    </w:p>
    <w:p w14:paraId="06E3F7EB" w14:textId="77777777" w:rsidR="009E195A" w:rsidRDefault="00D3374E">
      <w:pPr>
        <w:pStyle w:val="Heading1"/>
        <w:rPr>
          <w:rFonts w:asciiTheme="minorHAnsi" w:hAnsiTheme="minorHAnsi" w:cstheme="minorHAnsi"/>
          <w:b/>
          <w:sz w:val="22"/>
          <w:szCs w:val="22"/>
        </w:rPr>
      </w:pPr>
      <w:bookmarkStart w:id="5" w:name="_Toc519847084"/>
      <w:r>
        <w:rPr>
          <w:rFonts w:asciiTheme="minorHAnsi" w:hAnsiTheme="minorHAnsi" w:cstheme="minorHAnsi"/>
          <w:b/>
          <w:sz w:val="22"/>
          <w:szCs w:val="22"/>
        </w:rPr>
        <w:t>2.</w:t>
      </w:r>
      <w:r>
        <w:rPr>
          <w:rFonts w:asciiTheme="minorHAnsi" w:hAnsiTheme="minorHAnsi" w:cstheme="minorHAnsi"/>
          <w:b/>
          <w:sz w:val="22"/>
          <w:szCs w:val="22"/>
          <w:lang w:val="en-US"/>
        </w:rPr>
        <w:t xml:space="preserve">  </w:t>
      </w:r>
      <w:r>
        <w:rPr>
          <w:rFonts w:asciiTheme="minorHAnsi" w:hAnsiTheme="minorHAnsi" w:cstheme="minorHAnsi"/>
          <w:b/>
          <w:sz w:val="22"/>
          <w:szCs w:val="22"/>
        </w:rPr>
        <w:t>Purpose and Use of the Information Collection</w:t>
      </w:r>
      <w:bookmarkEnd w:id="5"/>
    </w:p>
    <w:p w14:paraId="72AAA3E5" w14:textId="77777777" w:rsidR="009E195A" w:rsidRDefault="009E195A">
      <w:pPr>
        <w:spacing w:after="0" w:line="240" w:lineRule="auto"/>
        <w:rPr>
          <w:rFonts w:asciiTheme="minorHAnsi" w:hAnsiTheme="minorHAnsi" w:cstheme="minorHAnsi"/>
        </w:rPr>
      </w:pPr>
    </w:p>
    <w:p w14:paraId="175E8ADF"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This project will continue to improve the data on SDY cases so that funded jurisdictions and researchers can better determine how and why these children die and, most importantly, how their deaths may be prevented. The goal of the SDY Case Registry is to improve and standardize case ascertainment so that funded jurisdictions can better understand the incidence and causes of sudden death in youth. The primary purpose of the information being compiled is to accurately and reliably calculate the incidence of SDY in participating states and jurisdictions. For the past three years, all SDY cases in funded jurisdictions have been identified, reviewed, and categorized into SDY types (e.g., explained cardiovascular, explained neurological) based on common protocols. Data have been used by awardees to understand the population of youth dying suddenly and unexpectedly in the funded jurisdictions. Additionally, NIH has been analyzing de-identified data that has been aggregated across jurisdictions from two closed death year cohorts (2015-16) to establish incidence and better understand SDY characteristics. Data has been used to inform the descriptive epidemiology of SDY, including the incidence, and risk factors. These data are also used to inform prevention strategies and development of best practices for national surveillance of SDY. Finally, de-identified data from the SDY Registry will continue to be available to researchers, state health departments, and CDR programs that are investigating and promoting reporting, screening, genetic counseling and testing, diagnosis, and treatment to prevent SDY. </w:t>
      </w:r>
    </w:p>
    <w:p w14:paraId="21023819" w14:textId="77777777" w:rsidR="009E195A" w:rsidRDefault="009E195A">
      <w:pPr>
        <w:spacing w:after="0" w:line="240" w:lineRule="auto"/>
        <w:rPr>
          <w:rFonts w:asciiTheme="minorHAnsi" w:hAnsiTheme="minorHAnsi" w:cstheme="minorHAnsi"/>
        </w:rPr>
      </w:pPr>
    </w:p>
    <w:p w14:paraId="6D2EDB90" w14:textId="77777777" w:rsidR="009E195A" w:rsidRDefault="00D3374E">
      <w:pPr>
        <w:spacing w:after="0" w:line="240" w:lineRule="auto"/>
        <w:rPr>
          <w:rFonts w:asciiTheme="minorHAnsi" w:hAnsiTheme="minorHAnsi" w:cstheme="minorHAnsi"/>
          <w:lang w:val="en"/>
        </w:rPr>
      </w:pPr>
      <w:r>
        <w:rPr>
          <w:rFonts w:asciiTheme="minorHAnsi" w:hAnsiTheme="minorHAnsi" w:cstheme="minorHAnsi"/>
        </w:rPr>
        <w:t>In addition to informing state and local SDY prevention programs</w:t>
      </w:r>
      <w:r>
        <w:rPr>
          <w:rFonts w:asciiTheme="minorHAnsi" w:hAnsiTheme="minorHAnsi" w:cstheme="minorHAnsi"/>
          <w:lang w:val="en"/>
        </w:rPr>
        <w:t xml:space="preserve">, </w:t>
      </w:r>
      <w:r>
        <w:rPr>
          <w:rFonts w:asciiTheme="minorHAnsi" w:hAnsiTheme="minorHAnsi" w:cstheme="minorHAnsi"/>
        </w:rPr>
        <w:t xml:space="preserve">the information compiled in the NFR-CRS can be used by states/jurisdictions to track and report progress toward state and federal public health goals, such as Healthy People 2020 and state-mandated child death review reports. </w:t>
      </w:r>
      <w:r>
        <w:rPr>
          <w:rFonts w:asciiTheme="minorHAnsi" w:hAnsiTheme="minorHAnsi" w:cstheme="minorHAnsi"/>
          <w:lang w:val="en"/>
        </w:rPr>
        <w:t xml:space="preserve">Specifically </w:t>
      </w:r>
      <w:r>
        <w:rPr>
          <w:rFonts w:asciiTheme="minorHAnsi" w:hAnsiTheme="minorHAnsi" w:cstheme="minorHAnsi"/>
        </w:rPr>
        <w:t>the NFR-CRS</w:t>
      </w:r>
      <w:r>
        <w:rPr>
          <w:rFonts w:asciiTheme="minorHAnsi" w:hAnsiTheme="minorHAnsi" w:cstheme="minorHAnsi"/>
          <w:lang w:val="en"/>
        </w:rPr>
        <w:t xml:space="preserve"> provides information to inform progress toward the following Healthy People 2020 goals: </w:t>
      </w:r>
    </w:p>
    <w:p w14:paraId="39AA2444" w14:textId="77777777" w:rsidR="009E195A" w:rsidRDefault="009E195A">
      <w:pPr>
        <w:spacing w:after="0" w:line="240" w:lineRule="auto"/>
        <w:ind w:left="720"/>
        <w:rPr>
          <w:rFonts w:asciiTheme="minorHAnsi" w:hAnsiTheme="minorHAnsi" w:cstheme="minorHAnsi"/>
          <w:i/>
          <w:lang w:val="en"/>
        </w:rPr>
      </w:pPr>
    </w:p>
    <w:p w14:paraId="4F3E0F68" w14:textId="77777777" w:rsidR="009E195A" w:rsidRDefault="00D3374E">
      <w:pPr>
        <w:spacing w:after="0" w:line="240" w:lineRule="auto"/>
        <w:ind w:left="720"/>
        <w:rPr>
          <w:rFonts w:asciiTheme="minorHAnsi" w:hAnsiTheme="minorHAnsi" w:cstheme="minorHAnsi"/>
          <w:i/>
        </w:rPr>
      </w:pPr>
      <w:r>
        <w:rPr>
          <w:rFonts w:asciiTheme="minorHAnsi" w:hAnsiTheme="minorHAnsi" w:cstheme="minorHAnsi"/>
          <w:i/>
          <w:lang w:val="en"/>
        </w:rPr>
        <w:t xml:space="preserve">Maternal, Infant and Child Health </w:t>
      </w:r>
      <w:r>
        <w:rPr>
          <w:rFonts w:asciiTheme="minorHAnsi" w:hAnsiTheme="minorHAnsi" w:cstheme="minorHAnsi"/>
          <w:i/>
        </w:rPr>
        <w:t>Maternal, Infant and Child Health:</w:t>
      </w:r>
    </w:p>
    <w:p w14:paraId="1AE1E64B" w14:textId="77777777" w:rsidR="009E195A" w:rsidRDefault="00D3374E">
      <w:pPr>
        <w:spacing w:after="0" w:line="240" w:lineRule="auto"/>
        <w:ind w:left="720"/>
        <w:rPr>
          <w:rFonts w:asciiTheme="minorHAnsi" w:hAnsiTheme="minorHAnsi" w:cstheme="minorHAnsi"/>
        </w:rPr>
      </w:pPr>
      <w:r>
        <w:rPr>
          <w:rFonts w:asciiTheme="minorHAnsi" w:hAnsiTheme="minorHAnsi" w:cstheme="minorHAnsi"/>
        </w:rPr>
        <w:t>MICH-1 Reduce the rate of fetal and infant deaths</w:t>
      </w:r>
    </w:p>
    <w:p w14:paraId="674C9918" w14:textId="77777777" w:rsidR="009E195A" w:rsidRDefault="00D3374E">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MICH-1.3 Reduce the rate of all infant deaths (within 1 year)</w:t>
      </w:r>
    </w:p>
    <w:p w14:paraId="009A235C" w14:textId="77777777" w:rsidR="009E195A" w:rsidRDefault="00D3374E">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MICH-1.4 Reduce the rate of neonatal deaths (within the first 28 days of life)</w:t>
      </w:r>
    </w:p>
    <w:p w14:paraId="344B3AA4" w14:textId="77777777" w:rsidR="009E195A" w:rsidRDefault="00D3374E">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MICH-1.5 Reduce the rate of post-neonatal deaths (between 28 days and 1 year)</w:t>
      </w:r>
    </w:p>
    <w:p w14:paraId="45158497" w14:textId="77777777" w:rsidR="009E195A" w:rsidRDefault="00D3374E">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MICH-1.7 Reduce the rate of infant deaths related to birth defects (congenital heart defects)</w:t>
      </w:r>
    </w:p>
    <w:p w14:paraId="658C601E" w14:textId="77777777" w:rsidR="009E195A" w:rsidRDefault="00D3374E">
      <w:pPr>
        <w:pStyle w:val="ListParagraph"/>
        <w:numPr>
          <w:ilvl w:val="0"/>
          <w:numId w:val="11"/>
        </w:numPr>
        <w:spacing w:after="0" w:line="240" w:lineRule="auto"/>
        <w:rPr>
          <w:rFonts w:asciiTheme="minorHAnsi" w:hAnsiTheme="minorHAnsi" w:cstheme="minorHAnsi"/>
        </w:rPr>
      </w:pPr>
      <w:r>
        <w:rPr>
          <w:rFonts w:asciiTheme="minorHAnsi" w:hAnsiTheme="minorHAnsi" w:cstheme="minorHAnsi"/>
        </w:rPr>
        <w:t>MICH-1.8 Reduce infant deaths from sudden infant death syndrome (SIDS)</w:t>
      </w:r>
    </w:p>
    <w:p w14:paraId="55505D87" w14:textId="77777777" w:rsidR="009E195A" w:rsidRDefault="00D3374E">
      <w:pPr>
        <w:spacing w:after="0" w:line="240" w:lineRule="auto"/>
        <w:ind w:left="720"/>
        <w:rPr>
          <w:rFonts w:asciiTheme="minorHAnsi" w:hAnsiTheme="minorHAnsi" w:cstheme="minorHAnsi"/>
        </w:rPr>
      </w:pPr>
      <w:r>
        <w:rPr>
          <w:rFonts w:asciiTheme="minorHAnsi" w:hAnsiTheme="minorHAnsi" w:cstheme="minorHAnsi"/>
        </w:rPr>
        <w:t>MICH-1.9 Reduce infant deaths from sudden unexpected infant deaths (includes SIDS, Unknown</w:t>
      </w:r>
    </w:p>
    <w:p w14:paraId="0720DCD6" w14:textId="77777777" w:rsidR="009E195A" w:rsidRDefault="00D3374E">
      <w:pPr>
        <w:pStyle w:val="ListParagraph"/>
        <w:numPr>
          <w:ilvl w:val="0"/>
          <w:numId w:val="12"/>
        </w:numPr>
        <w:spacing w:after="0" w:line="240" w:lineRule="auto"/>
        <w:rPr>
          <w:rFonts w:asciiTheme="minorHAnsi" w:hAnsiTheme="minorHAnsi" w:cstheme="minorHAnsi"/>
        </w:rPr>
      </w:pPr>
      <w:r>
        <w:rPr>
          <w:rFonts w:asciiTheme="minorHAnsi" w:hAnsiTheme="minorHAnsi" w:cstheme="minorHAnsi"/>
        </w:rPr>
        <w:t>Cause, Accidental Suffocation, and Strangulation in Bed)</w:t>
      </w:r>
    </w:p>
    <w:p w14:paraId="12C4BA96" w14:textId="77777777" w:rsidR="009E195A" w:rsidRDefault="00D3374E">
      <w:pPr>
        <w:spacing w:after="0" w:line="240" w:lineRule="auto"/>
        <w:ind w:left="720"/>
        <w:rPr>
          <w:rFonts w:asciiTheme="minorHAnsi" w:hAnsiTheme="minorHAnsi" w:cstheme="minorHAnsi"/>
        </w:rPr>
      </w:pPr>
      <w:r>
        <w:rPr>
          <w:rFonts w:asciiTheme="minorHAnsi" w:hAnsiTheme="minorHAnsi" w:cstheme="minorHAnsi"/>
        </w:rPr>
        <w:t>MICH-3 Reduce the rate of child deaths</w:t>
      </w:r>
    </w:p>
    <w:p w14:paraId="2036D2DA" w14:textId="77777777" w:rsidR="009E195A" w:rsidRDefault="00D3374E">
      <w:pPr>
        <w:pStyle w:val="ListParagraph"/>
        <w:numPr>
          <w:ilvl w:val="0"/>
          <w:numId w:val="12"/>
        </w:numPr>
        <w:spacing w:after="0" w:line="240" w:lineRule="auto"/>
        <w:rPr>
          <w:rFonts w:asciiTheme="minorHAnsi" w:hAnsiTheme="minorHAnsi" w:cstheme="minorHAnsi"/>
        </w:rPr>
      </w:pPr>
      <w:r>
        <w:rPr>
          <w:rFonts w:asciiTheme="minorHAnsi" w:hAnsiTheme="minorHAnsi" w:cstheme="minorHAnsi"/>
        </w:rPr>
        <w:t>MICH-3.1 Reduce the rate of death among children aged 1 to 4 years</w:t>
      </w:r>
    </w:p>
    <w:p w14:paraId="7243BE2C" w14:textId="77777777" w:rsidR="009E195A" w:rsidRDefault="00D3374E">
      <w:pPr>
        <w:pStyle w:val="ListParagraph"/>
        <w:numPr>
          <w:ilvl w:val="0"/>
          <w:numId w:val="12"/>
        </w:numPr>
        <w:spacing w:after="0" w:line="240" w:lineRule="auto"/>
        <w:rPr>
          <w:rFonts w:asciiTheme="minorHAnsi" w:hAnsiTheme="minorHAnsi" w:cstheme="minorHAnsi"/>
        </w:rPr>
      </w:pPr>
      <w:r>
        <w:rPr>
          <w:rFonts w:asciiTheme="minorHAnsi" w:hAnsiTheme="minorHAnsi" w:cstheme="minorHAnsi"/>
        </w:rPr>
        <w:t>MICH-3.2 Reduce the rate of death among children aged 5 to 9 years</w:t>
      </w:r>
    </w:p>
    <w:p w14:paraId="2BE39B0B" w14:textId="77777777" w:rsidR="009E195A" w:rsidRDefault="00D3374E">
      <w:pPr>
        <w:spacing w:after="0" w:line="240" w:lineRule="auto"/>
        <w:ind w:left="720"/>
        <w:rPr>
          <w:rFonts w:asciiTheme="minorHAnsi" w:hAnsiTheme="minorHAnsi" w:cstheme="minorHAnsi"/>
        </w:rPr>
      </w:pPr>
      <w:r>
        <w:rPr>
          <w:rFonts w:asciiTheme="minorHAnsi" w:hAnsiTheme="minorHAnsi" w:cstheme="minorHAnsi"/>
        </w:rPr>
        <w:t>MICH-4 Reduce the rate of adolescent and young adult deaths</w:t>
      </w:r>
    </w:p>
    <w:p w14:paraId="55BFAE9D" w14:textId="77777777" w:rsidR="009E195A" w:rsidRDefault="00D3374E">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MICH-4.1 Reduce the rate of death among adolescents aged 10 to 14 years</w:t>
      </w:r>
    </w:p>
    <w:p w14:paraId="359AB106" w14:textId="77777777" w:rsidR="009E195A" w:rsidRDefault="00D3374E">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MICH-4.2 Reduce the rate of death among adolescents aged 15 to 19 years</w:t>
      </w:r>
    </w:p>
    <w:p w14:paraId="0A8613EA" w14:textId="77777777" w:rsidR="009E195A" w:rsidRDefault="00D3374E">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MICH-4.3 Reduce the rate of death among adolescents aged 20 to 24 years</w:t>
      </w:r>
    </w:p>
    <w:p w14:paraId="54B6BE97" w14:textId="77777777" w:rsidR="009E195A" w:rsidRDefault="009E195A">
      <w:pPr>
        <w:spacing w:after="0" w:line="240" w:lineRule="auto"/>
        <w:ind w:left="720"/>
        <w:rPr>
          <w:rFonts w:asciiTheme="minorHAnsi" w:hAnsiTheme="minorHAnsi" w:cstheme="minorHAnsi"/>
        </w:rPr>
      </w:pPr>
    </w:p>
    <w:p w14:paraId="01BA84BF" w14:textId="77777777" w:rsidR="009E195A" w:rsidRDefault="00D3374E">
      <w:pPr>
        <w:spacing w:after="0" w:line="240" w:lineRule="auto"/>
        <w:ind w:left="720"/>
        <w:rPr>
          <w:rFonts w:asciiTheme="minorHAnsi" w:hAnsiTheme="minorHAnsi" w:cstheme="minorHAnsi"/>
          <w:i/>
        </w:rPr>
      </w:pPr>
      <w:r>
        <w:rPr>
          <w:rFonts w:asciiTheme="minorHAnsi" w:hAnsiTheme="minorHAnsi" w:cstheme="minorHAnsi"/>
          <w:i/>
        </w:rPr>
        <w:t>Injury and Violence Prevention</w:t>
      </w:r>
    </w:p>
    <w:p w14:paraId="6B83375A" w14:textId="77777777" w:rsidR="009E195A" w:rsidRDefault="00D3374E">
      <w:pPr>
        <w:pStyle w:val="ListParagraph"/>
        <w:numPr>
          <w:ilvl w:val="0"/>
          <w:numId w:val="17"/>
        </w:numPr>
        <w:spacing w:after="0" w:line="240" w:lineRule="auto"/>
        <w:rPr>
          <w:rFonts w:asciiTheme="minorHAnsi" w:hAnsiTheme="minorHAnsi" w:cstheme="minorHAnsi"/>
        </w:rPr>
      </w:pPr>
      <w:r>
        <w:rPr>
          <w:rFonts w:asciiTheme="minorHAnsi" w:hAnsiTheme="minorHAnsi" w:cstheme="minorHAnsi"/>
        </w:rPr>
        <w:t>IVP-5 Increase the number of States and the District of Columbia where 90 percent of sudden and unexpected deaths to infants are reviewed by a child fatality review team</w:t>
      </w:r>
    </w:p>
    <w:p w14:paraId="23EF58BB" w14:textId="77777777" w:rsidR="009E195A" w:rsidRDefault="00D3374E">
      <w:pPr>
        <w:pStyle w:val="ListParagraph"/>
        <w:numPr>
          <w:ilvl w:val="0"/>
          <w:numId w:val="17"/>
        </w:numPr>
        <w:spacing w:after="0" w:line="240" w:lineRule="auto"/>
        <w:rPr>
          <w:rFonts w:asciiTheme="minorHAnsi" w:hAnsiTheme="minorHAnsi" w:cstheme="minorHAnsi"/>
        </w:rPr>
      </w:pPr>
      <w:r>
        <w:rPr>
          <w:rFonts w:asciiTheme="minorHAnsi" w:hAnsiTheme="minorHAnsi" w:cstheme="minorHAnsi"/>
        </w:rPr>
        <w:t>IVP-24 Reduce unintentional suffocation deaths</w:t>
      </w:r>
    </w:p>
    <w:p w14:paraId="302BD108" w14:textId="77777777" w:rsidR="009E195A" w:rsidRDefault="00D3374E">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IVP-24.2 Reduce unintentional suffocation deaths to infants 0-12 months</w:t>
      </w:r>
    </w:p>
    <w:p w14:paraId="1BFEE43E" w14:textId="77777777" w:rsidR="009E195A" w:rsidRDefault="009E195A">
      <w:pPr>
        <w:spacing w:after="0" w:line="240" w:lineRule="auto"/>
        <w:ind w:left="720"/>
        <w:rPr>
          <w:rFonts w:asciiTheme="minorHAnsi" w:hAnsiTheme="minorHAnsi" w:cstheme="minorHAnsi"/>
          <w:lang w:val="en"/>
        </w:rPr>
      </w:pPr>
    </w:p>
    <w:p w14:paraId="1C86EB2D" w14:textId="77777777" w:rsidR="009E195A" w:rsidRDefault="009E195A">
      <w:pPr>
        <w:spacing w:after="0" w:line="240" w:lineRule="auto"/>
        <w:rPr>
          <w:rFonts w:asciiTheme="minorHAnsi" w:hAnsiTheme="minorHAnsi" w:cstheme="minorHAnsi"/>
        </w:rPr>
      </w:pPr>
    </w:p>
    <w:p w14:paraId="7EF8F037"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The data compiled by the awardees will continue to be used by the jurisdictions in which they were entered. Similarly, a state CDR program may use statewide SDY data to inform decisions about prevention recommendations and activities. The CDC provides technical assistance to assist the states with data quality improvement strategies. Ultimately, the data will be used to better understand the etiology and incidence of SDY and the characteristics associated with these deaths; both critical in targeting prevention efforts. </w:t>
      </w:r>
    </w:p>
    <w:p w14:paraId="2F246A23" w14:textId="77777777" w:rsidR="009E195A" w:rsidRDefault="009E195A">
      <w:pPr>
        <w:spacing w:after="0" w:line="240" w:lineRule="auto"/>
        <w:rPr>
          <w:rFonts w:asciiTheme="minorHAnsi" w:hAnsiTheme="minorHAnsi" w:cstheme="minorHAnsi"/>
          <w:b/>
        </w:rPr>
      </w:pPr>
    </w:p>
    <w:p w14:paraId="230899CF" w14:textId="77777777" w:rsidR="009E195A" w:rsidRDefault="00D3374E">
      <w:pPr>
        <w:pStyle w:val="Heading1"/>
        <w:rPr>
          <w:rFonts w:asciiTheme="minorHAnsi" w:hAnsiTheme="minorHAnsi" w:cstheme="minorHAnsi"/>
          <w:b/>
          <w:sz w:val="22"/>
          <w:szCs w:val="22"/>
        </w:rPr>
      </w:pPr>
      <w:bookmarkStart w:id="6" w:name="_Toc519847085"/>
      <w:r>
        <w:rPr>
          <w:rFonts w:asciiTheme="minorHAnsi" w:hAnsiTheme="minorHAnsi" w:cstheme="minorHAnsi"/>
          <w:b/>
          <w:sz w:val="22"/>
          <w:szCs w:val="22"/>
        </w:rPr>
        <w:t>3. Use of Improved Information Technology and Burden Reduction</w:t>
      </w:r>
      <w:bookmarkEnd w:id="6"/>
    </w:p>
    <w:p w14:paraId="1C014C8E"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All case-related information is entered electronically into the SDY data module in the existing NFR-CRS, a web-based system stored on the MPHI’s secured servers. </w:t>
      </w:r>
    </w:p>
    <w:p w14:paraId="78E29975" w14:textId="77777777" w:rsidR="009E195A" w:rsidRDefault="009E195A">
      <w:pPr>
        <w:spacing w:after="0" w:line="240" w:lineRule="auto"/>
        <w:rPr>
          <w:rFonts w:asciiTheme="minorHAnsi" w:hAnsiTheme="minorHAnsi" w:cstheme="minorHAnsi"/>
        </w:rPr>
      </w:pPr>
    </w:p>
    <w:p w14:paraId="28260E59"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The </w:t>
      </w:r>
      <w:r>
        <w:rPr>
          <w:rFonts w:asciiTheme="minorHAnsi" w:eastAsia="Times New Roman" w:hAnsiTheme="minorHAnsi" w:cstheme="minorHAnsi"/>
        </w:rPr>
        <w:t xml:space="preserve">NFR-CRS </w:t>
      </w:r>
      <w:r>
        <w:rPr>
          <w:rFonts w:asciiTheme="minorHAnsi" w:hAnsiTheme="minorHAnsi" w:cstheme="minorHAnsi"/>
        </w:rPr>
        <w:t>has always been designed with extensive questions that guide responses using skip patterns so “users” complete only relevant variables. This function is designed for maximum user-friendliness and reduces the time burden for entering SDY case information.</w:t>
      </w:r>
    </w:p>
    <w:p w14:paraId="57013516" w14:textId="77777777" w:rsidR="009E195A" w:rsidRDefault="009E195A">
      <w:pPr>
        <w:spacing w:after="0" w:line="240" w:lineRule="auto"/>
        <w:rPr>
          <w:rFonts w:asciiTheme="minorHAnsi" w:hAnsiTheme="minorHAnsi" w:cstheme="minorHAnsi"/>
        </w:rPr>
      </w:pPr>
    </w:p>
    <w:p w14:paraId="645E7524" w14:textId="77777777" w:rsidR="009E195A" w:rsidRDefault="00D3374E">
      <w:pPr>
        <w:pStyle w:val="Heading1"/>
        <w:rPr>
          <w:rFonts w:asciiTheme="minorHAnsi" w:hAnsiTheme="minorHAnsi" w:cstheme="minorHAnsi"/>
          <w:b/>
          <w:sz w:val="22"/>
          <w:szCs w:val="22"/>
        </w:rPr>
      </w:pPr>
      <w:bookmarkStart w:id="7" w:name="_Toc519847086"/>
      <w:r>
        <w:rPr>
          <w:rFonts w:asciiTheme="minorHAnsi" w:hAnsiTheme="minorHAnsi" w:cstheme="minorHAnsi"/>
          <w:b/>
          <w:sz w:val="22"/>
          <w:szCs w:val="22"/>
        </w:rPr>
        <w:t>4. Efforts to Identify Duplication and Use of Similar Information</w:t>
      </w:r>
      <w:bookmarkEnd w:id="7"/>
    </w:p>
    <w:p w14:paraId="16C0D25A" w14:textId="77777777" w:rsidR="009E195A" w:rsidRDefault="00D3374E">
      <w:pPr>
        <w:spacing w:after="0" w:line="240" w:lineRule="auto"/>
        <w:rPr>
          <w:rFonts w:asciiTheme="minorHAnsi" w:hAnsiTheme="minorHAnsi" w:cstheme="minorHAnsi"/>
          <w:b/>
        </w:rPr>
      </w:pPr>
      <w:r>
        <w:rPr>
          <w:rFonts w:asciiTheme="minorHAnsi" w:hAnsiTheme="minorHAnsi" w:cstheme="minorHAnsi"/>
        </w:rPr>
        <w:t xml:space="preserve">The </w:t>
      </w:r>
      <w:r>
        <w:rPr>
          <w:rFonts w:asciiTheme="minorHAnsi" w:eastAsia="Times New Roman" w:hAnsiTheme="minorHAnsi" w:cstheme="minorHAnsi"/>
        </w:rPr>
        <w:t xml:space="preserve">NFR-CRS </w:t>
      </w:r>
      <w:r>
        <w:rPr>
          <w:rFonts w:asciiTheme="minorHAnsi" w:hAnsiTheme="minorHAnsi" w:cstheme="minorHAnsi"/>
        </w:rPr>
        <w:t xml:space="preserve">was developed with input from state CDR programs and has been in existence since 2005. No similar database exists. By building on an existing system that is familiar to the end users, CDC avoided duplication of efforts and minimizes burden of awardees. The SDY modules were developed in conjunction with multiple partners who are all vested in the SDY Case Registry. </w:t>
      </w:r>
    </w:p>
    <w:p w14:paraId="7E528C3A" w14:textId="77777777" w:rsidR="009E195A" w:rsidRDefault="009E195A">
      <w:pPr>
        <w:spacing w:after="0" w:line="240" w:lineRule="auto"/>
        <w:rPr>
          <w:rFonts w:asciiTheme="minorHAnsi" w:hAnsiTheme="minorHAnsi" w:cstheme="minorHAnsi"/>
          <w:b/>
        </w:rPr>
      </w:pPr>
    </w:p>
    <w:p w14:paraId="3FDA7C7D" w14:textId="77777777" w:rsidR="009E195A" w:rsidRDefault="00D3374E">
      <w:pPr>
        <w:pStyle w:val="Heading1"/>
        <w:rPr>
          <w:rFonts w:asciiTheme="minorHAnsi" w:hAnsiTheme="minorHAnsi" w:cstheme="minorHAnsi"/>
          <w:b/>
          <w:sz w:val="22"/>
          <w:szCs w:val="22"/>
        </w:rPr>
      </w:pPr>
      <w:bookmarkStart w:id="8" w:name="_Toc519847087"/>
      <w:r>
        <w:rPr>
          <w:rFonts w:asciiTheme="minorHAnsi" w:hAnsiTheme="minorHAnsi" w:cstheme="minorHAnsi"/>
          <w:b/>
          <w:sz w:val="22"/>
          <w:szCs w:val="22"/>
        </w:rPr>
        <w:t>5. Impact on Small Businesses or Other Small Entities</w:t>
      </w:r>
      <w:bookmarkEnd w:id="8"/>
    </w:p>
    <w:p w14:paraId="3BE6A525"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The information compiled will have no impact on small businesses or other small entities. </w:t>
      </w:r>
    </w:p>
    <w:p w14:paraId="1A5A5F33" w14:textId="77777777" w:rsidR="009E195A" w:rsidRDefault="009E195A">
      <w:pPr>
        <w:spacing w:after="0" w:line="240" w:lineRule="auto"/>
        <w:rPr>
          <w:rFonts w:asciiTheme="minorHAnsi" w:hAnsiTheme="minorHAnsi" w:cstheme="minorHAnsi"/>
        </w:rPr>
      </w:pPr>
    </w:p>
    <w:p w14:paraId="1802EA71" w14:textId="77777777" w:rsidR="009E195A" w:rsidRDefault="00D3374E">
      <w:pPr>
        <w:pStyle w:val="Heading1"/>
        <w:rPr>
          <w:rFonts w:asciiTheme="minorHAnsi" w:hAnsiTheme="minorHAnsi" w:cstheme="minorHAnsi"/>
          <w:b/>
          <w:sz w:val="22"/>
          <w:szCs w:val="22"/>
        </w:rPr>
      </w:pPr>
      <w:bookmarkStart w:id="9" w:name="_Toc519847088"/>
      <w:r>
        <w:rPr>
          <w:rFonts w:asciiTheme="minorHAnsi" w:hAnsiTheme="minorHAnsi" w:cstheme="minorHAnsi"/>
          <w:b/>
          <w:sz w:val="22"/>
          <w:szCs w:val="22"/>
        </w:rPr>
        <w:t>6. Consequences of Collecting the Information Less Frequently</w:t>
      </w:r>
      <w:bookmarkEnd w:id="9"/>
    </w:p>
    <w:p w14:paraId="42E8AC65"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SDY cases are rare and are not predictable, thus timing of data collection is guided by this reality. Local and state CDR teams will only compile information on an SDY case when a case occurs. Advanced review teams will only review and classify SDY Cases that are identified by awardees as meeting the SDY case definition. Some states have so few cases that they predict only one yearly meeting while larger states may have monthly or quarterly advanced review team meetings, depending on the number of SDY cases in that jurisdiction. </w:t>
      </w:r>
    </w:p>
    <w:p w14:paraId="732A7322" w14:textId="77777777" w:rsidR="009E195A" w:rsidRDefault="009E195A">
      <w:pPr>
        <w:spacing w:after="0" w:line="240" w:lineRule="auto"/>
        <w:rPr>
          <w:rFonts w:asciiTheme="minorHAnsi" w:hAnsiTheme="minorHAnsi" w:cstheme="minorHAnsi"/>
        </w:rPr>
      </w:pPr>
    </w:p>
    <w:p w14:paraId="3E8FD464" w14:textId="77777777" w:rsidR="009E195A" w:rsidRDefault="00D3374E">
      <w:pPr>
        <w:pStyle w:val="Heading1"/>
        <w:rPr>
          <w:rFonts w:asciiTheme="minorHAnsi" w:hAnsiTheme="minorHAnsi" w:cstheme="minorHAnsi"/>
          <w:b/>
          <w:sz w:val="22"/>
          <w:szCs w:val="22"/>
        </w:rPr>
      </w:pPr>
      <w:bookmarkStart w:id="10" w:name="_Toc519847089"/>
      <w:r>
        <w:rPr>
          <w:rFonts w:asciiTheme="minorHAnsi" w:hAnsiTheme="minorHAnsi" w:cstheme="minorHAnsi"/>
          <w:b/>
          <w:sz w:val="22"/>
          <w:szCs w:val="22"/>
        </w:rPr>
        <w:t>7. Special Circumstances Relating to the Guidelines of 5 CFR 1320.5</w:t>
      </w:r>
      <w:bookmarkEnd w:id="10"/>
    </w:p>
    <w:p w14:paraId="2ED3CFAE"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This request fully complies with the regulation 5 CFR 1320.5. </w:t>
      </w:r>
    </w:p>
    <w:p w14:paraId="0ED30767" w14:textId="77777777" w:rsidR="009E195A" w:rsidRDefault="009E195A">
      <w:pPr>
        <w:spacing w:after="0" w:line="240" w:lineRule="auto"/>
        <w:rPr>
          <w:rFonts w:asciiTheme="minorHAnsi" w:hAnsiTheme="minorHAnsi" w:cstheme="minorHAnsi"/>
          <w:b/>
        </w:rPr>
      </w:pPr>
    </w:p>
    <w:p w14:paraId="50CFAEF1" w14:textId="77777777" w:rsidR="009E195A" w:rsidRDefault="00D3374E">
      <w:pPr>
        <w:pStyle w:val="Heading1"/>
        <w:rPr>
          <w:rFonts w:asciiTheme="minorHAnsi" w:hAnsiTheme="minorHAnsi" w:cstheme="minorHAnsi"/>
          <w:b/>
          <w:sz w:val="22"/>
          <w:szCs w:val="22"/>
        </w:rPr>
      </w:pPr>
      <w:bookmarkStart w:id="11" w:name="_Toc519847090"/>
      <w:r>
        <w:rPr>
          <w:rFonts w:asciiTheme="minorHAnsi" w:hAnsiTheme="minorHAnsi" w:cstheme="minorHAnsi"/>
          <w:b/>
          <w:sz w:val="22"/>
          <w:szCs w:val="22"/>
        </w:rPr>
        <w:t>8. Comments in Response to the Federal Register Notice and Efforts to Consult Outside the Agency</w:t>
      </w:r>
      <w:bookmarkEnd w:id="11"/>
    </w:p>
    <w:p w14:paraId="4A773A0D" w14:textId="3722E59E" w:rsidR="009E195A" w:rsidRDefault="005D7B4A">
      <w:pPr>
        <w:pStyle w:val="ListParagraph"/>
        <w:numPr>
          <w:ilvl w:val="0"/>
          <w:numId w:val="15"/>
        </w:numPr>
        <w:spacing w:after="0" w:line="240" w:lineRule="auto"/>
        <w:ind w:left="630" w:hanging="270"/>
        <w:rPr>
          <w:rFonts w:asciiTheme="minorHAnsi" w:hAnsiTheme="minorHAnsi" w:cstheme="minorHAnsi"/>
        </w:rPr>
      </w:pPr>
      <w:r>
        <w:t>A 60-day Notice was published in the Federal Register on November 6, 2018, vol. 83, No. 215, pp. 55547-55548 with the title “Sudden Death in Young Registry)” (</w:t>
      </w:r>
      <w:r>
        <w:rPr>
          <w:b/>
        </w:rPr>
        <w:t>Attachment 2</w:t>
      </w:r>
      <w:r>
        <w:t xml:space="preserve">). No public comments were received.   </w:t>
      </w:r>
    </w:p>
    <w:p w14:paraId="5AFAF124" w14:textId="77777777" w:rsidR="009E195A" w:rsidRDefault="009E195A">
      <w:pPr>
        <w:spacing w:after="0" w:line="240" w:lineRule="auto"/>
        <w:rPr>
          <w:rFonts w:asciiTheme="minorHAnsi" w:hAnsiTheme="minorHAnsi" w:cstheme="minorHAnsi"/>
        </w:rPr>
      </w:pPr>
    </w:p>
    <w:p w14:paraId="6801EBE9" w14:textId="77777777" w:rsidR="009E195A" w:rsidRDefault="00D3374E">
      <w:pPr>
        <w:pStyle w:val="ListParagraph"/>
        <w:numPr>
          <w:ilvl w:val="0"/>
          <w:numId w:val="15"/>
        </w:numPr>
        <w:spacing w:line="240" w:lineRule="auto"/>
        <w:ind w:left="634"/>
        <w:rPr>
          <w:rFonts w:asciiTheme="minorHAnsi" w:hAnsiTheme="minorHAnsi" w:cstheme="minorHAnsi"/>
        </w:rPr>
      </w:pPr>
      <w:r>
        <w:rPr>
          <w:rFonts w:asciiTheme="minorHAnsi" w:hAnsiTheme="minorHAnsi" w:cstheme="minorHAnsi"/>
        </w:rPr>
        <w:t>CDC sought consultation outside of the agency from individuals listed in the below table on the: availability of data; frequency of collection; clarity of instruction and record keeping; disclosure; reporting format; and data elements to be recorded, disclosed, or reported. No major unresolved problems were highlighted during consultation.</w:t>
      </w:r>
    </w:p>
    <w:p w14:paraId="2CC430D3" w14:textId="78139C0C" w:rsidR="009E195A" w:rsidRDefault="00D3374E">
      <w:pPr>
        <w:pStyle w:val="ListParagraph"/>
        <w:spacing w:line="240" w:lineRule="auto"/>
        <w:ind w:left="634"/>
        <w:rPr>
          <w:rFonts w:asciiTheme="minorHAnsi" w:hAnsiTheme="minorHAnsi" w:cstheme="minorHAnsi"/>
        </w:rPr>
      </w:pPr>
      <w:r>
        <w:rPr>
          <w:rFonts w:asciiTheme="minorHAnsi" w:hAnsiTheme="minorHAnsi" w:cstheme="minorHAnsi"/>
        </w:rPr>
        <w:t>Experts CDC consulted formed the SDY Steering Committee. This committee remains intact for technical consultation throughout the SDY Registry project and holds monthly calls to discuss project progress and strategies to address challenges.</w:t>
      </w:r>
    </w:p>
    <w:p w14:paraId="2356721F" w14:textId="77777777" w:rsidR="00A52F24" w:rsidRDefault="00A52F24">
      <w:pPr>
        <w:pStyle w:val="ListParagraph"/>
        <w:spacing w:line="240" w:lineRule="auto"/>
        <w:ind w:left="634"/>
        <w:rPr>
          <w:rFonts w:asciiTheme="minorHAnsi" w:hAnsiTheme="minorHAnsi" w:cstheme="minorHAnsi"/>
        </w:rPr>
      </w:pPr>
    </w:p>
    <w:tbl>
      <w:tblPr>
        <w:tblpPr w:leftFromText="180" w:rightFromText="180" w:vertAnchor="text" w:horzAnchor="margin" w:tblpY="7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743"/>
        <w:gridCol w:w="1383"/>
        <w:gridCol w:w="2101"/>
        <w:gridCol w:w="2607"/>
      </w:tblGrid>
      <w:tr w:rsidR="009E195A" w14:paraId="4BFE9130" w14:textId="77777777">
        <w:tc>
          <w:tcPr>
            <w:tcW w:w="5000" w:type="pct"/>
            <w:gridSpan w:val="5"/>
            <w:shd w:val="clear" w:color="auto" w:fill="F2F2F2"/>
          </w:tcPr>
          <w:p w14:paraId="7D91C6B2" w14:textId="77777777" w:rsidR="009E195A" w:rsidRDefault="00D3374E">
            <w:pPr>
              <w:spacing w:after="0" w:line="240" w:lineRule="auto"/>
              <w:rPr>
                <w:rFonts w:asciiTheme="minorHAnsi" w:hAnsiTheme="minorHAnsi" w:cstheme="minorHAnsi"/>
                <w:b/>
                <w:i/>
                <w:color w:val="000000" w:themeColor="text1"/>
              </w:rPr>
            </w:pPr>
            <w:r>
              <w:rPr>
                <w:rFonts w:asciiTheme="minorHAnsi" w:hAnsiTheme="minorHAnsi" w:cstheme="minorHAnsi"/>
                <w:b/>
                <w:i/>
                <w:color w:val="000000" w:themeColor="text1"/>
              </w:rPr>
              <w:t>Sudden Death in the Young (SDY) Experts Consulted</w:t>
            </w:r>
          </w:p>
          <w:p w14:paraId="5C8095C5" w14:textId="77777777" w:rsidR="009E195A" w:rsidRDefault="009E195A">
            <w:pPr>
              <w:spacing w:after="0" w:line="240" w:lineRule="auto"/>
              <w:rPr>
                <w:rFonts w:asciiTheme="minorHAnsi" w:hAnsiTheme="minorHAnsi" w:cstheme="minorHAnsi"/>
                <w:b/>
                <w:i/>
                <w:color w:val="000000" w:themeColor="text1"/>
              </w:rPr>
            </w:pPr>
          </w:p>
        </w:tc>
      </w:tr>
      <w:tr w:rsidR="009E195A" w14:paraId="38A8CE0A" w14:textId="77777777">
        <w:tc>
          <w:tcPr>
            <w:tcW w:w="5000" w:type="pct"/>
            <w:gridSpan w:val="5"/>
            <w:shd w:val="clear" w:color="auto" w:fill="BFBFBF" w:themeFill="background1" w:themeFillShade="BF"/>
          </w:tcPr>
          <w:p w14:paraId="0014CA7D"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Biorepository</w:t>
            </w:r>
          </w:p>
        </w:tc>
      </w:tr>
      <w:tr w:rsidR="009E195A" w14:paraId="393B75B4" w14:textId="77777777">
        <w:tc>
          <w:tcPr>
            <w:tcW w:w="910" w:type="pct"/>
            <w:vAlign w:val="center"/>
          </w:tcPr>
          <w:p w14:paraId="3EF52B0E" w14:textId="77777777" w:rsidR="009E195A" w:rsidRDefault="00D3374E">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Years consulted</w:t>
            </w:r>
          </w:p>
        </w:tc>
        <w:tc>
          <w:tcPr>
            <w:tcW w:w="910" w:type="pct"/>
            <w:shd w:val="clear" w:color="auto" w:fill="auto"/>
            <w:vAlign w:val="center"/>
          </w:tcPr>
          <w:p w14:paraId="5E817BE5" w14:textId="77777777" w:rsidR="009E195A" w:rsidRDefault="00D3374E">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Name</w:t>
            </w:r>
          </w:p>
        </w:tc>
        <w:tc>
          <w:tcPr>
            <w:tcW w:w="722" w:type="pct"/>
            <w:shd w:val="clear" w:color="auto" w:fill="auto"/>
            <w:vAlign w:val="center"/>
          </w:tcPr>
          <w:p w14:paraId="287AE8CB" w14:textId="77777777" w:rsidR="009E195A" w:rsidRDefault="00D3374E">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Occupation</w:t>
            </w:r>
          </w:p>
        </w:tc>
        <w:tc>
          <w:tcPr>
            <w:tcW w:w="1097" w:type="pct"/>
            <w:shd w:val="clear" w:color="auto" w:fill="auto"/>
            <w:vAlign w:val="center"/>
          </w:tcPr>
          <w:p w14:paraId="0E417D1B" w14:textId="77777777" w:rsidR="009E195A" w:rsidRDefault="00D3374E">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Role</w:t>
            </w:r>
          </w:p>
        </w:tc>
        <w:tc>
          <w:tcPr>
            <w:tcW w:w="1361" w:type="pct"/>
            <w:vAlign w:val="center"/>
          </w:tcPr>
          <w:p w14:paraId="0169219F" w14:textId="77777777" w:rsidR="009E195A" w:rsidRDefault="00D3374E">
            <w:pPr>
              <w:spacing w:after="0" w:line="240" w:lineRule="auto"/>
              <w:rPr>
                <w:rFonts w:asciiTheme="minorHAnsi" w:hAnsiTheme="minorHAnsi" w:cstheme="minorHAnsi"/>
              </w:rPr>
            </w:pPr>
            <w:r>
              <w:rPr>
                <w:rFonts w:asciiTheme="minorHAnsi" w:hAnsiTheme="minorHAnsi" w:cstheme="minorHAnsi"/>
              </w:rPr>
              <w:t>Contact information</w:t>
            </w:r>
          </w:p>
        </w:tc>
      </w:tr>
      <w:tr w:rsidR="009E195A" w14:paraId="33AA1B38" w14:textId="77777777">
        <w:tc>
          <w:tcPr>
            <w:tcW w:w="910" w:type="pct"/>
            <w:vAlign w:val="center"/>
          </w:tcPr>
          <w:p w14:paraId="391F42EC"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2014 - current</w:t>
            </w:r>
          </w:p>
        </w:tc>
        <w:tc>
          <w:tcPr>
            <w:tcW w:w="910" w:type="pct"/>
            <w:shd w:val="clear" w:color="auto" w:fill="auto"/>
            <w:vAlign w:val="center"/>
          </w:tcPr>
          <w:p w14:paraId="7F573671"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Mark Russell</w:t>
            </w:r>
          </w:p>
        </w:tc>
        <w:tc>
          <w:tcPr>
            <w:tcW w:w="722" w:type="pct"/>
            <w:shd w:val="clear" w:color="auto" w:fill="auto"/>
            <w:vAlign w:val="center"/>
          </w:tcPr>
          <w:p w14:paraId="4FD07DAB"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Cardiologist</w:t>
            </w:r>
          </w:p>
        </w:tc>
        <w:tc>
          <w:tcPr>
            <w:tcW w:w="1097" w:type="pct"/>
            <w:shd w:val="clear" w:color="auto" w:fill="auto"/>
            <w:vAlign w:val="center"/>
          </w:tcPr>
          <w:p w14:paraId="0C71E343"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Director of Biorepository, University of Michigan</w:t>
            </w:r>
          </w:p>
        </w:tc>
        <w:tc>
          <w:tcPr>
            <w:tcW w:w="1361" w:type="pct"/>
            <w:vAlign w:val="center"/>
          </w:tcPr>
          <w:p w14:paraId="08284887" w14:textId="77777777" w:rsidR="009E195A" w:rsidRDefault="00FD5816">
            <w:pPr>
              <w:spacing w:after="0" w:line="240" w:lineRule="auto"/>
              <w:rPr>
                <w:rFonts w:asciiTheme="minorHAnsi" w:hAnsiTheme="minorHAnsi" w:cstheme="minorHAnsi"/>
                <w:i/>
                <w:color w:val="000000" w:themeColor="text1"/>
              </w:rPr>
            </w:pPr>
            <w:hyperlink r:id="rId10" w:history="1">
              <w:r w:rsidR="00D3374E">
                <w:rPr>
                  <w:rFonts w:asciiTheme="minorHAnsi" w:hAnsiTheme="minorHAnsi" w:cstheme="minorHAnsi"/>
                  <w:i/>
                  <w:color w:val="000000" w:themeColor="text1"/>
                </w:rPr>
                <w:t>mruss@med.umich.edu</w:t>
              </w:r>
            </w:hyperlink>
          </w:p>
          <w:p w14:paraId="0C730597"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734-764-5176</w:t>
            </w:r>
          </w:p>
        </w:tc>
      </w:tr>
      <w:tr w:rsidR="009E195A" w14:paraId="4AA647E9" w14:textId="77777777">
        <w:tc>
          <w:tcPr>
            <w:tcW w:w="910" w:type="pct"/>
            <w:vAlign w:val="center"/>
          </w:tcPr>
          <w:p w14:paraId="1FE2F103"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2018 - current</w:t>
            </w:r>
          </w:p>
        </w:tc>
        <w:tc>
          <w:tcPr>
            <w:tcW w:w="910" w:type="pct"/>
            <w:shd w:val="clear" w:color="auto" w:fill="auto"/>
            <w:vAlign w:val="center"/>
          </w:tcPr>
          <w:p w14:paraId="6044C65F"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Lindsay Wilkerson</w:t>
            </w:r>
          </w:p>
        </w:tc>
        <w:tc>
          <w:tcPr>
            <w:tcW w:w="722" w:type="pct"/>
            <w:shd w:val="clear" w:color="auto" w:fill="auto"/>
            <w:vAlign w:val="center"/>
          </w:tcPr>
          <w:p w14:paraId="497B12E3"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Laboratory Technician</w:t>
            </w:r>
          </w:p>
        </w:tc>
        <w:tc>
          <w:tcPr>
            <w:tcW w:w="1097" w:type="pct"/>
            <w:shd w:val="clear" w:color="auto" w:fill="auto"/>
            <w:vAlign w:val="center"/>
          </w:tcPr>
          <w:p w14:paraId="11906948"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Biorepository Lead, University of Michigan</w:t>
            </w:r>
          </w:p>
        </w:tc>
        <w:tc>
          <w:tcPr>
            <w:tcW w:w="1361" w:type="pct"/>
            <w:vAlign w:val="center"/>
          </w:tcPr>
          <w:p w14:paraId="6C23A853" w14:textId="77777777" w:rsidR="009E195A" w:rsidRDefault="00D3374E">
            <w:pPr>
              <w:spacing w:after="0" w:line="240" w:lineRule="auto"/>
              <w:rPr>
                <w:rFonts w:asciiTheme="minorHAnsi" w:hAnsiTheme="minorHAnsi" w:cstheme="minorHAnsi"/>
                <w:i/>
                <w:color w:val="000000" w:themeColor="text1"/>
                <w:shd w:val="clear" w:color="auto" w:fill="FFFFFF"/>
              </w:rPr>
            </w:pPr>
            <w:r>
              <w:rPr>
                <w:rFonts w:asciiTheme="minorHAnsi" w:hAnsiTheme="minorHAnsi" w:cstheme="minorHAnsi"/>
                <w:i/>
                <w:color w:val="000000" w:themeColor="text1"/>
                <w:shd w:val="clear" w:color="auto" w:fill="FFFFFF"/>
              </w:rPr>
              <w:t>wilkerli@med.umich.edu</w:t>
            </w:r>
          </w:p>
          <w:p w14:paraId="2EFD68B2"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shd w:val="clear" w:color="auto" w:fill="FFFFFF"/>
              </w:rPr>
              <w:t>734-615-2429</w:t>
            </w:r>
          </w:p>
        </w:tc>
      </w:tr>
      <w:tr w:rsidR="009E195A" w14:paraId="5BBC7540" w14:textId="77777777">
        <w:tc>
          <w:tcPr>
            <w:tcW w:w="910" w:type="pct"/>
            <w:vAlign w:val="center"/>
          </w:tcPr>
          <w:p w14:paraId="682187EA"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2015-2016</w:t>
            </w:r>
          </w:p>
        </w:tc>
        <w:tc>
          <w:tcPr>
            <w:tcW w:w="910" w:type="pct"/>
            <w:shd w:val="clear" w:color="auto" w:fill="auto"/>
            <w:vAlign w:val="center"/>
          </w:tcPr>
          <w:p w14:paraId="696806C7"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Lauren Bienemann</w:t>
            </w:r>
          </w:p>
        </w:tc>
        <w:tc>
          <w:tcPr>
            <w:tcW w:w="722" w:type="pct"/>
            <w:shd w:val="clear" w:color="auto" w:fill="auto"/>
            <w:vAlign w:val="center"/>
          </w:tcPr>
          <w:p w14:paraId="56D8FA46"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Laboratory Technician</w:t>
            </w:r>
          </w:p>
        </w:tc>
        <w:tc>
          <w:tcPr>
            <w:tcW w:w="1097" w:type="pct"/>
            <w:shd w:val="clear" w:color="auto" w:fill="auto"/>
            <w:vAlign w:val="center"/>
          </w:tcPr>
          <w:p w14:paraId="5D06448B"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Biorepository Lead, University of Michigan</w:t>
            </w:r>
          </w:p>
        </w:tc>
        <w:tc>
          <w:tcPr>
            <w:tcW w:w="1361" w:type="pct"/>
            <w:vAlign w:val="center"/>
          </w:tcPr>
          <w:p w14:paraId="54805EAA" w14:textId="77777777" w:rsidR="009E195A" w:rsidRDefault="00D3374E">
            <w:pPr>
              <w:spacing w:after="0" w:line="240" w:lineRule="auto"/>
              <w:rPr>
                <w:rFonts w:asciiTheme="minorHAnsi" w:hAnsiTheme="minorHAnsi" w:cstheme="minorHAnsi"/>
                <w:i/>
                <w:color w:val="000000" w:themeColor="text1"/>
                <w:shd w:val="clear" w:color="auto" w:fill="FFFFFF"/>
              </w:rPr>
            </w:pPr>
            <w:r>
              <w:rPr>
                <w:rFonts w:asciiTheme="minorHAnsi" w:hAnsiTheme="minorHAnsi" w:cstheme="minorHAnsi"/>
                <w:i/>
                <w:color w:val="000000" w:themeColor="text1"/>
                <w:shd w:val="clear" w:color="auto" w:fill="FFFFFF"/>
              </w:rPr>
              <w:t>n/a</w:t>
            </w:r>
          </w:p>
        </w:tc>
      </w:tr>
      <w:tr w:rsidR="009E195A" w14:paraId="79D0AF3A" w14:textId="77777777">
        <w:tc>
          <w:tcPr>
            <w:tcW w:w="910" w:type="pct"/>
            <w:vAlign w:val="center"/>
          </w:tcPr>
          <w:p w14:paraId="67EAFBC1"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2016-2018</w:t>
            </w:r>
          </w:p>
        </w:tc>
        <w:tc>
          <w:tcPr>
            <w:tcW w:w="910" w:type="pct"/>
            <w:shd w:val="clear" w:color="auto" w:fill="auto"/>
            <w:vAlign w:val="center"/>
          </w:tcPr>
          <w:p w14:paraId="3CC8FD58"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Alissa Novack</w:t>
            </w:r>
          </w:p>
        </w:tc>
        <w:tc>
          <w:tcPr>
            <w:tcW w:w="722" w:type="pct"/>
            <w:shd w:val="clear" w:color="auto" w:fill="auto"/>
            <w:vAlign w:val="center"/>
          </w:tcPr>
          <w:p w14:paraId="05ABF7D5"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Laboratory Technician</w:t>
            </w:r>
          </w:p>
        </w:tc>
        <w:tc>
          <w:tcPr>
            <w:tcW w:w="1097" w:type="pct"/>
            <w:shd w:val="clear" w:color="auto" w:fill="auto"/>
            <w:vAlign w:val="center"/>
          </w:tcPr>
          <w:p w14:paraId="314F5835"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Biorepository Lead, University of Michigan</w:t>
            </w:r>
          </w:p>
        </w:tc>
        <w:tc>
          <w:tcPr>
            <w:tcW w:w="1361" w:type="pct"/>
            <w:vAlign w:val="center"/>
          </w:tcPr>
          <w:p w14:paraId="4BF7BB13" w14:textId="77777777" w:rsidR="009E195A" w:rsidRDefault="00D3374E">
            <w:pPr>
              <w:spacing w:after="0" w:line="240" w:lineRule="auto"/>
              <w:rPr>
                <w:rFonts w:asciiTheme="minorHAnsi" w:hAnsiTheme="minorHAnsi" w:cstheme="minorHAnsi"/>
                <w:i/>
                <w:color w:val="000000" w:themeColor="text1"/>
                <w:shd w:val="clear" w:color="auto" w:fill="FFFFFF"/>
              </w:rPr>
            </w:pPr>
            <w:r>
              <w:rPr>
                <w:rFonts w:asciiTheme="minorHAnsi" w:hAnsiTheme="minorHAnsi" w:cstheme="minorHAnsi"/>
                <w:i/>
                <w:color w:val="000000" w:themeColor="text1"/>
                <w:shd w:val="clear" w:color="auto" w:fill="FFFFFF"/>
              </w:rPr>
              <w:t>n/a</w:t>
            </w:r>
          </w:p>
        </w:tc>
      </w:tr>
      <w:tr w:rsidR="009E195A" w14:paraId="6E514585" w14:textId="77777777">
        <w:tc>
          <w:tcPr>
            <w:tcW w:w="5000" w:type="pct"/>
            <w:gridSpan w:val="5"/>
            <w:shd w:val="clear" w:color="auto" w:fill="D9D9D9"/>
            <w:vAlign w:val="center"/>
          </w:tcPr>
          <w:p w14:paraId="55DF306A"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Data Coordinating Center at Michigan Public Health Institute</w:t>
            </w:r>
          </w:p>
        </w:tc>
      </w:tr>
      <w:tr w:rsidR="009E195A" w14:paraId="6B09ADD9" w14:textId="77777777">
        <w:tc>
          <w:tcPr>
            <w:tcW w:w="910" w:type="pct"/>
            <w:tcBorders>
              <w:bottom w:val="single" w:sz="4" w:space="0" w:color="auto"/>
            </w:tcBorders>
            <w:vAlign w:val="center"/>
          </w:tcPr>
          <w:p w14:paraId="3EE4F88D"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2015 - current</w:t>
            </w:r>
          </w:p>
        </w:tc>
        <w:tc>
          <w:tcPr>
            <w:tcW w:w="910" w:type="pct"/>
            <w:tcBorders>
              <w:bottom w:val="single" w:sz="4" w:space="0" w:color="auto"/>
            </w:tcBorders>
            <w:vAlign w:val="center"/>
          </w:tcPr>
          <w:p w14:paraId="71200F2A"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Meghan Faulkner</w:t>
            </w:r>
          </w:p>
        </w:tc>
        <w:tc>
          <w:tcPr>
            <w:tcW w:w="722" w:type="pct"/>
            <w:tcBorders>
              <w:bottom w:val="single" w:sz="4" w:space="0" w:color="auto"/>
            </w:tcBorders>
            <w:vAlign w:val="center"/>
          </w:tcPr>
          <w:p w14:paraId="75F2A535"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SDY Data Coordinating Center Director</w:t>
            </w:r>
          </w:p>
        </w:tc>
        <w:tc>
          <w:tcPr>
            <w:tcW w:w="1097" w:type="pct"/>
            <w:tcBorders>
              <w:bottom w:val="single" w:sz="4" w:space="0" w:color="auto"/>
            </w:tcBorders>
            <w:vAlign w:val="center"/>
          </w:tcPr>
          <w:p w14:paraId="78B8D245"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Data Manager for SDY Case Registry, Technical Assistance</w:t>
            </w:r>
          </w:p>
        </w:tc>
        <w:tc>
          <w:tcPr>
            <w:tcW w:w="1361" w:type="pct"/>
            <w:tcBorders>
              <w:bottom w:val="single" w:sz="4" w:space="0" w:color="auto"/>
            </w:tcBorders>
            <w:vAlign w:val="center"/>
          </w:tcPr>
          <w:p w14:paraId="6567902F" w14:textId="77777777" w:rsidR="009E195A" w:rsidRDefault="00FD5816">
            <w:pPr>
              <w:spacing w:after="0"/>
              <w:rPr>
                <w:rFonts w:asciiTheme="minorHAnsi" w:hAnsiTheme="minorHAnsi" w:cstheme="minorHAnsi"/>
                <w:i/>
                <w:color w:val="000000" w:themeColor="text1"/>
              </w:rPr>
            </w:pPr>
            <w:hyperlink r:id="rId11" w:history="1">
              <w:r w:rsidR="00D3374E">
                <w:rPr>
                  <w:rFonts w:asciiTheme="minorHAnsi" w:hAnsiTheme="minorHAnsi" w:cstheme="minorHAnsi"/>
                  <w:i/>
                  <w:noProof/>
                  <w:color w:val="000000" w:themeColor="text1"/>
                </w:rPr>
                <w:t>mfaulkne@mphi.org</w:t>
              </w:r>
            </w:hyperlink>
          </w:p>
          <w:p w14:paraId="5113434C"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517-324-6014</w:t>
            </w:r>
          </w:p>
        </w:tc>
      </w:tr>
      <w:tr w:rsidR="009E195A" w14:paraId="6A6D50A4" w14:textId="77777777">
        <w:tc>
          <w:tcPr>
            <w:tcW w:w="910" w:type="pct"/>
            <w:tcBorders>
              <w:bottom w:val="single" w:sz="4" w:space="0" w:color="auto"/>
            </w:tcBorders>
            <w:vAlign w:val="center"/>
          </w:tcPr>
          <w:p w14:paraId="6D5F459B"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2014 - current</w:t>
            </w:r>
          </w:p>
        </w:tc>
        <w:tc>
          <w:tcPr>
            <w:tcW w:w="910" w:type="pct"/>
            <w:tcBorders>
              <w:bottom w:val="single" w:sz="4" w:space="0" w:color="auto"/>
            </w:tcBorders>
            <w:vAlign w:val="center"/>
          </w:tcPr>
          <w:p w14:paraId="7AFE3B2C" w14:textId="77777777" w:rsidR="009E195A" w:rsidRDefault="009E195A">
            <w:pPr>
              <w:spacing w:after="0" w:line="240" w:lineRule="auto"/>
              <w:rPr>
                <w:rFonts w:asciiTheme="minorHAnsi" w:hAnsiTheme="minorHAnsi" w:cstheme="minorHAnsi"/>
                <w:i/>
                <w:color w:val="000000" w:themeColor="text1"/>
              </w:rPr>
            </w:pPr>
          </w:p>
          <w:p w14:paraId="06310E89"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Heather MacLeod</w:t>
            </w:r>
          </w:p>
        </w:tc>
        <w:tc>
          <w:tcPr>
            <w:tcW w:w="722" w:type="pct"/>
            <w:tcBorders>
              <w:bottom w:val="single" w:sz="4" w:space="0" w:color="auto"/>
            </w:tcBorders>
            <w:vAlign w:val="center"/>
          </w:tcPr>
          <w:p w14:paraId="23074183"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SDY Data Coordinating Center Senior Project Manager</w:t>
            </w:r>
          </w:p>
        </w:tc>
        <w:tc>
          <w:tcPr>
            <w:tcW w:w="1097" w:type="pct"/>
            <w:tcBorders>
              <w:bottom w:val="single" w:sz="4" w:space="0" w:color="auto"/>
            </w:tcBorders>
            <w:vAlign w:val="center"/>
          </w:tcPr>
          <w:p w14:paraId="68690AB7"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Primary contact for SDY; expertise in genetic counseling, Technical Assistance</w:t>
            </w:r>
          </w:p>
        </w:tc>
        <w:tc>
          <w:tcPr>
            <w:tcW w:w="1361" w:type="pct"/>
            <w:tcBorders>
              <w:bottom w:val="single" w:sz="4" w:space="0" w:color="auto"/>
            </w:tcBorders>
            <w:vAlign w:val="center"/>
          </w:tcPr>
          <w:p w14:paraId="20CCFD4D" w14:textId="77777777" w:rsidR="009E195A" w:rsidRDefault="00FD5816">
            <w:pPr>
              <w:spacing w:after="0" w:line="240" w:lineRule="auto"/>
              <w:rPr>
                <w:rFonts w:asciiTheme="minorHAnsi" w:eastAsia="Times New Roman" w:hAnsiTheme="minorHAnsi" w:cstheme="minorHAnsi"/>
                <w:i/>
                <w:color w:val="000000" w:themeColor="text1"/>
              </w:rPr>
            </w:pPr>
            <w:hyperlink r:id="rId12" w:history="1">
              <w:r w:rsidR="00D3374E">
                <w:rPr>
                  <w:rFonts w:asciiTheme="minorHAnsi" w:eastAsia="Times New Roman" w:hAnsiTheme="minorHAnsi" w:cstheme="minorHAnsi"/>
                  <w:i/>
                  <w:color w:val="000000" w:themeColor="text1"/>
                </w:rPr>
                <w:t>hmacleodgc@gmail.com</w:t>
              </w:r>
            </w:hyperlink>
          </w:p>
          <w:p w14:paraId="731E3F3F"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630-432-9918</w:t>
            </w:r>
          </w:p>
        </w:tc>
      </w:tr>
      <w:tr w:rsidR="009E195A" w14:paraId="01B81430" w14:textId="77777777">
        <w:tc>
          <w:tcPr>
            <w:tcW w:w="910" w:type="pct"/>
            <w:tcBorders>
              <w:bottom w:val="single" w:sz="4" w:space="0" w:color="auto"/>
            </w:tcBorders>
            <w:vAlign w:val="center"/>
          </w:tcPr>
          <w:p w14:paraId="7EBB8E0C"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2014-2107</w:t>
            </w:r>
          </w:p>
        </w:tc>
        <w:tc>
          <w:tcPr>
            <w:tcW w:w="910" w:type="pct"/>
            <w:tcBorders>
              <w:bottom w:val="single" w:sz="4" w:space="0" w:color="auto"/>
            </w:tcBorders>
            <w:vAlign w:val="center"/>
          </w:tcPr>
          <w:p w14:paraId="7C4566D4"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Teri Covington</w:t>
            </w:r>
          </w:p>
        </w:tc>
        <w:tc>
          <w:tcPr>
            <w:tcW w:w="722" w:type="pct"/>
            <w:tcBorders>
              <w:bottom w:val="single" w:sz="4" w:space="0" w:color="auto"/>
            </w:tcBorders>
            <w:vAlign w:val="center"/>
          </w:tcPr>
          <w:p w14:paraId="0D86D89E"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Directions of the National Center for Fatality Review and Prevention</w:t>
            </w:r>
          </w:p>
        </w:tc>
        <w:tc>
          <w:tcPr>
            <w:tcW w:w="1097" w:type="pct"/>
            <w:tcBorders>
              <w:bottom w:val="single" w:sz="4" w:space="0" w:color="auto"/>
            </w:tcBorders>
            <w:vAlign w:val="center"/>
          </w:tcPr>
          <w:p w14:paraId="0930D3C8"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Expert in fatality review protocols and procedures</w:t>
            </w:r>
          </w:p>
        </w:tc>
        <w:tc>
          <w:tcPr>
            <w:tcW w:w="1361" w:type="pct"/>
            <w:tcBorders>
              <w:bottom w:val="single" w:sz="4" w:space="0" w:color="auto"/>
            </w:tcBorders>
            <w:vAlign w:val="center"/>
          </w:tcPr>
          <w:p w14:paraId="313963D8" w14:textId="77777777" w:rsidR="009E195A" w:rsidRDefault="00D3374E">
            <w:pPr>
              <w:spacing w:after="0" w:line="240" w:lineRule="auto"/>
              <w:rPr>
                <w:rFonts w:asciiTheme="minorHAnsi" w:hAnsiTheme="minorHAnsi" w:cstheme="minorHAnsi"/>
              </w:rPr>
            </w:pPr>
            <w:r>
              <w:rPr>
                <w:rFonts w:asciiTheme="minorHAnsi" w:hAnsiTheme="minorHAnsi" w:cstheme="minorHAnsi"/>
              </w:rPr>
              <w:t>n/a</w:t>
            </w:r>
          </w:p>
        </w:tc>
      </w:tr>
      <w:tr w:rsidR="009E195A" w14:paraId="11BE487D" w14:textId="77777777">
        <w:tc>
          <w:tcPr>
            <w:tcW w:w="5000" w:type="pct"/>
            <w:gridSpan w:val="5"/>
            <w:tcBorders>
              <w:top w:val="single" w:sz="4" w:space="0" w:color="auto"/>
              <w:bottom w:val="single" w:sz="4" w:space="0" w:color="auto"/>
            </w:tcBorders>
            <w:shd w:val="clear" w:color="auto" w:fill="D9D9D9"/>
            <w:vAlign w:val="center"/>
          </w:tcPr>
          <w:p w14:paraId="0DEB2A31"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National Institutes of Health</w:t>
            </w:r>
          </w:p>
        </w:tc>
      </w:tr>
      <w:tr w:rsidR="009E195A" w14:paraId="79787C2B" w14:textId="77777777">
        <w:tc>
          <w:tcPr>
            <w:tcW w:w="910" w:type="pct"/>
            <w:tcBorders>
              <w:top w:val="single" w:sz="4" w:space="0" w:color="auto"/>
              <w:bottom w:val="single" w:sz="4" w:space="0" w:color="auto"/>
            </w:tcBorders>
            <w:vAlign w:val="center"/>
          </w:tcPr>
          <w:p w14:paraId="4BEF8DBF"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2014 - current</w:t>
            </w:r>
          </w:p>
        </w:tc>
        <w:tc>
          <w:tcPr>
            <w:tcW w:w="910" w:type="pct"/>
            <w:tcBorders>
              <w:top w:val="single" w:sz="4" w:space="0" w:color="auto"/>
              <w:bottom w:val="single" w:sz="4" w:space="0" w:color="auto"/>
            </w:tcBorders>
            <w:vAlign w:val="center"/>
          </w:tcPr>
          <w:p w14:paraId="401DA3EA"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Kristin Burns</w:t>
            </w:r>
          </w:p>
        </w:tc>
        <w:tc>
          <w:tcPr>
            <w:tcW w:w="722" w:type="pct"/>
            <w:tcBorders>
              <w:top w:val="single" w:sz="4" w:space="0" w:color="auto"/>
              <w:bottom w:val="single" w:sz="4" w:space="0" w:color="auto"/>
            </w:tcBorders>
            <w:vAlign w:val="center"/>
          </w:tcPr>
          <w:p w14:paraId="4C262571"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Medical Officer, National Heart, Lung, and Blood Institute (NHLBI)</w:t>
            </w:r>
          </w:p>
        </w:tc>
        <w:tc>
          <w:tcPr>
            <w:tcW w:w="1097" w:type="pct"/>
            <w:tcBorders>
              <w:top w:val="single" w:sz="4" w:space="0" w:color="auto"/>
              <w:bottom w:val="single" w:sz="4" w:space="0" w:color="auto"/>
            </w:tcBorders>
            <w:vAlign w:val="center"/>
          </w:tcPr>
          <w:p w14:paraId="6E774D4B"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Overall lead for SDY Case Registry Study.</w:t>
            </w:r>
          </w:p>
          <w:p w14:paraId="71DD3000"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Primary contact for questions related to cardiac conditions</w:t>
            </w:r>
          </w:p>
        </w:tc>
        <w:tc>
          <w:tcPr>
            <w:tcW w:w="1361" w:type="pct"/>
            <w:tcBorders>
              <w:top w:val="single" w:sz="4" w:space="0" w:color="auto"/>
              <w:bottom w:val="single" w:sz="4" w:space="0" w:color="auto"/>
            </w:tcBorders>
            <w:vAlign w:val="center"/>
          </w:tcPr>
          <w:p w14:paraId="4D8776A5" w14:textId="77777777" w:rsidR="009E195A" w:rsidRDefault="00FD5816">
            <w:pPr>
              <w:spacing w:after="0"/>
              <w:rPr>
                <w:rFonts w:asciiTheme="minorHAnsi" w:hAnsiTheme="minorHAnsi" w:cstheme="minorHAnsi"/>
                <w:i/>
                <w:noProof/>
                <w:color w:val="000000" w:themeColor="text1"/>
              </w:rPr>
            </w:pPr>
            <w:hyperlink r:id="rId13" w:history="1">
              <w:r w:rsidR="00D3374E">
                <w:rPr>
                  <w:rFonts w:asciiTheme="minorHAnsi" w:hAnsiTheme="minorHAnsi" w:cstheme="minorHAnsi"/>
                  <w:i/>
                  <w:noProof/>
                  <w:color w:val="000000" w:themeColor="text1"/>
                </w:rPr>
                <w:t>kristin.burns@nih.gov</w:t>
              </w:r>
            </w:hyperlink>
          </w:p>
          <w:p w14:paraId="60DF8184"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301-594-6859</w:t>
            </w:r>
          </w:p>
        </w:tc>
      </w:tr>
      <w:tr w:rsidR="009E195A" w14:paraId="4DC21F52" w14:textId="77777777">
        <w:tc>
          <w:tcPr>
            <w:tcW w:w="910" w:type="pct"/>
            <w:tcBorders>
              <w:top w:val="single" w:sz="4" w:space="0" w:color="auto"/>
              <w:bottom w:val="single" w:sz="4" w:space="0" w:color="auto"/>
            </w:tcBorders>
            <w:vAlign w:val="center"/>
          </w:tcPr>
          <w:p w14:paraId="1E4067F2"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2014 - current</w:t>
            </w:r>
          </w:p>
        </w:tc>
        <w:tc>
          <w:tcPr>
            <w:tcW w:w="910" w:type="pct"/>
            <w:tcBorders>
              <w:top w:val="single" w:sz="4" w:space="0" w:color="auto"/>
              <w:bottom w:val="single" w:sz="4" w:space="0" w:color="auto"/>
            </w:tcBorders>
            <w:vAlign w:val="center"/>
          </w:tcPr>
          <w:p w14:paraId="27E07F2A"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Jonathan Kaltman</w:t>
            </w:r>
          </w:p>
        </w:tc>
        <w:tc>
          <w:tcPr>
            <w:tcW w:w="722" w:type="pct"/>
            <w:tcBorders>
              <w:top w:val="single" w:sz="4" w:space="0" w:color="auto"/>
              <w:bottom w:val="single" w:sz="4" w:space="0" w:color="auto"/>
            </w:tcBorders>
            <w:vAlign w:val="center"/>
          </w:tcPr>
          <w:p w14:paraId="6A7B3656"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Branch Chief, NHLBI</w:t>
            </w:r>
          </w:p>
        </w:tc>
        <w:tc>
          <w:tcPr>
            <w:tcW w:w="1097" w:type="pct"/>
            <w:tcBorders>
              <w:top w:val="single" w:sz="4" w:space="0" w:color="auto"/>
              <w:bottom w:val="single" w:sz="4" w:space="0" w:color="auto"/>
            </w:tcBorders>
            <w:vAlign w:val="center"/>
          </w:tcPr>
          <w:p w14:paraId="13E07768"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Overall project guidance</w:t>
            </w:r>
          </w:p>
        </w:tc>
        <w:tc>
          <w:tcPr>
            <w:tcW w:w="1361" w:type="pct"/>
            <w:tcBorders>
              <w:top w:val="single" w:sz="4" w:space="0" w:color="auto"/>
              <w:bottom w:val="single" w:sz="4" w:space="0" w:color="auto"/>
            </w:tcBorders>
            <w:vAlign w:val="center"/>
          </w:tcPr>
          <w:p w14:paraId="2551956B" w14:textId="77777777" w:rsidR="009E195A" w:rsidRDefault="00D3374E">
            <w:pPr>
              <w:spacing w:after="0" w:line="240" w:lineRule="auto"/>
              <w:rPr>
                <w:rFonts w:asciiTheme="minorHAnsi" w:hAnsiTheme="minorHAnsi" w:cstheme="minorHAnsi"/>
                <w:i/>
                <w:color w:val="000000" w:themeColor="text1"/>
                <w:shd w:val="clear" w:color="auto" w:fill="FFFFFF"/>
              </w:rPr>
            </w:pPr>
            <w:r>
              <w:rPr>
                <w:rFonts w:asciiTheme="minorHAnsi" w:hAnsiTheme="minorHAnsi" w:cstheme="minorHAnsi"/>
                <w:i/>
                <w:color w:val="000000" w:themeColor="text1"/>
                <w:shd w:val="clear" w:color="auto" w:fill="FFFFFF"/>
              </w:rPr>
              <w:t>kaltmanj@nhlbi.nih.gov</w:t>
            </w:r>
          </w:p>
          <w:p w14:paraId="45DDEC08"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shd w:val="clear" w:color="auto" w:fill="FFFFFF"/>
              </w:rPr>
              <w:t>301-435-0528</w:t>
            </w:r>
          </w:p>
          <w:p w14:paraId="6DB4D7A7" w14:textId="77777777" w:rsidR="009E195A" w:rsidRDefault="009E195A">
            <w:pPr>
              <w:spacing w:after="0" w:line="240" w:lineRule="auto"/>
              <w:rPr>
                <w:rFonts w:asciiTheme="minorHAnsi" w:hAnsiTheme="minorHAnsi" w:cstheme="minorHAnsi"/>
                <w:i/>
                <w:color w:val="000000" w:themeColor="text1"/>
              </w:rPr>
            </w:pPr>
          </w:p>
        </w:tc>
      </w:tr>
      <w:tr w:rsidR="009E195A" w14:paraId="3398BE4A" w14:textId="77777777">
        <w:tc>
          <w:tcPr>
            <w:tcW w:w="910" w:type="pct"/>
            <w:tcBorders>
              <w:top w:val="single" w:sz="4" w:space="0" w:color="auto"/>
              <w:bottom w:val="single" w:sz="4" w:space="0" w:color="auto"/>
            </w:tcBorders>
            <w:vAlign w:val="center"/>
          </w:tcPr>
          <w:p w14:paraId="2B387E28"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2014 - current</w:t>
            </w:r>
          </w:p>
        </w:tc>
        <w:tc>
          <w:tcPr>
            <w:tcW w:w="910" w:type="pct"/>
            <w:tcBorders>
              <w:top w:val="single" w:sz="4" w:space="0" w:color="auto"/>
              <w:bottom w:val="single" w:sz="4" w:space="0" w:color="auto"/>
            </w:tcBorders>
            <w:vAlign w:val="center"/>
          </w:tcPr>
          <w:p w14:paraId="314C978E"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Vicky Whittemore</w:t>
            </w:r>
          </w:p>
        </w:tc>
        <w:tc>
          <w:tcPr>
            <w:tcW w:w="722" w:type="pct"/>
            <w:tcBorders>
              <w:top w:val="single" w:sz="4" w:space="0" w:color="auto"/>
              <w:bottom w:val="single" w:sz="4" w:space="0" w:color="auto"/>
            </w:tcBorders>
            <w:vAlign w:val="center"/>
          </w:tcPr>
          <w:p w14:paraId="625EDFF3"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Program Director,</w:t>
            </w:r>
          </w:p>
          <w:p w14:paraId="6CC26469"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National Institute of Neurologic Disorders and Stroke</w:t>
            </w:r>
          </w:p>
        </w:tc>
        <w:tc>
          <w:tcPr>
            <w:tcW w:w="1097" w:type="pct"/>
            <w:tcBorders>
              <w:top w:val="single" w:sz="4" w:space="0" w:color="auto"/>
              <w:bottom w:val="single" w:sz="4" w:space="0" w:color="auto"/>
            </w:tcBorders>
            <w:vAlign w:val="center"/>
          </w:tcPr>
          <w:p w14:paraId="78930900"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Sudden Unexpected Death in Epilepsy (SUDEP) and epilepsy</w:t>
            </w:r>
          </w:p>
        </w:tc>
        <w:tc>
          <w:tcPr>
            <w:tcW w:w="1361" w:type="pct"/>
            <w:tcBorders>
              <w:top w:val="single" w:sz="4" w:space="0" w:color="auto"/>
              <w:bottom w:val="single" w:sz="4" w:space="0" w:color="auto"/>
            </w:tcBorders>
            <w:vAlign w:val="center"/>
          </w:tcPr>
          <w:p w14:paraId="3BCD44C1" w14:textId="77777777" w:rsidR="009E195A" w:rsidRDefault="00FD5816">
            <w:pPr>
              <w:spacing w:after="0"/>
              <w:rPr>
                <w:rFonts w:asciiTheme="minorHAnsi" w:hAnsiTheme="minorHAnsi" w:cstheme="minorHAnsi"/>
                <w:i/>
                <w:noProof/>
                <w:color w:val="000000" w:themeColor="text1"/>
              </w:rPr>
            </w:pPr>
            <w:hyperlink r:id="rId14" w:history="1">
              <w:r w:rsidR="00D3374E">
                <w:rPr>
                  <w:rFonts w:asciiTheme="minorHAnsi" w:hAnsiTheme="minorHAnsi" w:cstheme="minorHAnsi"/>
                  <w:i/>
                  <w:noProof/>
                  <w:color w:val="000000" w:themeColor="text1"/>
                </w:rPr>
                <w:t>vicky.whittemore@nih.gov</w:t>
              </w:r>
            </w:hyperlink>
          </w:p>
          <w:p w14:paraId="4CD36E6A"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301-496-1917</w:t>
            </w:r>
          </w:p>
          <w:p w14:paraId="663FAB3A" w14:textId="77777777" w:rsidR="009E195A" w:rsidRDefault="009E195A">
            <w:pPr>
              <w:spacing w:after="0" w:line="240" w:lineRule="auto"/>
              <w:rPr>
                <w:rFonts w:asciiTheme="minorHAnsi" w:hAnsiTheme="minorHAnsi" w:cstheme="minorHAnsi"/>
                <w:i/>
                <w:color w:val="000000" w:themeColor="text1"/>
              </w:rPr>
            </w:pPr>
          </w:p>
        </w:tc>
      </w:tr>
      <w:tr w:rsidR="009E195A" w14:paraId="77E21A02" w14:textId="77777777">
        <w:tc>
          <w:tcPr>
            <w:tcW w:w="910" w:type="pct"/>
            <w:tcBorders>
              <w:top w:val="single" w:sz="4" w:space="0" w:color="auto"/>
              <w:bottom w:val="single" w:sz="4" w:space="0" w:color="auto"/>
            </w:tcBorders>
            <w:vAlign w:val="center"/>
          </w:tcPr>
          <w:p w14:paraId="05C8FE25"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2014-2016</w:t>
            </w:r>
          </w:p>
        </w:tc>
        <w:tc>
          <w:tcPr>
            <w:tcW w:w="910" w:type="pct"/>
            <w:tcBorders>
              <w:top w:val="single" w:sz="4" w:space="0" w:color="auto"/>
              <w:bottom w:val="single" w:sz="4" w:space="0" w:color="auto"/>
            </w:tcBorders>
            <w:vAlign w:val="center"/>
          </w:tcPr>
          <w:p w14:paraId="0ACA7C14"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Ellen Rosenberg</w:t>
            </w:r>
          </w:p>
        </w:tc>
        <w:tc>
          <w:tcPr>
            <w:tcW w:w="722" w:type="pct"/>
            <w:tcBorders>
              <w:top w:val="single" w:sz="4" w:space="0" w:color="auto"/>
              <w:bottom w:val="single" w:sz="4" w:space="0" w:color="auto"/>
            </w:tcBorders>
            <w:vAlign w:val="center"/>
          </w:tcPr>
          <w:p w14:paraId="1506CC4E"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Clinical Trial Specialist, NHLBI</w:t>
            </w:r>
          </w:p>
        </w:tc>
        <w:tc>
          <w:tcPr>
            <w:tcW w:w="1097" w:type="pct"/>
            <w:tcBorders>
              <w:top w:val="single" w:sz="4" w:space="0" w:color="auto"/>
              <w:bottom w:val="single" w:sz="4" w:space="0" w:color="auto"/>
            </w:tcBorders>
            <w:vAlign w:val="center"/>
          </w:tcPr>
          <w:p w14:paraId="40D8994A" w14:textId="77777777" w:rsidR="009E195A" w:rsidRDefault="00D3374E">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t>Consent Expert</w:t>
            </w:r>
          </w:p>
        </w:tc>
        <w:tc>
          <w:tcPr>
            <w:tcW w:w="1361" w:type="pct"/>
            <w:tcBorders>
              <w:top w:val="single" w:sz="4" w:space="0" w:color="auto"/>
              <w:bottom w:val="single" w:sz="4" w:space="0" w:color="auto"/>
            </w:tcBorders>
            <w:vAlign w:val="center"/>
          </w:tcPr>
          <w:p w14:paraId="507D7443" w14:textId="77777777" w:rsidR="009E195A" w:rsidRDefault="00D3374E">
            <w:pPr>
              <w:spacing w:after="0"/>
              <w:rPr>
                <w:rFonts w:asciiTheme="minorHAnsi" w:hAnsiTheme="minorHAnsi" w:cstheme="minorHAnsi"/>
              </w:rPr>
            </w:pPr>
            <w:r>
              <w:rPr>
                <w:rFonts w:asciiTheme="minorHAnsi" w:hAnsiTheme="minorHAnsi" w:cstheme="minorHAnsi"/>
              </w:rPr>
              <w:t>n/a</w:t>
            </w:r>
          </w:p>
        </w:tc>
      </w:tr>
    </w:tbl>
    <w:p w14:paraId="380CBF9B" w14:textId="77777777" w:rsidR="009E195A" w:rsidRDefault="009E195A">
      <w:pPr>
        <w:spacing w:line="240" w:lineRule="auto"/>
        <w:rPr>
          <w:rFonts w:asciiTheme="minorHAnsi" w:hAnsiTheme="minorHAnsi" w:cstheme="minorHAnsi"/>
        </w:rPr>
      </w:pPr>
    </w:p>
    <w:p w14:paraId="5C1F60F8" w14:textId="77777777" w:rsidR="009E195A" w:rsidRDefault="00D3374E">
      <w:pPr>
        <w:pStyle w:val="Heading1"/>
        <w:rPr>
          <w:rFonts w:asciiTheme="minorHAnsi" w:hAnsiTheme="minorHAnsi" w:cstheme="minorHAnsi"/>
          <w:b/>
          <w:sz w:val="22"/>
          <w:szCs w:val="22"/>
        </w:rPr>
      </w:pPr>
      <w:bookmarkStart w:id="12" w:name="_Toc519847091"/>
      <w:r>
        <w:rPr>
          <w:rFonts w:asciiTheme="minorHAnsi" w:hAnsiTheme="minorHAnsi" w:cstheme="minorHAnsi"/>
          <w:b/>
          <w:sz w:val="22"/>
          <w:szCs w:val="22"/>
        </w:rPr>
        <w:t>9. Explanation of Any Payment or Gift to Respondents</w:t>
      </w:r>
      <w:bookmarkEnd w:id="12"/>
    </w:p>
    <w:p w14:paraId="3AD7E4C2"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No remuneration will be provided to respondents. </w:t>
      </w:r>
    </w:p>
    <w:p w14:paraId="076FB814" w14:textId="77777777" w:rsidR="009E195A" w:rsidRDefault="009E195A">
      <w:pPr>
        <w:spacing w:after="0" w:line="240" w:lineRule="auto"/>
        <w:rPr>
          <w:rFonts w:asciiTheme="minorHAnsi" w:hAnsiTheme="minorHAnsi" w:cstheme="minorHAnsi"/>
        </w:rPr>
      </w:pPr>
    </w:p>
    <w:p w14:paraId="63F58352" w14:textId="77777777" w:rsidR="009E195A" w:rsidRDefault="00D3374E">
      <w:pPr>
        <w:pStyle w:val="Heading1"/>
        <w:rPr>
          <w:rFonts w:asciiTheme="minorHAnsi" w:hAnsiTheme="minorHAnsi" w:cstheme="minorHAnsi"/>
          <w:b/>
          <w:sz w:val="22"/>
          <w:szCs w:val="22"/>
        </w:rPr>
      </w:pPr>
      <w:bookmarkStart w:id="13" w:name="_Toc519847092"/>
      <w:r>
        <w:rPr>
          <w:rFonts w:asciiTheme="minorHAnsi" w:hAnsiTheme="minorHAnsi" w:cstheme="minorHAnsi"/>
          <w:b/>
          <w:sz w:val="22"/>
          <w:szCs w:val="22"/>
        </w:rPr>
        <w:t>10. Protection of the Privacy and Con</w:t>
      </w:r>
      <w:r>
        <w:rPr>
          <w:rFonts w:asciiTheme="minorHAnsi" w:hAnsiTheme="minorHAnsi" w:cstheme="minorHAnsi"/>
          <w:b/>
          <w:sz w:val="22"/>
          <w:szCs w:val="22"/>
        </w:rPr>
        <w:softHyphen/>
        <w:t>fidentiality of Information Provided by Respondents</w:t>
      </w:r>
      <w:bookmarkEnd w:id="13"/>
    </w:p>
    <w:p w14:paraId="5CBBD97F" w14:textId="739C162D" w:rsidR="009E195A" w:rsidRDefault="00D3374E">
      <w:pPr>
        <w:rPr>
          <w:rFonts w:asciiTheme="minorHAnsi" w:hAnsiTheme="minorHAnsi" w:cstheme="minorHAnsi"/>
        </w:rPr>
      </w:pPr>
      <w:r>
        <w:rPr>
          <w:rFonts w:asciiTheme="minorHAnsi" w:hAnsiTheme="minorHAnsi" w:cstheme="minorHAnsi"/>
        </w:rPr>
        <w:t>This submission has been reviewed by staff in CDC’s National Center for Chronic Disease Prevention and Health Promotion who determined that the Privacy Act does not apply. The Privacy Act does not apply because CDC does not collect or receive any information in identifiable form (IIF)..</w:t>
      </w:r>
    </w:p>
    <w:p w14:paraId="2D93CEE1" w14:textId="77777777" w:rsidR="009E195A" w:rsidRDefault="00D3374E">
      <w:pPr>
        <w:rPr>
          <w:rFonts w:asciiTheme="minorHAnsi" w:hAnsiTheme="minorHAnsi" w:cstheme="minorHAnsi"/>
        </w:rPr>
      </w:pPr>
      <w:r>
        <w:rPr>
          <w:rFonts w:asciiTheme="minorHAnsi" w:hAnsiTheme="minorHAnsi" w:cstheme="minorHAnsi"/>
        </w:rPr>
        <w:t>De-identified data are transmitted to CDC on a quarterly basis, via a secure file transfer protocol (SFTP) site. The CDC stores all electronic data in a secure and confidential location that only CDC’s SUID/SDY Case Registry team members have access to. Electronic data is backed up on a secure server per CDC protocol.  </w:t>
      </w:r>
    </w:p>
    <w:p w14:paraId="1A745D3D" w14:textId="77777777" w:rsidR="009E195A" w:rsidRDefault="00D3374E">
      <w:pPr>
        <w:rPr>
          <w:rFonts w:asciiTheme="minorHAnsi" w:hAnsiTheme="minorHAnsi" w:cstheme="minorHAnsi"/>
        </w:rPr>
      </w:pPr>
      <w:r>
        <w:rPr>
          <w:rFonts w:asciiTheme="minorHAnsi" w:hAnsiTheme="minorHAnsi" w:cstheme="minorHAnsi"/>
        </w:rPr>
        <w:t>While the Privacy Act is not applicable, the appropriate security controls and rules of behavior will be incorporated to protect the confidentiality of information, proprietary, sensitive, and personally identifiable information (PII) the awardee may come in contact with.</w:t>
      </w:r>
    </w:p>
    <w:p w14:paraId="7D29BC48" w14:textId="77777777" w:rsidR="009E195A" w:rsidRDefault="00D3374E">
      <w:pPr>
        <w:rPr>
          <w:rFonts w:asciiTheme="minorHAnsi" w:hAnsiTheme="minorHAnsi" w:cstheme="minorHAnsi"/>
        </w:rPr>
      </w:pPr>
      <w:r>
        <w:rPr>
          <w:rFonts w:asciiTheme="minorHAnsi" w:hAnsiTheme="minorHAnsi" w:cstheme="minorHAnsi"/>
        </w:rPr>
        <w:t xml:space="preserve">As part of the regular child death review process, respondents enter extensive information about individual cases, including PII, into the NFR-CRS, a web-based system stored on the MPHI’s secured servers. However, while this information is stored on MPHI servers using infrastructure managed by NCFRP, this information is entered by a designated person for each state/jurisdiction who is granted restricted access. All PII collected as a part of case reporting is managed and maintained by individual states and jurisdictions.  Only state and jurisdiction personnel are granted this restricted access and only for their own state/jurisdiction so that they are unable to access and enter PII for other jurisdictions. The NCFRP assigns a unique and auto-generated identifier to reference individual cases and creates de-identified data sets that do not contain any PII (i.e., no dates, locations, and names are included). All PII is stripped from any NCFRP data download received by CDC. </w:t>
      </w:r>
    </w:p>
    <w:p w14:paraId="45290F2A" w14:textId="5E5C1DD1" w:rsidR="009E195A" w:rsidRDefault="00D3374E">
      <w:pPr>
        <w:rPr>
          <w:rFonts w:asciiTheme="minorHAnsi" w:hAnsiTheme="minorHAnsi" w:cstheme="minorHAnsi"/>
        </w:rPr>
      </w:pPr>
      <w:r>
        <w:rPr>
          <w:rFonts w:asciiTheme="minorHAnsi" w:hAnsiTheme="minorHAnsi" w:cstheme="minorHAnsi"/>
        </w:rPr>
        <w:t>The NCFRP provides CDC</w:t>
      </w:r>
      <w:r w:rsidR="00900BD2">
        <w:rPr>
          <w:rFonts w:asciiTheme="minorHAnsi" w:hAnsiTheme="minorHAnsi" w:cstheme="minorHAnsi"/>
        </w:rPr>
        <w:t xml:space="preserve"> and NIH</w:t>
      </w:r>
      <w:r>
        <w:rPr>
          <w:rFonts w:asciiTheme="minorHAnsi" w:hAnsiTheme="minorHAnsi" w:cstheme="minorHAnsi"/>
        </w:rPr>
        <w:t xml:space="preserve"> with a de-identified data set for funded jurisdictions</w:t>
      </w:r>
      <w:r w:rsidR="00900BD2">
        <w:rPr>
          <w:rFonts w:asciiTheme="minorHAnsi" w:hAnsiTheme="minorHAnsi" w:cstheme="minorHAnsi"/>
        </w:rPr>
        <w:t xml:space="preserve"> subject to the terms in the data use agreement between (</w:t>
      </w:r>
      <w:r w:rsidR="00900BD2">
        <w:rPr>
          <w:rFonts w:asciiTheme="minorHAnsi" w:hAnsiTheme="minorHAnsi" w:cstheme="minorHAnsi"/>
          <w:b/>
        </w:rPr>
        <w:t>Attachment 3a</w:t>
      </w:r>
      <w:r w:rsidR="00900BD2">
        <w:rPr>
          <w:rFonts w:asciiTheme="minorHAnsi" w:hAnsiTheme="minorHAnsi" w:cstheme="minorHAnsi"/>
        </w:rPr>
        <w:t>). </w:t>
      </w:r>
      <w:r>
        <w:rPr>
          <w:rFonts w:asciiTheme="minorHAnsi" w:hAnsiTheme="minorHAnsi" w:cstheme="minorHAnsi"/>
        </w:rPr>
        <w:t xml:space="preserve">. The CDC agrees that it will not release nor permit others to release the data set or any part of it to any person other than the members of the CDC who have completed a data usage agreement form </w:t>
      </w:r>
      <w:r w:rsidR="00880743">
        <w:rPr>
          <w:rFonts w:asciiTheme="minorHAnsi" w:hAnsiTheme="minorHAnsi" w:cstheme="minorHAnsi"/>
        </w:rPr>
        <w:t xml:space="preserve">CDC is also </w:t>
      </w:r>
      <w:r>
        <w:rPr>
          <w:rFonts w:asciiTheme="minorHAnsi" w:hAnsiTheme="minorHAnsi" w:cstheme="minorHAnsi"/>
        </w:rPr>
        <w:t xml:space="preserve">subject to the terms of a data use agreement </w:t>
      </w:r>
      <w:r w:rsidR="00880743">
        <w:rPr>
          <w:rFonts w:asciiTheme="minorHAnsi" w:hAnsiTheme="minorHAnsi" w:cstheme="minorHAnsi"/>
        </w:rPr>
        <w:t>with states</w:t>
      </w:r>
      <w:r>
        <w:rPr>
          <w:rFonts w:asciiTheme="minorHAnsi" w:hAnsiTheme="minorHAnsi" w:cstheme="minorHAnsi"/>
        </w:rPr>
        <w:t xml:space="preserve"> (</w:t>
      </w:r>
      <w:r>
        <w:rPr>
          <w:rFonts w:asciiTheme="minorHAnsi" w:hAnsiTheme="minorHAnsi" w:cstheme="minorHAnsi"/>
          <w:b/>
        </w:rPr>
        <w:t>Attachment 3b</w:t>
      </w:r>
      <w:r>
        <w:rPr>
          <w:rFonts w:asciiTheme="minorHAnsi" w:hAnsiTheme="minorHAnsi" w:cstheme="minorHAnsi"/>
        </w:rPr>
        <w:t xml:space="preserve">). </w:t>
      </w:r>
    </w:p>
    <w:p w14:paraId="18D8317A" w14:textId="77777777" w:rsidR="009E195A" w:rsidRDefault="00D3374E">
      <w:pPr>
        <w:spacing w:after="0"/>
        <w:rPr>
          <w:rFonts w:asciiTheme="minorHAnsi" w:hAnsiTheme="minorHAnsi" w:cstheme="minorHAnsi"/>
        </w:rPr>
      </w:pPr>
      <w:r>
        <w:rPr>
          <w:rFonts w:asciiTheme="minorHAnsi" w:hAnsiTheme="minorHAnsi" w:cstheme="minorHAnsi"/>
        </w:rPr>
        <w:t xml:space="preserve">MPHI, the parent organization of NCFRP and the entity responsible for security and privacy, has formal policies, which are relevant specifically to security of all data in the case reporting system, including the SDY modules: </w:t>
      </w:r>
    </w:p>
    <w:p w14:paraId="38EEE1D3" w14:textId="77777777" w:rsidR="009E195A" w:rsidRDefault="00D3374E">
      <w:pPr>
        <w:pStyle w:val="ListParagraph"/>
        <w:numPr>
          <w:ilvl w:val="0"/>
          <w:numId w:val="14"/>
        </w:numPr>
        <w:spacing w:after="0"/>
        <w:ind w:left="630"/>
        <w:rPr>
          <w:rFonts w:asciiTheme="minorHAnsi" w:hAnsiTheme="minorHAnsi" w:cstheme="minorHAnsi"/>
        </w:rPr>
      </w:pPr>
      <w:r>
        <w:rPr>
          <w:rFonts w:asciiTheme="minorHAnsi" w:hAnsiTheme="minorHAnsi" w:cstheme="minorHAnsi"/>
        </w:rPr>
        <w:t>MPHI Security Policy, #06-02 (</w:t>
      </w:r>
      <w:r>
        <w:rPr>
          <w:rFonts w:asciiTheme="minorHAnsi" w:hAnsiTheme="minorHAnsi" w:cstheme="minorHAnsi"/>
          <w:b/>
        </w:rPr>
        <w:t>Attachment 4a</w:t>
      </w:r>
      <w:r>
        <w:rPr>
          <w:rFonts w:asciiTheme="minorHAnsi" w:hAnsiTheme="minorHAnsi" w:cstheme="minorHAnsi"/>
        </w:rPr>
        <w:t xml:space="preserve">) </w:t>
      </w:r>
    </w:p>
    <w:p w14:paraId="3F5A2096" w14:textId="77777777" w:rsidR="009E195A" w:rsidRDefault="00D3374E">
      <w:pPr>
        <w:pStyle w:val="ListParagraph"/>
        <w:numPr>
          <w:ilvl w:val="0"/>
          <w:numId w:val="14"/>
        </w:numPr>
        <w:spacing w:after="0"/>
        <w:ind w:left="630"/>
        <w:rPr>
          <w:rFonts w:asciiTheme="minorHAnsi" w:hAnsiTheme="minorHAnsi" w:cstheme="minorHAnsi"/>
        </w:rPr>
      </w:pPr>
      <w:r>
        <w:rPr>
          <w:rFonts w:asciiTheme="minorHAnsi" w:hAnsiTheme="minorHAnsi" w:cstheme="minorHAnsi"/>
        </w:rPr>
        <w:t>NCFRP Child Death Review – Case Reporting System Security Information (</w:t>
      </w:r>
      <w:r>
        <w:rPr>
          <w:rFonts w:asciiTheme="minorHAnsi" w:hAnsiTheme="minorHAnsi" w:cstheme="minorHAnsi"/>
          <w:b/>
        </w:rPr>
        <w:t>Attachment 4b</w:t>
      </w:r>
      <w:r>
        <w:rPr>
          <w:rFonts w:asciiTheme="minorHAnsi" w:hAnsiTheme="minorHAnsi" w:cstheme="minorHAnsi"/>
        </w:rPr>
        <w:t xml:space="preserve">). </w:t>
      </w:r>
    </w:p>
    <w:p w14:paraId="7FA0F886" w14:textId="36DD3C02" w:rsidR="009E195A" w:rsidRDefault="009E195A">
      <w:pPr>
        <w:pStyle w:val="ListParagraph"/>
        <w:spacing w:after="0"/>
        <w:ind w:left="630"/>
        <w:rPr>
          <w:rFonts w:asciiTheme="minorHAnsi" w:hAnsiTheme="minorHAnsi" w:cstheme="minorHAnsi"/>
        </w:rPr>
      </w:pPr>
    </w:p>
    <w:p w14:paraId="22CC05AF" w14:textId="77777777" w:rsidR="000635FF" w:rsidRDefault="000635FF" w:rsidP="000635FF">
      <w:pPr>
        <w:rPr>
          <w:rFonts w:asciiTheme="minorHAnsi" w:hAnsiTheme="minorHAnsi" w:cstheme="minorHAnsi"/>
        </w:rPr>
      </w:pPr>
      <w:r>
        <w:rPr>
          <w:rFonts w:asciiTheme="minorHAnsi" w:hAnsiTheme="minorHAnsi" w:cstheme="minorHAnsi"/>
        </w:rPr>
        <w:t xml:space="preserve">All involved MPHI staff comply with institutional standard operating procedures related to subject confidentiality, information security, and safe data collection practices. Access to the secured NFR-CRS is password-protected and NCFRP controls and monitors access and provides training for users. Only authorized users will be assigned a password to access the system, and the password must be changed every 6 months. All web data entry users will be trained on privacy and sensitive data.  </w:t>
      </w:r>
    </w:p>
    <w:p w14:paraId="6053E9CC" w14:textId="77777777" w:rsidR="000635FF" w:rsidRDefault="000635FF">
      <w:pPr>
        <w:pStyle w:val="ListParagraph"/>
        <w:spacing w:after="0"/>
        <w:ind w:left="630"/>
        <w:rPr>
          <w:rFonts w:asciiTheme="minorHAnsi" w:hAnsiTheme="minorHAnsi" w:cstheme="minorHAnsi"/>
        </w:rPr>
      </w:pPr>
    </w:p>
    <w:p w14:paraId="5D6B2B4F" w14:textId="77777777" w:rsidR="009E195A" w:rsidRDefault="00D3374E">
      <w:pPr>
        <w:pStyle w:val="Heading1"/>
        <w:rPr>
          <w:rFonts w:asciiTheme="minorHAnsi" w:hAnsiTheme="minorHAnsi" w:cstheme="minorHAnsi"/>
          <w:b/>
          <w:sz w:val="22"/>
          <w:szCs w:val="22"/>
        </w:rPr>
      </w:pPr>
      <w:bookmarkStart w:id="14" w:name="_Toc519847093"/>
      <w:r>
        <w:rPr>
          <w:rFonts w:asciiTheme="minorHAnsi" w:hAnsiTheme="minorHAnsi" w:cstheme="minorHAnsi"/>
          <w:b/>
          <w:sz w:val="22"/>
          <w:szCs w:val="22"/>
        </w:rPr>
        <w:t>11. Institutional Review Board (IRB) and Justi</w:t>
      </w:r>
      <w:r>
        <w:rPr>
          <w:rFonts w:asciiTheme="minorHAnsi" w:hAnsiTheme="minorHAnsi" w:cstheme="minorHAnsi"/>
          <w:b/>
          <w:sz w:val="22"/>
          <w:szCs w:val="22"/>
        </w:rPr>
        <w:softHyphen/>
        <w:t>fication for Sensitive Questions</w:t>
      </w:r>
      <w:bookmarkEnd w:id="14"/>
    </w:p>
    <w:p w14:paraId="73694EA3" w14:textId="77777777" w:rsidR="009E195A" w:rsidRDefault="009E195A">
      <w:pPr>
        <w:spacing w:after="0" w:line="240" w:lineRule="auto"/>
        <w:rPr>
          <w:rFonts w:asciiTheme="minorHAnsi" w:hAnsiTheme="minorHAnsi" w:cstheme="minorHAnsi"/>
          <w:i/>
        </w:rPr>
      </w:pPr>
    </w:p>
    <w:p w14:paraId="29FAB45C" w14:textId="77777777" w:rsidR="009E195A" w:rsidRDefault="00D3374E">
      <w:pPr>
        <w:spacing w:after="0" w:line="240" w:lineRule="auto"/>
        <w:rPr>
          <w:rFonts w:asciiTheme="minorHAnsi" w:hAnsiTheme="minorHAnsi" w:cstheme="minorHAnsi"/>
          <w:i/>
        </w:rPr>
      </w:pPr>
      <w:r>
        <w:rPr>
          <w:rFonts w:asciiTheme="minorHAnsi" w:hAnsiTheme="minorHAnsi" w:cstheme="minorHAnsi"/>
          <w:i/>
        </w:rPr>
        <w:t xml:space="preserve">IRB Approval </w:t>
      </w:r>
    </w:p>
    <w:p w14:paraId="11E5EBB1" w14:textId="77777777" w:rsidR="009E195A" w:rsidRDefault="009E195A">
      <w:pPr>
        <w:spacing w:after="0" w:line="240" w:lineRule="auto"/>
        <w:rPr>
          <w:rFonts w:asciiTheme="minorHAnsi" w:hAnsiTheme="minorHAnsi" w:cstheme="minorHAnsi"/>
        </w:rPr>
      </w:pPr>
    </w:p>
    <w:p w14:paraId="3C8F969B"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The SDY Registry has been determined by CDC to be public health practice surveillance and does not require IRB review </w:t>
      </w:r>
      <w:r>
        <w:rPr>
          <w:rFonts w:asciiTheme="minorHAnsi" w:hAnsiTheme="minorHAnsi" w:cstheme="minorHAnsi"/>
          <w:b/>
        </w:rPr>
        <w:t>(Attachment 5)</w:t>
      </w:r>
      <w:r>
        <w:rPr>
          <w:rFonts w:asciiTheme="minorHAnsi" w:hAnsiTheme="minorHAnsi" w:cstheme="minorHAnsi"/>
        </w:rPr>
        <w:t xml:space="preserve">. </w:t>
      </w:r>
    </w:p>
    <w:p w14:paraId="6B917FB7" w14:textId="77777777" w:rsidR="009E195A" w:rsidRDefault="009E195A">
      <w:pPr>
        <w:spacing w:after="0" w:line="240" w:lineRule="auto"/>
        <w:rPr>
          <w:rFonts w:asciiTheme="minorHAnsi" w:hAnsiTheme="minorHAnsi" w:cstheme="minorHAnsi"/>
          <w:i/>
        </w:rPr>
      </w:pPr>
    </w:p>
    <w:p w14:paraId="47DD6D4A" w14:textId="442074CF" w:rsidR="009E195A" w:rsidRDefault="00D3374E">
      <w:pPr>
        <w:spacing w:after="0" w:line="240" w:lineRule="auto"/>
        <w:rPr>
          <w:rFonts w:asciiTheme="minorHAnsi" w:hAnsiTheme="minorHAnsi" w:cstheme="minorHAnsi"/>
        </w:rPr>
      </w:pPr>
      <w:r>
        <w:rPr>
          <w:rFonts w:asciiTheme="minorHAnsi" w:hAnsiTheme="minorHAnsi" w:cstheme="minorHAnsi"/>
        </w:rPr>
        <w:t xml:space="preserve">States participating in the SDY Case Registry follow </w:t>
      </w:r>
      <w:r w:rsidR="000635FF">
        <w:rPr>
          <w:rFonts w:asciiTheme="minorHAnsi" w:hAnsiTheme="minorHAnsi" w:cstheme="minorHAnsi"/>
        </w:rPr>
        <w:t xml:space="preserve">ethical review </w:t>
      </w:r>
      <w:r>
        <w:rPr>
          <w:rFonts w:asciiTheme="minorHAnsi" w:hAnsiTheme="minorHAnsi" w:cstheme="minorHAnsi"/>
        </w:rPr>
        <w:t xml:space="preserve">rules for their own state and agency. </w:t>
      </w:r>
    </w:p>
    <w:p w14:paraId="14B6999C" w14:textId="77777777" w:rsidR="009E195A" w:rsidRDefault="009E195A">
      <w:pPr>
        <w:spacing w:after="0" w:line="240" w:lineRule="auto"/>
        <w:rPr>
          <w:rFonts w:asciiTheme="minorHAnsi" w:hAnsiTheme="minorHAnsi" w:cstheme="minorHAnsi"/>
          <w:i/>
        </w:rPr>
      </w:pPr>
    </w:p>
    <w:p w14:paraId="3C2FB476" w14:textId="77777777" w:rsidR="009E195A" w:rsidRDefault="00D3374E">
      <w:pPr>
        <w:spacing w:after="0" w:line="240" w:lineRule="auto"/>
        <w:rPr>
          <w:rFonts w:asciiTheme="minorHAnsi" w:hAnsiTheme="minorHAnsi" w:cstheme="minorHAnsi"/>
          <w:i/>
        </w:rPr>
      </w:pPr>
      <w:r>
        <w:rPr>
          <w:rFonts w:asciiTheme="minorHAnsi" w:hAnsiTheme="minorHAnsi" w:cstheme="minorHAnsi"/>
          <w:i/>
        </w:rPr>
        <w:t>Sensitive Questions</w:t>
      </w:r>
    </w:p>
    <w:p w14:paraId="0D2AF4F4" w14:textId="77777777" w:rsidR="009E195A" w:rsidRDefault="009E195A">
      <w:pPr>
        <w:spacing w:after="0" w:line="240" w:lineRule="auto"/>
        <w:rPr>
          <w:rFonts w:asciiTheme="minorHAnsi" w:hAnsiTheme="minorHAnsi" w:cstheme="minorHAnsi"/>
        </w:rPr>
      </w:pPr>
    </w:p>
    <w:p w14:paraId="4403DF33"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CDC only receives de-identified data. Ongoing, routine child death reviews are vital state based public health functions for which sensitive data may be collected. However, the data received by CDC as part of sponsored SDY Case Registry activities are de-identified before being reported to CDC, and therefore no sensitive questions are a part of this information collection request. </w:t>
      </w:r>
    </w:p>
    <w:p w14:paraId="639687F5" w14:textId="77777777" w:rsidR="009E195A" w:rsidRDefault="009E195A">
      <w:pPr>
        <w:spacing w:after="0" w:line="240" w:lineRule="auto"/>
        <w:rPr>
          <w:rFonts w:asciiTheme="minorHAnsi" w:hAnsiTheme="minorHAnsi" w:cstheme="minorHAnsi"/>
        </w:rPr>
      </w:pPr>
    </w:p>
    <w:p w14:paraId="20EAB971" w14:textId="77777777" w:rsidR="009E195A" w:rsidRDefault="00D3374E">
      <w:pPr>
        <w:pStyle w:val="Heading1"/>
        <w:rPr>
          <w:rFonts w:asciiTheme="minorHAnsi" w:hAnsiTheme="minorHAnsi" w:cstheme="minorHAnsi"/>
          <w:b/>
          <w:sz w:val="22"/>
          <w:szCs w:val="22"/>
        </w:rPr>
      </w:pPr>
      <w:bookmarkStart w:id="15" w:name="_Toc519847094"/>
      <w:r>
        <w:rPr>
          <w:rFonts w:asciiTheme="minorHAnsi" w:hAnsiTheme="minorHAnsi" w:cstheme="minorHAnsi"/>
          <w:b/>
          <w:sz w:val="22"/>
          <w:szCs w:val="22"/>
        </w:rPr>
        <w:t>12. Estimates of Annualized Burden Hours and Costs</w:t>
      </w:r>
      <w:bookmarkEnd w:id="15"/>
    </w:p>
    <w:p w14:paraId="67D8EC0E" w14:textId="77777777" w:rsidR="009E195A" w:rsidRDefault="009E195A">
      <w:pPr>
        <w:rPr>
          <w:rFonts w:asciiTheme="minorHAnsi" w:hAnsiTheme="minorHAnsi" w:cstheme="minorHAnsi"/>
          <w:i/>
        </w:rPr>
      </w:pPr>
    </w:p>
    <w:p w14:paraId="07E4C449" w14:textId="77777777" w:rsidR="009E195A" w:rsidRDefault="00D3374E">
      <w:pPr>
        <w:rPr>
          <w:rFonts w:asciiTheme="minorHAnsi" w:hAnsiTheme="minorHAnsi" w:cstheme="minorHAnsi"/>
          <w:i/>
        </w:rPr>
      </w:pPr>
      <w:r>
        <w:rPr>
          <w:rFonts w:asciiTheme="minorHAnsi" w:hAnsiTheme="minorHAnsi" w:cstheme="minorHAnsi"/>
          <w:i/>
        </w:rPr>
        <w:t>A. Estimated Annualized Burden Hours</w:t>
      </w:r>
    </w:p>
    <w:p w14:paraId="6E4AC6E9" w14:textId="77777777" w:rsidR="009E195A" w:rsidRDefault="00D3374E">
      <w:pPr>
        <w:rPr>
          <w:rFonts w:asciiTheme="minorHAnsi" w:hAnsiTheme="minorHAnsi" w:cstheme="minorHAnsi"/>
        </w:rPr>
      </w:pPr>
      <w:r>
        <w:rPr>
          <w:rFonts w:asciiTheme="minorHAnsi" w:hAnsiTheme="minorHAnsi" w:cstheme="minorHAnsi"/>
        </w:rPr>
        <w:t xml:space="preserve">Burden is only assessed for the CDC SDY Case Registry awardees since, unlike ongoing routine CDR programs, they are the only respondents involved in this federally sponsored project. For the purposes of this ICR, a “respondent” is an SDY Registry awardee who represents a state or jurisdiction. As stated in CDC’s cooperative agreement, awardees (respondents) agree to compile a defined set of SDY information about a defined subset of child deaths through the jurisdiction’s/state’s existing CDR program.  </w:t>
      </w:r>
    </w:p>
    <w:p w14:paraId="45BDC0CB" w14:textId="77777777" w:rsidR="009E195A" w:rsidRDefault="00D3374E">
      <w:pPr>
        <w:rPr>
          <w:rFonts w:asciiTheme="minorHAnsi" w:hAnsiTheme="minorHAnsi" w:cstheme="minorHAnsi"/>
        </w:rPr>
      </w:pPr>
      <w:r>
        <w:rPr>
          <w:rFonts w:asciiTheme="minorHAnsi" w:hAnsiTheme="minorHAnsi" w:cstheme="minorHAnsi"/>
        </w:rPr>
        <w:t xml:space="preserve"> Estimates of the anticipated number of SDY each year were derived using CDC Wonder</w:t>
      </w:r>
      <w:r>
        <w:rPr>
          <w:rStyle w:val="FootnoteReference"/>
          <w:rFonts w:asciiTheme="minorHAnsi" w:hAnsiTheme="minorHAnsi" w:cstheme="minorHAnsi"/>
        </w:rPr>
        <w:footnoteReference w:id="3"/>
      </w:r>
      <w:r>
        <w:rPr>
          <w:rFonts w:asciiTheme="minorHAnsi" w:hAnsiTheme="minorHAnsi" w:cstheme="minorHAnsi"/>
        </w:rPr>
        <w:t xml:space="preserve"> data (2012-16) (</w:t>
      </w:r>
      <w:r>
        <w:rPr>
          <w:rFonts w:asciiTheme="minorHAnsi" w:hAnsiTheme="minorHAnsi" w:cstheme="minorHAnsi"/>
          <w:b/>
        </w:rPr>
        <w:t>Attachment 6</w:t>
      </w:r>
      <w:r>
        <w:rPr>
          <w:rFonts w:asciiTheme="minorHAnsi" w:hAnsiTheme="minorHAnsi" w:cstheme="minorHAnsi"/>
        </w:rPr>
        <w:t xml:space="preserve">). CDC Wonder is an online database for the analysis of public health data. Estimates were obtained for each of the 14 awardees funded under the cooperative agreement and totaled 739 cases. </w:t>
      </w:r>
    </w:p>
    <w:p w14:paraId="1B9A182B" w14:textId="77777777" w:rsidR="009E195A" w:rsidRDefault="00D3374E">
      <w:pPr>
        <w:rPr>
          <w:rFonts w:asciiTheme="minorHAnsi" w:hAnsiTheme="minorHAnsi" w:cstheme="minorHAnsi"/>
        </w:rPr>
      </w:pPr>
      <w:r>
        <w:rPr>
          <w:rFonts w:asciiTheme="minorHAnsi" w:hAnsiTheme="minorHAnsi" w:cstheme="minorHAnsi"/>
        </w:rPr>
        <w:t>For the SDY Case Registry, each of the 14 federally funded state/jurisdiction awardees will, on average, have 53 of the 739 cases each year. Burden is assessed for each awardee’s state health personnel’s time to enter the information into the SDY modules, contained within the larger Case Reporting System. It is estimated it will take 10 minutes to enter data on each case into Module I (</w:t>
      </w:r>
      <w:r>
        <w:rPr>
          <w:rFonts w:asciiTheme="minorHAnsi" w:hAnsiTheme="minorHAnsi" w:cstheme="minorHAnsi"/>
          <w:b/>
        </w:rPr>
        <w:t>Attachment 7a</w:t>
      </w:r>
      <w:r>
        <w:rPr>
          <w:rFonts w:asciiTheme="minorHAnsi" w:hAnsiTheme="minorHAnsi" w:cstheme="minorHAnsi"/>
        </w:rPr>
        <w:t>).</w:t>
      </w:r>
    </w:p>
    <w:p w14:paraId="019DFD18" w14:textId="77777777" w:rsidR="009E195A" w:rsidRDefault="00D3374E">
      <w:pPr>
        <w:rPr>
          <w:rFonts w:asciiTheme="minorHAnsi" w:hAnsiTheme="minorHAnsi" w:cstheme="minorHAnsi"/>
        </w:rPr>
      </w:pPr>
      <w:r>
        <w:rPr>
          <w:rFonts w:asciiTheme="minorHAnsi" w:hAnsiTheme="minorHAnsi" w:cstheme="minorHAnsi"/>
        </w:rPr>
        <w:t>Additionally, using data from our first SDY Case Registry funding cycle (2014-2018) we estimated the portion of SDY cases that require an advanced review. Per our assessment, approximately, 50% or an estimated 370 cases, will require advanced review each year. Burden is assessed for the advanced review team’s time to review each of the estimated 370 cases (average 26 cases per awardee) that are predicted to require advanced review. The team for each awardee consists of medical experts, typically: 1) a pediatric cardiologist, 2) a pediatric neurologist or epileptologist, and 3) a forensic pathologist. The burden on the members of the advanced review team will be for their time to discuss the compiled primary data (e.g., medical records, autopsy reports, ancillary testing) on each of the cases, categorize the case using the classification algorithm and discuss any additional data that needs to be entered following the review (</w:t>
      </w:r>
      <w:r>
        <w:rPr>
          <w:rFonts w:asciiTheme="minorHAnsi" w:hAnsiTheme="minorHAnsi" w:cstheme="minorHAnsi"/>
          <w:b/>
        </w:rPr>
        <w:t>Attachment 7b</w:t>
      </w:r>
      <w:r>
        <w:rPr>
          <w:rFonts w:asciiTheme="minorHAnsi" w:hAnsiTheme="minorHAnsi" w:cstheme="minorHAnsi"/>
        </w:rPr>
        <w:t xml:space="preserve">).  The estimated burden is 15 minutes per case. Since each of the 14 awardees are required to include 3 medical expert respondents, we estimate 42 medical expert respondents in total, each reviewing an average of 26 cases for a burden of 273 hours. </w:t>
      </w:r>
    </w:p>
    <w:p w14:paraId="25034289" w14:textId="77777777" w:rsidR="009E195A" w:rsidRDefault="00D3374E">
      <w:pPr>
        <w:rPr>
          <w:rFonts w:asciiTheme="minorHAnsi" w:hAnsiTheme="minorHAnsi" w:cstheme="minorHAnsi"/>
        </w:rPr>
      </w:pPr>
      <w:r>
        <w:rPr>
          <w:rFonts w:asciiTheme="minorHAnsi" w:hAnsiTheme="minorHAnsi" w:cstheme="minorHAnsi"/>
        </w:rPr>
        <w:t>Following the advanced case review, each of the 14 federally funded state/jurisdiction awardees will complete SDY module N (</w:t>
      </w:r>
      <w:r>
        <w:rPr>
          <w:rFonts w:asciiTheme="minorHAnsi" w:hAnsiTheme="minorHAnsi" w:cstheme="minorHAnsi"/>
          <w:b/>
        </w:rPr>
        <w:t>Attachment 7c</w:t>
      </w:r>
      <w:r>
        <w:rPr>
          <w:rFonts w:asciiTheme="minorHAnsi" w:hAnsiTheme="minorHAnsi" w:cstheme="minorHAnsi"/>
        </w:rPr>
        <w:t xml:space="preserve">). Burden is assessed for each awardee’s state health personnel’s time to enter the information into the SDY modules, contained within the larger Case Reporting System. It is estimated it will take 10 minutes to enter data on each case. The module is completed for each of the 739 cases each year, averaging 53 cases per grantee. </w:t>
      </w:r>
    </w:p>
    <w:p w14:paraId="091C39D2" w14:textId="77777777" w:rsidR="009E195A" w:rsidRDefault="009E195A">
      <w:pPr>
        <w:rPr>
          <w:rFonts w:asciiTheme="minorHAnsi" w:hAnsiTheme="minorHAnsi" w:cstheme="minorHAnsi"/>
        </w:rPr>
      </w:pPr>
    </w:p>
    <w:p w14:paraId="1AE2E72C" w14:textId="77777777" w:rsidR="009E195A" w:rsidRDefault="00D3374E">
      <w:pPr>
        <w:rPr>
          <w:rFonts w:asciiTheme="minorHAnsi" w:hAnsiTheme="minorHAnsi" w:cstheme="minorHAnsi"/>
        </w:rPr>
      </w:pPr>
      <w:r>
        <w:rPr>
          <w:rFonts w:asciiTheme="minorHAnsi" w:hAnsiTheme="minorHAnsi" w:cstheme="minorHAnsi"/>
        </w:rPr>
        <w:t xml:space="preserve">The total estimated burden is </w:t>
      </w:r>
      <w:r>
        <w:rPr>
          <w:rFonts w:asciiTheme="minorHAnsi" w:hAnsiTheme="minorHAnsi" w:cstheme="minorHAnsi"/>
          <w:b/>
        </w:rPr>
        <w:t>521</w:t>
      </w:r>
      <w:r>
        <w:rPr>
          <w:rFonts w:asciiTheme="minorHAnsi" w:hAnsiTheme="minorHAnsi" w:cstheme="minorHAnsi"/>
        </w:rPr>
        <w:t xml:space="preserve"> hours (Table 1, below). </w:t>
      </w:r>
    </w:p>
    <w:p w14:paraId="0DCB55D2" w14:textId="77777777" w:rsidR="009E195A" w:rsidRDefault="009E195A">
      <w:pPr>
        <w:rPr>
          <w:rFonts w:asciiTheme="minorHAnsi" w:hAnsiTheme="minorHAnsi" w:cstheme="minorHAnsi"/>
        </w:rPr>
      </w:pPr>
    </w:p>
    <w:p w14:paraId="5A561ACC" w14:textId="77777777" w:rsidR="000635FF" w:rsidRDefault="000635FF">
      <w:pPr>
        <w:spacing w:line="240" w:lineRule="auto"/>
        <w:jc w:val="center"/>
        <w:rPr>
          <w:rFonts w:asciiTheme="minorHAnsi" w:hAnsiTheme="minorHAnsi" w:cstheme="minorHAnsi"/>
        </w:rPr>
      </w:pPr>
    </w:p>
    <w:p w14:paraId="094D01DC" w14:textId="77777777" w:rsidR="000635FF" w:rsidRDefault="000635FF">
      <w:pPr>
        <w:spacing w:line="240" w:lineRule="auto"/>
        <w:jc w:val="center"/>
        <w:rPr>
          <w:rFonts w:asciiTheme="minorHAnsi" w:hAnsiTheme="minorHAnsi" w:cstheme="minorHAnsi"/>
        </w:rPr>
      </w:pPr>
    </w:p>
    <w:p w14:paraId="421F13C5" w14:textId="77777777" w:rsidR="000635FF" w:rsidRDefault="000635FF">
      <w:pPr>
        <w:spacing w:line="240" w:lineRule="auto"/>
        <w:jc w:val="center"/>
        <w:rPr>
          <w:rFonts w:asciiTheme="minorHAnsi" w:hAnsiTheme="minorHAnsi" w:cstheme="minorHAnsi"/>
        </w:rPr>
      </w:pPr>
    </w:p>
    <w:p w14:paraId="6211D1DE" w14:textId="77777777" w:rsidR="000635FF" w:rsidRDefault="000635FF">
      <w:pPr>
        <w:spacing w:line="240" w:lineRule="auto"/>
        <w:jc w:val="center"/>
        <w:rPr>
          <w:rFonts w:asciiTheme="minorHAnsi" w:hAnsiTheme="minorHAnsi" w:cstheme="minorHAnsi"/>
        </w:rPr>
      </w:pPr>
    </w:p>
    <w:p w14:paraId="15D3E307" w14:textId="223839E5" w:rsidR="009E195A" w:rsidRDefault="00D3374E">
      <w:pPr>
        <w:spacing w:line="240" w:lineRule="auto"/>
        <w:jc w:val="center"/>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b/>
        </w:rPr>
        <w:t>Table 1 Estimated Annualized Burden Hours</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1507"/>
        <w:gridCol w:w="1440"/>
        <w:gridCol w:w="1710"/>
        <w:gridCol w:w="1711"/>
        <w:gridCol w:w="1188"/>
      </w:tblGrid>
      <w:tr w:rsidR="009E195A" w14:paraId="4DE9FF8C" w14:textId="77777777">
        <w:tc>
          <w:tcPr>
            <w:tcW w:w="2183" w:type="dxa"/>
            <w:shd w:val="clear" w:color="auto" w:fill="auto"/>
          </w:tcPr>
          <w:p w14:paraId="7CB933B8"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Type of respondent</w:t>
            </w:r>
          </w:p>
        </w:tc>
        <w:tc>
          <w:tcPr>
            <w:tcW w:w="1507" w:type="dxa"/>
            <w:shd w:val="clear" w:color="auto" w:fill="auto"/>
          </w:tcPr>
          <w:p w14:paraId="6802122D"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Form name</w:t>
            </w:r>
          </w:p>
        </w:tc>
        <w:tc>
          <w:tcPr>
            <w:tcW w:w="1440" w:type="dxa"/>
            <w:shd w:val="clear" w:color="auto" w:fill="auto"/>
          </w:tcPr>
          <w:p w14:paraId="32803DC3"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 xml:space="preserve">No. of respondents </w:t>
            </w:r>
          </w:p>
        </w:tc>
        <w:tc>
          <w:tcPr>
            <w:tcW w:w="1710" w:type="dxa"/>
            <w:shd w:val="clear" w:color="auto" w:fill="auto"/>
          </w:tcPr>
          <w:p w14:paraId="7CCE2D84"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No. Responses per respondent</w:t>
            </w:r>
          </w:p>
        </w:tc>
        <w:tc>
          <w:tcPr>
            <w:tcW w:w="1711" w:type="dxa"/>
            <w:shd w:val="clear" w:color="auto" w:fill="auto"/>
          </w:tcPr>
          <w:p w14:paraId="0CB50C54"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Average burden per response (in hours)</w:t>
            </w:r>
          </w:p>
        </w:tc>
        <w:tc>
          <w:tcPr>
            <w:tcW w:w="1188" w:type="dxa"/>
            <w:shd w:val="clear" w:color="auto" w:fill="auto"/>
          </w:tcPr>
          <w:p w14:paraId="18A6B13C"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 xml:space="preserve">Total burden hours </w:t>
            </w:r>
          </w:p>
        </w:tc>
      </w:tr>
      <w:tr w:rsidR="009E195A" w14:paraId="48A41ED7" w14:textId="77777777">
        <w:tc>
          <w:tcPr>
            <w:tcW w:w="2183" w:type="dxa"/>
            <w:shd w:val="clear" w:color="auto" w:fill="auto"/>
          </w:tcPr>
          <w:p w14:paraId="24FD72E8" w14:textId="77777777" w:rsidR="009E195A" w:rsidRDefault="00D3374E">
            <w:pPr>
              <w:spacing w:line="240" w:lineRule="auto"/>
              <w:rPr>
                <w:rFonts w:asciiTheme="minorHAnsi" w:hAnsiTheme="minorHAnsi" w:cstheme="minorHAnsi"/>
              </w:rPr>
            </w:pPr>
            <w:r>
              <w:rPr>
                <w:rFonts w:asciiTheme="minorHAnsi" w:hAnsiTheme="minorHAnsi" w:cstheme="minorHAnsi"/>
              </w:rPr>
              <w:t xml:space="preserve">State health personnel </w:t>
            </w:r>
          </w:p>
        </w:tc>
        <w:tc>
          <w:tcPr>
            <w:tcW w:w="1507" w:type="dxa"/>
            <w:shd w:val="clear" w:color="auto" w:fill="auto"/>
          </w:tcPr>
          <w:p w14:paraId="2A2DE7FA" w14:textId="77777777" w:rsidR="009E195A" w:rsidRDefault="00D3374E">
            <w:pPr>
              <w:spacing w:line="240" w:lineRule="auto"/>
              <w:rPr>
                <w:rFonts w:asciiTheme="minorHAnsi" w:hAnsiTheme="minorHAnsi" w:cstheme="minorHAnsi"/>
              </w:rPr>
            </w:pPr>
            <w:r>
              <w:rPr>
                <w:rFonts w:asciiTheme="minorHAnsi" w:hAnsiTheme="minorHAnsi" w:cstheme="minorHAnsi"/>
              </w:rPr>
              <w:t>SDY Module I</w:t>
            </w:r>
          </w:p>
        </w:tc>
        <w:tc>
          <w:tcPr>
            <w:tcW w:w="1440" w:type="dxa"/>
            <w:shd w:val="clear" w:color="auto" w:fill="auto"/>
          </w:tcPr>
          <w:p w14:paraId="3E29366A"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14</w:t>
            </w:r>
          </w:p>
        </w:tc>
        <w:tc>
          <w:tcPr>
            <w:tcW w:w="1710" w:type="dxa"/>
            <w:shd w:val="clear" w:color="auto" w:fill="auto"/>
          </w:tcPr>
          <w:p w14:paraId="4E195D1E"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53</w:t>
            </w:r>
          </w:p>
        </w:tc>
        <w:tc>
          <w:tcPr>
            <w:tcW w:w="1711" w:type="dxa"/>
            <w:shd w:val="clear" w:color="auto" w:fill="auto"/>
          </w:tcPr>
          <w:p w14:paraId="3E163538"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10/60</w:t>
            </w:r>
          </w:p>
        </w:tc>
        <w:tc>
          <w:tcPr>
            <w:tcW w:w="1188" w:type="dxa"/>
            <w:shd w:val="clear" w:color="auto" w:fill="auto"/>
          </w:tcPr>
          <w:p w14:paraId="75047FB4"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124</w:t>
            </w:r>
          </w:p>
        </w:tc>
      </w:tr>
      <w:tr w:rsidR="009E195A" w14:paraId="3BB14581" w14:textId="77777777">
        <w:tc>
          <w:tcPr>
            <w:tcW w:w="2183" w:type="dxa"/>
            <w:shd w:val="clear" w:color="auto" w:fill="auto"/>
          </w:tcPr>
          <w:p w14:paraId="5B400116" w14:textId="77777777" w:rsidR="009E195A" w:rsidRDefault="00D3374E">
            <w:pPr>
              <w:spacing w:line="240" w:lineRule="auto"/>
              <w:rPr>
                <w:rFonts w:asciiTheme="minorHAnsi" w:hAnsiTheme="minorHAnsi" w:cstheme="minorHAnsi"/>
              </w:rPr>
            </w:pPr>
            <w:r>
              <w:rPr>
                <w:rFonts w:asciiTheme="minorHAnsi" w:hAnsiTheme="minorHAnsi" w:cstheme="minorHAnsi"/>
              </w:rPr>
              <w:t>Medical Expert</w:t>
            </w:r>
          </w:p>
        </w:tc>
        <w:tc>
          <w:tcPr>
            <w:tcW w:w="1507" w:type="dxa"/>
            <w:shd w:val="clear" w:color="auto" w:fill="auto"/>
          </w:tcPr>
          <w:p w14:paraId="417680CF" w14:textId="77777777" w:rsidR="009E195A" w:rsidRDefault="00D3374E">
            <w:pPr>
              <w:spacing w:line="240" w:lineRule="auto"/>
              <w:rPr>
                <w:rFonts w:asciiTheme="minorHAnsi" w:hAnsiTheme="minorHAnsi" w:cstheme="minorHAnsi"/>
              </w:rPr>
            </w:pPr>
            <w:r>
              <w:rPr>
                <w:rFonts w:asciiTheme="minorHAnsi" w:hAnsiTheme="minorHAnsi" w:cstheme="minorHAnsi"/>
              </w:rPr>
              <w:t>Advanced Review</w:t>
            </w:r>
          </w:p>
        </w:tc>
        <w:tc>
          <w:tcPr>
            <w:tcW w:w="1440" w:type="dxa"/>
            <w:shd w:val="clear" w:color="auto" w:fill="auto"/>
          </w:tcPr>
          <w:p w14:paraId="7A385A8A"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42</w:t>
            </w:r>
          </w:p>
        </w:tc>
        <w:tc>
          <w:tcPr>
            <w:tcW w:w="1710" w:type="dxa"/>
            <w:shd w:val="clear" w:color="auto" w:fill="auto"/>
          </w:tcPr>
          <w:p w14:paraId="5EF65C10"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26</w:t>
            </w:r>
          </w:p>
        </w:tc>
        <w:tc>
          <w:tcPr>
            <w:tcW w:w="1711" w:type="dxa"/>
            <w:shd w:val="clear" w:color="auto" w:fill="auto"/>
          </w:tcPr>
          <w:p w14:paraId="2C36BC70"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15/60</w:t>
            </w:r>
          </w:p>
        </w:tc>
        <w:tc>
          <w:tcPr>
            <w:tcW w:w="1188" w:type="dxa"/>
            <w:shd w:val="clear" w:color="auto" w:fill="auto"/>
          </w:tcPr>
          <w:p w14:paraId="4AE7DA5F"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273</w:t>
            </w:r>
          </w:p>
        </w:tc>
      </w:tr>
      <w:tr w:rsidR="009E195A" w14:paraId="6E13D81D" w14:textId="77777777">
        <w:tc>
          <w:tcPr>
            <w:tcW w:w="2183" w:type="dxa"/>
            <w:shd w:val="clear" w:color="auto" w:fill="auto"/>
          </w:tcPr>
          <w:p w14:paraId="1AC43B49" w14:textId="77777777" w:rsidR="009E195A" w:rsidRDefault="00D3374E">
            <w:pPr>
              <w:spacing w:line="240" w:lineRule="auto"/>
              <w:rPr>
                <w:rFonts w:asciiTheme="minorHAnsi" w:hAnsiTheme="minorHAnsi" w:cstheme="minorHAnsi"/>
              </w:rPr>
            </w:pPr>
            <w:r>
              <w:rPr>
                <w:rFonts w:asciiTheme="minorHAnsi" w:hAnsiTheme="minorHAnsi" w:cstheme="minorHAnsi"/>
              </w:rPr>
              <w:t>State Health Personnel</w:t>
            </w:r>
          </w:p>
        </w:tc>
        <w:tc>
          <w:tcPr>
            <w:tcW w:w="1507" w:type="dxa"/>
            <w:shd w:val="clear" w:color="auto" w:fill="auto"/>
          </w:tcPr>
          <w:p w14:paraId="752315B1" w14:textId="77777777" w:rsidR="009E195A" w:rsidRDefault="00D3374E">
            <w:pPr>
              <w:spacing w:line="240" w:lineRule="auto"/>
              <w:rPr>
                <w:rFonts w:asciiTheme="minorHAnsi" w:hAnsiTheme="minorHAnsi" w:cstheme="minorHAnsi"/>
              </w:rPr>
            </w:pPr>
            <w:r>
              <w:rPr>
                <w:rFonts w:asciiTheme="minorHAnsi" w:hAnsiTheme="minorHAnsi" w:cstheme="minorHAnsi"/>
              </w:rPr>
              <w:t>SDY Module N</w:t>
            </w:r>
          </w:p>
        </w:tc>
        <w:tc>
          <w:tcPr>
            <w:tcW w:w="1440" w:type="dxa"/>
            <w:shd w:val="clear" w:color="auto" w:fill="auto"/>
          </w:tcPr>
          <w:p w14:paraId="5E040DA7"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14</w:t>
            </w:r>
          </w:p>
        </w:tc>
        <w:tc>
          <w:tcPr>
            <w:tcW w:w="1710" w:type="dxa"/>
            <w:shd w:val="clear" w:color="auto" w:fill="auto"/>
          </w:tcPr>
          <w:p w14:paraId="5C8C9E4D"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53</w:t>
            </w:r>
          </w:p>
        </w:tc>
        <w:tc>
          <w:tcPr>
            <w:tcW w:w="1711" w:type="dxa"/>
            <w:shd w:val="clear" w:color="auto" w:fill="auto"/>
          </w:tcPr>
          <w:p w14:paraId="19A1D9A0"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10/60</w:t>
            </w:r>
          </w:p>
        </w:tc>
        <w:tc>
          <w:tcPr>
            <w:tcW w:w="1188" w:type="dxa"/>
            <w:shd w:val="clear" w:color="auto" w:fill="auto"/>
          </w:tcPr>
          <w:p w14:paraId="712686F2"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124</w:t>
            </w:r>
          </w:p>
        </w:tc>
      </w:tr>
      <w:tr w:rsidR="009E195A" w14:paraId="70712A87" w14:textId="77777777">
        <w:tc>
          <w:tcPr>
            <w:tcW w:w="2183" w:type="dxa"/>
            <w:shd w:val="clear" w:color="auto" w:fill="auto"/>
          </w:tcPr>
          <w:p w14:paraId="0A56C773" w14:textId="77777777" w:rsidR="009E195A" w:rsidRDefault="009E195A">
            <w:pPr>
              <w:spacing w:line="240" w:lineRule="auto"/>
              <w:rPr>
                <w:rFonts w:asciiTheme="minorHAnsi" w:hAnsiTheme="minorHAnsi" w:cstheme="minorHAnsi"/>
              </w:rPr>
            </w:pPr>
          </w:p>
        </w:tc>
        <w:tc>
          <w:tcPr>
            <w:tcW w:w="1507" w:type="dxa"/>
            <w:shd w:val="clear" w:color="auto" w:fill="auto"/>
          </w:tcPr>
          <w:p w14:paraId="3E2E4472" w14:textId="77777777" w:rsidR="009E195A" w:rsidRDefault="009E195A">
            <w:pPr>
              <w:spacing w:line="240" w:lineRule="auto"/>
              <w:rPr>
                <w:rFonts w:asciiTheme="minorHAnsi" w:hAnsiTheme="minorHAnsi" w:cstheme="minorHAnsi"/>
              </w:rPr>
            </w:pPr>
          </w:p>
        </w:tc>
        <w:tc>
          <w:tcPr>
            <w:tcW w:w="1440" w:type="dxa"/>
            <w:shd w:val="clear" w:color="auto" w:fill="auto"/>
          </w:tcPr>
          <w:p w14:paraId="10048FB3" w14:textId="77777777" w:rsidR="009E195A" w:rsidRDefault="009E195A">
            <w:pPr>
              <w:spacing w:line="240" w:lineRule="auto"/>
              <w:jc w:val="center"/>
              <w:rPr>
                <w:rFonts w:asciiTheme="minorHAnsi" w:hAnsiTheme="minorHAnsi" w:cstheme="minorHAnsi"/>
              </w:rPr>
            </w:pPr>
          </w:p>
        </w:tc>
        <w:tc>
          <w:tcPr>
            <w:tcW w:w="1710" w:type="dxa"/>
            <w:shd w:val="clear" w:color="auto" w:fill="auto"/>
          </w:tcPr>
          <w:p w14:paraId="1A09880B" w14:textId="77777777" w:rsidR="009E195A" w:rsidRDefault="009E195A">
            <w:pPr>
              <w:jc w:val="center"/>
              <w:rPr>
                <w:rFonts w:asciiTheme="minorHAnsi" w:hAnsiTheme="minorHAnsi" w:cstheme="minorHAnsi"/>
              </w:rPr>
            </w:pPr>
          </w:p>
        </w:tc>
        <w:tc>
          <w:tcPr>
            <w:tcW w:w="1711" w:type="dxa"/>
            <w:shd w:val="clear" w:color="auto" w:fill="auto"/>
          </w:tcPr>
          <w:p w14:paraId="7AB4C271" w14:textId="77777777" w:rsidR="009E195A" w:rsidRDefault="009E195A">
            <w:pPr>
              <w:spacing w:line="240" w:lineRule="auto"/>
              <w:jc w:val="center"/>
              <w:rPr>
                <w:rFonts w:asciiTheme="minorHAnsi" w:hAnsiTheme="minorHAnsi" w:cstheme="minorHAnsi"/>
              </w:rPr>
            </w:pPr>
          </w:p>
        </w:tc>
        <w:tc>
          <w:tcPr>
            <w:tcW w:w="1188" w:type="dxa"/>
            <w:shd w:val="clear" w:color="auto" w:fill="auto"/>
          </w:tcPr>
          <w:p w14:paraId="03946EF4" w14:textId="77777777" w:rsidR="009E195A" w:rsidRDefault="009E195A">
            <w:pPr>
              <w:spacing w:line="240" w:lineRule="auto"/>
              <w:jc w:val="center"/>
              <w:rPr>
                <w:rFonts w:asciiTheme="minorHAnsi" w:hAnsiTheme="minorHAnsi" w:cstheme="minorHAnsi"/>
              </w:rPr>
            </w:pPr>
          </w:p>
        </w:tc>
      </w:tr>
      <w:tr w:rsidR="009E195A" w14:paraId="1E8963C1" w14:textId="77777777">
        <w:tc>
          <w:tcPr>
            <w:tcW w:w="8551" w:type="dxa"/>
            <w:gridSpan w:val="5"/>
            <w:shd w:val="clear" w:color="auto" w:fill="auto"/>
          </w:tcPr>
          <w:p w14:paraId="40797D78" w14:textId="77777777" w:rsidR="009E195A" w:rsidRDefault="00D3374E">
            <w:pPr>
              <w:spacing w:line="240" w:lineRule="auto"/>
              <w:rPr>
                <w:rFonts w:asciiTheme="minorHAnsi" w:hAnsiTheme="minorHAnsi" w:cstheme="minorHAnsi"/>
                <w:b/>
              </w:rPr>
            </w:pPr>
            <w:r>
              <w:rPr>
                <w:rFonts w:asciiTheme="minorHAnsi" w:hAnsiTheme="minorHAnsi" w:cstheme="minorHAnsi"/>
                <w:b/>
              </w:rPr>
              <w:t>Total hours</w:t>
            </w:r>
          </w:p>
        </w:tc>
        <w:tc>
          <w:tcPr>
            <w:tcW w:w="1188" w:type="dxa"/>
            <w:shd w:val="clear" w:color="auto" w:fill="auto"/>
          </w:tcPr>
          <w:p w14:paraId="0FCF4B53"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521 hours</w:t>
            </w:r>
          </w:p>
        </w:tc>
      </w:tr>
    </w:tbl>
    <w:p w14:paraId="17C4AA39" w14:textId="77777777" w:rsidR="009E195A" w:rsidRDefault="009E195A">
      <w:pPr>
        <w:spacing w:after="0" w:line="240" w:lineRule="auto"/>
        <w:rPr>
          <w:rFonts w:asciiTheme="minorHAnsi" w:hAnsiTheme="minorHAnsi" w:cstheme="minorHAnsi"/>
        </w:rPr>
      </w:pPr>
    </w:p>
    <w:p w14:paraId="6EC30EA4" w14:textId="77777777" w:rsidR="009E195A" w:rsidRDefault="009E195A">
      <w:pPr>
        <w:spacing w:after="0" w:line="240" w:lineRule="auto"/>
        <w:rPr>
          <w:rFonts w:asciiTheme="minorHAnsi" w:hAnsiTheme="minorHAnsi" w:cstheme="minorHAnsi"/>
          <w:b/>
        </w:rPr>
      </w:pPr>
    </w:p>
    <w:p w14:paraId="4C15A3C9" w14:textId="77777777" w:rsidR="009E195A" w:rsidRDefault="00D3374E">
      <w:pPr>
        <w:spacing w:line="240" w:lineRule="auto"/>
        <w:rPr>
          <w:rFonts w:asciiTheme="minorHAnsi" w:hAnsiTheme="minorHAnsi" w:cstheme="minorHAnsi"/>
          <w:i/>
        </w:rPr>
      </w:pPr>
      <w:r>
        <w:rPr>
          <w:rFonts w:asciiTheme="minorHAnsi" w:hAnsiTheme="minorHAnsi" w:cstheme="minorHAnsi"/>
          <w:i/>
        </w:rPr>
        <w:t>B. Estimated Annualized Costs to Respondents</w:t>
      </w:r>
    </w:p>
    <w:p w14:paraId="753939BF" w14:textId="77777777" w:rsidR="009E195A" w:rsidRDefault="00D3374E">
      <w:pPr>
        <w:spacing w:line="240" w:lineRule="auto"/>
        <w:rPr>
          <w:rFonts w:asciiTheme="minorHAnsi" w:hAnsiTheme="minorHAnsi" w:cstheme="minorHAnsi"/>
          <w:i/>
        </w:rPr>
      </w:pPr>
      <w:r>
        <w:rPr>
          <w:rFonts w:asciiTheme="minorHAnsi" w:eastAsia="Times New Roman" w:hAnsiTheme="minorHAnsi" w:cstheme="minorHAnsi"/>
        </w:rPr>
        <w:t>The table below summarizes the estimated annualized costs. The estimates of hourly wages were obtained from the Department of Labor. The total estimated annualized cost to respondents is $19,897.29.</w:t>
      </w:r>
    </w:p>
    <w:p w14:paraId="2F694B86"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Table 2 Estimated Annualized Burden Costs</w:t>
      </w:r>
    </w:p>
    <w:tbl>
      <w:tblPr>
        <w:tblpPr w:leftFromText="180" w:rightFromText="180" w:vertAnchor="text" w:horzAnchor="margin" w:tblpXSpec="center" w:tblpY="268"/>
        <w:tblW w:w="1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170"/>
        <w:gridCol w:w="1440"/>
        <w:gridCol w:w="1440"/>
        <w:gridCol w:w="1440"/>
        <w:gridCol w:w="1170"/>
        <w:gridCol w:w="1530"/>
        <w:gridCol w:w="1594"/>
      </w:tblGrid>
      <w:tr w:rsidR="009E195A" w14:paraId="4582F0C9" w14:textId="77777777">
        <w:tc>
          <w:tcPr>
            <w:tcW w:w="1435" w:type="dxa"/>
            <w:shd w:val="clear" w:color="auto" w:fill="auto"/>
          </w:tcPr>
          <w:p w14:paraId="75832653"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Type of respondent</w:t>
            </w:r>
          </w:p>
        </w:tc>
        <w:tc>
          <w:tcPr>
            <w:tcW w:w="1170" w:type="dxa"/>
          </w:tcPr>
          <w:p w14:paraId="43622567"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Form Name</w:t>
            </w:r>
          </w:p>
        </w:tc>
        <w:tc>
          <w:tcPr>
            <w:tcW w:w="1440" w:type="dxa"/>
          </w:tcPr>
          <w:p w14:paraId="2741C5F3"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No. of respondents</w:t>
            </w:r>
          </w:p>
        </w:tc>
        <w:tc>
          <w:tcPr>
            <w:tcW w:w="1440" w:type="dxa"/>
            <w:shd w:val="clear" w:color="auto" w:fill="auto"/>
          </w:tcPr>
          <w:p w14:paraId="2153B37A"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 xml:space="preserve">No. Responses per respondent </w:t>
            </w:r>
          </w:p>
        </w:tc>
        <w:tc>
          <w:tcPr>
            <w:tcW w:w="1440" w:type="dxa"/>
            <w:shd w:val="clear" w:color="auto" w:fill="auto"/>
          </w:tcPr>
          <w:p w14:paraId="23190BA4"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Average burden per response (in hours)</w:t>
            </w:r>
          </w:p>
        </w:tc>
        <w:tc>
          <w:tcPr>
            <w:tcW w:w="1170" w:type="dxa"/>
            <w:shd w:val="clear" w:color="auto" w:fill="auto"/>
          </w:tcPr>
          <w:p w14:paraId="12E04E86"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Total burden hours</w:t>
            </w:r>
          </w:p>
        </w:tc>
        <w:tc>
          <w:tcPr>
            <w:tcW w:w="1530" w:type="dxa"/>
            <w:shd w:val="clear" w:color="auto" w:fill="auto"/>
          </w:tcPr>
          <w:p w14:paraId="42312A25"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Hourly wage rate</w:t>
            </w:r>
          </w:p>
        </w:tc>
        <w:tc>
          <w:tcPr>
            <w:tcW w:w="1594" w:type="dxa"/>
            <w:shd w:val="clear" w:color="auto" w:fill="auto"/>
          </w:tcPr>
          <w:p w14:paraId="732AA182"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Total respond-dent costs</w:t>
            </w:r>
          </w:p>
        </w:tc>
      </w:tr>
      <w:tr w:rsidR="009E195A" w14:paraId="2E965FB2" w14:textId="77777777">
        <w:tc>
          <w:tcPr>
            <w:tcW w:w="1435" w:type="dxa"/>
            <w:shd w:val="clear" w:color="auto" w:fill="auto"/>
          </w:tcPr>
          <w:p w14:paraId="4B5C32E6" w14:textId="77777777" w:rsidR="009E195A" w:rsidRDefault="00D3374E">
            <w:pPr>
              <w:spacing w:line="240" w:lineRule="auto"/>
              <w:rPr>
                <w:rFonts w:asciiTheme="minorHAnsi" w:hAnsiTheme="minorHAnsi" w:cstheme="minorHAnsi"/>
              </w:rPr>
            </w:pPr>
            <w:r>
              <w:rPr>
                <w:rFonts w:asciiTheme="minorHAnsi" w:hAnsiTheme="minorHAnsi" w:cstheme="minorHAnsi"/>
              </w:rPr>
              <w:t xml:space="preserve">State Health Personnel </w:t>
            </w:r>
          </w:p>
        </w:tc>
        <w:tc>
          <w:tcPr>
            <w:tcW w:w="1170" w:type="dxa"/>
            <w:shd w:val="clear" w:color="auto" w:fill="auto"/>
          </w:tcPr>
          <w:p w14:paraId="2B198044" w14:textId="77777777" w:rsidR="009E195A" w:rsidRDefault="00D3374E">
            <w:pPr>
              <w:spacing w:line="240" w:lineRule="auto"/>
              <w:rPr>
                <w:rFonts w:asciiTheme="minorHAnsi" w:hAnsiTheme="minorHAnsi" w:cstheme="minorHAnsi"/>
              </w:rPr>
            </w:pPr>
            <w:r>
              <w:rPr>
                <w:rFonts w:asciiTheme="minorHAnsi" w:hAnsiTheme="minorHAnsi" w:cstheme="minorHAnsi"/>
              </w:rPr>
              <w:t>SDY Module I</w:t>
            </w:r>
          </w:p>
        </w:tc>
        <w:tc>
          <w:tcPr>
            <w:tcW w:w="1440" w:type="dxa"/>
          </w:tcPr>
          <w:p w14:paraId="0C5A7AF6"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14</w:t>
            </w:r>
          </w:p>
        </w:tc>
        <w:tc>
          <w:tcPr>
            <w:tcW w:w="1440" w:type="dxa"/>
            <w:shd w:val="clear" w:color="auto" w:fill="auto"/>
          </w:tcPr>
          <w:p w14:paraId="062BE312"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53</w:t>
            </w:r>
          </w:p>
        </w:tc>
        <w:tc>
          <w:tcPr>
            <w:tcW w:w="1440" w:type="dxa"/>
            <w:shd w:val="clear" w:color="auto" w:fill="auto"/>
          </w:tcPr>
          <w:p w14:paraId="5CB2E9C0"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10/60</w:t>
            </w:r>
          </w:p>
        </w:tc>
        <w:tc>
          <w:tcPr>
            <w:tcW w:w="1170" w:type="dxa"/>
            <w:shd w:val="clear" w:color="auto" w:fill="auto"/>
          </w:tcPr>
          <w:p w14:paraId="56BE5E23"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124</w:t>
            </w:r>
          </w:p>
        </w:tc>
        <w:tc>
          <w:tcPr>
            <w:tcW w:w="1530" w:type="dxa"/>
            <w:shd w:val="clear" w:color="auto" w:fill="auto"/>
          </w:tcPr>
          <w:p w14:paraId="602E5A6D"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$18.90</w:t>
            </w:r>
          </w:p>
        </w:tc>
        <w:tc>
          <w:tcPr>
            <w:tcW w:w="1594" w:type="dxa"/>
            <w:shd w:val="clear" w:color="auto" w:fill="auto"/>
          </w:tcPr>
          <w:p w14:paraId="6D4FEF25"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$2,343.60</w:t>
            </w:r>
          </w:p>
        </w:tc>
      </w:tr>
      <w:tr w:rsidR="009E195A" w14:paraId="0DF597B3" w14:textId="77777777">
        <w:tc>
          <w:tcPr>
            <w:tcW w:w="1435" w:type="dxa"/>
            <w:shd w:val="clear" w:color="auto" w:fill="auto"/>
          </w:tcPr>
          <w:p w14:paraId="59E1EFE0" w14:textId="77777777" w:rsidR="009E195A" w:rsidRDefault="00D3374E">
            <w:pPr>
              <w:spacing w:line="240" w:lineRule="auto"/>
              <w:rPr>
                <w:rFonts w:asciiTheme="minorHAnsi" w:hAnsiTheme="minorHAnsi" w:cstheme="minorHAnsi"/>
              </w:rPr>
            </w:pPr>
            <w:r>
              <w:rPr>
                <w:rFonts w:asciiTheme="minorHAnsi" w:hAnsiTheme="minorHAnsi" w:cstheme="minorHAnsi"/>
              </w:rPr>
              <w:t>Medical Expert</w:t>
            </w:r>
          </w:p>
        </w:tc>
        <w:tc>
          <w:tcPr>
            <w:tcW w:w="1170" w:type="dxa"/>
            <w:shd w:val="clear" w:color="auto" w:fill="auto"/>
          </w:tcPr>
          <w:p w14:paraId="4BBC57C4" w14:textId="77777777" w:rsidR="009E195A" w:rsidRDefault="00D3374E">
            <w:pPr>
              <w:spacing w:line="240" w:lineRule="auto"/>
              <w:rPr>
                <w:rFonts w:asciiTheme="minorHAnsi" w:hAnsiTheme="minorHAnsi" w:cstheme="minorHAnsi"/>
              </w:rPr>
            </w:pPr>
            <w:r>
              <w:rPr>
                <w:rFonts w:asciiTheme="minorHAnsi" w:hAnsiTheme="minorHAnsi" w:cstheme="minorHAnsi"/>
              </w:rPr>
              <w:t>Advanced Review</w:t>
            </w:r>
          </w:p>
        </w:tc>
        <w:tc>
          <w:tcPr>
            <w:tcW w:w="1440" w:type="dxa"/>
          </w:tcPr>
          <w:p w14:paraId="137FC98E"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42</w:t>
            </w:r>
          </w:p>
        </w:tc>
        <w:tc>
          <w:tcPr>
            <w:tcW w:w="1440" w:type="dxa"/>
            <w:shd w:val="clear" w:color="auto" w:fill="auto"/>
          </w:tcPr>
          <w:p w14:paraId="28640DC6"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26</w:t>
            </w:r>
          </w:p>
        </w:tc>
        <w:tc>
          <w:tcPr>
            <w:tcW w:w="1440" w:type="dxa"/>
            <w:shd w:val="clear" w:color="auto" w:fill="auto"/>
          </w:tcPr>
          <w:p w14:paraId="21713FD2"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15/60</w:t>
            </w:r>
          </w:p>
        </w:tc>
        <w:tc>
          <w:tcPr>
            <w:tcW w:w="1170" w:type="dxa"/>
            <w:shd w:val="clear" w:color="auto" w:fill="auto"/>
          </w:tcPr>
          <w:p w14:paraId="10AA1B6E"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273</w:t>
            </w:r>
          </w:p>
        </w:tc>
        <w:tc>
          <w:tcPr>
            <w:tcW w:w="1530" w:type="dxa"/>
            <w:shd w:val="clear" w:color="auto" w:fill="auto"/>
          </w:tcPr>
          <w:p w14:paraId="68EB1104"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$47.13</w:t>
            </w:r>
          </w:p>
        </w:tc>
        <w:tc>
          <w:tcPr>
            <w:tcW w:w="1594" w:type="dxa"/>
            <w:shd w:val="clear" w:color="auto" w:fill="auto"/>
          </w:tcPr>
          <w:p w14:paraId="1CF8C04A"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$12,866.49</w:t>
            </w:r>
          </w:p>
        </w:tc>
      </w:tr>
      <w:tr w:rsidR="009E195A" w14:paraId="6AF1B038" w14:textId="77777777">
        <w:tc>
          <w:tcPr>
            <w:tcW w:w="1435" w:type="dxa"/>
            <w:shd w:val="clear" w:color="auto" w:fill="auto"/>
          </w:tcPr>
          <w:p w14:paraId="21C96613" w14:textId="77777777" w:rsidR="009E195A" w:rsidRDefault="00D3374E">
            <w:pPr>
              <w:spacing w:line="240" w:lineRule="auto"/>
              <w:rPr>
                <w:rFonts w:asciiTheme="minorHAnsi" w:hAnsiTheme="minorHAnsi" w:cstheme="minorHAnsi"/>
              </w:rPr>
            </w:pPr>
            <w:r>
              <w:rPr>
                <w:rFonts w:asciiTheme="minorHAnsi" w:hAnsiTheme="minorHAnsi" w:cstheme="minorHAnsi"/>
              </w:rPr>
              <w:t>State Health Personnel</w:t>
            </w:r>
          </w:p>
        </w:tc>
        <w:tc>
          <w:tcPr>
            <w:tcW w:w="1170" w:type="dxa"/>
            <w:shd w:val="clear" w:color="auto" w:fill="auto"/>
          </w:tcPr>
          <w:p w14:paraId="465DBBA5" w14:textId="77777777" w:rsidR="009E195A" w:rsidRDefault="00D3374E">
            <w:pPr>
              <w:spacing w:line="240" w:lineRule="auto"/>
              <w:rPr>
                <w:rFonts w:asciiTheme="minorHAnsi" w:hAnsiTheme="minorHAnsi" w:cstheme="minorHAnsi"/>
              </w:rPr>
            </w:pPr>
            <w:r>
              <w:rPr>
                <w:rFonts w:asciiTheme="minorHAnsi" w:hAnsiTheme="minorHAnsi" w:cstheme="minorHAnsi"/>
              </w:rPr>
              <w:t>SDY Module N</w:t>
            </w:r>
          </w:p>
        </w:tc>
        <w:tc>
          <w:tcPr>
            <w:tcW w:w="1440" w:type="dxa"/>
          </w:tcPr>
          <w:p w14:paraId="14F4937E"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14</w:t>
            </w:r>
          </w:p>
        </w:tc>
        <w:tc>
          <w:tcPr>
            <w:tcW w:w="1440" w:type="dxa"/>
            <w:shd w:val="clear" w:color="auto" w:fill="auto"/>
          </w:tcPr>
          <w:p w14:paraId="05CB077E"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53</w:t>
            </w:r>
          </w:p>
        </w:tc>
        <w:tc>
          <w:tcPr>
            <w:tcW w:w="1440" w:type="dxa"/>
            <w:shd w:val="clear" w:color="auto" w:fill="auto"/>
          </w:tcPr>
          <w:p w14:paraId="58EB2186"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10/60</w:t>
            </w:r>
          </w:p>
        </w:tc>
        <w:tc>
          <w:tcPr>
            <w:tcW w:w="1170" w:type="dxa"/>
            <w:shd w:val="clear" w:color="auto" w:fill="auto"/>
          </w:tcPr>
          <w:p w14:paraId="4F71E6B9"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124</w:t>
            </w:r>
          </w:p>
        </w:tc>
        <w:tc>
          <w:tcPr>
            <w:tcW w:w="1530" w:type="dxa"/>
            <w:shd w:val="clear" w:color="auto" w:fill="auto"/>
          </w:tcPr>
          <w:p w14:paraId="5FAD2743"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$18.90</w:t>
            </w:r>
          </w:p>
        </w:tc>
        <w:tc>
          <w:tcPr>
            <w:tcW w:w="1594" w:type="dxa"/>
            <w:shd w:val="clear" w:color="auto" w:fill="auto"/>
          </w:tcPr>
          <w:p w14:paraId="10C8304D" w14:textId="77777777" w:rsidR="009E195A" w:rsidRDefault="00D3374E">
            <w:pPr>
              <w:spacing w:line="240" w:lineRule="auto"/>
              <w:jc w:val="center"/>
              <w:rPr>
                <w:rFonts w:asciiTheme="minorHAnsi" w:hAnsiTheme="minorHAnsi" w:cstheme="minorHAnsi"/>
              </w:rPr>
            </w:pPr>
            <w:r>
              <w:rPr>
                <w:rFonts w:asciiTheme="minorHAnsi" w:hAnsiTheme="minorHAnsi" w:cstheme="minorHAnsi"/>
              </w:rPr>
              <w:t>$2,343.60</w:t>
            </w:r>
          </w:p>
        </w:tc>
      </w:tr>
      <w:tr w:rsidR="009E195A" w14:paraId="7267F261" w14:textId="77777777">
        <w:tc>
          <w:tcPr>
            <w:tcW w:w="1435" w:type="dxa"/>
            <w:shd w:val="clear" w:color="auto" w:fill="auto"/>
          </w:tcPr>
          <w:p w14:paraId="550241AA" w14:textId="77777777" w:rsidR="009E195A" w:rsidRDefault="009E195A">
            <w:pPr>
              <w:spacing w:line="240" w:lineRule="auto"/>
              <w:rPr>
                <w:rFonts w:asciiTheme="minorHAnsi" w:hAnsiTheme="minorHAnsi" w:cstheme="minorHAnsi"/>
              </w:rPr>
            </w:pPr>
          </w:p>
        </w:tc>
        <w:tc>
          <w:tcPr>
            <w:tcW w:w="1170" w:type="dxa"/>
            <w:shd w:val="clear" w:color="auto" w:fill="auto"/>
          </w:tcPr>
          <w:p w14:paraId="529DF132" w14:textId="77777777" w:rsidR="009E195A" w:rsidRDefault="009E195A">
            <w:pPr>
              <w:spacing w:line="240" w:lineRule="auto"/>
              <w:rPr>
                <w:rFonts w:asciiTheme="minorHAnsi" w:hAnsiTheme="minorHAnsi" w:cstheme="minorHAnsi"/>
              </w:rPr>
            </w:pPr>
          </w:p>
        </w:tc>
        <w:tc>
          <w:tcPr>
            <w:tcW w:w="1440" w:type="dxa"/>
          </w:tcPr>
          <w:p w14:paraId="103AEE39" w14:textId="77777777" w:rsidR="009E195A" w:rsidRDefault="009E195A">
            <w:pPr>
              <w:spacing w:line="240" w:lineRule="auto"/>
              <w:jc w:val="center"/>
              <w:rPr>
                <w:rFonts w:asciiTheme="minorHAnsi" w:hAnsiTheme="minorHAnsi" w:cstheme="minorHAnsi"/>
              </w:rPr>
            </w:pPr>
          </w:p>
        </w:tc>
        <w:tc>
          <w:tcPr>
            <w:tcW w:w="1440" w:type="dxa"/>
            <w:shd w:val="clear" w:color="auto" w:fill="auto"/>
          </w:tcPr>
          <w:p w14:paraId="3FD1B921" w14:textId="77777777" w:rsidR="009E195A" w:rsidRDefault="009E195A">
            <w:pPr>
              <w:spacing w:line="240" w:lineRule="auto"/>
              <w:jc w:val="center"/>
              <w:rPr>
                <w:rFonts w:asciiTheme="minorHAnsi" w:hAnsiTheme="minorHAnsi" w:cstheme="minorHAnsi"/>
              </w:rPr>
            </w:pPr>
          </w:p>
        </w:tc>
        <w:tc>
          <w:tcPr>
            <w:tcW w:w="1440" w:type="dxa"/>
            <w:shd w:val="clear" w:color="auto" w:fill="auto"/>
          </w:tcPr>
          <w:p w14:paraId="6BB7F835" w14:textId="77777777" w:rsidR="009E195A" w:rsidRDefault="009E195A">
            <w:pPr>
              <w:spacing w:line="240" w:lineRule="auto"/>
              <w:jc w:val="center"/>
              <w:rPr>
                <w:rFonts w:asciiTheme="minorHAnsi" w:hAnsiTheme="minorHAnsi" w:cstheme="minorHAnsi"/>
              </w:rPr>
            </w:pPr>
          </w:p>
        </w:tc>
        <w:tc>
          <w:tcPr>
            <w:tcW w:w="1170" w:type="dxa"/>
            <w:shd w:val="clear" w:color="auto" w:fill="auto"/>
          </w:tcPr>
          <w:p w14:paraId="0BBA0590" w14:textId="77777777" w:rsidR="009E195A" w:rsidRDefault="009E195A">
            <w:pPr>
              <w:spacing w:line="240" w:lineRule="auto"/>
              <w:jc w:val="center"/>
              <w:rPr>
                <w:rFonts w:asciiTheme="minorHAnsi" w:hAnsiTheme="minorHAnsi" w:cstheme="minorHAnsi"/>
              </w:rPr>
            </w:pPr>
          </w:p>
        </w:tc>
        <w:tc>
          <w:tcPr>
            <w:tcW w:w="1530" w:type="dxa"/>
            <w:shd w:val="clear" w:color="auto" w:fill="auto"/>
          </w:tcPr>
          <w:p w14:paraId="7A7425F9" w14:textId="77777777" w:rsidR="009E195A" w:rsidRDefault="009E195A">
            <w:pPr>
              <w:spacing w:line="240" w:lineRule="auto"/>
              <w:jc w:val="center"/>
              <w:rPr>
                <w:rFonts w:asciiTheme="minorHAnsi" w:hAnsiTheme="minorHAnsi" w:cstheme="minorHAnsi"/>
              </w:rPr>
            </w:pPr>
          </w:p>
        </w:tc>
        <w:tc>
          <w:tcPr>
            <w:tcW w:w="1594" w:type="dxa"/>
            <w:shd w:val="clear" w:color="auto" w:fill="auto"/>
          </w:tcPr>
          <w:p w14:paraId="54E1B84B" w14:textId="77777777" w:rsidR="009E195A" w:rsidRDefault="009E195A">
            <w:pPr>
              <w:spacing w:line="240" w:lineRule="auto"/>
              <w:jc w:val="center"/>
              <w:rPr>
                <w:rFonts w:asciiTheme="minorHAnsi" w:hAnsiTheme="minorHAnsi" w:cstheme="minorHAnsi"/>
              </w:rPr>
            </w:pPr>
          </w:p>
        </w:tc>
      </w:tr>
      <w:tr w:rsidR="009E195A" w14:paraId="565231AD" w14:textId="77777777">
        <w:tc>
          <w:tcPr>
            <w:tcW w:w="9625" w:type="dxa"/>
            <w:gridSpan w:val="7"/>
            <w:shd w:val="clear" w:color="auto" w:fill="auto"/>
          </w:tcPr>
          <w:p w14:paraId="18CA6AFA" w14:textId="77777777" w:rsidR="009E195A" w:rsidRDefault="00D3374E">
            <w:pPr>
              <w:spacing w:line="240" w:lineRule="auto"/>
              <w:rPr>
                <w:rFonts w:asciiTheme="minorHAnsi" w:hAnsiTheme="minorHAnsi" w:cstheme="minorHAnsi"/>
                <w:b/>
              </w:rPr>
            </w:pPr>
            <w:r>
              <w:rPr>
                <w:rFonts w:asciiTheme="minorHAnsi" w:hAnsiTheme="minorHAnsi" w:cstheme="minorHAnsi"/>
                <w:b/>
              </w:rPr>
              <w:t>Total</w:t>
            </w:r>
          </w:p>
        </w:tc>
        <w:tc>
          <w:tcPr>
            <w:tcW w:w="1594" w:type="dxa"/>
            <w:shd w:val="clear" w:color="auto" w:fill="auto"/>
          </w:tcPr>
          <w:p w14:paraId="2876B67D" w14:textId="77777777" w:rsidR="009E195A" w:rsidRDefault="00D3374E">
            <w:pPr>
              <w:spacing w:after="0" w:line="240" w:lineRule="auto"/>
              <w:jc w:val="center"/>
              <w:rPr>
                <w:rFonts w:cs="Calibri"/>
                <w:b/>
                <w:color w:val="000000"/>
              </w:rPr>
            </w:pPr>
            <w:r>
              <w:rPr>
                <w:rFonts w:cs="Calibri"/>
                <w:b/>
                <w:color w:val="000000"/>
              </w:rPr>
              <w:t xml:space="preserve">$17,553.69 </w:t>
            </w:r>
          </w:p>
          <w:p w14:paraId="6D439FB1" w14:textId="77777777" w:rsidR="009E195A" w:rsidRDefault="009E195A">
            <w:pPr>
              <w:spacing w:line="240" w:lineRule="auto"/>
              <w:jc w:val="center"/>
              <w:rPr>
                <w:rFonts w:asciiTheme="minorHAnsi" w:hAnsiTheme="minorHAnsi" w:cstheme="minorHAnsi"/>
                <w:b/>
              </w:rPr>
            </w:pPr>
          </w:p>
        </w:tc>
      </w:tr>
    </w:tbl>
    <w:p w14:paraId="2A4894BD" w14:textId="77777777" w:rsidR="009E195A" w:rsidRDefault="009E195A">
      <w:pPr>
        <w:spacing w:line="240" w:lineRule="auto"/>
        <w:rPr>
          <w:rFonts w:asciiTheme="minorHAnsi" w:hAnsiTheme="minorHAnsi" w:cstheme="minorHAnsi"/>
          <w:i/>
        </w:rPr>
      </w:pPr>
    </w:p>
    <w:p w14:paraId="3D7ED6CD" w14:textId="77777777" w:rsidR="009E195A" w:rsidRDefault="00D3374E">
      <w:pPr>
        <w:pStyle w:val="Heading1"/>
        <w:rPr>
          <w:rFonts w:asciiTheme="minorHAnsi" w:hAnsiTheme="minorHAnsi" w:cstheme="minorHAnsi"/>
          <w:b/>
          <w:sz w:val="22"/>
          <w:szCs w:val="22"/>
        </w:rPr>
      </w:pPr>
      <w:bookmarkStart w:id="16" w:name="_Toc519847095"/>
      <w:r>
        <w:rPr>
          <w:rFonts w:asciiTheme="minorHAnsi" w:hAnsiTheme="minorHAnsi" w:cstheme="minorHAnsi"/>
          <w:b/>
          <w:sz w:val="22"/>
          <w:szCs w:val="22"/>
        </w:rPr>
        <w:t>13. Estimates of Other Total Annual Cost Burden to Respondents or Record Keepers</w:t>
      </w:r>
      <w:bookmarkEnd w:id="16"/>
    </w:p>
    <w:p w14:paraId="46033C88" w14:textId="77777777" w:rsidR="009E195A" w:rsidRDefault="00D3374E">
      <w:pPr>
        <w:widowControl w:val="0"/>
        <w:spacing w:after="0" w:line="240" w:lineRule="auto"/>
        <w:rPr>
          <w:rFonts w:asciiTheme="minorHAnsi" w:hAnsiTheme="minorHAnsi" w:cstheme="minorHAnsi"/>
        </w:rPr>
      </w:pPr>
      <w:r>
        <w:rPr>
          <w:rFonts w:asciiTheme="minorHAnsi" w:hAnsiTheme="minorHAnsi" w:cstheme="minorHAnsi"/>
        </w:rPr>
        <w:t>a) Total capital and start-up cost component:</w:t>
      </w:r>
    </w:p>
    <w:p w14:paraId="053600E1" w14:textId="77777777" w:rsidR="009E195A" w:rsidRDefault="00D3374E">
      <w:pPr>
        <w:widowControl w:val="0"/>
        <w:tabs>
          <w:tab w:val="left" w:pos="270"/>
          <w:tab w:val="left" w:pos="360"/>
          <w:tab w:val="left" w:pos="630"/>
        </w:tabs>
        <w:spacing w:after="0" w:line="240" w:lineRule="auto"/>
        <w:ind w:left="270"/>
        <w:rPr>
          <w:rFonts w:asciiTheme="minorHAnsi" w:hAnsiTheme="minorHAnsi" w:cstheme="minorHAnsi"/>
        </w:rPr>
      </w:pPr>
      <w:r>
        <w:rPr>
          <w:rFonts w:asciiTheme="minorHAnsi" w:hAnsiTheme="minorHAnsi" w:cstheme="minorHAnsi"/>
        </w:rPr>
        <w:t xml:space="preserve">There are no capital or start-up costs for awardees and the NFR-CRS is available to all CDR teams at no cost. </w:t>
      </w:r>
    </w:p>
    <w:p w14:paraId="03CC788E" w14:textId="77777777" w:rsidR="009E195A" w:rsidRDefault="009E195A">
      <w:pPr>
        <w:spacing w:after="0" w:line="240" w:lineRule="auto"/>
        <w:rPr>
          <w:rFonts w:asciiTheme="minorHAnsi" w:hAnsiTheme="minorHAnsi" w:cstheme="minorHAnsi"/>
        </w:rPr>
      </w:pPr>
    </w:p>
    <w:p w14:paraId="563997A2" w14:textId="77777777" w:rsidR="009E195A" w:rsidRDefault="00D3374E">
      <w:pPr>
        <w:spacing w:after="0" w:line="240" w:lineRule="auto"/>
        <w:rPr>
          <w:rFonts w:asciiTheme="minorHAnsi" w:hAnsiTheme="minorHAnsi" w:cstheme="minorHAnsi"/>
        </w:rPr>
      </w:pPr>
      <w:r>
        <w:rPr>
          <w:rFonts w:asciiTheme="minorHAnsi" w:hAnsiTheme="minorHAnsi" w:cstheme="minorHAnsi"/>
        </w:rPr>
        <w:t>b) Total operation, maintenance and purchase of services component:</w:t>
      </w:r>
    </w:p>
    <w:p w14:paraId="7A7AF698" w14:textId="77777777" w:rsidR="009E195A" w:rsidRDefault="00D3374E">
      <w:pPr>
        <w:tabs>
          <w:tab w:val="left" w:pos="270"/>
        </w:tabs>
        <w:spacing w:after="0" w:line="240" w:lineRule="auto"/>
        <w:ind w:left="270"/>
        <w:rPr>
          <w:rFonts w:asciiTheme="minorHAnsi" w:hAnsiTheme="minorHAnsi" w:cstheme="minorHAnsi"/>
        </w:rPr>
      </w:pPr>
      <w:r>
        <w:rPr>
          <w:rFonts w:asciiTheme="minorHAnsi" w:hAnsiTheme="minorHAnsi" w:cstheme="minorHAnsi"/>
        </w:rPr>
        <w:t>There is no purchase of services components, and there is no operation and maintenance cost that can be separated from the usual and customary cost of the current work of the state health departments.</w:t>
      </w:r>
    </w:p>
    <w:p w14:paraId="5A530FC4" w14:textId="77777777" w:rsidR="009E195A" w:rsidRDefault="009E195A">
      <w:pPr>
        <w:tabs>
          <w:tab w:val="left" w:pos="270"/>
        </w:tabs>
        <w:spacing w:after="0" w:line="240" w:lineRule="auto"/>
        <w:ind w:left="270"/>
        <w:rPr>
          <w:rFonts w:asciiTheme="minorHAnsi" w:hAnsiTheme="minorHAnsi" w:cstheme="minorHAnsi"/>
        </w:rPr>
      </w:pPr>
    </w:p>
    <w:p w14:paraId="3F90B76E" w14:textId="77777777" w:rsidR="009E195A" w:rsidRDefault="00D3374E">
      <w:pPr>
        <w:pStyle w:val="Heading1"/>
        <w:rPr>
          <w:rFonts w:asciiTheme="minorHAnsi" w:hAnsiTheme="minorHAnsi" w:cstheme="minorHAnsi"/>
          <w:b/>
          <w:sz w:val="22"/>
          <w:szCs w:val="22"/>
        </w:rPr>
      </w:pPr>
      <w:bookmarkStart w:id="17" w:name="_Toc519847096"/>
      <w:r>
        <w:rPr>
          <w:rFonts w:asciiTheme="minorHAnsi" w:hAnsiTheme="minorHAnsi" w:cstheme="minorHAnsi"/>
          <w:b/>
          <w:sz w:val="22"/>
          <w:szCs w:val="22"/>
        </w:rPr>
        <w:t>14. Annualized Cost to the Federal Government</w:t>
      </w:r>
      <w:bookmarkEnd w:id="17"/>
    </w:p>
    <w:p w14:paraId="2DD9E003" w14:textId="77777777" w:rsidR="009E195A" w:rsidRDefault="00D3374E">
      <w:pPr>
        <w:autoSpaceDE w:val="0"/>
        <w:autoSpaceDN w:val="0"/>
        <w:adjustRightInd w:val="0"/>
        <w:spacing w:after="0" w:line="240" w:lineRule="auto"/>
        <w:rPr>
          <w:rFonts w:asciiTheme="minorHAnsi" w:hAnsiTheme="minorHAnsi" w:cstheme="minorHAnsi"/>
          <w:b/>
        </w:rPr>
      </w:pPr>
      <w:r>
        <w:rPr>
          <w:rFonts w:asciiTheme="minorHAnsi" w:hAnsiTheme="minorHAnsi" w:cstheme="minorHAnsi"/>
        </w:rPr>
        <w:t xml:space="preserve">The Data Coordinating Center at NCFRP is contracted to provide technical assistance for Child Death Review activities data collection activities, including oversight for the two awardee tasks of entering data into the SDY module and conducting advanced reviews. The total annual cost to the government for these tasks will be $73,070 per year, which includes contract costs covered by funds from </w:t>
      </w:r>
      <w:r>
        <w:rPr>
          <w:rFonts w:asciiTheme="minorHAnsi" w:hAnsiTheme="minorHAnsi" w:cstheme="minorHAnsi"/>
          <w:lang w:val="en"/>
        </w:rPr>
        <w:t>The National Heart, Lung, and Blood Institute (</w:t>
      </w:r>
      <w:r>
        <w:rPr>
          <w:rFonts w:asciiTheme="minorHAnsi" w:hAnsiTheme="minorHAnsi" w:cstheme="minorHAnsi"/>
          <w:bCs/>
          <w:lang w:val="en"/>
        </w:rPr>
        <w:t>NHLBI) and the Centers for Disease Control and Prevention</w:t>
      </w:r>
      <w:r>
        <w:rPr>
          <w:rFonts w:asciiTheme="minorHAnsi" w:hAnsiTheme="minorHAnsi" w:cstheme="minorHAnsi"/>
          <w:bCs/>
        </w:rPr>
        <w:t xml:space="preserve">. Additionally, approximately 5% of the cooperative agreement funds awarded for SDY registry activities ($497,917 total) between CDC and the 14 state and jurisdictional awardees are allocated to cover the </w:t>
      </w:r>
      <w:r>
        <w:rPr>
          <w:rFonts w:asciiTheme="minorHAnsi" w:hAnsiTheme="minorHAnsi" w:cstheme="minorHAnsi"/>
        </w:rPr>
        <w:t xml:space="preserve">time devoted to SDY module data entry and advanced clinical review. </w:t>
      </w:r>
      <w:r>
        <w:rPr>
          <w:rFonts w:asciiTheme="minorHAnsi" w:hAnsiTheme="minorHAnsi" w:cstheme="minorHAnsi"/>
          <w:bCs/>
        </w:rPr>
        <w:t xml:space="preserve">In addition, $8,475 is needed for CDC personnel salaries. </w:t>
      </w:r>
    </w:p>
    <w:p w14:paraId="1A739FE5" w14:textId="77777777" w:rsidR="009E195A" w:rsidRDefault="009E195A">
      <w:pPr>
        <w:spacing w:line="240" w:lineRule="auto"/>
        <w:rPr>
          <w:rFonts w:asciiTheme="minorHAnsi" w:hAnsiTheme="minorHAnsi" w:cstheme="minorHAnsi"/>
          <w:b/>
        </w:rPr>
      </w:pPr>
    </w:p>
    <w:p w14:paraId="60C9CEA2"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Table 3 Annualized Cost to the Federal Government</w:t>
      </w:r>
    </w:p>
    <w:tbl>
      <w:tblPr>
        <w:tblW w:w="54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75"/>
        <w:gridCol w:w="7021"/>
        <w:gridCol w:w="1850"/>
      </w:tblGrid>
      <w:tr w:rsidR="009E195A" w14:paraId="0FB45BA0" w14:textId="77777777">
        <w:trPr>
          <w:trHeight w:val="20"/>
          <w:jc w:val="center"/>
        </w:trPr>
        <w:tc>
          <w:tcPr>
            <w:tcW w:w="713" w:type="pct"/>
            <w:tcMar>
              <w:top w:w="0" w:type="dxa"/>
              <w:left w:w="108" w:type="dxa"/>
              <w:bottom w:w="0" w:type="dxa"/>
              <w:right w:w="108" w:type="dxa"/>
            </w:tcMar>
            <w:vAlign w:val="center"/>
            <w:hideMark/>
          </w:tcPr>
          <w:p w14:paraId="390910C4"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Expense Type</w:t>
            </w:r>
          </w:p>
        </w:tc>
        <w:tc>
          <w:tcPr>
            <w:tcW w:w="3393" w:type="pct"/>
            <w:tcMar>
              <w:top w:w="0" w:type="dxa"/>
              <w:left w:w="108" w:type="dxa"/>
              <w:bottom w:w="0" w:type="dxa"/>
              <w:right w:w="108" w:type="dxa"/>
            </w:tcMar>
            <w:vAlign w:val="center"/>
            <w:hideMark/>
          </w:tcPr>
          <w:p w14:paraId="2BD508F8" w14:textId="77777777" w:rsidR="009E195A" w:rsidRDefault="00D3374E">
            <w:pPr>
              <w:spacing w:after="0" w:line="240" w:lineRule="auto"/>
              <w:rPr>
                <w:rFonts w:asciiTheme="minorHAnsi" w:hAnsiTheme="minorHAnsi" w:cstheme="minorHAnsi"/>
                <w:b/>
              </w:rPr>
            </w:pPr>
            <w:r>
              <w:rPr>
                <w:rFonts w:asciiTheme="minorHAnsi" w:hAnsiTheme="minorHAnsi" w:cstheme="minorHAnsi"/>
                <w:b/>
              </w:rPr>
              <w:t>Expense Explanation</w:t>
            </w:r>
          </w:p>
        </w:tc>
        <w:tc>
          <w:tcPr>
            <w:tcW w:w="894" w:type="pct"/>
            <w:tcMar>
              <w:top w:w="0" w:type="dxa"/>
              <w:left w:w="108" w:type="dxa"/>
              <w:bottom w:w="0" w:type="dxa"/>
              <w:right w:w="108" w:type="dxa"/>
            </w:tcMar>
            <w:vAlign w:val="center"/>
            <w:hideMark/>
          </w:tcPr>
          <w:p w14:paraId="26C5DCCD"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Annual Costs (dollars)</w:t>
            </w:r>
          </w:p>
        </w:tc>
      </w:tr>
      <w:tr w:rsidR="009E195A" w14:paraId="201CD68C" w14:textId="77777777">
        <w:trPr>
          <w:trHeight w:val="20"/>
          <w:jc w:val="center"/>
        </w:trPr>
        <w:tc>
          <w:tcPr>
            <w:tcW w:w="713" w:type="pct"/>
            <w:tcMar>
              <w:top w:w="0" w:type="dxa"/>
              <w:left w:w="108" w:type="dxa"/>
              <w:bottom w:w="0" w:type="dxa"/>
              <w:right w:w="108" w:type="dxa"/>
            </w:tcMar>
            <w:vAlign w:val="center"/>
            <w:hideMark/>
          </w:tcPr>
          <w:p w14:paraId="152BB09D"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Contract</w:t>
            </w:r>
          </w:p>
        </w:tc>
        <w:tc>
          <w:tcPr>
            <w:tcW w:w="3393" w:type="pct"/>
            <w:tcMar>
              <w:top w:w="0" w:type="dxa"/>
              <w:left w:w="108" w:type="dxa"/>
              <w:bottom w:w="0" w:type="dxa"/>
              <w:right w:w="108" w:type="dxa"/>
            </w:tcMar>
            <w:vAlign w:val="center"/>
            <w:hideMark/>
          </w:tcPr>
          <w:p w14:paraId="4823464F" w14:textId="77777777" w:rsidR="009E195A" w:rsidRDefault="00D3374E">
            <w:pPr>
              <w:spacing w:after="0" w:line="240" w:lineRule="auto"/>
              <w:rPr>
                <w:rFonts w:asciiTheme="minorHAnsi" w:hAnsiTheme="minorHAnsi" w:cstheme="minorHAnsi"/>
              </w:rPr>
            </w:pPr>
            <w:r>
              <w:rPr>
                <w:rFonts w:asciiTheme="minorHAnsi" w:hAnsiTheme="minorHAnsi" w:cstheme="minorHAnsi"/>
              </w:rPr>
              <w:t>Contract No.</w:t>
            </w:r>
            <w:r>
              <w:rPr>
                <w:rFonts w:asciiTheme="minorHAnsi" w:hAnsiTheme="minorHAnsi" w:cstheme="minorHAnsi"/>
                <w:b/>
              </w:rPr>
              <w:t xml:space="preserve"> </w:t>
            </w:r>
            <w:r>
              <w:rPr>
                <w:rFonts w:asciiTheme="minorHAnsi" w:hAnsiTheme="minorHAnsi" w:cstheme="minorHAnsi"/>
              </w:rPr>
              <w:t>200-2013-57324 Michigan Public Health Institute (MPHI) with Data Coordinating Center Contract:  10% of contract time devoted to SDY activities:</w:t>
            </w:r>
          </w:p>
          <w:p w14:paraId="0C4D2549" w14:textId="77777777" w:rsidR="009E195A" w:rsidRDefault="00D3374E">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Centers for Disease Control and Prevention ($16,650)</w:t>
            </w:r>
          </w:p>
          <w:p w14:paraId="069C1A2B" w14:textId="77777777" w:rsidR="009E195A" w:rsidRDefault="00D3374E">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National Heart Lung Blood Institute (NHLBI) ($56,420)</w:t>
            </w:r>
          </w:p>
        </w:tc>
        <w:tc>
          <w:tcPr>
            <w:tcW w:w="894" w:type="pct"/>
            <w:shd w:val="clear" w:color="auto" w:fill="FFFFFF" w:themeFill="background1"/>
            <w:tcMar>
              <w:top w:w="0" w:type="dxa"/>
              <w:left w:w="108" w:type="dxa"/>
              <w:bottom w:w="0" w:type="dxa"/>
              <w:right w:w="108" w:type="dxa"/>
            </w:tcMar>
            <w:vAlign w:val="center"/>
            <w:hideMark/>
          </w:tcPr>
          <w:p w14:paraId="2DA4A363"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$73,070</w:t>
            </w:r>
          </w:p>
        </w:tc>
      </w:tr>
      <w:tr w:rsidR="009E195A" w14:paraId="6B330FCE" w14:textId="77777777">
        <w:trPr>
          <w:trHeight w:val="499"/>
          <w:jc w:val="center"/>
        </w:trPr>
        <w:tc>
          <w:tcPr>
            <w:tcW w:w="713" w:type="pct"/>
            <w:tcMar>
              <w:top w:w="0" w:type="dxa"/>
              <w:left w:w="108" w:type="dxa"/>
              <w:bottom w:w="0" w:type="dxa"/>
              <w:right w:w="108" w:type="dxa"/>
            </w:tcMar>
            <w:vAlign w:val="center"/>
          </w:tcPr>
          <w:p w14:paraId="0D5F7A93"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Cooperative Agreement</w:t>
            </w:r>
          </w:p>
        </w:tc>
        <w:tc>
          <w:tcPr>
            <w:tcW w:w="3393" w:type="pct"/>
            <w:tcMar>
              <w:top w:w="0" w:type="dxa"/>
              <w:left w:w="108" w:type="dxa"/>
              <w:bottom w:w="0" w:type="dxa"/>
              <w:right w:w="108" w:type="dxa"/>
            </w:tcMar>
          </w:tcPr>
          <w:p w14:paraId="22EE1858" w14:textId="77777777" w:rsidR="009E195A" w:rsidRDefault="00D3374E">
            <w:pPr>
              <w:spacing w:line="240" w:lineRule="auto"/>
              <w:contextualSpacing/>
              <w:rPr>
                <w:rFonts w:asciiTheme="minorHAnsi" w:hAnsiTheme="minorHAnsi" w:cstheme="minorHAnsi"/>
              </w:rPr>
            </w:pPr>
            <w:r>
              <w:rPr>
                <w:rFonts w:asciiTheme="minorHAnsi" w:hAnsiTheme="minorHAnsi" w:cstheme="minorHAnsi"/>
              </w:rPr>
              <w:t>Cooperative Agreement DP18-1806 with 14 SDY Registry Awardees: 5% of time devoted to advanced review, SDY module and quality assurance measures.</w:t>
            </w:r>
          </w:p>
        </w:tc>
        <w:tc>
          <w:tcPr>
            <w:tcW w:w="894" w:type="pct"/>
            <w:tcMar>
              <w:top w:w="0" w:type="dxa"/>
              <w:left w:w="108" w:type="dxa"/>
              <w:bottom w:w="0" w:type="dxa"/>
              <w:right w:w="108" w:type="dxa"/>
            </w:tcMar>
          </w:tcPr>
          <w:p w14:paraId="2328B1A0"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b/>
              </w:rPr>
              <w:t>$24,896</w:t>
            </w:r>
          </w:p>
        </w:tc>
      </w:tr>
      <w:tr w:rsidR="009E195A" w14:paraId="7A1B5BBD" w14:textId="77777777">
        <w:trPr>
          <w:trHeight w:val="20"/>
          <w:jc w:val="center"/>
        </w:trPr>
        <w:tc>
          <w:tcPr>
            <w:tcW w:w="713" w:type="pct"/>
            <w:vMerge w:val="restart"/>
            <w:tcMar>
              <w:top w:w="0" w:type="dxa"/>
              <w:left w:w="108" w:type="dxa"/>
              <w:bottom w:w="0" w:type="dxa"/>
              <w:right w:w="108" w:type="dxa"/>
            </w:tcMar>
            <w:vAlign w:val="center"/>
          </w:tcPr>
          <w:p w14:paraId="20F23305"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CDC Personnel</w:t>
            </w:r>
          </w:p>
        </w:tc>
        <w:tc>
          <w:tcPr>
            <w:tcW w:w="3393" w:type="pct"/>
            <w:tcMar>
              <w:top w:w="0" w:type="dxa"/>
              <w:left w:w="108" w:type="dxa"/>
              <w:bottom w:w="0" w:type="dxa"/>
              <w:right w:w="108" w:type="dxa"/>
            </w:tcMar>
            <w:vAlign w:val="center"/>
          </w:tcPr>
          <w:p w14:paraId="069C10ED"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Health Scientist GS-12, 2% of FTE </w:t>
            </w:r>
          </w:p>
        </w:tc>
        <w:tc>
          <w:tcPr>
            <w:tcW w:w="894" w:type="pct"/>
            <w:tcMar>
              <w:top w:w="0" w:type="dxa"/>
              <w:left w:w="108" w:type="dxa"/>
              <w:bottom w:w="0" w:type="dxa"/>
              <w:right w:w="108" w:type="dxa"/>
            </w:tcMar>
            <w:vAlign w:val="center"/>
          </w:tcPr>
          <w:p w14:paraId="2C41F9DD"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$2,112</w:t>
            </w:r>
          </w:p>
        </w:tc>
      </w:tr>
      <w:tr w:rsidR="009E195A" w14:paraId="6869EBFF" w14:textId="77777777">
        <w:trPr>
          <w:trHeight w:val="20"/>
          <w:jc w:val="center"/>
        </w:trPr>
        <w:tc>
          <w:tcPr>
            <w:tcW w:w="713" w:type="pct"/>
            <w:vMerge/>
            <w:tcMar>
              <w:top w:w="0" w:type="dxa"/>
              <w:left w:w="108" w:type="dxa"/>
              <w:bottom w:w="0" w:type="dxa"/>
              <w:right w:w="108" w:type="dxa"/>
            </w:tcMar>
            <w:vAlign w:val="center"/>
          </w:tcPr>
          <w:p w14:paraId="069B544E" w14:textId="77777777" w:rsidR="009E195A" w:rsidRDefault="009E195A">
            <w:pPr>
              <w:spacing w:after="0" w:line="240" w:lineRule="auto"/>
              <w:jc w:val="center"/>
              <w:rPr>
                <w:rFonts w:asciiTheme="minorHAnsi" w:hAnsiTheme="minorHAnsi" w:cstheme="minorHAnsi"/>
              </w:rPr>
            </w:pPr>
          </w:p>
        </w:tc>
        <w:tc>
          <w:tcPr>
            <w:tcW w:w="3393" w:type="pct"/>
            <w:tcMar>
              <w:top w:w="0" w:type="dxa"/>
              <w:left w:w="108" w:type="dxa"/>
              <w:bottom w:w="0" w:type="dxa"/>
              <w:right w:w="108" w:type="dxa"/>
            </w:tcMar>
            <w:vAlign w:val="center"/>
          </w:tcPr>
          <w:p w14:paraId="0FFDE485"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Epidemiologist GS-13, 2% of FTE </w:t>
            </w:r>
          </w:p>
        </w:tc>
        <w:tc>
          <w:tcPr>
            <w:tcW w:w="894" w:type="pct"/>
            <w:tcMar>
              <w:top w:w="0" w:type="dxa"/>
              <w:left w:w="108" w:type="dxa"/>
              <w:bottom w:w="0" w:type="dxa"/>
              <w:right w:w="108" w:type="dxa"/>
            </w:tcMar>
            <w:vAlign w:val="center"/>
          </w:tcPr>
          <w:p w14:paraId="1A346DED"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$2,468</w:t>
            </w:r>
          </w:p>
        </w:tc>
      </w:tr>
      <w:tr w:rsidR="009E195A" w14:paraId="0F76A4C4" w14:textId="77777777">
        <w:trPr>
          <w:trHeight w:val="20"/>
          <w:jc w:val="center"/>
        </w:trPr>
        <w:tc>
          <w:tcPr>
            <w:tcW w:w="713" w:type="pct"/>
            <w:vMerge/>
            <w:tcMar>
              <w:top w:w="0" w:type="dxa"/>
              <w:left w:w="108" w:type="dxa"/>
              <w:bottom w:w="0" w:type="dxa"/>
              <w:right w:w="108" w:type="dxa"/>
            </w:tcMar>
            <w:vAlign w:val="center"/>
          </w:tcPr>
          <w:p w14:paraId="428F79BE" w14:textId="77777777" w:rsidR="009E195A" w:rsidRDefault="009E195A">
            <w:pPr>
              <w:spacing w:after="0" w:line="240" w:lineRule="auto"/>
              <w:jc w:val="center"/>
              <w:rPr>
                <w:rFonts w:asciiTheme="minorHAnsi" w:hAnsiTheme="minorHAnsi" w:cstheme="minorHAnsi"/>
              </w:rPr>
            </w:pPr>
          </w:p>
        </w:tc>
        <w:tc>
          <w:tcPr>
            <w:tcW w:w="3393" w:type="pct"/>
            <w:tcMar>
              <w:top w:w="0" w:type="dxa"/>
              <w:left w:w="108" w:type="dxa"/>
              <w:bottom w:w="0" w:type="dxa"/>
              <w:right w:w="108" w:type="dxa"/>
            </w:tcMar>
            <w:vAlign w:val="center"/>
          </w:tcPr>
          <w:p w14:paraId="153E3B47"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Team Lead, Medical Officer GS-14, 1% of FTE </w:t>
            </w:r>
          </w:p>
        </w:tc>
        <w:tc>
          <w:tcPr>
            <w:tcW w:w="894" w:type="pct"/>
            <w:tcMar>
              <w:top w:w="0" w:type="dxa"/>
              <w:left w:w="108" w:type="dxa"/>
              <w:bottom w:w="0" w:type="dxa"/>
              <w:right w:w="108" w:type="dxa"/>
            </w:tcMar>
            <w:vAlign w:val="center"/>
          </w:tcPr>
          <w:p w14:paraId="0F74D0B0"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$1,500</w:t>
            </w:r>
          </w:p>
        </w:tc>
      </w:tr>
      <w:tr w:rsidR="009E195A" w14:paraId="057E82E2" w14:textId="77777777">
        <w:trPr>
          <w:trHeight w:val="20"/>
          <w:jc w:val="center"/>
        </w:trPr>
        <w:tc>
          <w:tcPr>
            <w:tcW w:w="713" w:type="pct"/>
            <w:vMerge/>
            <w:tcMar>
              <w:top w:w="0" w:type="dxa"/>
              <w:left w:w="108" w:type="dxa"/>
              <w:bottom w:w="0" w:type="dxa"/>
              <w:right w:w="108" w:type="dxa"/>
            </w:tcMar>
            <w:vAlign w:val="center"/>
          </w:tcPr>
          <w:p w14:paraId="559BA8DA" w14:textId="77777777" w:rsidR="009E195A" w:rsidRDefault="009E195A">
            <w:pPr>
              <w:spacing w:after="0" w:line="240" w:lineRule="auto"/>
              <w:jc w:val="center"/>
              <w:rPr>
                <w:rFonts w:asciiTheme="minorHAnsi" w:hAnsiTheme="minorHAnsi" w:cstheme="minorHAnsi"/>
              </w:rPr>
            </w:pPr>
          </w:p>
        </w:tc>
        <w:tc>
          <w:tcPr>
            <w:tcW w:w="3393" w:type="pct"/>
            <w:tcMar>
              <w:top w:w="0" w:type="dxa"/>
              <w:left w:w="108" w:type="dxa"/>
              <w:bottom w:w="0" w:type="dxa"/>
              <w:right w:w="108" w:type="dxa"/>
            </w:tcMar>
            <w:vAlign w:val="center"/>
          </w:tcPr>
          <w:p w14:paraId="4FA98F22"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Health Scientist GS-14, 1% of FTE </w:t>
            </w:r>
          </w:p>
        </w:tc>
        <w:tc>
          <w:tcPr>
            <w:tcW w:w="894" w:type="pct"/>
            <w:tcMar>
              <w:top w:w="0" w:type="dxa"/>
              <w:left w:w="108" w:type="dxa"/>
              <w:bottom w:w="0" w:type="dxa"/>
              <w:right w:w="108" w:type="dxa"/>
            </w:tcMar>
            <w:vAlign w:val="center"/>
          </w:tcPr>
          <w:p w14:paraId="36E4E052"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$1,234</w:t>
            </w:r>
          </w:p>
        </w:tc>
      </w:tr>
      <w:tr w:rsidR="009E195A" w14:paraId="1DEB2274" w14:textId="77777777">
        <w:trPr>
          <w:trHeight w:val="310"/>
          <w:jc w:val="center"/>
        </w:trPr>
        <w:tc>
          <w:tcPr>
            <w:tcW w:w="713" w:type="pct"/>
            <w:vMerge/>
            <w:tcMar>
              <w:top w:w="0" w:type="dxa"/>
              <w:left w:w="108" w:type="dxa"/>
              <w:bottom w:w="0" w:type="dxa"/>
              <w:right w:w="108" w:type="dxa"/>
            </w:tcMar>
            <w:vAlign w:val="center"/>
          </w:tcPr>
          <w:p w14:paraId="616FCA74" w14:textId="77777777" w:rsidR="009E195A" w:rsidRDefault="009E195A">
            <w:pPr>
              <w:spacing w:after="0" w:line="240" w:lineRule="auto"/>
              <w:jc w:val="center"/>
              <w:rPr>
                <w:rFonts w:asciiTheme="minorHAnsi" w:hAnsiTheme="minorHAnsi" w:cstheme="minorHAnsi"/>
              </w:rPr>
            </w:pPr>
          </w:p>
        </w:tc>
        <w:tc>
          <w:tcPr>
            <w:tcW w:w="3393" w:type="pct"/>
            <w:tcMar>
              <w:top w:w="0" w:type="dxa"/>
              <w:left w:w="108" w:type="dxa"/>
              <w:bottom w:w="0" w:type="dxa"/>
              <w:right w:w="108" w:type="dxa"/>
            </w:tcMar>
            <w:vAlign w:val="center"/>
          </w:tcPr>
          <w:p w14:paraId="18B6A061" w14:textId="77777777" w:rsidR="009E195A" w:rsidRDefault="00D3374E">
            <w:pPr>
              <w:spacing w:after="0" w:line="240" w:lineRule="auto"/>
              <w:rPr>
                <w:rFonts w:asciiTheme="minorHAnsi" w:hAnsiTheme="minorHAnsi" w:cstheme="minorHAnsi"/>
              </w:rPr>
            </w:pPr>
            <w:r>
              <w:rPr>
                <w:rFonts w:asciiTheme="minorHAnsi" w:hAnsiTheme="minorHAnsi" w:cstheme="minorHAnsi"/>
              </w:rPr>
              <w:t>Public Health Advisor GS-13, 1% of FTE</w:t>
            </w:r>
          </w:p>
        </w:tc>
        <w:tc>
          <w:tcPr>
            <w:tcW w:w="894" w:type="pct"/>
            <w:tcMar>
              <w:top w:w="0" w:type="dxa"/>
              <w:left w:w="108" w:type="dxa"/>
              <w:bottom w:w="0" w:type="dxa"/>
              <w:right w:w="108" w:type="dxa"/>
            </w:tcMar>
            <w:vAlign w:val="center"/>
          </w:tcPr>
          <w:p w14:paraId="313373B8" w14:textId="77777777" w:rsidR="009E195A" w:rsidRDefault="00D3374E">
            <w:pPr>
              <w:spacing w:after="0" w:line="240" w:lineRule="auto"/>
              <w:jc w:val="center"/>
              <w:rPr>
                <w:rFonts w:asciiTheme="minorHAnsi" w:hAnsiTheme="minorHAnsi" w:cstheme="minorHAnsi"/>
              </w:rPr>
            </w:pPr>
            <w:r>
              <w:rPr>
                <w:rFonts w:asciiTheme="minorHAnsi" w:hAnsiTheme="minorHAnsi" w:cstheme="minorHAnsi"/>
              </w:rPr>
              <w:t>$1,161</w:t>
            </w:r>
          </w:p>
        </w:tc>
      </w:tr>
      <w:tr w:rsidR="009E195A" w14:paraId="70036AB3" w14:textId="77777777">
        <w:trPr>
          <w:trHeight w:val="499"/>
          <w:jc w:val="center"/>
        </w:trPr>
        <w:tc>
          <w:tcPr>
            <w:tcW w:w="713" w:type="pct"/>
            <w:vMerge/>
            <w:tcMar>
              <w:top w:w="0" w:type="dxa"/>
              <w:left w:w="108" w:type="dxa"/>
              <w:bottom w:w="0" w:type="dxa"/>
              <w:right w:w="108" w:type="dxa"/>
            </w:tcMar>
            <w:vAlign w:val="center"/>
          </w:tcPr>
          <w:p w14:paraId="60956FFD" w14:textId="77777777" w:rsidR="009E195A" w:rsidRDefault="009E195A">
            <w:pPr>
              <w:spacing w:after="0" w:line="240" w:lineRule="auto"/>
              <w:jc w:val="center"/>
              <w:rPr>
                <w:rFonts w:asciiTheme="minorHAnsi" w:hAnsiTheme="minorHAnsi" w:cstheme="minorHAnsi"/>
              </w:rPr>
            </w:pPr>
          </w:p>
        </w:tc>
        <w:tc>
          <w:tcPr>
            <w:tcW w:w="3393" w:type="pct"/>
            <w:tcMar>
              <w:top w:w="0" w:type="dxa"/>
              <w:left w:w="108" w:type="dxa"/>
              <w:bottom w:w="0" w:type="dxa"/>
              <w:right w:w="108" w:type="dxa"/>
            </w:tcMar>
            <w:vAlign w:val="center"/>
          </w:tcPr>
          <w:p w14:paraId="5FF6316C" w14:textId="77777777" w:rsidR="009E195A" w:rsidRDefault="00D3374E">
            <w:pPr>
              <w:spacing w:after="0" w:line="240" w:lineRule="auto"/>
              <w:rPr>
                <w:rFonts w:asciiTheme="minorHAnsi" w:hAnsiTheme="minorHAnsi" w:cstheme="minorHAnsi"/>
              </w:rPr>
            </w:pPr>
            <w:r>
              <w:rPr>
                <w:rFonts w:asciiTheme="minorHAnsi" w:hAnsiTheme="minorHAnsi" w:cstheme="minorHAnsi"/>
                <w:b/>
              </w:rPr>
              <w:t>Subtotal, CDC Personnel</w:t>
            </w:r>
          </w:p>
        </w:tc>
        <w:tc>
          <w:tcPr>
            <w:tcW w:w="894" w:type="pct"/>
            <w:tcMar>
              <w:top w:w="0" w:type="dxa"/>
              <w:left w:w="108" w:type="dxa"/>
              <w:bottom w:w="0" w:type="dxa"/>
              <w:right w:w="108" w:type="dxa"/>
            </w:tcMar>
            <w:vAlign w:val="center"/>
          </w:tcPr>
          <w:p w14:paraId="02D2E763"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$8,475</w:t>
            </w:r>
          </w:p>
        </w:tc>
      </w:tr>
      <w:tr w:rsidR="009E195A" w14:paraId="24A9DE75" w14:textId="77777777">
        <w:trPr>
          <w:trHeight w:val="535"/>
          <w:jc w:val="center"/>
        </w:trPr>
        <w:tc>
          <w:tcPr>
            <w:tcW w:w="713" w:type="pct"/>
            <w:tcMar>
              <w:top w:w="0" w:type="dxa"/>
              <w:left w:w="108" w:type="dxa"/>
              <w:bottom w:w="0" w:type="dxa"/>
              <w:right w:w="108" w:type="dxa"/>
            </w:tcMar>
            <w:vAlign w:val="center"/>
            <w:hideMark/>
          </w:tcPr>
          <w:p w14:paraId="4E213589" w14:textId="77777777" w:rsidR="009E195A" w:rsidRDefault="009E195A">
            <w:pPr>
              <w:spacing w:after="0" w:line="240" w:lineRule="auto"/>
              <w:jc w:val="center"/>
              <w:rPr>
                <w:rFonts w:asciiTheme="minorHAnsi" w:hAnsiTheme="minorHAnsi" w:cstheme="minorHAnsi"/>
                <w:b/>
              </w:rPr>
            </w:pPr>
          </w:p>
        </w:tc>
        <w:tc>
          <w:tcPr>
            <w:tcW w:w="3393" w:type="pct"/>
            <w:tcMar>
              <w:top w:w="0" w:type="dxa"/>
              <w:left w:w="108" w:type="dxa"/>
              <w:bottom w:w="0" w:type="dxa"/>
              <w:right w:w="108" w:type="dxa"/>
            </w:tcMar>
            <w:vAlign w:val="center"/>
            <w:hideMark/>
          </w:tcPr>
          <w:p w14:paraId="6B0FB7E3" w14:textId="77777777" w:rsidR="009E195A" w:rsidRDefault="00D3374E">
            <w:pPr>
              <w:spacing w:after="0" w:line="240" w:lineRule="auto"/>
              <w:rPr>
                <w:rFonts w:asciiTheme="minorHAnsi" w:hAnsiTheme="minorHAnsi" w:cstheme="minorHAnsi"/>
                <w:b/>
              </w:rPr>
            </w:pPr>
            <w:r>
              <w:rPr>
                <w:rFonts w:asciiTheme="minorHAnsi" w:hAnsiTheme="minorHAnsi" w:cstheme="minorHAnsi"/>
                <w:b/>
              </w:rPr>
              <w:t xml:space="preserve">TOTAL COST TO THE GOVERNMENT </w:t>
            </w:r>
          </w:p>
        </w:tc>
        <w:tc>
          <w:tcPr>
            <w:tcW w:w="894" w:type="pct"/>
            <w:tcMar>
              <w:top w:w="0" w:type="dxa"/>
              <w:left w:w="108" w:type="dxa"/>
              <w:bottom w:w="0" w:type="dxa"/>
              <w:right w:w="108" w:type="dxa"/>
            </w:tcMar>
            <w:vAlign w:val="center"/>
            <w:hideMark/>
          </w:tcPr>
          <w:p w14:paraId="550E679D"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$106,441</w:t>
            </w:r>
          </w:p>
        </w:tc>
      </w:tr>
    </w:tbl>
    <w:p w14:paraId="23C801FA" w14:textId="77777777" w:rsidR="009E195A" w:rsidRDefault="009E195A">
      <w:pPr>
        <w:spacing w:after="0" w:line="240" w:lineRule="auto"/>
        <w:rPr>
          <w:rFonts w:asciiTheme="minorHAnsi" w:hAnsiTheme="minorHAnsi" w:cstheme="minorHAnsi"/>
        </w:rPr>
      </w:pPr>
    </w:p>
    <w:p w14:paraId="4B0094A2" w14:textId="77777777" w:rsidR="009E195A" w:rsidRDefault="009E195A">
      <w:pPr>
        <w:pStyle w:val="Heading1"/>
        <w:rPr>
          <w:rFonts w:asciiTheme="minorHAnsi" w:hAnsiTheme="minorHAnsi" w:cstheme="minorHAnsi"/>
          <w:b/>
          <w:sz w:val="22"/>
          <w:szCs w:val="22"/>
        </w:rPr>
      </w:pPr>
      <w:bookmarkStart w:id="18" w:name="_Toc519847097"/>
    </w:p>
    <w:p w14:paraId="7052E942" w14:textId="77777777" w:rsidR="009E195A" w:rsidRDefault="009E195A">
      <w:pPr>
        <w:pStyle w:val="Heading1"/>
        <w:rPr>
          <w:rFonts w:asciiTheme="minorHAnsi" w:hAnsiTheme="minorHAnsi" w:cstheme="minorHAnsi"/>
          <w:b/>
          <w:sz w:val="22"/>
          <w:szCs w:val="22"/>
        </w:rPr>
      </w:pPr>
    </w:p>
    <w:p w14:paraId="37CB8416" w14:textId="77777777" w:rsidR="009E195A" w:rsidRDefault="00D3374E">
      <w:pPr>
        <w:pStyle w:val="Heading1"/>
        <w:rPr>
          <w:rFonts w:asciiTheme="minorHAnsi" w:hAnsiTheme="minorHAnsi" w:cstheme="minorHAnsi"/>
          <w:b/>
          <w:sz w:val="22"/>
          <w:szCs w:val="22"/>
        </w:rPr>
      </w:pPr>
      <w:r>
        <w:rPr>
          <w:rFonts w:asciiTheme="minorHAnsi" w:hAnsiTheme="minorHAnsi" w:cstheme="minorHAnsi"/>
          <w:b/>
          <w:sz w:val="22"/>
          <w:szCs w:val="22"/>
        </w:rPr>
        <w:t>15. Explanation for Program Changes or Adjustments</w:t>
      </w:r>
      <w:bookmarkEnd w:id="18"/>
    </w:p>
    <w:p w14:paraId="15970441" w14:textId="77777777" w:rsidR="009E195A" w:rsidRDefault="009E195A">
      <w:pPr>
        <w:spacing w:after="0" w:line="240" w:lineRule="auto"/>
        <w:rPr>
          <w:rFonts w:asciiTheme="minorHAnsi" w:hAnsiTheme="minorHAnsi" w:cstheme="minorHAnsi"/>
        </w:rPr>
      </w:pPr>
    </w:p>
    <w:p w14:paraId="5D8AF74C" w14:textId="0CE8364D" w:rsidR="009E195A" w:rsidRDefault="00D3374E">
      <w:pPr>
        <w:spacing w:after="0" w:line="240" w:lineRule="auto"/>
        <w:rPr>
          <w:rFonts w:asciiTheme="minorHAnsi" w:hAnsiTheme="minorHAnsi" w:cstheme="minorHAnsi"/>
        </w:rPr>
      </w:pPr>
      <w:r>
        <w:rPr>
          <w:rFonts w:asciiTheme="minorHAnsi" w:hAnsiTheme="minorHAnsi" w:cstheme="minorHAnsi"/>
        </w:rPr>
        <w:t xml:space="preserve">This Information Collection Request (ICR) is filed as a </w:t>
      </w:r>
      <w:r w:rsidR="000635FF">
        <w:rPr>
          <w:rFonts w:asciiTheme="minorHAnsi" w:hAnsiTheme="minorHAnsi" w:cstheme="minorHAnsi"/>
        </w:rPr>
        <w:t xml:space="preserve">reinstatement </w:t>
      </w:r>
      <w:r>
        <w:rPr>
          <w:rFonts w:asciiTheme="minorHAnsi" w:hAnsiTheme="minorHAnsi" w:cstheme="minorHAnsi"/>
        </w:rPr>
        <w:t xml:space="preserve">of OMB Number 0920-1092. While CDC is not proposing any changes to any of the data collection tools, the SDY module, or the advanced review process, CDC has, with experience, been able to:  1) obtain better estimates of the actual numbers of respondents anticipated; 2) obtain more accurate estimates of the amount of time needed to completed the SDY modules; 3) better determine the number of cases that will need to continue to advance review and the types of medical experts that are needed.  </w:t>
      </w:r>
    </w:p>
    <w:p w14:paraId="373DF59A" w14:textId="77777777" w:rsidR="009E195A" w:rsidRDefault="009E195A">
      <w:pPr>
        <w:spacing w:after="0" w:line="240" w:lineRule="auto"/>
        <w:rPr>
          <w:rFonts w:asciiTheme="minorHAnsi" w:hAnsiTheme="minorHAnsi" w:cstheme="minorHAnsi"/>
        </w:rPr>
      </w:pPr>
    </w:p>
    <w:p w14:paraId="5F03EA5D" w14:textId="799ABBD7" w:rsidR="009E195A" w:rsidRDefault="00D3374E">
      <w:pPr>
        <w:spacing w:after="0" w:line="240" w:lineRule="auto"/>
        <w:rPr>
          <w:rFonts w:asciiTheme="minorHAnsi" w:hAnsiTheme="minorHAnsi" w:cstheme="minorHAnsi"/>
        </w:rPr>
      </w:pPr>
      <w:r>
        <w:rPr>
          <w:rFonts w:asciiTheme="minorHAnsi" w:hAnsiTheme="minorHAnsi" w:cstheme="minorHAnsi"/>
        </w:rPr>
        <w:t xml:space="preserve">Although the number of SDY Registry awardees has increased from 10 to 14, our estimated net burden is lower because of </w:t>
      </w:r>
      <w:r w:rsidR="00572E64">
        <w:rPr>
          <w:rFonts w:asciiTheme="minorHAnsi" w:hAnsiTheme="minorHAnsi" w:cstheme="minorHAnsi"/>
        </w:rPr>
        <w:t xml:space="preserve">changes in the method used to </w:t>
      </w:r>
      <w:r>
        <w:rPr>
          <w:rFonts w:asciiTheme="minorHAnsi" w:hAnsiTheme="minorHAnsi" w:cstheme="minorHAnsi"/>
        </w:rPr>
        <w:t>calculat</w:t>
      </w:r>
      <w:r w:rsidR="00572E64">
        <w:rPr>
          <w:rFonts w:asciiTheme="minorHAnsi" w:hAnsiTheme="minorHAnsi" w:cstheme="minorHAnsi"/>
        </w:rPr>
        <w:t>e</w:t>
      </w:r>
      <w:r>
        <w:rPr>
          <w:rFonts w:asciiTheme="minorHAnsi" w:hAnsiTheme="minorHAnsi" w:cstheme="minorHAnsi"/>
        </w:rPr>
        <w:t xml:space="preserve"> of the average number cases anticipated per awardee. Previous experience has also revealed that it takes a shorter time to complete the SDY modules than originally estimated and that a lower proportion of cases will need to have an advanced review.  </w:t>
      </w:r>
    </w:p>
    <w:p w14:paraId="3442CE53" w14:textId="77777777" w:rsidR="009E195A" w:rsidRDefault="009E195A">
      <w:pPr>
        <w:spacing w:after="0" w:line="240" w:lineRule="auto"/>
        <w:rPr>
          <w:rFonts w:asciiTheme="minorHAnsi" w:hAnsiTheme="minorHAnsi" w:cstheme="minorHAnsi"/>
        </w:rPr>
      </w:pPr>
    </w:p>
    <w:p w14:paraId="01F20625" w14:textId="77777777" w:rsidR="009E195A" w:rsidRDefault="00D3374E">
      <w:pPr>
        <w:spacing w:after="120" w:line="240" w:lineRule="auto"/>
        <w:rPr>
          <w:rFonts w:asciiTheme="minorHAnsi" w:hAnsiTheme="minorHAnsi" w:cstheme="minorHAnsi"/>
          <w:i/>
        </w:rPr>
      </w:pPr>
      <w:r>
        <w:rPr>
          <w:rFonts w:asciiTheme="minorHAnsi" w:hAnsiTheme="minorHAnsi" w:cstheme="minorHAnsi"/>
          <w:i/>
        </w:rPr>
        <w:t xml:space="preserve">Estimate of the number of respondents: </w:t>
      </w:r>
    </w:p>
    <w:p w14:paraId="3CE27190" w14:textId="77777777" w:rsidR="009E195A" w:rsidRDefault="00D3374E">
      <w:pPr>
        <w:spacing w:after="0" w:line="240" w:lineRule="auto"/>
        <w:rPr>
          <w:rFonts w:asciiTheme="minorHAnsi" w:hAnsiTheme="minorHAnsi" w:cstheme="minorHAnsi"/>
        </w:rPr>
      </w:pPr>
      <w:r>
        <w:rPr>
          <w:rFonts w:asciiTheme="minorHAnsi" w:hAnsiTheme="minorHAnsi" w:cstheme="minorHAnsi"/>
        </w:rPr>
        <w:t>To estimate the number of SDY cases for the current information collection request, we used a process which looked at the average number of SDY cases each of our awardee jurisdictions had over a 5-year period based on available CDC Wonder data.  The average we found for the current set of awardees was 53 cases (</w:t>
      </w:r>
      <w:r>
        <w:rPr>
          <w:rFonts w:asciiTheme="minorHAnsi" w:hAnsiTheme="minorHAnsi" w:cstheme="minorHAnsi"/>
          <w:b/>
        </w:rPr>
        <w:t>Attachment 6</w:t>
      </w:r>
      <w:r>
        <w:rPr>
          <w:rFonts w:asciiTheme="minorHAnsi" w:hAnsiTheme="minorHAnsi" w:cstheme="minorHAnsi"/>
        </w:rPr>
        <w:t xml:space="preserve">).  The average number of cases per awardee is lower than the previous average because of changes in individual awardees and because of differences in the expected cases to be reported among continuing awardees.  </w:t>
      </w:r>
    </w:p>
    <w:p w14:paraId="562B7D07" w14:textId="77777777" w:rsidR="009E195A" w:rsidRDefault="009E195A">
      <w:pPr>
        <w:spacing w:after="0" w:line="240" w:lineRule="auto"/>
        <w:rPr>
          <w:rFonts w:asciiTheme="minorHAnsi" w:hAnsiTheme="minorHAnsi" w:cstheme="minorHAnsi"/>
        </w:rPr>
      </w:pPr>
    </w:p>
    <w:p w14:paraId="5D684C9C" w14:textId="77777777" w:rsidR="009E195A" w:rsidRDefault="00D3374E">
      <w:pPr>
        <w:spacing w:after="120" w:line="240" w:lineRule="auto"/>
        <w:rPr>
          <w:rFonts w:asciiTheme="minorHAnsi" w:hAnsiTheme="minorHAnsi" w:cstheme="minorHAnsi"/>
          <w:i/>
        </w:rPr>
      </w:pPr>
      <w:r>
        <w:rPr>
          <w:rFonts w:asciiTheme="minorHAnsi" w:hAnsiTheme="minorHAnsi" w:cstheme="minorHAnsi"/>
          <w:i/>
        </w:rPr>
        <w:t xml:space="preserve">Estimated time to complete the SDY modules:  </w:t>
      </w:r>
    </w:p>
    <w:p w14:paraId="054FD910" w14:textId="77777777" w:rsidR="009E195A" w:rsidRDefault="00D3374E">
      <w:pPr>
        <w:spacing w:after="0" w:line="240" w:lineRule="auto"/>
        <w:rPr>
          <w:rFonts w:asciiTheme="minorHAnsi" w:hAnsiTheme="minorHAnsi" w:cstheme="minorHAnsi"/>
        </w:rPr>
      </w:pPr>
      <w:r>
        <w:rPr>
          <w:rFonts w:asciiTheme="minorHAnsi" w:hAnsiTheme="minorHAnsi" w:cstheme="minorHAnsi"/>
        </w:rPr>
        <w:t>In addition, program experience has allowed us to modify the amount of time it takes to complete the SDY modules. It was previously estimated that the time for state health personnel to enter data for cases was 30 minutes per case.  Communication with grantees has allowed us to reduce that time to an average of 20 minutes (10 minutes per case, per module).  Each module is now reported separately so that the statement reporting the burden can be displayed at the beginning of the module (i.e., not at the beginning of the larger case reporting system).  In this manner, the burden is displayed only to those who are completing the module, and more directly describes what the burden of the added information collection entails.</w:t>
      </w:r>
    </w:p>
    <w:p w14:paraId="6346ECDD" w14:textId="77777777" w:rsidR="009E195A" w:rsidRDefault="009E195A">
      <w:pPr>
        <w:spacing w:after="0" w:line="240" w:lineRule="auto"/>
        <w:rPr>
          <w:rFonts w:asciiTheme="minorHAnsi" w:hAnsiTheme="minorHAnsi" w:cstheme="minorHAnsi"/>
        </w:rPr>
      </w:pPr>
    </w:p>
    <w:p w14:paraId="32F9C103" w14:textId="77777777" w:rsidR="009E195A" w:rsidRDefault="00D3374E">
      <w:pPr>
        <w:spacing w:after="120" w:line="240" w:lineRule="auto"/>
        <w:rPr>
          <w:rFonts w:asciiTheme="minorHAnsi" w:hAnsiTheme="minorHAnsi" w:cstheme="minorHAnsi"/>
          <w:i/>
        </w:rPr>
      </w:pPr>
      <w:r>
        <w:rPr>
          <w:rFonts w:asciiTheme="minorHAnsi" w:hAnsiTheme="minorHAnsi" w:cstheme="minorHAnsi"/>
          <w:i/>
        </w:rPr>
        <w:t xml:space="preserve">Cases needing advance review, and medical experts needed for review:  </w:t>
      </w:r>
    </w:p>
    <w:p w14:paraId="326E6B0E" w14:textId="77777777" w:rsidR="009E195A" w:rsidRDefault="00D3374E">
      <w:pPr>
        <w:spacing w:after="0" w:line="240" w:lineRule="auto"/>
        <w:rPr>
          <w:rFonts w:asciiTheme="minorHAnsi" w:hAnsiTheme="minorHAnsi" w:cstheme="minorHAnsi"/>
        </w:rPr>
      </w:pPr>
      <w:r>
        <w:rPr>
          <w:rFonts w:asciiTheme="minorHAnsi" w:hAnsiTheme="minorHAnsi" w:cstheme="minorHAnsi"/>
        </w:rPr>
        <w:t>CDC has also learned through experience that approximately only half of the identified SDY cases go to advanced review each year -- many of these cases either end up as incomplete cases or have an explained cause of death, making the advanced review unnecessary. This allowed us to use a program-based process to estimate the proportion of cases going through advanced review.  In addition, CDC has learned through experience that review from either, and not both, a pediatric neurologist or epileptologist, is sufficient.  Hence our burden has been reduced by moving to an advanced review by three, rather than four, medical experts (i.e., a pediatric cardiologists, a forensic pathologist, and either a pediatric neurologist or an epileptologist).  Because the questions structuring the review for each type of specialist are the same, the calculation of the burden uses one data collection guideline (</w:t>
      </w:r>
      <w:r>
        <w:rPr>
          <w:rFonts w:asciiTheme="minorHAnsi" w:hAnsiTheme="minorHAnsi" w:cstheme="minorHAnsi"/>
          <w:b/>
        </w:rPr>
        <w:t>Attachment 7b</w:t>
      </w:r>
      <w:r>
        <w:rPr>
          <w:rFonts w:asciiTheme="minorHAnsi" w:hAnsiTheme="minorHAnsi" w:cstheme="minorHAnsi"/>
        </w:rPr>
        <w:t>), and has been collapsed into a single burden estimate for all medical experts.</w:t>
      </w:r>
    </w:p>
    <w:p w14:paraId="510DBF31" w14:textId="77777777" w:rsidR="009E195A" w:rsidRDefault="009E195A">
      <w:pPr>
        <w:spacing w:after="0" w:line="240" w:lineRule="auto"/>
        <w:rPr>
          <w:rFonts w:asciiTheme="minorHAnsi" w:hAnsiTheme="minorHAnsi" w:cstheme="minorHAnsi"/>
        </w:rPr>
      </w:pPr>
    </w:p>
    <w:p w14:paraId="176CA31B" w14:textId="77777777" w:rsidR="009E195A" w:rsidRDefault="009E195A">
      <w:pPr>
        <w:spacing w:after="0" w:line="240" w:lineRule="auto"/>
        <w:rPr>
          <w:rFonts w:asciiTheme="minorHAnsi" w:hAnsiTheme="minorHAnsi" w:cstheme="minorHAnsi"/>
        </w:rPr>
      </w:pPr>
    </w:p>
    <w:p w14:paraId="3DB9F04A" w14:textId="66950F2A" w:rsidR="009E195A" w:rsidRDefault="00D3374E">
      <w:pPr>
        <w:spacing w:after="0" w:line="240" w:lineRule="auto"/>
        <w:rPr>
          <w:rFonts w:asciiTheme="minorHAnsi" w:hAnsiTheme="minorHAnsi" w:cstheme="minorHAnsi"/>
        </w:rPr>
      </w:pPr>
      <w:r>
        <w:rPr>
          <w:rFonts w:asciiTheme="minorHAnsi" w:hAnsiTheme="minorHAnsi" w:cstheme="minorHAnsi"/>
        </w:rPr>
        <w:t xml:space="preserve">As a result of these changes, the annualized burden estimate has been reduced from </w:t>
      </w:r>
      <w:r w:rsidR="00572E64">
        <w:rPr>
          <w:rFonts w:asciiTheme="minorHAnsi" w:hAnsiTheme="minorHAnsi" w:cstheme="minorHAnsi"/>
        </w:rPr>
        <w:t xml:space="preserve">previous estimates of </w:t>
      </w:r>
      <w:r>
        <w:rPr>
          <w:rFonts w:asciiTheme="minorHAnsi" w:hAnsiTheme="minorHAnsi" w:cstheme="minorHAnsi"/>
        </w:rPr>
        <w:t>750 hours to 521 hours.</w:t>
      </w:r>
    </w:p>
    <w:p w14:paraId="21442A8A" w14:textId="77777777" w:rsidR="009E195A" w:rsidRDefault="009E195A">
      <w:pPr>
        <w:spacing w:after="0" w:line="240" w:lineRule="auto"/>
        <w:rPr>
          <w:rFonts w:asciiTheme="minorHAnsi" w:hAnsiTheme="minorHAnsi" w:cstheme="minorHAnsi"/>
        </w:rPr>
      </w:pPr>
    </w:p>
    <w:p w14:paraId="4F20B9F0" w14:textId="77777777" w:rsidR="009E195A" w:rsidRDefault="009E195A">
      <w:pPr>
        <w:spacing w:after="0" w:line="240" w:lineRule="auto"/>
        <w:rPr>
          <w:rFonts w:asciiTheme="minorHAnsi" w:hAnsiTheme="minorHAnsi" w:cstheme="minorHAnsi"/>
        </w:rPr>
      </w:pPr>
    </w:p>
    <w:p w14:paraId="358A02CE" w14:textId="77777777" w:rsidR="009E195A" w:rsidRDefault="00D3374E">
      <w:pPr>
        <w:pStyle w:val="Heading1"/>
        <w:tabs>
          <w:tab w:val="left" w:pos="7245"/>
        </w:tabs>
        <w:rPr>
          <w:rFonts w:asciiTheme="minorHAnsi" w:hAnsiTheme="minorHAnsi" w:cstheme="minorHAnsi"/>
          <w:b/>
          <w:sz w:val="22"/>
          <w:szCs w:val="22"/>
        </w:rPr>
      </w:pPr>
      <w:bookmarkStart w:id="19" w:name="_Toc519847098"/>
      <w:r>
        <w:rPr>
          <w:rFonts w:asciiTheme="minorHAnsi" w:hAnsiTheme="minorHAnsi" w:cstheme="minorHAnsi"/>
          <w:b/>
          <w:sz w:val="22"/>
          <w:szCs w:val="22"/>
        </w:rPr>
        <w:t>16. Plans for Tabulation and Publication and Project Time Schedule</w:t>
      </w:r>
      <w:bookmarkEnd w:id="19"/>
      <w:r>
        <w:rPr>
          <w:rFonts w:asciiTheme="minorHAnsi" w:hAnsiTheme="minorHAnsi" w:cstheme="minorHAnsi"/>
          <w:b/>
          <w:sz w:val="22"/>
          <w:szCs w:val="22"/>
        </w:rPr>
        <w:t xml:space="preserve"> </w:t>
      </w:r>
      <w:r>
        <w:rPr>
          <w:rFonts w:asciiTheme="minorHAnsi" w:hAnsiTheme="minorHAnsi" w:cstheme="minorHAnsi"/>
          <w:b/>
          <w:sz w:val="22"/>
          <w:szCs w:val="22"/>
        </w:rPr>
        <w:tab/>
      </w:r>
    </w:p>
    <w:p w14:paraId="0A9A71C8" w14:textId="77777777" w:rsidR="009E195A" w:rsidRDefault="009E195A">
      <w:pPr>
        <w:rPr>
          <w:rFonts w:asciiTheme="minorHAnsi" w:hAnsiTheme="minorHAnsi" w:cstheme="minorHAnsi"/>
          <w:lang w:val="x-none" w:eastAsia="x-none"/>
        </w:rPr>
      </w:pPr>
    </w:p>
    <w:p w14:paraId="620BAA12" w14:textId="77777777" w:rsidR="009E195A" w:rsidRDefault="00D3374E">
      <w:pPr>
        <w:spacing w:line="240" w:lineRule="auto"/>
        <w:jc w:val="center"/>
        <w:rPr>
          <w:rFonts w:asciiTheme="minorHAnsi" w:hAnsiTheme="minorHAnsi" w:cstheme="minorHAnsi"/>
          <w:b/>
        </w:rPr>
      </w:pPr>
      <w:r>
        <w:rPr>
          <w:rFonts w:asciiTheme="minorHAnsi" w:hAnsiTheme="minorHAnsi" w:cstheme="minorHAnsi"/>
          <w:b/>
        </w:rPr>
        <w:t>Table 4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778"/>
      </w:tblGrid>
      <w:tr w:rsidR="009E195A" w14:paraId="01257083" w14:textId="77777777">
        <w:tc>
          <w:tcPr>
            <w:tcW w:w="3717" w:type="dxa"/>
            <w:shd w:val="clear" w:color="auto" w:fill="auto"/>
          </w:tcPr>
          <w:p w14:paraId="74885904"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Activity</w:t>
            </w:r>
          </w:p>
        </w:tc>
        <w:tc>
          <w:tcPr>
            <w:tcW w:w="5633" w:type="dxa"/>
            <w:shd w:val="clear" w:color="auto" w:fill="auto"/>
          </w:tcPr>
          <w:p w14:paraId="2DCBDE8C" w14:textId="77777777" w:rsidR="009E195A" w:rsidRDefault="00D3374E">
            <w:pPr>
              <w:spacing w:after="0" w:line="240" w:lineRule="auto"/>
              <w:jc w:val="center"/>
              <w:rPr>
                <w:rFonts w:asciiTheme="minorHAnsi" w:hAnsiTheme="minorHAnsi" w:cstheme="minorHAnsi"/>
                <w:b/>
              </w:rPr>
            </w:pPr>
            <w:r>
              <w:rPr>
                <w:rFonts w:asciiTheme="minorHAnsi" w:hAnsiTheme="minorHAnsi" w:cstheme="minorHAnsi"/>
                <w:b/>
              </w:rPr>
              <w:t>Time Schedule</w:t>
            </w:r>
          </w:p>
        </w:tc>
      </w:tr>
      <w:tr w:rsidR="009E195A" w14:paraId="68C2E905" w14:textId="77777777">
        <w:tc>
          <w:tcPr>
            <w:tcW w:w="3798" w:type="dxa"/>
            <w:shd w:val="clear" w:color="auto" w:fill="auto"/>
          </w:tcPr>
          <w:p w14:paraId="145A084A" w14:textId="77777777" w:rsidR="009E195A" w:rsidRDefault="00D3374E">
            <w:pPr>
              <w:spacing w:after="0" w:line="240" w:lineRule="auto"/>
              <w:rPr>
                <w:rFonts w:asciiTheme="minorHAnsi" w:hAnsiTheme="minorHAnsi" w:cstheme="minorHAnsi"/>
              </w:rPr>
            </w:pPr>
            <w:r>
              <w:rPr>
                <w:rFonts w:asciiTheme="minorHAnsi" w:hAnsiTheme="minorHAnsi" w:cstheme="minorHAnsi"/>
              </w:rPr>
              <w:t>Selection of awardees through objective review</w:t>
            </w:r>
          </w:p>
        </w:tc>
        <w:tc>
          <w:tcPr>
            <w:tcW w:w="5778" w:type="dxa"/>
            <w:shd w:val="clear" w:color="auto" w:fill="auto"/>
          </w:tcPr>
          <w:p w14:paraId="5CFCC949" w14:textId="77777777" w:rsidR="009E195A" w:rsidRDefault="00D3374E">
            <w:pPr>
              <w:spacing w:after="0" w:line="240" w:lineRule="auto"/>
              <w:rPr>
                <w:rFonts w:asciiTheme="minorHAnsi" w:hAnsiTheme="minorHAnsi" w:cstheme="minorHAnsi"/>
              </w:rPr>
            </w:pPr>
            <w:r>
              <w:rPr>
                <w:rFonts w:asciiTheme="minorHAnsi" w:hAnsiTheme="minorHAnsi" w:cstheme="minorHAnsi"/>
              </w:rPr>
              <w:t>July 2018</w:t>
            </w:r>
          </w:p>
        </w:tc>
      </w:tr>
      <w:tr w:rsidR="009E195A" w14:paraId="3F4540E6" w14:textId="77777777">
        <w:tc>
          <w:tcPr>
            <w:tcW w:w="3798" w:type="dxa"/>
            <w:shd w:val="clear" w:color="auto" w:fill="auto"/>
          </w:tcPr>
          <w:p w14:paraId="187251C4" w14:textId="77777777" w:rsidR="009E195A" w:rsidRDefault="00D3374E">
            <w:pPr>
              <w:spacing w:after="0" w:line="240" w:lineRule="auto"/>
              <w:rPr>
                <w:rFonts w:asciiTheme="minorHAnsi" w:hAnsiTheme="minorHAnsi" w:cstheme="minorHAnsi"/>
              </w:rPr>
            </w:pPr>
            <w:r>
              <w:rPr>
                <w:rFonts w:asciiTheme="minorHAnsi" w:hAnsiTheme="minorHAnsi" w:cstheme="minorHAnsi"/>
              </w:rPr>
              <w:t>Beginning of project performance year</w:t>
            </w:r>
          </w:p>
        </w:tc>
        <w:tc>
          <w:tcPr>
            <w:tcW w:w="5778" w:type="dxa"/>
            <w:shd w:val="clear" w:color="auto" w:fill="auto"/>
          </w:tcPr>
          <w:p w14:paraId="74B783B9" w14:textId="77777777" w:rsidR="009E195A" w:rsidRDefault="00D3374E">
            <w:pPr>
              <w:spacing w:after="0" w:line="240" w:lineRule="auto"/>
              <w:rPr>
                <w:rFonts w:asciiTheme="minorHAnsi" w:hAnsiTheme="minorHAnsi" w:cstheme="minorHAnsi"/>
              </w:rPr>
            </w:pPr>
            <w:r>
              <w:rPr>
                <w:rFonts w:asciiTheme="minorHAnsi" w:hAnsiTheme="minorHAnsi" w:cstheme="minorHAnsi"/>
              </w:rPr>
              <w:t>September 31, 2018</w:t>
            </w:r>
          </w:p>
        </w:tc>
      </w:tr>
      <w:tr w:rsidR="009E195A" w14:paraId="412FFBAE" w14:textId="77777777">
        <w:tc>
          <w:tcPr>
            <w:tcW w:w="3798" w:type="dxa"/>
            <w:shd w:val="clear" w:color="auto" w:fill="auto"/>
          </w:tcPr>
          <w:p w14:paraId="5ED79896" w14:textId="77777777" w:rsidR="009E195A" w:rsidRDefault="00D3374E">
            <w:pPr>
              <w:spacing w:after="0" w:line="240" w:lineRule="auto"/>
              <w:rPr>
                <w:rFonts w:asciiTheme="minorHAnsi" w:hAnsiTheme="minorHAnsi" w:cstheme="minorHAnsi"/>
              </w:rPr>
            </w:pPr>
            <w:r>
              <w:rPr>
                <w:rFonts w:asciiTheme="minorHAnsi" w:hAnsiTheme="minorHAnsi" w:cstheme="minorHAnsi"/>
              </w:rPr>
              <w:t>Identify individual cases for CDR review</w:t>
            </w:r>
          </w:p>
        </w:tc>
        <w:tc>
          <w:tcPr>
            <w:tcW w:w="5778" w:type="dxa"/>
            <w:shd w:val="clear" w:color="auto" w:fill="auto"/>
          </w:tcPr>
          <w:p w14:paraId="100594F4" w14:textId="77777777" w:rsidR="009E195A" w:rsidRDefault="00D3374E">
            <w:pPr>
              <w:spacing w:after="0" w:line="240" w:lineRule="auto"/>
              <w:rPr>
                <w:rFonts w:asciiTheme="minorHAnsi" w:hAnsiTheme="minorHAnsi" w:cstheme="minorHAnsi"/>
              </w:rPr>
            </w:pPr>
            <w:r>
              <w:rPr>
                <w:rFonts w:asciiTheme="minorHAnsi" w:hAnsiTheme="minorHAnsi" w:cstheme="minorHAnsi"/>
              </w:rPr>
              <w:t>Within 24 hours for autopsy and within 30 days for CDR</w:t>
            </w:r>
          </w:p>
        </w:tc>
      </w:tr>
      <w:tr w:rsidR="009E195A" w14:paraId="17B2D288" w14:textId="77777777">
        <w:tc>
          <w:tcPr>
            <w:tcW w:w="3798" w:type="dxa"/>
            <w:shd w:val="clear" w:color="auto" w:fill="auto"/>
          </w:tcPr>
          <w:p w14:paraId="68D70E09" w14:textId="77777777" w:rsidR="009E195A" w:rsidRDefault="00D3374E">
            <w:pPr>
              <w:spacing w:after="0" w:line="240" w:lineRule="auto"/>
              <w:rPr>
                <w:rFonts w:asciiTheme="minorHAnsi" w:hAnsiTheme="minorHAnsi" w:cstheme="minorHAnsi"/>
              </w:rPr>
            </w:pPr>
            <w:r>
              <w:rPr>
                <w:rFonts w:asciiTheme="minorHAnsi" w:hAnsiTheme="minorHAnsi" w:cstheme="minorHAnsi"/>
              </w:rPr>
              <w:t>CDR held for each death</w:t>
            </w:r>
          </w:p>
        </w:tc>
        <w:tc>
          <w:tcPr>
            <w:tcW w:w="5778" w:type="dxa"/>
            <w:shd w:val="clear" w:color="auto" w:fill="auto"/>
          </w:tcPr>
          <w:p w14:paraId="1D426895" w14:textId="77777777" w:rsidR="009E195A" w:rsidRDefault="00D3374E">
            <w:pPr>
              <w:spacing w:after="0" w:line="240" w:lineRule="auto"/>
              <w:rPr>
                <w:rFonts w:asciiTheme="minorHAnsi" w:hAnsiTheme="minorHAnsi" w:cstheme="minorHAnsi"/>
              </w:rPr>
            </w:pPr>
            <w:r>
              <w:rPr>
                <w:rFonts w:asciiTheme="minorHAnsi" w:hAnsiTheme="minorHAnsi" w:cstheme="minorHAnsi"/>
              </w:rPr>
              <w:t>Within 90 days of case identification</w:t>
            </w:r>
          </w:p>
        </w:tc>
      </w:tr>
      <w:tr w:rsidR="009E195A" w14:paraId="603D9989" w14:textId="77777777">
        <w:tc>
          <w:tcPr>
            <w:tcW w:w="3798" w:type="dxa"/>
            <w:shd w:val="clear" w:color="auto" w:fill="auto"/>
          </w:tcPr>
          <w:p w14:paraId="424359F0" w14:textId="77777777" w:rsidR="009E195A" w:rsidRDefault="009E195A">
            <w:pPr>
              <w:spacing w:after="0" w:line="240" w:lineRule="auto"/>
              <w:rPr>
                <w:rFonts w:asciiTheme="minorHAnsi" w:hAnsiTheme="minorHAnsi" w:cstheme="minorHAnsi"/>
              </w:rPr>
            </w:pPr>
          </w:p>
        </w:tc>
        <w:tc>
          <w:tcPr>
            <w:tcW w:w="5778" w:type="dxa"/>
            <w:shd w:val="clear" w:color="auto" w:fill="auto"/>
          </w:tcPr>
          <w:p w14:paraId="2CDE1E4F" w14:textId="77777777" w:rsidR="009E195A" w:rsidRDefault="009E195A">
            <w:pPr>
              <w:spacing w:after="0" w:line="240" w:lineRule="auto"/>
              <w:rPr>
                <w:rFonts w:asciiTheme="minorHAnsi" w:hAnsiTheme="minorHAnsi" w:cstheme="minorHAnsi"/>
              </w:rPr>
            </w:pPr>
          </w:p>
        </w:tc>
      </w:tr>
      <w:tr w:rsidR="009E195A" w14:paraId="64A78467" w14:textId="77777777">
        <w:tc>
          <w:tcPr>
            <w:tcW w:w="3798" w:type="dxa"/>
            <w:shd w:val="clear" w:color="auto" w:fill="auto"/>
          </w:tcPr>
          <w:p w14:paraId="3637F8A2" w14:textId="77777777" w:rsidR="009E195A" w:rsidRDefault="00D3374E">
            <w:pPr>
              <w:spacing w:after="0" w:line="240" w:lineRule="auto"/>
              <w:rPr>
                <w:rFonts w:asciiTheme="minorHAnsi" w:hAnsiTheme="minorHAnsi" w:cstheme="minorHAnsi"/>
              </w:rPr>
            </w:pPr>
            <w:r>
              <w:rPr>
                <w:rFonts w:asciiTheme="minorHAnsi" w:hAnsiTheme="minorHAnsi" w:cstheme="minorHAnsi"/>
              </w:rPr>
              <w:t>Compile and enter data into NCFRP Case Reporting System including the required SDY Module</w:t>
            </w:r>
          </w:p>
        </w:tc>
        <w:tc>
          <w:tcPr>
            <w:tcW w:w="5778" w:type="dxa"/>
            <w:shd w:val="clear" w:color="auto" w:fill="auto"/>
          </w:tcPr>
          <w:p w14:paraId="1C4A2CDB" w14:textId="77777777" w:rsidR="009E195A" w:rsidRDefault="00D3374E">
            <w:pPr>
              <w:spacing w:after="0" w:line="240" w:lineRule="auto"/>
              <w:rPr>
                <w:rFonts w:asciiTheme="minorHAnsi" w:hAnsiTheme="minorHAnsi" w:cstheme="minorHAnsi"/>
              </w:rPr>
            </w:pPr>
            <w:r>
              <w:rPr>
                <w:rFonts w:asciiTheme="minorHAnsi" w:hAnsiTheme="minorHAnsi" w:cstheme="minorHAnsi"/>
              </w:rPr>
              <w:t>Within 30 days of review team meetings</w:t>
            </w:r>
          </w:p>
        </w:tc>
      </w:tr>
      <w:tr w:rsidR="009E195A" w14:paraId="0516E1E8" w14:textId="77777777">
        <w:tc>
          <w:tcPr>
            <w:tcW w:w="3798" w:type="dxa"/>
            <w:shd w:val="clear" w:color="auto" w:fill="auto"/>
          </w:tcPr>
          <w:p w14:paraId="098F6220" w14:textId="77777777" w:rsidR="009E195A" w:rsidRDefault="00D3374E">
            <w:pPr>
              <w:spacing w:after="0" w:line="240" w:lineRule="auto"/>
              <w:rPr>
                <w:rFonts w:asciiTheme="minorHAnsi" w:hAnsiTheme="minorHAnsi" w:cstheme="minorHAnsi"/>
              </w:rPr>
            </w:pPr>
            <w:r>
              <w:rPr>
                <w:rFonts w:asciiTheme="minorHAnsi" w:hAnsiTheme="minorHAnsi" w:cstheme="minorHAnsi"/>
              </w:rPr>
              <w:t>Advanced review of cases that meet SDY Registry definition</w:t>
            </w:r>
          </w:p>
        </w:tc>
        <w:tc>
          <w:tcPr>
            <w:tcW w:w="5778" w:type="dxa"/>
            <w:shd w:val="clear" w:color="auto" w:fill="auto"/>
          </w:tcPr>
          <w:p w14:paraId="5CB41F05" w14:textId="77777777" w:rsidR="009E195A" w:rsidRDefault="00D3374E">
            <w:pPr>
              <w:spacing w:after="0" w:line="240" w:lineRule="auto"/>
              <w:rPr>
                <w:rFonts w:asciiTheme="minorHAnsi" w:hAnsiTheme="minorHAnsi" w:cstheme="minorHAnsi"/>
              </w:rPr>
            </w:pPr>
            <w:r>
              <w:rPr>
                <w:rFonts w:asciiTheme="minorHAnsi" w:hAnsiTheme="minorHAnsi" w:cstheme="minorHAnsi"/>
              </w:rPr>
              <w:t>Within 90 days of CDR team meeting</w:t>
            </w:r>
          </w:p>
        </w:tc>
      </w:tr>
      <w:tr w:rsidR="009E195A" w14:paraId="7158B913" w14:textId="77777777">
        <w:tc>
          <w:tcPr>
            <w:tcW w:w="3798" w:type="dxa"/>
            <w:shd w:val="clear" w:color="auto" w:fill="auto"/>
          </w:tcPr>
          <w:p w14:paraId="59E521A6" w14:textId="77777777" w:rsidR="009E195A" w:rsidRDefault="00D3374E">
            <w:pPr>
              <w:spacing w:after="0" w:line="240" w:lineRule="auto"/>
              <w:rPr>
                <w:rFonts w:asciiTheme="minorHAnsi" w:hAnsiTheme="minorHAnsi" w:cstheme="minorHAnsi"/>
              </w:rPr>
            </w:pPr>
            <w:r>
              <w:rPr>
                <w:rFonts w:asciiTheme="minorHAnsi" w:hAnsiTheme="minorHAnsi" w:cstheme="minorHAnsi"/>
              </w:rPr>
              <w:t>Additional data entry into the SDY module</w:t>
            </w:r>
          </w:p>
        </w:tc>
        <w:tc>
          <w:tcPr>
            <w:tcW w:w="5778" w:type="dxa"/>
            <w:shd w:val="clear" w:color="auto" w:fill="auto"/>
          </w:tcPr>
          <w:p w14:paraId="4648C920" w14:textId="77777777" w:rsidR="009E195A" w:rsidRDefault="00D3374E">
            <w:pPr>
              <w:spacing w:after="0" w:line="240" w:lineRule="auto"/>
              <w:rPr>
                <w:rFonts w:asciiTheme="minorHAnsi" w:hAnsiTheme="minorHAnsi" w:cstheme="minorHAnsi"/>
              </w:rPr>
            </w:pPr>
            <w:r>
              <w:rPr>
                <w:rFonts w:asciiTheme="minorHAnsi" w:hAnsiTheme="minorHAnsi" w:cstheme="minorHAnsi"/>
              </w:rPr>
              <w:t>Within 30 days of the advanced review meeting</w:t>
            </w:r>
          </w:p>
        </w:tc>
      </w:tr>
      <w:tr w:rsidR="009E195A" w14:paraId="694E7F68" w14:textId="77777777">
        <w:tc>
          <w:tcPr>
            <w:tcW w:w="3717" w:type="dxa"/>
            <w:shd w:val="clear" w:color="auto" w:fill="auto"/>
          </w:tcPr>
          <w:p w14:paraId="73C0EFAE"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Analyze and disseminate data </w:t>
            </w:r>
          </w:p>
        </w:tc>
        <w:tc>
          <w:tcPr>
            <w:tcW w:w="5633" w:type="dxa"/>
            <w:shd w:val="clear" w:color="auto" w:fill="auto"/>
          </w:tcPr>
          <w:p w14:paraId="4BB7E810"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Quarterly </w:t>
            </w:r>
          </w:p>
        </w:tc>
      </w:tr>
      <w:tr w:rsidR="009E195A" w14:paraId="768AE38E" w14:textId="77777777">
        <w:tc>
          <w:tcPr>
            <w:tcW w:w="3717" w:type="dxa"/>
            <w:shd w:val="clear" w:color="auto" w:fill="auto"/>
          </w:tcPr>
          <w:p w14:paraId="037AB192" w14:textId="77777777" w:rsidR="009E195A" w:rsidRDefault="00D3374E">
            <w:pPr>
              <w:spacing w:after="0" w:line="240" w:lineRule="auto"/>
              <w:rPr>
                <w:rFonts w:asciiTheme="minorHAnsi" w:hAnsiTheme="minorHAnsi" w:cstheme="minorHAnsi"/>
              </w:rPr>
            </w:pPr>
            <w:r>
              <w:rPr>
                <w:rFonts w:asciiTheme="minorHAnsi" w:hAnsiTheme="minorHAnsi" w:cstheme="minorHAnsi"/>
              </w:rPr>
              <w:t>Utilize SDY Registry Data</w:t>
            </w:r>
          </w:p>
        </w:tc>
        <w:tc>
          <w:tcPr>
            <w:tcW w:w="5633" w:type="dxa"/>
            <w:shd w:val="clear" w:color="auto" w:fill="auto"/>
          </w:tcPr>
          <w:p w14:paraId="14FADA06" w14:textId="77777777" w:rsidR="009E195A" w:rsidRDefault="00D3374E">
            <w:pPr>
              <w:spacing w:after="0" w:line="240" w:lineRule="auto"/>
              <w:rPr>
                <w:rFonts w:asciiTheme="minorHAnsi" w:hAnsiTheme="minorHAnsi" w:cstheme="minorHAnsi"/>
              </w:rPr>
            </w:pPr>
            <w:r>
              <w:rPr>
                <w:rFonts w:asciiTheme="minorHAnsi" w:hAnsiTheme="minorHAnsi" w:cstheme="minorHAnsi"/>
              </w:rPr>
              <w:t>Quarterly for summary reports on data quality</w:t>
            </w:r>
          </w:p>
        </w:tc>
      </w:tr>
      <w:tr w:rsidR="009E195A" w14:paraId="6D91466F" w14:textId="77777777">
        <w:tc>
          <w:tcPr>
            <w:tcW w:w="3717" w:type="dxa"/>
            <w:shd w:val="clear" w:color="auto" w:fill="auto"/>
          </w:tcPr>
          <w:p w14:paraId="4948B473" w14:textId="77777777" w:rsidR="009E195A" w:rsidRDefault="00D3374E">
            <w:pPr>
              <w:spacing w:after="0" w:line="240" w:lineRule="auto"/>
              <w:rPr>
                <w:rFonts w:asciiTheme="minorHAnsi" w:hAnsiTheme="minorHAnsi" w:cstheme="minorHAnsi"/>
              </w:rPr>
            </w:pPr>
            <w:r>
              <w:rPr>
                <w:rFonts w:asciiTheme="minorHAnsi" w:hAnsiTheme="minorHAnsi" w:cstheme="minorHAnsi"/>
              </w:rPr>
              <w:t>Participate in awardee meetings</w:t>
            </w:r>
          </w:p>
        </w:tc>
        <w:tc>
          <w:tcPr>
            <w:tcW w:w="5633" w:type="dxa"/>
            <w:shd w:val="clear" w:color="auto" w:fill="auto"/>
          </w:tcPr>
          <w:p w14:paraId="053F6EFB" w14:textId="77777777" w:rsidR="009E195A" w:rsidRDefault="00D3374E">
            <w:pPr>
              <w:spacing w:after="0" w:line="240" w:lineRule="auto"/>
              <w:rPr>
                <w:rFonts w:asciiTheme="minorHAnsi" w:hAnsiTheme="minorHAnsi" w:cstheme="minorHAnsi"/>
              </w:rPr>
            </w:pPr>
            <w:r>
              <w:rPr>
                <w:rFonts w:asciiTheme="minorHAnsi" w:hAnsiTheme="minorHAnsi" w:cstheme="minorHAnsi"/>
              </w:rPr>
              <w:t xml:space="preserve">Annually </w:t>
            </w:r>
          </w:p>
        </w:tc>
      </w:tr>
    </w:tbl>
    <w:p w14:paraId="7947F374" w14:textId="77777777" w:rsidR="009E195A" w:rsidRDefault="009E195A">
      <w:pPr>
        <w:spacing w:after="0" w:line="240" w:lineRule="auto"/>
        <w:rPr>
          <w:rFonts w:asciiTheme="minorHAnsi" w:hAnsiTheme="minorHAnsi" w:cstheme="minorHAnsi"/>
        </w:rPr>
      </w:pPr>
    </w:p>
    <w:p w14:paraId="58538EF8" w14:textId="77777777" w:rsidR="009E195A" w:rsidRDefault="00D3374E">
      <w:pPr>
        <w:spacing w:after="0" w:line="240" w:lineRule="auto"/>
        <w:rPr>
          <w:rFonts w:asciiTheme="minorHAnsi" w:hAnsiTheme="minorHAnsi" w:cstheme="minorHAnsi"/>
        </w:rPr>
      </w:pPr>
      <w:r>
        <w:rPr>
          <w:rFonts w:asciiTheme="minorHAnsi" w:hAnsiTheme="minorHAnsi" w:cstheme="minorHAnsi"/>
          <w:i/>
        </w:rPr>
        <w:t>Time schedule for entire project</w:t>
      </w:r>
      <w:r>
        <w:rPr>
          <w:rFonts w:asciiTheme="minorHAnsi" w:hAnsiTheme="minorHAnsi" w:cstheme="minorHAnsi"/>
        </w:rPr>
        <w:t xml:space="preserve">: The project will begin September 30, 2018 and will end September 29, 2023. It may be re-competed and/or expanded in 2023. </w:t>
      </w:r>
    </w:p>
    <w:p w14:paraId="18A0943E" w14:textId="77777777" w:rsidR="009E195A" w:rsidRDefault="009E195A">
      <w:pPr>
        <w:spacing w:after="0" w:line="240" w:lineRule="auto"/>
        <w:rPr>
          <w:rFonts w:asciiTheme="minorHAnsi" w:hAnsiTheme="minorHAnsi" w:cstheme="minorHAnsi"/>
        </w:rPr>
      </w:pPr>
    </w:p>
    <w:p w14:paraId="6363C153" w14:textId="77777777" w:rsidR="009E195A" w:rsidRDefault="00D3374E">
      <w:pPr>
        <w:spacing w:after="0" w:line="240" w:lineRule="auto"/>
        <w:rPr>
          <w:rFonts w:asciiTheme="minorHAnsi" w:hAnsiTheme="minorHAnsi" w:cstheme="minorHAnsi"/>
        </w:rPr>
      </w:pPr>
      <w:r>
        <w:rPr>
          <w:rFonts w:asciiTheme="minorHAnsi" w:hAnsiTheme="minorHAnsi" w:cstheme="minorHAnsi"/>
          <w:i/>
        </w:rPr>
        <w:t>Length of time requested for OMB clearance</w:t>
      </w:r>
      <w:r>
        <w:rPr>
          <w:rFonts w:asciiTheme="minorHAnsi" w:hAnsiTheme="minorHAnsi" w:cstheme="minorHAnsi"/>
        </w:rPr>
        <w:t xml:space="preserve">: 3 years </w:t>
      </w:r>
    </w:p>
    <w:p w14:paraId="04FC6CD7" w14:textId="77777777" w:rsidR="009E195A" w:rsidRDefault="009E195A">
      <w:pPr>
        <w:spacing w:after="0" w:line="240" w:lineRule="auto"/>
        <w:rPr>
          <w:rFonts w:asciiTheme="minorHAnsi" w:hAnsiTheme="minorHAnsi" w:cstheme="minorHAnsi"/>
        </w:rPr>
      </w:pPr>
    </w:p>
    <w:p w14:paraId="62E825DB" w14:textId="77777777" w:rsidR="009E195A" w:rsidRDefault="00D3374E">
      <w:pPr>
        <w:spacing w:after="0" w:line="240" w:lineRule="auto"/>
        <w:rPr>
          <w:rFonts w:asciiTheme="minorHAnsi" w:hAnsiTheme="minorHAnsi" w:cstheme="minorHAnsi"/>
        </w:rPr>
      </w:pPr>
      <w:r>
        <w:rPr>
          <w:rFonts w:asciiTheme="minorHAnsi" w:hAnsiTheme="minorHAnsi" w:cstheme="minorHAnsi"/>
          <w:i/>
        </w:rPr>
        <w:t>Plans for tabulation and publication</w:t>
      </w:r>
      <w:r>
        <w:rPr>
          <w:rFonts w:asciiTheme="minorHAnsi" w:hAnsiTheme="minorHAnsi" w:cstheme="minorHAnsi"/>
        </w:rPr>
        <w:t>: Data will be publically reported in periodic manuscripts that describe the SDY cases in the Registry.</w:t>
      </w:r>
    </w:p>
    <w:p w14:paraId="7F0133C6" w14:textId="77777777" w:rsidR="009E195A" w:rsidRDefault="009E195A">
      <w:pPr>
        <w:spacing w:after="0" w:line="240" w:lineRule="auto"/>
        <w:rPr>
          <w:rFonts w:asciiTheme="minorHAnsi" w:hAnsiTheme="minorHAnsi" w:cstheme="minorHAnsi"/>
        </w:rPr>
      </w:pPr>
    </w:p>
    <w:p w14:paraId="6C2C1E60" w14:textId="77777777" w:rsidR="009E195A" w:rsidRDefault="00D3374E">
      <w:pPr>
        <w:spacing w:after="0" w:line="240" w:lineRule="auto"/>
        <w:rPr>
          <w:rFonts w:asciiTheme="minorHAnsi" w:hAnsiTheme="minorHAnsi" w:cstheme="minorHAnsi"/>
        </w:rPr>
      </w:pPr>
      <w:r>
        <w:rPr>
          <w:rFonts w:asciiTheme="minorHAnsi" w:hAnsiTheme="minorHAnsi" w:cstheme="minorHAnsi"/>
          <w:i/>
        </w:rPr>
        <w:t>Complex analytical techniques that will be used</w:t>
      </w:r>
      <w:r>
        <w:rPr>
          <w:rFonts w:asciiTheme="minorHAnsi" w:hAnsiTheme="minorHAnsi" w:cstheme="minorHAnsi"/>
        </w:rPr>
        <w:t xml:space="preserve">: No complex analysis is planned; only descriptive data analyses are planned. </w:t>
      </w:r>
    </w:p>
    <w:p w14:paraId="739634FE" w14:textId="77777777" w:rsidR="009E195A" w:rsidRDefault="009E195A">
      <w:pPr>
        <w:spacing w:after="0" w:line="240" w:lineRule="auto"/>
        <w:rPr>
          <w:rFonts w:asciiTheme="minorHAnsi" w:hAnsiTheme="minorHAnsi" w:cstheme="minorHAnsi"/>
        </w:rPr>
      </w:pPr>
    </w:p>
    <w:p w14:paraId="647BF8AB" w14:textId="77777777" w:rsidR="009E195A" w:rsidRDefault="00D3374E">
      <w:pPr>
        <w:contextualSpacing/>
      </w:pPr>
      <w:r>
        <w:rPr>
          <w:rFonts w:asciiTheme="minorHAnsi" w:hAnsiTheme="minorHAnsi" w:cstheme="minorHAnsi"/>
          <w:i/>
        </w:rPr>
        <w:t>Analysis plan</w:t>
      </w:r>
      <w:r>
        <w:rPr>
          <w:rFonts w:asciiTheme="minorHAnsi" w:hAnsiTheme="minorHAnsi" w:cstheme="minorHAnsi"/>
        </w:rPr>
        <w:t xml:space="preserve">: Aggregated (i.e., not on individual cases level) information entered into the NFR-CRS will be analyzed by CDC on a quarterly basis for quality improvement purposes only. The Data Coordinating Center will also use the data to track awardees’ timeliness of data, data completeness on SDY variables and case ascertainment. </w:t>
      </w:r>
      <w:r>
        <w:t xml:space="preserve">Data analyses beyond quality improvement analyses conducted by CDC are determined by the awardees. Awardees will use their data to develop targeted prevention strategies to reduce the number of infant and childhood deaths. </w:t>
      </w:r>
    </w:p>
    <w:p w14:paraId="02FFB6D4" w14:textId="77777777" w:rsidR="009E195A" w:rsidRDefault="009E195A">
      <w:pPr>
        <w:spacing w:after="0" w:line="240" w:lineRule="auto"/>
        <w:rPr>
          <w:rFonts w:asciiTheme="minorHAnsi" w:hAnsiTheme="minorHAnsi" w:cstheme="minorHAnsi"/>
        </w:rPr>
      </w:pPr>
    </w:p>
    <w:p w14:paraId="27159C6A" w14:textId="77777777" w:rsidR="009E195A" w:rsidRDefault="009E195A">
      <w:pPr>
        <w:spacing w:after="0" w:line="240" w:lineRule="auto"/>
        <w:rPr>
          <w:rFonts w:asciiTheme="minorHAnsi" w:hAnsiTheme="minorHAnsi" w:cstheme="minorHAnsi"/>
          <w:b/>
        </w:rPr>
      </w:pPr>
    </w:p>
    <w:p w14:paraId="031E473C" w14:textId="77777777" w:rsidR="009E195A" w:rsidRDefault="00D3374E">
      <w:pPr>
        <w:pStyle w:val="Heading1"/>
        <w:rPr>
          <w:rFonts w:asciiTheme="minorHAnsi" w:hAnsiTheme="minorHAnsi" w:cstheme="minorHAnsi"/>
          <w:b/>
          <w:sz w:val="22"/>
          <w:szCs w:val="22"/>
        </w:rPr>
      </w:pPr>
      <w:bookmarkStart w:id="20" w:name="_Toc519847099"/>
      <w:r>
        <w:rPr>
          <w:rFonts w:asciiTheme="minorHAnsi" w:hAnsiTheme="minorHAnsi" w:cstheme="minorHAnsi"/>
          <w:b/>
          <w:sz w:val="22"/>
          <w:szCs w:val="22"/>
        </w:rPr>
        <w:t>17. Reason(s) Display of OMB Expiration Date is Inappropriate</w:t>
      </w:r>
      <w:bookmarkEnd w:id="20"/>
      <w:r>
        <w:rPr>
          <w:rFonts w:asciiTheme="minorHAnsi" w:hAnsiTheme="minorHAnsi" w:cstheme="minorHAnsi"/>
          <w:b/>
          <w:sz w:val="22"/>
          <w:szCs w:val="22"/>
        </w:rPr>
        <w:t xml:space="preserve"> </w:t>
      </w:r>
    </w:p>
    <w:p w14:paraId="1F226646" w14:textId="77777777" w:rsidR="00DC00BC" w:rsidRPr="00DC00BC" w:rsidRDefault="00DC00BC" w:rsidP="00DC00BC">
      <w:pPr>
        <w:pStyle w:val="aBodyText"/>
        <w:spacing w:before="0"/>
        <w:rPr>
          <w:rFonts w:asciiTheme="minorHAnsi" w:hAnsiTheme="minorHAnsi" w:cstheme="minorHAnsi"/>
          <w:sz w:val="22"/>
          <w:szCs w:val="22"/>
        </w:rPr>
      </w:pPr>
      <w:r w:rsidRPr="00DC00BC">
        <w:rPr>
          <w:rFonts w:asciiTheme="minorHAnsi" w:hAnsiTheme="minorHAnsi" w:cstheme="minorHAnsi"/>
          <w:sz w:val="22"/>
          <w:szCs w:val="22"/>
        </w:rPr>
        <w:t xml:space="preserve">The display of the OMB expiration date is not inappropriate. </w:t>
      </w:r>
    </w:p>
    <w:p w14:paraId="7104D460" w14:textId="77777777" w:rsidR="009E195A" w:rsidRDefault="009E195A">
      <w:pPr>
        <w:spacing w:after="0" w:line="240" w:lineRule="auto"/>
        <w:rPr>
          <w:rFonts w:asciiTheme="minorHAnsi" w:hAnsiTheme="minorHAnsi" w:cstheme="minorHAnsi"/>
        </w:rPr>
      </w:pPr>
    </w:p>
    <w:p w14:paraId="61546727" w14:textId="77777777" w:rsidR="009E195A" w:rsidRDefault="00D3374E">
      <w:pPr>
        <w:pStyle w:val="Heading1"/>
        <w:rPr>
          <w:rFonts w:asciiTheme="minorHAnsi" w:hAnsiTheme="minorHAnsi" w:cstheme="minorHAnsi"/>
          <w:b/>
          <w:sz w:val="22"/>
          <w:szCs w:val="22"/>
        </w:rPr>
      </w:pPr>
      <w:bookmarkStart w:id="21" w:name="_Toc519847100"/>
      <w:r>
        <w:rPr>
          <w:rFonts w:asciiTheme="minorHAnsi" w:hAnsiTheme="minorHAnsi" w:cstheme="minorHAnsi"/>
          <w:b/>
          <w:sz w:val="22"/>
          <w:szCs w:val="22"/>
        </w:rPr>
        <w:t>18. Exceptions to Certification for Paperwork Reduction Act Submissions</w:t>
      </w:r>
      <w:bookmarkEnd w:id="21"/>
    </w:p>
    <w:p w14:paraId="7E061BCE" w14:textId="77777777" w:rsidR="009E195A" w:rsidRDefault="00D3374E">
      <w:pPr>
        <w:spacing w:after="0" w:line="240" w:lineRule="auto"/>
        <w:rPr>
          <w:rFonts w:asciiTheme="minorHAnsi" w:hAnsiTheme="minorHAnsi" w:cstheme="minorHAnsi"/>
        </w:rPr>
      </w:pPr>
      <w:r>
        <w:rPr>
          <w:rFonts w:asciiTheme="minorHAnsi" w:hAnsiTheme="minorHAnsi" w:cstheme="minorHAnsi"/>
        </w:rPr>
        <w:t>There are no exceptions to the certification.</w:t>
      </w:r>
    </w:p>
    <w:sectPr w:rsidR="009E195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95F85" w14:textId="77777777" w:rsidR="002A294E" w:rsidRDefault="002A294E">
      <w:pPr>
        <w:spacing w:after="0" w:line="240" w:lineRule="auto"/>
      </w:pPr>
      <w:r>
        <w:separator/>
      </w:r>
    </w:p>
  </w:endnote>
  <w:endnote w:type="continuationSeparator" w:id="0">
    <w:p w14:paraId="63C606D0" w14:textId="77777777" w:rsidR="002A294E" w:rsidRDefault="002A294E">
      <w:pPr>
        <w:spacing w:after="0" w:line="240" w:lineRule="auto"/>
      </w:pPr>
      <w:r>
        <w:continuationSeparator/>
      </w:r>
    </w:p>
  </w:endnote>
  <w:endnote w:type="continuationNotice" w:id="1">
    <w:p w14:paraId="06C93C32" w14:textId="77777777" w:rsidR="002A294E" w:rsidRDefault="002A2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88745" w14:textId="78F50A3E" w:rsidR="002A294E" w:rsidRDefault="002A294E">
    <w:pPr>
      <w:pStyle w:val="Footer"/>
      <w:jc w:val="right"/>
    </w:pPr>
    <w:r>
      <w:fldChar w:fldCharType="begin"/>
    </w:r>
    <w:r>
      <w:instrText xml:space="preserve"> PAGE   \* MERGEFORMAT </w:instrText>
    </w:r>
    <w:r>
      <w:fldChar w:fldCharType="separate"/>
    </w:r>
    <w:r w:rsidR="00FD5816">
      <w:rPr>
        <w:noProof/>
      </w:rPr>
      <w:t>1</w:t>
    </w:r>
    <w:r>
      <w:rPr>
        <w:noProof/>
      </w:rPr>
      <w:fldChar w:fldCharType="end"/>
    </w:r>
  </w:p>
  <w:p w14:paraId="4E5A1CBC" w14:textId="77777777" w:rsidR="002A294E" w:rsidRDefault="002A2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341EF" w14:textId="77777777" w:rsidR="002A294E" w:rsidRDefault="002A294E">
      <w:pPr>
        <w:spacing w:after="0" w:line="240" w:lineRule="auto"/>
      </w:pPr>
      <w:r>
        <w:separator/>
      </w:r>
    </w:p>
  </w:footnote>
  <w:footnote w:type="continuationSeparator" w:id="0">
    <w:p w14:paraId="046493D9" w14:textId="77777777" w:rsidR="002A294E" w:rsidRDefault="002A294E">
      <w:pPr>
        <w:spacing w:after="0" w:line="240" w:lineRule="auto"/>
      </w:pPr>
      <w:r>
        <w:continuationSeparator/>
      </w:r>
    </w:p>
  </w:footnote>
  <w:footnote w:type="continuationNotice" w:id="1">
    <w:p w14:paraId="1068B5FB" w14:textId="77777777" w:rsidR="002A294E" w:rsidRDefault="002A294E">
      <w:pPr>
        <w:spacing w:after="0" w:line="240" w:lineRule="auto"/>
      </w:pPr>
    </w:p>
  </w:footnote>
  <w:footnote w:id="2">
    <w:p w14:paraId="16A6C068" w14:textId="47D2067F" w:rsidR="00FE34DB" w:rsidRPr="00FE34DB" w:rsidRDefault="00FE34DB">
      <w:pPr>
        <w:pStyle w:val="FootnoteText"/>
        <w:rPr>
          <w:lang w:val="en-US"/>
        </w:rPr>
      </w:pPr>
      <w:r>
        <w:rPr>
          <w:rStyle w:val="FootnoteReference"/>
        </w:rPr>
        <w:footnoteRef/>
      </w:r>
      <w:r>
        <w:t xml:space="preserve"> </w:t>
      </w:r>
      <w:r>
        <w:rPr>
          <w:color w:val="222222"/>
        </w:rPr>
        <w:t xml:space="preserve">Burns, Kristin M., Lauren Bienemann, Lena Camperlengo, Carri Cottengim, Theresa M. Covington, Heather Dykstra, Meghan Faulkner et al. "The sudden death in the young case registry: collaborating to understand and reduce mortality." </w:t>
      </w:r>
      <w:r>
        <w:rPr>
          <w:i/>
          <w:iCs/>
          <w:color w:val="222222"/>
        </w:rPr>
        <w:t>Pediatrics</w:t>
      </w:r>
      <w:r>
        <w:rPr>
          <w:color w:val="222222"/>
        </w:rPr>
        <w:t xml:space="preserve"> (2017): e20162757.</w:t>
      </w:r>
    </w:p>
  </w:footnote>
  <w:footnote w:id="3">
    <w:p w14:paraId="40F352DB" w14:textId="77777777" w:rsidR="002A294E" w:rsidRDefault="002A294E">
      <w:pPr>
        <w:rPr>
          <w:rFonts w:asciiTheme="minorHAnsi" w:hAnsiTheme="minorHAnsi" w:cstheme="minorHAnsi"/>
        </w:rPr>
      </w:pPr>
      <w:r>
        <w:rPr>
          <w:rStyle w:val="FootnoteReference"/>
          <w:rFonts w:asciiTheme="minorHAnsi" w:hAnsiTheme="minorHAnsi" w:cstheme="minorHAnsi"/>
        </w:rPr>
        <w:footnoteRef/>
      </w:r>
      <w:hyperlink r:id="rId1" w:history="1">
        <w:r>
          <w:rPr>
            <w:rStyle w:val="Hyperlink"/>
            <w:rFonts w:asciiTheme="minorHAnsi" w:hAnsiTheme="minorHAnsi" w:cstheme="minorHAnsi"/>
          </w:rPr>
          <w:t>https://wonder.cdc.gov/</w:t>
        </w:r>
      </w:hyperlink>
      <w:r>
        <w:rPr>
          <w:rFonts w:asciiTheme="minorHAnsi" w:hAnsiTheme="minorHAnsi" w:cstheme="minorHAnsi"/>
        </w:rPr>
        <w:t xml:space="preserve"> </w:t>
      </w:r>
    </w:p>
    <w:p w14:paraId="51BE7579" w14:textId="77777777" w:rsidR="002A294E" w:rsidRDefault="002A294E">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1D5"/>
    <w:multiLevelType w:val="hybridMultilevel"/>
    <w:tmpl w:val="BDAA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E4D29"/>
    <w:multiLevelType w:val="hybridMultilevel"/>
    <w:tmpl w:val="EFEC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55984"/>
    <w:multiLevelType w:val="multilevel"/>
    <w:tmpl w:val="B98C9EC8"/>
    <w:styleLink w:val="List7"/>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
    <w:nsid w:val="11C4440E"/>
    <w:multiLevelType w:val="hybridMultilevel"/>
    <w:tmpl w:val="0E0E92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D11E79"/>
    <w:multiLevelType w:val="hybridMultilevel"/>
    <w:tmpl w:val="8EA4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44827EFB"/>
    <w:multiLevelType w:val="hybridMultilevel"/>
    <w:tmpl w:val="53184ED6"/>
    <w:lvl w:ilvl="0" w:tplc="823CD23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893CC3"/>
    <w:multiLevelType w:val="hybridMultilevel"/>
    <w:tmpl w:val="57027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30C40D6"/>
    <w:multiLevelType w:val="multilevel"/>
    <w:tmpl w:val="4B8C940C"/>
    <w:styleLink w:val="List8"/>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9">
    <w:nsid w:val="55991AC5"/>
    <w:multiLevelType w:val="hybridMultilevel"/>
    <w:tmpl w:val="4380E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D83872"/>
    <w:multiLevelType w:val="hybridMultilevel"/>
    <w:tmpl w:val="58DEC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E26BD7"/>
    <w:multiLevelType w:val="hybridMultilevel"/>
    <w:tmpl w:val="DCC88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F503DC1"/>
    <w:multiLevelType w:val="hybridMultilevel"/>
    <w:tmpl w:val="CF629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063B9A"/>
    <w:multiLevelType w:val="hybridMultilevel"/>
    <w:tmpl w:val="19C01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2E62DF"/>
    <w:multiLevelType w:val="hybridMultilevel"/>
    <w:tmpl w:val="CFE29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03DAA"/>
    <w:multiLevelType w:val="multilevel"/>
    <w:tmpl w:val="E5E6367E"/>
    <w:styleLink w:val="List1"/>
    <w:lvl w:ilvl="0">
      <w:numFmt w:val="bullet"/>
      <w:lvlText w:val="•"/>
      <w:lvlJc w:val="left"/>
      <w:rPr>
        <w:rFonts w:ascii="Cambria" w:eastAsia="Cambria" w:hAnsi="Cambria" w:cs="Wingdings"/>
        <w:color w:val="000000"/>
        <w:position w:val="0"/>
        <w:rtl w:val="0"/>
      </w:rPr>
    </w:lvl>
    <w:lvl w:ilvl="1">
      <w:start w:val="1"/>
      <w:numFmt w:val="bullet"/>
      <w:lvlText w:val="o"/>
      <w:lvlJc w:val="left"/>
      <w:rPr>
        <w:rFonts w:ascii="Cambria" w:eastAsia="Cambria" w:hAnsi="Cambria" w:cs="Wingdings"/>
        <w:color w:val="000000"/>
        <w:position w:val="0"/>
        <w:rtl w:val="0"/>
      </w:rPr>
    </w:lvl>
    <w:lvl w:ilvl="2">
      <w:start w:val="1"/>
      <w:numFmt w:val="bullet"/>
      <w:lvlText w:val="▪"/>
      <w:lvlJc w:val="left"/>
      <w:rPr>
        <w:rFonts w:ascii="Cambria" w:eastAsia="Cambria" w:hAnsi="Cambria" w:cs="Wingdings"/>
        <w:color w:val="000000"/>
        <w:position w:val="0"/>
        <w:rtl w:val="0"/>
      </w:rPr>
    </w:lvl>
    <w:lvl w:ilvl="3">
      <w:start w:val="1"/>
      <w:numFmt w:val="bullet"/>
      <w:lvlText w:val="•"/>
      <w:lvlJc w:val="left"/>
      <w:rPr>
        <w:rFonts w:ascii="Cambria" w:eastAsia="Cambria" w:hAnsi="Cambria" w:cs="Wingdings"/>
        <w:color w:val="000000"/>
        <w:position w:val="0"/>
        <w:rtl w:val="0"/>
      </w:rPr>
    </w:lvl>
    <w:lvl w:ilvl="4">
      <w:start w:val="1"/>
      <w:numFmt w:val="bullet"/>
      <w:lvlText w:val="o"/>
      <w:lvlJc w:val="left"/>
      <w:rPr>
        <w:rFonts w:ascii="Cambria" w:eastAsia="Cambria" w:hAnsi="Cambria" w:cs="Wingdings"/>
        <w:color w:val="000000"/>
        <w:position w:val="0"/>
        <w:rtl w:val="0"/>
      </w:rPr>
    </w:lvl>
    <w:lvl w:ilvl="5">
      <w:start w:val="1"/>
      <w:numFmt w:val="bullet"/>
      <w:lvlText w:val="▪"/>
      <w:lvlJc w:val="left"/>
      <w:rPr>
        <w:rFonts w:ascii="Cambria" w:eastAsia="Cambria" w:hAnsi="Cambria" w:cs="Wingdings"/>
        <w:color w:val="000000"/>
        <w:position w:val="0"/>
        <w:rtl w:val="0"/>
      </w:rPr>
    </w:lvl>
    <w:lvl w:ilvl="6">
      <w:start w:val="1"/>
      <w:numFmt w:val="bullet"/>
      <w:lvlText w:val="•"/>
      <w:lvlJc w:val="left"/>
      <w:rPr>
        <w:rFonts w:ascii="Cambria" w:eastAsia="Cambria" w:hAnsi="Cambria" w:cs="Wingdings"/>
        <w:color w:val="000000"/>
        <w:position w:val="0"/>
        <w:rtl w:val="0"/>
      </w:rPr>
    </w:lvl>
    <w:lvl w:ilvl="7">
      <w:start w:val="1"/>
      <w:numFmt w:val="bullet"/>
      <w:lvlText w:val="o"/>
      <w:lvlJc w:val="left"/>
      <w:rPr>
        <w:rFonts w:ascii="Cambria" w:eastAsia="Cambria" w:hAnsi="Cambria" w:cs="Wingdings"/>
        <w:color w:val="000000"/>
        <w:position w:val="0"/>
        <w:rtl w:val="0"/>
      </w:rPr>
    </w:lvl>
    <w:lvl w:ilvl="8">
      <w:start w:val="1"/>
      <w:numFmt w:val="bullet"/>
      <w:lvlText w:val="▪"/>
      <w:lvlJc w:val="left"/>
      <w:rPr>
        <w:rFonts w:ascii="Cambria" w:eastAsia="Cambria" w:hAnsi="Cambria" w:cs="Wingdings"/>
        <w:color w:val="000000"/>
        <w:position w:val="0"/>
        <w:rtl w:val="0"/>
      </w:rPr>
    </w:lvl>
  </w:abstractNum>
  <w:abstractNum w:abstractNumId="16">
    <w:nsid w:val="727A139F"/>
    <w:multiLevelType w:val="hybridMultilevel"/>
    <w:tmpl w:val="F43E7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C0798A"/>
    <w:multiLevelType w:val="hybridMultilevel"/>
    <w:tmpl w:val="E9FC25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nsid w:val="7E874A1A"/>
    <w:multiLevelType w:val="hybridMultilevel"/>
    <w:tmpl w:val="0A0E4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17"/>
  </w:num>
  <w:num w:numId="5">
    <w:abstractNumId w:val="14"/>
  </w:num>
  <w:num w:numId="6">
    <w:abstractNumId w:val="10"/>
  </w:num>
  <w:num w:numId="7">
    <w:abstractNumId w:val="5"/>
  </w:num>
  <w:num w:numId="8">
    <w:abstractNumId w:val="12"/>
  </w:num>
  <w:num w:numId="9">
    <w:abstractNumId w:val="0"/>
  </w:num>
  <w:num w:numId="10">
    <w:abstractNumId w:val="6"/>
  </w:num>
  <w:num w:numId="11">
    <w:abstractNumId w:val="9"/>
  </w:num>
  <w:num w:numId="12">
    <w:abstractNumId w:val="7"/>
  </w:num>
  <w:num w:numId="13">
    <w:abstractNumId w:val="11"/>
  </w:num>
  <w:num w:numId="14">
    <w:abstractNumId w:val="13"/>
  </w:num>
  <w:num w:numId="15">
    <w:abstractNumId w:val="3"/>
  </w:num>
  <w:num w:numId="16">
    <w:abstractNumId w:val="18"/>
  </w:num>
  <w:num w:numId="17">
    <w:abstractNumId w:val="16"/>
  </w:num>
  <w:num w:numId="18">
    <w:abstractNumId w:val="1"/>
  </w:num>
  <w:num w:numId="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131078" w:nlCheck="1" w:checkStyle="0"/>
  <w:activeWritingStyle w:appName="MSWord" w:lang="en-US" w:vendorID="64" w:dllVersion="131078" w:nlCheck="1" w:checkStyle="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5A"/>
    <w:rsid w:val="00007CE9"/>
    <w:rsid w:val="000635FF"/>
    <w:rsid w:val="001303FA"/>
    <w:rsid w:val="00246D84"/>
    <w:rsid w:val="002A294E"/>
    <w:rsid w:val="005443D2"/>
    <w:rsid w:val="00572E64"/>
    <w:rsid w:val="005D7B4A"/>
    <w:rsid w:val="00716177"/>
    <w:rsid w:val="00880743"/>
    <w:rsid w:val="00900BD2"/>
    <w:rsid w:val="009E195A"/>
    <w:rsid w:val="00A52F24"/>
    <w:rsid w:val="00AE208D"/>
    <w:rsid w:val="00D3374E"/>
    <w:rsid w:val="00D57289"/>
    <w:rsid w:val="00DC00BC"/>
    <w:rsid w:val="00E64004"/>
    <w:rsid w:val="00FD5816"/>
    <w:rsid w:val="00FE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CD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sz w:val="24"/>
      <w:szCs w:val="20"/>
      <w:lang w:val="x-none" w:eastAsia="x-none"/>
    </w:rPr>
  </w:style>
  <w:style w:type="paragraph" w:styleId="Heading6">
    <w:name w:val="heading 6"/>
    <w:basedOn w:val="Normal"/>
    <w:next w:val="Normal"/>
    <w:link w:val="Heading6Char"/>
    <w:qFormat/>
    <w:pPr>
      <w:keepNext/>
      <w:spacing w:after="0" w:line="240" w:lineRule="auto"/>
      <w:outlineLvl w:val="5"/>
    </w:pPr>
    <w:rPr>
      <w:rFonts w:ascii="Times New Roman" w:eastAsia="Times New Roman" w:hAnsi="Times New Roman"/>
      <w:b/>
      <w:sz w:val="24"/>
      <w:szCs w:val="20"/>
      <w:lang w:val="x-none" w:eastAsia="x-none"/>
    </w:rPr>
  </w:style>
  <w:style w:type="paragraph" w:styleId="Heading9">
    <w:name w:val="heading 9"/>
    <w:basedOn w:val="Normal"/>
    <w:next w:val="Normal"/>
    <w:link w:val="Heading9Char"/>
    <w:qFormat/>
    <w:pPr>
      <w:keepNext/>
      <w:keepLines/>
      <w:tabs>
        <w:tab w:val="left" w:pos="360"/>
      </w:tabs>
      <w:spacing w:before="40" w:after="40" w:line="240" w:lineRule="auto"/>
      <w:jc w:val="right"/>
      <w:outlineLvl w:val="8"/>
    </w:pPr>
    <w:rPr>
      <w:rFonts w:ascii="Times New Roman" w:eastAsia="Times New Roman" w:hAnsi="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pPr>
      <w:ind w:left="720"/>
      <w:contextualSpacing/>
    </w:pPr>
  </w:style>
  <w:style w:type="paragraph" w:styleId="FootnoteText">
    <w:name w:val="footnote text"/>
    <w:basedOn w:val="Normal"/>
    <w:link w:val="FootnoteTextChar"/>
    <w:semiHidden/>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semiHidden/>
    <w:rPr>
      <w:rFonts w:ascii="Times New Roman" w:eastAsia="Times New Roman" w:hAnsi="Times New Roman"/>
    </w:rPr>
  </w:style>
  <w:style w:type="character" w:styleId="FootnoteReference">
    <w:name w:val="footnote reference"/>
    <w:semiHidden/>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lang w:val="x-none" w:eastAsia="x-none"/>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semiHidden/>
    <w:unhideWhenUsed/>
    <w:rPr>
      <w:vertAlign w:val="superscript"/>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7">
    <w:name w:val="List 7"/>
    <w:basedOn w:val="NoList"/>
    <w:pPr>
      <w:numPr>
        <w:numId w:val="1"/>
      </w:numPr>
    </w:pPr>
  </w:style>
  <w:style w:type="numbering" w:customStyle="1" w:styleId="List8">
    <w:name w:val="List 8"/>
    <w:basedOn w:val="NoList"/>
    <w:pPr>
      <w:numPr>
        <w:numId w:val="2"/>
      </w:numPr>
    </w:pPr>
  </w:style>
  <w:style w:type="character" w:styleId="FollowedHyperlink">
    <w:name w:val="FollowedHyperlink"/>
    <w:uiPriority w:val="99"/>
    <w:semiHidden/>
    <w:unhideWhenUsed/>
    <w:rPr>
      <w:color w:val="800080"/>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character" w:customStyle="1" w:styleId="Heading1Char">
    <w:name w:val="Heading 1 Char"/>
    <w:link w:val="Heading1"/>
    <w:rPr>
      <w:rFonts w:ascii="Times New Roman" w:eastAsia="Times New Roman" w:hAnsi="Times New Roman"/>
      <w:sz w:val="24"/>
    </w:rPr>
  </w:style>
  <w:style w:type="character" w:customStyle="1" w:styleId="Heading6Char">
    <w:name w:val="Heading 6 Char"/>
    <w:link w:val="Heading6"/>
    <w:rPr>
      <w:rFonts w:ascii="Times New Roman" w:eastAsia="Times New Roman" w:hAnsi="Times New Roman"/>
      <w:b/>
      <w:sz w:val="24"/>
    </w:rPr>
  </w:style>
  <w:style w:type="character" w:customStyle="1" w:styleId="Heading9Char">
    <w:name w:val="Heading 9 Char"/>
    <w:link w:val="Heading9"/>
    <w:rPr>
      <w:rFonts w:ascii="Times New Roman" w:eastAsia="Times New Roman" w:hAnsi="Times New Roman"/>
      <w:b/>
      <w:sz w:val="24"/>
      <w:szCs w:val="24"/>
    </w:rPr>
  </w:style>
  <w:style w:type="paragraph" w:styleId="BodyText2">
    <w:name w:val="Body Text 2"/>
    <w:basedOn w:val="Normal"/>
    <w:link w:val="BodyText2Char"/>
    <w:uiPriority w:val="99"/>
    <w:semiHidden/>
    <w:unhideWhenUsed/>
    <w:pPr>
      <w:spacing w:after="0" w:line="240" w:lineRule="auto"/>
    </w:pPr>
    <w:rPr>
      <w:rFonts w:ascii="Times New Roman" w:hAnsi="Times New Roman"/>
      <w:color w:val="000000"/>
      <w:sz w:val="24"/>
      <w:szCs w:val="24"/>
      <w:lang w:val="x-none" w:eastAsia="x-none"/>
    </w:rPr>
  </w:style>
  <w:style w:type="character" w:customStyle="1" w:styleId="BodyText2Char">
    <w:name w:val="Body Text 2 Char"/>
    <w:link w:val="BodyText2"/>
    <w:uiPriority w:val="99"/>
    <w:semiHidden/>
    <w:rPr>
      <w:rFonts w:ascii="Times New Roman" w:hAnsi="Times New Roman"/>
      <w:color w:val="000000"/>
      <w:sz w:val="24"/>
      <w:szCs w:val="24"/>
    </w:rPr>
  </w:style>
  <w:style w:type="paragraph" w:customStyle="1" w:styleId="BodyText21">
    <w:name w:val="Body Text 21"/>
    <w:basedOn w:val="Normal"/>
    <w:pPr>
      <w:spacing w:after="0" w:line="240" w:lineRule="auto"/>
    </w:pPr>
    <w:rPr>
      <w:rFonts w:ascii="Times" w:hAnsi="Times"/>
      <w:sz w:val="24"/>
      <w:szCs w:val="24"/>
    </w:rPr>
  </w:style>
  <w:style w:type="paragraph" w:customStyle="1" w:styleId="head2">
    <w:name w:val="head2"/>
    <w:basedOn w:val="Normal"/>
    <w:pPr>
      <w:keepNext/>
      <w:spacing w:after="0" w:line="240" w:lineRule="auto"/>
      <w:ind w:right="-720"/>
    </w:pPr>
    <w:rPr>
      <w:rFonts w:ascii="Times New Roman" w:hAnsi="Times New Roman"/>
      <w:b/>
      <w:bCs/>
      <w:sz w:val="24"/>
      <w:szCs w:val="24"/>
    </w:rPr>
  </w:style>
  <w:style w:type="paragraph" w:styleId="BodyText">
    <w:name w:val="Body Text"/>
    <w:basedOn w:val="Normal"/>
    <w:link w:val="BodyTextChar"/>
    <w:uiPriority w:val="99"/>
    <w:semiHidden/>
    <w:unhideWhenUsed/>
    <w:pPr>
      <w:spacing w:after="120"/>
    </w:pPr>
    <w:rPr>
      <w:lang w:val="x-none" w:eastAsia="x-none"/>
    </w:rPr>
  </w:style>
  <w:style w:type="character" w:customStyle="1" w:styleId="BodyTextChar">
    <w:name w:val="Body Text Char"/>
    <w:link w:val="BodyText"/>
    <w:uiPriority w:val="99"/>
    <w:semiHidden/>
    <w:rPr>
      <w:sz w:val="22"/>
      <w:szCs w:val="22"/>
    </w:rPr>
  </w:style>
  <w:style w:type="numbering" w:customStyle="1" w:styleId="List1">
    <w:name w:val="List 1"/>
    <w:basedOn w:val="NoList"/>
    <w:pPr>
      <w:numPr>
        <w:numId w:val="3"/>
      </w:numPr>
    </w:pPr>
  </w:style>
  <w:style w:type="paragraph" w:styleId="ListParagraph">
    <w:name w:val="List Paragraph"/>
    <w:basedOn w:val="Normal"/>
    <w:uiPriority w:val="34"/>
    <w:qFormat/>
    <w:pPr>
      <w:ind w:left="720"/>
    </w:pPr>
  </w:style>
  <w:style w:type="numbering" w:customStyle="1" w:styleId="NoList1">
    <w:name w:val="No List1"/>
    <w:next w:val="NoList"/>
    <w:uiPriority w:val="99"/>
    <w:semiHidden/>
    <w:unhideWhenUsed/>
  </w:style>
  <w:style w:type="paragraph" w:customStyle="1" w:styleId="MediumGrid1-Accent21">
    <w:name w:val="Medium Grid 1 - Accent 21"/>
    <w:basedOn w:val="Normal"/>
    <w:uiPriority w:val="34"/>
    <w:qFormat/>
    <w:pPr>
      <w:spacing w:after="160" w:line="259" w:lineRule="auto"/>
      <w:ind w:left="720"/>
      <w:contextualSpacing/>
    </w:pPr>
    <w:rPr>
      <w:rFonts w:ascii="Cambria" w:eastAsia="Cambria" w:hAnsi="Cambria"/>
    </w:rPr>
  </w:style>
  <w:style w:type="paragraph" w:styleId="PlainText">
    <w:name w:val="Plain Text"/>
    <w:basedOn w:val="Normal"/>
    <w:link w:val="PlainTextChar"/>
    <w:uiPriority w:val="99"/>
    <w:unhideWhenUsed/>
    <w:pPr>
      <w:spacing w:after="0" w:line="240" w:lineRule="auto"/>
    </w:pPr>
    <w:rPr>
      <w:rFonts w:ascii="Consolas" w:eastAsia="Cambria" w:hAnsi="Consolas"/>
      <w:sz w:val="21"/>
      <w:szCs w:val="21"/>
    </w:rPr>
  </w:style>
  <w:style w:type="character" w:customStyle="1" w:styleId="PlainTextChar">
    <w:name w:val="Plain Text Char"/>
    <w:link w:val="PlainText"/>
    <w:uiPriority w:val="99"/>
    <w:rPr>
      <w:rFonts w:ascii="Consolas" w:eastAsia="Cambria" w:hAnsi="Consolas"/>
      <w:sz w:val="21"/>
      <w:szCs w:val="21"/>
    </w:rPr>
  </w:style>
  <w:style w:type="character" w:customStyle="1" w:styleId="st1">
    <w:name w:val="st1"/>
  </w:style>
  <w:style w:type="table" w:customStyle="1" w:styleId="TableGrid1">
    <w:name w:val="Table Grid1"/>
    <w:basedOn w:val="TableNormal"/>
    <w:next w:val="TableGrid"/>
    <w:uiPriority w:val="59"/>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rPr>
      <w:rFonts w:ascii="Cambria" w:eastAsia="Cambria" w:hAnsi="Cambria"/>
      <w:sz w:val="24"/>
      <w:szCs w:val="24"/>
    </w:rPr>
  </w:style>
  <w:style w:type="paragraph" w:customStyle="1" w:styleId="NoSpacing1">
    <w:name w:val="No Spacing1"/>
    <w:next w:val="NoSpacing"/>
    <w:uiPriority w:val="1"/>
    <w:qFormat/>
    <w:rPr>
      <w:rFonts w:ascii="Cambria" w:eastAsia="Cambria" w:hAnsi="Cambria"/>
      <w:sz w:val="22"/>
      <w:szCs w:val="22"/>
    </w:rPr>
  </w:style>
  <w:style w:type="paragraph" w:styleId="NoSpacing">
    <w:name w:val="No Spacing"/>
    <w:uiPriority w:val="1"/>
    <w:qFormat/>
    <w:rPr>
      <w:sz w:val="22"/>
      <w:szCs w:val="22"/>
    </w:rPr>
  </w:style>
  <w:style w:type="paragraph" w:customStyle="1" w:styleId="title1">
    <w:name w:val="title1"/>
    <w:basedOn w:val="Normal"/>
    <w:pPr>
      <w:spacing w:after="0" w:line="240" w:lineRule="auto"/>
    </w:pPr>
    <w:rPr>
      <w:rFonts w:ascii="Times New Roman" w:eastAsia="Times New Roman" w:hAnsi="Times New Roman"/>
      <w:sz w:val="27"/>
      <w:szCs w:val="27"/>
    </w:rPr>
  </w:style>
  <w:style w:type="paragraph" w:customStyle="1" w:styleId="desc2">
    <w:name w:val="desc2"/>
    <w:basedOn w:val="Normal"/>
    <w:pPr>
      <w:spacing w:after="0" w:line="240" w:lineRule="auto"/>
    </w:pPr>
    <w:rPr>
      <w:rFonts w:ascii="Times New Roman" w:eastAsia="Times New Roman" w:hAnsi="Times New Roman"/>
      <w:sz w:val="26"/>
      <w:szCs w:val="26"/>
    </w:rPr>
  </w:style>
  <w:style w:type="character" w:customStyle="1" w:styleId="jrnl">
    <w:name w:val="jrnl"/>
    <w:basedOn w:val="DefaultParagraphFont"/>
  </w:style>
  <w:style w:type="paragraph" w:styleId="TOCHeading">
    <w:name w:val="TOC Heading"/>
    <w:basedOn w:val="Heading1"/>
    <w:next w:val="Normal"/>
    <w:uiPriority w:val="39"/>
    <w:unhideWhenUsed/>
    <w:qFormat/>
    <w:pPr>
      <w:keepLines/>
      <w:spacing w:before="24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pPr>
      <w:tabs>
        <w:tab w:val="right" w:leader="dot" w:pos="9350"/>
      </w:tabs>
      <w:spacing w:after="100"/>
    </w:pPr>
  </w:style>
  <w:style w:type="character" w:customStyle="1" w:styleId="apple-converted-space">
    <w:name w:val="apple-converted-space"/>
    <w:basedOn w:val="DefaultParagraphFont"/>
  </w:style>
  <w:style w:type="character" w:customStyle="1" w:styleId="ilfuvd">
    <w:name w:val="ilfuvd"/>
    <w:basedOn w:val="DefaultParagraphFont"/>
  </w:style>
  <w:style w:type="table" w:customStyle="1" w:styleId="TableGrid2">
    <w:name w:val="Table Grid2"/>
    <w:basedOn w:val="TableNormal"/>
    <w:next w:val="TableGrid"/>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rPr>
  </w:style>
  <w:style w:type="paragraph" w:customStyle="1" w:styleId="aBodyText">
    <w:name w:val="a. Body Text"/>
    <w:basedOn w:val="Normal"/>
    <w:qFormat/>
    <w:rsid w:val="00DC00BC"/>
    <w:pPr>
      <w:autoSpaceDE w:val="0"/>
      <w:autoSpaceDN w:val="0"/>
      <w:adjustRightInd w:val="0"/>
      <w:spacing w:before="120"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sz w:val="24"/>
      <w:szCs w:val="20"/>
      <w:lang w:val="x-none" w:eastAsia="x-none"/>
    </w:rPr>
  </w:style>
  <w:style w:type="paragraph" w:styleId="Heading6">
    <w:name w:val="heading 6"/>
    <w:basedOn w:val="Normal"/>
    <w:next w:val="Normal"/>
    <w:link w:val="Heading6Char"/>
    <w:qFormat/>
    <w:pPr>
      <w:keepNext/>
      <w:spacing w:after="0" w:line="240" w:lineRule="auto"/>
      <w:outlineLvl w:val="5"/>
    </w:pPr>
    <w:rPr>
      <w:rFonts w:ascii="Times New Roman" w:eastAsia="Times New Roman" w:hAnsi="Times New Roman"/>
      <w:b/>
      <w:sz w:val="24"/>
      <w:szCs w:val="20"/>
      <w:lang w:val="x-none" w:eastAsia="x-none"/>
    </w:rPr>
  </w:style>
  <w:style w:type="paragraph" w:styleId="Heading9">
    <w:name w:val="heading 9"/>
    <w:basedOn w:val="Normal"/>
    <w:next w:val="Normal"/>
    <w:link w:val="Heading9Char"/>
    <w:qFormat/>
    <w:pPr>
      <w:keepNext/>
      <w:keepLines/>
      <w:tabs>
        <w:tab w:val="left" w:pos="360"/>
      </w:tabs>
      <w:spacing w:before="40" w:after="40" w:line="240" w:lineRule="auto"/>
      <w:jc w:val="right"/>
      <w:outlineLvl w:val="8"/>
    </w:pPr>
    <w:rPr>
      <w:rFonts w:ascii="Times New Roman" w:eastAsia="Times New Roman" w:hAnsi="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pPr>
      <w:ind w:left="720"/>
      <w:contextualSpacing/>
    </w:pPr>
  </w:style>
  <w:style w:type="paragraph" w:styleId="FootnoteText">
    <w:name w:val="footnote text"/>
    <w:basedOn w:val="Normal"/>
    <w:link w:val="FootnoteTextChar"/>
    <w:semiHidden/>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semiHidden/>
    <w:rPr>
      <w:rFonts w:ascii="Times New Roman" w:eastAsia="Times New Roman" w:hAnsi="Times New Roman"/>
    </w:rPr>
  </w:style>
  <w:style w:type="character" w:styleId="FootnoteReference">
    <w:name w:val="footnote reference"/>
    <w:semiHidden/>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lang w:val="x-none" w:eastAsia="x-none"/>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semiHidden/>
    <w:unhideWhenUsed/>
    <w:rPr>
      <w:vertAlign w:val="superscript"/>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7">
    <w:name w:val="List 7"/>
    <w:basedOn w:val="NoList"/>
    <w:pPr>
      <w:numPr>
        <w:numId w:val="1"/>
      </w:numPr>
    </w:pPr>
  </w:style>
  <w:style w:type="numbering" w:customStyle="1" w:styleId="List8">
    <w:name w:val="List 8"/>
    <w:basedOn w:val="NoList"/>
    <w:pPr>
      <w:numPr>
        <w:numId w:val="2"/>
      </w:numPr>
    </w:pPr>
  </w:style>
  <w:style w:type="character" w:styleId="FollowedHyperlink">
    <w:name w:val="FollowedHyperlink"/>
    <w:uiPriority w:val="99"/>
    <w:semiHidden/>
    <w:unhideWhenUsed/>
    <w:rPr>
      <w:color w:val="800080"/>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character" w:customStyle="1" w:styleId="Heading1Char">
    <w:name w:val="Heading 1 Char"/>
    <w:link w:val="Heading1"/>
    <w:rPr>
      <w:rFonts w:ascii="Times New Roman" w:eastAsia="Times New Roman" w:hAnsi="Times New Roman"/>
      <w:sz w:val="24"/>
    </w:rPr>
  </w:style>
  <w:style w:type="character" w:customStyle="1" w:styleId="Heading6Char">
    <w:name w:val="Heading 6 Char"/>
    <w:link w:val="Heading6"/>
    <w:rPr>
      <w:rFonts w:ascii="Times New Roman" w:eastAsia="Times New Roman" w:hAnsi="Times New Roman"/>
      <w:b/>
      <w:sz w:val="24"/>
    </w:rPr>
  </w:style>
  <w:style w:type="character" w:customStyle="1" w:styleId="Heading9Char">
    <w:name w:val="Heading 9 Char"/>
    <w:link w:val="Heading9"/>
    <w:rPr>
      <w:rFonts w:ascii="Times New Roman" w:eastAsia="Times New Roman" w:hAnsi="Times New Roman"/>
      <w:b/>
      <w:sz w:val="24"/>
      <w:szCs w:val="24"/>
    </w:rPr>
  </w:style>
  <w:style w:type="paragraph" w:styleId="BodyText2">
    <w:name w:val="Body Text 2"/>
    <w:basedOn w:val="Normal"/>
    <w:link w:val="BodyText2Char"/>
    <w:uiPriority w:val="99"/>
    <w:semiHidden/>
    <w:unhideWhenUsed/>
    <w:pPr>
      <w:spacing w:after="0" w:line="240" w:lineRule="auto"/>
    </w:pPr>
    <w:rPr>
      <w:rFonts w:ascii="Times New Roman" w:hAnsi="Times New Roman"/>
      <w:color w:val="000000"/>
      <w:sz w:val="24"/>
      <w:szCs w:val="24"/>
      <w:lang w:val="x-none" w:eastAsia="x-none"/>
    </w:rPr>
  </w:style>
  <w:style w:type="character" w:customStyle="1" w:styleId="BodyText2Char">
    <w:name w:val="Body Text 2 Char"/>
    <w:link w:val="BodyText2"/>
    <w:uiPriority w:val="99"/>
    <w:semiHidden/>
    <w:rPr>
      <w:rFonts w:ascii="Times New Roman" w:hAnsi="Times New Roman"/>
      <w:color w:val="000000"/>
      <w:sz w:val="24"/>
      <w:szCs w:val="24"/>
    </w:rPr>
  </w:style>
  <w:style w:type="paragraph" w:customStyle="1" w:styleId="BodyText21">
    <w:name w:val="Body Text 21"/>
    <w:basedOn w:val="Normal"/>
    <w:pPr>
      <w:spacing w:after="0" w:line="240" w:lineRule="auto"/>
    </w:pPr>
    <w:rPr>
      <w:rFonts w:ascii="Times" w:hAnsi="Times"/>
      <w:sz w:val="24"/>
      <w:szCs w:val="24"/>
    </w:rPr>
  </w:style>
  <w:style w:type="paragraph" w:customStyle="1" w:styleId="head2">
    <w:name w:val="head2"/>
    <w:basedOn w:val="Normal"/>
    <w:pPr>
      <w:keepNext/>
      <w:spacing w:after="0" w:line="240" w:lineRule="auto"/>
      <w:ind w:right="-720"/>
    </w:pPr>
    <w:rPr>
      <w:rFonts w:ascii="Times New Roman" w:hAnsi="Times New Roman"/>
      <w:b/>
      <w:bCs/>
      <w:sz w:val="24"/>
      <w:szCs w:val="24"/>
    </w:rPr>
  </w:style>
  <w:style w:type="paragraph" w:styleId="BodyText">
    <w:name w:val="Body Text"/>
    <w:basedOn w:val="Normal"/>
    <w:link w:val="BodyTextChar"/>
    <w:uiPriority w:val="99"/>
    <w:semiHidden/>
    <w:unhideWhenUsed/>
    <w:pPr>
      <w:spacing w:after="120"/>
    </w:pPr>
    <w:rPr>
      <w:lang w:val="x-none" w:eastAsia="x-none"/>
    </w:rPr>
  </w:style>
  <w:style w:type="character" w:customStyle="1" w:styleId="BodyTextChar">
    <w:name w:val="Body Text Char"/>
    <w:link w:val="BodyText"/>
    <w:uiPriority w:val="99"/>
    <w:semiHidden/>
    <w:rPr>
      <w:sz w:val="22"/>
      <w:szCs w:val="22"/>
    </w:rPr>
  </w:style>
  <w:style w:type="numbering" w:customStyle="1" w:styleId="List1">
    <w:name w:val="List 1"/>
    <w:basedOn w:val="NoList"/>
    <w:pPr>
      <w:numPr>
        <w:numId w:val="3"/>
      </w:numPr>
    </w:pPr>
  </w:style>
  <w:style w:type="paragraph" w:styleId="ListParagraph">
    <w:name w:val="List Paragraph"/>
    <w:basedOn w:val="Normal"/>
    <w:uiPriority w:val="34"/>
    <w:qFormat/>
    <w:pPr>
      <w:ind w:left="720"/>
    </w:pPr>
  </w:style>
  <w:style w:type="numbering" w:customStyle="1" w:styleId="NoList1">
    <w:name w:val="No List1"/>
    <w:next w:val="NoList"/>
    <w:uiPriority w:val="99"/>
    <w:semiHidden/>
    <w:unhideWhenUsed/>
  </w:style>
  <w:style w:type="paragraph" w:customStyle="1" w:styleId="MediumGrid1-Accent21">
    <w:name w:val="Medium Grid 1 - Accent 21"/>
    <w:basedOn w:val="Normal"/>
    <w:uiPriority w:val="34"/>
    <w:qFormat/>
    <w:pPr>
      <w:spacing w:after="160" w:line="259" w:lineRule="auto"/>
      <w:ind w:left="720"/>
      <w:contextualSpacing/>
    </w:pPr>
    <w:rPr>
      <w:rFonts w:ascii="Cambria" w:eastAsia="Cambria" w:hAnsi="Cambria"/>
    </w:rPr>
  </w:style>
  <w:style w:type="paragraph" w:styleId="PlainText">
    <w:name w:val="Plain Text"/>
    <w:basedOn w:val="Normal"/>
    <w:link w:val="PlainTextChar"/>
    <w:uiPriority w:val="99"/>
    <w:unhideWhenUsed/>
    <w:pPr>
      <w:spacing w:after="0" w:line="240" w:lineRule="auto"/>
    </w:pPr>
    <w:rPr>
      <w:rFonts w:ascii="Consolas" w:eastAsia="Cambria" w:hAnsi="Consolas"/>
      <w:sz w:val="21"/>
      <w:szCs w:val="21"/>
    </w:rPr>
  </w:style>
  <w:style w:type="character" w:customStyle="1" w:styleId="PlainTextChar">
    <w:name w:val="Plain Text Char"/>
    <w:link w:val="PlainText"/>
    <w:uiPriority w:val="99"/>
    <w:rPr>
      <w:rFonts w:ascii="Consolas" w:eastAsia="Cambria" w:hAnsi="Consolas"/>
      <w:sz w:val="21"/>
      <w:szCs w:val="21"/>
    </w:rPr>
  </w:style>
  <w:style w:type="character" w:customStyle="1" w:styleId="st1">
    <w:name w:val="st1"/>
  </w:style>
  <w:style w:type="table" w:customStyle="1" w:styleId="TableGrid1">
    <w:name w:val="Table Grid1"/>
    <w:basedOn w:val="TableNormal"/>
    <w:next w:val="TableGrid"/>
    <w:uiPriority w:val="59"/>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rPr>
      <w:rFonts w:ascii="Cambria" w:eastAsia="Cambria" w:hAnsi="Cambria"/>
      <w:sz w:val="24"/>
      <w:szCs w:val="24"/>
    </w:rPr>
  </w:style>
  <w:style w:type="paragraph" w:customStyle="1" w:styleId="NoSpacing1">
    <w:name w:val="No Spacing1"/>
    <w:next w:val="NoSpacing"/>
    <w:uiPriority w:val="1"/>
    <w:qFormat/>
    <w:rPr>
      <w:rFonts w:ascii="Cambria" w:eastAsia="Cambria" w:hAnsi="Cambria"/>
      <w:sz w:val="22"/>
      <w:szCs w:val="22"/>
    </w:rPr>
  </w:style>
  <w:style w:type="paragraph" w:styleId="NoSpacing">
    <w:name w:val="No Spacing"/>
    <w:uiPriority w:val="1"/>
    <w:qFormat/>
    <w:rPr>
      <w:sz w:val="22"/>
      <w:szCs w:val="22"/>
    </w:rPr>
  </w:style>
  <w:style w:type="paragraph" w:customStyle="1" w:styleId="title1">
    <w:name w:val="title1"/>
    <w:basedOn w:val="Normal"/>
    <w:pPr>
      <w:spacing w:after="0" w:line="240" w:lineRule="auto"/>
    </w:pPr>
    <w:rPr>
      <w:rFonts w:ascii="Times New Roman" w:eastAsia="Times New Roman" w:hAnsi="Times New Roman"/>
      <w:sz w:val="27"/>
      <w:szCs w:val="27"/>
    </w:rPr>
  </w:style>
  <w:style w:type="paragraph" w:customStyle="1" w:styleId="desc2">
    <w:name w:val="desc2"/>
    <w:basedOn w:val="Normal"/>
    <w:pPr>
      <w:spacing w:after="0" w:line="240" w:lineRule="auto"/>
    </w:pPr>
    <w:rPr>
      <w:rFonts w:ascii="Times New Roman" w:eastAsia="Times New Roman" w:hAnsi="Times New Roman"/>
      <w:sz w:val="26"/>
      <w:szCs w:val="26"/>
    </w:rPr>
  </w:style>
  <w:style w:type="character" w:customStyle="1" w:styleId="jrnl">
    <w:name w:val="jrnl"/>
    <w:basedOn w:val="DefaultParagraphFont"/>
  </w:style>
  <w:style w:type="paragraph" w:styleId="TOCHeading">
    <w:name w:val="TOC Heading"/>
    <w:basedOn w:val="Heading1"/>
    <w:next w:val="Normal"/>
    <w:uiPriority w:val="39"/>
    <w:unhideWhenUsed/>
    <w:qFormat/>
    <w:pPr>
      <w:keepLines/>
      <w:spacing w:before="24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pPr>
      <w:tabs>
        <w:tab w:val="right" w:leader="dot" w:pos="9350"/>
      </w:tabs>
      <w:spacing w:after="100"/>
    </w:pPr>
  </w:style>
  <w:style w:type="character" w:customStyle="1" w:styleId="apple-converted-space">
    <w:name w:val="apple-converted-space"/>
    <w:basedOn w:val="DefaultParagraphFont"/>
  </w:style>
  <w:style w:type="character" w:customStyle="1" w:styleId="ilfuvd">
    <w:name w:val="ilfuvd"/>
    <w:basedOn w:val="DefaultParagraphFont"/>
  </w:style>
  <w:style w:type="table" w:customStyle="1" w:styleId="TableGrid2">
    <w:name w:val="Table Grid2"/>
    <w:basedOn w:val="TableNormal"/>
    <w:next w:val="TableGrid"/>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rPr>
  </w:style>
  <w:style w:type="paragraph" w:customStyle="1" w:styleId="aBodyText">
    <w:name w:val="a. Body Text"/>
    <w:basedOn w:val="Normal"/>
    <w:qFormat/>
    <w:rsid w:val="00DC00BC"/>
    <w:pPr>
      <w:autoSpaceDE w:val="0"/>
      <w:autoSpaceDN w:val="0"/>
      <w:adjustRightInd w:val="0"/>
      <w:spacing w:before="120"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3450">
      <w:bodyDiv w:val="1"/>
      <w:marLeft w:val="0"/>
      <w:marRight w:val="0"/>
      <w:marTop w:val="0"/>
      <w:marBottom w:val="0"/>
      <w:divBdr>
        <w:top w:val="none" w:sz="0" w:space="0" w:color="auto"/>
        <w:left w:val="none" w:sz="0" w:space="0" w:color="auto"/>
        <w:bottom w:val="none" w:sz="0" w:space="0" w:color="auto"/>
        <w:right w:val="none" w:sz="0" w:space="0" w:color="auto"/>
      </w:divBdr>
    </w:div>
    <w:div w:id="170412903">
      <w:bodyDiv w:val="1"/>
      <w:marLeft w:val="0"/>
      <w:marRight w:val="0"/>
      <w:marTop w:val="0"/>
      <w:marBottom w:val="0"/>
      <w:divBdr>
        <w:top w:val="none" w:sz="0" w:space="0" w:color="auto"/>
        <w:left w:val="none" w:sz="0" w:space="0" w:color="auto"/>
        <w:bottom w:val="none" w:sz="0" w:space="0" w:color="auto"/>
        <w:right w:val="none" w:sz="0" w:space="0" w:color="auto"/>
      </w:divBdr>
    </w:div>
    <w:div w:id="184446905">
      <w:bodyDiv w:val="1"/>
      <w:marLeft w:val="0"/>
      <w:marRight w:val="0"/>
      <w:marTop w:val="0"/>
      <w:marBottom w:val="0"/>
      <w:divBdr>
        <w:top w:val="none" w:sz="0" w:space="0" w:color="auto"/>
        <w:left w:val="none" w:sz="0" w:space="0" w:color="auto"/>
        <w:bottom w:val="none" w:sz="0" w:space="0" w:color="auto"/>
        <w:right w:val="none" w:sz="0" w:space="0" w:color="auto"/>
      </w:divBdr>
    </w:div>
    <w:div w:id="254944826">
      <w:bodyDiv w:val="1"/>
      <w:marLeft w:val="0"/>
      <w:marRight w:val="0"/>
      <w:marTop w:val="0"/>
      <w:marBottom w:val="0"/>
      <w:divBdr>
        <w:top w:val="none" w:sz="0" w:space="0" w:color="auto"/>
        <w:left w:val="none" w:sz="0" w:space="0" w:color="auto"/>
        <w:bottom w:val="none" w:sz="0" w:space="0" w:color="auto"/>
        <w:right w:val="none" w:sz="0" w:space="0" w:color="auto"/>
      </w:divBdr>
      <w:divsChild>
        <w:div w:id="336231343">
          <w:marLeft w:val="0"/>
          <w:marRight w:val="0"/>
          <w:marTop w:val="0"/>
          <w:marBottom w:val="0"/>
          <w:divBdr>
            <w:top w:val="none" w:sz="0" w:space="0" w:color="auto"/>
            <w:left w:val="none" w:sz="0" w:space="0" w:color="auto"/>
            <w:bottom w:val="none" w:sz="0" w:space="0" w:color="auto"/>
            <w:right w:val="none" w:sz="0" w:space="0" w:color="auto"/>
          </w:divBdr>
        </w:div>
        <w:div w:id="719667484">
          <w:marLeft w:val="0"/>
          <w:marRight w:val="0"/>
          <w:marTop w:val="0"/>
          <w:marBottom w:val="0"/>
          <w:divBdr>
            <w:top w:val="none" w:sz="0" w:space="0" w:color="auto"/>
            <w:left w:val="none" w:sz="0" w:space="0" w:color="auto"/>
            <w:bottom w:val="none" w:sz="0" w:space="0" w:color="auto"/>
            <w:right w:val="none" w:sz="0" w:space="0" w:color="auto"/>
          </w:divBdr>
        </w:div>
        <w:div w:id="907106461">
          <w:marLeft w:val="0"/>
          <w:marRight w:val="0"/>
          <w:marTop w:val="0"/>
          <w:marBottom w:val="0"/>
          <w:divBdr>
            <w:top w:val="none" w:sz="0" w:space="0" w:color="auto"/>
            <w:left w:val="none" w:sz="0" w:space="0" w:color="auto"/>
            <w:bottom w:val="none" w:sz="0" w:space="0" w:color="auto"/>
            <w:right w:val="none" w:sz="0" w:space="0" w:color="auto"/>
          </w:divBdr>
        </w:div>
        <w:div w:id="1898662234">
          <w:marLeft w:val="0"/>
          <w:marRight w:val="0"/>
          <w:marTop w:val="0"/>
          <w:marBottom w:val="0"/>
          <w:divBdr>
            <w:top w:val="none" w:sz="0" w:space="0" w:color="auto"/>
            <w:left w:val="none" w:sz="0" w:space="0" w:color="auto"/>
            <w:bottom w:val="none" w:sz="0" w:space="0" w:color="auto"/>
            <w:right w:val="none" w:sz="0" w:space="0" w:color="auto"/>
          </w:divBdr>
        </w:div>
      </w:divsChild>
    </w:div>
    <w:div w:id="293567369">
      <w:bodyDiv w:val="1"/>
      <w:marLeft w:val="0"/>
      <w:marRight w:val="0"/>
      <w:marTop w:val="0"/>
      <w:marBottom w:val="0"/>
      <w:divBdr>
        <w:top w:val="none" w:sz="0" w:space="0" w:color="auto"/>
        <w:left w:val="none" w:sz="0" w:space="0" w:color="auto"/>
        <w:bottom w:val="none" w:sz="0" w:space="0" w:color="auto"/>
        <w:right w:val="none" w:sz="0" w:space="0" w:color="auto"/>
      </w:divBdr>
    </w:div>
    <w:div w:id="565409512">
      <w:bodyDiv w:val="1"/>
      <w:marLeft w:val="0"/>
      <w:marRight w:val="0"/>
      <w:marTop w:val="0"/>
      <w:marBottom w:val="0"/>
      <w:divBdr>
        <w:top w:val="none" w:sz="0" w:space="0" w:color="auto"/>
        <w:left w:val="none" w:sz="0" w:space="0" w:color="auto"/>
        <w:bottom w:val="none" w:sz="0" w:space="0" w:color="auto"/>
        <w:right w:val="none" w:sz="0" w:space="0" w:color="auto"/>
      </w:divBdr>
    </w:div>
    <w:div w:id="606932747">
      <w:bodyDiv w:val="1"/>
      <w:marLeft w:val="0"/>
      <w:marRight w:val="0"/>
      <w:marTop w:val="0"/>
      <w:marBottom w:val="0"/>
      <w:divBdr>
        <w:top w:val="none" w:sz="0" w:space="0" w:color="auto"/>
        <w:left w:val="none" w:sz="0" w:space="0" w:color="auto"/>
        <w:bottom w:val="none" w:sz="0" w:space="0" w:color="auto"/>
        <w:right w:val="none" w:sz="0" w:space="0" w:color="auto"/>
      </w:divBdr>
      <w:divsChild>
        <w:div w:id="7684450">
          <w:marLeft w:val="0"/>
          <w:marRight w:val="0"/>
          <w:marTop w:val="0"/>
          <w:marBottom w:val="0"/>
          <w:divBdr>
            <w:top w:val="none" w:sz="0" w:space="0" w:color="auto"/>
            <w:left w:val="none" w:sz="0" w:space="0" w:color="auto"/>
            <w:bottom w:val="none" w:sz="0" w:space="0" w:color="auto"/>
            <w:right w:val="none" w:sz="0" w:space="0" w:color="auto"/>
          </w:divBdr>
        </w:div>
        <w:div w:id="213584613">
          <w:marLeft w:val="0"/>
          <w:marRight w:val="0"/>
          <w:marTop w:val="0"/>
          <w:marBottom w:val="0"/>
          <w:divBdr>
            <w:top w:val="none" w:sz="0" w:space="0" w:color="auto"/>
            <w:left w:val="none" w:sz="0" w:space="0" w:color="auto"/>
            <w:bottom w:val="none" w:sz="0" w:space="0" w:color="auto"/>
            <w:right w:val="none" w:sz="0" w:space="0" w:color="auto"/>
          </w:divBdr>
        </w:div>
        <w:div w:id="264190445">
          <w:marLeft w:val="0"/>
          <w:marRight w:val="0"/>
          <w:marTop w:val="0"/>
          <w:marBottom w:val="0"/>
          <w:divBdr>
            <w:top w:val="none" w:sz="0" w:space="0" w:color="auto"/>
            <w:left w:val="none" w:sz="0" w:space="0" w:color="auto"/>
            <w:bottom w:val="none" w:sz="0" w:space="0" w:color="auto"/>
            <w:right w:val="none" w:sz="0" w:space="0" w:color="auto"/>
          </w:divBdr>
        </w:div>
        <w:div w:id="462426155">
          <w:marLeft w:val="0"/>
          <w:marRight w:val="0"/>
          <w:marTop w:val="0"/>
          <w:marBottom w:val="0"/>
          <w:divBdr>
            <w:top w:val="none" w:sz="0" w:space="0" w:color="auto"/>
            <w:left w:val="none" w:sz="0" w:space="0" w:color="auto"/>
            <w:bottom w:val="none" w:sz="0" w:space="0" w:color="auto"/>
            <w:right w:val="none" w:sz="0" w:space="0" w:color="auto"/>
          </w:divBdr>
        </w:div>
        <w:div w:id="833496997">
          <w:marLeft w:val="0"/>
          <w:marRight w:val="0"/>
          <w:marTop w:val="0"/>
          <w:marBottom w:val="0"/>
          <w:divBdr>
            <w:top w:val="none" w:sz="0" w:space="0" w:color="auto"/>
            <w:left w:val="none" w:sz="0" w:space="0" w:color="auto"/>
            <w:bottom w:val="none" w:sz="0" w:space="0" w:color="auto"/>
            <w:right w:val="none" w:sz="0" w:space="0" w:color="auto"/>
          </w:divBdr>
        </w:div>
        <w:div w:id="1084762893">
          <w:marLeft w:val="0"/>
          <w:marRight w:val="0"/>
          <w:marTop w:val="0"/>
          <w:marBottom w:val="0"/>
          <w:divBdr>
            <w:top w:val="none" w:sz="0" w:space="0" w:color="auto"/>
            <w:left w:val="none" w:sz="0" w:space="0" w:color="auto"/>
            <w:bottom w:val="none" w:sz="0" w:space="0" w:color="auto"/>
            <w:right w:val="none" w:sz="0" w:space="0" w:color="auto"/>
          </w:divBdr>
        </w:div>
        <w:div w:id="1385249202">
          <w:marLeft w:val="0"/>
          <w:marRight w:val="0"/>
          <w:marTop w:val="0"/>
          <w:marBottom w:val="0"/>
          <w:divBdr>
            <w:top w:val="none" w:sz="0" w:space="0" w:color="auto"/>
            <w:left w:val="none" w:sz="0" w:space="0" w:color="auto"/>
            <w:bottom w:val="none" w:sz="0" w:space="0" w:color="auto"/>
            <w:right w:val="none" w:sz="0" w:space="0" w:color="auto"/>
          </w:divBdr>
        </w:div>
        <w:div w:id="1830556414">
          <w:marLeft w:val="0"/>
          <w:marRight w:val="0"/>
          <w:marTop w:val="0"/>
          <w:marBottom w:val="0"/>
          <w:divBdr>
            <w:top w:val="none" w:sz="0" w:space="0" w:color="auto"/>
            <w:left w:val="none" w:sz="0" w:space="0" w:color="auto"/>
            <w:bottom w:val="none" w:sz="0" w:space="0" w:color="auto"/>
            <w:right w:val="none" w:sz="0" w:space="0" w:color="auto"/>
          </w:divBdr>
        </w:div>
        <w:div w:id="1996647172">
          <w:marLeft w:val="0"/>
          <w:marRight w:val="0"/>
          <w:marTop w:val="0"/>
          <w:marBottom w:val="0"/>
          <w:divBdr>
            <w:top w:val="none" w:sz="0" w:space="0" w:color="auto"/>
            <w:left w:val="none" w:sz="0" w:space="0" w:color="auto"/>
            <w:bottom w:val="none" w:sz="0" w:space="0" w:color="auto"/>
            <w:right w:val="none" w:sz="0" w:space="0" w:color="auto"/>
          </w:divBdr>
        </w:div>
        <w:div w:id="2053966336">
          <w:marLeft w:val="0"/>
          <w:marRight w:val="0"/>
          <w:marTop w:val="0"/>
          <w:marBottom w:val="0"/>
          <w:divBdr>
            <w:top w:val="none" w:sz="0" w:space="0" w:color="auto"/>
            <w:left w:val="none" w:sz="0" w:space="0" w:color="auto"/>
            <w:bottom w:val="none" w:sz="0" w:space="0" w:color="auto"/>
            <w:right w:val="none" w:sz="0" w:space="0" w:color="auto"/>
          </w:divBdr>
        </w:div>
      </w:divsChild>
    </w:div>
    <w:div w:id="672225072">
      <w:bodyDiv w:val="1"/>
      <w:marLeft w:val="0"/>
      <w:marRight w:val="0"/>
      <w:marTop w:val="0"/>
      <w:marBottom w:val="0"/>
      <w:divBdr>
        <w:top w:val="none" w:sz="0" w:space="0" w:color="auto"/>
        <w:left w:val="none" w:sz="0" w:space="0" w:color="auto"/>
        <w:bottom w:val="none" w:sz="0" w:space="0" w:color="auto"/>
        <w:right w:val="none" w:sz="0" w:space="0" w:color="auto"/>
      </w:divBdr>
      <w:divsChild>
        <w:div w:id="217866453">
          <w:marLeft w:val="0"/>
          <w:marRight w:val="0"/>
          <w:marTop w:val="0"/>
          <w:marBottom w:val="0"/>
          <w:divBdr>
            <w:top w:val="none" w:sz="0" w:space="0" w:color="auto"/>
            <w:left w:val="none" w:sz="0" w:space="0" w:color="auto"/>
            <w:bottom w:val="none" w:sz="0" w:space="0" w:color="auto"/>
            <w:right w:val="none" w:sz="0" w:space="0" w:color="auto"/>
          </w:divBdr>
        </w:div>
        <w:div w:id="1710955691">
          <w:marLeft w:val="0"/>
          <w:marRight w:val="0"/>
          <w:marTop w:val="0"/>
          <w:marBottom w:val="0"/>
          <w:divBdr>
            <w:top w:val="none" w:sz="0" w:space="0" w:color="auto"/>
            <w:left w:val="none" w:sz="0" w:space="0" w:color="auto"/>
            <w:bottom w:val="none" w:sz="0" w:space="0" w:color="auto"/>
            <w:right w:val="none" w:sz="0" w:space="0" w:color="auto"/>
          </w:divBdr>
        </w:div>
        <w:div w:id="1835954006">
          <w:marLeft w:val="0"/>
          <w:marRight w:val="0"/>
          <w:marTop w:val="0"/>
          <w:marBottom w:val="0"/>
          <w:divBdr>
            <w:top w:val="none" w:sz="0" w:space="0" w:color="auto"/>
            <w:left w:val="none" w:sz="0" w:space="0" w:color="auto"/>
            <w:bottom w:val="none" w:sz="0" w:space="0" w:color="auto"/>
            <w:right w:val="none" w:sz="0" w:space="0" w:color="auto"/>
          </w:divBdr>
        </w:div>
        <w:div w:id="1907181214">
          <w:marLeft w:val="0"/>
          <w:marRight w:val="0"/>
          <w:marTop w:val="0"/>
          <w:marBottom w:val="0"/>
          <w:divBdr>
            <w:top w:val="none" w:sz="0" w:space="0" w:color="auto"/>
            <w:left w:val="none" w:sz="0" w:space="0" w:color="auto"/>
            <w:bottom w:val="none" w:sz="0" w:space="0" w:color="auto"/>
            <w:right w:val="none" w:sz="0" w:space="0" w:color="auto"/>
          </w:divBdr>
        </w:div>
      </w:divsChild>
    </w:div>
    <w:div w:id="769545891">
      <w:bodyDiv w:val="1"/>
      <w:marLeft w:val="0"/>
      <w:marRight w:val="0"/>
      <w:marTop w:val="0"/>
      <w:marBottom w:val="0"/>
      <w:divBdr>
        <w:top w:val="none" w:sz="0" w:space="0" w:color="auto"/>
        <w:left w:val="none" w:sz="0" w:space="0" w:color="auto"/>
        <w:bottom w:val="none" w:sz="0" w:space="0" w:color="auto"/>
        <w:right w:val="none" w:sz="0" w:space="0" w:color="auto"/>
      </w:divBdr>
    </w:div>
    <w:div w:id="919875472">
      <w:bodyDiv w:val="1"/>
      <w:marLeft w:val="0"/>
      <w:marRight w:val="0"/>
      <w:marTop w:val="0"/>
      <w:marBottom w:val="0"/>
      <w:divBdr>
        <w:top w:val="none" w:sz="0" w:space="0" w:color="auto"/>
        <w:left w:val="none" w:sz="0" w:space="0" w:color="auto"/>
        <w:bottom w:val="none" w:sz="0" w:space="0" w:color="auto"/>
        <w:right w:val="none" w:sz="0" w:space="0" w:color="auto"/>
      </w:divBdr>
    </w:div>
    <w:div w:id="949625445">
      <w:bodyDiv w:val="1"/>
      <w:marLeft w:val="0"/>
      <w:marRight w:val="0"/>
      <w:marTop w:val="0"/>
      <w:marBottom w:val="0"/>
      <w:divBdr>
        <w:top w:val="none" w:sz="0" w:space="0" w:color="auto"/>
        <w:left w:val="none" w:sz="0" w:space="0" w:color="auto"/>
        <w:bottom w:val="none" w:sz="0" w:space="0" w:color="auto"/>
        <w:right w:val="none" w:sz="0" w:space="0" w:color="auto"/>
      </w:divBdr>
    </w:div>
    <w:div w:id="990712712">
      <w:bodyDiv w:val="1"/>
      <w:marLeft w:val="0"/>
      <w:marRight w:val="0"/>
      <w:marTop w:val="0"/>
      <w:marBottom w:val="0"/>
      <w:divBdr>
        <w:top w:val="none" w:sz="0" w:space="0" w:color="auto"/>
        <w:left w:val="none" w:sz="0" w:space="0" w:color="auto"/>
        <w:bottom w:val="none" w:sz="0" w:space="0" w:color="auto"/>
        <w:right w:val="none" w:sz="0" w:space="0" w:color="auto"/>
      </w:divBdr>
    </w:div>
    <w:div w:id="1030834846">
      <w:bodyDiv w:val="1"/>
      <w:marLeft w:val="0"/>
      <w:marRight w:val="0"/>
      <w:marTop w:val="0"/>
      <w:marBottom w:val="0"/>
      <w:divBdr>
        <w:top w:val="none" w:sz="0" w:space="0" w:color="auto"/>
        <w:left w:val="none" w:sz="0" w:space="0" w:color="auto"/>
        <w:bottom w:val="none" w:sz="0" w:space="0" w:color="auto"/>
        <w:right w:val="none" w:sz="0" w:space="0" w:color="auto"/>
      </w:divBdr>
      <w:divsChild>
        <w:div w:id="8484217">
          <w:marLeft w:val="0"/>
          <w:marRight w:val="0"/>
          <w:marTop w:val="0"/>
          <w:marBottom w:val="0"/>
          <w:divBdr>
            <w:top w:val="none" w:sz="0" w:space="0" w:color="auto"/>
            <w:left w:val="none" w:sz="0" w:space="0" w:color="auto"/>
            <w:bottom w:val="none" w:sz="0" w:space="0" w:color="auto"/>
            <w:right w:val="none" w:sz="0" w:space="0" w:color="auto"/>
          </w:divBdr>
        </w:div>
        <w:div w:id="103381126">
          <w:marLeft w:val="0"/>
          <w:marRight w:val="0"/>
          <w:marTop w:val="0"/>
          <w:marBottom w:val="0"/>
          <w:divBdr>
            <w:top w:val="none" w:sz="0" w:space="0" w:color="auto"/>
            <w:left w:val="none" w:sz="0" w:space="0" w:color="auto"/>
            <w:bottom w:val="none" w:sz="0" w:space="0" w:color="auto"/>
            <w:right w:val="none" w:sz="0" w:space="0" w:color="auto"/>
          </w:divBdr>
        </w:div>
        <w:div w:id="278151661">
          <w:marLeft w:val="0"/>
          <w:marRight w:val="0"/>
          <w:marTop w:val="0"/>
          <w:marBottom w:val="0"/>
          <w:divBdr>
            <w:top w:val="none" w:sz="0" w:space="0" w:color="auto"/>
            <w:left w:val="none" w:sz="0" w:space="0" w:color="auto"/>
            <w:bottom w:val="none" w:sz="0" w:space="0" w:color="auto"/>
            <w:right w:val="none" w:sz="0" w:space="0" w:color="auto"/>
          </w:divBdr>
        </w:div>
        <w:div w:id="622002359">
          <w:marLeft w:val="0"/>
          <w:marRight w:val="0"/>
          <w:marTop w:val="0"/>
          <w:marBottom w:val="0"/>
          <w:divBdr>
            <w:top w:val="none" w:sz="0" w:space="0" w:color="auto"/>
            <w:left w:val="none" w:sz="0" w:space="0" w:color="auto"/>
            <w:bottom w:val="none" w:sz="0" w:space="0" w:color="auto"/>
            <w:right w:val="none" w:sz="0" w:space="0" w:color="auto"/>
          </w:divBdr>
        </w:div>
        <w:div w:id="668557561">
          <w:marLeft w:val="0"/>
          <w:marRight w:val="0"/>
          <w:marTop w:val="0"/>
          <w:marBottom w:val="0"/>
          <w:divBdr>
            <w:top w:val="none" w:sz="0" w:space="0" w:color="auto"/>
            <w:left w:val="none" w:sz="0" w:space="0" w:color="auto"/>
            <w:bottom w:val="none" w:sz="0" w:space="0" w:color="auto"/>
            <w:right w:val="none" w:sz="0" w:space="0" w:color="auto"/>
          </w:divBdr>
        </w:div>
        <w:div w:id="763769470">
          <w:marLeft w:val="0"/>
          <w:marRight w:val="0"/>
          <w:marTop w:val="0"/>
          <w:marBottom w:val="0"/>
          <w:divBdr>
            <w:top w:val="none" w:sz="0" w:space="0" w:color="auto"/>
            <w:left w:val="none" w:sz="0" w:space="0" w:color="auto"/>
            <w:bottom w:val="none" w:sz="0" w:space="0" w:color="auto"/>
            <w:right w:val="none" w:sz="0" w:space="0" w:color="auto"/>
          </w:divBdr>
        </w:div>
        <w:div w:id="1023674037">
          <w:marLeft w:val="0"/>
          <w:marRight w:val="0"/>
          <w:marTop w:val="0"/>
          <w:marBottom w:val="0"/>
          <w:divBdr>
            <w:top w:val="none" w:sz="0" w:space="0" w:color="auto"/>
            <w:left w:val="none" w:sz="0" w:space="0" w:color="auto"/>
            <w:bottom w:val="none" w:sz="0" w:space="0" w:color="auto"/>
            <w:right w:val="none" w:sz="0" w:space="0" w:color="auto"/>
          </w:divBdr>
        </w:div>
        <w:div w:id="1037707143">
          <w:marLeft w:val="0"/>
          <w:marRight w:val="0"/>
          <w:marTop w:val="0"/>
          <w:marBottom w:val="0"/>
          <w:divBdr>
            <w:top w:val="none" w:sz="0" w:space="0" w:color="auto"/>
            <w:left w:val="none" w:sz="0" w:space="0" w:color="auto"/>
            <w:bottom w:val="none" w:sz="0" w:space="0" w:color="auto"/>
            <w:right w:val="none" w:sz="0" w:space="0" w:color="auto"/>
          </w:divBdr>
        </w:div>
        <w:div w:id="1206211100">
          <w:marLeft w:val="0"/>
          <w:marRight w:val="0"/>
          <w:marTop w:val="0"/>
          <w:marBottom w:val="0"/>
          <w:divBdr>
            <w:top w:val="none" w:sz="0" w:space="0" w:color="auto"/>
            <w:left w:val="none" w:sz="0" w:space="0" w:color="auto"/>
            <w:bottom w:val="none" w:sz="0" w:space="0" w:color="auto"/>
            <w:right w:val="none" w:sz="0" w:space="0" w:color="auto"/>
          </w:divBdr>
        </w:div>
        <w:div w:id="1258322226">
          <w:marLeft w:val="0"/>
          <w:marRight w:val="0"/>
          <w:marTop w:val="0"/>
          <w:marBottom w:val="0"/>
          <w:divBdr>
            <w:top w:val="none" w:sz="0" w:space="0" w:color="auto"/>
            <w:left w:val="none" w:sz="0" w:space="0" w:color="auto"/>
            <w:bottom w:val="none" w:sz="0" w:space="0" w:color="auto"/>
            <w:right w:val="none" w:sz="0" w:space="0" w:color="auto"/>
          </w:divBdr>
        </w:div>
        <w:div w:id="1338312669">
          <w:marLeft w:val="0"/>
          <w:marRight w:val="0"/>
          <w:marTop w:val="0"/>
          <w:marBottom w:val="0"/>
          <w:divBdr>
            <w:top w:val="none" w:sz="0" w:space="0" w:color="auto"/>
            <w:left w:val="none" w:sz="0" w:space="0" w:color="auto"/>
            <w:bottom w:val="none" w:sz="0" w:space="0" w:color="auto"/>
            <w:right w:val="none" w:sz="0" w:space="0" w:color="auto"/>
          </w:divBdr>
        </w:div>
        <w:div w:id="1368604140">
          <w:marLeft w:val="0"/>
          <w:marRight w:val="0"/>
          <w:marTop w:val="0"/>
          <w:marBottom w:val="0"/>
          <w:divBdr>
            <w:top w:val="none" w:sz="0" w:space="0" w:color="auto"/>
            <w:left w:val="none" w:sz="0" w:space="0" w:color="auto"/>
            <w:bottom w:val="none" w:sz="0" w:space="0" w:color="auto"/>
            <w:right w:val="none" w:sz="0" w:space="0" w:color="auto"/>
          </w:divBdr>
        </w:div>
        <w:div w:id="1493254792">
          <w:marLeft w:val="0"/>
          <w:marRight w:val="0"/>
          <w:marTop w:val="0"/>
          <w:marBottom w:val="0"/>
          <w:divBdr>
            <w:top w:val="none" w:sz="0" w:space="0" w:color="auto"/>
            <w:left w:val="none" w:sz="0" w:space="0" w:color="auto"/>
            <w:bottom w:val="none" w:sz="0" w:space="0" w:color="auto"/>
            <w:right w:val="none" w:sz="0" w:space="0" w:color="auto"/>
          </w:divBdr>
        </w:div>
        <w:div w:id="1625652565">
          <w:marLeft w:val="0"/>
          <w:marRight w:val="0"/>
          <w:marTop w:val="0"/>
          <w:marBottom w:val="0"/>
          <w:divBdr>
            <w:top w:val="none" w:sz="0" w:space="0" w:color="auto"/>
            <w:left w:val="none" w:sz="0" w:space="0" w:color="auto"/>
            <w:bottom w:val="none" w:sz="0" w:space="0" w:color="auto"/>
            <w:right w:val="none" w:sz="0" w:space="0" w:color="auto"/>
          </w:divBdr>
        </w:div>
        <w:div w:id="1741558698">
          <w:marLeft w:val="0"/>
          <w:marRight w:val="0"/>
          <w:marTop w:val="0"/>
          <w:marBottom w:val="0"/>
          <w:divBdr>
            <w:top w:val="none" w:sz="0" w:space="0" w:color="auto"/>
            <w:left w:val="none" w:sz="0" w:space="0" w:color="auto"/>
            <w:bottom w:val="none" w:sz="0" w:space="0" w:color="auto"/>
            <w:right w:val="none" w:sz="0" w:space="0" w:color="auto"/>
          </w:divBdr>
        </w:div>
        <w:div w:id="1913468680">
          <w:marLeft w:val="0"/>
          <w:marRight w:val="0"/>
          <w:marTop w:val="0"/>
          <w:marBottom w:val="0"/>
          <w:divBdr>
            <w:top w:val="none" w:sz="0" w:space="0" w:color="auto"/>
            <w:left w:val="none" w:sz="0" w:space="0" w:color="auto"/>
            <w:bottom w:val="none" w:sz="0" w:space="0" w:color="auto"/>
            <w:right w:val="none" w:sz="0" w:space="0" w:color="auto"/>
          </w:divBdr>
        </w:div>
        <w:div w:id="2006010895">
          <w:marLeft w:val="0"/>
          <w:marRight w:val="0"/>
          <w:marTop w:val="0"/>
          <w:marBottom w:val="0"/>
          <w:divBdr>
            <w:top w:val="none" w:sz="0" w:space="0" w:color="auto"/>
            <w:left w:val="none" w:sz="0" w:space="0" w:color="auto"/>
            <w:bottom w:val="none" w:sz="0" w:space="0" w:color="auto"/>
            <w:right w:val="none" w:sz="0" w:space="0" w:color="auto"/>
          </w:divBdr>
        </w:div>
      </w:divsChild>
    </w:div>
    <w:div w:id="1086924910">
      <w:bodyDiv w:val="1"/>
      <w:marLeft w:val="0"/>
      <w:marRight w:val="0"/>
      <w:marTop w:val="0"/>
      <w:marBottom w:val="0"/>
      <w:divBdr>
        <w:top w:val="none" w:sz="0" w:space="0" w:color="auto"/>
        <w:left w:val="none" w:sz="0" w:space="0" w:color="auto"/>
        <w:bottom w:val="none" w:sz="0" w:space="0" w:color="auto"/>
        <w:right w:val="none" w:sz="0" w:space="0" w:color="auto"/>
      </w:divBdr>
      <w:divsChild>
        <w:div w:id="43020152">
          <w:marLeft w:val="0"/>
          <w:marRight w:val="0"/>
          <w:marTop w:val="0"/>
          <w:marBottom w:val="0"/>
          <w:divBdr>
            <w:top w:val="none" w:sz="0" w:space="0" w:color="auto"/>
            <w:left w:val="none" w:sz="0" w:space="0" w:color="auto"/>
            <w:bottom w:val="none" w:sz="0" w:space="0" w:color="auto"/>
            <w:right w:val="none" w:sz="0" w:space="0" w:color="auto"/>
          </w:divBdr>
        </w:div>
        <w:div w:id="138501536">
          <w:marLeft w:val="0"/>
          <w:marRight w:val="0"/>
          <w:marTop w:val="0"/>
          <w:marBottom w:val="0"/>
          <w:divBdr>
            <w:top w:val="none" w:sz="0" w:space="0" w:color="auto"/>
            <w:left w:val="none" w:sz="0" w:space="0" w:color="auto"/>
            <w:bottom w:val="none" w:sz="0" w:space="0" w:color="auto"/>
            <w:right w:val="none" w:sz="0" w:space="0" w:color="auto"/>
          </w:divBdr>
        </w:div>
        <w:div w:id="207229151">
          <w:marLeft w:val="0"/>
          <w:marRight w:val="0"/>
          <w:marTop w:val="0"/>
          <w:marBottom w:val="0"/>
          <w:divBdr>
            <w:top w:val="none" w:sz="0" w:space="0" w:color="auto"/>
            <w:left w:val="none" w:sz="0" w:space="0" w:color="auto"/>
            <w:bottom w:val="none" w:sz="0" w:space="0" w:color="auto"/>
            <w:right w:val="none" w:sz="0" w:space="0" w:color="auto"/>
          </w:divBdr>
        </w:div>
        <w:div w:id="395513719">
          <w:marLeft w:val="0"/>
          <w:marRight w:val="0"/>
          <w:marTop w:val="0"/>
          <w:marBottom w:val="0"/>
          <w:divBdr>
            <w:top w:val="none" w:sz="0" w:space="0" w:color="auto"/>
            <w:left w:val="none" w:sz="0" w:space="0" w:color="auto"/>
            <w:bottom w:val="none" w:sz="0" w:space="0" w:color="auto"/>
            <w:right w:val="none" w:sz="0" w:space="0" w:color="auto"/>
          </w:divBdr>
        </w:div>
        <w:div w:id="461849755">
          <w:marLeft w:val="0"/>
          <w:marRight w:val="0"/>
          <w:marTop w:val="0"/>
          <w:marBottom w:val="0"/>
          <w:divBdr>
            <w:top w:val="none" w:sz="0" w:space="0" w:color="auto"/>
            <w:left w:val="none" w:sz="0" w:space="0" w:color="auto"/>
            <w:bottom w:val="none" w:sz="0" w:space="0" w:color="auto"/>
            <w:right w:val="none" w:sz="0" w:space="0" w:color="auto"/>
          </w:divBdr>
        </w:div>
        <w:div w:id="730540064">
          <w:marLeft w:val="0"/>
          <w:marRight w:val="0"/>
          <w:marTop w:val="0"/>
          <w:marBottom w:val="0"/>
          <w:divBdr>
            <w:top w:val="none" w:sz="0" w:space="0" w:color="auto"/>
            <w:left w:val="none" w:sz="0" w:space="0" w:color="auto"/>
            <w:bottom w:val="none" w:sz="0" w:space="0" w:color="auto"/>
            <w:right w:val="none" w:sz="0" w:space="0" w:color="auto"/>
          </w:divBdr>
        </w:div>
        <w:div w:id="844325753">
          <w:marLeft w:val="0"/>
          <w:marRight w:val="0"/>
          <w:marTop w:val="0"/>
          <w:marBottom w:val="0"/>
          <w:divBdr>
            <w:top w:val="none" w:sz="0" w:space="0" w:color="auto"/>
            <w:left w:val="none" w:sz="0" w:space="0" w:color="auto"/>
            <w:bottom w:val="none" w:sz="0" w:space="0" w:color="auto"/>
            <w:right w:val="none" w:sz="0" w:space="0" w:color="auto"/>
          </w:divBdr>
        </w:div>
        <w:div w:id="857425626">
          <w:marLeft w:val="0"/>
          <w:marRight w:val="0"/>
          <w:marTop w:val="0"/>
          <w:marBottom w:val="0"/>
          <w:divBdr>
            <w:top w:val="none" w:sz="0" w:space="0" w:color="auto"/>
            <w:left w:val="none" w:sz="0" w:space="0" w:color="auto"/>
            <w:bottom w:val="none" w:sz="0" w:space="0" w:color="auto"/>
            <w:right w:val="none" w:sz="0" w:space="0" w:color="auto"/>
          </w:divBdr>
        </w:div>
        <w:div w:id="908882873">
          <w:marLeft w:val="0"/>
          <w:marRight w:val="0"/>
          <w:marTop w:val="0"/>
          <w:marBottom w:val="0"/>
          <w:divBdr>
            <w:top w:val="none" w:sz="0" w:space="0" w:color="auto"/>
            <w:left w:val="none" w:sz="0" w:space="0" w:color="auto"/>
            <w:bottom w:val="none" w:sz="0" w:space="0" w:color="auto"/>
            <w:right w:val="none" w:sz="0" w:space="0" w:color="auto"/>
          </w:divBdr>
        </w:div>
        <w:div w:id="929435013">
          <w:marLeft w:val="0"/>
          <w:marRight w:val="0"/>
          <w:marTop w:val="0"/>
          <w:marBottom w:val="0"/>
          <w:divBdr>
            <w:top w:val="none" w:sz="0" w:space="0" w:color="auto"/>
            <w:left w:val="none" w:sz="0" w:space="0" w:color="auto"/>
            <w:bottom w:val="none" w:sz="0" w:space="0" w:color="auto"/>
            <w:right w:val="none" w:sz="0" w:space="0" w:color="auto"/>
          </w:divBdr>
        </w:div>
        <w:div w:id="941962377">
          <w:marLeft w:val="0"/>
          <w:marRight w:val="0"/>
          <w:marTop w:val="0"/>
          <w:marBottom w:val="0"/>
          <w:divBdr>
            <w:top w:val="none" w:sz="0" w:space="0" w:color="auto"/>
            <w:left w:val="none" w:sz="0" w:space="0" w:color="auto"/>
            <w:bottom w:val="none" w:sz="0" w:space="0" w:color="auto"/>
            <w:right w:val="none" w:sz="0" w:space="0" w:color="auto"/>
          </w:divBdr>
        </w:div>
        <w:div w:id="1017929135">
          <w:marLeft w:val="0"/>
          <w:marRight w:val="0"/>
          <w:marTop w:val="0"/>
          <w:marBottom w:val="0"/>
          <w:divBdr>
            <w:top w:val="none" w:sz="0" w:space="0" w:color="auto"/>
            <w:left w:val="none" w:sz="0" w:space="0" w:color="auto"/>
            <w:bottom w:val="none" w:sz="0" w:space="0" w:color="auto"/>
            <w:right w:val="none" w:sz="0" w:space="0" w:color="auto"/>
          </w:divBdr>
        </w:div>
        <w:div w:id="1031106377">
          <w:marLeft w:val="0"/>
          <w:marRight w:val="0"/>
          <w:marTop w:val="0"/>
          <w:marBottom w:val="0"/>
          <w:divBdr>
            <w:top w:val="none" w:sz="0" w:space="0" w:color="auto"/>
            <w:left w:val="none" w:sz="0" w:space="0" w:color="auto"/>
            <w:bottom w:val="none" w:sz="0" w:space="0" w:color="auto"/>
            <w:right w:val="none" w:sz="0" w:space="0" w:color="auto"/>
          </w:divBdr>
        </w:div>
        <w:div w:id="1053962538">
          <w:marLeft w:val="0"/>
          <w:marRight w:val="0"/>
          <w:marTop w:val="0"/>
          <w:marBottom w:val="0"/>
          <w:divBdr>
            <w:top w:val="none" w:sz="0" w:space="0" w:color="auto"/>
            <w:left w:val="none" w:sz="0" w:space="0" w:color="auto"/>
            <w:bottom w:val="none" w:sz="0" w:space="0" w:color="auto"/>
            <w:right w:val="none" w:sz="0" w:space="0" w:color="auto"/>
          </w:divBdr>
        </w:div>
        <w:div w:id="1100107356">
          <w:marLeft w:val="0"/>
          <w:marRight w:val="0"/>
          <w:marTop w:val="0"/>
          <w:marBottom w:val="0"/>
          <w:divBdr>
            <w:top w:val="none" w:sz="0" w:space="0" w:color="auto"/>
            <w:left w:val="none" w:sz="0" w:space="0" w:color="auto"/>
            <w:bottom w:val="none" w:sz="0" w:space="0" w:color="auto"/>
            <w:right w:val="none" w:sz="0" w:space="0" w:color="auto"/>
          </w:divBdr>
        </w:div>
        <w:div w:id="1327710376">
          <w:marLeft w:val="0"/>
          <w:marRight w:val="0"/>
          <w:marTop w:val="0"/>
          <w:marBottom w:val="0"/>
          <w:divBdr>
            <w:top w:val="none" w:sz="0" w:space="0" w:color="auto"/>
            <w:left w:val="none" w:sz="0" w:space="0" w:color="auto"/>
            <w:bottom w:val="none" w:sz="0" w:space="0" w:color="auto"/>
            <w:right w:val="none" w:sz="0" w:space="0" w:color="auto"/>
          </w:divBdr>
        </w:div>
        <w:div w:id="1490050269">
          <w:marLeft w:val="0"/>
          <w:marRight w:val="0"/>
          <w:marTop w:val="0"/>
          <w:marBottom w:val="0"/>
          <w:divBdr>
            <w:top w:val="none" w:sz="0" w:space="0" w:color="auto"/>
            <w:left w:val="none" w:sz="0" w:space="0" w:color="auto"/>
            <w:bottom w:val="none" w:sz="0" w:space="0" w:color="auto"/>
            <w:right w:val="none" w:sz="0" w:space="0" w:color="auto"/>
          </w:divBdr>
        </w:div>
        <w:div w:id="1524398081">
          <w:marLeft w:val="0"/>
          <w:marRight w:val="0"/>
          <w:marTop w:val="0"/>
          <w:marBottom w:val="0"/>
          <w:divBdr>
            <w:top w:val="none" w:sz="0" w:space="0" w:color="auto"/>
            <w:left w:val="none" w:sz="0" w:space="0" w:color="auto"/>
            <w:bottom w:val="none" w:sz="0" w:space="0" w:color="auto"/>
            <w:right w:val="none" w:sz="0" w:space="0" w:color="auto"/>
          </w:divBdr>
        </w:div>
        <w:div w:id="1559433643">
          <w:marLeft w:val="0"/>
          <w:marRight w:val="0"/>
          <w:marTop w:val="0"/>
          <w:marBottom w:val="0"/>
          <w:divBdr>
            <w:top w:val="none" w:sz="0" w:space="0" w:color="auto"/>
            <w:left w:val="none" w:sz="0" w:space="0" w:color="auto"/>
            <w:bottom w:val="none" w:sz="0" w:space="0" w:color="auto"/>
            <w:right w:val="none" w:sz="0" w:space="0" w:color="auto"/>
          </w:divBdr>
        </w:div>
        <w:div w:id="1668898992">
          <w:marLeft w:val="0"/>
          <w:marRight w:val="0"/>
          <w:marTop w:val="0"/>
          <w:marBottom w:val="0"/>
          <w:divBdr>
            <w:top w:val="none" w:sz="0" w:space="0" w:color="auto"/>
            <w:left w:val="none" w:sz="0" w:space="0" w:color="auto"/>
            <w:bottom w:val="none" w:sz="0" w:space="0" w:color="auto"/>
            <w:right w:val="none" w:sz="0" w:space="0" w:color="auto"/>
          </w:divBdr>
        </w:div>
        <w:div w:id="1705979585">
          <w:marLeft w:val="0"/>
          <w:marRight w:val="0"/>
          <w:marTop w:val="0"/>
          <w:marBottom w:val="0"/>
          <w:divBdr>
            <w:top w:val="none" w:sz="0" w:space="0" w:color="auto"/>
            <w:left w:val="none" w:sz="0" w:space="0" w:color="auto"/>
            <w:bottom w:val="none" w:sz="0" w:space="0" w:color="auto"/>
            <w:right w:val="none" w:sz="0" w:space="0" w:color="auto"/>
          </w:divBdr>
        </w:div>
        <w:div w:id="1821382878">
          <w:marLeft w:val="0"/>
          <w:marRight w:val="0"/>
          <w:marTop w:val="0"/>
          <w:marBottom w:val="0"/>
          <w:divBdr>
            <w:top w:val="none" w:sz="0" w:space="0" w:color="auto"/>
            <w:left w:val="none" w:sz="0" w:space="0" w:color="auto"/>
            <w:bottom w:val="none" w:sz="0" w:space="0" w:color="auto"/>
            <w:right w:val="none" w:sz="0" w:space="0" w:color="auto"/>
          </w:divBdr>
        </w:div>
        <w:div w:id="1830053415">
          <w:marLeft w:val="0"/>
          <w:marRight w:val="0"/>
          <w:marTop w:val="0"/>
          <w:marBottom w:val="0"/>
          <w:divBdr>
            <w:top w:val="none" w:sz="0" w:space="0" w:color="auto"/>
            <w:left w:val="none" w:sz="0" w:space="0" w:color="auto"/>
            <w:bottom w:val="none" w:sz="0" w:space="0" w:color="auto"/>
            <w:right w:val="none" w:sz="0" w:space="0" w:color="auto"/>
          </w:divBdr>
        </w:div>
        <w:div w:id="2116241551">
          <w:marLeft w:val="0"/>
          <w:marRight w:val="0"/>
          <w:marTop w:val="0"/>
          <w:marBottom w:val="0"/>
          <w:divBdr>
            <w:top w:val="none" w:sz="0" w:space="0" w:color="auto"/>
            <w:left w:val="none" w:sz="0" w:space="0" w:color="auto"/>
            <w:bottom w:val="none" w:sz="0" w:space="0" w:color="auto"/>
            <w:right w:val="none" w:sz="0" w:space="0" w:color="auto"/>
          </w:divBdr>
        </w:div>
        <w:div w:id="2124105273">
          <w:marLeft w:val="0"/>
          <w:marRight w:val="0"/>
          <w:marTop w:val="0"/>
          <w:marBottom w:val="0"/>
          <w:divBdr>
            <w:top w:val="none" w:sz="0" w:space="0" w:color="auto"/>
            <w:left w:val="none" w:sz="0" w:space="0" w:color="auto"/>
            <w:bottom w:val="none" w:sz="0" w:space="0" w:color="auto"/>
            <w:right w:val="none" w:sz="0" w:space="0" w:color="auto"/>
          </w:divBdr>
        </w:div>
      </w:divsChild>
    </w:div>
    <w:div w:id="1101994204">
      <w:bodyDiv w:val="1"/>
      <w:marLeft w:val="0"/>
      <w:marRight w:val="0"/>
      <w:marTop w:val="0"/>
      <w:marBottom w:val="0"/>
      <w:divBdr>
        <w:top w:val="none" w:sz="0" w:space="0" w:color="auto"/>
        <w:left w:val="none" w:sz="0" w:space="0" w:color="auto"/>
        <w:bottom w:val="none" w:sz="0" w:space="0" w:color="auto"/>
        <w:right w:val="none" w:sz="0" w:space="0" w:color="auto"/>
      </w:divBdr>
    </w:div>
    <w:div w:id="1255045472">
      <w:bodyDiv w:val="1"/>
      <w:marLeft w:val="0"/>
      <w:marRight w:val="0"/>
      <w:marTop w:val="0"/>
      <w:marBottom w:val="0"/>
      <w:divBdr>
        <w:top w:val="none" w:sz="0" w:space="0" w:color="auto"/>
        <w:left w:val="none" w:sz="0" w:space="0" w:color="auto"/>
        <w:bottom w:val="none" w:sz="0" w:space="0" w:color="auto"/>
        <w:right w:val="none" w:sz="0" w:space="0" w:color="auto"/>
      </w:divBdr>
    </w:div>
    <w:div w:id="1269773533">
      <w:bodyDiv w:val="1"/>
      <w:marLeft w:val="0"/>
      <w:marRight w:val="0"/>
      <w:marTop w:val="0"/>
      <w:marBottom w:val="0"/>
      <w:divBdr>
        <w:top w:val="none" w:sz="0" w:space="0" w:color="auto"/>
        <w:left w:val="none" w:sz="0" w:space="0" w:color="auto"/>
        <w:bottom w:val="none" w:sz="0" w:space="0" w:color="auto"/>
        <w:right w:val="none" w:sz="0" w:space="0" w:color="auto"/>
      </w:divBdr>
    </w:div>
    <w:div w:id="1323504241">
      <w:bodyDiv w:val="1"/>
      <w:marLeft w:val="0"/>
      <w:marRight w:val="0"/>
      <w:marTop w:val="0"/>
      <w:marBottom w:val="0"/>
      <w:divBdr>
        <w:top w:val="none" w:sz="0" w:space="0" w:color="auto"/>
        <w:left w:val="none" w:sz="0" w:space="0" w:color="auto"/>
        <w:bottom w:val="none" w:sz="0" w:space="0" w:color="auto"/>
        <w:right w:val="none" w:sz="0" w:space="0" w:color="auto"/>
      </w:divBdr>
      <w:divsChild>
        <w:div w:id="31082750">
          <w:marLeft w:val="0"/>
          <w:marRight w:val="0"/>
          <w:marTop w:val="0"/>
          <w:marBottom w:val="0"/>
          <w:divBdr>
            <w:top w:val="none" w:sz="0" w:space="0" w:color="auto"/>
            <w:left w:val="none" w:sz="0" w:space="0" w:color="auto"/>
            <w:bottom w:val="none" w:sz="0" w:space="0" w:color="auto"/>
            <w:right w:val="none" w:sz="0" w:space="0" w:color="auto"/>
          </w:divBdr>
        </w:div>
        <w:div w:id="68965548">
          <w:marLeft w:val="0"/>
          <w:marRight w:val="0"/>
          <w:marTop w:val="0"/>
          <w:marBottom w:val="0"/>
          <w:divBdr>
            <w:top w:val="none" w:sz="0" w:space="0" w:color="auto"/>
            <w:left w:val="none" w:sz="0" w:space="0" w:color="auto"/>
            <w:bottom w:val="none" w:sz="0" w:space="0" w:color="auto"/>
            <w:right w:val="none" w:sz="0" w:space="0" w:color="auto"/>
          </w:divBdr>
        </w:div>
        <w:div w:id="116724304">
          <w:marLeft w:val="0"/>
          <w:marRight w:val="0"/>
          <w:marTop w:val="0"/>
          <w:marBottom w:val="0"/>
          <w:divBdr>
            <w:top w:val="none" w:sz="0" w:space="0" w:color="auto"/>
            <w:left w:val="none" w:sz="0" w:space="0" w:color="auto"/>
            <w:bottom w:val="none" w:sz="0" w:space="0" w:color="auto"/>
            <w:right w:val="none" w:sz="0" w:space="0" w:color="auto"/>
          </w:divBdr>
        </w:div>
        <w:div w:id="260455310">
          <w:marLeft w:val="0"/>
          <w:marRight w:val="0"/>
          <w:marTop w:val="0"/>
          <w:marBottom w:val="0"/>
          <w:divBdr>
            <w:top w:val="none" w:sz="0" w:space="0" w:color="auto"/>
            <w:left w:val="none" w:sz="0" w:space="0" w:color="auto"/>
            <w:bottom w:val="none" w:sz="0" w:space="0" w:color="auto"/>
            <w:right w:val="none" w:sz="0" w:space="0" w:color="auto"/>
          </w:divBdr>
        </w:div>
        <w:div w:id="422843444">
          <w:marLeft w:val="0"/>
          <w:marRight w:val="0"/>
          <w:marTop w:val="0"/>
          <w:marBottom w:val="0"/>
          <w:divBdr>
            <w:top w:val="none" w:sz="0" w:space="0" w:color="auto"/>
            <w:left w:val="none" w:sz="0" w:space="0" w:color="auto"/>
            <w:bottom w:val="none" w:sz="0" w:space="0" w:color="auto"/>
            <w:right w:val="none" w:sz="0" w:space="0" w:color="auto"/>
          </w:divBdr>
        </w:div>
        <w:div w:id="499203159">
          <w:marLeft w:val="0"/>
          <w:marRight w:val="0"/>
          <w:marTop w:val="0"/>
          <w:marBottom w:val="0"/>
          <w:divBdr>
            <w:top w:val="none" w:sz="0" w:space="0" w:color="auto"/>
            <w:left w:val="none" w:sz="0" w:space="0" w:color="auto"/>
            <w:bottom w:val="none" w:sz="0" w:space="0" w:color="auto"/>
            <w:right w:val="none" w:sz="0" w:space="0" w:color="auto"/>
          </w:divBdr>
        </w:div>
        <w:div w:id="610354680">
          <w:marLeft w:val="0"/>
          <w:marRight w:val="0"/>
          <w:marTop w:val="0"/>
          <w:marBottom w:val="0"/>
          <w:divBdr>
            <w:top w:val="none" w:sz="0" w:space="0" w:color="auto"/>
            <w:left w:val="none" w:sz="0" w:space="0" w:color="auto"/>
            <w:bottom w:val="none" w:sz="0" w:space="0" w:color="auto"/>
            <w:right w:val="none" w:sz="0" w:space="0" w:color="auto"/>
          </w:divBdr>
        </w:div>
        <w:div w:id="644433253">
          <w:marLeft w:val="0"/>
          <w:marRight w:val="0"/>
          <w:marTop w:val="0"/>
          <w:marBottom w:val="0"/>
          <w:divBdr>
            <w:top w:val="none" w:sz="0" w:space="0" w:color="auto"/>
            <w:left w:val="none" w:sz="0" w:space="0" w:color="auto"/>
            <w:bottom w:val="none" w:sz="0" w:space="0" w:color="auto"/>
            <w:right w:val="none" w:sz="0" w:space="0" w:color="auto"/>
          </w:divBdr>
        </w:div>
        <w:div w:id="657533766">
          <w:marLeft w:val="0"/>
          <w:marRight w:val="0"/>
          <w:marTop w:val="0"/>
          <w:marBottom w:val="0"/>
          <w:divBdr>
            <w:top w:val="none" w:sz="0" w:space="0" w:color="auto"/>
            <w:left w:val="none" w:sz="0" w:space="0" w:color="auto"/>
            <w:bottom w:val="none" w:sz="0" w:space="0" w:color="auto"/>
            <w:right w:val="none" w:sz="0" w:space="0" w:color="auto"/>
          </w:divBdr>
        </w:div>
        <w:div w:id="778455330">
          <w:marLeft w:val="0"/>
          <w:marRight w:val="0"/>
          <w:marTop w:val="0"/>
          <w:marBottom w:val="0"/>
          <w:divBdr>
            <w:top w:val="none" w:sz="0" w:space="0" w:color="auto"/>
            <w:left w:val="none" w:sz="0" w:space="0" w:color="auto"/>
            <w:bottom w:val="none" w:sz="0" w:space="0" w:color="auto"/>
            <w:right w:val="none" w:sz="0" w:space="0" w:color="auto"/>
          </w:divBdr>
        </w:div>
        <w:div w:id="840507232">
          <w:marLeft w:val="0"/>
          <w:marRight w:val="0"/>
          <w:marTop w:val="0"/>
          <w:marBottom w:val="0"/>
          <w:divBdr>
            <w:top w:val="none" w:sz="0" w:space="0" w:color="auto"/>
            <w:left w:val="none" w:sz="0" w:space="0" w:color="auto"/>
            <w:bottom w:val="none" w:sz="0" w:space="0" w:color="auto"/>
            <w:right w:val="none" w:sz="0" w:space="0" w:color="auto"/>
          </w:divBdr>
        </w:div>
        <w:div w:id="919631676">
          <w:marLeft w:val="0"/>
          <w:marRight w:val="0"/>
          <w:marTop w:val="0"/>
          <w:marBottom w:val="0"/>
          <w:divBdr>
            <w:top w:val="none" w:sz="0" w:space="0" w:color="auto"/>
            <w:left w:val="none" w:sz="0" w:space="0" w:color="auto"/>
            <w:bottom w:val="none" w:sz="0" w:space="0" w:color="auto"/>
            <w:right w:val="none" w:sz="0" w:space="0" w:color="auto"/>
          </w:divBdr>
        </w:div>
        <w:div w:id="993990086">
          <w:marLeft w:val="0"/>
          <w:marRight w:val="0"/>
          <w:marTop w:val="0"/>
          <w:marBottom w:val="0"/>
          <w:divBdr>
            <w:top w:val="none" w:sz="0" w:space="0" w:color="auto"/>
            <w:left w:val="none" w:sz="0" w:space="0" w:color="auto"/>
            <w:bottom w:val="none" w:sz="0" w:space="0" w:color="auto"/>
            <w:right w:val="none" w:sz="0" w:space="0" w:color="auto"/>
          </w:divBdr>
        </w:div>
        <w:div w:id="1014965682">
          <w:marLeft w:val="0"/>
          <w:marRight w:val="0"/>
          <w:marTop w:val="0"/>
          <w:marBottom w:val="0"/>
          <w:divBdr>
            <w:top w:val="none" w:sz="0" w:space="0" w:color="auto"/>
            <w:left w:val="none" w:sz="0" w:space="0" w:color="auto"/>
            <w:bottom w:val="none" w:sz="0" w:space="0" w:color="auto"/>
            <w:right w:val="none" w:sz="0" w:space="0" w:color="auto"/>
          </w:divBdr>
        </w:div>
        <w:div w:id="1075318846">
          <w:marLeft w:val="0"/>
          <w:marRight w:val="0"/>
          <w:marTop w:val="0"/>
          <w:marBottom w:val="0"/>
          <w:divBdr>
            <w:top w:val="none" w:sz="0" w:space="0" w:color="auto"/>
            <w:left w:val="none" w:sz="0" w:space="0" w:color="auto"/>
            <w:bottom w:val="none" w:sz="0" w:space="0" w:color="auto"/>
            <w:right w:val="none" w:sz="0" w:space="0" w:color="auto"/>
          </w:divBdr>
        </w:div>
        <w:div w:id="1083987468">
          <w:marLeft w:val="0"/>
          <w:marRight w:val="0"/>
          <w:marTop w:val="0"/>
          <w:marBottom w:val="0"/>
          <w:divBdr>
            <w:top w:val="none" w:sz="0" w:space="0" w:color="auto"/>
            <w:left w:val="none" w:sz="0" w:space="0" w:color="auto"/>
            <w:bottom w:val="none" w:sz="0" w:space="0" w:color="auto"/>
            <w:right w:val="none" w:sz="0" w:space="0" w:color="auto"/>
          </w:divBdr>
        </w:div>
        <w:div w:id="1133251447">
          <w:marLeft w:val="0"/>
          <w:marRight w:val="0"/>
          <w:marTop w:val="0"/>
          <w:marBottom w:val="0"/>
          <w:divBdr>
            <w:top w:val="none" w:sz="0" w:space="0" w:color="auto"/>
            <w:left w:val="none" w:sz="0" w:space="0" w:color="auto"/>
            <w:bottom w:val="none" w:sz="0" w:space="0" w:color="auto"/>
            <w:right w:val="none" w:sz="0" w:space="0" w:color="auto"/>
          </w:divBdr>
        </w:div>
        <w:div w:id="1247499347">
          <w:marLeft w:val="0"/>
          <w:marRight w:val="0"/>
          <w:marTop w:val="0"/>
          <w:marBottom w:val="0"/>
          <w:divBdr>
            <w:top w:val="none" w:sz="0" w:space="0" w:color="auto"/>
            <w:left w:val="none" w:sz="0" w:space="0" w:color="auto"/>
            <w:bottom w:val="none" w:sz="0" w:space="0" w:color="auto"/>
            <w:right w:val="none" w:sz="0" w:space="0" w:color="auto"/>
          </w:divBdr>
        </w:div>
        <w:div w:id="1356346735">
          <w:marLeft w:val="0"/>
          <w:marRight w:val="0"/>
          <w:marTop w:val="0"/>
          <w:marBottom w:val="0"/>
          <w:divBdr>
            <w:top w:val="none" w:sz="0" w:space="0" w:color="auto"/>
            <w:left w:val="none" w:sz="0" w:space="0" w:color="auto"/>
            <w:bottom w:val="none" w:sz="0" w:space="0" w:color="auto"/>
            <w:right w:val="none" w:sz="0" w:space="0" w:color="auto"/>
          </w:divBdr>
        </w:div>
        <w:div w:id="1388996592">
          <w:marLeft w:val="0"/>
          <w:marRight w:val="0"/>
          <w:marTop w:val="0"/>
          <w:marBottom w:val="0"/>
          <w:divBdr>
            <w:top w:val="none" w:sz="0" w:space="0" w:color="auto"/>
            <w:left w:val="none" w:sz="0" w:space="0" w:color="auto"/>
            <w:bottom w:val="none" w:sz="0" w:space="0" w:color="auto"/>
            <w:right w:val="none" w:sz="0" w:space="0" w:color="auto"/>
          </w:divBdr>
        </w:div>
        <w:div w:id="1406998231">
          <w:marLeft w:val="0"/>
          <w:marRight w:val="0"/>
          <w:marTop w:val="0"/>
          <w:marBottom w:val="0"/>
          <w:divBdr>
            <w:top w:val="none" w:sz="0" w:space="0" w:color="auto"/>
            <w:left w:val="none" w:sz="0" w:space="0" w:color="auto"/>
            <w:bottom w:val="none" w:sz="0" w:space="0" w:color="auto"/>
            <w:right w:val="none" w:sz="0" w:space="0" w:color="auto"/>
          </w:divBdr>
        </w:div>
        <w:div w:id="1414739557">
          <w:marLeft w:val="0"/>
          <w:marRight w:val="0"/>
          <w:marTop w:val="0"/>
          <w:marBottom w:val="0"/>
          <w:divBdr>
            <w:top w:val="none" w:sz="0" w:space="0" w:color="auto"/>
            <w:left w:val="none" w:sz="0" w:space="0" w:color="auto"/>
            <w:bottom w:val="none" w:sz="0" w:space="0" w:color="auto"/>
            <w:right w:val="none" w:sz="0" w:space="0" w:color="auto"/>
          </w:divBdr>
        </w:div>
        <w:div w:id="1536039708">
          <w:marLeft w:val="0"/>
          <w:marRight w:val="0"/>
          <w:marTop w:val="0"/>
          <w:marBottom w:val="0"/>
          <w:divBdr>
            <w:top w:val="none" w:sz="0" w:space="0" w:color="auto"/>
            <w:left w:val="none" w:sz="0" w:space="0" w:color="auto"/>
            <w:bottom w:val="none" w:sz="0" w:space="0" w:color="auto"/>
            <w:right w:val="none" w:sz="0" w:space="0" w:color="auto"/>
          </w:divBdr>
        </w:div>
        <w:div w:id="1576357352">
          <w:marLeft w:val="0"/>
          <w:marRight w:val="0"/>
          <w:marTop w:val="0"/>
          <w:marBottom w:val="0"/>
          <w:divBdr>
            <w:top w:val="none" w:sz="0" w:space="0" w:color="auto"/>
            <w:left w:val="none" w:sz="0" w:space="0" w:color="auto"/>
            <w:bottom w:val="none" w:sz="0" w:space="0" w:color="auto"/>
            <w:right w:val="none" w:sz="0" w:space="0" w:color="auto"/>
          </w:divBdr>
        </w:div>
        <w:div w:id="1598247593">
          <w:marLeft w:val="0"/>
          <w:marRight w:val="0"/>
          <w:marTop w:val="0"/>
          <w:marBottom w:val="0"/>
          <w:divBdr>
            <w:top w:val="none" w:sz="0" w:space="0" w:color="auto"/>
            <w:left w:val="none" w:sz="0" w:space="0" w:color="auto"/>
            <w:bottom w:val="none" w:sz="0" w:space="0" w:color="auto"/>
            <w:right w:val="none" w:sz="0" w:space="0" w:color="auto"/>
          </w:divBdr>
        </w:div>
        <w:div w:id="1623729524">
          <w:marLeft w:val="0"/>
          <w:marRight w:val="0"/>
          <w:marTop w:val="0"/>
          <w:marBottom w:val="0"/>
          <w:divBdr>
            <w:top w:val="none" w:sz="0" w:space="0" w:color="auto"/>
            <w:left w:val="none" w:sz="0" w:space="0" w:color="auto"/>
            <w:bottom w:val="none" w:sz="0" w:space="0" w:color="auto"/>
            <w:right w:val="none" w:sz="0" w:space="0" w:color="auto"/>
          </w:divBdr>
        </w:div>
        <w:div w:id="1637684796">
          <w:marLeft w:val="0"/>
          <w:marRight w:val="0"/>
          <w:marTop w:val="0"/>
          <w:marBottom w:val="0"/>
          <w:divBdr>
            <w:top w:val="none" w:sz="0" w:space="0" w:color="auto"/>
            <w:left w:val="none" w:sz="0" w:space="0" w:color="auto"/>
            <w:bottom w:val="none" w:sz="0" w:space="0" w:color="auto"/>
            <w:right w:val="none" w:sz="0" w:space="0" w:color="auto"/>
          </w:divBdr>
        </w:div>
        <w:div w:id="1657997735">
          <w:marLeft w:val="0"/>
          <w:marRight w:val="0"/>
          <w:marTop w:val="0"/>
          <w:marBottom w:val="0"/>
          <w:divBdr>
            <w:top w:val="none" w:sz="0" w:space="0" w:color="auto"/>
            <w:left w:val="none" w:sz="0" w:space="0" w:color="auto"/>
            <w:bottom w:val="none" w:sz="0" w:space="0" w:color="auto"/>
            <w:right w:val="none" w:sz="0" w:space="0" w:color="auto"/>
          </w:divBdr>
        </w:div>
        <w:div w:id="1673872377">
          <w:marLeft w:val="0"/>
          <w:marRight w:val="0"/>
          <w:marTop w:val="0"/>
          <w:marBottom w:val="0"/>
          <w:divBdr>
            <w:top w:val="none" w:sz="0" w:space="0" w:color="auto"/>
            <w:left w:val="none" w:sz="0" w:space="0" w:color="auto"/>
            <w:bottom w:val="none" w:sz="0" w:space="0" w:color="auto"/>
            <w:right w:val="none" w:sz="0" w:space="0" w:color="auto"/>
          </w:divBdr>
        </w:div>
        <w:div w:id="1724253523">
          <w:marLeft w:val="0"/>
          <w:marRight w:val="0"/>
          <w:marTop w:val="0"/>
          <w:marBottom w:val="0"/>
          <w:divBdr>
            <w:top w:val="none" w:sz="0" w:space="0" w:color="auto"/>
            <w:left w:val="none" w:sz="0" w:space="0" w:color="auto"/>
            <w:bottom w:val="none" w:sz="0" w:space="0" w:color="auto"/>
            <w:right w:val="none" w:sz="0" w:space="0" w:color="auto"/>
          </w:divBdr>
        </w:div>
        <w:div w:id="1729110464">
          <w:marLeft w:val="0"/>
          <w:marRight w:val="0"/>
          <w:marTop w:val="0"/>
          <w:marBottom w:val="0"/>
          <w:divBdr>
            <w:top w:val="none" w:sz="0" w:space="0" w:color="auto"/>
            <w:left w:val="none" w:sz="0" w:space="0" w:color="auto"/>
            <w:bottom w:val="none" w:sz="0" w:space="0" w:color="auto"/>
            <w:right w:val="none" w:sz="0" w:space="0" w:color="auto"/>
          </w:divBdr>
        </w:div>
        <w:div w:id="1777554204">
          <w:marLeft w:val="0"/>
          <w:marRight w:val="0"/>
          <w:marTop w:val="0"/>
          <w:marBottom w:val="0"/>
          <w:divBdr>
            <w:top w:val="none" w:sz="0" w:space="0" w:color="auto"/>
            <w:left w:val="none" w:sz="0" w:space="0" w:color="auto"/>
            <w:bottom w:val="none" w:sz="0" w:space="0" w:color="auto"/>
            <w:right w:val="none" w:sz="0" w:space="0" w:color="auto"/>
          </w:divBdr>
        </w:div>
        <w:div w:id="1993096509">
          <w:marLeft w:val="0"/>
          <w:marRight w:val="0"/>
          <w:marTop w:val="0"/>
          <w:marBottom w:val="0"/>
          <w:divBdr>
            <w:top w:val="none" w:sz="0" w:space="0" w:color="auto"/>
            <w:left w:val="none" w:sz="0" w:space="0" w:color="auto"/>
            <w:bottom w:val="none" w:sz="0" w:space="0" w:color="auto"/>
            <w:right w:val="none" w:sz="0" w:space="0" w:color="auto"/>
          </w:divBdr>
        </w:div>
        <w:div w:id="2004550748">
          <w:marLeft w:val="0"/>
          <w:marRight w:val="0"/>
          <w:marTop w:val="0"/>
          <w:marBottom w:val="0"/>
          <w:divBdr>
            <w:top w:val="none" w:sz="0" w:space="0" w:color="auto"/>
            <w:left w:val="none" w:sz="0" w:space="0" w:color="auto"/>
            <w:bottom w:val="none" w:sz="0" w:space="0" w:color="auto"/>
            <w:right w:val="none" w:sz="0" w:space="0" w:color="auto"/>
          </w:divBdr>
        </w:div>
      </w:divsChild>
    </w:div>
    <w:div w:id="1513835481">
      <w:bodyDiv w:val="1"/>
      <w:marLeft w:val="0"/>
      <w:marRight w:val="0"/>
      <w:marTop w:val="0"/>
      <w:marBottom w:val="0"/>
      <w:divBdr>
        <w:top w:val="none" w:sz="0" w:space="0" w:color="auto"/>
        <w:left w:val="none" w:sz="0" w:space="0" w:color="auto"/>
        <w:bottom w:val="none" w:sz="0" w:space="0" w:color="auto"/>
        <w:right w:val="none" w:sz="0" w:space="0" w:color="auto"/>
      </w:divBdr>
    </w:div>
    <w:div w:id="1570771246">
      <w:bodyDiv w:val="1"/>
      <w:marLeft w:val="0"/>
      <w:marRight w:val="0"/>
      <w:marTop w:val="0"/>
      <w:marBottom w:val="0"/>
      <w:divBdr>
        <w:top w:val="none" w:sz="0" w:space="0" w:color="auto"/>
        <w:left w:val="none" w:sz="0" w:space="0" w:color="auto"/>
        <w:bottom w:val="none" w:sz="0" w:space="0" w:color="auto"/>
        <w:right w:val="none" w:sz="0" w:space="0" w:color="auto"/>
      </w:divBdr>
      <w:divsChild>
        <w:div w:id="58406834">
          <w:marLeft w:val="0"/>
          <w:marRight w:val="0"/>
          <w:marTop w:val="0"/>
          <w:marBottom w:val="0"/>
          <w:divBdr>
            <w:top w:val="none" w:sz="0" w:space="0" w:color="auto"/>
            <w:left w:val="none" w:sz="0" w:space="0" w:color="auto"/>
            <w:bottom w:val="none" w:sz="0" w:space="0" w:color="auto"/>
            <w:right w:val="none" w:sz="0" w:space="0" w:color="auto"/>
          </w:divBdr>
        </w:div>
        <w:div w:id="276371456">
          <w:marLeft w:val="0"/>
          <w:marRight w:val="0"/>
          <w:marTop w:val="0"/>
          <w:marBottom w:val="0"/>
          <w:divBdr>
            <w:top w:val="none" w:sz="0" w:space="0" w:color="auto"/>
            <w:left w:val="none" w:sz="0" w:space="0" w:color="auto"/>
            <w:bottom w:val="none" w:sz="0" w:space="0" w:color="auto"/>
            <w:right w:val="none" w:sz="0" w:space="0" w:color="auto"/>
          </w:divBdr>
        </w:div>
        <w:div w:id="344981724">
          <w:marLeft w:val="0"/>
          <w:marRight w:val="0"/>
          <w:marTop w:val="0"/>
          <w:marBottom w:val="0"/>
          <w:divBdr>
            <w:top w:val="none" w:sz="0" w:space="0" w:color="auto"/>
            <w:left w:val="none" w:sz="0" w:space="0" w:color="auto"/>
            <w:bottom w:val="none" w:sz="0" w:space="0" w:color="auto"/>
            <w:right w:val="none" w:sz="0" w:space="0" w:color="auto"/>
          </w:divBdr>
        </w:div>
        <w:div w:id="801728552">
          <w:marLeft w:val="0"/>
          <w:marRight w:val="0"/>
          <w:marTop w:val="0"/>
          <w:marBottom w:val="0"/>
          <w:divBdr>
            <w:top w:val="none" w:sz="0" w:space="0" w:color="auto"/>
            <w:left w:val="none" w:sz="0" w:space="0" w:color="auto"/>
            <w:bottom w:val="none" w:sz="0" w:space="0" w:color="auto"/>
            <w:right w:val="none" w:sz="0" w:space="0" w:color="auto"/>
          </w:divBdr>
        </w:div>
        <w:div w:id="1057240171">
          <w:marLeft w:val="0"/>
          <w:marRight w:val="0"/>
          <w:marTop w:val="0"/>
          <w:marBottom w:val="0"/>
          <w:divBdr>
            <w:top w:val="none" w:sz="0" w:space="0" w:color="auto"/>
            <w:left w:val="none" w:sz="0" w:space="0" w:color="auto"/>
            <w:bottom w:val="none" w:sz="0" w:space="0" w:color="auto"/>
            <w:right w:val="none" w:sz="0" w:space="0" w:color="auto"/>
          </w:divBdr>
        </w:div>
        <w:div w:id="1235891902">
          <w:marLeft w:val="0"/>
          <w:marRight w:val="0"/>
          <w:marTop w:val="0"/>
          <w:marBottom w:val="0"/>
          <w:divBdr>
            <w:top w:val="none" w:sz="0" w:space="0" w:color="auto"/>
            <w:left w:val="none" w:sz="0" w:space="0" w:color="auto"/>
            <w:bottom w:val="none" w:sz="0" w:space="0" w:color="auto"/>
            <w:right w:val="none" w:sz="0" w:space="0" w:color="auto"/>
          </w:divBdr>
        </w:div>
        <w:div w:id="2008743946">
          <w:marLeft w:val="0"/>
          <w:marRight w:val="0"/>
          <w:marTop w:val="0"/>
          <w:marBottom w:val="0"/>
          <w:divBdr>
            <w:top w:val="none" w:sz="0" w:space="0" w:color="auto"/>
            <w:left w:val="none" w:sz="0" w:space="0" w:color="auto"/>
            <w:bottom w:val="none" w:sz="0" w:space="0" w:color="auto"/>
            <w:right w:val="none" w:sz="0" w:space="0" w:color="auto"/>
          </w:divBdr>
        </w:div>
        <w:div w:id="2014183493">
          <w:marLeft w:val="0"/>
          <w:marRight w:val="0"/>
          <w:marTop w:val="0"/>
          <w:marBottom w:val="0"/>
          <w:divBdr>
            <w:top w:val="none" w:sz="0" w:space="0" w:color="auto"/>
            <w:left w:val="none" w:sz="0" w:space="0" w:color="auto"/>
            <w:bottom w:val="none" w:sz="0" w:space="0" w:color="auto"/>
            <w:right w:val="none" w:sz="0" w:space="0" w:color="auto"/>
          </w:divBdr>
        </w:div>
      </w:divsChild>
    </w:div>
    <w:div w:id="1758017638">
      <w:bodyDiv w:val="1"/>
      <w:marLeft w:val="0"/>
      <w:marRight w:val="0"/>
      <w:marTop w:val="0"/>
      <w:marBottom w:val="0"/>
      <w:divBdr>
        <w:top w:val="none" w:sz="0" w:space="0" w:color="auto"/>
        <w:left w:val="none" w:sz="0" w:space="0" w:color="auto"/>
        <w:bottom w:val="none" w:sz="0" w:space="0" w:color="auto"/>
        <w:right w:val="none" w:sz="0" w:space="0" w:color="auto"/>
      </w:divBdr>
      <w:divsChild>
        <w:div w:id="2091391577">
          <w:marLeft w:val="0"/>
          <w:marRight w:val="1"/>
          <w:marTop w:val="0"/>
          <w:marBottom w:val="0"/>
          <w:divBdr>
            <w:top w:val="none" w:sz="0" w:space="0" w:color="auto"/>
            <w:left w:val="none" w:sz="0" w:space="0" w:color="auto"/>
            <w:bottom w:val="none" w:sz="0" w:space="0" w:color="auto"/>
            <w:right w:val="none" w:sz="0" w:space="0" w:color="auto"/>
          </w:divBdr>
          <w:divsChild>
            <w:div w:id="137694262">
              <w:marLeft w:val="0"/>
              <w:marRight w:val="0"/>
              <w:marTop w:val="0"/>
              <w:marBottom w:val="0"/>
              <w:divBdr>
                <w:top w:val="none" w:sz="0" w:space="0" w:color="auto"/>
                <w:left w:val="none" w:sz="0" w:space="0" w:color="auto"/>
                <w:bottom w:val="none" w:sz="0" w:space="0" w:color="auto"/>
                <w:right w:val="none" w:sz="0" w:space="0" w:color="auto"/>
              </w:divBdr>
              <w:divsChild>
                <w:div w:id="1463187948">
                  <w:marLeft w:val="0"/>
                  <w:marRight w:val="1"/>
                  <w:marTop w:val="0"/>
                  <w:marBottom w:val="0"/>
                  <w:divBdr>
                    <w:top w:val="none" w:sz="0" w:space="0" w:color="auto"/>
                    <w:left w:val="none" w:sz="0" w:space="0" w:color="auto"/>
                    <w:bottom w:val="none" w:sz="0" w:space="0" w:color="auto"/>
                    <w:right w:val="none" w:sz="0" w:space="0" w:color="auto"/>
                  </w:divBdr>
                  <w:divsChild>
                    <w:div w:id="1525557753">
                      <w:marLeft w:val="0"/>
                      <w:marRight w:val="0"/>
                      <w:marTop w:val="0"/>
                      <w:marBottom w:val="0"/>
                      <w:divBdr>
                        <w:top w:val="none" w:sz="0" w:space="0" w:color="auto"/>
                        <w:left w:val="none" w:sz="0" w:space="0" w:color="auto"/>
                        <w:bottom w:val="none" w:sz="0" w:space="0" w:color="auto"/>
                        <w:right w:val="none" w:sz="0" w:space="0" w:color="auto"/>
                      </w:divBdr>
                      <w:divsChild>
                        <w:div w:id="138696442">
                          <w:marLeft w:val="0"/>
                          <w:marRight w:val="0"/>
                          <w:marTop w:val="0"/>
                          <w:marBottom w:val="0"/>
                          <w:divBdr>
                            <w:top w:val="none" w:sz="0" w:space="0" w:color="auto"/>
                            <w:left w:val="none" w:sz="0" w:space="0" w:color="auto"/>
                            <w:bottom w:val="none" w:sz="0" w:space="0" w:color="auto"/>
                            <w:right w:val="none" w:sz="0" w:space="0" w:color="auto"/>
                          </w:divBdr>
                          <w:divsChild>
                            <w:div w:id="987825926">
                              <w:marLeft w:val="0"/>
                              <w:marRight w:val="0"/>
                              <w:marTop w:val="120"/>
                              <w:marBottom w:val="360"/>
                              <w:divBdr>
                                <w:top w:val="none" w:sz="0" w:space="0" w:color="auto"/>
                                <w:left w:val="none" w:sz="0" w:space="0" w:color="auto"/>
                                <w:bottom w:val="none" w:sz="0" w:space="0" w:color="auto"/>
                                <w:right w:val="none" w:sz="0" w:space="0" w:color="auto"/>
                              </w:divBdr>
                              <w:divsChild>
                                <w:div w:id="1497257514">
                                  <w:marLeft w:val="420"/>
                                  <w:marRight w:val="0"/>
                                  <w:marTop w:val="0"/>
                                  <w:marBottom w:val="0"/>
                                  <w:divBdr>
                                    <w:top w:val="none" w:sz="0" w:space="0" w:color="auto"/>
                                    <w:left w:val="none" w:sz="0" w:space="0" w:color="auto"/>
                                    <w:bottom w:val="none" w:sz="0" w:space="0" w:color="auto"/>
                                    <w:right w:val="none" w:sz="0" w:space="0" w:color="auto"/>
                                  </w:divBdr>
                                  <w:divsChild>
                                    <w:div w:id="17529722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841228">
      <w:bodyDiv w:val="1"/>
      <w:marLeft w:val="0"/>
      <w:marRight w:val="0"/>
      <w:marTop w:val="0"/>
      <w:marBottom w:val="0"/>
      <w:divBdr>
        <w:top w:val="none" w:sz="0" w:space="0" w:color="auto"/>
        <w:left w:val="none" w:sz="0" w:space="0" w:color="auto"/>
        <w:bottom w:val="none" w:sz="0" w:space="0" w:color="auto"/>
        <w:right w:val="none" w:sz="0" w:space="0" w:color="auto"/>
      </w:divBdr>
    </w:div>
    <w:div w:id="2079938298">
      <w:bodyDiv w:val="1"/>
      <w:marLeft w:val="0"/>
      <w:marRight w:val="0"/>
      <w:marTop w:val="0"/>
      <w:marBottom w:val="0"/>
      <w:divBdr>
        <w:top w:val="none" w:sz="0" w:space="0" w:color="auto"/>
        <w:left w:val="none" w:sz="0" w:space="0" w:color="auto"/>
        <w:bottom w:val="none" w:sz="0" w:space="0" w:color="auto"/>
        <w:right w:val="none" w:sz="0" w:space="0" w:color="auto"/>
      </w:divBdr>
      <w:divsChild>
        <w:div w:id="172182648">
          <w:marLeft w:val="0"/>
          <w:marRight w:val="0"/>
          <w:marTop w:val="0"/>
          <w:marBottom w:val="0"/>
          <w:divBdr>
            <w:top w:val="none" w:sz="0" w:space="0" w:color="auto"/>
            <w:left w:val="none" w:sz="0" w:space="0" w:color="auto"/>
            <w:bottom w:val="none" w:sz="0" w:space="0" w:color="auto"/>
            <w:right w:val="none" w:sz="0" w:space="0" w:color="auto"/>
          </w:divBdr>
        </w:div>
        <w:div w:id="507524867">
          <w:marLeft w:val="0"/>
          <w:marRight w:val="0"/>
          <w:marTop w:val="0"/>
          <w:marBottom w:val="0"/>
          <w:divBdr>
            <w:top w:val="none" w:sz="0" w:space="0" w:color="auto"/>
            <w:left w:val="none" w:sz="0" w:space="0" w:color="auto"/>
            <w:bottom w:val="none" w:sz="0" w:space="0" w:color="auto"/>
            <w:right w:val="none" w:sz="0" w:space="0" w:color="auto"/>
          </w:divBdr>
        </w:div>
        <w:div w:id="571543275">
          <w:marLeft w:val="0"/>
          <w:marRight w:val="0"/>
          <w:marTop w:val="0"/>
          <w:marBottom w:val="0"/>
          <w:divBdr>
            <w:top w:val="none" w:sz="0" w:space="0" w:color="auto"/>
            <w:left w:val="none" w:sz="0" w:space="0" w:color="auto"/>
            <w:bottom w:val="none" w:sz="0" w:space="0" w:color="auto"/>
            <w:right w:val="none" w:sz="0" w:space="0" w:color="auto"/>
          </w:divBdr>
        </w:div>
        <w:div w:id="610627934">
          <w:marLeft w:val="0"/>
          <w:marRight w:val="0"/>
          <w:marTop w:val="0"/>
          <w:marBottom w:val="0"/>
          <w:divBdr>
            <w:top w:val="none" w:sz="0" w:space="0" w:color="auto"/>
            <w:left w:val="none" w:sz="0" w:space="0" w:color="auto"/>
            <w:bottom w:val="none" w:sz="0" w:space="0" w:color="auto"/>
            <w:right w:val="none" w:sz="0" w:space="0" w:color="auto"/>
          </w:divBdr>
        </w:div>
        <w:div w:id="692146678">
          <w:marLeft w:val="0"/>
          <w:marRight w:val="0"/>
          <w:marTop w:val="0"/>
          <w:marBottom w:val="0"/>
          <w:divBdr>
            <w:top w:val="none" w:sz="0" w:space="0" w:color="auto"/>
            <w:left w:val="none" w:sz="0" w:space="0" w:color="auto"/>
            <w:bottom w:val="none" w:sz="0" w:space="0" w:color="auto"/>
            <w:right w:val="none" w:sz="0" w:space="0" w:color="auto"/>
          </w:divBdr>
        </w:div>
        <w:div w:id="899092587">
          <w:marLeft w:val="0"/>
          <w:marRight w:val="0"/>
          <w:marTop w:val="0"/>
          <w:marBottom w:val="0"/>
          <w:divBdr>
            <w:top w:val="none" w:sz="0" w:space="0" w:color="auto"/>
            <w:left w:val="none" w:sz="0" w:space="0" w:color="auto"/>
            <w:bottom w:val="none" w:sz="0" w:space="0" w:color="auto"/>
            <w:right w:val="none" w:sz="0" w:space="0" w:color="auto"/>
          </w:divBdr>
        </w:div>
        <w:div w:id="919144604">
          <w:marLeft w:val="0"/>
          <w:marRight w:val="0"/>
          <w:marTop w:val="0"/>
          <w:marBottom w:val="0"/>
          <w:divBdr>
            <w:top w:val="none" w:sz="0" w:space="0" w:color="auto"/>
            <w:left w:val="none" w:sz="0" w:space="0" w:color="auto"/>
            <w:bottom w:val="none" w:sz="0" w:space="0" w:color="auto"/>
            <w:right w:val="none" w:sz="0" w:space="0" w:color="auto"/>
          </w:divBdr>
        </w:div>
        <w:div w:id="959607259">
          <w:marLeft w:val="0"/>
          <w:marRight w:val="0"/>
          <w:marTop w:val="0"/>
          <w:marBottom w:val="0"/>
          <w:divBdr>
            <w:top w:val="none" w:sz="0" w:space="0" w:color="auto"/>
            <w:left w:val="none" w:sz="0" w:space="0" w:color="auto"/>
            <w:bottom w:val="none" w:sz="0" w:space="0" w:color="auto"/>
            <w:right w:val="none" w:sz="0" w:space="0" w:color="auto"/>
          </w:divBdr>
        </w:div>
        <w:div w:id="1037975705">
          <w:marLeft w:val="0"/>
          <w:marRight w:val="0"/>
          <w:marTop w:val="0"/>
          <w:marBottom w:val="0"/>
          <w:divBdr>
            <w:top w:val="none" w:sz="0" w:space="0" w:color="auto"/>
            <w:left w:val="none" w:sz="0" w:space="0" w:color="auto"/>
            <w:bottom w:val="none" w:sz="0" w:space="0" w:color="auto"/>
            <w:right w:val="none" w:sz="0" w:space="0" w:color="auto"/>
          </w:divBdr>
        </w:div>
        <w:div w:id="1069308295">
          <w:marLeft w:val="0"/>
          <w:marRight w:val="0"/>
          <w:marTop w:val="0"/>
          <w:marBottom w:val="0"/>
          <w:divBdr>
            <w:top w:val="none" w:sz="0" w:space="0" w:color="auto"/>
            <w:left w:val="none" w:sz="0" w:space="0" w:color="auto"/>
            <w:bottom w:val="none" w:sz="0" w:space="0" w:color="auto"/>
            <w:right w:val="none" w:sz="0" w:space="0" w:color="auto"/>
          </w:divBdr>
        </w:div>
        <w:div w:id="1099325959">
          <w:marLeft w:val="0"/>
          <w:marRight w:val="0"/>
          <w:marTop w:val="0"/>
          <w:marBottom w:val="0"/>
          <w:divBdr>
            <w:top w:val="none" w:sz="0" w:space="0" w:color="auto"/>
            <w:left w:val="none" w:sz="0" w:space="0" w:color="auto"/>
            <w:bottom w:val="none" w:sz="0" w:space="0" w:color="auto"/>
            <w:right w:val="none" w:sz="0" w:space="0" w:color="auto"/>
          </w:divBdr>
        </w:div>
        <w:div w:id="1104038652">
          <w:marLeft w:val="0"/>
          <w:marRight w:val="0"/>
          <w:marTop w:val="0"/>
          <w:marBottom w:val="0"/>
          <w:divBdr>
            <w:top w:val="none" w:sz="0" w:space="0" w:color="auto"/>
            <w:left w:val="none" w:sz="0" w:space="0" w:color="auto"/>
            <w:bottom w:val="none" w:sz="0" w:space="0" w:color="auto"/>
            <w:right w:val="none" w:sz="0" w:space="0" w:color="auto"/>
          </w:divBdr>
        </w:div>
        <w:div w:id="1128086927">
          <w:marLeft w:val="0"/>
          <w:marRight w:val="0"/>
          <w:marTop w:val="0"/>
          <w:marBottom w:val="0"/>
          <w:divBdr>
            <w:top w:val="none" w:sz="0" w:space="0" w:color="auto"/>
            <w:left w:val="none" w:sz="0" w:space="0" w:color="auto"/>
            <w:bottom w:val="none" w:sz="0" w:space="0" w:color="auto"/>
            <w:right w:val="none" w:sz="0" w:space="0" w:color="auto"/>
          </w:divBdr>
        </w:div>
        <w:div w:id="1228686759">
          <w:marLeft w:val="0"/>
          <w:marRight w:val="0"/>
          <w:marTop w:val="0"/>
          <w:marBottom w:val="0"/>
          <w:divBdr>
            <w:top w:val="none" w:sz="0" w:space="0" w:color="auto"/>
            <w:left w:val="none" w:sz="0" w:space="0" w:color="auto"/>
            <w:bottom w:val="none" w:sz="0" w:space="0" w:color="auto"/>
            <w:right w:val="none" w:sz="0" w:space="0" w:color="auto"/>
          </w:divBdr>
        </w:div>
        <w:div w:id="1234118168">
          <w:marLeft w:val="0"/>
          <w:marRight w:val="0"/>
          <w:marTop w:val="0"/>
          <w:marBottom w:val="0"/>
          <w:divBdr>
            <w:top w:val="none" w:sz="0" w:space="0" w:color="auto"/>
            <w:left w:val="none" w:sz="0" w:space="0" w:color="auto"/>
            <w:bottom w:val="none" w:sz="0" w:space="0" w:color="auto"/>
            <w:right w:val="none" w:sz="0" w:space="0" w:color="auto"/>
          </w:divBdr>
        </w:div>
        <w:div w:id="1300572501">
          <w:marLeft w:val="0"/>
          <w:marRight w:val="0"/>
          <w:marTop w:val="0"/>
          <w:marBottom w:val="0"/>
          <w:divBdr>
            <w:top w:val="none" w:sz="0" w:space="0" w:color="auto"/>
            <w:left w:val="none" w:sz="0" w:space="0" w:color="auto"/>
            <w:bottom w:val="none" w:sz="0" w:space="0" w:color="auto"/>
            <w:right w:val="none" w:sz="0" w:space="0" w:color="auto"/>
          </w:divBdr>
        </w:div>
        <w:div w:id="1309439196">
          <w:marLeft w:val="0"/>
          <w:marRight w:val="0"/>
          <w:marTop w:val="0"/>
          <w:marBottom w:val="0"/>
          <w:divBdr>
            <w:top w:val="none" w:sz="0" w:space="0" w:color="auto"/>
            <w:left w:val="none" w:sz="0" w:space="0" w:color="auto"/>
            <w:bottom w:val="none" w:sz="0" w:space="0" w:color="auto"/>
            <w:right w:val="none" w:sz="0" w:space="0" w:color="auto"/>
          </w:divBdr>
        </w:div>
        <w:div w:id="1310400095">
          <w:marLeft w:val="0"/>
          <w:marRight w:val="0"/>
          <w:marTop w:val="0"/>
          <w:marBottom w:val="0"/>
          <w:divBdr>
            <w:top w:val="none" w:sz="0" w:space="0" w:color="auto"/>
            <w:left w:val="none" w:sz="0" w:space="0" w:color="auto"/>
            <w:bottom w:val="none" w:sz="0" w:space="0" w:color="auto"/>
            <w:right w:val="none" w:sz="0" w:space="0" w:color="auto"/>
          </w:divBdr>
        </w:div>
        <w:div w:id="1322807170">
          <w:marLeft w:val="0"/>
          <w:marRight w:val="0"/>
          <w:marTop w:val="0"/>
          <w:marBottom w:val="0"/>
          <w:divBdr>
            <w:top w:val="none" w:sz="0" w:space="0" w:color="auto"/>
            <w:left w:val="none" w:sz="0" w:space="0" w:color="auto"/>
            <w:bottom w:val="none" w:sz="0" w:space="0" w:color="auto"/>
            <w:right w:val="none" w:sz="0" w:space="0" w:color="auto"/>
          </w:divBdr>
        </w:div>
        <w:div w:id="1439525152">
          <w:marLeft w:val="0"/>
          <w:marRight w:val="0"/>
          <w:marTop w:val="0"/>
          <w:marBottom w:val="0"/>
          <w:divBdr>
            <w:top w:val="none" w:sz="0" w:space="0" w:color="auto"/>
            <w:left w:val="none" w:sz="0" w:space="0" w:color="auto"/>
            <w:bottom w:val="none" w:sz="0" w:space="0" w:color="auto"/>
            <w:right w:val="none" w:sz="0" w:space="0" w:color="auto"/>
          </w:divBdr>
        </w:div>
        <w:div w:id="1474101349">
          <w:marLeft w:val="0"/>
          <w:marRight w:val="0"/>
          <w:marTop w:val="0"/>
          <w:marBottom w:val="0"/>
          <w:divBdr>
            <w:top w:val="none" w:sz="0" w:space="0" w:color="auto"/>
            <w:left w:val="none" w:sz="0" w:space="0" w:color="auto"/>
            <w:bottom w:val="none" w:sz="0" w:space="0" w:color="auto"/>
            <w:right w:val="none" w:sz="0" w:space="0" w:color="auto"/>
          </w:divBdr>
        </w:div>
        <w:div w:id="1608731512">
          <w:marLeft w:val="0"/>
          <w:marRight w:val="0"/>
          <w:marTop w:val="0"/>
          <w:marBottom w:val="0"/>
          <w:divBdr>
            <w:top w:val="none" w:sz="0" w:space="0" w:color="auto"/>
            <w:left w:val="none" w:sz="0" w:space="0" w:color="auto"/>
            <w:bottom w:val="none" w:sz="0" w:space="0" w:color="auto"/>
            <w:right w:val="none" w:sz="0" w:space="0" w:color="auto"/>
          </w:divBdr>
        </w:div>
        <w:div w:id="1758475970">
          <w:marLeft w:val="0"/>
          <w:marRight w:val="0"/>
          <w:marTop w:val="0"/>
          <w:marBottom w:val="0"/>
          <w:divBdr>
            <w:top w:val="none" w:sz="0" w:space="0" w:color="auto"/>
            <w:left w:val="none" w:sz="0" w:space="0" w:color="auto"/>
            <w:bottom w:val="none" w:sz="0" w:space="0" w:color="auto"/>
            <w:right w:val="none" w:sz="0" w:space="0" w:color="auto"/>
          </w:divBdr>
        </w:div>
        <w:div w:id="1770392431">
          <w:marLeft w:val="0"/>
          <w:marRight w:val="0"/>
          <w:marTop w:val="0"/>
          <w:marBottom w:val="0"/>
          <w:divBdr>
            <w:top w:val="none" w:sz="0" w:space="0" w:color="auto"/>
            <w:left w:val="none" w:sz="0" w:space="0" w:color="auto"/>
            <w:bottom w:val="none" w:sz="0" w:space="0" w:color="auto"/>
            <w:right w:val="none" w:sz="0" w:space="0" w:color="auto"/>
          </w:divBdr>
        </w:div>
        <w:div w:id="213250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in.burns@nih.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macleodgc@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aulkne@mph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russ@med.umich.edu" TargetMode="External"/><Relationship Id="rId4" Type="http://schemas.microsoft.com/office/2007/relationships/stylesWithEffects" Target="stylesWithEffects.xml"/><Relationship Id="rId9" Type="http://schemas.openxmlformats.org/officeDocument/2006/relationships/hyperlink" Target="mailto:ccottengim@cdc.gov" TargetMode="External"/><Relationship Id="rId14" Type="http://schemas.openxmlformats.org/officeDocument/2006/relationships/hyperlink" Target="mailto:vicky.whittemore@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ond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3A61-FD05-4BB7-BBC5-D0E91747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MPHI</Company>
  <LinksUpToDate>false</LinksUpToDate>
  <CharactersWithSpaces>35025</CharactersWithSpaces>
  <SharedDoc>false</SharedDoc>
  <HLinks>
    <vt:vector size="6" baseType="variant">
      <vt:variant>
        <vt:i4>1572975</vt:i4>
      </vt:variant>
      <vt:variant>
        <vt:i4>0</vt:i4>
      </vt:variant>
      <vt:variant>
        <vt:i4>0</vt:i4>
      </vt:variant>
      <vt:variant>
        <vt:i4>5</vt:i4>
      </vt:variant>
      <vt:variant>
        <vt:lpwstr>mailto:gtx6@cdc.gov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Potter</dc:creator>
  <cp:keywords/>
  <dc:description/>
  <cp:lastModifiedBy>SYSTEM</cp:lastModifiedBy>
  <cp:revision>2</cp:revision>
  <cp:lastPrinted>2018-12-03T14:37:00Z</cp:lastPrinted>
  <dcterms:created xsi:type="dcterms:W3CDTF">2019-02-11T17:37:00Z</dcterms:created>
  <dcterms:modified xsi:type="dcterms:W3CDTF">2019-02-11T17:37:00Z</dcterms:modified>
</cp:coreProperties>
</file>