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C5886" w14:textId="77777777" w:rsidR="004E22FE" w:rsidRPr="00C25873" w:rsidRDefault="00122CB8" w:rsidP="004E22FE">
      <w:pPr>
        <w:spacing w:before="100" w:beforeAutospacing="1" w:after="100" w:afterAutospacing="1"/>
        <w:rPr>
          <w:rFonts w:ascii="Times New Roman" w:hAnsi="Times New Roman"/>
          <w:b/>
          <w:sz w:val="24"/>
        </w:rPr>
      </w:pPr>
      <w:bookmarkStart w:id="0" w:name="_GoBack"/>
      <w:bookmarkEnd w:id="0"/>
      <w:r w:rsidRPr="00C25873">
        <w:rPr>
          <w:rFonts w:ascii="Times New Roman" w:hAnsi="Times New Roman"/>
          <w:b/>
          <w:sz w:val="24"/>
        </w:rPr>
        <w:t xml:space="preserve">Part </w:t>
      </w:r>
      <w:r w:rsidR="004E22FE" w:rsidRPr="00C25873">
        <w:rPr>
          <w:rFonts w:ascii="Times New Roman" w:hAnsi="Times New Roman"/>
          <w:b/>
          <w:sz w:val="24"/>
        </w:rPr>
        <w:t>B. Statistical Methods</w:t>
      </w:r>
    </w:p>
    <w:p w14:paraId="18BCFEA6" w14:textId="77777777" w:rsidR="004E22FE" w:rsidRPr="00C25873" w:rsidRDefault="004E22FE" w:rsidP="004E22F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u w:val="single"/>
        </w:rPr>
      </w:pPr>
      <w:r w:rsidRPr="00C25873">
        <w:rPr>
          <w:rFonts w:ascii="Times New Roman" w:hAnsi="Times New Roman"/>
          <w:sz w:val="24"/>
          <w:u w:val="single"/>
        </w:rPr>
        <w:t>Respondent Universe and Sampling Methods</w:t>
      </w:r>
    </w:p>
    <w:p w14:paraId="2581E459" w14:textId="77777777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The population of potential interviewees consists of all combination product sponsors and applicants with submissions between September 1, 2018 and January 31, 2020 as follows: Group 1, RFD/pre-RFD submitted to FDA; Group 2, IND/pre-IND submitted to FDA; and Group 3, NDA/BLA with a first review cycle action from FDA. For each group, FDA’s independent contractor (ERG) will sample submissions representing the following traits of interest:</w:t>
      </w:r>
      <w:r w:rsidRPr="00C25873">
        <w:rPr>
          <w:rFonts w:ascii="Times New Roman" w:hAnsi="Times New Roman"/>
          <w:sz w:val="24"/>
        </w:rPr>
        <w:tab/>
      </w:r>
    </w:p>
    <w:p w14:paraId="0321ED19" w14:textId="77777777" w:rsidR="004E22FE" w:rsidRPr="00C25873" w:rsidRDefault="004E22FE" w:rsidP="004E22FE">
      <w:pPr>
        <w:numPr>
          <w:ilvl w:val="0"/>
          <w:numId w:val="2"/>
        </w:numPr>
        <w:spacing w:after="120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b/>
          <w:sz w:val="24"/>
        </w:rPr>
        <w:t xml:space="preserve">Sponsor size: </w:t>
      </w:r>
      <w:r w:rsidRPr="00C25873">
        <w:rPr>
          <w:rFonts w:ascii="Times New Roman" w:hAnsi="Times New Roman"/>
          <w:sz w:val="24"/>
        </w:rPr>
        <w:t>small, medium, large, and private</w:t>
      </w:r>
    </w:p>
    <w:p w14:paraId="4791857D" w14:textId="77777777" w:rsidR="004E22FE" w:rsidRPr="00C25873" w:rsidRDefault="004E22FE" w:rsidP="004E22FE">
      <w:pPr>
        <w:numPr>
          <w:ilvl w:val="0"/>
          <w:numId w:val="2"/>
        </w:numPr>
        <w:spacing w:after="120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b/>
          <w:sz w:val="24"/>
        </w:rPr>
        <w:t xml:space="preserve">Sponsor experience: </w:t>
      </w:r>
      <w:r w:rsidRPr="00C25873">
        <w:rPr>
          <w:rFonts w:ascii="Times New Roman" w:hAnsi="Times New Roman"/>
          <w:sz w:val="24"/>
        </w:rPr>
        <w:t>Yes (has had at least one combination product NDA/BLA filed), No (has not had a combination product NDA/BLA filed)</w:t>
      </w:r>
    </w:p>
    <w:p w14:paraId="34BAE91A" w14:textId="77777777" w:rsidR="004E22FE" w:rsidRPr="00C25873" w:rsidRDefault="004E22FE" w:rsidP="004E22FE">
      <w:pPr>
        <w:numPr>
          <w:ilvl w:val="0"/>
          <w:numId w:val="2"/>
        </w:numPr>
        <w:spacing w:after="120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b/>
          <w:sz w:val="24"/>
        </w:rPr>
        <w:t xml:space="preserve">Combination product category and type: </w:t>
      </w:r>
      <w:r w:rsidRPr="00C25873">
        <w:rPr>
          <w:rFonts w:ascii="Times New Roman" w:hAnsi="Times New Roman"/>
          <w:sz w:val="24"/>
        </w:rPr>
        <w:t>1, 2, 3, 4, 5, 6, 7, 8, 9 and device (if applicable)</w:t>
      </w:r>
    </w:p>
    <w:p w14:paraId="018D4904" w14:textId="77777777" w:rsidR="004E22FE" w:rsidRPr="00C25873" w:rsidRDefault="004E22FE" w:rsidP="004E22FE">
      <w:pPr>
        <w:numPr>
          <w:ilvl w:val="0"/>
          <w:numId w:val="2"/>
        </w:numPr>
        <w:spacing w:after="120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b/>
          <w:sz w:val="24"/>
        </w:rPr>
        <w:t xml:space="preserve">Lead-Consult Centers: </w:t>
      </w:r>
      <w:r w:rsidRPr="00C25873">
        <w:rPr>
          <w:rFonts w:ascii="Times New Roman" w:hAnsi="Times New Roman"/>
          <w:sz w:val="24"/>
        </w:rPr>
        <w:t>CDER or CBER as lead Center, with CDRH or CDER or CBER or consulted Center (lead and consulted Centers must be different)</w:t>
      </w:r>
    </w:p>
    <w:p w14:paraId="2436C545" w14:textId="77777777" w:rsidR="004E22FE" w:rsidRPr="00C25873" w:rsidRDefault="004E22FE" w:rsidP="004E22FE">
      <w:pPr>
        <w:numPr>
          <w:ilvl w:val="0"/>
          <w:numId w:val="2"/>
        </w:numPr>
        <w:spacing w:after="200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b/>
          <w:sz w:val="24"/>
        </w:rPr>
        <w:t>Therapeutic area:</w:t>
      </w:r>
      <w:r w:rsidRPr="00C25873">
        <w:rPr>
          <w:rFonts w:ascii="Times New Roman" w:hAnsi="Times New Roman"/>
          <w:sz w:val="24"/>
        </w:rPr>
        <w:t xml:space="preserve"> as defined by MedDRA System Organ Class (SOC)</w:t>
      </w:r>
    </w:p>
    <w:p w14:paraId="643A9EFD" w14:textId="77777777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ERG will assign target distributions for these traits of interest based on their prevalence in submissions from CY 2017. Each target distribution will apply to the samples as a whole. Where feasible, ERG will oversample submissions with uncommon traits.</w:t>
      </w:r>
    </w:p>
    <w:p w14:paraId="37F23AB9" w14:textId="1ABA70B9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b/>
          <w:i/>
          <w:sz w:val="24"/>
        </w:rPr>
        <w:t>Group 1: RFDs/pre-RFDs.</w:t>
      </w:r>
      <w:r w:rsidRPr="00C25873">
        <w:rPr>
          <w:rFonts w:ascii="Times New Roman" w:hAnsi="Times New Roman"/>
          <w:sz w:val="24"/>
        </w:rPr>
        <w:t xml:space="preserve"> The number of combination product RFDs received by FDA has decreased each year, while pre-RFD receipts have increased. For the purpose of this estimate of population size, we estimate an average of 180 RFDs/pre-RFDs per year. ERG will interview one to three sponsor representatives for each of up to 35 RFDs/pre-RFDs per year; this yields a total of up to 105 respondents per year, and up to 150 respondents </w:t>
      </w:r>
      <w:r w:rsidR="008B3001">
        <w:rPr>
          <w:rFonts w:ascii="Times New Roman" w:hAnsi="Times New Roman"/>
          <w:sz w:val="24"/>
        </w:rPr>
        <w:t>in total</w:t>
      </w:r>
      <w:r w:rsidRPr="00C25873">
        <w:rPr>
          <w:rFonts w:ascii="Times New Roman" w:hAnsi="Times New Roman"/>
          <w:sz w:val="24"/>
        </w:rPr>
        <w:t>.</w:t>
      </w:r>
    </w:p>
    <w:p w14:paraId="62C38F17" w14:textId="7D831B08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b/>
          <w:i/>
          <w:sz w:val="24"/>
        </w:rPr>
        <w:t>Group 2: INDs/pre-INDs.</w:t>
      </w:r>
      <w:r w:rsidRPr="00C25873">
        <w:rPr>
          <w:rFonts w:ascii="Times New Roman" w:hAnsi="Times New Roman"/>
          <w:sz w:val="24"/>
        </w:rPr>
        <w:t xml:space="preserve"> The number of combination product INDs/pre-INDs received by FDA has increased each year. For the purpose of this estimate of population size, we estimate an average of 240 INDs/pre-INDs per year. ERG will interview one to three sponsor representatives for each of up to 47 INDs/pre-INDs per year; this yields a total of up to 141 respondents per year, and up to 201 respondents </w:t>
      </w:r>
      <w:r w:rsidR="008B3001">
        <w:rPr>
          <w:rFonts w:ascii="Times New Roman" w:hAnsi="Times New Roman"/>
          <w:sz w:val="24"/>
        </w:rPr>
        <w:t>in total</w:t>
      </w:r>
      <w:r w:rsidRPr="00C25873">
        <w:rPr>
          <w:rFonts w:ascii="Times New Roman" w:hAnsi="Times New Roman"/>
          <w:sz w:val="24"/>
        </w:rPr>
        <w:t>.</w:t>
      </w:r>
    </w:p>
    <w:p w14:paraId="035554ED" w14:textId="29B0FA18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b/>
          <w:i/>
          <w:sz w:val="24"/>
        </w:rPr>
        <w:t>Group 3: NDAs/BLAs.</w:t>
      </w:r>
      <w:r w:rsidRPr="00C25873">
        <w:rPr>
          <w:rFonts w:ascii="Times New Roman" w:hAnsi="Times New Roman"/>
          <w:sz w:val="24"/>
        </w:rPr>
        <w:t xml:space="preserve"> The number of NDAs/BLAs that receive a first review cycle action from FDA varies from year to year. For the purpose of this estimate of population size, we use a high-end estimate of 30 such applications per year. ERG will interview one to three sponsor representatives for each of up to 30 NDAs/BLAs; this yields a total of up to 90 respondents per year, and up to 129 respondents </w:t>
      </w:r>
      <w:r w:rsidR="008B3001">
        <w:rPr>
          <w:rFonts w:ascii="Times New Roman" w:hAnsi="Times New Roman"/>
          <w:sz w:val="24"/>
        </w:rPr>
        <w:t>in total.</w:t>
      </w:r>
    </w:p>
    <w:p w14:paraId="7BA7CD54" w14:textId="77777777" w:rsidR="004E22FE" w:rsidRPr="00C25873" w:rsidRDefault="004E22FE" w:rsidP="004E22FE">
      <w:pPr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lastRenderedPageBreak/>
        <w:t>Based on experience with previous PDUFA-related assessments, FDA expects that the response rate for this information collection will be at least 90%.</w:t>
      </w:r>
    </w:p>
    <w:p w14:paraId="6F7D096C" w14:textId="77777777" w:rsidR="004E22FE" w:rsidRPr="00A077E2" w:rsidRDefault="004E22FE" w:rsidP="004E22FE">
      <w:pPr>
        <w:pStyle w:val="Caption"/>
        <w:spacing w:before="100" w:beforeAutospacing="1"/>
        <w:ind w:left="720"/>
        <w:rPr>
          <w:rFonts w:ascii="Times New Roman" w:hAnsi="Times New Roman"/>
          <w:color w:val="000000"/>
          <w:sz w:val="24"/>
          <w:szCs w:val="24"/>
        </w:rPr>
      </w:pPr>
      <w:r w:rsidRPr="00C25873">
        <w:rPr>
          <w:rFonts w:ascii="Times New Roman" w:hAnsi="Times New Roman"/>
          <w:sz w:val="24"/>
          <w:szCs w:val="24"/>
        </w:rPr>
        <w:t>Table 4. Expected response of Group 1.</w:t>
      </w:r>
    </w:p>
    <w:tbl>
      <w:tblPr>
        <w:tblW w:w="8640" w:type="dxa"/>
        <w:tblInd w:w="720" w:type="dxa"/>
        <w:tblBorders>
          <w:top w:val="single" w:sz="12" w:space="0" w:color="1F497D" w:themeColor="text2"/>
          <w:bottom w:val="single" w:sz="12" w:space="0" w:color="1F497D" w:themeColor="text2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95"/>
        <w:gridCol w:w="1372"/>
        <w:gridCol w:w="1509"/>
        <w:gridCol w:w="1564"/>
        <w:gridCol w:w="1177"/>
        <w:gridCol w:w="1523"/>
      </w:tblGrid>
      <w:tr w:rsidR="004E22FE" w:rsidRPr="00A077E2" w14:paraId="1A769E2D" w14:textId="77777777" w:rsidTr="004E22FE">
        <w:tc>
          <w:tcPr>
            <w:tcW w:w="1620" w:type="dxa"/>
            <w:tcBorders>
              <w:top w:val="single" w:sz="12" w:space="0" w:color="1F497D" w:themeColor="text2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DF7962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Times New Roman" w:hAnsi="Times New Roman"/>
                <w:b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Estimated Average Number of RFDs/Pre-RFDs Received</w:t>
            </w:r>
          </w:p>
        </w:tc>
        <w:tc>
          <w:tcPr>
            <w:tcW w:w="1440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4075E6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Number of RFDs/Pre-RFDs Selected for Interview</w:t>
            </w:r>
          </w:p>
        </w:tc>
        <w:tc>
          <w:tcPr>
            <w:tcW w:w="1440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F7D576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Number of Interviewees Per RFD/Pre-RFD</w:t>
            </w:r>
          </w:p>
        </w:tc>
        <w:tc>
          <w:tcPr>
            <w:tcW w:w="1710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C51910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Size of Potential Respondent Universe</w:t>
            </w:r>
          </w:p>
        </w:tc>
        <w:tc>
          <w:tcPr>
            <w:tcW w:w="1134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5F44C5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Expected Response Rate</w:t>
            </w:r>
          </w:p>
        </w:tc>
        <w:tc>
          <w:tcPr>
            <w:tcW w:w="1404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CDDF7C1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Estimated Number of Respondents</w:t>
            </w:r>
          </w:p>
        </w:tc>
      </w:tr>
      <w:tr w:rsidR="004E22FE" w:rsidRPr="00A077E2" w14:paraId="7A6D1D74" w14:textId="77777777" w:rsidTr="004E22FE"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9EEFF3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180 per year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6821AF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bCs/>
                <w:sz w:val="24"/>
              </w:rPr>
            </w:pPr>
            <w:r w:rsidRPr="00C25873">
              <w:rPr>
                <w:rFonts w:ascii="Times New Roman" w:eastAsia="Calibri" w:hAnsi="Times New Roman"/>
                <w:bCs/>
                <w:sz w:val="24"/>
              </w:rPr>
              <w:t>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E0F956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1-3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CA2C02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105 per year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074BC7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90%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2F2DF4B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95</w:t>
            </w:r>
          </w:p>
        </w:tc>
      </w:tr>
      <w:tr w:rsidR="004E22FE" w:rsidRPr="00A077E2" w14:paraId="1B17C3A9" w14:textId="77777777" w:rsidTr="004E22FE">
        <w:tc>
          <w:tcPr>
            <w:tcW w:w="1620" w:type="dxa"/>
            <w:tcBorders>
              <w:top w:val="single" w:sz="8" w:space="0" w:color="auto"/>
              <w:left w:val="nil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470FE9D8" w14:textId="47D39E8F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 xml:space="preserve">255 </w:t>
            </w:r>
            <w:r w:rsidR="008B3001">
              <w:rPr>
                <w:rFonts w:ascii="Times New Roman" w:hAnsi="Times New Roman"/>
                <w:bCs/>
                <w:sz w:val="24"/>
              </w:rPr>
              <w:t>in total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488AE34D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bCs/>
                <w:sz w:val="24"/>
              </w:rPr>
            </w:pPr>
            <w:r w:rsidRPr="00C25873">
              <w:rPr>
                <w:rFonts w:ascii="Times New Roman" w:eastAsia="Calibri" w:hAnsi="Times New Roman"/>
                <w:bCs/>
                <w:sz w:val="24"/>
              </w:rPr>
              <w:t>50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133EE707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1-3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6F31BA27" w14:textId="1C76A074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 xml:space="preserve">150 </w:t>
            </w:r>
            <w:r w:rsidR="008B3001">
              <w:rPr>
                <w:rFonts w:ascii="Times New Roman" w:hAnsi="Times New Roman"/>
                <w:bCs/>
                <w:sz w:val="24"/>
              </w:rPr>
              <w:t>in total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61BF565D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90%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nil"/>
            </w:tcBorders>
            <w:hideMark/>
          </w:tcPr>
          <w:p w14:paraId="046112B8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135</w:t>
            </w:r>
          </w:p>
        </w:tc>
      </w:tr>
    </w:tbl>
    <w:p w14:paraId="79B9E150" w14:textId="77777777" w:rsidR="004E22FE" w:rsidRPr="00C25873" w:rsidRDefault="004E22FE" w:rsidP="004E22FE">
      <w:pPr>
        <w:pStyle w:val="Caption"/>
        <w:spacing w:before="100" w:beforeAutospacing="1"/>
        <w:ind w:left="720"/>
        <w:rPr>
          <w:rFonts w:ascii="Times New Roman" w:hAnsi="Times New Roman"/>
          <w:bCs w:val="0"/>
          <w:sz w:val="24"/>
          <w:szCs w:val="24"/>
        </w:rPr>
      </w:pPr>
      <w:r w:rsidRPr="00C25873">
        <w:rPr>
          <w:rFonts w:ascii="Times New Roman" w:hAnsi="Times New Roman"/>
          <w:sz w:val="24"/>
          <w:szCs w:val="24"/>
        </w:rPr>
        <w:t>Table 5. Expected response of Group 2.</w:t>
      </w:r>
    </w:p>
    <w:tbl>
      <w:tblPr>
        <w:tblW w:w="8640" w:type="dxa"/>
        <w:tblInd w:w="720" w:type="dxa"/>
        <w:tblBorders>
          <w:top w:val="single" w:sz="12" w:space="0" w:color="1F497D" w:themeColor="text2"/>
          <w:bottom w:val="single" w:sz="12" w:space="0" w:color="1F497D" w:themeColor="text2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90"/>
        <w:gridCol w:w="1357"/>
        <w:gridCol w:w="1509"/>
        <w:gridCol w:w="1584"/>
        <w:gridCol w:w="1177"/>
        <w:gridCol w:w="1523"/>
      </w:tblGrid>
      <w:tr w:rsidR="004E22FE" w:rsidRPr="00A077E2" w14:paraId="5B991B87" w14:textId="77777777" w:rsidTr="004E22FE">
        <w:trPr>
          <w:trHeight w:val="1213"/>
        </w:trPr>
        <w:tc>
          <w:tcPr>
            <w:tcW w:w="1620" w:type="dxa"/>
            <w:tcBorders>
              <w:top w:val="single" w:sz="12" w:space="0" w:color="1F497D" w:themeColor="text2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05BFBB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Times New Roman" w:hAnsi="Times New Roman"/>
                <w:b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 xml:space="preserve">Estimated Average Number of INDs/Pre-INDs Received </w:t>
            </w:r>
          </w:p>
        </w:tc>
        <w:tc>
          <w:tcPr>
            <w:tcW w:w="1440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996AEF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Number of INDs/Pre-INDs Selected for Interview</w:t>
            </w:r>
          </w:p>
        </w:tc>
        <w:tc>
          <w:tcPr>
            <w:tcW w:w="1440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A8325B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Number of Interviewees Per IND/Pre-IND</w:t>
            </w:r>
          </w:p>
        </w:tc>
        <w:tc>
          <w:tcPr>
            <w:tcW w:w="1710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A0BD9B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Size of Potential Respondent Universe</w:t>
            </w:r>
          </w:p>
        </w:tc>
        <w:tc>
          <w:tcPr>
            <w:tcW w:w="1134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96900A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Expected Response Rate</w:t>
            </w:r>
          </w:p>
        </w:tc>
        <w:tc>
          <w:tcPr>
            <w:tcW w:w="1404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D20BA55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Estimated Number of Respondents</w:t>
            </w:r>
          </w:p>
        </w:tc>
      </w:tr>
      <w:tr w:rsidR="004E22FE" w:rsidRPr="00A077E2" w14:paraId="5A4A6A08" w14:textId="77777777" w:rsidTr="004E22FE"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C20348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240 per year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049095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bCs/>
                <w:sz w:val="24"/>
              </w:rPr>
            </w:pPr>
            <w:r w:rsidRPr="00C25873">
              <w:rPr>
                <w:rFonts w:ascii="Times New Roman" w:eastAsia="Calibri" w:hAnsi="Times New Roman"/>
                <w:bCs/>
                <w:sz w:val="24"/>
              </w:rPr>
              <w:t>47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2BA382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1-3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C83FA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141 per year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CFC7D1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90%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8316708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127</w:t>
            </w:r>
          </w:p>
        </w:tc>
      </w:tr>
      <w:tr w:rsidR="004E22FE" w:rsidRPr="00A077E2" w14:paraId="1BD95317" w14:textId="77777777" w:rsidTr="004E22FE">
        <w:tc>
          <w:tcPr>
            <w:tcW w:w="1620" w:type="dxa"/>
            <w:tcBorders>
              <w:top w:val="single" w:sz="8" w:space="0" w:color="auto"/>
              <w:left w:val="nil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73D2A3B9" w14:textId="0DF64714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 xml:space="preserve">340 </w:t>
            </w:r>
            <w:r w:rsidR="008B3001">
              <w:rPr>
                <w:rFonts w:ascii="Times New Roman" w:hAnsi="Times New Roman"/>
                <w:bCs/>
                <w:sz w:val="24"/>
              </w:rPr>
              <w:t>in total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72DFE2D8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bCs/>
                <w:sz w:val="24"/>
              </w:rPr>
            </w:pPr>
            <w:r w:rsidRPr="00C25873">
              <w:rPr>
                <w:rFonts w:ascii="Times New Roman" w:eastAsia="Calibri" w:hAnsi="Times New Roman"/>
                <w:bCs/>
                <w:sz w:val="24"/>
              </w:rPr>
              <w:t>67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120E7561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1-3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4FB9B5EC" w14:textId="3C1181F0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 xml:space="preserve">201 </w:t>
            </w:r>
            <w:r w:rsidR="008B3001">
              <w:rPr>
                <w:rFonts w:ascii="Times New Roman" w:hAnsi="Times New Roman"/>
                <w:bCs/>
                <w:sz w:val="24"/>
              </w:rPr>
              <w:t>in total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2284F49B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90%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nil"/>
            </w:tcBorders>
            <w:hideMark/>
          </w:tcPr>
          <w:p w14:paraId="61A897ED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181</w:t>
            </w:r>
          </w:p>
        </w:tc>
      </w:tr>
    </w:tbl>
    <w:p w14:paraId="7B5553B9" w14:textId="77777777" w:rsidR="004E22FE" w:rsidRPr="00A077E2" w:rsidRDefault="004E22FE" w:rsidP="004E22FE">
      <w:pPr>
        <w:pStyle w:val="Caption"/>
        <w:spacing w:before="100" w:beforeAutospacing="1"/>
        <w:ind w:left="720"/>
        <w:rPr>
          <w:rFonts w:ascii="Times New Roman" w:hAnsi="Times New Roman"/>
          <w:color w:val="000000"/>
          <w:sz w:val="24"/>
          <w:szCs w:val="24"/>
        </w:rPr>
      </w:pPr>
      <w:r w:rsidRPr="00C25873">
        <w:rPr>
          <w:rFonts w:ascii="Times New Roman" w:hAnsi="Times New Roman"/>
          <w:sz w:val="24"/>
          <w:szCs w:val="24"/>
        </w:rPr>
        <w:t>Table 6. Expected response of Group 3.</w:t>
      </w:r>
    </w:p>
    <w:tbl>
      <w:tblPr>
        <w:tblW w:w="8640" w:type="dxa"/>
        <w:tblInd w:w="720" w:type="dxa"/>
        <w:tblBorders>
          <w:top w:val="single" w:sz="12" w:space="0" w:color="1F497D" w:themeColor="text2"/>
          <w:bottom w:val="single" w:sz="12" w:space="0" w:color="1F497D" w:themeColor="text2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75"/>
        <w:gridCol w:w="1509"/>
        <w:gridCol w:w="1656"/>
        <w:gridCol w:w="1177"/>
        <w:gridCol w:w="1523"/>
      </w:tblGrid>
      <w:tr w:rsidR="004E22FE" w:rsidRPr="00A077E2" w14:paraId="74F455FE" w14:textId="77777777" w:rsidTr="004E22FE">
        <w:tc>
          <w:tcPr>
            <w:tcW w:w="3060" w:type="dxa"/>
            <w:tcBorders>
              <w:top w:val="single" w:sz="12" w:space="0" w:color="1F497D" w:themeColor="text2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79CD28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Times New Roman" w:hAnsi="Times New Roman"/>
                <w:b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 xml:space="preserve">Estimated Average Number of Applications Receiving a First-Review Cycle Action </w:t>
            </w:r>
          </w:p>
        </w:tc>
        <w:tc>
          <w:tcPr>
            <w:tcW w:w="1440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C02F34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Number of Interviewees Per Application</w:t>
            </w:r>
          </w:p>
        </w:tc>
        <w:tc>
          <w:tcPr>
            <w:tcW w:w="1710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DFB628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Size of Potential Respondent Universe</w:t>
            </w:r>
          </w:p>
        </w:tc>
        <w:tc>
          <w:tcPr>
            <w:tcW w:w="1134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5BF552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Expected Response Rate</w:t>
            </w:r>
          </w:p>
        </w:tc>
        <w:tc>
          <w:tcPr>
            <w:tcW w:w="1404" w:type="dxa"/>
            <w:tcBorders>
              <w:top w:val="single" w:sz="12" w:space="0" w:color="1F497D" w:themeColor="text2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8DF2DFF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C25873">
              <w:rPr>
                <w:rFonts w:ascii="Times New Roman" w:hAnsi="Times New Roman"/>
                <w:b/>
                <w:bCs/>
                <w:sz w:val="24"/>
              </w:rPr>
              <w:t>Estimated Number of Respondents</w:t>
            </w:r>
          </w:p>
        </w:tc>
      </w:tr>
      <w:tr w:rsidR="004E22FE" w:rsidRPr="00A077E2" w14:paraId="3DF4FBBD" w14:textId="77777777" w:rsidTr="004E22FE"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93E09E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30 per year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1CE43E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1-3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CE601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90 per year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C09924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90%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ABFDFAE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81</w:t>
            </w:r>
          </w:p>
        </w:tc>
      </w:tr>
      <w:tr w:rsidR="004E22FE" w:rsidRPr="00A077E2" w14:paraId="527B71D0" w14:textId="77777777" w:rsidTr="004E22FE">
        <w:tc>
          <w:tcPr>
            <w:tcW w:w="3060" w:type="dxa"/>
            <w:tcBorders>
              <w:top w:val="single" w:sz="8" w:space="0" w:color="auto"/>
              <w:left w:val="nil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7A6A6037" w14:textId="06B2AC75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 xml:space="preserve">43 </w:t>
            </w:r>
            <w:r w:rsidR="008B3001">
              <w:rPr>
                <w:rFonts w:ascii="Times New Roman" w:hAnsi="Times New Roman"/>
                <w:bCs/>
                <w:sz w:val="24"/>
              </w:rPr>
              <w:t>in total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5DFA2706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1-3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60B7F38F" w14:textId="0F8EB6EF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 xml:space="preserve">129 </w:t>
            </w:r>
            <w:r w:rsidR="008B3001">
              <w:rPr>
                <w:rFonts w:ascii="Times New Roman" w:hAnsi="Times New Roman"/>
                <w:bCs/>
                <w:sz w:val="24"/>
              </w:rPr>
              <w:t>in total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hideMark/>
          </w:tcPr>
          <w:p w14:paraId="0C07A1C0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90%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nil"/>
            </w:tcBorders>
            <w:hideMark/>
          </w:tcPr>
          <w:p w14:paraId="1BD4EC56" w14:textId="77777777" w:rsidR="004E22FE" w:rsidRPr="00C25873" w:rsidRDefault="004E22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C25873">
              <w:rPr>
                <w:rFonts w:ascii="Times New Roman" w:hAnsi="Times New Roman"/>
                <w:bCs/>
                <w:sz w:val="24"/>
              </w:rPr>
              <w:t>116</w:t>
            </w:r>
          </w:p>
        </w:tc>
      </w:tr>
    </w:tbl>
    <w:p w14:paraId="64CA18D8" w14:textId="77777777" w:rsidR="004E22FE" w:rsidRPr="00C25873" w:rsidRDefault="004E22FE" w:rsidP="004E22F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u w:val="single"/>
        </w:rPr>
      </w:pPr>
      <w:r w:rsidRPr="00C25873">
        <w:rPr>
          <w:rFonts w:ascii="Times New Roman" w:hAnsi="Times New Roman"/>
          <w:sz w:val="24"/>
          <w:u w:val="single"/>
        </w:rPr>
        <w:t>Procedures for the Collection of Information</w:t>
      </w:r>
    </w:p>
    <w:p w14:paraId="3827FFF8" w14:textId="77777777" w:rsidR="004E22FE" w:rsidRPr="00C25873" w:rsidRDefault="004E22FE" w:rsidP="004E22FE">
      <w:pPr>
        <w:autoSpaceDE w:val="0"/>
        <w:autoSpaceDN w:val="0"/>
        <w:adjustRightInd w:val="0"/>
        <w:spacing w:after="200"/>
        <w:ind w:left="720"/>
        <w:rPr>
          <w:rFonts w:ascii="Times New Roman" w:hAnsi="Times New Roman"/>
          <w:bCs/>
          <w:sz w:val="24"/>
          <w:u w:val="single"/>
        </w:rPr>
      </w:pPr>
      <w:r w:rsidRPr="00C25873">
        <w:rPr>
          <w:rFonts w:ascii="Times New Roman" w:hAnsi="Times New Roman"/>
          <w:bCs/>
          <w:sz w:val="24"/>
          <w:u w:val="single"/>
        </w:rPr>
        <w:t>Selection Methods</w:t>
      </w:r>
    </w:p>
    <w:p w14:paraId="71939D57" w14:textId="67F59852" w:rsidR="004E22FE" w:rsidRPr="00C25873" w:rsidRDefault="004E22FE" w:rsidP="004E22FE">
      <w:pPr>
        <w:autoSpaceDE w:val="0"/>
        <w:autoSpaceDN w:val="0"/>
        <w:adjustRightInd w:val="0"/>
        <w:spacing w:after="200"/>
        <w:ind w:left="720"/>
        <w:rPr>
          <w:rFonts w:ascii="Times New Roman" w:hAnsi="Times New Roman"/>
          <w:bCs/>
          <w:sz w:val="24"/>
        </w:rPr>
      </w:pPr>
      <w:r w:rsidRPr="00C25873">
        <w:rPr>
          <w:rFonts w:ascii="Times New Roman" w:hAnsi="Times New Roman"/>
          <w:bCs/>
          <w:sz w:val="24"/>
        </w:rPr>
        <w:t>Based on the total target number of submissions to examine for each group (n), FDA’s independent contractor (ERG) will randomly select n/17 submissions to add to each of the three samples on a monthly basis</w:t>
      </w:r>
      <w:r w:rsidR="008B3001">
        <w:rPr>
          <w:rFonts w:ascii="Times New Roman" w:hAnsi="Times New Roman"/>
          <w:bCs/>
          <w:sz w:val="24"/>
        </w:rPr>
        <w:t xml:space="preserve"> for 17 months</w:t>
      </w:r>
      <w:r w:rsidRPr="00C25873">
        <w:rPr>
          <w:rFonts w:ascii="Times New Roman" w:hAnsi="Times New Roman"/>
          <w:bCs/>
          <w:sz w:val="24"/>
        </w:rPr>
        <w:t xml:space="preserve">. ERG will assess each sample for </w:t>
      </w:r>
      <w:r w:rsidRPr="00C25873">
        <w:rPr>
          <w:rFonts w:ascii="Times New Roman" w:hAnsi="Times New Roman"/>
          <w:bCs/>
          <w:sz w:val="24"/>
        </w:rPr>
        <w:lastRenderedPageBreak/>
        <w:t>conformance with target distributions. If some traits are underrepresented, ERG will remove new submissions with overrepresented traits and replace with submissions with underrepresented traits. Sponsors of RFDs/ pre-RFDs, INDs/ pre-INDs, and NDAs/BLAs selected for the samples are subject to the proposed interviews for this collection of information.</w:t>
      </w:r>
    </w:p>
    <w:p w14:paraId="4708010D" w14:textId="77777777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  <w:u w:val="single"/>
        </w:rPr>
      </w:pPr>
      <w:r w:rsidRPr="00C25873">
        <w:rPr>
          <w:rFonts w:ascii="Times New Roman" w:hAnsi="Times New Roman"/>
          <w:sz w:val="24"/>
          <w:u w:val="single"/>
        </w:rPr>
        <w:t>Estimation Procedures</w:t>
      </w:r>
    </w:p>
    <w:p w14:paraId="191D1FAD" w14:textId="77777777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None are required.</w:t>
      </w:r>
    </w:p>
    <w:p w14:paraId="0D54DC0F" w14:textId="77777777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  <w:u w:val="single"/>
        </w:rPr>
      </w:pPr>
      <w:r w:rsidRPr="00C25873">
        <w:rPr>
          <w:rFonts w:ascii="Times New Roman" w:hAnsi="Times New Roman"/>
          <w:sz w:val="24"/>
          <w:u w:val="single"/>
        </w:rPr>
        <w:t>Unusual Problems Requiring Specialized Sampling Procedures</w:t>
      </w:r>
    </w:p>
    <w:p w14:paraId="0B8AE55F" w14:textId="77777777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None are required.</w:t>
      </w:r>
    </w:p>
    <w:p w14:paraId="6A8E30A5" w14:textId="77777777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  <w:u w:val="single"/>
        </w:rPr>
      </w:pPr>
      <w:r w:rsidRPr="00C25873">
        <w:rPr>
          <w:rFonts w:ascii="Times New Roman" w:hAnsi="Times New Roman"/>
          <w:sz w:val="24"/>
          <w:u w:val="single"/>
        </w:rPr>
        <w:t>Use of Periodic (Less Than Annual) Data Collection</w:t>
      </w:r>
    </w:p>
    <w:p w14:paraId="6BED208D" w14:textId="53E15D93" w:rsidR="004E22FE" w:rsidRPr="00C25873" w:rsidRDefault="004E22FE" w:rsidP="004E22FE">
      <w:pPr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 xml:space="preserve">This request is for a one-time data collection as described above. </w:t>
      </w:r>
    </w:p>
    <w:p w14:paraId="0306AFAC" w14:textId="77777777" w:rsidR="004E22FE" w:rsidRPr="00C25873" w:rsidRDefault="004E22FE" w:rsidP="004E22F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u w:val="single"/>
        </w:rPr>
      </w:pPr>
      <w:r w:rsidRPr="00C25873">
        <w:rPr>
          <w:rFonts w:ascii="Times New Roman" w:hAnsi="Times New Roman"/>
          <w:sz w:val="24"/>
          <w:u w:val="single"/>
        </w:rPr>
        <w:t>Methods to Maximize Response Rates and Deal with Non-response</w:t>
      </w:r>
    </w:p>
    <w:p w14:paraId="328E0312" w14:textId="77777777" w:rsidR="004E22FE" w:rsidRPr="00C25873" w:rsidRDefault="004E22FE" w:rsidP="004E22FE">
      <w:pPr>
        <w:pStyle w:val="BodyTextIndent2"/>
        <w:spacing w:after="200" w:line="264" w:lineRule="auto"/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FDA’s contractor for this PDUFA VI combination product review practices assessment, ERG, has conducted other PDUFA-related information collections with response rates exceeding 95%. ERG will implement the same procedures successfully used with those previous information collections to maximize response rates. These procedures include:</w:t>
      </w:r>
    </w:p>
    <w:p w14:paraId="0D189C1E" w14:textId="77777777" w:rsidR="004E22FE" w:rsidRPr="00C25873" w:rsidRDefault="004E22FE" w:rsidP="004E22FE">
      <w:pPr>
        <w:pStyle w:val="BodyTextIndent2"/>
        <w:numPr>
          <w:ilvl w:val="0"/>
          <w:numId w:val="3"/>
        </w:numPr>
        <w:spacing w:line="264" w:lineRule="auto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When FDA makes decisions on RFDs/pre-RFDs, INDs/pre-INDs, and NDAs/BLAs in the sample, ask FDA to notify sponsors/applicants that ERG will contact them to request participation in interviews.</w:t>
      </w:r>
    </w:p>
    <w:p w14:paraId="0429D576" w14:textId="77777777" w:rsidR="004E22FE" w:rsidRPr="00C25873" w:rsidRDefault="004E22FE" w:rsidP="004E22FE">
      <w:pPr>
        <w:pStyle w:val="BodyTextIndent2"/>
        <w:numPr>
          <w:ilvl w:val="0"/>
          <w:numId w:val="3"/>
        </w:numPr>
        <w:spacing w:line="264" w:lineRule="auto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Where appropriate, ask FDA staff to incorporate reminders about possible interview requests from ERG in the form of notices in routine written communications to combination product sponsors/applicants.</w:t>
      </w:r>
    </w:p>
    <w:p w14:paraId="53EEC9F0" w14:textId="77777777" w:rsidR="004E22FE" w:rsidRPr="00C25873" w:rsidRDefault="004E22FE" w:rsidP="004E22FE">
      <w:pPr>
        <w:pStyle w:val="BodyTextIndent2"/>
        <w:numPr>
          <w:ilvl w:val="0"/>
          <w:numId w:val="3"/>
        </w:numPr>
        <w:spacing w:line="264" w:lineRule="auto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Send interview requests by email specifically to sponsor/applicant staff most engaged in interacting with FDA.</w:t>
      </w:r>
    </w:p>
    <w:p w14:paraId="0AC5CD43" w14:textId="77777777" w:rsidR="004E22FE" w:rsidRPr="00C25873" w:rsidRDefault="004E22FE" w:rsidP="004E22FE">
      <w:pPr>
        <w:pStyle w:val="BodyTextIndent2"/>
        <w:numPr>
          <w:ilvl w:val="0"/>
          <w:numId w:val="3"/>
        </w:numPr>
        <w:spacing w:line="264" w:lineRule="auto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For a first non-response, send a follow-up email.</w:t>
      </w:r>
    </w:p>
    <w:p w14:paraId="61604B58" w14:textId="77777777" w:rsidR="004E22FE" w:rsidRPr="00C25873" w:rsidRDefault="004E22FE" w:rsidP="004E22FE">
      <w:pPr>
        <w:pStyle w:val="BodyTextIndent2"/>
        <w:numPr>
          <w:ilvl w:val="0"/>
          <w:numId w:val="3"/>
        </w:numPr>
        <w:spacing w:line="264" w:lineRule="auto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For additional non-responses, call sponsor/applicant representatives directly to request participation or to identify alternative representatives to participate.</w:t>
      </w:r>
    </w:p>
    <w:p w14:paraId="46375E2A" w14:textId="77777777" w:rsidR="004E22FE" w:rsidRPr="00C25873" w:rsidRDefault="004E22FE" w:rsidP="004E22FE">
      <w:pPr>
        <w:pStyle w:val="BodyTextIndent2"/>
        <w:numPr>
          <w:ilvl w:val="0"/>
          <w:numId w:val="3"/>
        </w:numPr>
        <w:spacing w:after="200" w:line="264" w:lineRule="auto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Continue to follow up until the sponsor/applicant confirms participation or explicitly declines to participate.</w:t>
      </w:r>
    </w:p>
    <w:p w14:paraId="55243A03" w14:textId="77777777" w:rsidR="004E22FE" w:rsidRPr="00C25873" w:rsidRDefault="004E22FE" w:rsidP="004E22FE">
      <w:pPr>
        <w:pStyle w:val="BodyTextIndent2"/>
        <w:numPr>
          <w:ilvl w:val="0"/>
          <w:numId w:val="3"/>
        </w:numPr>
        <w:spacing w:after="200" w:line="264" w:lineRule="auto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Send interview reminders before scheduled interviews.</w:t>
      </w:r>
    </w:p>
    <w:p w14:paraId="69D26D3D" w14:textId="77777777" w:rsidR="004E22FE" w:rsidRPr="00C25873" w:rsidRDefault="004E22FE" w:rsidP="004E22F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u w:val="single"/>
        </w:rPr>
      </w:pPr>
      <w:r w:rsidRPr="00C25873">
        <w:rPr>
          <w:rFonts w:ascii="Times New Roman" w:hAnsi="Times New Roman"/>
          <w:sz w:val="24"/>
          <w:u w:val="single"/>
        </w:rPr>
        <w:t>Test of Procedures or Methods to be Undertaken</w:t>
      </w:r>
    </w:p>
    <w:p w14:paraId="48B5A96E" w14:textId="77777777" w:rsidR="004E22FE" w:rsidRPr="00C25873" w:rsidRDefault="004E22FE" w:rsidP="004E22FE">
      <w:pPr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FDA expects only fine tuning changes to the information collection activity. FDA therefore seeks a combined approval of a pretest (consisting of the first five interviews administered for the assessment) and the main interviews.</w:t>
      </w:r>
    </w:p>
    <w:p w14:paraId="7C31CCDB" w14:textId="77777777" w:rsidR="004E22FE" w:rsidRPr="00C25873" w:rsidRDefault="004E22FE" w:rsidP="004E22F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u w:val="single"/>
        </w:rPr>
      </w:pPr>
      <w:r w:rsidRPr="00C25873">
        <w:rPr>
          <w:rFonts w:ascii="Times New Roman" w:hAnsi="Times New Roman"/>
          <w:sz w:val="24"/>
          <w:u w:val="single"/>
        </w:rPr>
        <w:t>Individuals Consulted on Statistical Aspects and Individuals Collecting and/or Analyzing Data</w:t>
      </w:r>
    </w:p>
    <w:p w14:paraId="1D8CDCFB" w14:textId="77777777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FDA consulted with the following people on statistical aspects of the assessment design:</w:t>
      </w:r>
    </w:p>
    <w:p w14:paraId="4006408E" w14:textId="77777777" w:rsidR="004E22FE" w:rsidRPr="00C25873" w:rsidRDefault="004E22FE" w:rsidP="004E22FE">
      <w:pPr>
        <w:numPr>
          <w:ilvl w:val="0"/>
          <w:numId w:val="4"/>
        </w:numPr>
        <w:spacing w:after="200"/>
        <w:ind w:left="1440"/>
        <w:contextualSpacing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Louis Nadeau, ERG (781) 674-7316</w:t>
      </w:r>
    </w:p>
    <w:p w14:paraId="4AE76A57" w14:textId="77777777" w:rsidR="004E22FE" w:rsidRPr="00C25873" w:rsidRDefault="004E22FE" w:rsidP="004E22FE">
      <w:pPr>
        <w:numPr>
          <w:ilvl w:val="0"/>
          <w:numId w:val="4"/>
        </w:numPr>
        <w:spacing w:after="200"/>
        <w:ind w:left="144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Valerie Overton, ERG (781) 674-7398</w:t>
      </w:r>
    </w:p>
    <w:p w14:paraId="2AE774E2" w14:textId="77777777" w:rsidR="004E22FE" w:rsidRPr="00C25873" w:rsidRDefault="004E22FE" w:rsidP="004E22FE">
      <w:pPr>
        <w:spacing w:after="200"/>
        <w:ind w:left="720"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The people who will collect and analyze the information for FDA are:</w:t>
      </w:r>
    </w:p>
    <w:p w14:paraId="0C7BBD73" w14:textId="77777777" w:rsidR="004E22FE" w:rsidRPr="00C25873" w:rsidRDefault="004E22FE" w:rsidP="004E22FE">
      <w:pPr>
        <w:numPr>
          <w:ilvl w:val="0"/>
          <w:numId w:val="5"/>
        </w:numPr>
        <w:spacing w:after="200"/>
        <w:ind w:left="1440"/>
        <w:contextualSpacing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Hannah Busey, ERG</w:t>
      </w:r>
    </w:p>
    <w:p w14:paraId="021F92DD" w14:textId="77777777" w:rsidR="004E22FE" w:rsidRPr="00C25873" w:rsidRDefault="004E22FE" w:rsidP="004E22FE">
      <w:pPr>
        <w:numPr>
          <w:ilvl w:val="0"/>
          <w:numId w:val="5"/>
        </w:numPr>
        <w:spacing w:after="200"/>
        <w:ind w:left="1440"/>
        <w:contextualSpacing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Marc Goldstein, ERG</w:t>
      </w:r>
    </w:p>
    <w:p w14:paraId="1051D09A" w14:textId="77777777" w:rsidR="004E22FE" w:rsidRPr="00C25873" w:rsidRDefault="004E22FE" w:rsidP="004E22FE">
      <w:pPr>
        <w:numPr>
          <w:ilvl w:val="0"/>
          <w:numId w:val="5"/>
        </w:numPr>
        <w:spacing w:after="200"/>
        <w:ind w:left="1440"/>
        <w:contextualSpacing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Kuang-Heng (Jason) Hsiao, ERG</w:t>
      </w:r>
    </w:p>
    <w:p w14:paraId="2DBC4CC9" w14:textId="77777777" w:rsidR="004E22FE" w:rsidRPr="00C25873" w:rsidRDefault="004E22FE" w:rsidP="004E22FE">
      <w:pPr>
        <w:numPr>
          <w:ilvl w:val="0"/>
          <w:numId w:val="5"/>
        </w:numPr>
        <w:spacing w:after="200"/>
        <w:ind w:left="1440"/>
        <w:contextualSpacing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Louis Nadeau, ERG</w:t>
      </w:r>
    </w:p>
    <w:p w14:paraId="2BDA8546" w14:textId="77777777" w:rsidR="004E22FE" w:rsidRPr="00C25873" w:rsidRDefault="004E22FE" w:rsidP="004E22FE">
      <w:pPr>
        <w:numPr>
          <w:ilvl w:val="0"/>
          <w:numId w:val="5"/>
        </w:numPr>
        <w:spacing w:after="200"/>
        <w:ind w:left="1440"/>
        <w:contextualSpacing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>Valerie Overton, ERG</w:t>
      </w:r>
    </w:p>
    <w:p w14:paraId="7937A87E" w14:textId="77777777" w:rsidR="004E22FE" w:rsidRPr="00C25873" w:rsidRDefault="004E22FE" w:rsidP="004E22FE">
      <w:pPr>
        <w:numPr>
          <w:ilvl w:val="0"/>
          <w:numId w:val="5"/>
        </w:numPr>
        <w:spacing w:after="200"/>
        <w:ind w:left="1440"/>
        <w:contextualSpacing/>
        <w:rPr>
          <w:rFonts w:ascii="Times New Roman" w:hAnsi="Times New Roman"/>
          <w:sz w:val="24"/>
        </w:rPr>
      </w:pPr>
      <w:r w:rsidRPr="00C25873">
        <w:rPr>
          <w:rFonts w:ascii="Times New Roman" w:hAnsi="Times New Roman"/>
          <w:sz w:val="24"/>
        </w:rPr>
        <w:t xml:space="preserve">Christopher Sese, ERG </w:t>
      </w:r>
    </w:p>
    <w:p w14:paraId="6747D059" w14:textId="77777777" w:rsidR="004E22FE" w:rsidRPr="00C25873" w:rsidRDefault="004E22FE" w:rsidP="004E22FE">
      <w:pPr>
        <w:rPr>
          <w:rFonts w:ascii="Times New Roman" w:hAnsi="Times New Roman"/>
          <w:b/>
          <w:i/>
          <w:color w:val="7F7F7F"/>
          <w:sz w:val="24"/>
        </w:rPr>
      </w:pPr>
    </w:p>
    <w:p w14:paraId="4910D9CC" w14:textId="77777777" w:rsidR="00C9546A" w:rsidRPr="00C25873" w:rsidRDefault="00C9546A">
      <w:pPr>
        <w:rPr>
          <w:rFonts w:ascii="Times New Roman" w:hAnsi="Times New Roman"/>
          <w:sz w:val="24"/>
        </w:rPr>
      </w:pPr>
    </w:p>
    <w:sectPr w:rsidR="00C9546A" w:rsidRPr="00C25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F54"/>
    <w:multiLevelType w:val="hybridMultilevel"/>
    <w:tmpl w:val="2E0E5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87583"/>
    <w:multiLevelType w:val="hybridMultilevel"/>
    <w:tmpl w:val="D312E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CD1B93"/>
    <w:multiLevelType w:val="hybridMultilevel"/>
    <w:tmpl w:val="1A6E4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4B4F47"/>
    <w:multiLevelType w:val="hybridMultilevel"/>
    <w:tmpl w:val="436AD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FE"/>
    <w:rsid w:val="00122CB8"/>
    <w:rsid w:val="002F2F46"/>
    <w:rsid w:val="004E22FE"/>
    <w:rsid w:val="00504AFE"/>
    <w:rsid w:val="005D7F46"/>
    <w:rsid w:val="006048FD"/>
    <w:rsid w:val="008B3001"/>
    <w:rsid w:val="009E7EF4"/>
    <w:rsid w:val="00A077E2"/>
    <w:rsid w:val="00BF3548"/>
    <w:rsid w:val="00C25873"/>
    <w:rsid w:val="00C9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A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FE"/>
    <w:pPr>
      <w:spacing w:after="0" w:line="264" w:lineRule="auto"/>
    </w:pPr>
    <w:rPr>
      <w:rFonts w:asciiTheme="majorHAnsi" w:eastAsia="Times New Roman" w:hAnsiTheme="majorHAns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semiHidden/>
    <w:unhideWhenUsed/>
    <w:qFormat/>
    <w:rsid w:val="004E22FE"/>
    <w:pPr>
      <w:keepNext/>
      <w:spacing w:line="276" w:lineRule="auto"/>
    </w:pPr>
    <w:rPr>
      <w:rFonts w:ascii="Calibri" w:eastAsia="Calibri" w:hAnsi="Calibri"/>
      <w:b/>
      <w:bCs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E22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E22FE"/>
    <w:rPr>
      <w:rFonts w:asciiTheme="majorHAnsi" w:eastAsia="Times New Roman" w:hAnsiTheme="majorHAnsi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2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CB8"/>
    <w:rPr>
      <w:rFonts w:asciiTheme="majorHAnsi" w:eastAsia="Times New Roman" w:hAnsiTheme="maj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CB8"/>
    <w:rPr>
      <w:rFonts w:asciiTheme="majorHAnsi" w:eastAsia="Times New Roman" w:hAnsiTheme="majorHAns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FE"/>
    <w:pPr>
      <w:spacing w:after="0" w:line="264" w:lineRule="auto"/>
    </w:pPr>
    <w:rPr>
      <w:rFonts w:asciiTheme="majorHAnsi" w:eastAsia="Times New Roman" w:hAnsiTheme="majorHAns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semiHidden/>
    <w:unhideWhenUsed/>
    <w:qFormat/>
    <w:rsid w:val="004E22FE"/>
    <w:pPr>
      <w:keepNext/>
      <w:spacing w:line="276" w:lineRule="auto"/>
    </w:pPr>
    <w:rPr>
      <w:rFonts w:ascii="Calibri" w:eastAsia="Calibri" w:hAnsi="Calibri"/>
      <w:b/>
      <w:bCs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E22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E22FE"/>
    <w:rPr>
      <w:rFonts w:asciiTheme="majorHAnsi" w:eastAsia="Times New Roman" w:hAnsiTheme="majorHAnsi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2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CB8"/>
    <w:rPr>
      <w:rFonts w:asciiTheme="majorHAnsi" w:eastAsia="Times New Roman" w:hAnsiTheme="maj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CB8"/>
    <w:rPr>
      <w:rFonts w:asciiTheme="majorHAnsi" w:eastAsia="Times New Roman" w:hAnsiTheme="majorHAns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Mizrachi, Ila</dc:creator>
  <cp:keywords/>
  <dc:description/>
  <cp:lastModifiedBy>SYSTEM</cp:lastModifiedBy>
  <cp:revision>2</cp:revision>
  <dcterms:created xsi:type="dcterms:W3CDTF">2019-02-12T18:03:00Z</dcterms:created>
  <dcterms:modified xsi:type="dcterms:W3CDTF">2019-02-12T18:03:00Z</dcterms:modified>
</cp:coreProperties>
</file>