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AD73" w14:textId="77777777" w:rsidR="00134C33" w:rsidRDefault="00134C33" w:rsidP="007B225C">
      <w:bookmarkStart w:id="0" w:name="_GoBack"/>
      <w:bookmarkEnd w:id="0"/>
    </w:p>
    <w:p w14:paraId="380B51F4" w14:textId="19877D80" w:rsidR="00274840" w:rsidRPr="000B4250" w:rsidRDefault="00274840" w:rsidP="00D95A9E">
      <w:pPr>
        <w:spacing w:line="360" w:lineRule="auto"/>
        <w:jc w:val="center"/>
        <w:rPr>
          <w:rFonts w:ascii="Times New Roman" w:hAnsi="Times New Roman"/>
          <w:color w:val="808080"/>
          <w:sz w:val="24"/>
        </w:rPr>
      </w:pPr>
      <w:r w:rsidRPr="000B4250">
        <w:rPr>
          <w:rFonts w:ascii="Times New Roman" w:hAnsi="Times New Roman"/>
          <w:color w:val="808080"/>
          <w:sz w:val="24"/>
        </w:rPr>
        <w:t>United States Food and Drug Administration</w:t>
      </w:r>
    </w:p>
    <w:p w14:paraId="770BBD63" w14:textId="1B521C10" w:rsidR="00E70C08" w:rsidRPr="000B4250" w:rsidRDefault="00E70C08" w:rsidP="00D95A9E">
      <w:pPr>
        <w:spacing w:line="360" w:lineRule="auto"/>
        <w:jc w:val="center"/>
        <w:rPr>
          <w:rFonts w:ascii="Times New Roman" w:hAnsi="Times New Roman"/>
          <w:sz w:val="24"/>
        </w:rPr>
      </w:pPr>
      <w:r w:rsidRPr="000B4250">
        <w:rPr>
          <w:rFonts w:ascii="Times New Roman" w:hAnsi="Times New Roman"/>
          <w:sz w:val="24"/>
        </w:rPr>
        <w:t>Assessment of Combination Product Review Practices</w:t>
      </w:r>
    </w:p>
    <w:p w14:paraId="186D6A0A" w14:textId="7DE6584F" w:rsidR="00EB7538" w:rsidRPr="000B4250" w:rsidRDefault="00274840" w:rsidP="00F70523">
      <w:pPr>
        <w:spacing w:after="200"/>
        <w:jc w:val="center"/>
        <w:rPr>
          <w:rFonts w:ascii="Times New Roman" w:hAnsi="Times New Roman"/>
          <w:sz w:val="24"/>
        </w:rPr>
      </w:pPr>
      <w:r w:rsidRPr="000B4250">
        <w:rPr>
          <w:rFonts w:ascii="Times New Roman" w:hAnsi="Times New Roman"/>
          <w:sz w:val="24"/>
        </w:rPr>
        <w:t xml:space="preserve">OMB Control No. </w:t>
      </w:r>
      <w:r w:rsidR="00EB7538" w:rsidRPr="000B4250">
        <w:rPr>
          <w:rFonts w:ascii="Times New Roman" w:hAnsi="Times New Roman"/>
          <w:sz w:val="24"/>
        </w:rPr>
        <w:t>0910-</w:t>
      </w:r>
      <w:r w:rsidR="00E70C08" w:rsidRPr="000B4250">
        <w:rPr>
          <w:rFonts w:ascii="Times New Roman" w:hAnsi="Times New Roman"/>
          <w:sz w:val="24"/>
        </w:rPr>
        <w:t>NEW</w:t>
      </w:r>
    </w:p>
    <w:p w14:paraId="19375F58" w14:textId="4E9BE15F" w:rsidR="00810FF1" w:rsidRPr="000B4250" w:rsidRDefault="00EB7538" w:rsidP="000B4250">
      <w:pPr>
        <w:spacing w:after="200"/>
        <w:rPr>
          <w:rFonts w:ascii="Times New Roman" w:hAnsi="Times New Roman"/>
          <w:b/>
          <w:sz w:val="24"/>
        </w:rPr>
      </w:pPr>
      <w:r w:rsidRPr="000B4250">
        <w:rPr>
          <w:rFonts w:ascii="Times New Roman" w:hAnsi="Times New Roman"/>
          <w:sz w:val="24"/>
        </w:rPr>
        <w:t>SUPPORTING STATEMENT</w:t>
      </w:r>
      <w:r w:rsidR="00274840" w:rsidRPr="000B4250">
        <w:rPr>
          <w:rFonts w:ascii="Times New Roman" w:hAnsi="Times New Roman"/>
          <w:sz w:val="24"/>
        </w:rPr>
        <w:t xml:space="preserve"> </w:t>
      </w:r>
      <w:r w:rsidR="00274840" w:rsidRPr="000B4250">
        <w:rPr>
          <w:rFonts w:ascii="Times New Roman" w:hAnsi="Times New Roman"/>
          <w:b/>
          <w:sz w:val="24"/>
        </w:rPr>
        <w:t>Part A. Justification</w:t>
      </w:r>
    </w:p>
    <w:p w14:paraId="045367B8" w14:textId="77777777" w:rsidR="008B30AB" w:rsidRPr="000B4250" w:rsidRDefault="00EB7538" w:rsidP="008B30AB">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Circumstances Making the Collection of Information Necessary</w:t>
      </w:r>
    </w:p>
    <w:p w14:paraId="0EBEBA8A" w14:textId="1A57B7E2" w:rsidR="007B0A08" w:rsidRPr="000B4250" w:rsidRDefault="007B0A08" w:rsidP="00DE5711">
      <w:pPr>
        <w:spacing w:before="100" w:beforeAutospacing="1" w:after="100" w:afterAutospacing="1"/>
        <w:ind w:left="720"/>
        <w:rPr>
          <w:rFonts w:ascii="Times New Roman" w:hAnsi="Times New Roman"/>
          <w:sz w:val="24"/>
        </w:rPr>
      </w:pPr>
      <w:r w:rsidRPr="000B4250">
        <w:rPr>
          <w:rFonts w:ascii="Times New Roman" w:hAnsi="Times New Roman"/>
          <w:sz w:val="24"/>
        </w:rPr>
        <w:t xml:space="preserve">Pursuant to the requirements of the Paperwork </w:t>
      </w:r>
      <w:r w:rsidRPr="000B4250">
        <w:rPr>
          <w:rFonts w:ascii="Times New Roman" w:hAnsi="Times New Roman"/>
          <w:color w:val="000000"/>
          <w:sz w:val="24"/>
        </w:rPr>
        <w:t>Reduction Act (44 USC 35) and Public Law, No. 11</w:t>
      </w:r>
      <w:r w:rsidR="009250AD" w:rsidRPr="000B4250">
        <w:rPr>
          <w:rFonts w:ascii="Times New Roman" w:hAnsi="Times New Roman"/>
          <w:color w:val="000000"/>
          <w:sz w:val="24"/>
        </w:rPr>
        <w:t>5</w:t>
      </w:r>
      <w:r w:rsidRPr="000B4250">
        <w:rPr>
          <w:rFonts w:ascii="Times New Roman" w:hAnsi="Times New Roman"/>
          <w:color w:val="000000"/>
          <w:sz w:val="24"/>
        </w:rPr>
        <w:t>-</w:t>
      </w:r>
      <w:r w:rsidR="009250AD" w:rsidRPr="000B4250">
        <w:rPr>
          <w:rFonts w:ascii="Times New Roman" w:hAnsi="Times New Roman"/>
          <w:color w:val="000000"/>
          <w:sz w:val="24"/>
        </w:rPr>
        <w:t>52</w:t>
      </w:r>
      <w:r w:rsidRPr="000B4250">
        <w:rPr>
          <w:rFonts w:ascii="Times New Roman" w:hAnsi="Times New Roman"/>
          <w:color w:val="000000"/>
          <w:sz w:val="24"/>
        </w:rPr>
        <w:t>, 1</w:t>
      </w:r>
      <w:r w:rsidR="009250AD" w:rsidRPr="000B4250">
        <w:rPr>
          <w:rFonts w:ascii="Times New Roman" w:hAnsi="Times New Roman"/>
          <w:color w:val="000000"/>
          <w:sz w:val="24"/>
        </w:rPr>
        <w:t>31</w:t>
      </w:r>
      <w:r w:rsidRPr="000B4250">
        <w:rPr>
          <w:rFonts w:ascii="Times New Roman" w:hAnsi="Times New Roman"/>
          <w:color w:val="000000"/>
          <w:sz w:val="24"/>
        </w:rPr>
        <w:t xml:space="preserve"> Stat. </w:t>
      </w:r>
      <w:r w:rsidR="009250AD" w:rsidRPr="000B4250">
        <w:rPr>
          <w:rFonts w:ascii="Times New Roman" w:hAnsi="Times New Roman"/>
          <w:color w:val="000000"/>
          <w:sz w:val="24"/>
        </w:rPr>
        <w:t>1005</w:t>
      </w:r>
      <w:r w:rsidRPr="000B4250">
        <w:rPr>
          <w:rFonts w:ascii="Times New Roman" w:hAnsi="Times New Roman"/>
          <w:color w:val="000000"/>
          <w:sz w:val="24"/>
        </w:rPr>
        <w:t xml:space="preserve"> (also known as the Food and Drug Administration </w:t>
      </w:r>
      <w:r w:rsidR="009250AD" w:rsidRPr="000B4250">
        <w:rPr>
          <w:rFonts w:ascii="Times New Roman" w:hAnsi="Times New Roman"/>
          <w:color w:val="000000"/>
          <w:sz w:val="24"/>
        </w:rPr>
        <w:t>Reauthorization</w:t>
      </w:r>
      <w:r w:rsidRPr="000B4250">
        <w:rPr>
          <w:rFonts w:ascii="Times New Roman" w:hAnsi="Times New Roman"/>
          <w:color w:val="000000"/>
          <w:sz w:val="24"/>
        </w:rPr>
        <w:t xml:space="preserve"> Act</w:t>
      </w:r>
      <w:r w:rsidR="009250AD" w:rsidRPr="000B4250">
        <w:rPr>
          <w:rFonts w:ascii="Times New Roman" w:hAnsi="Times New Roman"/>
          <w:color w:val="000000"/>
          <w:sz w:val="24"/>
        </w:rPr>
        <w:t xml:space="preserve"> of 2017, or FDARA</w:t>
      </w:r>
      <w:r w:rsidRPr="000B4250">
        <w:rPr>
          <w:rFonts w:ascii="Times New Roman" w:hAnsi="Times New Roman"/>
          <w:color w:val="000000"/>
          <w:sz w:val="24"/>
        </w:rPr>
        <w:t>),</w:t>
      </w:r>
      <w:r w:rsidRPr="000B4250">
        <w:rPr>
          <w:rFonts w:ascii="Times New Roman" w:hAnsi="Times New Roman"/>
          <w:sz w:val="24"/>
        </w:rPr>
        <w:t xml:space="preserve"> the </w:t>
      </w:r>
      <w:r w:rsidR="00F37ED4" w:rsidRPr="000B4250">
        <w:rPr>
          <w:rFonts w:ascii="Times New Roman" w:hAnsi="Times New Roman"/>
          <w:sz w:val="24"/>
        </w:rPr>
        <w:t xml:space="preserve">U.S. </w:t>
      </w:r>
      <w:r w:rsidRPr="000B4250">
        <w:rPr>
          <w:rFonts w:ascii="Times New Roman" w:hAnsi="Times New Roman"/>
          <w:sz w:val="24"/>
        </w:rPr>
        <w:t xml:space="preserve">Food and Drug Administration (FDA) is requesting Office of Management and Budget (OMB) approval of the information </w:t>
      </w:r>
      <w:r w:rsidR="00AB42BF" w:rsidRPr="000B4250">
        <w:rPr>
          <w:rFonts w:ascii="Times New Roman" w:hAnsi="Times New Roman"/>
          <w:sz w:val="24"/>
        </w:rPr>
        <w:t xml:space="preserve">collection </w:t>
      </w:r>
      <w:r w:rsidRPr="000B4250">
        <w:rPr>
          <w:rFonts w:ascii="Times New Roman" w:hAnsi="Times New Roman"/>
          <w:sz w:val="24"/>
        </w:rPr>
        <w:t>that FDA committed to in Section I.I.5.g of the Prescription Drug User Fee Act (PDUFA) Reauthorization Performance Goals and Procedures Fiscal Years 2018 Through 2022 letter (“</w:t>
      </w:r>
      <w:r w:rsidR="00E9427D" w:rsidRPr="000B4250">
        <w:rPr>
          <w:rFonts w:ascii="Times New Roman" w:hAnsi="Times New Roman"/>
          <w:sz w:val="24"/>
        </w:rPr>
        <w:t xml:space="preserve">PDUFA VI </w:t>
      </w:r>
      <w:r w:rsidRPr="000B4250">
        <w:rPr>
          <w:rFonts w:ascii="Times New Roman" w:hAnsi="Times New Roman"/>
          <w:sz w:val="24"/>
        </w:rPr>
        <w:t>Commitment Letter”).</w:t>
      </w:r>
      <w:r w:rsidR="00AB42BF" w:rsidRPr="000B4250">
        <w:rPr>
          <w:rFonts w:ascii="Times New Roman" w:hAnsi="Times New Roman"/>
          <w:sz w:val="24"/>
        </w:rPr>
        <w:t xml:space="preserve"> Section I.I.5.g of the </w:t>
      </w:r>
      <w:r w:rsidR="00E9427D" w:rsidRPr="000B4250">
        <w:rPr>
          <w:rFonts w:ascii="Times New Roman" w:hAnsi="Times New Roman"/>
          <w:sz w:val="24"/>
        </w:rPr>
        <w:t xml:space="preserve">PDUFA VI </w:t>
      </w:r>
      <w:r w:rsidR="00AB42BF" w:rsidRPr="000B4250">
        <w:rPr>
          <w:rFonts w:ascii="Times New Roman" w:hAnsi="Times New Roman"/>
          <w:sz w:val="24"/>
        </w:rPr>
        <w:t xml:space="preserve">Commitment Letter states that an independent third party will assess current practices for combination product review, and </w:t>
      </w:r>
      <w:r w:rsidR="009250AD" w:rsidRPr="000B4250">
        <w:rPr>
          <w:rFonts w:ascii="Times New Roman" w:hAnsi="Times New Roman"/>
          <w:sz w:val="24"/>
        </w:rPr>
        <w:t xml:space="preserve">that </w:t>
      </w:r>
      <w:r w:rsidR="00AB42BF" w:rsidRPr="000B4250">
        <w:rPr>
          <w:rFonts w:ascii="Times New Roman" w:hAnsi="Times New Roman"/>
          <w:sz w:val="24"/>
        </w:rPr>
        <w:t>the contractor “will be expected to engage both FDA staff and individual sponsors as part of the assessment”.</w:t>
      </w:r>
    </w:p>
    <w:p w14:paraId="4606F88E" w14:textId="75EEF87E" w:rsidR="00953B2B" w:rsidRPr="000B4250" w:rsidRDefault="00DF1B3F" w:rsidP="00DE5711">
      <w:pPr>
        <w:spacing w:before="100" w:beforeAutospacing="1" w:after="100" w:afterAutospacing="1"/>
        <w:ind w:left="720"/>
        <w:rPr>
          <w:rFonts w:ascii="Times New Roman" w:hAnsi="Times New Roman"/>
          <w:sz w:val="24"/>
        </w:rPr>
      </w:pPr>
      <w:r w:rsidRPr="000B4250">
        <w:rPr>
          <w:rFonts w:ascii="Times New Roman" w:hAnsi="Times New Roman"/>
          <w:sz w:val="24"/>
        </w:rPr>
        <w:t xml:space="preserve">In 1991, </w:t>
      </w:r>
      <w:r w:rsidR="00F37ED4" w:rsidRPr="000B4250">
        <w:rPr>
          <w:rFonts w:ascii="Times New Roman" w:hAnsi="Times New Roman"/>
          <w:sz w:val="24"/>
        </w:rPr>
        <w:t>FDA’s</w:t>
      </w:r>
      <w:r w:rsidRPr="000B4250">
        <w:rPr>
          <w:rFonts w:ascii="Times New Roman" w:hAnsi="Times New Roman"/>
          <w:sz w:val="24"/>
        </w:rPr>
        <w:t xml:space="preserve"> Center for Biologics Evaluation and Research (CBER), Center for Drug Evaluation and Research (CDER), and Center for Devices and Radiological Health (CDRH) entered into “Intercenter Agreements” to provide guidance on the classification and assignment of medical products and to clarify jurisdiction over combination product reviews. </w:t>
      </w:r>
      <w:r w:rsidR="00DD6DB0" w:rsidRPr="000B4250">
        <w:rPr>
          <w:rFonts w:ascii="Times New Roman" w:hAnsi="Times New Roman"/>
          <w:sz w:val="24"/>
        </w:rPr>
        <w:t>With the enactment of the Medical Device User Fee and Modernization Act (MDUFMA) of 2002, FDA aimed to achieve prompt assignment of combination products, timely and effective premarket reviews, and consistent and appropriate postmarket regulation through the establishment of the Office of Combination Products (OCP). Since then, OCP has operated to further standardize combination product guidance to FDA and industry and facilitate coordination between FDA’s medical product review Centers.</w:t>
      </w:r>
      <w:r w:rsidR="00953B2B" w:rsidRPr="000B4250">
        <w:rPr>
          <w:rFonts w:ascii="Times New Roman" w:hAnsi="Times New Roman"/>
          <w:sz w:val="24"/>
        </w:rPr>
        <w:t xml:space="preserve"> In 2017, a</w:t>
      </w:r>
      <w:r w:rsidR="00DD6DB0" w:rsidRPr="000B4250">
        <w:rPr>
          <w:rFonts w:ascii="Times New Roman" w:hAnsi="Times New Roman"/>
          <w:sz w:val="24"/>
        </w:rPr>
        <w:t>s part of</w:t>
      </w:r>
      <w:r w:rsidR="002B1DB6" w:rsidRPr="000B4250">
        <w:rPr>
          <w:rFonts w:ascii="Times New Roman" w:hAnsi="Times New Roman"/>
          <w:sz w:val="24"/>
        </w:rPr>
        <w:t xml:space="preserve"> the </w:t>
      </w:r>
      <w:r w:rsidR="00953B2B" w:rsidRPr="000B4250">
        <w:rPr>
          <w:rFonts w:ascii="Times New Roman" w:hAnsi="Times New Roman"/>
          <w:sz w:val="24"/>
        </w:rPr>
        <w:t xml:space="preserve">sixth </w:t>
      </w:r>
      <w:r w:rsidR="002B1DB6" w:rsidRPr="000B4250">
        <w:rPr>
          <w:rFonts w:ascii="Times New Roman" w:hAnsi="Times New Roman"/>
          <w:sz w:val="24"/>
        </w:rPr>
        <w:t>authorization of</w:t>
      </w:r>
      <w:r w:rsidR="00DD6DB0" w:rsidRPr="000B4250">
        <w:rPr>
          <w:rFonts w:ascii="Times New Roman" w:hAnsi="Times New Roman"/>
          <w:sz w:val="24"/>
        </w:rPr>
        <w:t xml:space="preserve"> </w:t>
      </w:r>
      <w:r w:rsidR="00953B2B" w:rsidRPr="000B4250">
        <w:rPr>
          <w:rFonts w:ascii="Times New Roman" w:hAnsi="Times New Roman"/>
          <w:sz w:val="24"/>
        </w:rPr>
        <w:t>PDUFA</w:t>
      </w:r>
      <w:r w:rsidR="00DD6DB0" w:rsidRPr="000B4250">
        <w:rPr>
          <w:rFonts w:ascii="Times New Roman" w:hAnsi="Times New Roman"/>
          <w:sz w:val="24"/>
        </w:rPr>
        <w:t xml:space="preserve">, FDA </w:t>
      </w:r>
      <w:r w:rsidRPr="000B4250">
        <w:rPr>
          <w:rFonts w:ascii="Times New Roman" w:hAnsi="Times New Roman"/>
          <w:sz w:val="24"/>
        </w:rPr>
        <w:t>committed to advance the development of drug-device and biologic-device combination products</w:t>
      </w:r>
      <w:r w:rsidR="00DD6DB0" w:rsidRPr="000B4250">
        <w:rPr>
          <w:rFonts w:ascii="Times New Roman" w:hAnsi="Times New Roman"/>
          <w:sz w:val="24"/>
        </w:rPr>
        <w:t xml:space="preserve"> </w:t>
      </w:r>
      <w:r w:rsidRPr="000B4250">
        <w:rPr>
          <w:rFonts w:ascii="Times New Roman" w:hAnsi="Times New Roman"/>
          <w:sz w:val="24"/>
        </w:rPr>
        <w:t xml:space="preserve">regulated by CDER </w:t>
      </w:r>
      <w:r w:rsidR="00A41F7C" w:rsidRPr="000B4250">
        <w:rPr>
          <w:rFonts w:ascii="Times New Roman" w:hAnsi="Times New Roman"/>
          <w:sz w:val="24"/>
        </w:rPr>
        <w:t xml:space="preserve">and CBER </w:t>
      </w:r>
      <w:r w:rsidR="002B1DB6" w:rsidRPr="000B4250">
        <w:rPr>
          <w:rFonts w:ascii="Times New Roman" w:hAnsi="Times New Roman"/>
          <w:sz w:val="24"/>
        </w:rPr>
        <w:t>through modernization of</w:t>
      </w:r>
      <w:r w:rsidRPr="000B4250">
        <w:rPr>
          <w:rFonts w:ascii="Times New Roman" w:hAnsi="Times New Roman"/>
          <w:sz w:val="24"/>
        </w:rPr>
        <w:t xml:space="preserve"> the combination product review program.</w:t>
      </w:r>
    </w:p>
    <w:p w14:paraId="147A30D0" w14:textId="755F2C1F" w:rsidR="00DF1B3F" w:rsidRPr="000B4250" w:rsidRDefault="002B1DB6" w:rsidP="00DE5711">
      <w:pPr>
        <w:spacing w:before="100" w:beforeAutospacing="1" w:after="100" w:afterAutospacing="1"/>
        <w:ind w:left="720"/>
        <w:rPr>
          <w:rFonts w:ascii="Times New Roman" w:hAnsi="Times New Roman"/>
          <w:color w:val="FF0000"/>
          <w:sz w:val="24"/>
        </w:rPr>
      </w:pPr>
      <w:r w:rsidRPr="000B4250">
        <w:rPr>
          <w:rFonts w:ascii="Times New Roman" w:hAnsi="Times New Roman"/>
          <w:sz w:val="24"/>
        </w:rPr>
        <w:t xml:space="preserve">To meet this </w:t>
      </w:r>
      <w:r w:rsidR="00953B2B" w:rsidRPr="000B4250">
        <w:rPr>
          <w:rFonts w:ascii="Times New Roman" w:hAnsi="Times New Roman"/>
          <w:sz w:val="24"/>
        </w:rPr>
        <w:t xml:space="preserve">PDUFA VI </w:t>
      </w:r>
      <w:r w:rsidRPr="000B4250">
        <w:rPr>
          <w:rFonts w:ascii="Times New Roman" w:hAnsi="Times New Roman"/>
          <w:sz w:val="24"/>
        </w:rPr>
        <w:t xml:space="preserve">commitment, FDA contracted </w:t>
      </w:r>
      <w:r w:rsidR="0092600D" w:rsidRPr="000B4250">
        <w:rPr>
          <w:rFonts w:ascii="Times New Roman" w:hAnsi="Times New Roman"/>
          <w:sz w:val="24"/>
        </w:rPr>
        <w:t xml:space="preserve">with </w:t>
      </w:r>
      <w:r w:rsidRPr="000B4250">
        <w:rPr>
          <w:rFonts w:ascii="Times New Roman" w:hAnsi="Times New Roman"/>
          <w:sz w:val="24"/>
        </w:rPr>
        <w:t>Eastern Research Group, Inc. (ERG) to assess current practices for combination product review</w:t>
      </w:r>
      <w:r w:rsidR="0017189F" w:rsidRPr="000B4250">
        <w:rPr>
          <w:rFonts w:ascii="Times New Roman" w:hAnsi="Times New Roman"/>
          <w:sz w:val="24"/>
        </w:rPr>
        <w:t xml:space="preserve">. </w:t>
      </w:r>
      <w:r w:rsidR="000F1C08" w:rsidRPr="000B4250">
        <w:rPr>
          <w:rFonts w:ascii="Times New Roman" w:hAnsi="Times New Roman"/>
          <w:sz w:val="24"/>
        </w:rPr>
        <w:t xml:space="preserve">Assessment results will help FDA understand sponsor/applicant perspectives on what is working well, challenges and pain points, lessons learned, and opportunities for improvement in submissions </w:t>
      </w:r>
      <w:r w:rsidR="00953B2B" w:rsidRPr="000B4250">
        <w:rPr>
          <w:rFonts w:ascii="Times New Roman" w:hAnsi="Times New Roman"/>
          <w:sz w:val="24"/>
        </w:rPr>
        <w:t xml:space="preserve">and reviews </w:t>
      </w:r>
      <w:r w:rsidR="000F1C08" w:rsidRPr="000B4250">
        <w:rPr>
          <w:rFonts w:ascii="Times New Roman" w:hAnsi="Times New Roman"/>
          <w:sz w:val="24"/>
        </w:rPr>
        <w:t xml:space="preserve">for combination products. </w:t>
      </w:r>
      <w:r w:rsidR="0017189F" w:rsidRPr="000B4250">
        <w:rPr>
          <w:rFonts w:ascii="Times New Roman" w:hAnsi="Times New Roman"/>
          <w:sz w:val="24"/>
        </w:rPr>
        <w:t>FDA will use assessment findings to inform potential updates to relevant documents</w:t>
      </w:r>
      <w:r w:rsidR="000F1C08" w:rsidRPr="000B4250">
        <w:rPr>
          <w:rFonts w:ascii="Times New Roman" w:hAnsi="Times New Roman"/>
          <w:sz w:val="24"/>
        </w:rPr>
        <w:t>,</w:t>
      </w:r>
      <w:r w:rsidR="0017189F" w:rsidRPr="000B4250">
        <w:rPr>
          <w:rFonts w:ascii="Times New Roman" w:hAnsi="Times New Roman"/>
          <w:sz w:val="24"/>
        </w:rPr>
        <w:t xml:space="preserve"> such as Manuals of Policies &amp; </w:t>
      </w:r>
      <w:r w:rsidR="0017189F" w:rsidRPr="000B4250">
        <w:rPr>
          <w:rFonts w:ascii="Times New Roman" w:hAnsi="Times New Roman"/>
          <w:sz w:val="24"/>
        </w:rPr>
        <w:lastRenderedPageBreak/>
        <w:t xml:space="preserve">Procedures (MAPPs) and Standard Operation Procedures &amp; Policies (SOPPs) </w:t>
      </w:r>
      <w:r w:rsidR="000F1C08" w:rsidRPr="000B4250">
        <w:rPr>
          <w:rFonts w:ascii="Times New Roman" w:hAnsi="Times New Roman"/>
          <w:sz w:val="24"/>
        </w:rPr>
        <w:t>for</w:t>
      </w:r>
      <w:r w:rsidR="0017189F" w:rsidRPr="000B4250">
        <w:rPr>
          <w:rFonts w:ascii="Times New Roman" w:hAnsi="Times New Roman"/>
          <w:sz w:val="24"/>
        </w:rPr>
        <w:t xml:space="preserve"> the review and submission of combination product applications. </w:t>
      </w:r>
    </w:p>
    <w:p w14:paraId="2EAF4B25" w14:textId="66566C53" w:rsidR="0017189F" w:rsidRPr="000B4250" w:rsidRDefault="0017189F" w:rsidP="0017189F">
      <w:pPr>
        <w:spacing w:before="100" w:beforeAutospacing="1" w:after="100" w:afterAutospacing="1"/>
        <w:ind w:left="720"/>
        <w:rPr>
          <w:rFonts w:ascii="Times New Roman" w:hAnsi="Times New Roman"/>
          <w:sz w:val="24"/>
        </w:rPr>
      </w:pPr>
      <w:r w:rsidRPr="000B4250">
        <w:rPr>
          <w:rFonts w:ascii="Times New Roman" w:hAnsi="Times New Roman"/>
          <w:sz w:val="24"/>
        </w:rPr>
        <w:t>In accordance with the PDUFA VI Commitment Letter, FDA proposes to have ERG co</w:t>
      </w:r>
      <w:r w:rsidR="00E9427D" w:rsidRPr="000B4250">
        <w:rPr>
          <w:rFonts w:ascii="Times New Roman" w:hAnsi="Times New Roman"/>
          <w:sz w:val="24"/>
        </w:rPr>
        <w:t xml:space="preserve">nduct independent interviews with </w:t>
      </w:r>
      <w:r w:rsidR="00EA7014" w:rsidRPr="000B4250">
        <w:rPr>
          <w:rFonts w:ascii="Times New Roman" w:hAnsi="Times New Roman"/>
          <w:sz w:val="24"/>
        </w:rPr>
        <w:t xml:space="preserve">a sample of </w:t>
      </w:r>
      <w:r w:rsidR="00E9427D" w:rsidRPr="000B4250">
        <w:rPr>
          <w:rFonts w:ascii="Times New Roman" w:hAnsi="Times New Roman"/>
          <w:sz w:val="24"/>
        </w:rPr>
        <w:t>combination product sponsors</w:t>
      </w:r>
      <w:r w:rsidRPr="000B4250">
        <w:rPr>
          <w:rFonts w:ascii="Times New Roman" w:hAnsi="Times New Roman"/>
          <w:sz w:val="24"/>
        </w:rPr>
        <w:t xml:space="preserve"> </w:t>
      </w:r>
      <w:r w:rsidR="00E9427D" w:rsidRPr="000B4250">
        <w:rPr>
          <w:rFonts w:ascii="Times New Roman" w:hAnsi="Times New Roman"/>
          <w:sz w:val="24"/>
        </w:rPr>
        <w:t xml:space="preserve">who have submitted a </w:t>
      </w:r>
      <w:r w:rsidR="00185AEB" w:rsidRPr="000B4250">
        <w:rPr>
          <w:rFonts w:ascii="Times New Roman" w:hAnsi="Times New Roman"/>
          <w:sz w:val="24"/>
        </w:rPr>
        <w:t xml:space="preserve">Request For Designation (RFD), </w:t>
      </w:r>
      <w:r w:rsidR="00E9427D" w:rsidRPr="000B4250">
        <w:rPr>
          <w:rFonts w:ascii="Times New Roman" w:hAnsi="Times New Roman"/>
          <w:sz w:val="24"/>
        </w:rPr>
        <w:t>pre-Request For Designation (</w:t>
      </w:r>
      <w:r w:rsidR="00F37ED4" w:rsidRPr="000B4250">
        <w:rPr>
          <w:rFonts w:ascii="Times New Roman" w:hAnsi="Times New Roman"/>
          <w:sz w:val="24"/>
        </w:rPr>
        <w:t>pre-</w:t>
      </w:r>
      <w:r w:rsidR="00E9427D" w:rsidRPr="000B4250">
        <w:rPr>
          <w:rFonts w:ascii="Times New Roman" w:hAnsi="Times New Roman"/>
          <w:sz w:val="24"/>
        </w:rPr>
        <w:t xml:space="preserve">RFD), </w:t>
      </w:r>
      <w:r w:rsidR="00185AEB" w:rsidRPr="000B4250">
        <w:rPr>
          <w:rFonts w:ascii="Times New Roman" w:hAnsi="Times New Roman"/>
          <w:sz w:val="24"/>
        </w:rPr>
        <w:t xml:space="preserve">Investigational New Drug (IND), or </w:t>
      </w:r>
      <w:r w:rsidR="00E9427D" w:rsidRPr="000B4250">
        <w:rPr>
          <w:rFonts w:ascii="Times New Roman" w:hAnsi="Times New Roman"/>
          <w:sz w:val="24"/>
        </w:rPr>
        <w:t>pre-Investigational New Drug (</w:t>
      </w:r>
      <w:r w:rsidR="00F37ED4" w:rsidRPr="000B4250">
        <w:rPr>
          <w:rFonts w:ascii="Times New Roman" w:hAnsi="Times New Roman"/>
          <w:sz w:val="24"/>
        </w:rPr>
        <w:t>pre-</w:t>
      </w:r>
      <w:r w:rsidR="00E9427D" w:rsidRPr="000B4250">
        <w:rPr>
          <w:rFonts w:ascii="Times New Roman" w:hAnsi="Times New Roman"/>
          <w:sz w:val="24"/>
        </w:rPr>
        <w:t>IND) and applicants who receive a first-cycle action from FDA on a combination product New Drug Application (NDA) or Biologics License application (BLA</w:t>
      </w:r>
      <w:r w:rsidR="002E5444">
        <w:rPr>
          <w:rFonts w:ascii="Times New Roman" w:hAnsi="Times New Roman"/>
          <w:sz w:val="24"/>
        </w:rPr>
        <w:t>)</w:t>
      </w:r>
      <w:r w:rsidRPr="000B4250">
        <w:rPr>
          <w:rFonts w:ascii="Times New Roman" w:hAnsi="Times New Roman"/>
          <w:sz w:val="24"/>
        </w:rPr>
        <w:t xml:space="preserve">. The purpose of these interviews is to </w:t>
      </w:r>
      <w:r w:rsidR="00AB6CB7" w:rsidRPr="000B4250">
        <w:rPr>
          <w:rFonts w:ascii="Times New Roman" w:hAnsi="Times New Roman"/>
          <w:sz w:val="24"/>
        </w:rPr>
        <w:t>collect feedback from combination product sponsors and applicants on their experience with FDA during the development and review of their products</w:t>
      </w:r>
      <w:r w:rsidRPr="000B4250">
        <w:rPr>
          <w:rFonts w:ascii="Times New Roman" w:hAnsi="Times New Roman"/>
          <w:sz w:val="24"/>
        </w:rPr>
        <w:t xml:space="preserve">, including any </w:t>
      </w:r>
      <w:r w:rsidR="00E9427D" w:rsidRPr="000B4250">
        <w:rPr>
          <w:rFonts w:ascii="Times New Roman" w:hAnsi="Times New Roman"/>
          <w:sz w:val="24"/>
        </w:rPr>
        <w:t xml:space="preserve">challenges or </w:t>
      </w:r>
      <w:r w:rsidRPr="000B4250">
        <w:rPr>
          <w:rFonts w:ascii="Times New Roman" w:hAnsi="Times New Roman"/>
          <w:sz w:val="24"/>
        </w:rPr>
        <w:t>best pra</w:t>
      </w:r>
      <w:r w:rsidR="00AB6CB7" w:rsidRPr="000B4250">
        <w:rPr>
          <w:rFonts w:ascii="Times New Roman" w:hAnsi="Times New Roman"/>
          <w:sz w:val="24"/>
        </w:rPr>
        <w:t>ctices experienced</w:t>
      </w:r>
      <w:r w:rsidRPr="000B4250">
        <w:rPr>
          <w:rFonts w:ascii="Times New Roman" w:hAnsi="Times New Roman"/>
          <w:sz w:val="24"/>
        </w:rPr>
        <w:t xml:space="preserve">. ERG will not ask </w:t>
      </w:r>
      <w:r w:rsidR="00E9427D" w:rsidRPr="000B4250">
        <w:rPr>
          <w:rFonts w:ascii="Times New Roman" w:hAnsi="Times New Roman"/>
          <w:sz w:val="24"/>
        </w:rPr>
        <w:t>sponsors/</w:t>
      </w:r>
      <w:r w:rsidRPr="000B4250">
        <w:rPr>
          <w:rFonts w:ascii="Times New Roman" w:hAnsi="Times New Roman"/>
          <w:sz w:val="24"/>
        </w:rPr>
        <w:t xml:space="preserve">applicants for any confidential business information, nor will ERG ask applicants to evaluate the performance of FDA staff. Instead, interviews will focus on experiences with the </w:t>
      </w:r>
      <w:r w:rsidR="00AB6CB7" w:rsidRPr="000B4250">
        <w:rPr>
          <w:rFonts w:ascii="Times New Roman" w:hAnsi="Times New Roman"/>
          <w:sz w:val="24"/>
        </w:rPr>
        <w:t>combination product development and review</w:t>
      </w:r>
      <w:r w:rsidRPr="000B4250">
        <w:rPr>
          <w:rFonts w:ascii="Times New Roman" w:hAnsi="Times New Roman"/>
          <w:sz w:val="24"/>
        </w:rPr>
        <w:t xml:space="preserve"> process. Some </w:t>
      </w:r>
      <w:r w:rsidR="00E9427D" w:rsidRPr="000B4250">
        <w:rPr>
          <w:rFonts w:ascii="Times New Roman" w:hAnsi="Times New Roman"/>
          <w:sz w:val="24"/>
        </w:rPr>
        <w:t>sponsors/</w:t>
      </w:r>
      <w:r w:rsidRPr="000B4250">
        <w:rPr>
          <w:rFonts w:ascii="Times New Roman" w:hAnsi="Times New Roman"/>
          <w:sz w:val="24"/>
        </w:rPr>
        <w:t xml:space="preserve">applicants might perceive their individual feedback about the review process to be sensitive given that they might interact with FDA about other </w:t>
      </w:r>
      <w:r w:rsidR="00E9427D" w:rsidRPr="000B4250">
        <w:rPr>
          <w:rFonts w:ascii="Times New Roman" w:hAnsi="Times New Roman"/>
          <w:sz w:val="24"/>
        </w:rPr>
        <w:t>products</w:t>
      </w:r>
      <w:r w:rsidRPr="000B4250">
        <w:rPr>
          <w:rFonts w:ascii="Times New Roman" w:hAnsi="Times New Roman"/>
          <w:sz w:val="24"/>
        </w:rPr>
        <w:t xml:space="preserve"> in the future. To address these potential concerns, ERG will not share any identifying information with FDA and will include only anonymized, aggregated interview results in the assessment report. FD</w:t>
      </w:r>
      <w:r w:rsidR="00E24BC0" w:rsidRPr="000B4250">
        <w:rPr>
          <w:rFonts w:ascii="Times New Roman" w:hAnsi="Times New Roman"/>
          <w:sz w:val="24"/>
        </w:rPr>
        <w:t>A will publish ERG’s assessment</w:t>
      </w:r>
      <w:r w:rsidRPr="000B4250">
        <w:rPr>
          <w:rFonts w:ascii="Times New Roman" w:hAnsi="Times New Roman"/>
          <w:sz w:val="24"/>
        </w:rPr>
        <w:t xml:space="preserve"> (with interview results and findings) </w:t>
      </w:r>
      <w:r w:rsidR="00E24BC0" w:rsidRPr="000B4250">
        <w:rPr>
          <w:rFonts w:ascii="Times New Roman" w:hAnsi="Times New Roman"/>
          <w:sz w:val="24"/>
        </w:rPr>
        <w:t>on the Agency’s public website</w:t>
      </w:r>
      <w:r w:rsidRPr="000B4250">
        <w:rPr>
          <w:rFonts w:ascii="Times New Roman" w:hAnsi="Times New Roman"/>
          <w:sz w:val="24"/>
        </w:rPr>
        <w:t>.</w:t>
      </w:r>
    </w:p>
    <w:p w14:paraId="15E28B08" w14:textId="4AD38395" w:rsidR="0017189F" w:rsidRPr="000B4250" w:rsidRDefault="0017189F" w:rsidP="0017189F">
      <w:pPr>
        <w:spacing w:before="100" w:beforeAutospacing="1" w:after="100" w:afterAutospacing="1"/>
        <w:ind w:left="720"/>
        <w:rPr>
          <w:rFonts w:ascii="Times New Roman" w:hAnsi="Times New Roman"/>
          <w:sz w:val="24"/>
        </w:rPr>
      </w:pPr>
      <w:r w:rsidRPr="000B4250">
        <w:rPr>
          <w:rFonts w:ascii="Times New Roman" w:hAnsi="Times New Roman"/>
          <w:sz w:val="24"/>
        </w:rPr>
        <w:t xml:space="preserve">The independent assessment, including information from </w:t>
      </w:r>
      <w:r w:rsidR="0092600D" w:rsidRPr="000B4250">
        <w:rPr>
          <w:rFonts w:ascii="Times New Roman" w:hAnsi="Times New Roman"/>
          <w:sz w:val="24"/>
        </w:rPr>
        <w:t>combination product sponsor/</w:t>
      </w:r>
      <w:r w:rsidRPr="000B4250">
        <w:rPr>
          <w:rFonts w:ascii="Times New Roman" w:hAnsi="Times New Roman"/>
          <w:sz w:val="24"/>
        </w:rPr>
        <w:t>applicant interviews, will be of great interest to FDA’s stakeholders, including the regulated industry, patient and consumer groups, healthcare professionals, and Congress. Equally importan</w:t>
      </w:r>
      <w:r w:rsidR="00AB6CB7" w:rsidRPr="000B4250">
        <w:rPr>
          <w:rFonts w:ascii="Times New Roman" w:hAnsi="Times New Roman"/>
          <w:sz w:val="24"/>
        </w:rPr>
        <w:t>t, the</w:t>
      </w:r>
      <w:r w:rsidRPr="000B4250">
        <w:rPr>
          <w:rFonts w:ascii="Times New Roman" w:hAnsi="Times New Roman"/>
          <w:sz w:val="24"/>
        </w:rPr>
        <w:t xml:space="preserve"> assessment will be critical in determining whether and how to refine </w:t>
      </w:r>
      <w:r w:rsidR="0053134F" w:rsidRPr="000B4250">
        <w:rPr>
          <w:rFonts w:ascii="Times New Roman" w:hAnsi="Times New Roman"/>
          <w:sz w:val="24"/>
        </w:rPr>
        <w:t xml:space="preserve">submission and </w:t>
      </w:r>
      <w:r w:rsidR="00AB6CB7" w:rsidRPr="000B4250">
        <w:rPr>
          <w:rFonts w:ascii="Times New Roman" w:hAnsi="Times New Roman"/>
          <w:sz w:val="24"/>
        </w:rPr>
        <w:t xml:space="preserve">review practices </w:t>
      </w:r>
      <w:r w:rsidRPr="000B4250">
        <w:rPr>
          <w:rFonts w:ascii="Times New Roman" w:hAnsi="Times New Roman"/>
          <w:sz w:val="24"/>
        </w:rPr>
        <w:t xml:space="preserve">to </w:t>
      </w:r>
      <w:r w:rsidR="00AB6CB7" w:rsidRPr="000B4250">
        <w:rPr>
          <w:rFonts w:ascii="Times New Roman" w:hAnsi="Times New Roman"/>
          <w:sz w:val="24"/>
        </w:rPr>
        <w:t>advance development of combination products</w:t>
      </w:r>
      <w:r w:rsidRPr="000B4250">
        <w:rPr>
          <w:rFonts w:ascii="Times New Roman" w:hAnsi="Times New Roman"/>
          <w:sz w:val="24"/>
        </w:rPr>
        <w:t>.</w:t>
      </w:r>
    </w:p>
    <w:p w14:paraId="27174C41" w14:textId="0BDF8F7E" w:rsidR="008B30AB" w:rsidRPr="000B4250" w:rsidRDefault="00EB7538" w:rsidP="008B30AB">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 xml:space="preserve">Purpose and Use of the Information Collection </w:t>
      </w:r>
    </w:p>
    <w:p w14:paraId="43D51CAD" w14:textId="354F165B" w:rsidR="00D23B6E" w:rsidRPr="000B4250" w:rsidRDefault="009E09EF" w:rsidP="009E09EF">
      <w:pPr>
        <w:ind w:left="720"/>
        <w:rPr>
          <w:rFonts w:ascii="Times New Roman" w:hAnsi="Times New Roman"/>
          <w:sz w:val="24"/>
        </w:rPr>
      </w:pPr>
      <w:r w:rsidRPr="000B4250">
        <w:rPr>
          <w:rFonts w:ascii="Times New Roman" w:hAnsi="Times New Roman"/>
          <w:sz w:val="24"/>
        </w:rPr>
        <w:t>FDA’s</w:t>
      </w:r>
      <w:r w:rsidR="00D23B6E" w:rsidRPr="000B4250">
        <w:rPr>
          <w:rFonts w:ascii="Times New Roman" w:hAnsi="Times New Roman"/>
          <w:sz w:val="24"/>
        </w:rPr>
        <w:t xml:space="preserve"> contractor for the independent </w:t>
      </w:r>
      <w:r w:rsidRPr="000B4250">
        <w:rPr>
          <w:rFonts w:ascii="Times New Roman" w:hAnsi="Times New Roman"/>
          <w:sz w:val="24"/>
        </w:rPr>
        <w:t xml:space="preserve">combination product review practices </w:t>
      </w:r>
      <w:r w:rsidR="00D23B6E" w:rsidRPr="000B4250">
        <w:rPr>
          <w:rFonts w:ascii="Times New Roman" w:hAnsi="Times New Roman"/>
          <w:sz w:val="24"/>
        </w:rPr>
        <w:t>assessment has prepared a draft protocol and script</w:t>
      </w:r>
      <w:r w:rsidR="008004C7" w:rsidRPr="000B4250">
        <w:rPr>
          <w:rFonts w:ascii="Times New Roman" w:hAnsi="Times New Roman"/>
          <w:sz w:val="24"/>
        </w:rPr>
        <w:t>s</w:t>
      </w:r>
      <w:r w:rsidR="00D23B6E" w:rsidRPr="000B4250">
        <w:rPr>
          <w:rFonts w:ascii="Times New Roman" w:hAnsi="Times New Roman"/>
          <w:sz w:val="24"/>
        </w:rPr>
        <w:t xml:space="preserve"> for scheduling and conducting interviews with </w:t>
      </w:r>
      <w:r w:rsidR="00EA7014" w:rsidRPr="000B4250">
        <w:rPr>
          <w:rFonts w:ascii="Times New Roman" w:hAnsi="Times New Roman"/>
          <w:sz w:val="24"/>
        </w:rPr>
        <w:t xml:space="preserve">a sample of </w:t>
      </w:r>
      <w:r w:rsidRPr="000B4250">
        <w:rPr>
          <w:rFonts w:ascii="Times New Roman" w:hAnsi="Times New Roman"/>
          <w:sz w:val="24"/>
        </w:rPr>
        <w:t xml:space="preserve">sponsors who submit combination product </w:t>
      </w:r>
      <w:r w:rsidR="00185AEB" w:rsidRPr="000B4250">
        <w:rPr>
          <w:rFonts w:ascii="Times New Roman" w:hAnsi="Times New Roman"/>
          <w:sz w:val="24"/>
        </w:rPr>
        <w:t xml:space="preserve">RFDs, </w:t>
      </w:r>
      <w:r w:rsidRPr="000B4250">
        <w:rPr>
          <w:rFonts w:ascii="Times New Roman" w:hAnsi="Times New Roman"/>
          <w:sz w:val="24"/>
        </w:rPr>
        <w:t xml:space="preserve">pre-RFDs, </w:t>
      </w:r>
      <w:r w:rsidR="00185AEB" w:rsidRPr="000B4250">
        <w:rPr>
          <w:rFonts w:ascii="Times New Roman" w:hAnsi="Times New Roman"/>
          <w:sz w:val="24"/>
        </w:rPr>
        <w:t xml:space="preserve">INDs, and </w:t>
      </w:r>
      <w:r w:rsidRPr="000B4250">
        <w:rPr>
          <w:rFonts w:ascii="Times New Roman" w:hAnsi="Times New Roman"/>
          <w:sz w:val="24"/>
        </w:rPr>
        <w:t xml:space="preserve">pre-INDs and with </w:t>
      </w:r>
      <w:r w:rsidR="00D23B6E" w:rsidRPr="000B4250">
        <w:rPr>
          <w:rFonts w:ascii="Times New Roman" w:hAnsi="Times New Roman"/>
          <w:sz w:val="24"/>
        </w:rPr>
        <w:t xml:space="preserve">applicants </w:t>
      </w:r>
      <w:r w:rsidRPr="000B4250">
        <w:rPr>
          <w:rFonts w:ascii="Times New Roman" w:hAnsi="Times New Roman"/>
          <w:sz w:val="24"/>
        </w:rPr>
        <w:t>who receive first review cycle actions from FDA on combination product</w:t>
      </w:r>
      <w:r w:rsidR="00D23B6E" w:rsidRPr="000B4250">
        <w:rPr>
          <w:rFonts w:ascii="Times New Roman" w:hAnsi="Times New Roman"/>
          <w:sz w:val="24"/>
        </w:rPr>
        <w:t xml:space="preserve"> </w:t>
      </w:r>
      <w:r w:rsidRPr="000B4250">
        <w:rPr>
          <w:rFonts w:ascii="Times New Roman" w:hAnsi="Times New Roman"/>
          <w:sz w:val="24"/>
        </w:rPr>
        <w:t xml:space="preserve">NDAs and BLAs. </w:t>
      </w:r>
      <w:r w:rsidR="002E5444">
        <w:rPr>
          <w:rFonts w:ascii="Times New Roman" w:hAnsi="Times New Roman"/>
          <w:sz w:val="24"/>
        </w:rPr>
        <w:t xml:space="preserve">Most of these respondents are private-sector companies; a few are education, non-profit, or government organizations. </w:t>
      </w:r>
      <w:r w:rsidR="00D23B6E" w:rsidRPr="000B4250">
        <w:rPr>
          <w:rFonts w:ascii="Times New Roman" w:hAnsi="Times New Roman"/>
          <w:sz w:val="24"/>
        </w:rPr>
        <w:t>The protocol</w:t>
      </w:r>
      <w:r w:rsidRPr="000B4250">
        <w:rPr>
          <w:rFonts w:ascii="Times New Roman" w:hAnsi="Times New Roman"/>
          <w:sz w:val="24"/>
        </w:rPr>
        <w:t>s ensure</w:t>
      </w:r>
      <w:r w:rsidR="00D23B6E" w:rsidRPr="000B4250">
        <w:rPr>
          <w:rFonts w:ascii="Times New Roman" w:hAnsi="Times New Roman"/>
          <w:sz w:val="24"/>
        </w:rPr>
        <w:t xml:space="preserve"> that </w:t>
      </w:r>
      <w:r w:rsidR="00BB419B" w:rsidRPr="000B4250">
        <w:rPr>
          <w:rFonts w:ascii="Times New Roman" w:hAnsi="Times New Roman"/>
          <w:sz w:val="24"/>
        </w:rPr>
        <w:t>ERG</w:t>
      </w:r>
      <w:r w:rsidR="00D23B6E" w:rsidRPr="000B4250">
        <w:rPr>
          <w:rFonts w:ascii="Times New Roman" w:hAnsi="Times New Roman"/>
          <w:sz w:val="24"/>
        </w:rPr>
        <w:t xml:space="preserve"> is aware of all </w:t>
      </w:r>
      <w:r w:rsidRPr="000B4250">
        <w:rPr>
          <w:rFonts w:ascii="Times New Roman" w:hAnsi="Times New Roman"/>
          <w:sz w:val="24"/>
        </w:rPr>
        <w:t>entities</w:t>
      </w:r>
      <w:r w:rsidR="00D23B6E" w:rsidRPr="000B4250">
        <w:rPr>
          <w:rFonts w:ascii="Times New Roman" w:hAnsi="Times New Roman"/>
          <w:sz w:val="24"/>
        </w:rPr>
        <w:t xml:space="preserve"> who are candidates for interviews and schedules and conducts interviews in a timely, consistent manner using good interview practices. The </w:t>
      </w:r>
      <w:r w:rsidRPr="000B4250">
        <w:rPr>
          <w:rFonts w:ascii="Times New Roman" w:hAnsi="Times New Roman"/>
          <w:sz w:val="24"/>
        </w:rPr>
        <w:t xml:space="preserve">interview </w:t>
      </w:r>
      <w:r w:rsidR="00D23B6E" w:rsidRPr="000B4250">
        <w:rPr>
          <w:rFonts w:ascii="Times New Roman" w:hAnsi="Times New Roman"/>
          <w:sz w:val="24"/>
        </w:rPr>
        <w:t>script</w:t>
      </w:r>
      <w:r w:rsidR="002E3241" w:rsidRPr="000B4250">
        <w:rPr>
          <w:rFonts w:ascii="Times New Roman" w:hAnsi="Times New Roman"/>
          <w:sz w:val="24"/>
        </w:rPr>
        <w:t>s include</w:t>
      </w:r>
      <w:r w:rsidR="00D23B6E" w:rsidRPr="000B4250">
        <w:rPr>
          <w:rFonts w:ascii="Times New Roman" w:hAnsi="Times New Roman"/>
          <w:sz w:val="24"/>
        </w:rPr>
        <w:t xml:space="preserve"> open-ended questions aimed at obtaining a thorough understanding of </w:t>
      </w:r>
      <w:r w:rsidRPr="000B4250">
        <w:rPr>
          <w:rFonts w:ascii="Times New Roman" w:hAnsi="Times New Roman"/>
          <w:sz w:val="24"/>
        </w:rPr>
        <w:t>sponsor/applicant</w:t>
      </w:r>
      <w:r w:rsidR="00D23B6E" w:rsidRPr="000B4250">
        <w:rPr>
          <w:rFonts w:ascii="Times New Roman" w:hAnsi="Times New Roman"/>
          <w:sz w:val="24"/>
        </w:rPr>
        <w:t xml:space="preserve"> experiences and insights about </w:t>
      </w:r>
      <w:r w:rsidRPr="000B4250">
        <w:rPr>
          <w:rFonts w:ascii="Times New Roman" w:hAnsi="Times New Roman"/>
          <w:sz w:val="24"/>
        </w:rPr>
        <w:t>review practices</w:t>
      </w:r>
      <w:r w:rsidR="00D23B6E" w:rsidRPr="000B4250">
        <w:rPr>
          <w:rFonts w:ascii="Times New Roman" w:hAnsi="Times New Roman"/>
          <w:sz w:val="24"/>
        </w:rPr>
        <w:t xml:space="preserve"> for their </w:t>
      </w:r>
      <w:r w:rsidR="002E3241" w:rsidRPr="000B4250">
        <w:rPr>
          <w:rFonts w:ascii="Times New Roman" w:hAnsi="Times New Roman"/>
          <w:sz w:val="24"/>
        </w:rPr>
        <w:t>combination product</w:t>
      </w:r>
      <w:r w:rsidRPr="000B4250">
        <w:rPr>
          <w:rFonts w:ascii="Times New Roman" w:hAnsi="Times New Roman"/>
          <w:sz w:val="24"/>
        </w:rPr>
        <w:t>s</w:t>
      </w:r>
      <w:r w:rsidR="002E3241" w:rsidRPr="000B4250">
        <w:rPr>
          <w:rFonts w:ascii="Times New Roman" w:hAnsi="Times New Roman"/>
          <w:sz w:val="24"/>
        </w:rPr>
        <w:t>.</w:t>
      </w:r>
    </w:p>
    <w:p w14:paraId="61B9E220" w14:textId="77777777" w:rsidR="00D23B6E" w:rsidRPr="000B4250" w:rsidRDefault="00D23B6E" w:rsidP="00D23B6E">
      <w:pPr>
        <w:ind w:left="720"/>
        <w:rPr>
          <w:rFonts w:ascii="Times New Roman" w:hAnsi="Times New Roman"/>
          <w:sz w:val="24"/>
        </w:rPr>
      </w:pPr>
    </w:p>
    <w:p w14:paraId="3324D831" w14:textId="07AA7A4D" w:rsidR="00D23B6E" w:rsidRPr="000B4250" w:rsidRDefault="002E3241" w:rsidP="00D23B6E">
      <w:pPr>
        <w:ind w:left="720"/>
        <w:rPr>
          <w:rFonts w:ascii="Times New Roman" w:hAnsi="Times New Roman"/>
          <w:sz w:val="24"/>
        </w:rPr>
      </w:pPr>
      <w:r w:rsidRPr="000B4250">
        <w:rPr>
          <w:rFonts w:ascii="Times New Roman" w:hAnsi="Times New Roman"/>
          <w:sz w:val="24"/>
        </w:rPr>
        <w:lastRenderedPageBreak/>
        <w:t>The contractor</w:t>
      </w:r>
      <w:r w:rsidR="00D23B6E" w:rsidRPr="000B4250">
        <w:rPr>
          <w:rFonts w:ascii="Times New Roman" w:hAnsi="Times New Roman"/>
          <w:sz w:val="24"/>
        </w:rPr>
        <w:t xml:space="preserve"> will analyze open-ended responses to identify practices that </w:t>
      </w:r>
      <w:r w:rsidR="00386C34" w:rsidRPr="000B4250">
        <w:rPr>
          <w:rFonts w:ascii="Times New Roman" w:hAnsi="Times New Roman"/>
          <w:sz w:val="24"/>
        </w:rPr>
        <w:t xml:space="preserve">sponsors perceive as helpful to the </w:t>
      </w:r>
      <w:r w:rsidR="00BB419B" w:rsidRPr="000B4250">
        <w:rPr>
          <w:rFonts w:ascii="Times New Roman" w:hAnsi="Times New Roman"/>
          <w:sz w:val="24"/>
        </w:rPr>
        <w:t>combination product development or review process as well as practices</w:t>
      </w:r>
      <w:r w:rsidR="00D23B6E" w:rsidRPr="000B4250">
        <w:rPr>
          <w:rFonts w:ascii="Times New Roman" w:hAnsi="Times New Roman"/>
          <w:sz w:val="24"/>
        </w:rPr>
        <w:t xml:space="preserve"> that might benefit from improvement. In addition, ERG will consider how interview responses might explain or provide context for results from other parts of the independent assessment, such as metrics pertaining to </w:t>
      </w:r>
      <w:r w:rsidR="00BB419B" w:rsidRPr="000B4250">
        <w:rPr>
          <w:rFonts w:ascii="Times New Roman" w:hAnsi="Times New Roman"/>
          <w:sz w:val="24"/>
        </w:rPr>
        <w:t>Inter-Center Consult R</w:t>
      </w:r>
      <w:r w:rsidR="0028150A" w:rsidRPr="000B4250">
        <w:rPr>
          <w:rFonts w:ascii="Times New Roman" w:hAnsi="Times New Roman"/>
          <w:sz w:val="24"/>
        </w:rPr>
        <w:t>equests (ICCRs)</w:t>
      </w:r>
      <w:r w:rsidR="00D23B6E" w:rsidRPr="000B4250">
        <w:rPr>
          <w:rFonts w:ascii="Times New Roman" w:hAnsi="Times New Roman"/>
          <w:sz w:val="24"/>
        </w:rPr>
        <w:t xml:space="preserve">. In this way, ERG will use interview responses to complement and supplement data on </w:t>
      </w:r>
      <w:r w:rsidR="0028150A" w:rsidRPr="000B4250">
        <w:rPr>
          <w:rFonts w:ascii="Times New Roman" w:hAnsi="Times New Roman"/>
          <w:sz w:val="24"/>
        </w:rPr>
        <w:t>combination product review</w:t>
      </w:r>
      <w:r w:rsidR="00D23B6E" w:rsidRPr="000B4250">
        <w:rPr>
          <w:rFonts w:ascii="Times New Roman" w:hAnsi="Times New Roman"/>
          <w:sz w:val="24"/>
        </w:rPr>
        <w:t xml:space="preserve"> parameters obtained through other means</w:t>
      </w:r>
      <w:r w:rsidR="0053134F" w:rsidRPr="000B4250">
        <w:rPr>
          <w:rFonts w:ascii="Times New Roman" w:hAnsi="Times New Roman"/>
          <w:sz w:val="24"/>
        </w:rPr>
        <w:t xml:space="preserve">, such as </w:t>
      </w:r>
      <w:r w:rsidR="00217DCF" w:rsidRPr="000B4250">
        <w:rPr>
          <w:rFonts w:ascii="Times New Roman" w:hAnsi="Times New Roman"/>
          <w:sz w:val="24"/>
        </w:rPr>
        <w:t xml:space="preserve">extraction of data from </w:t>
      </w:r>
      <w:r w:rsidR="002462BA" w:rsidRPr="000B4250">
        <w:rPr>
          <w:rFonts w:ascii="Times New Roman" w:hAnsi="Times New Roman"/>
          <w:sz w:val="24"/>
        </w:rPr>
        <w:t xml:space="preserve">FDA </w:t>
      </w:r>
      <w:r w:rsidR="00217DCF" w:rsidRPr="000B4250">
        <w:rPr>
          <w:rFonts w:ascii="Times New Roman" w:hAnsi="Times New Roman"/>
          <w:sz w:val="24"/>
        </w:rPr>
        <w:t xml:space="preserve">corporate </w:t>
      </w:r>
      <w:r w:rsidR="002462BA" w:rsidRPr="000B4250">
        <w:rPr>
          <w:rFonts w:ascii="Times New Roman" w:hAnsi="Times New Roman"/>
          <w:sz w:val="24"/>
        </w:rPr>
        <w:t>database</w:t>
      </w:r>
      <w:r w:rsidR="00217DCF" w:rsidRPr="000B4250">
        <w:rPr>
          <w:rFonts w:ascii="Times New Roman" w:hAnsi="Times New Roman"/>
          <w:sz w:val="24"/>
        </w:rPr>
        <w:t>s</w:t>
      </w:r>
      <w:r w:rsidR="002462BA" w:rsidRPr="000B4250">
        <w:rPr>
          <w:rFonts w:ascii="Times New Roman" w:hAnsi="Times New Roman"/>
          <w:sz w:val="24"/>
        </w:rPr>
        <w:t xml:space="preserve"> and </w:t>
      </w:r>
      <w:r w:rsidR="0053134F" w:rsidRPr="000B4250">
        <w:rPr>
          <w:rFonts w:ascii="Times New Roman" w:hAnsi="Times New Roman"/>
          <w:sz w:val="24"/>
        </w:rPr>
        <w:t>interview</w:t>
      </w:r>
      <w:r w:rsidR="00217DCF" w:rsidRPr="000B4250">
        <w:rPr>
          <w:rFonts w:ascii="Times New Roman" w:hAnsi="Times New Roman"/>
          <w:sz w:val="24"/>
        </w:rPr>
        <w:t>s with</w:t>
      </w:r>
      <w:r w:rsidR="0053134F" w:rsidRPr="000B4250">
        <w:rPr>
          <w:rFonts w:ascii="Times New Roman" w:hAnsi="Times New Roman"/>
          <w:sz w:val="24"/>
        </w:rPr>
        <w:t xml:space="preserve"> FDA review staff</w:t>
      </w:r>
      <w:r w:rsidR="00D23B6E" w:rsidRPr="000B4250">
        <w:rPr>
          <w:rFonts w:ascii="Times New Roman" w:hAnsi="Times New Roman"/>
          <w:sz w:val="24"/>
        </w:rPr>
        <w:t xml:space="preserve">. ERG will synthesize and interpret the results to develop a set of findings and recommendations for </w:t>
      </w:r>
      <w:r w:rsidR="0028150A" w:rsidRPr="000B4250">
        <w:rPr>
          <w:rFonts w:ascii="Times New Roman" w:hAnsi="Times New Roman"/>
          <w:sz w:val="24"/>
        </w:rPr>
        <w:t>combination product reviews</w:t>
      </w:r>
      <w:r w:rsidR="00D23B6E" w:rsidRPr="000B4250">
        <w:rPr>
          <w:rFonts w:ascii="Times New Roman" w:hAnsi="Times New Roman"/>
          <w:sz w:val="24"/>
        </w:rPr>
        <w:t xml:space="preserve"> to be included in </w:t>
      </w:r>
      <w:r w:rsidR="0028150A" w:rsidRPr="000B4250">
        <w:rPr>
          <w:rFonts w:ascii="Times New Roman" w:hAnsi="Times New Roman"/>
          <w:sz w:val="24"/>
        </w:rPr>
        <w:t>the</w:t>
      </w:r>
      <w:r w:rsidR="004F53BA" w:rsidRPr="000B4250">
        <w:rPr>
          <w:rFonts w:ascii="Times New Roman" w:hAnsi="Times New Roman"/>
          <w:sz w:val="24"/>
        </w:rPr>
        <w:t xml:space="preserve"> final assessment report</w:t>
      </w:r>
      <w:r w:rsidR="00D23B6E" w:rsidRPr="000B4250">
        <w:rPr>
          <w:rFonts w:ascii="Times New Roman" w:hAnsi="Times New Roman"/>
          <w:sz w:val="24"/>
        </w:rPr>
        <w:t>.</w:t>
      </w:r>
    </w:p>
    <w:p w14:paraId="27869F3A" w14:textId="77777777" w:rsidR="00D23B6E" w:rsidRPr="000B4250" w:rsidRDefault="00D23B6E" w:rsidP="00D23B6E">
      <w:pPr>
        <w:ind w:left="720"/>
        <w:rPr>
          <w:rFonts w:ascii="Times New Roman" w:hAnsi="Times New Roman"/>
          <w:sz w:val="24"/>
        </w:rPr>
      </w:pPr>
    </w:p>
    <w:p w14:paraId="72973C39" w14:textId="77777777" w:rsidR="00D23B6E" w:rsidRPr="000B4250" w:rsidRDefault="00D23B6E" w:rsidP="00D23B6E">
      <w:pPr>
        <w:ind w:left="720"/>
        <w:rPr>
          <w:rFonts w:ascii="Times New Roman" w:hAnsi="Times New Roman"/>
          <w:sz w:val="24"/>
        </w:rPr>
      </w:pPr>
      <w:r w:rsidRPr="000B4250">
        <w:rPr>
          <w:rFonts w:ascii="Times New Roman" w:hAnsi="Times New Roman"/>
          <w:sz w:val="24"/>
        </w:rPr>
        <w:t>In turn, FDA will use the independent assessment results, findings, and recommendations to:</w:t>
      </w:r>
    </w:p>
    <w:p w14:paraId="2EEE53D7" w14:textId="77777777" w:rsidR="00D23B6E" w:rsidRPr="000B4250" w:rsidRDefault="00D23B6E" w:rsidP="00D23B6E">
      <w:pPr>
        <w:rPr>
          <w:rFonts w:ascii="Times New Roman" w:hAnsi="Times New Roman"/>
          <w:sz w:val="24"/>
        </w:rPr>
      </w:pPr>
    </w:p>
    <w:p w14:paraId="08131FC6" w14:textId="77777777" w:rsidR="00D23B6E" w:rsidRPr="000B4250" w:rsidRDefault="00D23B6E" w:rsidP="003763FE">
      <w:pPr>
        <w:pStyle w:val="ListParagraph"/>
        <w:numPr>
          <w:ilvl w:val="0"/>
          <w:numId w:val="3"/>
        </w:numPr>
        <w:spacing w:line="22" w:lineRule="atLeast"/>
        <w:ind w:left="1440"/>
        <w:contextualSpacing w:val="0"/>
        <w:rPr>
          <w:rFonts w:ascii="Times New Roman" w:hAnsi="Times New Roman"/>
          <w:sz w:val="24"/>
          <w:szCs w:val="24"/>
        </w:rPr>
      </w:pPr>
      <w:r w:rsidRPr="000B4250">
        <w:rPr>
          <w:rFonts w:ascii="Times New Roman" w:hAnsi="Times New Roman"/>
          <w:sz w:val="24"/>
          <w:szCs w:val="24"/>
        </w:rPr>
        <w:t xml:space="preserve">Determine the </w:t>
      </w:r>
      <w:r w:rsidR="00460E39" w:rsidRPr="000B4250">
        <w:rPr>
          <w:rFonts w:ascii="Times New Roman" w:hAnsi="Times New Roman"/>
          <w:sz w:val="24"/>
          <w:szCs w:val="24"/>
        </w:rPr>
        <w:t>current state of combination product development and review practices</w:t>
      </w:r>
      <w:r w:rsidRPr="000B4250">
        <w:rPr>
          <w:rFonts w:ascii="Times New Roman" w:hAnsi="Times New Roman"/>
          <w:sz w:val="24"/>
          <w:szCs w:val="24"/>
        </w:rPr>
        <w:t>.</w:t>
      </w:r>
    </w:p>
    <w:p w14:paraId="60B6990A" w14:textId="77777777" w:rsidR="00D23B6E" w:rsidRPr="000B4250" w:rsidRDefault="00D23B6E" w:rsidP="003763FE">
      <w:pPr>
        <w:pStyle w:val="ListParagraph"/>
        <w:numPr>
          <w:ilvl w:val="0"/>
          <w:numId w:val="3"/>
        </w:numPr>
        <w:spacing w:line="22" w:lineRule="atLeast"/>
        <w:ind w:left="1440"/>
        <w:contextualSpacing w:val="0"/>
        <w:rPr>
          <w:rFonts w:ascii="Times New Roman" w:hAnsi="Times New Roman"/>
          <w:sz w:val="24"/>
          <w:szCs w:val="24"/>
        </w:rPr>
      </w:pPr>
      <w:r w:rsidRPr="000B4250">
        <w:rPr>
          <w:rFonts w:ascii="Times New Roman" w:hAnsi="Times New Roman"/>
          <w:sz w:val="24"/>
          <w:szCs w:val="24"/>
        </w:rPr>
        <w:t xml:space="preserve">Determine whether and how to refine </w:t>
      </w:r>
      <w:r w:rsidR="00460E39" w:rsidRPr="000B4250">
        <w:rPr>
          <w:rFonts w:ascii="Times New Roman" w:hAnsi="Times New Roman"/>
          <w:sz w:val="24"/>
          <w:szCs w:val="24"/>
        </w:rPr>
        <w:t>combination product review practices to reflect a modern landscape</w:t>
      </w:r>
      <w:r w:rsidRPr="000B4250">
        <w:rPr>
          <w:rFonts w:ascii="Times New Roman" w:hAnsi="Times New Roman"/>
          <w:sz w:val="24"/>
          <w:szCs w:val="24"/>
        </w:rPr>
        <w:t>.</w:t>
      </w:r>
    </w:p>
    <w:p w14:paraId="5819F19E" w14:textId="025565B0" w:rsidR="00D23B6E" w:rsidRPr="000B4250" w:rsidRDefault="00D23B6E" w:rsidP="003763FE">
      <w:pPr>
        <w:pStyle w:val="ListParagraph"/>
        <w:numPr>
          <w:ilvl w:val="0"/>
          <w:numId w:val="3"/>
        </w:numPr>
        <w:spacing w:line="22" w:lineRule="atLeast"/>
        <w:ind w:left="1440"/>
        <w:contextualSpacing w:val="0"/>
        <w:rPr>
          <w:rFonts w:ascii="Times New Roman" w:hAnsi="Times New Roman"/>
          <w:sz w:val="24"/>
          <w:szCs w:val="24"/>
        </w:rPr>
      </w:pPr>
      <w:r w:rsidRPr="000B4250">
        <w:rPr>
          <w:rFonts w:ascii="Times New Roman" w:hAnsi="Times New Roman"/>
          <w:sz w:val="24"/>
          <w:szCs w:val="24"/>
        </w:rPr>
        <w:t>Demonstrate compliance with the commitment to con</w:t>
      </w:r>
      <w:r w:rsidR="00A42703" w:rsidRPr="000B4250">
        <w:rPr>
          <w:rFonts w:ascii="Times New Roman" w:hAnsi="Times New Roman"/>
          <w:sz w:val="24"/>
          <w:szCs w:val="24"/>
        </w:rPr>
        <w:t>duct and publish an independent assessment</w:t>
      </w:r>
      <w:r w:rsidRPr="000B4250">
        <w:rPr>
          <w:rFonts w:ascii="Times New Roman" w:hAnsi="Times New Roman"/>
          <w:sz w:val="24"/>
          <w:szCs w:val="24"/>
        </w:rPr>
        <w:t>.</w:t>
      </w:r>
    </w:p>
    <w:p w14:paraId="08147E4A" w14:textId="61F55613" w:rsidR="00811E40" w:rsidRPr="000B4250" w:rsidRDefault="00D23B6E" w:rsidP="003763FE">
      <w:pPr>
        <w:pStyle w:val="ListParagraph"/>
        <w:numPr>
          <w:ilvl w:val="0"/>
          <w:numId w:val="3"/>
        </w:numPr>
        <w:spacing w:line="22" w:lineRule="atLeast"/>
        <w:ind w:left="1440"/>
        <w:contextualSpacing w:val="0"/>
        <w:rPr>
          <w:rFonts w:ascii="Times New Roman" w:hAnsi="Times New Roman"/>
          <w:sz w:val="24"/>
          <w:szCs w:val="24"/>
        </w:rPr>
      </w:pPr>
      <w:r w:rsidRPr="000B4250">
        <w:rPr>
          <w:rFonts w:ascii="Times New Roman" w:hAnsi="Times New Roman"/>
          <w:sz w:val="24"/>
          <w:szCs w:val="24"/>
        </w:rPr>
        <w:t xml:space="preserve">Share information about </w:t>
      </w:r>
      <w:r w:rsidR="00460E39" w:rsidRPr="000B4250">
        <w:rPr>
          <w:rFonts w:ascii="Times New Roman" w:hAnsi="Times New Roman"/>
          <w:sz w:val="24"/>
          <w:szCs w:val="24"/>
        </w:rPr>
        <w:t>combination product review practices</w:t>
      </w:r>
      <w:r w:rsidRPr="000B4250">
        <w:rPr>
          <w:rFonts w:ascii="Times New Roman" w:hAnsi="Times New Roman"/>
          <w:sz w:val="24"/>
          <w:szCs w:val="24"/>
        </w:rPr>
        <w:t xml:space="preserve"> with the regulated community, the public health community, Congress, and the </w:t>
      </w:r>
      <w:r w:rsidR="002F0415" w:rsidRPr="000B4250">
        <w:rPr>
          <w:rFonts w:ascii="Times New Roman" w:hAnsi="Times New Roman"/>
          <w:sz w:val="24"/>
          <w:szCs w:val="24"/>
        </w:rPr>
        <w:t>general public</w:t>
      </w:r>
      <w:r w:rsidRPr="000B4250">
        <w:rPr>
          <w:rFonts w:ascii="Times New Roman" w:hAnsi="Times New Roman"/>
          <w:sz w:val="24"/>
          <w:szCs w:val="24"/>
        </w:rPr>
        <w:t>.</w:t>
      </w:r>
    </w:p>
    <w:p w14:paraId="7678E3D9" w14:textId="77777777" w:rsidR="002746DB" w:rsidRPr="000B4250" w:rsidRDefault="00EB7538" w:rsidP="00EB7538">
      <w:pPr>
        <w:numPr>
          <w:ilvl w:val="0"/>
          <w:numId w:val="1"/>
        </w:numPr>
        <w:spacing w:before="100" w:beforeAutospacing="1" w:after="100" w:afterAutospacing="1"/>
        <w:ind w:right="-1440"/>
        <w:rPr>
          <w:rFonts w:ascii="Times New Roman" w:hAnsi="Times New Roman"/>
          <w:sz w:val="24"/>
          <w:u w:val="single"/>
        </w:rPr>
      </w:pPr>
      <w:r w:rsidRPr="000B4250">
        <w:rPr>
          <w:rFonts w:ascii="Times New Roman" w:hAnsi="Times New Roman"/>
          <w:sz w:val="24"/>
          <w:u w:val="single"/>
        </w:rPr>
        <w:t xml:space="preserve">Use of Improved Information Technology and Burden Reduction </w:t>
      </w:r>
    </w:p>
    <w:p w14:paraId="16C9FAFD" w14:textId="22CFF5E2" w:rsidR="00664151" w:rsidRPr="000B4250" w:rsidRDefault="00A42703" w:rsidP="00664151">
      <w:pPr>
        <w:ind w:left="720"/>
        <w:rPr>
          <w:rFonts w:ascii="Times New Roman" w:hAnsi="Times New Roman"/>
          <w:sz w:val="24"/>
        </w:rPr>
      </w:pPr>
      <w:r w:rsidRPr="000B4250">
        <w:rPr>
          <w:rFonts w:ascii="Times New Roman" w:hAnsi="Times New Roman"/>
          <w:sz w:val="24"/>
        </w:rPr>
        <w:t>FDA’s contractor</w:t>
      </w:r>
      <w:r w:rsidR="00664151" w:rsidRPr="000B4250">
        <w:rPr>
          <w:rFonts w:ascii="Times New Roman" w:hAnsi="Times New Roman"/>
          <w:sz w:val="24"/>
        </w:rPr>
        <w:t xml:space="preserve"> will not employ any web-based resources in soliciting </w:t>
      </w:r>
      <w:r w:rsidRPr="000B4250">
        <w:rPr>
          <w:rFonts w:ascii="Times New Roman" w:hAnsi="Times New Roman"/>
          <w:sz w:val="24"/>
        </w:rPr>
        <w:t>combination product sponsor/applicant</w:t>
      </w:r>
      <w:r w:rsidR="00664151" w:rsidRPr="000B4250">
        <w:rPr>
          <w:rFonts w:ascii="Times New Roman" w:hAnsi="Times New Roman"/>
          <w:sz w:val="24"/>
        </w:rPr>
        <w:t xml:space="preserve"> feedback. While online surveys can be distributed quickly and easily to a large volume of respondents, they are not the best vehicle for discussing the nuances of respondents</w:t>
      </w:r>
      <w:r w:rsidR="00484FDE" w:rsidRPr="000B4250">
        <w:rPr>
          <w:rFonts w:ascii="Times New Roman" w:hAnsi="Times New Roman"/>
          <w:sz w:val="24"/>
        </w:rPr>
        <w:t>’</w:t>
      </w:r>
      <w:r w:rsidR="00664151" w:rsidRPr="000B4250">
        <w:rPr>
          <w:rFonts w:ascii="Times New Roman" w:hAnsi="Times New Roman"/>
          <w:sz w:val="24"/>
        </w:rPr>
        <w:t xml:space="preserve"> individual experiences, insights, and reasoning. Even surveys with open-ended questions do not permit immediate follow-up exchanges to clarify or elucidate responses; any follow-up requires additional contact with respondents, increasing burden. Interviews provide the more detailed and nuanced feedback needed for this independent assessment in a way that minimizes burden.</w:t>
      </w:r>
    </w:p>
    <w:p w14:paraId="5DAE78D3" w14:textId="77777777" w:rsidR="00664151" w:rsidRPr="000B4250" w:rsidRDefault="00664151" w:rsidP="00664151">
      <w:pPr>
        <w:ind w:left="720"/>
        <w:rPr>
          <w:rFonts w:ascii="Times New Roman" w:hAnsi="Times New Roman"/>
          <w:sz w:val="24"/>
        </w:rPr>
      </w:pPr>
    </w:p>
    <w:p w14:paraId="31C9CD1C" w14:textId="23A88E07" w:rsidR="00811E40" w:rsidRPr="000B4250" w:rsidRDefault="00A42703" w:rsidP="00F61746">
      <w:pPr>
        <w:ind w:left="720"/>
        <w:rPr>
          <w:rFonts w:ascii="Times New Roman" w:hAnsi="Times New Roman"/>
          <w:sz w:val="24"/>
        </w:rPr>
      </w:pPr>
      <w:r w:rsidRPr="000B4250">
        <w:rPr>
          <w:rFonts w:ascii="Times New Roman" w:hAnsi="Times New Roman"/>
          <w:sz w:val="24"/>
        </w:rPr>
        <w:t>The contractor will</w:t>
      </w:r>
      <w:r w:rsidR="00664151" w:rsidRPr="000B4250">
        <w:rPr>
          <w:rFonts w:ascii="Times New Roman" w:hAnsi="Times New Roman"/>
          <w:sz w:val="24"/>
        </w:rPr>
        <w:t xml:space="preserve"> minimize burden by offering to conduct interviews by telephone or videoconference if meeting in person is burdensome. </w:t>
      </w:r>
      <w:r w:rsidRPr="000B4250">
        <w:rPr>
          <w:rFonts w:ascii="Times New Roman" w:hAnsi="Times New Roman"/>
          <w:sz w:val="24"/>
        </w:rPr>
        <w:t xml:space="preserve">Based on experience with previous PDUFA-related assessments, </w:t>
      </w:r>
      <w:r w:rsidR="00703AD0" w:rsidRPr="000B4250">
        <w:rPr>
          <w:rFonts w:ascii="Times New Roman" w:hAnsi="Times New Roman"/>
          <w:sz w:val="24"/>
        </w:rPr>
        <w:t>FDA</w:t>
      </w:r>
      <w:r w:rsidR="00664151" w:rsidRPr="000B4250">
        <w:rPr>
          <w:rFonts w:ascii="Times New Roman" w:hAnsi="Times New Roman"/>
          <w:sz w:val="24"/>
        </w:rPr>
        <w:t xml:space="preserve"> estimates that 9</w:t>
      </w:r>
      <w:r w:rsidR="00703AD0" w:rsidRPr="000B4250">
        <w:rPr>
          <w:rFonts w:ascii="Times New Roman" w:hAnsi="Times New Roman"/>
          <w:sz w:val="24"/>
        </w:rPr>
        <w:t>5</w:t>
      </w:r>
      <w:r w:rsidR="00664151" w:rsidRPr="000B4250">
        <w:rPr>
          <w:rFonts w:ascii="Times New Roman" w:hAnsi="Times New Roman"/>
          <w:sz w:val="24"/>
        </w:rPr>
        <w:t xml:space="preserve">% of respondents will opt for interviews by telephone or videoconference. </w:t>
      </w:r>
      <w:r w:rsidR="00703AD0" w:rsidRPr="000B4250">
        <w:rPr>
          <w:rFonts w:ascii="Times New Roman" w:hAnsi="Times New Roman"/>
          <w:sz w:val="24"/>
        </w:rPr>
        <w:t xml:space="preserve">FDA estimates that 5% of interview participants will participate in person because of their proximity to an interview location. </w:t>
      </w:r>
      <w:r w:rsidR="00664151" w:rsidRPr="000B4250">
        <w:rPr>
          <w:rFonts w:ascii="Times New Roman" w:hAnsi="Times New Roman"/>
          <w:sz w:val="24"/>
        </w:rPr>
        <w:t>Finally, the interview instrument has been designed to elicit the desired feedback in as short an interview time as possible.</w:t>
      </w:r>
    </w:p>
    <w:p w14:paraId="25CE8A55" w14:textId="77777777" w:rsidR="002746DB"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 xml:space="preserve">Efforts to Identify Duplication and Use of Similar Information </w:t>
      </w:r>
    </w:p>
    <w:p w14:paraId="5EF29177" w14:textId="229ED6EE" w:rsidR="00664151" w:rsidRPr="000B4250" w:rsidRDefault="00C30733" w:rsidP="004F29EF">
      <w:pPr>
        <w:ind w:left="720"/>
        <w:rPr>
          <w:rFonts w:ascii="Times New Roman" w:hAnsi="Times New Roman"/>
          <w:sz w:val="24"/>
        </w:rPr>
      </w:pPr>
      <w:r w:rsidRPr="000B4250">
        <w:rPr>
          <w:rFonts w:ascii="Times New Roman" w:hAnsi="Times New Roman"/>
          <w:sz w:val="24"/>
        </w:rPr>
        <w:t xml:space="preserve">The information from combination product sponsors and applicants that FDA seeks is unique to this assessment and does not currently exist. FDA’s contractor will request </w:t>
      </w:r>
      <w:r w:rsidR="001058A7" w:rsidRPr="000B4250">
        <w:rPr>
          <w:rFonts w:ascii="Times New Roman" w:hAnsi="Times New Roman"/>
          <w:sz w:val="24"/>
        </w:rPr>
        <w:t xml:space="preserve">combination product </w:t>
      </w:r>
      <w:r w:rsidRPr="000B4250">
        <w:rPr>
          <w:rFonts w:ascii="Times New Roman" w:hAnsi="Times New Roman"/>
          <w:sz w:val="24"/>
        </w:rPr>
        <w:t xml:space="preserve">sponsor/applicant feedback </w:t>
      </w:r>
      <w:r w:rsidR="001058A7" w:rsidRPr="000B4250">
        <w:rPr>
          <w:rFonts w:ascii="Times New Roman" w:hAnsi="Times New Roman"/>
          <w:sz w:val="24"/>
        </w:rPr>
        <w:t xml:space="preserve">shortly after FDA reviews their submissions </w:t>
      </w:r>
      <w:r w:rsidRPr="000B4250">
        <w:rPr>
          <w:rFonts w:ascii="Times New Roman" w:hAnsi="Times New Roman"/>
          <w:sz w:val="24"/>
        </w:rPr>
        <w:t xml:space="preserve">during the data collection period. No other known entities are collecting </w:t>
      </w:r>
      <w:r w:rsidR="001058A7" w:rsidRPr="000B4250">
        <w:rPr>
          <w:rFonts w:ascii="Times New Roman" w:hAnsi="Times New Roman"/>
          <w:sz w:val="24"/>
        </w:rPr>
        <w:t>combination product</w:t>
      </w:r>
      <w:r w:rsidRPr="000B4250">
        <w:rPr>
          <w:rFonts w:ascii="Times New Roman" w:hAnsi="Times New Roman"/>
          <w:sz w:val="24"/>
        </w:rPr>
        <w:t xml:space="preserve">-specific feedback on </w:t>
      </w:r>
      <w:r w:rsidR="001058A7" w:rsidRPr="000B4250">
        <w:rPr>
          <w:rFonts w:ascii="Times New Roman" w:hAnsi="Times New Roman"/>
          <w:sz w:val="24"/>
        </w:rPr>
        <w:t>review</w:t>
      </w:r>
      <w:r w:rsidRPr="000B4250">
        <w:rPr>
          <w:rFonts w:ascii="Times New Roman" w:hAnsi="Times New Roman"/>
          <w:sz w:val="24"/>
        </w:rPr>
        <w:t xml:space="preserve"> practices </w:t>
      </w:r>
      <w:r w:rsidR="001058A7" w:rsidRPr="000B4250">
        <w:rPr>
          <w:rFonts w:ascii="Times New Roman" w:hAnsi="Times New Roman"/>
          <w:sz w:val="24"/>
        </w:rPr>
        <w:t>during these stages</w:t>
      </w:r>
      <w:r w:rsidRPr="000B4250">
        <w:rPr>
          <w:rFonts w:ascii="Times New Roman" w:hAnsi="Times New Roman"/>
          <w:sz w:val="24"/>
        </w:rPr>
        <w:t xml:space="preserve"> of drug development. Furthermore, FDA is conducting this information collection in support of a commitment made to industry for PDUFA VI.</w:t>
      </w:r>
    </w:p>
    <w:p w14:paraId="51F5AEF5" w14:textId="77777777" w:rsidR="002746DB"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Impact on Small Businesses or Other Small Entities</w:t>
      </w:r>
    </w:p>
    <w:p w14:paraId="5945C50B" w14:textId="61F8235C" w:rsidR="005F0264" w:rsidRPr="000B4250" w:rsidRDefault="00253675" w:rsidP="00253675">
      <w:pPr>
        <w:pStyle w:val="ListParagraph"/>
        <w:rPr>
          <w:rFonts w:ascii="Times New Roman" w:hAnsi="Times New Roman"/>
          <w:sz w:val="24"/>
          <w:szCs w:val="24"/>
        </w:rPr>
      </w:pPr>
      <w:r w:rsidRPr="000B4250">
        <w:rPr>
          <w:rFonts w:ascii="Times New Roman" w:hAnsi="Times New Roman"/>
          <w:sz w:val="24"/>
          <w:szCs w:val="24"/>
        </w:rPr>
        <w:t xml:space="preserve">FDA estimates that approximately 39% of interview respondents (about </w:t>
      </w:r>
      <w:r w:rsidR="001C58A7" w:rsidRPr="000B4250">
        <w:rPr>
          <w:rFonts w:ascii="Times New Roman" w:hAnsi="Times New Roman"/>
          <w:sz w:val="24"/>
          <w:szCs w:val="24"/>
        </w:rPr>
        <w:t>187</w:t>
      </w:r>
      <w:r w:rsidRPr="000B4250">
        <w:rPr>
          <w:rFonts w:ascii="Times New Roman" w:hAnsi="Times New Roman"/>
          <w:sz w:val="24"/>
          <w:szCs w:val="24"/>
        </w:rPr>
        <w:t xml:space="preserve"> individuals) will be employed by sponsors that are small businesses (where small business is defined as having </w:t>
      </w:r>
      <w:r w:rsidR="00484FDE" w:rsidRPr="000B4250">
        <w:rPr>
          <w:rFonts w:ascii="Times New Roman" w:hAnsi="Times New Roman"/>
          <w:sz w:val="24"/>
          <w:szCs w:val="24"/>
        </w:rPr>
        <w:t>up to</w:t>
      </w:r>
      <w:r w:rsidRPr="000B4250">
        <w:rPr>
          <w:rFonts w:ascii="Times New Roman" w:hAnsi="Times New Roman"/>
          <w:sz w:val="24"/>
          <w:szCs w:val="24"/>
        </w:rPr>
        <w:t xml:space="preserve"> 500 employees). The information being requested has been held to the absolute minimum required for the intended use of the data. In addition, FDA’s</w:t>
      </w:r>
      <w:r w:rsidR="005F0264" w:rsidRPr="000B4250">
        <w:rPr>
          <w:rFonts w:ascii="Times New Roman" w:hAnsi="Times New Roman"/>
          <w:sz w:val="24"/>
          <w:szCs w:val="24"/>
        </w:rPr>
        <w:t xml:space="preserve"> contractor for the independent assessment will not ask small businesses or entities to travel, pay for telephone charges, or incur other unusual expenses. To avoid such expenses and minimize burden, ERG will conduct interviews by telephone if the </w:t>
      </w:r>
      <w:r w:rsidR="004F29EF" w:rsidRPr="000B4250">
        <w:rPr>
          <w:rFonts w:ascii="Times New Roman" w:hAnsi="Times New Roman"/>
          <w:sz w:val="24"/>
          <w:szCs w:val="24"/>
        </w:rPr>
        <w:t>sponsor/</w:t>
      </w:r>
      <w:r w:rsidR="005F0264" w:rsidRPr="000B4250">
        <w:rPr>
          <w:rFonts w:ascii="Times New Roman" w:hAnsi="Times New Roman"/>
          <w:sz w:val="24"/>
          <w:szCs w:val="24"/>
        </w:rPr>
        <w:t xml:space="preserve">applicant </w:t>
      </w:r>
      <w:r w:rsidR="002462BA" w:rsidRPr="000B4250">
        <w:rPr>
          <w:rFonts w:ascii="Times New Roman" w:hAnsi="Times New Roman"/>
          <w:sz w:val="24"/>
          <w:szCs w:val="24"/>
        </w:rPr>
        <w:t xml:space="preserve">chooses or </w:t>
      </w:r>
      <w:r w:rsidR="005F0264" w:rsidRPr="000B4250">
        <w:rPr>
          <w:rFonts w:ascii="Times New Roman" w:hAnsi="Times New Roman"/>
          <w:sz w:val="24"/>
          <w:szCs w:val="24"/>
        </w:rPr>
        <w:t>will not be in or near Silver Spring, MD during the desired interview timeframe.</w:t>
      </w:r>
    </w:p>
    <w:p w14:paraId="0044F21E" w14:textId="77777777" w:rsidR="00CD77C3"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Consequences of Collecting the Information Less Frequently</w:t>
      </w:r>
    </w:p>
    <w:p w14:paraId="5848B97E" w14:textId="204A34AC" w:rsidR="001C58A7" w:rsidRPr="000B4250" w:rsidRDefault="001C58A7" w:rsidP="001C58A7">
      <w:pPr>
        <w:spacing w:after="200"/>
        <w:ind w:left="720"/>
        <w:rPr>
          <w:rFonts w:ascii="Times New Roman" w:hAnsi="Times New Roman"/>
          <w:sz w:val="24"/>
        </w:rPr>
      </w:pPr>
      <w:r w:rsidRPr="000B4250">
        <w:rPr>
          <w:rFonts w:ascii="Times New Roman" w:hAnsi="Times New Roman"/>
          <w:sz w:val="24"/>
        </w:rPr>
        <w:t>FDA</w:t>
      </w:r>
      <w:r w:rsidR="00763EBD">
        <w:rPr>
          <w:rFonts w:ascii="Times New Roman" w:hAnsi="Times New Roman"/>
          <w:sz w:val="24"/>
        </w:rPr>
        <w:t>’s contractor</w:t>
      </w:r>
      <w:r w:rsidRPr="000B4250">
        <w:rPr>
          <w:rFonts w:ascii="Times New Roman" w:hAnsi="Times New Roman"/>
          <w:sz w:val="24"/>
        </w:rPr>
        <w:t xml:space="preserve"> will ask interview respondents to participate in one interview per RFD/</w:t>
      </w:r>
      <w:r w:rsidR="00484FDE" w:rsidRPr="000B4250">
        <w:rPr>
          <w:rFonts w:ascii="Times New Roman" w:hAnsi="Times New Roman"/>
          <w:sz w:val="24"/>
        </w:rPr>
        <w:t>pre-</w:t>
      </w:r>
      <w:r w:rsidRPr="000B4250">
        <w:rPr>
          <w:rFonts w:ascii="Times New Roman" w:hAnsi="Times New Roman"/>
          <w:sz w:val="24"/>
        </w:rPr>
        <w:t>RFD, IND/</w:t>
      </w:r>
      <w:r w:rsidR="00484FDE" w:rsidRPr="000B4250">
        <w:rPr>
          <w:rFonts w:ascii="Times New Roman" w:hAnsi="Times New Roman"/>
          <w:sz w:val="24"/>
        </w:rPr>
        <w:t>pre-</w:t>
      </w:r>
      <w:r w:rsidRPr="000B4250">
        <w:rPr>
          <w:rFonts w:ascii="Times New Roman" w:hAnsi="Times New Roman"/>
          <w:sz w:val="24"/>
        </w:rPr>
        <w:t>IND, or NDA/BLA. This is the minimum frequency possible to obtain the required feedback from sponsors and applicants on their experiences with FDA review practices during combination product development review and application review.</w:t>
      </w:r>
    </w:p>
    <w:p w14:paraId="5706269E" w14:textId="47F8D33D" w:rsidR="001C58A7" w:rsidRPr="000B4250" w:rsidRDefault="001C58A7" w:rsidP="001C58A7">
      <w:pPr>
        <w:spacing w:after="200"/>
        <w:ind w:left="720"/>
        <w:rPr>
          <w:rFonts w:ascii="Times New Roman" w:hAnsi="Times New Roman"/>
          <w:sz w:val="24"/>
        </w:rPr>
      </w:pPr>
      <w:r w:rsidRPr="000B4250">
        <w:rPr>
          <w:rFonts w:ascii="Times New Roman" w:hAnsi="Times New Roman"/>
          <w:sz w:val="24"/>
        </w:rPr>
        <w:t>To maximize respondent recall and minimize burden, FDA</w:t>
      </w:r>
      <w:r w:rsidR="00763EBD">
        <w:rPr>
          <w:rFonts w:ascii="Times New Roman" w:hAnsi="Times New Roman"/>
          <w:sz w:val="24"/>
        </w:rPr>
        <w:t>’s contractor</w:t>
      </w:r>
      <w:r w:rsidRPr="000B4250">
        <w:rPr>
          <w:rFonts w:ascii="Times New Roman" w:hAnsi="Times New Roman"/>
          <w:sz w:val="24"/>
        </w:rPr>
        <w:t xml:space="preserve"> will ask </w:t>
      </w:r>
      <w:r w:rsidR="00F225EB" w:rsidRPr="000B4250">
        <w:rPr>
          <w:rFonts w:ascii="Times New Roman" w:hAnsi="Times New Roman"/>
          <w:sz w:val="24"/>
        </w:rPr>
        <w:t xml:space="preserve">combination product </w:t>
      </w:r>
      <w:r w:rsidRPr="000B4250">
        <w:rPr>
          <w:rFonts w:ascii="Times New Roman" w:hAnsi="Times New Roman"/>
          <w:sz w:val="24"/>
        </w:rPr>
        <w:t xml:space="preserve">sponsors </w:t>
      </w:r>
      <w:r w:rsidR="00F225EB" w:rsidRPr="000B4250">
        <w:rPr>
          <w:rFonts w:ascii="Times New Roman" w:hAnsi="Times New Roman"/>
          <w:sz w:val="24"/>
        </w:rPr>
        <w:t xml:space="preserve">and applicants </w:t>
      </w:r>
      <w:r w:rsidRPr="000B4250">
        <w:rPr>
          <w:rFonts w:ascii="Times New Roman" w:hAnsi="Times New Roman"/>
          <w:sz w:val="24"/>
        </w:rPr>
        <w:t xml:space="preserve">to discuss their experiences with </w:t>
      </w:r>
      <w:r w:rsidR="00F225EB" w:rsidRPr="000B4250">
        <w:rPr>
          <w:rFonts w:ascii="Times New Roman" w:hAnsi="Times New Roman"/>
          <w:sz w:val="24"/>
        </w:rPr>
        <w:t>submissions and review</w:t>
      </w:r>
      <w:r w:rsidR="00200333" w:rsidRPr="000B4250">
        <w:rPr>
          <w:rFonts w:ascii="Times New Roman" w:hAnsi="Times New Roman"/>
          <w:sz w:val="24"/>
        </w:rPr>
        <w:t xml:space="preserve"> experience</w:t>
      </w:r>
      <w:r w:rsidR="00F225EB" w:rsidRPr="000B4250">
        <w:rPr>
          <w:rFonts w:ascii="Times New Roman" w:hAnsi="Times New Roman"/>
          <w:sz w:val="24"/>
        </w:rPr>
        <w:t>s shortly</w:t>
      </w:r>
      <w:r w:rsidRPr="000B4250">
        <w:rPr>
          <w:rFonts w:ascii="Times New Roman" w:hAnsi="Times New Roman"/>
          <w:sz w:val="24"/>
        </w:rPr>
        <w:t xml:space="preserve"> after they </w:t>
      </w:r>
      <w:r w:rsidR="00200333" w:rsidRPr="000B4250">
        <w:rPr>
          <w:rFonts w:ascii="Times New Roman" w:hAnsi="Times New Roman"/>
          <w:sz w:val="24"/>
        </w:rPr>
        <w:t xml:space="preserve">receive an FDA decision or action (i.e., RFD decision or </w:t>
      </w:r>
      <w:r w:rsidR="0085723B" w:rsidRPr="000B4250">
        <w:rPr>
          <w:rFonts w:ascii="Times New Roman" w:hAnsi="Times New Roman"/>
          <w:sz w:val="24"/>
        </w:rPr>
        <w:t>pre-RFD ass</w:t>
      </w:r>
      <w:r w:rsidR="007824F2" w:rsidRPr="000B4250">
        <w:rPr>
          <w:rFonts w:ascii="Times New Roman" w:hAnsi="Times New Roman"/>
          <w:sz w:val="24"/>
        </w:rPr>
        <w:t>essment</w:t>
      </w:r>
      <w:r w:rsidR="00200333" w:rsidRPr="000B4250">
        <w:rPr>
          <w:rFonts w:ascii="Times New Roman" w:hAnsi="Times New Roman"/>
          <w:sz w:val="24"/>
        </w:rPr>
        <w:t>,</w:t>
      </w:r>
      <w:r w:rsidR="0085723B" w:rsidRPr="000B4250">
        <w:rPr>
          <w:rFonts w:ascii="Times New Roman" w:hAnsi="Times New Roman"/>
          <w:sz w:val="24"/>
        </w:rPr>
        <w:t xml:space="preserve"> </w:t>
      </w:r>
      <w:r w:rsidR="00200333" w:rsidRPr="000B4250">
        <w:rPr>
          <w:rFonts w:ascii="Times New Roman" w:hAnsi="Times New Roman"/>
          <w:sz w:val="24"/>
        </w:rPr>
        <w:t xml:space="preserve">IND decision or pre-IND assessment, </w:t>
      </w:r>
      <w:r w:rsidR="0085723B" w:rsidRPr="000B4250">
        <w:rPr>
          <w:rFonts w:ascii="Times New Roman" w:hAnsi="Times New Roman"/>
          <w:sz w:val="24"/>
        </w:rPr>
        <w:t>or NDA/BLA first-cycle action</w:t>
      </w:r>
      <w:r w:rsidR="00200333" w:rsidRPr="000B4250">
        <w:rPr>
          <w:rFonts w:ascii="Times New Roman" w:hAnsi="Times New Roman"/>
          <w:sz w:val="24"/>
        </w:rPr>
        <w:t>)</w:t>
      </w:r>
      <w:r w:rsidR="0085723B" w:rsidRPr="000B4250">
        <w:rPr>
          <w:rFonts w:ascii="Times New Roman" w:hAnsi="Times New Roman"/>
          <w:sz w:val="24"/>
        </w:rPr>
        <w:t>.</w:t>
      </w:r>
    </w:p>
    <w:p w14:paraId="2A10AF5A" w14:textId="3FC08048" w:rsidR="00F202EB" w:rsidRPr="000B4250" w:rsidRDefault="00F202EB" w:rsidP="001C58A7">
      <w:pPr>
        <w:spacing w:after="200"/>
        <w:ind w:left="720"/>
        <w:rPr>
          <w:rFonts w:ascii="Times New Roman" w:hAnsi="Times New Roman"/>
          <w:sz w:val="24"/>
        </w:rPr>
      </w:pPr>
      <w:r w:rsidRPr="000B4250">
        <w:rPr>
          <w:rFonts w:ascii="Times New Roman" w:hAnsi="Times New Roman"/>
          <w:sz w:val="24"/>
        </w:rPr>
        <w:t xml:space="preserve">There would be several consequences of not collecting the data as proposed. First, </w:t>
      </w:r>
      <w:r w:rsidR="008E535A" w:rsidRPr="000B4250">
        <w:rPr>
          <w:rFonts w:ascii="Times New Roman" w:hAnsi="Times New Roman"/>
          <w:sz w:val="24"/>
        </w:rPr>
        <w:t>FDA would not fulfill its</w:t>
      </w:r>
      <w:r w:rsidRPr="000B4250">
        <w:rPr>
          <w:rFonts w:ascii="Times New Roman" w:hAnsi="Times New Roman"/>
          <w:sz w:val="24"/>
        </w:rPr>
        <w:t xml:space="preserve"> PDUFA VI </w:t>
      </w:r>
      <w:r w:rsidR="008E535A" w:rsidRPr="000B4250">
        <w:rPr>
          <w:rFonts w:ascii="Times New Roman" w:hAnsi="Times New Roman"/>
          <w:sz w:val="24"/>
        </w:rPr>
        <w:t>commitment to conduct an independent assessment of combination product review practices with sponsor/applicant input</w:t>
      </w:r>
      <w:r w:rsidRPr="000B4250">
        <w:rPr>
          <w:rFonts w:ascii="Times New Roman" w:hAnsi="Times New Roman"/>
          <w:sz w:val="24"/>
        </w:rPr>
        <w:t xml:space="preserve">. Second, FDA would lack </w:t>
      </w:r>
      <w:r w:rsidR="008E535A" w:rsidRPr="000B4250">
        <w:rPr>
          <w:rFonts w:ascii="Times New Roman" w:hAnsi="Times New Roman"/>
          <w:sz w:val="24"/>
        </w:rPr>
        <w:t>sponsor/</w:t>
      </w:r>
      <w:r w:rsidRPr="000B4250">
        <w:rPr>
          <w:rFonts w:ascii="Times New Roman" w:hAnsi="Times New Roman"/>
          <w:sz w:val="24"/>
        </w:rPr>
        <w:t>applicant perspectives on best practices and potential improvements for combination product reviews to help advance the development of combination products during PDUFA VI. Finally, applicants would not have the opportunities they expect to share their opinions about the combination product review process.</w:t>
      </w:r>
    </w:p>
    <w:p w14:paraId="7FAF31BC" w14:textId="4A7CD002" w:rsidR="001C58A7" w:rsidRPr="000B4250" w:rsidRDefault="00E73299" w:rsidP="001C58A7">
      <w:pPr>
        <w:ind w:left="720"/>
        <w:rPr>
          <w:rFonts w:ascii="Times New Roman" w:hAnsi="Times New Roman"/>
          <w:sz w:val="24"/>
        </w:rPr>
      </w:pPr>
      <w:r w:rsidRPr="000B4250">
        <w:rPr>
          <w:rFonts w:ascii="Times New Roman" w:hAnsi="Times New Roman"/>
          <w:sz w:val="24"/>
        </w:rPr>
        <w:t>The proposed data collection is a one time only</w:t>
      </w:r>
      <w:r w:rsidR="001C58A7" w:rsidRPr="000B4250">
        <w:rPr>
          <w:rFonts w:ascii="Times New Roman" w:hAnsi="Times New Roman"/>
          <w:sz w:val="24"/>
        </w:rPr>
        <w:t>.</w:t>
      </w:r>
    </w:p>
    <w:p w14:paraId="7EAE68FE" w14:textId="77777777" w:rsidR="00CD77C3"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Special Circumstances Relating to the Guidelines of 5 CFR 1320.5</w:t>
      </w:r>
    </w:p>
    <w:p w14:paraId="03FEDDBA" w14:textId="77777777" w:rsidR="00162FB2" w:rsidRPr="000B4250" w:rsidRDefault="00162FB2" w:rsidP="00565FD8">
      <w:pPr>
        <w:ind w:left="720"/>
        <w:rPr>
          <w:rFonts w:ascii="Times New Roman" w:hAnsi="Times New Roman"/>
          <w:sz w:val="24"/>
        </w:rPr>
      </w:pPr>
      <w:r w:rsidRPr="000B4250">
        <w:rPr>
          <w:rFonts w:ascii="Times New Roman" w:hAnsi="Times New Roman"/>
          <w:sz w:val="24"/>
        </w:rPr>
        <w:t>There are no special circumstances for the collection of information.</w:t>
      </w:r>
    </w:p>
    <w:p w14:paraId="638CC903" w14:textId="77777777" w:rsidR="00CD77C3"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Comments in Response to the Federal Register Notice and Efforts to Consult Outside the Agency</w:t>
      </w:r>
    </w:p>
    <w:p w14:paraId="27B86681" w14:textId="2AD352D5" w:rsidR="001E4B30" w:rsidRPr="000B4250" w:rsidRDefault="00E73299" w:rsidP="001E4B30">
      <w:pPr>
        <w:pStyle w:val="ListParagraph"/>
        <w:rPr>
          <w:rFonts w:ascii="Times New Roman" w:hAnsi="Times New Roman"/>
          <w:sz w:val="24"/>
          <w:szCs w:val="24"/>
        </w:rPr>
      </w:pPr>
      <w:r w:rsidRPr="000B4250">
        <w:rPr>
          <w:rFonts w:ascii="Times New Roman" w:hAnsi="Times New Roman"/>
          <w:sz w:val="24"/>
          <w:szCs w:val="24"/>
        </w:rPr>
        <w:t>In accordance with 5 CFR 1320.8(d), FDA published a 60-day notice for public comment in the FEDERAL REGISTER of 9/27/2018 (83 FR 48822).  No comments were received.</w:t>
      </w:r>
    </w:p>
    <w:p w14:paraId="7C035454" w14:textId="77777777" w:rsidR="00CD77C3" w:rsidRPr="000B4250" w:rsidRDefault="00EB7538" w:rsidP="00E00EA0">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Explanation of Any Payment or Gift to Respondents</w:t>
      </w:r>
    </w:p>
    <w:p w14:paraId="35FF27B0" w14:textId="77777777" w:rsidR="005F62E1" w:rsidRPr="000B4250" w:rsidRDefault="005F62E1" w:rsidP="005F62E1">
      <w:pPr>
        <w:spacing w:after="200"/>
        <w:ind w:left="720"/>
        <w:rPr>
          <w:rFonts w:ascii="Times New Roman" w:hAnsi="Times New Roman"/>
          <w:sz w:val="24"/>
        </w:rPr>
      </w:pPr>
      <w:r w:rsidRPr="000B4250">
        <w:rPr>
          <w:rFonts w:ascii="Times New Roman" w:hAnsi="Times New Roman"/>
          <w:sz w:val="24"/>
        </w:rPr>
        <w:t>No incentives are being offered to respondents to participate in this information collection.</w:t>
      </w:r>
    </w:p>
    <w:p w14:paraId="3F13D9B2" w14:textId="77777777" w:rsidR="00CD77C3"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Assurance of Confidentiality Provided to Respondents</w:t>
      </w:r>
    </w:p>
    <w:p w14:paraId="4002A48B" w14:textId="6BF60399" w:rsidR="00636D45" w:rsidRPr="000B4250" w:rsidRDefault="00636D45" w:rsidP="00636D45">
      <w:pPr>
        <w:ind w:left="720"/>
        <w:rPr>
          <w:rFonts w:ascii="Times New Roman" w:hAnsi="Times New Roman"/>
          <w:sz w:val="24"/>
        </w:rPr>
      </w:pPr>
      <w:r w:rsidRPr="000B4250">
        <w:rPr>
          <w:rFonts w:ascii="Times New Roman" w:hAnsi="Times New Roman"/>
          <w:sz w:val="24"/>
        </w:rPr>
        <w:t xml:space="preserve">FDA has enlisted an independent contractor, ERG, to conduct the interviews that comprise this data collection. FDA staff will not participate in any surveys or interviews with sponsors and applicants. In addition, ERG will keep </w:t>
      </w:r>
      <w:r w:rsidR="00F83977" w:rsidRPr="000B4250">
        <w:rPr>
          <w:rFonts w:ascii="Times New Roman" w:hAnsi="Times New Roman"/>
          <w:sz w:val="24"/>
        </w:rPr>
        <w:t xml:space="preserve">individual </w:t>
      </w:r>
      <w:r w:rsidRPr="000B4250">
        <w:rPr>
          <w:rFonts w:ascii="Times New Roman" w:hAnsi="Times New Roman"/>
          <w:sz w:val="24"/>
        </w:rPr>
        <w:t>respondent information private by</w:t>
      </w:r>
      <w:r w:rsidR="00E73299" w:rsidRPr="000B4250">
        <w:rPr>
          <w:rFonts w:ascii="Times New Roman" w:hAnsi="Times New Roman"/>
          <w:sz w:val="24"/>
        </w:rPr>
        <w:t>:</w:t>
      </w:r>
      <w:r w:rsidRPr="000B4250">
        <w:rPr>
          <w:rFonts w:ascii="Times New Roman" w:hAnsi="Times New Roman"/>
          <w:sz w:val="24"/>
        </w:rPr>
        <w:t xml:space="preserve"> (1) handling all information processing internally</w:t>
      </w:r>
      <w:r w:rsidR="00E73299" w:rsidRPr="000B4250">
        <w:rPr>
          <w:rFonts w:ascii="Times New Roman" w:hAnsi="Times New Roman"/>
          <w:sz w:val="24"/>
        </w:rPr>
        <w:t>;</w:t>
      </w:r>
      <w:r w:rsidRPr="000B4250">
        <w:rPr>
          <w:rFonts w:ascii="Times New Roman" w:hAnsi="Times New Roman"/>
          <w:sz w:val="24"/>
        </w:rPr>
        <w:t xml:space="preserve"> (2) securely storing raw interview information</w:t>
      </w:r>
      <w:r w:rsidR="00E73299" w:rsidRPr="000B4250">
        <w:rPr>
          <w:rFonts w:ascii="Times New Roman" w:hAnsi="Times New Roman"/>
          <w:sz w:val="24"/>
        </w:rPr>
        <w:t>;</w:t>
      </w:r>
      <w:r w:rsidRPr="000B4250">
        <w:rPr>
          <w:rFonts w:ascii="Times New Roman" w:hAnsi="Times New Roman"/>
          <w:sz w:val="24"/>
        </w:rPr>
        <w:t xml:space="preserve"> and (3) sharing only anonymized aggregated summaries of results with FDA and the public.</w:t>
      </w:r>
    </w:p>
    <w:p w14:paraId="408E802B" w14:textId="00F5C485" w:rsidR="00636D45" w:rsidRPr="000B4250" w:rsidRDefault="00636D45" w:rsidP="00636D45">
      <w:pPr>
        <w:ind w:left="720"/>
        <w:rPr>
          <w:rFonts w:ascii="Times New Roman" w:hAnsi="Times New Roman"/>
          <w:sz w:val="24"/>
        </w:rPr>
      </w:pPr>
    </w:p>
    <w:p w14:paraId="446224C5" w14:textId="57D7D0C2" w:rsidR="00636D45" w:rsidRPr="000B4250" w:rsidRDefault="00636D45" w:rsidP="00636D45">
      <w:pPr>
        <w:ind w:left="720"/>
        <w:rPr>
          <w:rFonts w:ascii="Times New Roman" w:hAnsi="Times New Roman"/>
          <w:sz w:val="24"/>
        </w:rPr>
      </w:pPr>
      <w:r w:rsidRPr="000B4250">
        <w:rPr>
          <w:rFonts w:ascii="Times New Roman" w:hAnsi="Times New Roman"/>
          <w:sz w:val="24"/>
        </w:rPr>
        <w:t>FDA maintains its own data on RFDs/</w:t>
      </w:r>
      <w:r w:rsidR="003C495A" w:rsidRPr="000B4250">
        <w:rPr>
          <w:rFonts w:ascii="Times New Roman" w:hAnsi="Times New Roman"/>
          <w:sz w:val="24"/>
        </w:rPr>
        <w:t>pre-</w:t>
      </w:r>
      <w:r w:rsidRPr="000B4250">
        <w:rPr>
          <w:rFonts w:ascii="Times New Roman" w:hAnsi="Times New Roman"/>
          <w:sz w:val="24"/>
        </w:rPr>
        <w:t>RFDs, INDs/</w:t>
      </w:r>
      <w:r w:rsidR="003C495A" w:rsidRPr="000B4250">
        <w:rPr>
          <w:rFonts w:ascii="Times New Roman" w:hAnsi="Times New Roman"/>
          <w:sz w:val="24"/>
        </w:rPr>
        <w:t>pre-</w:t>
      </w:r>
      <w:r w:rsidRPr="000B4250">
        <w:rPr>
          <w:rFonts w:ascii="Times New Roman" w:hAnsi="Times New Roman"/>
          <w:sz w:val="24"/>
        </w:rPr>
        <w:t xml:space="preserve">INDs, NDAs/BLAs, and their associated sponsors </w:t>
      </w:r>
      <w:r w:rsidR="00E55E5C" w:rsidRPr="000B4250">
        <w:rPr>
          <w:rFonts w:ascii="Times New Roman" w:hAnsi="Times New Roman"/>
          <w:sz w:val="24"/>
        </w:rPr>
        <w:t>and</w:t>
      </w:r>
      <w:r w:rsidRPr="000B4250">
        <w:rPr>
          <w:rFonts w:ascii="Times New Roman" w:hAnsi="Times New Roman"/>
          <w:sz w:val="24"/>
        </w:rPr>
        <w:t xml:space="preserve"> applicants. Therefore, the agency will know what sponsor/applicant organizations could be asked to participate in interviews for this project. FDA will not know which organizations—or which individuals employed by these organizations—responded to interview requests.</w:t>
      </w:r>
    </w:p>
    <w:p w14:paraId="6F80CD3F" w14:textId="77777777" w:rsidR="00636D45" w:rsidRPr="000B4250" w:rsidRDefault="00636D45" w:rsidP="00636D45">
      <w:pPr>
        <w:ind w:left="720"/>
        <w:rPr>
          <w:rFonts w:ascii="Times New Roman" w:hAnsi="Times New Roman"/>
          <w:sz w:val="24"/>
        </w:rPr>
      </w:pPr>
    </w:p>
    <w:p w14:paraId="26073D21" w14:textId="77777777" w:rsidR="009E6729" w:rsidRPr="000B4250" w:rsidRDefault="00162FB2" w:rsidP="009E6729">
      <w:pPr>
        <w:spacing w:after="200"/>
        <w:ind w:left="720"/>
        <w:rPr>
          <w:rFonts w:ascii="Times New Roman" w:hAnsi="Times New Roman"/>
          <w:sz w:val="24"/>
        </w:rPr>
      </w:pPr>
      <w:r w:rsidRPr="000B4250">
        <w:rPr>
          <w:rFonts w:ascii="Times New Roman" w:hAnsi="Times New Roman"/>
          <w:sz w:val="24"/>
        </w:rPr>
        <w:t>While there is no express assura</w:t>
      </w:r>
      <w:r w:rsidR="005F62E1" w:rsidRPr="000B4250">
        <w:rPr>
          <w:rFonts w:ascii="Times New Roman" w:hAnsi="Times New Roman"/>
          <w:sz w:val="24"/>
        </w:rPr>
        <w:t>nce of confidentiality that can</w:t>
      </w:r>
      <w:r w:rsidRPr="000B4250">
        <w:rPr>
          <w:rFonts w:ascii="Times New Roman" w:hAnsi="Times New Roman"/>
          <w:sz w:val="24"/>
        </w:rPr>
        <w:t xml:space="preserve"> be supported by law, the design of the data collection will allow responses to be anonymous. Interviewees will be assured of the privacy, to the extent available under law, of their responses through language placed prominently on all interview materials as well as introductory comments made by the interviewer. </w:t>
      </w:r>
      <w:r w:rsidR="009E6729" w:rsidRPr="000B4250">
        <w:rPr>
          <w:rFonts w:ascii="Times New Roman" w:hAnsi="Times New Roman"/>
          <w:sz w:val="24"/>
        </w:rPr>
        <w:t>ERG will assure respondents of the privacy of their information by incorporating the following text into survey instruments and interview scripts:</w:t>
      </w:r>
    </w:p>
    <w:p w14:paraId="7EC0D25B" w14:textId="546D9BE7" w:rsidR="009E6729" w:rsidRPr="000B4250" w:rsidRDefault="009E6729" w:rsidP="009E6729">
      <w:pPr>
        <w:spacing w:after="200"/>
        <w:ind w:left="1440" w:right="720"/>
        <w:rPr>
          <w:rFonts w:ascii="Times New Roman" w:hAnsi="Times New Roman"/>
          <w:i/>
          <w:sz w:val="24"/>
        </w:rPr>
      </w:pPr>
      <w:r w:rsidRPr="000B4250">
        <w:rPr>
          <w:rFonts w:ascii="Times New Roman" w:hAnsi="Times New Roman"/>
          <w:sz w:val="24"/>
        </w:rPr>
        <w:t xml:space="preserve">“Your participation / nonparticipation is completely voluntary and your responses will not have an effect </w:t>
      </w:r>
      <w:r w:rsidR="007471D9" w:rsidRPr="000B4250">
        <w:rPr>
          <w:rFonts w:ascii="Times New Roman" w:hAnsi="Times New Roman"/>
          <w:sz w:val="24"/>
        </w:rPr>
        <w:t xml:space="preserve">on </w:t>
      </w:r>
      <w:r w:rsidRPr="000B4250">
        <w:rPr>
          <w:rFonts w:ascii="Times New Roman" w:hAnsi="Times New Roman"/>
          <w:sz w:val="24"/>
        </w:rPr>
        <w:t>your eligibility for receipt of any FDA services. In instances where respondent identity is needed (e.g., for follow-up of non-respondents), this information collection fully complies with all aspects of the Privacy Act and data will be kept private to the fullest extent allowed by law.”</w:t>
      </w:r>
    </w:p>
    <w:p w14:paraId="779351D6" w14:textId="675F195E" w:rsidR="00162FB2" w:rsidRPr="000B4250" w:rsidRDefault="00162FB2" w:rsidP="00162FB2">
      <w:pPr>
        <w:ind w:left="720"/>
        <w:rPr>
          <w:rFonts w:ascii="Times New Roman" w:hAnsi="Times New Roman"/>
          <w:sz w:val="24"/>
        </w:rPr>
      </w:pPr>
      <w:r w:rsidRPr="000B4250">
        <w:rPr>
          <w:rFonts w:ascii="Times New Roman" w:hAnsi="Times New Roman"/>
          <w:sz w:val="24"/>
        </w:rPr>
        <w:t>Interviewers will be trained on the privacy of responses and will be prepared to describe the policy in detail, provide examples, and respond to any related questions from participants. For example, the interviewer will explain that each individual’s answers will be combined with those of others and presented in summary form only, and that FDA will not have access to the names of participants.</w:t>
      </w:r>
    </w:p>
    <w:p w14:paraId="196C42D6" w14:textId="5ACD7F40" w:rsidR="002E53A5" w:rsidRPr="000B4250" w:rsidRDefault="002E53A5" w:rsidP="00021BED">
      <w:pPr>
        <w:rPr>
          <w:rFonts w:ascii="Times New Roman" w:hAnsi="Times New Roman"/>
          <w:i/>
          <w:sz w:val="24"/>
        </w:rPr>
      </w:pPr>
    </w:p>
    <w:p w14:paraId="3AEC3272" w14:textId="77777777" w:rsidR="00EA1BAF" w:rsidRPr="000B4250" w:rsidRDefault="00EA1BAF" w:rsidP="00EA1BAF">
      <w:pPr>
        <w:spacing w:after="200"/>
        <w:ind w:left="720"/>
        <w:rPr>
          <w:rFonts w:ascii="Times New Roman" w:hAnsi="Times New Roman"/>
          <w:sz w:val="24"/>
        </w:rPr>
      </w:pPr>
      <w:r w:rsidRPr="000B4250">
        <w:rPr>
          <w:rFonts w:ascii="Times New Roman" w:hAnsi="Times New Roman"/>
          <w:sz w:val="24"/>
        </w:rPr>
        <w:t>This information collection does not involve collection of personally identifiable information (PII). This project does not require Institutional Review Board (IRB) review because this assessment does not constitute biomedical research on human subjects.</w:t>
      </w:r>
    </w:p>
    <w:p w14:paraId="1A0A1CCA" w14:textId="37793E7D"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Justification for Sensitive Questions</w:t>
      </w:r>
    </w:p>
    <w:p w14:paraId="10FF3E43" w14:textId="70A3D9F3" w:rsidR="00FD0F4C" w:rsidRPr="000B4250" w:rsidRDefault="009E6729" w:rsidP="00021BED">
      <w:pPr>
        <w:ind w:left="720"/>
        <w:rPr>
          <w:rFonts w:ascii="Times New Roman" w:hAnsi="Times New Roman"/>
          <w:sz w:val="24"/>
        </w:rPr>
      </w:pPr>
      <w:r w:rsidRPr="000B4250">
        <w:rPr>
          <w:rFonts w:ascii="Times New Roman" w:hAnsi="Times New Roman"/>
          <w:sz w:val="24"/>
        </w:rPr>
        <w:t>No sensitive questions will be asked of respondents during this information collection.</w:t>
      </w:r>
      <w:r w:rsidR="00FD0F4C" w:rsidRPr="000B4250">
        <w:rPr>
          <w:rFonts w:ascii="Times New Roman" w:hAnsi="Times New Roman"/>
          <w:sz w:val="24"/>
        </w:rPr>
        <w:t xml:space="preserve"> Some interview questions ask applicants for frank assessments of the combination product development and review process, which might be perceived as sensitive to some applicants. This information is crucial to understanding the current state of FDA and sponsor practices in </w:t>
      </w:r>
      <w:r w:rsidR="00AB180C" w:rsidRPr="000B4250">
        <w:rPr>
          <w:rFonts w:ascii="Times New Roman" w:hAnsi="Times New Roman"/>
          <w:sz w:val="24"/>
        </w:rPr>
        <w:t>combination product development and review</w:t>
      </w:r>
      <w:r w:rsidR="00FD0F4C" w:rsidRPr="000B4250">
        <w:rPr>
          <w:rFonts w:ascii="Times New Roman" w:hAnsi="Times New Roman"/>
          <w:sz w:val="24"/>
        </w:rPr>
        <w:t xml:space="preserve">, what practices contribute to efficient review, and what practices can be refined to improve review </w:t>
      </w:r>
      <w:r w:rsidR="00AB180C" w:rsidRPr="000B4250">
        <w:rPr>
          <w:rFonts w:ascii="Times New Roman" w:hAnsi="Times New Roman"/>
          <w:sz w:val="24"/>
        </w:rPr>
        <w:t>coordination</w:t>
      </w:r>
      <w:r w:rsidR="00FD0F4C" w:rsidRPr="000B4250">
        <w:rPr>
          <w:rFonts w:ascii="Times New Roman" w:hAnsi="Times New Roman"/>
          <w:sz w:val="24"/>
        </w:rPr>
        <w:t>. The contractor will keep private the identity of individual applicants, as well as each applicant’s responses to interview questions; all interview materials will emphasize this. No individual applicant will be identified as an interviewee to FDA.</w:t>
      </w:r>
    </w:p>
    <w:p w14:paraId="2B045D41"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Estimates of Annualized Burden Hours and Costs</w:t>
      </w:r>
    </w:p>
    <w:p w14:paraId="59E31B88" w14:textId="77777777" w:rsidR="0002514D" w:rsidRPr="000B4250" w:rsidRDefault="0002514D" w:rsidP="0002514D">
      <w:pPr>
        <w:spacing w:after="200"/>
        <w:ind w:left="720"/>
        <w:rPr>
          <w:rFonts w:ascii="Times New Roman" w:hAnsi="Times New Roman"/>
          <w:sz w:val="24"/>
        </w:rPr>
      </w:pPr>
      <w:r w:rsidRPr="000B4250">
        <w:rPr>
          <w:rFonts w:ascii="Times New Roman" w:hAnsi="Times New Roman"/>
          <w:sz w:val="24"/>
        </w:rPr>
        <w:t xml:space="preserve">12 a. </w:t>
      </w:r>
      <w:r w:rsidRPr="000B4250">
        <w:rPr>
          <w:rFonts w:ascii="Times New Roman" w:hAnsi="Times New Roman"/>
          <w:sz w:val="24"/>
          <w:u w:val="single"/>
        </w:rPr>
        <w:t>Annualized Hour Burden Estimate</w:t>
      </w:r>
    </w:p>
    <w:p w14:paraId="3521BAC8" w14:textId="03E536EA" w:rsidR="0002514D" w:rsidRPr="000B4250" w:rsidRDefault="0002514D" w:rsidP="0002514D">
      <w:pPr>
        <w:pStyle w:val="BodyText2"/>
        <w:spacing w:after="200"/>
        <w:ind w:left="720"/>
        <w:rPr>
          <w:rFonts w:ascii="Times New Roman" w:hAnsi="Times New Roman"/>
          <w:sz w:val="24"/>
          <w:szCs w:val="24"/>
        </w:rPr>
      </w:pPr>
      <w:r w:rsidRPr="000B4250">
        <w:rPr>
          <w:rFonts w:ascii="Times New Roman" w:hAnsi="Times New Roman"/>
          <w:sz w:val="24"/>
          <w:szCs w:val="24"/>
        </w:rPr>
        <w:t>Estimated participation times are based on experience with similar interviews for similar types of PDUFA-related assessment projects. Combination product sponsors and applicants will participate in interviews via teleconference or, if convenient, face-to-face meeting; interview questions are attached. The time required to respond to requests for an interview and participate in the interview is estimated to be 90 minutes.</w:t>
      </w:r>
    </w:p>
    <w:p w14:paraId="68B14066" w14:textId="43CE5F69" w:rsidR="00A21353" w:rsidRPr="000B4250" w:rsidRDefault="00A21353" w:rsidP="00A21353">
      <w:pPr>
        <w:pStyle w:val="BodyText2"/>
        <w:spacing w:after="200"/>
        <w:ind w:left="720"/>
        <w:rPr>
          <w:rFonts w:ascii="Times New Roman" w:hAnsi="Times New Roman"/>
          <w:sz w:val="24"/>
          <w:szCs w:val="24"/>
        </w:rPr>
      </w:pPr>
    </w:p>
    <w:p w14:paraId="6B00A4AE" w14:textId="68E346DF" w:rsidR="00AB180C" w:rsidRPr="000B4250" w:rsidRDefault="00AB180C" w:rsidP="00AB180C">
      <w:pPr>
        <w:pStyle w:val="Caption"/>
        <w:ind w:left="720"/>
        <w:rPr>
          <w:rFonts w:ascii="Times New Roman" w:hAnsi="Times New Roman"/>
          <w:sz w:val="24"/>
          <w:szCs w:val="24"/>
        </w:rPr>
      </w:pPr>
      <w:bookmarkStart w:id="1" w:name="_Toc320893936"/>
      <w:r w:rsidRPr="000B4250">
        <w:rPr>
          <w:rFonts w:ascii="Times New Roman" w:hAnsi="Times New Roman"/>
          <w:sz w:val="24"/>
          <w:szCs w:val="24"/>
        </w:rPr>
        <w:t xml:space="preserve">Table 1. Estimated </w:t>
      </w:r>
      <w:r w:rsidR="00B7202A" w:rsidRPr="000B4250">
        <w:rPr>
          <w:rFonts w:ascii="Times New Roman" w:hAnsi="Times New Roman"/>
          <w:sz w:val="24"/>
          <w:szCs w:val="24"/>
        </w:rPr>
        <w:t>annual reporting b</w:t>
      </w:r>
      <w:r w:rsidRPr="000B4250">
        <w:rPr>
          <w:rFonts w:ascii="Times New Roman" w:hAnsi="Times New Roman"/>
          <w:sz w:val="24"/>
          <w:szCs w:val="24"/>
        </w:rPr>
        <w:t>urden</w:t>
      </w:r>
      <w:bookmarkEnd w:id="1"/>
    </w:p>
    <w:tbl>
      <w:tblPr>
        <w:tblW w:w="0" w:type="auto"/>
        <w:tblInd w:w="720" w:type="dxa"/>
        <w:tblBorders>
          <w:top w:val="single" w:sz="12" w:space="0" w:color="365F91"/>
          <w:bottom w:val="single" w:sz="12" w:space="0" w:color="365F91"/>
          <w:insideH w:val="single" w:sz="2" w:space="0" w:color="auto"/>
        </w:tblBorders>
        <w:tblLook w:val="00A0" w:firstRow="1" w:lastRow="0" w:firstColumn="1" w:lastColumn="0" w:noHBand="0" w:noVBand="0"/>
      </w:tblPr>
      <w:tblGrid>
        <w:gridCol w:w="1871"/>
        <w:gridCol w:w="1523"/>
        <w:gridCol w:w="1438"/>
        <w:gridCol w:w="1270"/>
        <w:gridCol w:w="1407"/>
        <w:gridCol w:w="1291"/>
      </w:tblGrid>
      <w:tr w:rsidR="00AB180C" w:rsidRPr="00681A16" w14:paraId="45731C10" w14:textId="77777777" w:rsidTr="00167EBB">
        <w:trPr>
          <w:cantSplit/>
          <w:tblHeader/>
        </w:trPr>
        <w:tc>
          <w:tcPr>
            <w:tcW w:w="1871" w:type="dxa"/>
            <w:tcBorders>
              <w:top w:val="single" w:sz="12" w:space="0" w:color="365F91"/>
              <w:right w:val="single" w:sz="4" w:space="0" w:color="auto"/>
            </w:tcBorders>
            <w:vAlign w:val="center"/>
          </w:tcPr>
          <w:p w14:paraId="12BA9535" w14:textId="77777777" w:rsidR="00AB180C" w:rsidRPr="000B4250" w:rsidRDefault="00AB180C" w:rsidP="00E13ACA">
            <w:pPr>
              <w:jc w:val="center"/>
              <w:rPr>
                <w:rFonts w:ascii="Times New Roman" w:hAnsi="Times New Roman"/>
                <w:b/>
                <w:sz w:val="24"/>
              </w:rPr>
            </w:pPr>
            <w:r w:rsidRPr="000B4250">
              <w:rPr>
                <w:rFonts w:ascii="Times New Roman" w:hAnsi="Times New Roman"/>
                <w:b/>
                <w:sz w:val="24"/>
              </w:rPr>
              <w:t xml:space="preserve">Portion of Study     </w:t>
            </w:r>
          </w:p>
        </w:tc>
        <w:tc>
          <w:tcPr>
            <w:tcW w:w="1523" w:type="dxa"/>
            <w:tcBorders>
              <w:top w:val="single" w:sz="12" w:space="0" w:color="365F91"/>
              <w:right w:val="single" w:sz="4" w:space="0" w:color="auto"/>
            </w:tcBorders>
            <w:vAlign w:val="center"/>
          </w:tcPr>
          <w:p w14:paraId="1AFADE9C" w14:textId="77777777" w:rsidR="00AB180C" w:rsidRPr="000B4250" w:rsidRDefault="00AB180C" w:rsidP="00E13ACA">
            <w:pPr>
              <w:jc w:val="center"/>
              <w:rPr>
                <w:rFonts w:ascii="Times New Roman" w:hAnsi="Times New Roman"/>
                <w:b/>
                <w:sz w:val="24"/>
              </w:rPr>
            </w:pPr>
            <w:r w:rsidRPr="000B4250">
              <w:rPr>
                <w:rFonts w:ascii="Times New Roman" w:hAnsi="Times New Roman"/>
                <w:b/>
                <w:sz w:val="24"/>
              </w:rPr>
              <w:t>No. of Respondents</w:t>
            </w:r>
          </w:p>
        </w:tc>
        <w:tc>
          <w:tcPr>
            <w:tcW w:w="1438" w:type="dxa"/>
            <w:tcBorders>
              <w:top w:val="single" w:sz="12" w:space="0" w:color="365F91"/>
              <w:left w:val="single" w:sz="4" w:space="0" w:color="auto"/>
              <w:right w:val="single" w:sz="4" w:space="0" w:color="auto"/>
            </w:tcBorders>
            <w:vAlign w:val="center"/>
          </w:tcPr>
          <w:p w14:paraId="253ABDAC" w14:textId="77777777" w:rsidR="00AB180C" w:rsidRPr="000B4250" w:rsidRDefault="00AB180C" w:rsidP="00E13ACA">
            <w:pPr>
              <w:jc w:val="center"/>
              <w:rPr>
                <w:rFonts w:ascii="Times New Roman" w:hAnsi="Times New Roman"/>
                <w:b/>
                <w:sz w:val="24"/>
              </w:rPr>
            </w:pPr>
            <w:r w:rsidRPr="000B4250">
              <w:rPr>
                <w:rFonts w:ascii="Times New Roman" w:hAnsi="Times New Roman"/>
                <w:b/>
                <w:sz w:val="24"/>
              </w:rPr>
              <w:t>No. of Responses per Respondent</w:t>
            </w:r>
          </w:p>
        </w:tc>
        <w:tc>
          <w:tcPr>
            <w:tcW w:w="1218" w:type="dxa"/>
            <w:tcBorders>
              <w:top w:val="single" w:sz="12" w:space="0" w:color="365F91"/>
              <w:left w:val="single" w:sz="4" w:space="0" w:color="auto"/>
              <w:right w:val="single" w:sz="4" w:space="0" w:color="auto"/>
            </w:tcBorders>
          </w:tcPr>
          <w:p w14:paraId="598B2F66" w14:textId="77777777" w:rsidR="00AB180C" w:rsidRPr="000B4250" w:rsidRDefault="00AB180C" w:rsidP="00E13ACA">
            <w:pPr>
              <w:jc w:val="center"/>
              <w:rPr>
                <w:rFonts w:ascii="Times New Roman" w:hAnsi="Times New Roman"/>
                <w:b/>
                <w:sz w:val="24"/>
              </w:rPr>
            </w:pPr>
            <w:r w:rsidRPr="000B4250">
              <w:rPr>
                <w:rFonts w:ascii="Times New Roman" w:hAnsi="Times New Roman"/>
                <w:b/>
                <w:sz w:val="24"/>
              </w:rPr>
              <w:t>Total Annual Responses</w:t>
            </w:r>
          </w:p>
        </w:tc>
        <w:tc>
          <w:tcPr>
            <w:tcW w:w="1407" w:type="dxa"/>
            <w:tcBorders>
              <w:top w:val="single" w:sz="12" w:space="0" w:color="365F91"/>
              <w:left w:val="single" w:sz="4" w:space="0" w:color="auto"/>
              <w:right w:val="single" w:sz="4" w:space="0" w:color="auto"/>
            </w:tcBorders>
            <w:vAlign w:val="center"/>
          </w:tcPr>
          <w:p w14:paraId="4BA63392" w14:textId="121D5CCD" w:rsidR="00AB180C" w:rsidRPr="000B4250" w:rsidRDefault="00AB180C" w:rsidP="00E13ACA">
            <w:pPr>
              <w:jc w:val="center"/>
              <w:rPr>
                <w:rFonts w:ascii="Times New Roman" w:hAnsi="Times New Roman"/>
                <w:b/>
                <w:sz w:val="24"/>
              </w:rPr>
            </w:pPr>
            <w:r w:rsidRPr="000B4250">
              <w:rPr>
                <w:rFonts w:ascii="Times New Roman" w:hAnsi="Times New Roman"/>
                <w:b/>
                <w:sz w:val="24"/>
              </w:rPr>
              <w:t xml:space="preserve">Average Burden per Response </w:t>
            </w:r>
          </w:p>
        </w:tc>
        <w:tc>
          <w:tcPr>
            <w:tcW w:w="1291" w:type="dxa"/>
            <w:tcBorders>
              <w:top w:val="single" w:sz="12" w:space="0" w:color="365F91"/>
              <w:left w:val="single" w:sz="4" w:space="0" w:color="auto"/>
            </w:tcBorders>
            <w:vAlign w:val="center"/>
          </w:tcPr>
          <w:p w14:paraId="421547DF" w14:textId="77777777" w:rsidR="00AB180C" w:rsidRPr="000B4250" w:rsidRDefault="00AB180C" w:rsidP="00E13ACA">
            <w:pPr>
              <w:jc w:val="center"/>
              <w:rPr>
                <w:rFonts w:ascii="Times New Roman" w:hAnsi="Times New Roman"/>
                <w:b/>
                <w:sz w:val="24"/>
              </w:rPr>
            </w:pPr>
            <w:r w:rsidRPr="000B4250">
              <w:rPr>
                <w:rFonts w:ascii="Times New Roman" w:hAnsi="Times New Roman"/>
                <w:b/>
                <w:sz w:val="24"/>
              </w:rPr>
              <w:t>Total Hours</w:t>
            </w:r>
          </w:p>
        </w:tc>
      </w:tr>
      <w:tr w:rsidR="00AB180C" w:rsidRPr="00681A16" w14:paraId="0CCCAE8A" w14:textId="77777777" w:rsidTr="00167EBB">
        <w:trPr>
          <w:cantSplit/>
        </w:trPr>
        <w:tc>
          <w:tcPr>
            <w:tcW w:w="1871" w:type="dxa"/>
            <w:tcBorders>
              <w:right w:val="single" w:sz="4" w:space="0" w:color="auto"/>
            </w:tcBorders>
            <w:vAlign w:val="center"/>
          </w:tcPr>
          <w:p w14:paraId="6C087AC9" w14:textId="77777777" w:rsidR="00AB180C" w:rsidRPr="000B4250" w:rsidRDefault="00AB180C" w:rsidP="00E13ACA">
            <w:pPr>
              <w:jc w:val="center"/>
              <w:rPr>
                <w:rFonts w:ascii="Times New Roman" w:hAnsi="Times New Roman"/>
                <w:sz w:val="24"/>
              </w:rPr>
            </w:pPr>
            <w:r w:rsidRPr="000B4250">
              <w:rPr>
                <w:rFonts w:ascii="Times New Roman" w:hAnsi="Times New Roman"/>
                <w:sz w:val="24"/>
              </w:rPr>
              <w:t>Pre-test</w:t>
            </w:r>
          </w:p>
        </w:tc>
        <w:tc>
          <w:tcPr>
            <w:tcW w:w="1523" w:type="dxa"/>
            <w:tcBorders>
              <w:right w:val="single" w:sz="4" w:space="0" w:color="auto"/>
            </w:tcBorders>
            <w:vAlign w:val="center"/>
          </w:tcPr>
          <w:p w14:paraId="1C5B5D38" w14:textId="77777777" w:rsidR="00AB180C" w:rsidRPr="000B4250" w:rsidRDefault="00EB2C10" w:rsidP="00E13ACA">
            <w:pPr>
              <w:jc w:val="center"/>
              <w:rPr>
                <w:rFonts w:ascii="Times New Roman" w:hAnsi="Times New Roman"/>
                <w:sz w:val="24"/>
              </w:rPr>
            </w:pPr>
            <w:r w:rsidRPr="000B4250">
              <w:rPr>
                <w:rFonts w:ascii="Times New Roman" w:hAnsi="Times New Roman"/>
                <w:sz w:val="24"/>
              </w:rPr>
              <w:t>5</w:t>
            </w:r>
          </w:p>
        </w:tc>
        <w:tc>
          <w:tcPr>
            <w:tcW w:w="1438" w:type="dxa"/>
            <w:tcBorders>
              <w:left w:val="single" w:sz="4" w:space="0" w:color="auto"/>
              <w:right w:val="single" w:sz="4" w:space="0" w:color="auto"/>
            </w:tcBorders>
            <w:vAlign w:val="center"/>
          </w:tcPr>
          <w:p w14:paraId="7813EBE8" w14:textId="77777777" w:rsidR="00AB180C" w:rsidRPr="000B4250" w:rsidRDefault="00AB180C" w:rsidP="00E13ACA">
            <w:pPr>
              <w:jc w:val="center"/>
              <w:rPr>
                <w:rFonts w:ascii="Times New Roman" w:hAnsi="Times New Roman"/>
                <w:sz w:val="24"/>
              </w:rPr>
            </w:pPr>
            <w:r w:rsidRPr="000B4250">
              <w:rPr>
                <w:rFonts w:ascii="Times New Roman" w:hAnsi="Times New Roman"/>
                <w:sz w:val="24"/>
              </w:rPr>
              <w:t>1</w:t>
            </w:r>
          </w:p>
        </w:tc>
        <w:tc>
          <w:tcPr>
            <w:tcW w:w="1218" w:type="dxa"/>
            <w:tcBorders>
              <w:left w:val="single" w:sz="4" w:space="0" w:color="auto"/>
              <w:right w:val="single" w:sz="4" w:space="0" w:color="auto"/>
            </w:tcBorders>
          </w:tcPr>
          <w:p w14:paraId="2F4E16D2" w14:textId="77777777" w:rsidR="00AB180C" w:rsidRPr="000B4250" w:rsidRDefault="00EB2C10" w:rsidP="00E13ACA">
            <w:pPr>
              <w:jc w:val="center"/>
              <w:rPr>
                <w:rFonts w:ascii="Times New Roman" w:hAnsi="Times New Roman"/>
                <w:sz w:val="24"/>
              </w:rPr>
            </w:pPr>
            <w:r w:rsidRPr="000B4250">
              <w:rPr>
                <w:rFonts w:ascii="Times New Roman" w:hAnsi="Times New Roman"/>
                <w:sz w:val="24"/>
              </w:rPr>
              <w:t>5</w:t>
            </w:r>
          </w:p>
        </w:tc>
        <w:tc>
          <w:tcPr>
            <w:tcW w:w="1407" w:type="dxa"/>
            <w:tcBorders>
              <w:left w:val="single" w:sz="4" w:space="0" w:color="auto"/>
              <w:right w:val="single" w:sz="4" w:space="0" w:color="auto"/>
            </w:tcBorders>
            <w:vAlign w:val="center"/>
          </w:tcPr>
          <w:p w14:paraId="61CE53B9" w14:textId="50B8A9F7" w:rsidR="00AB180C" w:rsidRPr="000B4250" w:rsidRDefault="00D333EA" w:rsidP="00E13ACA">
            <w:pPr>
              <w:jc w:val="center"/>
              <w:rPr>
                <w:rFonts w:ascii="Times New Roman" w:hAnsi="Times New Roman"/>
                <w:sz w:val="24"/>
              </w:rPr>
            </w:pPr>
            <w:r>
              <w:rPr>
                <w:rFonts w:ascii="Times New Roman" w:hAnsi="Times New Roman"/>
                <w:sz w:val="24"/>
              </w:rPr>
              <w:t>1.5</w:t>
            </w:r>
          </w:p>
        </w:tc>
        <w:tc>
          <w:tcPr>
            <w:tcW w:w="1291" w:type="dxa"/>
            <w:tcBorders>
              <w:left w:val="single" w:sz="4" w:space="0" w:color="auto"/>
            </w:tcBorders>
            <w:vAlign w:val="center"/>
          </w:tcPr>
          <w:p w14:paraId="436ECD74" w14:textId="3FAB7FDF" w:rsidR="00AB180C" w:rsidRPr="000B4250" w:rsidRDefault="00D333EA" w:rsidP="00B617CE">
            <w:pPr>
              <w:jc w:val="center"/>
              <w:rPr>
                <w:rFonts w:ascii="Times New Roman" w:hAnsi="Times New Roman"/>
                <w:sz w:val="24"/>
              </w:rPr>
            </w:pPr>
            <w:r>
              <w:rPr>
                <w:rFonts w:ascii="Times New Roman" w:hAnsi="Times New Roman"/>
                <w:sz w:val="24"/>
              </w:rPr>
              <w:t>7.5</w:t>
            </w:r>
          </w:p>
        </w:tc>
      </w:tr>
      <w:tr w:rsidR="00AB180C" w:rsidRPr="00681A16" w14:paraId="0BD063B0" w14:textId="77777777" w:rsidTr="00167EBB">
        <w:trPr>
          <w:cantSplit/>
        </w:trPr>
        <w:tc>
          <w:tcPr>
            <w:tcW w:w="1871" w:type="dxa"/>
            <w:tcBorders>
              <w:right w:val="single" w:sz="4" w:space="0" w:color="auto"/>
            </w:tcBorders>
            <w:vAlign w:val="center"/>
          </w:tcPr>
          <w:p w14:paraId="23509DFB" w14:textId="77777777" w:rsidR="00AB180C" w:rsidRPr="000B4250" w:rsidRDefault="00AB180C" w:rsidP="00E13ACA">
            <w:pPr>
              <w:jc w:val="center"/>
              <w:rPr>
                <w:rFonts w:ascii="Times New Roman" w:hAnsi="Times New Roman"/>
                <w:sz w:val="24"/>
              </w:rPr>
            </w:pPr>
            <w:r w:rsidRPr="000B4250">
              <w:rPr>
                <w:rFonts w:ascii="Times New Roman" w:hAnsi="Times New Roman"/>
                <w:sz w:val="24"/>
              </w:rPr>
              <w:t xml:space="preserve"> Interviews</w:t>
            </w:r>
          </w:p>
        </w:tc>
        <w:tc>
          <w:tcPr>
            <w:tcW w:w="1523" w:type="dxa"/>
            <w:tcBorders>
              <w:right w:val="single" w:sz="4" w:space="0" w:color="auto"/>
            </w:tcBorders>
            <w:vAlign w:val="center"/>
          </w:tcPr>
          <w:p w14:paraId="66C96259" w14:textId="77777777" w:rsidR="00AB180C" w:rsidRPr="000B4250" w:rsidRDefault="008004C7" w:rsidP="00E13ACA">
            <w:pPr>
              <w:jc w:val="center"/>
              <w:rPr>
                <w:rFonts w:ascii="Times New Roman" w:hAnsi="Times New Roman"/>
                <w:sz w:val="24"/>
              </w:rPr>
            </w:pPr>
            <w:r w:rsidRPr="000B4250">
              <w:rPr>
                <w:rFonts w:ascii="Times New Roman" w:hAnsi="Times New Roman"/>
                <w:sz w:val="24"/>
              </w:rPr>
              <w:t>339</w:t>
            </w:r>
          </w:p>
        </w:tc>
        <w:tc>
          <w:tcPr>
            <w:tcW w:w="1438" w:type="dxa"/>
            <w:tcBorders>
              <w:left w:val="single" w:sz="4" w:space="0" w:color="auto"/>
              <w:right w:val="single" w:sz="4" w:space="0" w:color="auto"/>
            </w:tcBorders>
            <w:vAlign w:val="center"/>
          </w:tcPr>
          <w:p w14:paraId="56CEEB10" w14:textId="77777777" w:rsidR="00AB180C" w:rsidRPr="000B4250" w:rsidRDefault="00AB180C" w:rsidP="00E13ACA">
            <w:pPr>
              <w:jc w:val="center"/>
              <w:rPr>
                <w:rFonts w:ascii="Times New Roman" w:hAnsi="Times New Roman"/>
                <w:sz w:val="24"/>
              </w:rPr>
            </w:pPr>
            <w:r w:rsidRPr="000B4250">
              <w:rPr>
                <w:rFonts w:ascii="Times New Roman" w:hAnsi="Times New Roman"/>
                <w:sz w:val="24"/>
              </w:rPr>
              <w:t>1</w:t>
            </w:r>
          </w:p>
        </w:tc>
        <w:tc>
          <w:tcPr>
            <w:tcW w:w="1218" w:type="dxa"/>
            <w:tcBorders>
              <w:left w:val="single" w:sz="4" w:space="0" w:color="auto"/>
              <w:right w:val="single" w:sz="4" w:space="0" w:color="auto"/>
            </w:tcBorders>
          </w:tcPr>
          <w:p w14:paraId="5B1CB2E1" w14:textId="77777777" w:rsidR="00AB180C" w:rsidRPr="000B4250" w:rsidRDefault="008004C7" w:rsidP="00E13ACA">
            <w:pPr>
              <w:jc w:val="center"/>
              <w:rPr>
                <w:rFonts w:ascii="Times New Roman" w:hAnsi="Times New Roman"/>
                <w:sz w:val="24"/>
              </w:rPr>
            </w:pPr>
            <w:r w:rsidRPr="000B4250">
              <w:rPr>
                <w:rFonts w:ascii="Times New Roman" w:hAnsi="Times New Roman"/>
                <w:sz w:val="24"/>
              </w:rPr>
              <w:t>339</w:t>
            </w:r>
          </w:p>
        </w:tc>
        <w:tc>
          <w:tcPr>
            <w:tcW w:w="1407" w:type="dxa"/>
            <w:tcBorders>
              <w:left w:val="single" w:sz="4" w:space="0" w:color="auto"/>
              <w:right w:val="single" w:sz="4" w:space="0" w:color="auto"/>
            </w:tcBorders>
            <w:vAlign w:val="center"/>
          </w:tcPr>
          <w:p w14:paraId="77075B6B" w14:textId="5F1CD926" w:rsidR="00AB180C" w:rsidRPr="000B4250" w:rsidRDefault="00D333EA" w:rsidP="00E13ACA">
            <w:pPr>
              <w:jc w:val="center"/>
              <w:rPr>
                <w:rFonts w:ascii="Times New Roman" w:hAnsi="Times New Roman"/>
                <w:sz w:val="24"/>
              </w:rPr>
            </w:pPr>
            <w:r>
              <w:rPr>
                <w:rFonts w:ascii="Times New Roman" w:hAnsi="Times New Roman"/>
                <w:sz w:val="24"/>
              </w:rPr>
              <w:t>1.5</w:t>
            </w:r>
          </w:p>
        </w:tc>
        <w:tc>
          <w:tcPr>
            <w:tcW w:w="1291" w:type="dxa"/>
            <w:tcBorders>
              <w:left w:val="single" w:sz="4" w:space="0" w:color="auto"/>
            </w:tcBorders>
            <w:vAlign w:val="center"/>
          </w:tcPr>
          <w:p w14:paraId="704B1779" w14:textId="5A19D937" w:rsidR="00AB180C" w:rsidRPr="000B4250" w:rsidRDefault="000B4250" w:rsidP="00AB180C">
            <w:pPr>
              <w:jc w:val="center"/>
              <w:rPr>
                <w:rFonts w:ascii="Times New Roman" w:hAnsi="Times New Roman"/>
                <w:sz w:val="24"/>
              </w:rPr>
            </w:pPr>
            <w:r>
              <w:rPr>
                <w:rFonts w:ascii="Times New Roman" w:hAnsi="Times New Roman"/>
                <w:sz w:val="24"/>
              </w:rPr>
              <w:t xml:space="preserve">  </w:t>
            </w:r>
            <w:r w:rsidR="008004C7" w:rsidRPr="000B4250">
              <w:rPr>
                <w:rFonts w:ascii="Times New Roman" w:hAnsi="Times New Roman"/>
                <w:sz w:val="24"/>
              </w:rPr>
              <w:t>508.5</w:t>
            </w:r>
          </w:p>
        </w:tc>
      </w:tr>
      <w:tr w:rsidR="00AB180C" w:rsidRPr="00681A16" w14:paraId="18700EF1" w14:textId="77777777" w:rsidTr="00167EBB">
        <w:trPr>
          <w:cantSplit/>
        </w:trPr>
        <w:tc>
          <w:tcPr>
            <w:tcW w:w="1871" w:type="dxa"/>
            <w:tcBorders>
              <w:bottom w:val="single" w:sz="12" w:space="0" w:color="365F91"/>
              <w:right w:val="single" w:sz="4" w:space="0" w:color="auto"/>
            </w:tcBorders>
            <w:vAlign w:val="center"/>
          </w:tcPr>
          <w:p w14:paraId="548D0B9C" w14:textId="77777777" w:rsidR="00AB180C" w:rsidRPr="000B4250" w:rsidRDefault="00AB180C" w:rsidP="00E13ACA">
            <w:pPr>
              <w:jc w:val="center"/>
              <w:rPr>
                <w:rFonts w:ascii="Times New Roman" w:hAnsi="Times New Roman"/>
                <w:sz w:val="24"/>
              </w:rPr>
            </w:pPr>
            <w:r w:rsidRPr="000B4250">
              <w:rPr>
                <w:rFonts w:ascii="Times New Roman" w:hAnsi="Times New Roman"/>
                <w:sz w:val="24"/>
              </w:rPr>
              <w:t>Total</w:t>
            </w:r>
          </w:p>
        </w:tc>
        <w:tc>
          <w:tcPr>
            <w:tcW w:w="1523" w:type="dxa"/>
            <w:tcBorders>
              <w:bottom w:val="single" w:sz="12" w:space="0" w:color="365F91"/>
              <w:right w:val="single" w:sz="4" w:space="0" w:color="auto"/>
            </w:tcBorders>
            <w:vAlign w:val="center"/>
          </w:tcPr>
          <w:p w14:paraId="4203541C" w14:textId="77777777" w:rsidR="00AB180C" w:rsidRPr="000B4250" w:rsidRDefault="00AB180C" w:rsidP="00E13ACA">
            <w:pPr>
              <w:jc w:val="center"/>
              <w:rPr>
                <w:rFonts w:ascii="Times New Roman" w:hAnsi="Times New Roman"/>
                <w:b/>
                <w:sz w:val="24"/>
              </w:rPr>
            </w:pPr>
          </w:p>
        </w:tc>
        <w:tc>
          <w:tcPr>
            <w:tcW w:w="1438" w:type="dxa"/>
            <w:tcBorders>
              <w:left w:val="single" w:sz="4" w:space="0" w:color="auto"/>
              <w:bottom w:val="single" w:sz="12" w:space="0" w:color="365F91"/>
              <w:right w:val="single" w:sz="4" w:space="0" w:color="auto"/>
            </w:tcBorders>
            <w:vAlign w:val="center"/>
          </w:tcPr>
          <w:p w14:paraId="14BE9A5B" w14:textId="77777777" w:rsidR="00AB180C" w:rsidRPr="000B4250" w:rsidRDefault="00AB180C" w:rsidP="00E13ACA">
            <w:pPr>
              <w:jc w:val="center"/>
              <w:rPr>
                <w:rFonts w:ascii="Times New Roman" w:hAnsi="Times New Roman"/>
                <w:b/>
                <w:sz w:val="24"/>
              </w:rPr>
            </w:pPr>
          </w:p>
        </w:tc>
        <w:tc>
          <w:tcPr>
            <w:tcW w:w="1218" w:type="dxa"/>
            <w:tcBorders>
              <w:left w:val="single" w:sz="4" w:space="0" w:color="auto"/>
              <w:bottom w:val="single" w:sz="12" w:space="0" w:color="365F91"/>
              <w:right w:val="single" w:sz="4" w:space="0" w:color="auto"/>
            </w:tcBorders>
          </w:tcPr>
          <w:p w14:paraId="6F3442EA" w14:textId="77777777" w:rsidR="00AB180C" w:rsidRPr="000B4250" w:rsidRDefault="00AB180C" w:rsidP="00E13ACA">
            <w:pPr>
              <w:jc w:val="center"/>
              <w:rPr>
                <w:rFonts w:ascii="Times New Roman" w:hAnsi="Times New Roman"/>
                <w:b/>
                <w:sz w:val="24"/>
              </w:rPr>
            </w:pPr>
          </w:p>
        </w:tc>
        <w:tc>
          <w:tcPr>
            <w:tcW w:w="1407" w:type="dxa"/>
            <w:tcBorders>
              <w:left w:val="single" w:sz="4" w:space="0" w:color="auto"/>
              <w:bottom w:val="single" w:sz="12" w:space="0" w:color="365F91"/>
              <w:right w:val="single" w:sz="4" w:space="0" w:color="auto"/>
            </w:tcBorders>
            <w:vAlign w:val="center"/>
          </w:tcPr>
          <w:p w14:paraId="42F7EB24" w14:textId="77777777" w:rsidR="00AB180C" w:rsidRPr="000B4250" w:rsidRDefault="00AB180C" w:rsidP="00E13ACA">
            <w:pPr>
              <w:jc w:val="center"/>
              <w:rPr>
                <w:rFonts w:ascii="Times New Roman" w:hAnsi="Times New Roman"/>
                <w:b/>
                <w:sz w:val="24"/>
              </w:rPr>
            </w:pPr>
          </w:p>
        </w:tc>
        <w:tc>
          <w:tcPr>
            <w:tcW w:w="1291" w:type="dxa"/>
            <w:tcBorders>
              <w:left w:val="single" w:sz="4" w:space="0" w:color="auto"/>
              <w:bottom w:val="single" w:sz="12" w:space="0" w:color="365F91"/>
            </w:tcBorders>
            <w:vAlign w:val="center"/>
          </w:tcPr>
          <w:p w14:paraId="3C049FB7" w14:textId="7E6F46FC" w:rsidR="00AB180C" w:rsidRPr="000B4250" w:rsidRDefault="00D333EA" w:rsidP="00D333EA">
            <w:pPr>
              <w:rPr>
                <w:rFonts w:ascii="Times New Roman" w:hAnsi="Times New Roman"/>
                <w:sz w:val="24"/>
              </w:rPr>
            </w:pPr>
            <w:r>
              <w:rPr>
                <w:rFonts w:ascii="Times New Roman" w:hAnsi="Times New Roman"/>
                <w:sz w:val="24"/>
              </w:rPr>
              <w:t xml:space="preserve">     516</w:t>
            </w:r>
            <w:r w:rsidR="000B4250">
              <w:rPr>
                <w:rFonts w:ascii="Times New Roman" w:hAnsi="Times New Roman"/>
                <w:sz w:val="24"/>
              </w:rPr>
              <w:t xml:space="preserve"> </w:t>
            </w:r>
          </w:p>
        </w:tc>
      </w:tr>
    </w:tbl>
    <w:p w14:paraId="2EEE6BD8" w14:textId="0502D133" w:rsidR="00B617CE" w:rsidRDefault="00B617CE" w:rsidP="000B4250">
      <w:pPr>
        <w:ind w:left="720"/>
        <w:rPr>
          <w:rFonts w:ascii="Times New Roman" w:hAnsi="Times New Roman"/>
          <w:sz w:val="24"/>
        </w:rPr>
      </w:pPr>
      <w:r w:rsidRPr="000B4250">
        <w:rPr>
          <w:rFonts w:ascii="Times New Roman" w:hAnsi="Times New Roman"/>
          <w:sz w:val="24"/>
          <w:vertAlign w:val="superscript"/>
        </w:rPr>
        <w:t>1</w:t>
      </w:r>
      <w:r w:rsidRPr="000B4250">
        <w:rPr>
          <w:rFonts w:ascii="Times New Roman" w:hAnsi="Times New Roman"/>
          <w:sz w:val="24"/>
        </w:rPr>
        <w:t xml:space="preserve">There are no capital costs or operating costs associated with this collection of </w:t>
      </w:r>
      <w:r w:rsidR="00D039B2">
        <w:rPr>
          <w:rFonts w:ascii="Times New Roman" w:hAnsi="Times New Roman"/>
          <w:sz w:val="24"/>
        </w:rPr>
        <w:t>i</w:t>
      </w:r>
      <w:r w:rsidRPr="000B4250">
        <w:rPr>
          <w:rFonts w:ascii="Times New Roman" w:hAnsi="Times New Roman"/>
          <w:sz w:val="24"/>
        </w:rPr>
        <w:t>nformation.</w:t>
      </w:r>
    </w:p>
    <w:p w14:paraId="79E563EB" w14:textId="77777777" w:rsidR="00D039B2" w:rsidRPr="000B4250" w:rsidRDefault="00D039B2" w:rsidP="000B4250">
      <w:pPr>
        <w:ind w:left="720"/>
        <w:rPr>
          <w:rFonts w:ascii="Times New Roman" w:hAnsi="Times New Roman"/>
          <w:sz w:val="24"/>
        </w:rPr>
      </w:pPr>
    </w:p>
    <w:p w14:paraId="5596F968" w14:textId="77777777" w:rsidR="00A93ED9" w:rsidRPr="000B4250" w:rsidRDefault="00A93ED9" w:rsidP="00B7202A">
      <w:pPr>
        <w:pStyle w:val="BodyText2"/>
        <w:spacing w:after="200"/>
        <w:ind w:left="720"/>
        <w:rPr>
          <w:rFonts w:ascii="Times New Roman" w:hAnsi="Times New Roman"/>
          <w:sz w:val="24"/>
          <w:szCs w:val="24"/>
        </w:rPr>
      </w:pPr>
      <w:r w:rsidRPr="000B4250">
        <w:rPr>
          <w:rFonts w:ascii="Times New Roman" w:hAnsi="Times New Roman"/>
          <w:sz w:val="24"/>
          <w:szCs w:val="24"/>
        </w:rPr>
        <w:t xml:space="preserve">12b. </w:t>
      </w:r>
      <w:r w:rsidR="00411D11" w:rsidRPr="000B4250">
        <w:rPr>
          <w:rFonts w:ascii="Times New Roman" w:hAnsi="Times New Roman"/>
          <w:sz w:val="24"/>
          <w:szCs w:val="24"/>
          <w:u w:val="single"/>
        </w:rPr>
        <w:t>Annualized Cost Burden Estimate</w:t>
      </w:r>
    </w:p>
    <w:p w14:paraId="5504DCD6" w14:textId="1142ABD8" w:rsidR="00E13ACA" w:rsidRPr="000B4250" w:rsidRDefault="00CA43BB" w:rsidP="000B4250">
      <w:pPr>
        <w:pStyle w:val="BodyText2"/>
        <w:spacing w:after="200"/>
        <w:ind w:left="1152"/>
        <w:rPr>
          <w:rFonts w:ascii="Times New Roman" w:hAnsi="Times New Roman"/>
          <w:sz w:val="24"/>
          <w:szCs w:val="24"/>
        </w:rPr>
      </w:pPr>
      <w:r w:rsidRPr="000B4250">
        <w:rPr>
          <w:rFonts w:ascii="Times New Roman" w:hAnsi="Times New Roman"/>
          <w:sz w:val="24"/>
          <w:szCs w:val="24"/>
        </w:rPr>
        <w:t xml:space="preserve">FDA </w:t>
      </w:r>
      <w:r w:rsidR="0002514D" w:rsidRPr="000B4250">
        <w:rPr>
          <w:rFonts w:ascii="Times New Roman" w:hAnsi="Times New Roman"/>
          <w:sz w:val="24"/>
          <w:szCs w:val="24"/>
        </w:rPr>
        <w:t>estimates</w:t>
      </w:r>
      <w:r w:rsidRPr="000B4250">
        <w:rPr>
          <w:rFonts w:ascii="Times New Roman" w:hAnsi="Times New Roman"/>
          <w:sz w:val="24"/>
          <w:szCs w:val="24"/>
        </w:rPr>
        <w:t xml:space="preserve"> the annualized cost to respondents to be the burden hours estimate multiplied by the median hourly wage estimate (Source: Occupational Employment Statistics, Bureau of Labor Statistics). FDA used the median wage estimate ($90.00) for Physicians and Surgeons, All Others, Standard Occupational Code (SOC) 29-1069, because this wage falls in the middle of the range of wages for NDA/BLA managers in the pharmaceutical industry. FDA multiplied this median wage by 1.4 to capture benefits, resulting in a loaded hourly median wage rate of $126.00.</w:t>
      </w:r>
    </w:p>
    <w:p w14:paraId="3698E85E" w14:textId="265AD1E5" w:rsidR="00CA43BB" w:rsidRPr="000B4250" w:rsidRDefault="00CA43BB" w:rsidP="00E13ACA">
      <w:pPr>
        <w:pStyle w:val="Caption"/>
        <w:ind w:left="720"/>
        <w:rPr>
          <w:rFonts w:ascii="Times New Roman" w:hAnsi="Times New Roman"/>
          <w:sz w:val="24"/>
          <w:szCs w:val="24"/>
        </w:rPr>
      </w:pPr>
      <w:bookmarkStart w:id="2" w:name="_Toc320893937"/>
      <w:r w:rsidRPr="000B4250">
        <w:rPr>
          <w:rFonts w:ascii="Times New Roman" w:hAnsi="Times New Roman"/>
          <w:sz w:val="24"/>
          <w:szCs w:val="24"/>
        </w:rPr>
        <w:t xml:space="preserve">Table 2. Annualized </w:t>
      </w:r>
      <w:r w:rsidR="00B7202A" w:rsidRPr="000B4250">
        <w:rPr>
          <w:rFonts w:ascii="Times New Roman" w:hAnsi="Times New Roman"/>
          <w:sz w:val="24"/>
          <w:szCs w:val="24"/>
        </w:rPr>
        <w:t>c</w:t>
      </w:r>
      <w:r w:rsidRPr="000B4250">
        <w:rPr>
          <w:rFonts w:ascii="Times New Roman" w:hAnsi="Times New Roman"/>
          <w:sz w:val="24"/>
          <w:szCs w:val="24"/>
        </w:rPr>
        <w:t xml:space="preserve">ost to </w:t>
      </w:r>
      <w:r w:rsidR="00B7202A" w:rsidRPr="000B4250">
        <w:rPr>
          <w:rFonts w:ascii="Times New Roman" w:hAnsi="Times New Roman"/>
          <w:sz w:val="24"/>
          <w:szCs w:val="24"/>
        </w:rPr>
        <w:t>r</w:t>
      </w:r>
      <w:r w:rsidRPr="000B4250">
        <w:rPr>
          <w:rFonts w:ascii="Times New Roman" w:hAnsi="Times New Roman"/>
          <w:sz w:val="24"/>
          <w:szCs w:val="24"/>
        </w:rPr>
        <w:t>espondents.</w:t>
      </w:r>
      <w:bookmarkEnd w:id="2"/>
    </w:p>
    <w:tbl>
      <w:tblPr>
        <w:tblW w:w="8640" w:type="dxa"/>
        <w:tblInd w:w="720" w:type="dxa"/>
        <w:tblBorders>
          <w:top w:val="single" w:sz="12" w:space="0" w:color="365F91"/>
          <w:bottom w:val="single" w:sz="12" w:space="0" w:color="365F91"/>
          <w:insideH w:val="single" w:sz="4" w:space="0" w:color="auto"/>
        </w:tblBorders>
        <w:tblLook w:val="00A0" w:firstRow="1" w:lastRow="0" w:firstColumn="1" w:lastColumn="0" w:noHBand="0" w:noVBand="0"/>
      </w:tblPr>
      <w:tblGrid>
        <w:gridCol w:w="1960"/>
        <w:gridCol w:w="2135"/>
        <w:gridCol w:w="2083"/>
        <w:gridCol w:w="2462"/>
      </w:tblGrid>
      <w:tr w:rsidR="00E13ACA" w:rsidRPr="00681A16" w14:paraId="5CED80FD" w14:textId="77777777" w:rsidTr="00167EBB">
        <w:tc>
          <w:tcPr>
            <w:tcW w:w="1970" w:type="dxa"/>
            <w:tcBorders>
              <w:top w:val="single" w:sz="12" w:space="0" w:color="365F91"/>
              <w:bottom w:val="single" w:sz="4" w:space="0" w:color="auto"/>
            </w:tcBorders>
            <w:vAlign w:val="center"/>
          </w:tcPr>
          <w:p w14:paraId="231723D5" w14:textId="77777777" w:rsidR="00E13ACA" w:rsidRPr="000B4250" w:rsidRDefault="00E13ACA" w:rsidP="008004C7">
            <w:pPr>
              <w:ind w:left="162"/>
              <w:rPr>
                <w:rFonts w:ascii="Times New Roman" w:hAnsi="Times New Roman"/>
                <w:b/>
                <w:sz w:val="24"/>
              </w:rPr>
            </w:pPr>
            <w:r w:rsidRPr="000B4250">
              <w:rPr>
                <w:rFonts w:ascii="Times New Roman" w:hAnsi="Times New Roman"/>
                <w:b/>
                <w:sz w:val="24"/>
              </w:rPr>
              <w:t xml:space="preserve">Type of Respondent         </w:t>
            </w:r>
          </w:p>
        </w:tc>
        <w:tc>
          <w:tcPr>
            <w:tcW w:w="2163" w:type="dxa"/>
            <w:tcBorders>
              <w:top w:val="single" w:sz="12" w:space="0" w:color="365F91"/>
              <w:left w:val="single" w:sz="4" w:space="0" w:color="auto"/>
              <w:bottom w:val="single" w:sz="4" w:space="0" w:color="auto"/>
              <w:right w:val="single" w:sz="4" w:space="0" w:color="auto"/>
            </w:tcBorders>
            <w:vAlign w:val="center"/>
          </w:tcPr>
          <w:p w14:paraId="49C6795F" w14:textId="77777777" w:rsidR="00E13ACA" w:rsidRPr="000B4250" w:rsidRDefault="00E13ACA" w:rsidP="00E13ACA">
            <w:pPr>
              <w:ind w:left="-6"/>
              <w:jc w:val="center"/>
              <w:rPr>
                <w:rFonts w:ascii="Times New Roman" w:hAnsi="Times New Roman"/>
                <w:b/>
                <w:sz w:val="24"/>
              </w:rPr>
            </w:pPr>
            <w:r w:rsidRPr="000B4250">
              <w:rPr>
                <w:rFonts w:ascii="Times New Roman" w:hAnsi="Times New Roman"/>
                <w:b/>
                <w:sz w:val="24"/>
              </w:rPr>
              <w:t>Total Burden Hours</w:t>
            </w:r>
          </w:p>
        </w:tc>
        <w:tc>
          <w:tcPr>
            <w:tcW w:w="2110" w:type="dxa"/>
            <w:tcBorders>
              <w:top w:val="single" w:sz="12" w:space="0" w:color="365F91"/>
              <w:left w:val="single" w:sz="4" w:space="0" w:color="auto"/>
              <w:bottom w:val="single" w:sz="4" w:space="0" w:color="auto"/>
              <w:right w:val="single" w:sz="8" w:space="0" w:color="auto"/>
            </w:tcBorders>
            <w:vAlign w:val="center"/>
          </w:tcPr>
          <w:p w14:paraId="5E2B06EE" w14:textId="77777777" w:rsidR="00E13ACA" w:rsidRPr="000B4250" w:rsidRDefault="00E13ACA" w:rsidP="00E13ACA">
            <w:pPr>
              <w:ind w:left="-6"/>
              <w:jc w:val="center"/>
              <w:rPr>
                <w:rFonts w:ascii="Times New Roman" w:hAnsi="Times New Roman"/>
                <w:b/>
                <w:sz w:val="24"/>
              </w:rPr>
            </w:pPr>
            <w:r w:rsidRPr="000B4250">
              <w:rPr>
                <w:rFonts w:ascii="Times New Roman" w:hAnsi="Times New Roman"/>
                <w:b/>
                <w:sz w:val="24"/>
              </w:rPr>
              <w:t>Hourly Wage Rate</w:t>
            </w:r>
          </w:p>
        </w:tc>
        <w:tc>
          <w:tcPr>
            <w:tcW w:w="2487" w:type="dxa"/>
            <w:tcBorders>
              <w:top w:val="single" w:sz="12" w:space="0" w:color="365F91"/>
              <w:left w:val="single" w:sz="8" w:space="0" w:color="auto"/>
              <w:bottom w:val="single" w:sz="4" w:space="0" w:color="auto"/>
            </w:tcBorders>
            <w:vAlign w:val="center"/>
          </w:tcPr>
          <w:p w14:paraId="33B5B500" w14:textId="77777777" w:rsidR="00E13ACA" w:rsidRPr="000B4250" w:rsidRDefault="00E13ACA" w:rsidP="00E13ACA">
            <w:pPr>
              <w:jc w:val="center"/>
              <w:rPr>
                <w:rFonts w:ascii="Times New Roman" w:hAnsi="Times New Roman"/>
                <w:b/>
                <w:sz w:val="24"/>
              </w:rPr>
            </w:pPr>
            <w:r w:rsidRPr="000B4250">
              <w:rPr>
                <w:rFonts w:ascii="Times New Roman" w:hAnsi="Times New Roman"/>
                <w:b/>
                <w:sz w:val="24"/>
              </w:rPr>
              <w:t>Total Respondent Costs</w:t>
            </w:r>
          </w:p>
        </w:tc>
      </w:tr>
      <w:tr w:rsidR="008004C7" w:rsidRPr="00681A16" w14:paraId="265C0754" w14:textId="77777777" w:rsidTr="00167EBB">
        <w:tc>
          <w:tcPr>
            <w:tcW w:w="1970" w:type="dxa"/>
            <w:tcBorders>
              <w:top w:val="single" w:sz="4" w:space="0" w:color="auto"/>
              <w:bottom w:val="single" w:sz="4" w:space="0" w:color="auto"/>
            </w:tcBorders>
            <w:vAlign w:val="center"/>
          </w:tcPr>
          <w:p w14:paraId="1E7A4866" w14:textId="77777777" w:rsidR="008004C7" w:rsidRPr="000B4250" w:rsidRDefault="008004C7" w:rsidP="008004C7">
            <w:pPr>
              <w:ind w:left="162"/>
              <w:rPr>
                <w:rFonts w:ascii="Times New Roman" w:hAnsi="Times New Roman"/>
                <w:sz w:val="24"/>
              </w:rPr>
            </w:pPr>
            <w:r w:rsidRPr="000B4250">
              <w:rPr>
                <w:rFonts w:ascii="Times New Roman" w:hAnsi="Times New Roman"/>
                <w:sz w:val="24"/>
              </w:rPr>
              <w:t>RFD/Pre-RFD Sponsors</w:t>
            </w:r>
          </w:p>
        </w:tc>
        <w:tc>
          <w:tcPr>
            <w:tcW w:w="2163" w:type="dxa"/>
            <w:tcBorders>
              <w:top w:val="single" w:sz="4" w:space="0" w:color="auto"/>
              <w:left w:val="single" w:sz="4" w:space="0" w:color="auto"/>
              <w:bottom w:val="single" w:sz="4" w:space="0" w:color="auto"/>
              <w:right w:val="single" w:sz="4" w:space="0" w:color="auto"/>
            </w:tcBorders>
            <w:vAlign w:val="center"/>
          </w:tcPr>
          <w:p w14:paraId="54382667" w14:textId="77777777" w:rsidR="008004C7" w:rsidRPr="000B4250" w:rsidRDefault="008004C7" w:rsidP="00E13ACA">
            <w:pPr>
              <w:ind w:left="-6"/>
              <w:jc w:val="center"/>
              <w:rPr>
                <w:rFonts w:ascii="Times New Roman" w:hAnsi="Times New Roman"/>
                <w:sz w:val="24"/>
              </w:rPr>
            </w:pPr>
            <w:r w:rsidRPr="000B4250">
              <w:rPr>
                <w:rFonts w:ascii="Times New Roman" w:hAnsi="Times New Roman"/>
                <w:sz w:val="24"/>
              </w:rPr>
              <w:t>159</w:t>
            </w:r>
          </w:p>
        </w:tc>
        <w:tc>
          <w:tcPr>
            <w:tcW w:w="2110" w:type="dxa"/>
            <w:tcBorders>
              <w:top w:val="single" w:sz="4" w:space="0" w:color="auto"/>
              <w:left w:val="single" w:sz="4" w:space="0" w:color="auto"/>
              <w:bottom w:val="single" w:sz="4" w:space="0" w:color="auto"/>
              <w:right w:val="single" w:sz="8" w:space="0" w:color="auto"/>
            </w:tcBorders>
            <w:vAlign w:val="center"/>
          </w:tcPr>
          <w:p w14:paraId="092623D9" w14:textId="77777777" w:rsidR="008004C7" w:rsidRPr="000B4250" w:rsidRDefault="008004C7" w:rsidP="00E13ACA">
            <w:pPr>
              <w:ind w:left="-6"/>
              <w:jc w:val="center"/>
              <w:rPr>
                <w:rFonts w:ascii="Times New Roman" w:hAnsi="Times New Roman"/>
                <w:sz w:val="24"/>
              </w:rPr>
            </w:pPr>
            <w:r w:rsidRPr="000B4250">
              <w:rPr>
                <w:rFonts w:ascii="Times New Roman" w:hAnsi="Times New Roman"/>
                <w:sz w:val="24"/>
              </w:rPr>
              <w:t>$126.00</w:t>
            </w:r>
          </w:p>
        </w:tc>
        <w:tc>
          <w:tcPr>
            <w:tcW w:w="2487" w:type="dxa"/>
            <w:tcBorders>
              <w:top w:val="single" w:sz="4" w:space="0" w:color="auto"/>
              <w:left w:val="single" w:sz="8" w:space="0" w:color="auto"/>
              <w:bottom w:val="single" w:sz="4" w:space="0" w:color="auto"/>
            </w:tcBorders>
            <w:vAlign w:val="center"/>
          </w:tcPr>
          <w:p w14:paraId="1739FAED" w14:textId="77777777" w:rsidR="008004C7" w:rsidRPr="000B4250" w:rsidRDefault="008004C7" w:rsidP="00E13ACA">
            <w:pPr>
              <w:jc w:val="center"/>
              <w:rPr>
                <w:rFonts w:ascii="Times New Roman" w:hAnsi="Times New Roman"/>
                <w:sz w:val="24"/>
              </w:rPr>
            </w:pPr>
            <w:r w:rsidRPr="000B4250">
              <w:rPr>
                <w:rFonts w:ascii="Times New Roman" w:hAnsi="Times New Roman"/>
                <w:sz w:val="24"/>
              </w:rPr>
              <w:t>$20,034.00</w:t>
            </w:r>
          </w:p>
        </w:tc>
      </w:tr>
      <w:tr w:rsidR="00E13ACA" w:rsidRPr="00681A16" w14:paraId="508CAEA4" w14:textId="77777777" w:rsidTr="00167EBB">
        <w:tc>
          <w:tcPr>
            <w:tcW w:w="1970" w:type="dxa"/>
            <w:tcBorders>
              <w:top w:val="single" w:sz="4" w:space="0" w:color="auto"/>
              <w:bottom w:val="single" w:sz="4" w:space="0" w:color="auto"/>
            </w:tcBorders>
            <w:vAlign w:val="center"/>
          </w:tcPr>
          <w:p w14:paraId="3391E1F4" w14:textId="77777777" w:rsidR="00E13ACA" w:rsidRPr="000B4250" w:rsidRDefault="00E13ACA" w:rsidP="008004C7">
            <w:pPr>
              <w:ind w:left="162"/>
              <w:rPr>
                <w:rFonts w:ascii="Times New Roman" w:hAnsi="Times New Roman"/>
                <w:sz w:val="24"/>
              </w:rPr>
            </w:pPr>
            <w:r w:rsidRPr="000B4250">
              <w:rPr>
                <w:rFonts w:ascii="Times New Roman" w:hAnsi="Times New Roman"/>
                <w:sz w:val="24"/>
              </w:rPr>
              <w:t>IND/Pre-IND Sponsors</w:t>
            </w:r>
          </w:p>
        </w:tc>
        <w:tc>
          <w:tcPr>
            <w:tcW w:w="2163" w:type="dxa"/>
            <w:tcBorders>
              <w:top w:val="single" w:sz="4" w:space="0" w:color="auto"/>
              <w:left w:val="single" w:sz="4" w:space="0" w:color="auto"/>
              <w:bottom w:val="single" w:sz="4" w:space="0" w:color="auto"/>
              <w:right w:val="single" w:sz="4" w:space="0" w:color="auto"/>
            </w:tcBorders>
            <w:vAlign w:val="center"/>
          </w:tcPr>
          <w:p w14:paraId="7E962F92" w14:textId="7D24B96E" w:rsidR="00E13ACA" w:rsidRPr="000B4250" w:rsidRDefault="00A66A36" w:rsidP="00E13ACA">
            <w:pPr>
              <w:ind w:left="-6"/>
              <w:jc w:val="center"/>
              <w:rPr>
                <w:rFonts w:ascii="Times New Roman" w:hAnsi="Times New Roman"/>
                <w:sz w:val="24"/>
              </w:rPr>
            </w:pPr>
            <w:r w:rsidRPr="000B4250">
              <w:rPr>
                <w:rFonts w:ascii="Times New Roman" w:hAnsi="Times New Roman"/>
                <w:sz w:val="24"/>
              </w:rPr>
              <w:t>213</w:t>
            </w:r>
          </w:p>
        </w:tc>
        <w:tc>
          <w:tcPr>
            <w:tcW w:w="2110" w:type="dxa"/>
            <w:tcBorders>
              <w:top w:val="single" w:sz="4" w:space="0" w:color="auto"/>
              <w:left w:val="single" w:sz="4" w:space="0" w:color="auto"/>
              <w:bottom w:val="single" w:sz="4" w:space="0" w:color="auto"/>
              <w:right w:val="single" w:sz="8" w:space="0" w:color="auto"/>
            </w:tcBorders>
            <w:vAlign w:val="center"/>
          </w:tcPr>
          <w:p w14:paraId="62ABDD63" w14:textId="77777777" w:rsidR="00E13ACA" w:rsidRPr="000B4250" w:rsidRDefault="00E13ACA" w:rsidP="00E13ACA">
            <w:pPr>
              <w:ind w:left="-6"/>
              <w:jc w:val="center"/>
              <w:rPr>
                <w:rFonts w:ascii="Times New Roman" w:hAnsi="Times New Roman"/>
                <w:sz w:val="24"/>
              </w:rPr>
            </w:pPr>
            <w:r w:rsidRPr="000B4250">
              <w:rPr>
                <w:rFonts w:ascii="Times New Roman" w:hAnsi="Times New Roman"/>
                <w:sz w:val="24"/>
              </w:rPr>
              <w:t>$126.00</w:t>
            </w:r>
          </w:p>
        </w:tc>
        <w:tc>
          <w:tcPr>
            <w:tcW w:w="2487" w:type="dxa"/>
            <w:tcBorders>
              <w:top w:val="single" w:sz="4" w:space="0" w:color="auto"/>
              <w:left w:val="single" w:sz="8" w:space="0" w:color="auto"/>
              <w:bottom w:val="single" w:sz="4" w:space="0" w:color="auto"/>
            </w:tcBorders>
            <w:vAlign w:val="center"/>
          </w:tcPr>
          <w:p w14:paraId="765907C9" w14:textId="633C4E26" w:rsidR="00E13ACA" w:rsidRPr="000B4250" w:rsidRDefault="00AA251B" w:rsidP="00E13ACA">
            <w:pPr>
              <w:jc w:val="center"/>
              <w:rPr>
                <w:rFonts w:ascii="Times New Roman" w:hAnsi="Times New Roman"/>
                <w:sz w:val="24"/>
              </w:rPr>
            </w:pPr>
            <w:r w:rsidRPr="000B4250">
              <w:rPr>
                <w:rFonts w:ascii="Times New Roman" w:hAnsi="Times New Roman"/>
                <w:sz w:val="24"/>
              </w:rPr>
              <w:t>$</w:t>
            </w:r>
            <w:r w:rsidR="002372F5" w:rsidRPr="000B4250">
              <w:rPr>
                <w:rFonts w:ascii="Times New Roman" w:hAnsi="Times New Roman"/>
                <w:sz w:val="24"/>
              </w:rPr>
              <w:t>2</w:t>
            </w:r>
            <w:r w:rsidRPr="000B4250">
              <w:rPr>
                <w:rFonts w:ascii="Times New Roman" w:hAnsi="Times New Roman"/>
                <w:sz w:val="24"/>
              </w:rPr>
              <w:t>6,838.00</w:t>
            </w:r>
          </w:p>
        </w:tc>
      </w:tr>
      <w:tr w:rsidR="00E13ACA" w:rsidRPr="00681A16" w14:paraId="252B61DD" w14:textId="77777777" w:rsidTr="00167EBB">
        <w:tc>
          <w:tcPr>
            <w:tcW w:w="1970" w:type="dxa"/>
            <w:tcBorders>
              <w:top w:val="single" w:sz="4" w:space="0" w:color="auto"/>
              <w:bottom w:val="single" w:sz="12" w:space="0" w:color="365F91"/>
            </w:tcBorders>
            <w:vAlign w:val="center"/>
          </w:tcPr>
          <w:p w14:paraId="4014B6E6" w14:textId="77777777" w:rsidR="00E13ACA" w:rsidRPr="000B4250" w:rsidRDefault="00E13ACA" w:rsidP="008004C7">
            <w:pPr>
              <w:ind w:left="162"/>
              <w:rPr>
                <w:rFonts w:ascii="Times New Roman" w:hAnsi="Times New Roman"/>
                <w:sz w:val="24"/>
              </w:rPr>
            </w:pPr>
            <w:r w:rsidRPr="000B4250">
              <w:rPr>
                <w:rFonts w:ascii="Times New Roman" w:hAnsi="Times New Roman"/>
                <w:sz w:val="24"/>
              </w:rPr>
              <w:t>NME NDA / Original BLA Sponsors</w:t>
            </w:r>
          </w:p>
        </w:tc>
        <w:tc>
          <w:tcPr>
            <w:tcW w:w="2163" w:type="dxa"/>
            <w:tcBorders>
              <w:top w:val="single" w:sz="4" w:space="0" w:color="auto"/>
              <w:left w:val="single" w:sz="4" w:space="0" w:color="auto"/>
              <w:bottom w:val="single" w:sz="12" w:space="0" w:color="365F91"/>
              <w:right w:val="single" w:sz="4" w:space="0" w:color="auto"/>
            </w:tcBorders>
            <w:vAlign w:val="center"/>
          </w:tcPr>
          <w:p w14:paraId="75B96FEA" w14:textId="1B8EEF6F" w:rsidR="00E13ACA" w:rsidRPr="000B4250" w:rsidRDefault="00A66A36" w:rsidP="00E13ACA">
            <w:pPr>
              <w:ind w:left="-6"/>
              <w:jc w:val="center"/>
              <w:rPr>
                <w:rFonts w:ascii="Times New Roman" w:hAnsi="Times New Roman"/>
                <w:sz w:val="24"/>
              </w:rPr>
            </w:pPr>
            <w:r w:rsidRPr="000B4250">
              <w:rPr>
                <w:rFonts w:ascii="Times New Roman" w:hAnsi="Times New Roman"/>
                <w:sz w:val="24"/>
              </w:rPr>
              <w:t>137</w:t>
            </w:r>
          </w:p>
        </w:tc>
        <w:tc>
          <w:tcPr>
            <w:tcW w:w="2110" w:type="dxa"/>
            <w:tcBorders>
              <w:top w:val="single" w:sz="4" w:space="0" w:color="auto"/>
              <w:left w:val="single" w:sz="4" w:space="0" w:color="auto"/>
              <w:bottom w:val="single" w:sz="12" w:space="0" w:color="365F91"/>
              <w:right w:val="single" w:sz="8" w:space="0" w:color="auto"/>
            </w:tcBorders>
            <w:vAlign w:val="center"/>
          </w:tcPr>
          <w:p w14:paraId="66076675" w14:textId="77777777" w:rsidR="00E13ACA" w:rsidRPr="000B4250" w:rsidRDefault="00E13ACA" w:rsidP="00E13ACA">
            <w:pPr>
              <w:ind w:left="-6"/>
              <w:jc w:val="center"/>
              <w:rPr>
                <w:rFonts w:ascii="Times New Roman" w:hAnsi="Times New Roman"/>
                <w:sz w:val="24"/>
              </w:rPr>
            </w:pPr>
            <w:r w:rsidRPr="000B4250">
              <w:rPr>
                <w:rFonts w:ascii="Times New Roman" w:hAnsi="Times New Roman"/>
                <w:sz w:val="24"/>
              </w:rPr>
              <w:t>$126.00</w:t>
            </w:r>
          </w:p>
        </w:tc>
        <w:tc>
          <w:tcPr>
            <w:tcW w:w="2487" w:type="dxa"/>
            <w:tcBorders>
              <w:top w:val="single" w:sz="4" w:space="0" w:color="auto"/>
              <w:left w:val="single" w:sz="8" w:space="0" w:color="auto"/>
              <w:bottom w:val="single" w:sz="12" w:space="0" w:color="365F91"/>
            </w:tcBorders>
            <w:vAlign w:val="center"/>
          </w:tcPr>
          <w:p w14:paraId="44F2797C" w14:textId="558430D1" w:rsidR="00E13ACA" w:rsidRPr="000B4250" w:rsidRDefault="00E13ACA" w:rsidP="00E13ACA">
            <w:pPr>
              <w:jc w:val="center"/>
              <w:rPr>
                <w:rFonts w:ascii="Times New Roman" w:hAnsi="Times New Roman"/>
                <w:sz w:val="24"/>
              </w:rPr>
            </w:pPr>
            <w:r w:rsidRPr="000B4250">
              <w:rPr>
                <w:rFonts w:ascii="Times New Roman" w:hAnsi="Times New Roman"/>
                <w:sz w:val="24"/>
              </w:rPr>
              <w:t>$</w:t>
            </w:r>
            <w:r w:rsidR="00D73055" w:rsidRPr="000B4250">
              <w:rPr>
                <w:rFonts w:ascii="Times New Roman" w:hAnsi="Times New Roman"/>
                <w:sz w:val="24"/>
              </w:rPr>
              <w:t>17,</w:t>
            </w:r>
            <w:r w:rsidR="00AA251B" w:rsidRPr="000B4250">
              <w:rPr>
                <w:rFonts w:ascii="Times New Roman" w:hAnsi="Times New Roman"/>
                <w:sz w:val="24"/>
              </w:rPr>
              <w:t>262</w:t>
            </w:r>
            <w:r w:rsidRPr="000B4250">
              <w:rPr>
                <w:rFonts w:ascii="Times New Roman" w:hAnsi="Times New Roman"/>
                <w:sz w:val="24"/>
              </w:rPr>
              <w:t>.00</w:t>
            </w:r>
          </w:p>
        </w:tc>
      </w:tr>
    </w:tbl>
    <w:p w14:paraId="7C956D9E" w14:textId="6C31A059" w:rsidR="00C125D1" w:rsidRPr="000B4250" w:rsidRDefault="009B5C0C" w:rsidP="000B4250">
      <w:pPr>
        <w:spacing w:before="100" w:beforeAutospacing="1" w:after="100" w:afterAutospacing="1"/>
        <w:ind w:left="1152"/>
        <w:rPr>
          <w:rFonts w:ascii="Times New Roman" w:hAnsi="Times New Roman"/>
          <w:sz w:val="24"/>
          <w:u w:val="single"/>
        </w:rPr>
      </w:pPr>
      <w:r w:rsidRPr="000B4250">
        <w:rPr>
          <w:rFonts w:ascii="Times New Roman" w:hAnsi="Times New Roman"/>
          <w:sz w:val="24"/>
        </w:rPr>
        <w:t>The total annualized cost to respondents (across the three types of respondents) is $</w:t>
      </w:r>
      <w:r w:rsidR="006B69AD" w:rsidRPr="000B4250">
        <w:rPr>
          <w:rFonts w:ascii="Times New Roman" w:hAnsi="Times New Roman"/>
          <w:sz w:val="24"/>
        </w:rPr>
        <w:t>64,134.00</w:t>
      </w:r>
      <w:r w:rsidRPr="000B4250">
        <w:rPr>
          <w:rFonts w:ascii="Times New Roman" w:hAnsi="Times New Roman"/>
          <w:sz w:val="24"/>
        </w:rPr>
        <w:t xml:space="preserve">. </w:t>
      </w:r>
    </w:p>
    <w:p w14:paraId="6194660E"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Estimates of Other Total Annual Cost</w:t>
      </w:r>
      <w:r w:rsidR="007C75B1" w:rsidRPr="000B4250">
        <w:rPr>
          <w:rFonts w:ascii="Times New Roman" w:hAnsi="Times New Roman"/>
          <w:sz w:val="24"/>
          <w:u w:val="single"/>
        </w:rPr>
        <w:t>s</w:t>
      </w:r>
      <w:r w:rsidRPr="000B4250">
        <w:rPr>
          <w:rFonts w:ascii="Times New Roman" w:hAnsi="Times New Roman"/>
          <w:sz w:val="24"/>
          <w:u w:val="single"/>
        </w:rPr>
        <w:t xml:space="preserve"> to Respondents and</w:t>
      </w:r>
      <w:r w:rsidR="00350523" w:rsidRPr="000B4250">
        <w:rPr>
          <w:rFonts w:ascii="Times New Roman" w:hAnsi="Times New Roman"/>
          <w:sz w:val="24"/>
          <w:u w:val="single"/>
        </w:rPr>
        <w:t>/or Recordkeepers/Capital Costs</w:t>
      </w:r>
    </w:p>
    <w:p w14:paraId="151C1190" w14:textId="77777777" w:rsidR="00E13ACA" w:rsidRPr="000B4250" w:rsidRDefault="00E13ACA" w:rsidP="00B2211B">
      <w:pPr>
        <w:ind w:left="720"/>
        <w:rPr>
          <w:rFonts w:ascii="Times New Roman" w:hAnsi="Times New Roman"/>
          <w:sz w:val="24"/>
        </w:rPr>
      </w:pPr>
      <w:r w:rsidRPr="000B4250">
        <w:rPr>
          <w:rFonts w:ascii="Times New Roman" w:hAnsi="Times New Roman"/>
          <w:sz w:val="24"/>
        </w:rPr>
        <w:t>There are no capital, start-up, operating or maintenance costs associated with this information collection.</w:t>
      </w:r>
    </w:p>
    <w:p w14:paraId="70DA790E"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Annualized Cost to the Federal Government</w:t>
      </w:r>
    </w:p>
    <w:p w14:paraId="086313B0" w14:textId="7889AB30" w:rsidR="003C4829" w:rsidRPr="000B4250" w:rsidRDefault="003C4829" w:rsidP="00D730BF">
      <w:pPr>
        <w:ind w:left="720"/>
        <w:rPr>
          <w:rFonts w:ascii="Times New Roman" w:hAnsi="Times New Roman"/>
          <w:sz w:val="24"/>
        </w:rPr>
      </w:pPr>
      <w:r w:rsidRPr="000B4250">
        <w:rPr>
          <w:rFonts w:ascii="Times New Roman" w:hAnsi="Times New Roman"/>
          <w:sz w:val="24"/>
        </w:rPr>
        <w:t xml:space="preserve">This 2-year independent assessment of combination product review practices encompasses several evaluation methodologies, including interviews with </w:t>
      </w:r>
      <w:r w:rsidR="00266080" w:rsidRPr="000B4250">
        <w:rPr>
          <w:rFonts w:ascii="Times New Roman" w:hAnsi="Times New Roman"/>
          <w:sz w:val="24"/>
        </w:rPr>
        <w:t xml:space="preserve">sponsors/applicants for combination product </w:t>
      </w:r>
      <w:r w:rsidR="00974331" w:rsidRPr="000B4250">
        <w:rPr>
          <w:rFonts w:ascii="Times New Roman" w:hAnsi="Times New Roman"/>
          <w:sz w:val="24"/>
        </w:rPr>
        <w:t>RFDs/pre-RFDs</w:t>
      </w:r>
      <w:r w:rsidR="00266080" w:rsidRPr="000B4250">
        <w:rPr>
          <w:rFonts w:ascii="Times New Roman" w:hAnsi="Times New Roman"/>
          <w:sz w:val="24"/>
        </w:rPr>
        <w:t xml:space="preserve">, </w:t>
      </w:r>
      <w:r w:rsidR="00974331" w:rsidRPr="000B4250">
        <w:rPr>
          <w:rFonts w:ascii="Times New Roman" w:hAnsi="Times New Roman"/>
          <w:sz w:val="24"/>
        </w:rPr>
        <w:t>INDs/pre-INDs</w:t>
      </w:r>
      <w:r w:rsidR="00266080" w:rsidRPr="000B4250">
        <w:rPr>
          <w:rFonts w:ascii="Times New Roman" w:hAnsi="Times New Roman"/>
          <w:sz w:val="24"/>
        </w:rPr>
        <w:t>, and NDAs/BLAs</w:t>
      </w:r>
      <w:r w:rsidRPr="000B4250">
        <w:rPr>
          <w:rFonts w:ascii="Times New Roman" w:hAnsi="Times New Roman"/>
          <w:sz w:val="24"/>
        </w:rPr>
        <w:t>. The interview effort involves development of an interview protocol and script, implementation of the interviews, and analysis of results to develop findings and recommendations about combination product review practices. The annualized cost to the Federal government is estimated to be $</w:t>
      </w:r>
      <w:r w:rsidR="006307FD" w:rsidRPr="000B4250">
        <w:rPr>
          <w:rFonts w:ascii="Times New Roman" w:hAnsi="Times New Roman"/>
          <w:sz w:val="24"/>
        </w:rPr>
        <w:t>135</w:t>
      </w:r>
      <w:r w:rsidRPr="000B4250">
        <w:rPr>
          <w:rFonts w:ascii="Times New Roman" w:hAnsi="Times New Roman"/>
          <w:sz w:val="24"/>
        </w:rPr>
        <w:t xml:space="preserve">,000, which is the total contractor cost </w:t>
      </w:r>
      <w:r w:rsidR="003D3993" w:rsidRPr="000B4250">
        <w:rPr>
          <w:rFonts w:ascii="Times New Roman" w:hAnsi="Times New Roman"/>
          <w:sz w:val="24"/>
        </w:rPr>
        <w:t>and FDA oversight cost of</w:t>
      </w:r>
      <w:r w:rsidRPr="000B4250">
        <w:rPr>
          <w:rFonts w:ascii="Times New Roman" w:hAnsi="Times New Roman"/>
          <w:sz w:val="24"/>
        </w:rPr>
        <w:t xml:space="preserve"> the interview portion of the</w:t>
      </w:r>
      <w:r w:rsidR="003D3993" w:rsidRPr="000B4250">
        <w:rPr>
          <w:rFonts w:ascii="Times New Roman" w:hAnsi="Times New Roman"/>
          <w:sz w:val="24"/>
        </w:rPr>
        <w:t xml:space="preserve"> independent assessment project: </w:t>
      </w:r>
      <w:r w:rsidRPr="000B4250">
        <w:rPr>
          <w:rFonts w:ascii="Times New Roman" w:hAnsi="Times New Roman"/>
          <w:sz w:val="24"/>
        </w:rPr>
        <w:t>approximately $</w:t>
      </w:r>
      <w:r w:rsidR="006307FD" w:rsidRPr="000B4250">
        <w:rPr>
          <w:rFonts w:ascii="Times New Roman" w:hAnsi="Times New Roman"/>
          <w:sz w:val="24"/>
        </w:rPr>
        <w:t>8</w:t>
      </w:r>
      <w:r w:rsidRPr="000B4250">
        <w:rPr>
          <w:rFonts w:ascii="Times New Roman" w:hAnsi="Times New Roman"/>
          <w:sz w:val="24"/>
        </w:rPr>
        <w:t xml:space="preserve">,000 </w:t>
      </w:r>
      <w:r w:rsidR="007B6ECE" w:rsidRPr="000B4250">
        <w:rPr>
          <w:rFonts w:ascii="Times New Roman" w:hAnsi="Times New Roman"/>
          <w:sz w:val="24"/>
        </w:rPr>
        <w:t>is</w:t>
      </w:r>
      <w:r w:rsidRPr="000B4250">
        <w:rPr>
          <w:rFonts w:ascii="Times New Roman" w:hAnsi="Times New Roman"/>
          <w:sz w:val="24"/>
        </w:rPr>
        <w:t xml:space="preserve"> for interview development costs (e.g., instrument development, implementation design, etc.)</w:t>
      </w:r>
      <w:r w:rsidR="003D3993" w:rsidRPr="000B4250">
        <w:rPr>
          <w:rFonts w:ascii="Times New Roman" w:hAnsi="Times New Roman"/>
          <w:sz w:val="24"/>
        </w:rPr>
        <w:t>,</w:t>
      </w:r>
      <w:r w:rsidRPr="000B4250">
        <w:rPr>
          <w:rFonts w:ascii="Times New Roman" w:hAnsi="Times New Roman"/>
          <w:sz w:val="24"/>
        </w:rPr>
        <w:t xml:space="preserve"> $</w:t>
      </w:r>
      <w:r w:rsidR="007B6ECE" w:rsidRPr="000B4250">
        <w:rPr>
          <w:rFonts w:ascii="Times New Roman" w:hAnsi="Times New Roman"/>
          <w:sz w:val="24"/>
        </w:rPr>
        <w:t>11</w:t>
      </w:r>
      <w:r w:rsidR="006307FD" w:rsidRPr="000B4250">
        <w:rPr>
          <w:rFonts w:ascii="Times New Roman" w:hAnsi="Times New Roman"/>
          <w:sz w:val="24"/>
        </w:rPr>
        <w:t>7</w:t>
      </w:r>
      <w:r w:rsidRPr="000B4250">
        <w:rPr>
          <w:rFonts w:ascii="Times New Roman" w:hAnsi="Times New Roman"/>
          <w:sz w:val="24"/>
        </w:rPr>
        <w:t xml:space="preserve">,000 </w:t>
      </w:r>
      <w:r w:rsidR="007B6ECE" w:rsidRPr="000B4250">
        <w:rPr>
          <w:rFonts w:ascii="Times New Roman" w:hAnsi="Times New Roman"/>
          <w:sz w:val="24"/>
        </w:rPr>
        <w:t>is</w:t>
      </w:r>
      <w:r w:rsidRPr="000B4250">
        <w:rPr>
          <w:rFonts w:ascii="Times New Roman" w:hAnsi="Times New Roman"/>
          <w:sz w:val="24"/>
        </w:rPr>
        <w:t xml:space="preserve"> for interview implementation and analysis</w:t>
      </w:r>
      <w:r w:rsidR="003D3993" w:rsidRPr="000B4250">
        <w:rPr>
          <w:rFonts w:ascii="Times New Roman" w:hAnsi="Times New Roman"/>
          <w:sz w:val="24"/>
        </w:rPr>
        <w:t>, and $10,000 is for FDA oversight of contractor activities</w:t>
      </w:r>
      <w:r w:rsidRPr="000B4250">
        <w:rPr>
          <w:rFonts w:ascii="Times New Roman" w:hAnsi="Times New Roman"/>
          <w:sz w:val="24"/>
        </w:rPr>
        <w:t>. There are no other costs to the Federal government for implementation.</w:t>
      </w:r>
    </w:p>
    <w:p w14:paraId="5BF6F551"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Explanation for Program Changes or Adjustments</w:t>
      </w:r>
    </w:p>
    <w:p w14:paraId="2C2E0EFA" w14:textId="77777777" w:rsidR="009A47C4" w:rsidRPr="000B4250" w:rsidRDefault="009A47C4" w:rsidP="006F679E">
      <w:pPr>
        <w:ind w:left="720"/>
        <w:rPr>
          <w:rFonts w:ascii="Times New Roman" w:hAnsi="Times New Roman"/>
          <w:sz w:val="24"/>
        </w:rPr>
      </w:pPr>
      <w:r w:rsidRPr="000B4250">
        <w:rPr>
          <w:rFonts w:ascii="Times New Roman" w:hAnsi="Times New Roman"/>
          <w:sz w:val="24"/>
        </w:rPr>
        <w:t>This is a new data collection.</w:t>
      </w:r>
    </w:p>
    <w:p w14:paraId="7E014B88"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Plans for Tabulation and Publication and Project Time Schedule</w:t>
      </w:r>
    </w:p>
    <w:p w14:paraId="12BBA1E3" w14:textId="77777777" w:rsidR="009A47C4" w:rsidRPr="000B4250" w:rsidRDefault="009A47C4" w:rsidP="00B7202A">
      <w:pPr>
        <w:spacing w:after="200"/>
        <w:ind w:left="720"/>
        <w:rPr>
          <w:rFonts w:ascii="Times New Roman" w:hAnsi="Times New Roman"/>
          <w:color w:val="000000"/>
          <w:sz w:val="24"/>
        </w:rPr>
      </w:pPr>
      <w:r w:rsidRPr="000B4250">
        <w:rPr>
          <w:rFonts w:ascii="Times New Roman" w:hAnsi="Times New Roman"/>
          <w:color w:val="000000"/>
          <w:sz w:val="24"/>
        </w:rPr>
        <w:t>The contractor conducting the independent assessment will present results, including interview results, in a single report titled “Assessment of Combination Product Review Practices: Final Report”.</w:t>
      </w:r>
    </w:p>
    <w:p w14:paraId="43C9DB80" w14:textId="77D0A75E" w:rsidR="009A47C4" w:rsidRPr="000B4250" w:rsidRDefault="00C41454" w:rsidP="00B7202A">
      <w:pPr>
        <w:spacing w:after="200"/>
        <w:ind w:left="720"/>
        <w:rPr>
          <w:rFonts w:ascii="Times New Roman" w:hAnsi="Times New Roman"/>
          <w:color w:val="000000"/>
          <w:sz w:val="24"/>
        </w:rPr>
      </w:pPr>
      <w:r w:rsidRPr="000B4250">
        <w:rPr>
          <w:rFonts w:ascii="Times New Roman" w:hAnsi="Times New Roman"/>
          <w:color w:val="000000"/>
          <w:sz w:val="24"/>
        </w:rPr>
        <w:t>FDA will publish this report</w:t>
      </w:r>
      <w:r w:rsidR="009A47C4" w:rsidRPr="000B4250">
        <w:rPr>
          <w:rFonts w:ascii="Times New Roman" w:hAnsi="Times New Roman"/>
          <w:color w:val="000000"/>
          <w:sz w:val="24"/>
        </w:rPr>
        <w:t xml:space="preserve"> on the FDA</w:t>
      </w:r>
      <w:r w:rsidRPr="000B4250">
        <w:rPr>
          <w:rFonts w:ascii="Times New Roman" w:hAnsi="Times New Roman"/>
          <w:color w:val="000000"/>
          <w:sz w:val="24"/>
        </w:rPr>
        <w:t>’s public</w:t>
      </w:r>
      <w:r w:rsidR="009A47C4" w:rsidRPr="000B4250">
        <w:rPr>
          <w:rFonts w:ascii="Times New Roman" w:hAnsi="Times New Roman"/>
          <w:color w:val="000000"/>
          <w:sz w:val="24"/>
        </w:rPr>
        <w:t xml:space="preserve"> website.</w:t>
      </w:r>
    </w:p>
    <w:p w14:paraId="5B4F7F54" w14:textId="77777777" w:rsidR="009A47C4" w:rsidRPr="00681A16" w:rsidRDefault="009A47C4" w:rsidP="009A47C4">
      <w:pPr>
        <w:pStyle w:val="Caption"/>
        <w:ind w:left="720"/>
        <w:rPr>
          <w:rFonts w:ascii="Times New Roman" w:hAnsi="Times New Roman"/>
          <w:color w:val="000000"/>
          <w:sz w:val="24"/>
          <w:szCs w:val="24"/>
        </w:rPr>
      </w:pPr>
      <w:bookmarkStart w:id="3" w:name="_Toc320893938"/>
      <w:r w:rsidRPr="000B4250">
        <w:rPr>
          <w:rFonts w:ascii="Times New Roman" w:hAnsi="Times New Roman"/>
          <w:sz w:val="24"/>
          <w:szCs w:val="24"/>
        </w:rPr>
        <w:t>Table 3. Schedule for project tasks.</w:t>
      </w:r>
      <w:bookmarkEnd w:id="3"/>
    </w:p>
    <w:tbl>
      <w:tblPr>
        <w:tblW w:w="0" w:type="auto"/>
        <w:tblInd w:w="720" w:type="dxa"/>
        <w:tblBorders>
          <w:top w:val="single" w:sz="12" w:space="0" w:color="365F91"/>
          <w:bottom w:val="single" w:sz="12" w:space="0" w:color="365F91"/>
          <w:insideH w:val="single" w:sz="4" w:space="0" w:color="auto"/>
        </w:tblBorders>
        <w:tblLook w:val="00A0" w:firstRow="1" w:lastRow="0" w:firstColumn="1" w:lastColumn="0" w:noHBand="0" w:noVBand="0"/>
      </w:tblPr>
      <w:tblGrid>
        <w:gridCol w:w="3960"/>
        <w:gridCol w:w="4788"/>
      </w:tblGrid>
      <w:tr w:rsidR="009A47C4" w:rsidRPr="00681A16" w14:paraId="0FEEF9E6" w14:textId="77777777" w:rsidTr="00167EBB">
        <w:tc>
          <w:tcPr>
            <w:tcW w:w="3960" w:type="dxa"/>
            <w:tcBorders>
              <w:top w:val="single" w:sz="12" w:space="0" w:color="365F91"/>
            </w:tcBorders>
            <w:vAlign w:val="center"/>
          </w:tcPr>
          <w:p w14:paraId="13D4A6D7" w14:textId="77777777" w:rsidR="009A47C4" w:rsidRPr="000B4250" w:rsidRDefault="009A47C4" w:rsidP="001D41CB">
            <w:pPr>
              <w:rPr>
                <w:rFonts w:ascii="Times New Roman" w:hAnsi="Times New Roman"/>
                <w:b/>
                <w:color w:val="000000"/>
                <w:sz w:val="24"/>
              </w:rPr>
            </w:pPr>
            <w:r w:rsidRPr="000B4250">
              <w:rPr>
                <w:rFonts w:ascii="Times New Roman" w:hAnsi="Times New Roman"/>
                <w:b/>
                <w:color w:val="000000"/>
                <w:sz w:val="24"/>
              </w:rPr>
              <w:t>Tasks</w:t>
            </w:r>
          </w:p>
        </w:tc>
        <w:tc>
          <w:tcPr>
            <w:tcW w:w="4788" w:type="dxa"/>
            <w:tcBorders>
              <w:top w:val="single" w:sz="12" w:space="0" w:color="365F91"/>
            </w:tcBorders>
            <w:vAlign w:val="center"/>
          </w:tcPr>
          <w:p w14:paraId="60113A1B" w14:textId="77777777" w:rsidR="009A47C4" w:rsidRPr="000B4250" w:rsidRDefault="009A47C4" w:rsidP="001D41CB">
            <w:pPr>
              <w:rPr>
                <w:rFonts w:ascii="Times New Roman" w:hAnsi="Times New Roman"/>
                <w:b/>
                <w:color w:val="000000"/>
                <w:sz w:val="24"/>
              </w:rPr>
            </w:pPr>
            <w:r w:rsidRPr="000B4250">
              <w:rPr>
                <w:rFonts w:ascii="Times New Roman" w:hAnsi="Times New Roman"/>
                <w:b/>
                <w:color w:val="000000"/>
                <w:sz w:val="24"/>
              </w:rPr>
              <w:t>Schedule</w:t>
            </w:r>
          </w:p>
        </w:tc>
      </w:tr>
      <w:tr w:rsidR="009A47C4" w:rsidRPr="00681A16" w14:paraId="201527ED" w14:textId="77777777" w:rsidTr="00167EBB">
        <w:tc>
          <w:tcPr>
            <w:tcW w:w="3960" w:type="dxa"/>
            <w:vAlign w:val="center"/>
          </w:tcPr>
          <w:p w14:paraId="5DF5A918" w14:textId="77777777" w:rsidR="009A47C4" w:rsidRPr="000B4250" w:rsidRDefault="009A47C4" w:rsidP="001D41CB">
            <w:pPr>
              <w:rPr>
                <w:rFonts w:ascii="Times New Roman" w:hAnsi="Times New Roman"/>
                <w:sz w:val="24"/>
              </w:rPr>
            </w:pPr>
            <w:r w:rsidRPr="000B4250">
              <w:rPr>
                <w:rFonts w:ascii="Times New Roman" w:hAnsi="Times New Roman"/>
                <w:sz w:val="24"/>
              </w:rPr>
              <w:t>Draft interview protocols and scripts</w:t>
            </w:r>
          </w:p>
        </w:tc>
        <w:tc>
          <w:tcPr>
            <w:tcW w:w="4788" w:type="dxa"/>
            <w:vAlign w:val="center"/>
          </w:tcPr>
          <w:p w14:paraId="3464F4EE" w14:textId="31983CC1" w:rsidR="009A47C4" w:rsidRPr="000B4250" w:rsidRDefault="00C41454" w:rsidP="001D41CB">
            <w:pPr>
              <w:rPr>
                <w:rFonts w:ascii="Times New Roman" w:hAnsi="Times New Roman"/>
                <w:sz w:val="24"/>
              </w:rPr>
            </w:pPr>
            <w:r w:rsidRPr="000B4250">
              <w:rPr>
                <w:rFonts w:ascii="Times New Roman" w:hAnsi="Times New Roman"/>
                <w:sz w:val="24"/>
              </w:rPr>
              <w:t>July 9</w:t>
            </w:r>
            <w:r w:rsidR="009A47C4" w:rsidRPr="000B4250">
              <w:rPr>
                <w:rFonts w:ascii="Times New Roman" w:hAnsi="Times New Roman"/>
                <w:sz w:val="24"/>
              </w:rPr>
              <w:t>, 2018</w:t>
            </w:r>
          </w:p>
        </w:tc>
      </w:tr>
      <w:tr w:rsidR="009A47C4" w:rsidRPr="00681A16" w14:paraId="410C9C17" w14:textId="77777777" w:rsidTr="00167EBB">
        <w:tc>
          <w:tcPr>
            <w:tcW w:w="3960" w:type="dxa"/>
            <w:vAlign w:val="center"/>
          </w:tcPr>
          <w:p w14:paraId="66A9844A" w14:textId="77777777" w:rsidR="009A47C4" w:rsidRPr="000B4250" w:rsidRDefault="009A47C4" w:rsidP="001D41CB">
            <w:pPr>
              <w:rPr>
                <w:rFonts w:ascii="Times New Roman" w:hAnsi="Times New Roman"/>
                <w:sz w:val="24"/>
              </w:rPr>
            </w:pPr>
            <w:r w:rsidRPr="000B4250">
              <w:rPr>
                <w:rFonts w:ascii="Times New Roman" w:hAnsi="Times New Roman"/>
                <w:sz w:val="24"/>
              </w:rPr>
              <w:t>Finalize interview protocols and scripts</w:t>
            </w:r>
          </w:p>
        </w:tc>
        <w:tc>
          <w:tcPr>
            <w:tcW w:w="4788" w:type="dxa"/>
            <w:vAlign w:val="center"/>
          </w:tcPr>
          <w:p w14:paraId="1044F8E1" w14:textId="4491B945" w:rsidR="009A47C4" w:rsidRPr="000B4250" w:rsidRDefault="00C41454" w:rsidP="001D41CB">
            <w:pPr>
              <w:rPr>
                <w:rFonts w:ascii="Times New Roman" w:hAnsi="Times New Roman"/>
                <w:sz w:val="24"/>
              </w:rPr>
            </w:pPr>
            <w:r w:rsidRPr="000B4250">
              <w:rPr>
                <w:rFonts w:ascii="Times New Roman" w:hAnsi="Times New Roman"/>
                <w:sz w:val="24"/>
              </w:rPr>
              <w:t>After public comment on 60-day notice for ICR</w:t>
            </w:r>
          </w:p>
        </w:tc>
      </w:tr>
      <w:tr w:rsidR="009A47C4" w:rsidRPr="00681A16" w14:paraId="633BC6FE" w14:textId="77777777" w:rsidTr="00167EBB">
        <w:tc>
          <w:tcPr>
            <w:tcW w:w="3960" w:type="dxa"/>
            <w:vAlign w:val="center"/>
          </w:tcPr>
          <w:p w14:paraId="1BCCFBB8" w14:textId="77777777" w:rsidR="009A47C4" w:rsidRPr="000B4250" w:rsidRDefault="009A47C4" w:rsidP="001D41CB">
            <w:pPr>
              <w:rPr>
                <w:rFonts w:ascii="Times New Roman" w:hAnsi="Times New Roman"/>
                <w:sz w:val="24"/>
              </w:rPr>
            </w:pPr>
            <w:r w:rsidRPr="000B4250">
              <w:rPr>
                <w:rFonts w:ascii="Times New Roman" w:hAnsi="Times New Roman"/>
                <w:sz w:val="24"/>
              </w:rPr>
              <w:t>Conduct interviews</w:t>
            </w:r>
          </w:p>
        </w:tc>
        <w:tc>
          <w:tcPr>
            <w:tcW w:w="4788" w:type="dxa"/>
            <w:vAlign w:val="center"/>
          </w:tcPr>
          <w:p w14:paraId="21E181C2" w14:textId="19866251" w:rsidR="009A47C4" w:rsidRPr="000B4250" w:rsidRDefault="00494EEA" w:rsidP="001D41CB">
            <w:pPr>
              <w:rPr>
                <w:rFonts w:ascii="Times New Roman" w:hAnsi="Times New Roman"/>
                <w:sz w:val="24"/>
              </w:rPr>
            </w:pPr>
            <w:r w:rsidRPr="000B4250">
              <w:rPr>
                <w:rFonts w:ascii="Times New Roman" w:hAnsi="Times New Roman"/>
                <w:sz w:val="24"/>
              </w:rPr>
              <w:t>February 1, 2019 through</w:t>
            </w:r>
            <w:r w:rsidR="001564CF">
              <w:rPr>
                <w:rFonts w:ascii="Times New Roman" w:hAnsi="Times New Roman"/>
                <w:sz w:val="24"/>
              </w:rPr>
              <w:t xml:space="preserve"> August 31</w:t>
            </w:r>
            <w:r w:rsidRPr="000B4250">
              <w:rPr>
                <w:rFonts w:ascii="Times New Roman" w:hAnsi="Times New Roman"/>
                <w:sz w:val="24"/>
              </w:rPr>
              <w:t>, 2020</w:t>
            </w:r>
          </w:p>
        </w:tc>
      </w:tr>
      <w:tr w:rsidR="009A47C4" w:rsidRPr="00681A16" w14:paraId="4F24BBE5" w14:textId="77777777" w:rsidTr="00167EBB">
        <w:tc>
          <w:tcPr>
            <w:tcW w:w="3960" w:type="dxa"/>
            <w:vAlign w:val="center"/>
          </w:tcPr>
          <w:p w14:paraId="074DDE1C" w14:textId="77777777" w:rsidR="009A47C4" w:rsidRPr="000B4250" w:rsidRDefault="009A47C4" w:rsidP="001D41CB">
            <w:pPr>
              <w:rPr>
                <w:rFonts w:ascii="Times New Roman" w:hAnsi="Times New Roman"/>
                <w:sz w:val="24"/>
              </w:rPr>
            </w:pPr>
            <w:r w:rsidRPr="000B4250">
              <w:rPr>
                <w:rFonts w:ascii="Times New Roman" w:hAnsi="Times New Roman"/>
                <w:sz w:val="24"/>
              </w:rPr>
              <w:t>Analyze interview information</w:t>
            </w:r>
          </w:p>
        </w:tc>
        <w:tc>
          <w:tcPr>
            <w:tcW w:w="4788" w:type="dxa"/>
            <w:vAlign w:val="center"/>
          </w:tcPr>
          <w:p w14:paraId="514E97DC" w14:textId="53768FC5" w:rsidR="009A47C4" w:rsidRPr="000B4250" w:rsidRDefault="009A47C4" w:rsidP="001D41CB">
            <w:pPr>
              <w:rPr>
                <w:rFonts w:ascii="Times New Roman" w:hAnsi="Times New Roman"/>
                <w:sz w:val="24"/>
              </w:rPr>
            </w:pPr>
            <w:r w:rsidRPr="000B4250">
              <w:rPr>
                <w:rFonts w:ascii="Times New Roman" w:hAnsi="Times New Roman"/>
                <w:sz w:val="24"/>
              </w:rPr>
              <w:t>Quarterly</w:t>
            </w:r>
          </w:p>
        </w:tc>
      </w:tr>
      <w:tr w:rsidR="009A47C4" w:rsidRPr="00681A16" w14:paraId="2BCD3C5E" w14:textId="77777777" w:rsidTr="00167EBB">
        <w:tc>
          <w:tcPr>
            <w:tcW w:w="3960" w:type="dxa"/>
            <w:vAlign w:val="center"/>
          </w:tcPr>
          <w:p w14:paraId="4F492C63" w14:textId="06766A50" w:rsidR="009A47C4" w:rsidRPr="000B4250" w:rsidRDefault="009A47C4" w:rsidP="001D41CB">
            <w:pPr>
              <w:rPr>
                <w:rFonts w:ascii="Times New Roman" w:hAnsi="Times New Roman"/>
                <w:sz w:val="24"/>
              </w:rPr>
            </w:pPr>
            <w:r w:rsidRPr="000B4250">
              <w:rPr>
                <w:rFonts w:ascii="Times New Roman" w:hAnsi="Times New Roman"/>
                <w:sz w:val="24"/>
              </w:rPr>
              <w:t xml:space="preserve">Prepare </w:t>
            </w:r>
            <w:r w:rsidR="001564CF">
              <w:rPr>
                <w:rFonts w:ascii="Times New Roman" w:hAnsi="Times New Roman"/>
                <w:sz w:val="24"/>
              </w:rPr>
              <w:t xml:space="preserve">initial </w:t>
            </w:r>
            <w:r w:rsidRPr="000B4250">
              <w:rPr>
                <w:rFonts w:ascii="Times New Roman" w:hAnsi="Times New Roman"/>
                <w:sz w:val="24"/>
              </w:rPr>
              <w:t>assessment report</w:t>
            </w:r>
          </w:p>
        </w:tc>
        <w:tc>
          <w:tcPr>
            <w:tcW w:w="4788" w:type="dxa"/>
            <w:vAlign w:val="center"/>
          </w:tcPr>
          <w:p w14:paraId="4538B6E5" w14:textId="77777777" w:rsidR="009A47C4" w:rsidRPr="000B4250" w:rsidRDefault="00494EEA" w:rsidP="001D41CB">
            <w:pPr>
              <w:rPr>
                <w:rFonts w:ascii="Times New Roman" w:hAnsi="Times New Roman"/>
                <w:sz w:val="24"/>
              </w:rPr>
            </w:pPr>
            <w:r w:rsidRPr="000B4250">
              <w:rPr>
                <w:rFonts w:ascii="Times New Roman" w:hAnsi="Times New Roman"/>
                <w:sz w:val="24"/>
              </w:rPr>
              <w:t>April 13</w:t>
            </w:r>
            <w:r w:rsidR="009A47C4" w:rsidRPr="000B4250">
              <w:rPr>
                <w:rFonts w:ascii="Times New Roman" w:hAnsi="Times New Roman"/>
                <w:sz w:val="24"/>
              </w:rPr>
              <w:t>, 20</w:t>
            </w:r>
            <w:r w:rsidRPr="000B4250">
              <w:rPr>
                <w:rFonts w:ascii="Times New Roman" w:hAnsi="Times New Roman"/>
                <w:sz w:val="24"/>
              </w:rPr>
              <w:t>20</w:t>
            </w:r>
          </w:p>
        </w:tc>
      </w:tr>
      <w:tr w:rsidR="00494EEA" w:rsidRPr="00681A16" w14:paraId="7674F67C" w14:textId="77777777" w:rsidTr="00167EBB">
        <w:tc>
          <w:tcPr>
            <w:tcW w:w="3960" w:type="dxa"/>
            <w:tcBorders>
              <w:bottom w:val="single" w:sz="12" w:space="0" w:color="365F91"/>
            </w:tcBorders>
            <w:vAlign w:val="center"/>
          </w:tcPr>
          <w:p w14:paraId="7B91BF6E" w14:textId="07D92834" w:rsidR="00494EEA" w:rsidRPr="000B4250" w:rsidRDefault="00494EEA" w:rsidP="001D41CB">
            <w:pPr>
              <w:rPr>
                <w:rFonts w:ascii="Times New Roman" w:hAnsi="Times New Roman"/>
                <w:sz w:val="24"/>
              </w:rPr>
            </w:pPr>
            <w:r w:rsidRPr="000B4250">
              <w:rPr>
                <w:rFonts w:ascii="Times New Roman" w:hAnsi="Times New Roman"/>
                <w:sz w:val="24"/>
              </w:rPr>
              <w:t xml:space="preserve">Publish </w:t>
            </w:r>
            <w:r w:rsidR="00E1482D">
              <w:rPr>
                <w:rFonts w:ascii="Times New Roman" w:hAnsi="Times New Roman"/>
                <w:sz w:val="24"/>
              </w:rPr>
              <w:t>final</w:t>
            </w:r>
            <w:r w:rsidRPr="000B4250">
              <w:rPr>
                <w:rFonts w:ascii="Times New Roman" w:hAnsi="Times New Roman"/>
                <w:sz w:val="24"/>
              </w:rPr>
              <w:t xml:space="preserve"> report</w:t>
            </w:r>
          </w:p>
        </w:tc>
        <w:tc>
          <w:tcPr>
            <w:tcW w:w="4788" w:type="dxa"/>
            <w:tcBorders>
              <w:bottom w:val="single" w:sz="12" w:space="0" w:color="365F91"/>
            </w:tcBorders>
            <w:vAlign w:val="center"/>
          </w:tcPr>
          <w:p w14:paraId="2169E4A3" w14:textId="30E7FBA7" w:rsidR="00494EEA" w:rsidRPr="000B4250" w:rsidRDefault="00494EEA" w:rsidP="001D41CB">
            <w:pPr>
              <w:rPr>
                <w:rFonts w:ascii="Times New Roman" w:hAnsi="Times New Roman"/>
                <w:sz w:val="24"/>
              </w:rPr>
            </w:pPr>
            <w:r w:rsidRPr="000B4250">
              <w:rPr>
                <w:rFonts w:ascii="Times New Roman" w:hAnsi="Times New Roman"/>
                <w:sz w:val="24"/>
              </w:rPr>
              <w:t>September 30, 2020</w:t>
            </w:r>
          </w:p>
        </w:tc>
      </w:tr>
    </w:tbl>
    <w:p w14:paraId="66845D37" w14:textId="77777777" w:rsidR="004C6979"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Reason(s) Display of OMB Expiration Date is Inappropriate</w:t>
      </w:r>
    </w:p>
    <w:p w14:paraId="7EF8EA2F" w14:textId="4EAE0850" w:rsidR="00CE6251" w:rsidRPr="000B4250" w:rsidRDefault="006F679E" w:rsidP="006F679E">
      <w:pPr>
        <w:ind w:left="720"/>
        <w:rPr>
          <w:rFonts w:ascii="Times New Roman" w:hAnsi="Times New Roman"/>
          <w:sz w:val="24"/>
        </w:rPr>
      </w:pPr>
      <w:r w:rsidRPr="000B4250">
        <w:rPr>
          <w:rFonts w:ascii="Times New Roman" w:hAnsi="Times New Roman"/>
          <w:sz w:val="24"/>
        </w:rPr>
        <w:t>FDA will display the OMB expiration date as required by CFR 1320.5</w:t>
      </w:r>
      <w:r w:rsidR="009A47C4" w:rsidRPr="000B4250">
        <w:rPr>
          <w:rFonts w:ascii="Times New Roman" w:hAnsi="Times New Roman"/>
          <w:sz w:val="24"/>
        </w:rPr>
        <w:t>.</w:t>
      </w:r>
    </w:p>
    <w:p w14:paraId="2E3CF9CC" w14:textId="77777777" w:rsidR="00EB7538" w:rsidRPr="000B4250" w:rsidRDefault="00EB7538" w:rsidP="00EB7538">
      <w:pPr>
        <w:numPr>
          <w:ilvl w:val="0"/>
          <w:numId w:val="1"/>
        </w:numPr>
        <w:spacing w:before="100" w:beforeAutospacing="1" w:after="100" w:afterAutospacing="1"/>
        <w:rPr>
          <w:rFonts w:ascii="Times New Roman" w:hAnsi="Times New Roman"/>
          <w:sz w:val="24"/>
          <w:u w:val="single"/>
        </w:rPr>
      </w:pPr>
      <w:r w:rsidRPr="000B4250">
        <w:rPr>
          <w:rFonts w:ascii="Times New Roman" w:hAnsi="Times New Roman"/>
          <w:sz w:val="24"/>
          <w:u w:val="single"/>
        </w:rPr>
        <w:t>Exceptions to Certification for Paperwork Reduction Act Submissions</w:t>
      </w:r>
    </w:p>
    <w:p w14:paraId="62825B39" w14:textId="6834D103" w:rsidR="00FA76B9" w:rsidRPr="000B4250" w:rsidRDefault="009A47C4" w:rsidP="00D039B2">
      <w:pPr>
        <w:spacing w:before="100" w:beforeAutospacing="1" w:after="100" w:afterAutospacing="1"/>
        <w:ind w:left="720"/>
        <w:rPr>
          <w:rFonts w:ascii="Times New Roman" w:hAnsi="Times New Roman"/>
          <w:b/>
          <w:i/>
          <w:color w:val="7F7F7F"/>
          <w:sz w:val="24"/>
        </w:rPr>
      </w:pPr>
      <w:r w:rsidRPr="000B4250">
        <w:rPr>
          <w:rFonts w:ascii="Times New Roman" w:hAnsi="Times New Roman"/>
          <w:sz w:val="24"/>
        </w:rPr>
        <w:t>There are no exceptions to the certification.</w:t>
      </w:r>
    </w:p>
    <w:sectPr w:rsidR="00FA76B9" w:rsidRPr="000B4250"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E8E43" w14:textId="77777777" w:rsidR="00A93912" w:rsidRDefault="00A93912">
      <w:r>
        <w:separator/>
      </w:r>
    </w:p>
  </w:endnote>
  <w:endnote w:type="continuationSeparator" w:id="0">
    <w:p w14:paraId="7BD3A4F2" w14:textId="77777777" w:rsidR="00A93912" w:rsidRDefault="00A9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1AB5" w14:textId="77777777" w:rsidR="00290006" w:rsidRDefault="0029000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062E7" w14:textId="77777777" w:rsidR="00290006" w:rsidRDefault="00290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43E6" w14:textId="463003ED" w:rsidR="00290006" w:rsidRDefault="0029000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1BE9">
      <w:rPr>
        <w:rStyle w:val="PageNumber"/>
        <w:noProof/>
      </w:rPr>
      <w:t>1</w:t>
    </w:r>
    <w:r>
      <w:rPr>
        <w:rStyle w:val="PageNumber"/>
      </w:rPr>
      <w:fldChar w:fldCharType="end"/>
    </w:r>
  </w:p>
  <w:p w14:paraId="0481BE0D" w14:textId="77777777" w:rsidR="00290006" w:rsidRDefault="00290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B33DA" w14:textId="77777777" w:rsidR="00A93912" w:rsidRDefault="00A93912">
      <w:r>
        <w:separator/>
      </w:r>
    </w:p>
  </w:footnote>
  <w:footnote w:type="continuationSeparator" w:id="0">
    <w:p w14:paraId="56D3FAEE" w14:textId="77777777" w:rsidR="00A93912" w:rsidRDefault="00A93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7F54"/>
    <w:multiLevelType w:val="hybridMultilevel"/>
    <w:tmpl w:val="2E0E5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581A18"/>
    <w:multiLevelType w:val="hybridMultilevel"/>
    <w:tmpl w:val="A026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60EDB"/>
    <w:multiLevelType w:val="hybridMultilevel"/>
    <w:tmpl w:val="16C8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187583"/>
    <w:multiLevelType w:val="hybridMultilevel"/>
    <w:tmpl w:val="D312E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CD1B93"/>
    <w:multiLevelType w:val="hybridMultilevel"/>
    <w:tmpl w:val="1A6E46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7B4B4F47"/>
    <w:multiLevelType w:val="hybridMultilevel"/>
    <w:tmpl w:val="436AD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4A68"/>
    <w:rsid w:val="00006E2F"/>
    <w:rsid w:val="00021BED"/>
    <w:rsid w:val="0002514D"/>
    <w:rsid w:val="0003088F"/>
    <w:rsid w:val="00030E0E"/>
    <w:rsid w:val="00031A2C"/>
    <w:rsid w:val="00041B2B"/>
    <w:rsid w:val="0004215F"/>
    <w:rsid w:val="00043C7F"/>
    <w:rsid w:val="0006570F"/>
    <w:rsid w:val="00075DE8"/>
    <w:rsid w:val="00082CFB"/>
    <w:rsid w:val="000B403C"/>
    <w:rsid w:val="000B4250"/>
    <w:rsid w:val="000C560C"/>
    <w:rsid w:val="000D48FD"/>
    <w:rsid w:val="000E1C64"/>
    <w:rsid w:val="000E25C8"/>
    <w:rsid w:val="000E593B"/>
    <w:rsid w:val="000E6F4A"/>
    <w:rsid w:val="000F1C08"/>
    <w:rsid w:val="000F7119"/>
    <w:rsid w:val="00100739"/>
    <w:rsid w:val="001058A7"/>
    <w:rsid w:val="00107885"/>
    <w:rsid w:val="00114FC4"/>
    <w:rsid w:val="001159F3"/>
    <w:rsid w:val="00117A5D"/>
    <w:rsid w:val="0012329C"/>
    <w:rsid w:val="001244C8"/>
    <w:rsid w:val="00130DEA"/>
    <w:rsid w:val="00134C33"/>
    <w:rsid w:val="00134FA7"/>
    <w:rsid w:val="00137950"/>
    <w:rsid w:val="00152F29"/>
    <w:rsid w:val="001564CF"/>
    <w:rsid w:val="0016086A"/>
    <w:rsid w:val="00162FB2"/>
    <w:rsid w:val="00167EBB"/>
    <w:rsid w:val="0017189F"/>
    <w:rsid w:val="00174D54"/>
    <w:rsid w:val="0017525B"/>
    <w:rsid w:val="00185270"/>
    <w:rsid w:val="00185AEB"/>
    <w:rsid w:val="001A3B5A"/>
    <w:rsid w:val="001B02D1"/>
    <w:rsid w:val="001B7A47"/>
    <w:rsid w:val="001B7CE9"/>
    <w:rsid w:val="001C58A7"/>
    <w:rsid w:val="001D41CB"/>
    <w:rsid w:val="001D495A"/>
    <w:rsid w:val="001E244C"/>
    <w:rsid w:val="001E4B30"/>
    <w:rsid w:val="001F0E30"/>
    <w:rsid w:val="001F1437"/>
    <w:rsid w:val="001F59C3"/>
    <w:rsid w:val="00200333"/>
    <w:rsid w:val="00206DD3"/>
    <w:rsid w:val="00217DCF"/>
    <w:rsid w:val="002259EF"/>
    <w:rsid w:val="00235126"/>
    <w:rsid w:val="002372F5"/>
    <w:rsid w:val="00237E7B"/>
    <w:rsid w:val="00242ED1"/>
    <w:rsid w:val="002444BB"/>
    <w:rsid w:val="002462BA"/>
    <w:rsid w:val="00253675"/>
    <w:rsid w:val="00254069"/>
    <w:rsid w:val="00260F14"/>
    <w:rsid w:val="002610FC"/>
    <w:rsid w:val="00261D9C"/>
    <w:rsid w:val="00266080"/>
    <w:rsid w:val="00267E2C"/>
    <w:rsid w:val="00270748"/>
    <w:rsid w:val="002734E5"/>
    <w:rsid w:val="002746DB"/>
    <w:rsid w:val="00274840"/>
    <w:rsid w:val="00280CAF"/>
    <w:rsid w:val="0028150A"/>
    <w:rsid w:val="00282F09"/>
    <w:rsid w:val="00290006"/>
    <w:rsid w:val="00294D62"/>
    <w:rsid w:val="00297532"/>
    <w:rsid w:val="002A1210"/>
    <w:rsid w:val="002B1DB6"/>
    <w:rsid w:val="002B2074"/>
    <w:rsid w:val="002D14D8"/>
    <w:rsid w:val="002D3AD0"/>
    <w:rsid w:val="002D4799"/>
    <w:rsid w:val="002E3241"/>
    <w:rsid w:val="002E3FA4"/>
    <w:rsid w:val="002E53A5"/>
    <w:rsid w:val="002E5444"/>
    <w:rsid w:val="002F0415"/>
    <w:rsid w:val="00300223"/>
    <w:rsid w:val="003009EF"/>
    <w:rsid w:val="003113FF"/>
    <w:rsid w:val="00315179"/>
    <w:rsid w:val="0032277F"/>
    <w:rsid w:val="00331CFD"/>
    <w:rsid w:val="00350523"/>
    <w:rsid w:val="0035189D"/>
    <w:rsid w:val="00372B50"/>
    <w:rsid w:val="00372E87"/>
    <w:rsid w:val="003740BC"/>
    <w:rsid w:val="00374A42"/>
    <w:rsid w:val="003751B3"/>
    <w:rsid w:val="003763FE"/>
    <w:rsid w:val="003801A3"/>
    <w:rsid w:val="00383D90"/>
    <w:rsid w:val="00386C34"/>
    <w:rsid w:val="00391A5E"/>
    <w:rsid w:val="003946CF"/>
    <w:rsid w:val="0039493A"/>
    <w:rsid w:val="003A1A27"/>
    <w:rsid w:val="003A50CC"/>
    <w:rsid w:val="003B42B3"/>
    <w:rsid w:val="003B6384"/>
    <w:rsid w:val="003C4829"/>
    <w:rsid w:val="003C495A"/>
    <w:rsid w:val="003C4EBB"/>
    <w:rsid w:val="003D1531"/>
    <w:rsid w:val="003D3993"/>
    <w:rsid w:val="003E4EC6"/>
    <w:rsid w:val="003E527E"/>
    <w:rsid w:val="003E553E"/>
    <w:rsid w:val="003E7078"/>
    <w:rsid w:val="003F3DF5"/>
    <w:rsid w:val="00410910"/>
    <w:rsid w:val="00411D11"/>
    <w:rsid w:val="00415E23"/>
    <w:rsid w:val="0041670D"/>
    <w:rsid w:val="00424061"/>
    <w:rsid w:val="00433A80"/>
    <w:rsid w:val="00442A3C"/>
    <w:rsid w:val="00443969"/>
    <w:rsid w:val="00446836"/>
    <w:rsid w:val="00447D74"/>
    <w:rsid w:val="00450A74"/>
    <w:rsid w:val="004546BF"/>
    <w:rsid w:val="00460E39"/>
    <w:rsid w:val="00465350"/>
    <w:rsid w:val="00466E1D"/>
    <w:rsid w:val="00480791"/>
    <w:rsid w:val="004846BF"/>
    <w:rsid w:val="00484FDE"/>
    <w:rsid w:val="00494EEA"/>
    <w:rsid w:val="004C6979"/>
    <w:rsid w:val="004D13A2"/>
    <w:rsid w:val="004D2A5D"/>
    <w:rsid w:val="004D3E7A"/>
    <w:rsid w:val="004F29EF"/>
    <w:rsid w:val="004F3806"/>
    <w:rsid w:val="004F53BA"/>
    <w:rsid w:val="004F594B"/>
    <w:rsid w:val="004F5FB9"/>
    <w:rsid w:val="004F61E1"/>
    <w:rsid w:val="004F6BD0"/>
    <w:rsid w:val="0053134F"/>
    <w:rsid w:val="00540539"/>
    <w:rsid w:val="00544138"/>
    <w:rsid w:val="00565FD8"/>
    <w:rsid w:val="00584583"/>
    <w:rsid w:val="00587B2F"/>
    <w:rsid w:val="00590EEB"/>
    <w:rsid w:val="005A0B7E"/>
    <w:rsid w:val="005A4099"/>
    <w:rsid w:val="005A74D1"/>
    <w:rsid w:val="005C38B2"/>
    <w:rsid w:val="005C5029"/>
    <w:rsid w:val="005C55C2"/>
    <w:rsid w:val="005C745C"/>
    <w:rsid w:val="005D201D"/>
    <w:rsid w:val="005D4DF5"/>
    <w:rsid w:val="005F0264"/>
    <w:rsid w:val="005F62E1"/>
    <w:rsid w:val="006016BB"/>
    <w:rsid w:val="00611D6B"/>
    <w:rsid w:val="006307FD"/>
    <w:rsid w:val="006326EC"/>
    <w:rsid w:val="00636D45"/>
    <w:rsid w:val="0064431F"/>
    <w:rsid w:val="00663A42"/>
    <w:rsid w:val="00664151"/>
    <w:rsid w:val="006641C7"/>
    <w:rsid w:val="00670BE2"/>
    <w:rsid w:val="00675168"/>
    <w:rsid w:val="00676FD0"/>
    <w:rsid w:val="00681A16"/>
    <w:rsid w:val="006842B4"/>
    <w:rsid w:val="00695DB8"/>
    <w:rsid w:val="006A26C6"/>
    <w:rsid w:val="006A7D5D"/>
    <w:rsid w:val="006B69AD"/>
    <w:rsid w:val="006C23E7"/>
    <w:rsid w:val="006D5D57"/>
    <w:rsid w:val="006F4D6D"/>
    <w:rsid w:val="006F679E"/>
    <w:rsid w:val="006F7DEC"/>
    <w:rsid w:val="00703AD0"/>
    <w:rsid w:val="00705086"/>
    <w:rsid w:val="00731649"/>
    <w:rsid w:val="007471D9"/>
    <w:rsid w:val="00751E66"/>
    <w:rsid w:val="00754497"/>
    <w:rsid w:val="00756B24"/>
    <w:rsid w:val="00763EBD"/>
    <w:rsid w:val="00772F50"/>
    <w:rsid w:val="00773579"/>
    <w:rsid w:val="00780E06"/>
    <w:rsid w:val="007824F2"/>
    <w:rsid w:val="00787C39"/>
    <w:rsid w:val="00795DF3"/>
    <w:rsid w:val="007977F6"/>
    <w:rsid w:val="007A2AE5"/>
    <w:rsid w:val="007A373C"/>
    <w:rsid w:val="007A71F0"/>
    <w:rsid w:val="007B0A08"/>
    <w:rsid w:val="007B225C"/>
    <w:rsid w:val="007B6ECE"/>
    <w:rsid w:val="007C5F7D"/>
    <w:rsid w:val="007C75B1"/>
    <w:rsid w:val="007D1AFD"/>
    <w:rsid w:val="007D3DFC"/>
    <w:rsid w:val="007E2F07"/>
    <w:rsid w:val="008004C7"/>
    <w:rsid w:val="0080776D"/>
    <w:rsid w:val="00810145"/>
    <w:rsid w:val="008108FA"/>
    <w:rsid w:val="00810FF1"/>
    <w:rsid w:val="00811E40"/>
    <w:rsid w:val="008124F5"/>
    <w:rsid w:val="00815BA4"/>
    <w:rsid w:val="00822336"/>
    <w:rsid w:val="00823DFA"/>
    <w:rsid w:val="00835ABE"/>
    <w:rsid w:val="00843752"/>
    <w:rsid w:val="0084479F"/>
    <w:rsid w:val="0085336E"/>
    <w:rsid w:val="0085723B"/>
    <w:rsid w:val="0085725E"/>
    <w:rsid w:val="00872064"/>
    <w:rsid w:val="00880372"/>
    <w:rsid w:val="00885B09"/>
    <w:rsid w:val="00892400"/>
    <w:rsid w:val="008A209D"/>
    <w:rsid w:val="008A22BB"/>
    <w:rsid w:val="008B0E29"/>
    <w:rsid w:val="008B0EFA"/>
    <w:rsid w:val="008B30AB"/>
    <w:rsid w:val="008B7FE3"/>
    <w:rsid w:val="008C1B5B"/>
    <w:rsid w:val="008E535A"/>
    <w:rsid w:val="008E5F55"/>
    <w:rsid w:val="00905DEF"/>
    <w:rsid w:val="009067AA"/>
    <w:rsid w:val="00913B43"/>
    <w:rsid w:val="00914DC9"/>
    <w:rsid w:val="009173E8"/>
    <w:rsid w:val="00923E22"/>
    <w:rsid w:val="009250AD"/>
    <w:rsid w:val="0092600D"/>
    <w:rsid w:val="00930203"/>
    <w:rsid w:val="009311D2"/>
    <w:rsid w:val="009311E6"/>
    <w:rsid w:val="00931275"/>
    <w:rsid w:val="00936AC7"/>
    <w:rsid w:val="00937DAE"/>
    <w:rsid w:val="00941BE9"/>
    <w:rsid w:val="00953B2B"/>
    <w:rsid w:val="00953B64"/>
    <w:rsid w:val="00970A88"/>
    <w:rsid w:val="0097391D"/>
    <w:rsid w:val="00974331"/>
    <w:rsid w:val="0098539D"/>
    <w:rsid w:val="009A1674"/>
    <w:rsid w:val="009A47C4"/>
    <w:rsid w:val="009A626C"/>
    <w:rsid w:val="009B5C0C"/>
    <w:rsid w:val="009C684F"/>
    <w:rsid w:val="009D074C"/>
    <w:rsid w:val="009E09EF"/>
    <w:rsid w:val="009E6729"/>
    <w:rsid w:val="009F1F1D"/>
    <w:rsid w:val="009F2B4F"/>
    <w:rsid w:val="009F3C63"/>
    <w:rsid w:val="009F66B5"/>
    <w:rsid w:val="00A16221"/>
    <w:rsid w:val="00A206C2"/>
    <w:rsid w:val="00A20A7D"/>
    <w:rsid w:val="00A21353"/>
    <w:rsid w:val="00A35D42"/>
    <w:rsid w:val="00A41F7C"/>
    <w:rsid w:val="00A42703"/>
    <w:rsid w:val="00A46CCF"/>
    <w:rsid w:val="00A471CC"/>
    <w:rsid w:val="00A53451"/>
    <w:rsid w:val="00A66A36"/>
    <w:rsid w:val="00A70426"/>
    <w:rsid w:val="00A72841"/>
    <w:rsid w:val="00A740BD"/>
    <w:rsid w:val="00A75434"/>
    <w:rsid w:val="00A901A9"/>
    <w:rsid w:val="00A91E9A"/>
    <w:rsid w:val="00A93912"/>
    <w:rsid w:val="00A93ED9"/>
    <w:rsid w:val="00A96221"/>
    <w:rsid w:val="00AA251B"/>
    <w:rsid w:val="00AA36F9"/>
    <w:rsid w:val="00AB180C"/>
    <w:rsid w:val="00AB340D"/>
    <w:rsid w:val="00AB42BF"/>
    <w:rsid w:val="00AB6CB7"/>
    <w:rsid w:val="00AC1277"/>
    <w:rsid w:val="00AC6A99"/>
    <w:rsid w:val="00AD6D7D"/>
    <w:rsid w:val="00B055EF"/>
    <w:rsid w:val="00B06B5B"/>
    <w:rsid w:val="00B13D85"/>
    <w:rsid w:val="00B2211B"/>
    <w:rsid w:val="00B23769"/>
    <w:rsid w:val="00B41789"/>
    <w:rsid w:val="00B41892"/>
    <w:rsid w:val="00B613DD"/>
    <w:rsid w:val="00B617CE"/>
    <w:rsid w:val="00B61DCD"/>
    <w:rsid w:val="00B7202A"/>
    <w:rsid w:val="00B735E1"/>
    <w:rsid w:val="00B81808"/>
    <w:rsid w:val="00B86DFA"/>
    <w:rsid w:val="00B936D0"/>
    <w:rsid w:val="00B93D5F"/>
    <w:rsid w:val="00BB419B"/>
    <w:rsid w:val="00BC404C"/>
    <w:rsid w:val="00BC5215"/>
    <w:rsid w:val="00BD3D5B"/>
    <w:rsid w:val="00BE3600"/>
    <w:rsid w:val="00BE38F3"/>
    <w:rsid w:val="00C01F6F"/>
    <w:rsid w:val="00C041EA"/>
    <w:rsid w:val="00C06817"/>
    <w:rsid w:val="00C125D1"/>
    <w:rsid w:val="00C149AB"/>
    <w:rsid w:val="00C30733"/>
    <w:rsid w:val="00C36020"/>
    <w:rsid w:val="00C40694"/>
    <w:rsid w:val="00C41454"/>
    <w:rsid w:val="00C70542"/>
    <w:rsid w:val="00C75CBF"/>
    <w:rsid w:val="00C815E1"/>
    <w:rsid w:val="00C854EC"/>
    <w:rsid w:val="00CA43BB"/>
    <w:rsid w:val="00CC2894"/>
    <w:rsid w:val="00CD1945"/>
    <w:rsid w:val="00CD39C0"/>
    <w:rsid w:val="00CD6DFC"/>
    <w:rsid w:val="00CD77C3"/>
    <w:rsid w:val="00CE112C"/>
    <w:rsid w:val="00CE6251"/>
    <w:rsid w:val="00CF55D4"/>
    <w:rsid w:val="00D039B2"/>
    <w:rsid w:val="00D041F2"/>
    <w:rsid w:val="00D22F53"/>
    <w:rsid w:val="00D23B6E"/>
    <w:rsid w:val="00D333EA"/>
    <w:rsid w:val="00D44C9A"/>
    <w:rsid w:val="00D46BA6"/>
    <w:rsid w:val="00D608DA"/>
    <w:rsid w:val="00D65599"/>
    <w:rsid w:val="00D70460"/>
    <w:rsid w:val="00D73055"/>
    <w:rsid w:val="00D730BF"/>
    <w:rsid w:val="00D95A9E"/>
    <w:rsid w:val="00DB1110"/>
    <w:rsid w:val="00DB1545"/>
    <w:rsid w:val="00DC3788"/>
    <w:rsid w:val="00DC76C7"/>
    <w:rsid w:val="00DD09F5"/>
    <w:rsid w:val="00DD4201"/>
    <w:rsid w:val="00DD5E9F"/>
    <w:rsid w:val="00DD6DB0"/>
    <w:rsid w:val="00DE5711"/>
    <w:rsid w:val="00DF1B3F"/>
    <w:rsid w:val="00E00EA0"/>
    <w:rsid w:val="00E138F1"/>
    <w:rsid w:val="00E13ACA"/>
    <w:rsid w:val="00E1482D"/>
    <w:rsid w:val="00E2309D"/>
    <w:rsid w:val="00E24BC0"/>
    <w:rsid w:val="00E25A19"/>
    <w:rsid w:val="00E26758"/>
    <w:rsid w:val="00E35EDF"/>
    <w:rsid w:val="00E41A71"/>
    <w:rsid w:val="00E4357B"/>
    <w:rsid w:val="00E55E5C"/>
    <w:rsid w:val="00E63DE5"/>
    <w:rsid w:val="00E65A37"/>
    <w:rsid w:val="00E65EF7"/>
    <w:rsid w:val="00E70C08"/>
    <w:rsid w:val="00E73299"/>
    <w:rsid w:val="00E77B48"/>
    <w:rsid w:val="00E857FB"/>
    <w:rsid w:val="00E913F8"/>
    <w:rsid w:val="00E91799"/>
    <w:rsid w:val="00E9427D"/>
    <w:rsid w:val="00EA1BAF"/>
    <w:rsid w:val="00EA21FE"/>
    <w:rsid w:val="00EA34E3"/>
    <w:rsid w:val="00EA7014"/>
    <w:rsid w:val="00EB2C10"/>
    <w:rsid w:val="00EB7538"/>
    <w:rsid w:val="00EB795C"/>
    <w:rsid w:val="00ED6659"/>
    <w:rsid w:val="00EE6468"/>
    <w:rsid w:val="00F04A77"/>
    <w:rsid w:val="00F07A8A"/>
    <w:rsid w:val="00F120CE"/>
    <w:rsid w:val="00F1299B"/>
    <w:rsid w:val="00F202EB"/>
    <w:rsid w:val="00F207A4"/>
    <w:rsid w:val="00F2082F"/>
    <w:rsid w:val="00F225EB"/>
    <w:rsid w:val="00F355AC"/>
    <w:rsid w:val="00F37ED4"/>
    <w:rsid w:val="00F61746"/>
    <w:rsid w:val="00F70523"/>
    <w:rsid w:val="00F71A5A"/>
    <w:rsid w:val="00F769E0"/>
    <w:rsid w:val="00F83977"/>
    <w:rsid w:val="00FA75FE"/>
    <w:rsid w:val="00FA76B9"/>
    <w:rsid w:val="00FB1032"/>
    <w:rsid w:val="00FC6BDE"/>
    <w:rsid w:val="00FD0F4C"/>
    <w:rsid w:val="00FD3AB2"/>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2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uiPriority="99"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37DAE"/>
    <w:pPr>
      <w:spacing w:line="264" w:lineRule="auto"/>
    </w:pPr>
    <w:rPr>
      <w:rFonts w:asciiTheme="majorHAnsi" w:hAnsiTheme="maj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7189F"/>
    <w:rPr>
      <w:color w:val="0563C1"/>
      <w:u w:val="single"/>
    </w:rPr>
  </w:style>
  <w:style w:type="character" w:customStyle="1" w:styleId="ListParagraphChar">
    <w:name w:val="List Paragraph Char"/>
    <w:link w:val="ListParagraph"/>
    <w:uiPriority w:val="34"/>
    <w:locked/>
    <w:rsid w:val="00D23B6E"/>
    <w:rPr>
      <w:sz w:val="22"/>
      <w:szCs w:val="22"/>
    </w:rPr>
  </w:style>
  <w:style w:type="paragraph" w:styleId="ListParagraph">
    <w:name w:val="List Paragraph"/>
    <w:basedOn w:val="Normal"/>
    <w:link w:val="ListParagraphChar"/>
    <w:uiPriority w:val="34"/>
    <w:qFormat/>
    <w:rsid w:val="00D23B6E"/>
    <w:pPr>
      <w:spacing w:after="200" w:line="276" w:lineRule="auto"/>
      <w:ind w:left="720"/>
      <w:contextualSpacing/>
    </w:pPr>
    <w:rPr>
      <w:szCs w:val="22"/>
    </w:rPr>
  </w:style>
  <w:style w:type="paragraph" w:styleId="Caption">
    <w:name w:val="caption"/>
    <w:basedOn w:val="Normal"/>
    <w:next w:val="Normal"/>
    <w:uiPriority w:val="99"/>
    <w:qFormat/>
    <w:rsid w:val="00AB180C"/>
    <w:pPr>
      <w:keepNext/>
      <w:spacing w:line="276" w:lineRule="auto"/>
    </w:pPr>
    <w:rPr>
      <w:rFonts w:ascii="Calibri" w:eastAsia="Calibri" w:hAnsi="Calibri"/>
      <w:b/>
      <w:bCs/>
      <w:szCs w:val="20"/>
    </w:rPr>
  </w:style>
  <w:style w:type="character" w:styleId="CommentReference">
    <w:name w:val="annotation reference"/>
    <w:rsid w:val="00F04A77"/>
    <w:rPr>
      <w:sz w:val="16"/>
      <w:szCs w:val="16"/>
    </w:rPr>
  </w:style>
  <w:style w:type="paragraph" w:styleId="CommentText">
    <w:name w:val="annotation text"/>
    <w:basedOn w:val="Normal"/>
    <w:link w:val="CommentTextChar"/>
    <w:rsid w:val="00F04A77"/>
    <w:rPr>
      <w:sz w:val="20"/>
      <w:szCs w:val="20"/>
    </w:rPr>
  </w:style>
  <w:style w:type="character" w:customStyle="1" w:styleId="CommentTextChar">
    <w:name w:val="Comment Text Char"/>
    <w:basedOn w:val="DefaultParagraphFont"/>
    <w:link w:val="CommentText"/>
    <w:rsid w:val="00F04A77"/>
  </w:style>
  <w:style w:type="paragraph" w:styleId="CommentSubject">
    <w:name w:val="annotation subject"/>
    <w:basedOn w:val="CommentText"/>
    <w:next w:val="CommentText"/>
    <w:link w:val="CommentSubjectChar"/>
    <w:rsid w:val="00F04A77"/>
    <w:rPr>
      <w:b/>
      <w:bCs/>
    </w:rPr>
  </w:style>
  <w:style w:type="character" w:customStyle="1" w:styleId="CommentSubjectChar">
    <w:name w:val="Comment Subject Char"/>
    <w:link w:val="CommentSubject"/>
    <w:rsid w:val="00F04A77"/>
    <w:rPr>
      <w:b/>
      <w:bCs/>
    </w:rPr>
  </w:style>
  <w:style w:type="table" w:styleId="LightGrid-Accent1">
    <w:name w:val="Light Grid Accent 1"/>
    <w:basedOn w:val="TableNormal"/>
    <w:uiPriority w:val="62"/>
    <w:unhideWhenUsed/>
    <w:rsid w:val="00D44C9A"/>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Math" w:eastAsia="Times New Roman" w:hAnsi="Cambria Math"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Math" w:eastAsia="Times New Roman" w:hAnsi="Cambria Math"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hint="default"/>
        <w:b/>
        <w:bCs/>
      </w:rPr>
    </w:tblStylePr>
    <w:tblStylePr w:type="lastCol">
      <w:rPr>
        <w:rFonts w:ascii="Cambria Math" w:eastAsia="Times New Roman" w:hAnsi="Cambria Mat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olorfulList-Accent1Char">
    <w:name w:val="Colorful List - Accent 1 Char"/>
    <w:link w:val="ColorfulList-Accent1"/>
    <w:uiPriority w:val="34"/>
    <w:locked/>
    <w:rsid w:val="00FA76B9"/>
    <w:rPr>
      <w:sz w:val="22"/>
      <w:szCs w:val="22"/>
    </w:rPr>
  </w:style>
  <w:style w:type="table" w:styleId="ColorfulList-Accent1">
    <w:name w:val="Colorful List Accent 1"/>
    <w:basedOn w:val="TableNormal"/>
    <w:link w:val="ColorfulList-Accent1Char"/>
    <w:uiPriority w:val="34"/>
    <w:semiHidden/>
    <w:unhideWhenUsed/>
    <w:rsid w:val="00FA76B9"/>
    <w:rPr>
      <w:sz w:val="22"/>
      <w:szCs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uiPriority="99"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37DAE"/>
    <w:pPr>
      <w:spacing w:line="264" w:lineRule="auto"/>
    </w:pPr>
    <w:rPr>
      <w:rFonts w:asciiTheme="majorHAnsi" w:hAnsiTheme="maj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7189F"/>
    <w:rPr>
      <w:color w:val="0563C1"/>
      <w:u w:val="single"/>
    </w:rPr>
  </w:style>
  <w:style w:type="character" w:customStyle="1" w:styleId="ListParagraphChar">
    <w:name w:val="List Paragraph Char"/>
    <w:link w:val="ListParagraph"/>
    <w:uiPriority w:val="34"/>
    <w:locked/>
    <w:rsid w:val="00D23B6E"/>
    <w:rPr>
      <w:sz w:val="22"/>
      <w:szCs w:val="22"/>
    </w:rPr>
  </w:style>
  <w:style w:type="paragraph" w:styleId="ListParagraph">
    <w:name w:val="List Paragraph"/>
    <w:basedOn w:val="Normal"/>
    <w:link w:val="ListParagraphChar"/>
    <w:uiPriority w:val="34"/>
    <w:qFormat/>
    <w:rsid w:val="00D23B6E"/>
    <w:pPr>
      <w:spacing w:after="200" w:line="276" w:lineRule="auto"/>
      <w:ind w:left="720"/>
      <w:contextualSpacing/>
    </w:pPr>
    <w:rPr>
      <w:szCs w:val="22"/>
    </w:rPr>
  </w:style>
  <w:style w:type="paragraph" w:styleId="Caption">
    <w:name w:val="caption"/>
    <w:basedOn w:val="Normal"/>
    <w:next w:val="Normal"/>
    <w:uiPriority w:val="99"/>
    <w:qFormat/>
    <w:rsid w:val="00AB180C"/>
    <w:pPr>
      <w:keepNext/>
      <w:spacing w:line="276" w:lineRule="auto"/>
    </w:pPr>
    <w:rPr>
      <w:rFonts w:ascii="Calibri" w:eastAsia="Calibri" w:hAnsi="Calibri"/>
      <w:b/>
      <w:bCs/>
      <w:szCs w:val="20"/>
    </w:rPr>
  </w:style>
  <w:style w:type="character" w:styleId="CommentReference">
    <w:name w:val="annotation reference"/>
    <w:rsid w:val="00F04A77"/>
    <w:rPr>
      <w:sz w:val="16"/>
      <w:szCs w:val="16"/>
    </w:rPr>
  </w:style>
  <w:style w:type="paragraph" w:styleId="CommentText">
    <w:name w:val="annotation text"/>
    <w:basedOn w:val="Normal"/>
    <w:link w:val="CommentTextChar"/>
    <w:rsid w:val="00F04A77"/>
    <w:rPr>
      <w:sz w:val="20"/>
      <w:szCs w:val="20"/>
    </w:rPr>
  </w:style>
  <w:style w:type="character" w:customStyle="1" w:styleId="CommentTextChar">
    <w:name w:val="Comment Text Char"/>
    <w:basedOn w:val="DefaultParagraphFont"/>
    <w:link w:val="CommentText"/>
    <w:rsid w:val="00F04A77"/>
  </w:style>
  <w:style w:type="paragraph" w:styleId="CommentSubject">
    <w:name w:val="annotation subject"/>
    <w:basedOn w:val="CommentText"/>
    <w:next w:val="CommentText"/>
    <w:link w:val="CommentSubjectChar"/>
    <w:rsid w:val="00F04A77"/>
    <w:rPr>
      <w:b/>
      <w:bCs/>
    </w:rPr>
  </w:style>
  <w:style w:type="character" w:customStyle="1" w:styleId="CommentSubjectChar">
    <w:name w:val="Comment Subject Char"/>
    <w:link w:val="CommentSubject"/>
    <w:rsid w:val="00F04A77"/>
    <w:rPr>
      <w:b/>
      <w:bCs/>
    </w:rPr>
  </w:style>
  <w:style w:type="table" w:styleId="LightGrid-Accent1">
    <w:name w:val="Light Grid Accent 1"/>
    <w:basedOn w:val="TableNormal"/>
    <w:uiPriority w:val="62"/>
    <w:unhideWhenUsed/>
    <w:rsid w:val="00D44C9A"/>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Math" w:eastAsia="Times New Roman" w:hAnsi="Cambria Math"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Math" w:eastAsia="Times New Roman" w:hAnsi="Cambria Math"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hint="default"/>
        <w:b/>
        <w:bCs/>
      </w:rPr>
    </w:tblStylePr>
    <w:tblStylePr w:type="lastCol">
      <w:rPr>
        <w:rFonts w:ascii="Cambria Math" w:eastAsia="Times New Roman" w:hAnsi="Cambria Mat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olorfulList-Accent1Char">
    <w:name w:val="Colorful List - Accent 1 Char"/>
    <w:link w:val="ColorfulList-Accent1"/>
    <w:uiPriority w:val="34"/>
    <w:locked/>
    <w:rsid w:val="00FA76B9"/>
    <w:rPr>
      <w:sz w:val="22"/>
      <w:szCs w:val="22"/>
    </w:rPr>
  </w:style>
  <w:style w:type="table" w:styleId="ColorfulList-Accent1">
    <w:name w:val="Colorful List Accent 1"/>
    <w:basedOn w:val="TableNormal"/>
    <w:link w:val="ColorfulList-Accent1Char"/>
    <w:uiPriority w:val="34"/>
    <w:semiHidden/>
    <w:unhideWhenUsed/>
    <w:rsid w:val="00FA76B9"/>
    <w:rPr>
      <w:sz w:val="22"/>
      <w:szCs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21">
      <w:bodyDiv w:val="1"/>
      <w:marLeft w:val="0"/>
      <w:marRight w:val="0"/>
      <w:marTop w:val="0"/>
      <w:marBottom w:val="0"/>
      <w:divBdr>
        <w:top w:val="none" w:sz="0" w:space="0" w:color="auto"/>
        <w:left w:val="none" w:sz="0" w:space="0" w:color="auto"/>
        <w:bottom w:val="none" w:sz="0" w:space="0" w:color="auto"/>
        <w:right w:val="none" w:sz="0" w:space="0" w:color="auto"/>
      </w:divBdr>
    </w:div>
    <w:div w:id="340862535">
      <w:bodyDiv w:val="1"/>
      <w:marLeft w:val="0"/>
      <w:marRight w:val="0"/>
      <w:marTop w:val="0"/>
      <w:marBottom w:val="0"/>
      <w:divBdr>
        <w:top w:val="none" w:sz="0" w:space="0" w:color="auto"/>
        <w:left w:val="none" w:sz="0" w:space="0" w:color="auto"/>
        <w:bottom w:val="none" w:sz="0" w:space="0" w:color="auto"/>
        <w:right w:val="none" w:sz="0" w:space="0" w:color="auto"/>
      </w:divBdr>
    </w:div>
    <w:div w:id="646937726">
      <w:bodyDiv w:val="1"/>
      <w:marLeft w:val="0"/>
      <w:marRight w:val="0"/>
      <w:marTop w:val="0"/>
      <w:marBottom w:val="0"/>
      <w:divBdr>
        <w:top w:val="none" w:sz="0" w:space="0" w:color="auto"/>
        <w:left w:val="none" w:sz="0" w:space="0" w:color="auto"/>
        <w:bottom w:val="none" w:sz="0" w:space="0" w:color="auto"/>
        <w:right w:val="none" w:sz="0" w:space="0" w:color="auto"/>
      </w:divBdr>
    </w:div>
    <w:div w:id="881401492">
      <w:bodyDiv w:val="1"/>
      <w:marLeft w:val="0"/>
      <w:marRight w:val="0"/>
      <w:marTop w:val="0"/>
      <w:marBottom w:val="0"/>
      <w:divBdr>
        <w:top w:val="none" w:sz="0" w:space="0" w:color="auto"/>
        <w:left w:val="none" w:sz="0" w:space="0" w:color="auto"/>
        <w:bottom w:val="none" w:sz="0" w:space="0" w:color="auto"/>
        <w:right w:val="none" w:sz="0" w:space="0" w:color="auto"/>
      </w:divBdr>
    </w:div>
    <w:div w:id="1006590275">
      <w:bodyDiv w:val="1"/>
      <w:marLeft w:val="0"/>
      <w:marRight w:val="0"/>
      <w:marTop w:val="0"/>
      <w:marBottom w:val="0"/>
      <w:divBdr>
        <w:top w:val="none" w:sz="0" w:space="0" w:color="auto"/>
        <w:left w:val="none" w:sz="0" w:space="0" w:color="auto"/>
        <w:bottom w:val="none" w:sz="0" w:space="0" w:color="auto"/>
        <w:right w:val="none" w:sz="0" w:space="0" w:color="auto"/>
      </w:divBdr>
    </w:div>
    <w:div w:id="113891638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4260608">
      <w:bodyDiv w:val="1"/>
      <w:marLeft w:val="0"/>
      <w:marRight w:val="0"/>
      <w:marTop w:val="0"/>
      <w:marBottom w:val="0"/>
      <w:divBdr>
        <w:top w:val="none" w:sz="0" w:space="0" w:color="auto"/>
        <w:left w:val="none" w:sz="0" w:space="0" w:color="auto"/>
        <w:bottom w:val="none" w:sz="0" w:space="0" w:color="auto"/>
        <w:right w:val="none" w:sz="0" w:space="0" w:color="auto"/>
      </w:divBdr>
    </w:div>
    <w:div w:id="210996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4C735ED9522548B843C8FC803C6689" ma:contentTypeVersion="0" ma:contentTypeDescription="Create a new document." ma:contentTypeScope="" ma:versionID="34d3e5fd9fc0da3fab72f99c608609d7">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2JX4TSZRXZ3H-213900455-31</_dlc_DocId>
    <_dlc_DocIdUrl xmlns="c593544c-8bc9-488a-9957-4d59a7b3d015">
      <Url>http://sharepoint.fda.gov/orgs/CDER-OPSA/PEIS/ComboProductsAssessment/_layouts/DocIdRedir.aspx?ID=2JX4TSZRXZ3H-213900455-31</Url>
      <Description>2JX4TSZRXZ3H-213900455-31</Description>
    </_dlc_DocIdUrl>
  </documentManagement>
</p:properties>
</file>

<file path=customXml/itemProps1.xml><?xml version="1.0" encoding="utf-8"?>
<ds:datastoreItem xmlns:ds="http://schemas.openxmlformats.org/officeDocument/2006/customXml" ds:itemID="{FFBDCE4E-A829-4DEC-8814-33A40E5ACAF3}">
  <ds:schemaRefs>
    <ds:schemaRef ds:uri="http://schemas.microsoft.com/sharepoint/v3/contenttype/forms"/>
  </ds:schemaRefs>
</ds:datastoreItem>
</file>

<file path=customXml/itemProps2.xml><?xml version="1.0" encoding="utf-8"?>
<ds:datastoreItem xmlns:ds="http://schemas.openxmlformats.org/officeDocument/2006/customXml" ds:itemID="{2F8F0E30-339C-4123-9BBC-7BE2EBA12455}">
  <ds:schemaRefs>
    <ds:schemaRef ds:uri="http://schemas.microsoft.com/sharepoint/events"/>
  </ds:schemaRefs>
</ds:datastoreItem>
</file>

<file path=customXml/itemProps3.xml><?xml version="1.0" encoding="utf-8"?>
<ds:datastoreItem xmlns:ds="http://schemas.openxmlformats.org/officeDocument/2006/customXml" ds:itemID="{3C39DFB2-921C-4839-A194-588C09CF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6A00E-903B-4069-83F5-827942BF327D}">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18753</CharactersWithSpaces>
  <SharedDoc>false</SharedDoc>
  <HLinks>
    <vt:vector size="6" baseType="variant">
      <vt:variant>
        <vt:i4>3014779</vt:i4>
      </vt:variant>
      <vt:variant>
        <vt:i4>0</vt:i4>
      </vt:variant>
      <vt:variant>
        <vt:i4>0</vt:i4>
      </vt:variant>
      <vt:variant>
        <vt:i4>5</vt:i4>
      </vt:variant>
      <vt:variant>
        <vt:lpwstr>http://www.fda.gov/downloads/ForIndustry/UserFees/PrescriptionDrugUserFee/UCM270412.pdf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2019-02-12T18:02:00Z</dcterms:created>
  <dcterms:modified xsi:type="dcterms:W3CDTF">2019-02-12T18:02:00Z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6cd3d04d-6e22-4341-95be-272be1b948cf</vt:lpwstr>
  </property>
  <property fmtid="{D5CDD505-2E9C-101B-9397-08002B2CF9AE}" pid="3" name="ContentTypeId">
    <vt:lpwstr>0x010100224C735ED9522548B843C8FC803C6689</vt:lpwstr>
  </property>
</Properties>
</file>