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FB1B" w14:textId="7D9EB9FA" w:rsidR="003734B1" w:rsidRPr="003734B1" w:rsidRDefault="003734B1" w:rsidP="003734B1">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bookmarkStart w:id="0" w:name="_GoBack"/>
      <w:bookmarkEnd w:id="0"/>
      <w:r w:rsidRPr="003734B1">
        <w:rPr>
          <w:rFonts w:ascii="Times New Roman" w:eastAsia="Times New Roman" w:hAnsi="Times New Roman" w:cs="Times New Roman"/>
          <w:b/>
          <w:bCs/>
          <w:sz w:val="24"/>
          <w:szCs w:val="24"/>
        </w:rPr>
        <w:t>SUPPORTING STATEMENT</w:t>
      </w:r>
      <w:r>
        <w:rPr>
          <w:rFonts w:ascii="Times New Roman" w:eastAsia="Times New Roman" w:hAnsi="Times New Roman" w:cs="Times New Roman"/>
          <w:b/>
          <w:bCs/>
          <w:sz w:val="24"/>
          <w:szCs w:val="24"/>
        </w:rPr>
        <w:t xml:space="preserve"> PART B</w:t>
      </w:r>
    </w:p>
    <w:p w14:paraId="3C53EE82" w14:textId="77777777" w:rsidR="003734B1" w:rsidRPr="003734B1" w:rsidRDefault="003734B1" w:rsidP="003734B1">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3734B1">
        <w:rPr>
          <w:rFonts w:ascii="Times New Roman" w:eastAsia="Times New Roman" w:hAnsi="Times New Roman" w:cs="Times New Roman"/>
          <w:b/>
          <w:bCs/>
          <w:sz w:val="24"/>
          <w:szCs w:val="24"/>
        </w:rPr>
        <w:t xml:space="preserve">Social Network Analysis Mail Survey </w:t>
      </w:r>
    </w:p>
    <w:p w14:paraId="7AF1D7CD" w14:textId="77777777" w:rsidR="003734B1" w:rsidRPr="003734B1" w:rsidRDefault="003734B1" w:rsidP="003734B1">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3734B1">
        <w:rPr>
          <w:rFonts w:ascii="Times New Roman" w:eastAsia="Times New Roman" w:hAnsi="Times New Roman" w:cs="Times New Roman"/>
          <w:b/>
          <w:bCs/>
          <w:sz w:val="24"/>
          <w:szCs w:val="24"/>
        </w:rPr>
        <w:t>OMB CONTROL NO. 0648-xxxx</w:t>
      </w:r>
    </w:p>
    <w:p w14:paraId="2DA0999D" w14:textId="6151F57B" w:rsidR="00356CD4" w:rsidRDefault="00356CD4"/>
    <w:p w14:paraId="11BF8A03" w14:textId="7C1E5C0B" w:rsidR="003734B1" w:rsidRDefault="003734B1"/>
    <w:p w14:paraId="03D2D805"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b/>
          <w:bCs/>
          <w:sz w:val="24"/>
          <w:szCs w:val="24"/>
        </w:rPr>
        <w:t>B.  COLLECTIONS OF INFORMATION EMPLOYING STATISTICAL METHODS</w:t>
      </w:r>
    </w:p>
    <w:p w14:paraId="4AB5F063"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40D3E520"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sidRPr="003734B1">
        <w:rPr>
          <w:rFonts w:ascii="Times New Roman" w:eastAsia="Times New Roman" w:hAnsi="Times New Roman" w:cs="Times New Roman"/>
          <w:b/>
          <w:bCs/>
          <w:sz w:val="24"/>
          <w:szCs w:val="24"/>
          <w:u w:val="single"/>
        </w:rPr>
        <w:t xml:space="preserve">1.  </w:t>
      </w:r>
      <w:r w:rsidRPr="003734B1">
        <w:rPr>
          <w:rFonts w:ascii="Times New Roman" w:eastAsia="Times New Roman" w:hAnsi="Times New Roman" w:cs="Times New Roman"/>
          <w:b/>
          <w:bCs/>
          <w:color w:val="000000"/>
          <w:sz w:val="24"/>
          <w:szCs w:val="24"/>
          <w:u w:val="single"/>
          <w:shd w:val="clear" w:color="auto" w:fill="FFFFFF"/>
        </w:rPr>
        <w:t>Describe (including a numerical estimate) the potential respondent universe and any sampling or other respondent selection method used. Provide data on the number of entities (e.g., establishments, State and local governmental units, households, or persons) in the universe and the corresponding sample in tabular form. The tabulation must also include expected response rates for the collection as a whole. If the collection has been conducted before, provide the actual response rate achieved.</w:t>
      </w:r>
    </w:p>
    <w:p w14:paraId="1C09CA54"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EA3B9DA" w14:textId="77777777" w:rsidR="003734B1" w:rsidRPr="003734B1" w:rsidRDefault="003734B1" w:rsidP="003734B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The potential respondent universe includes resident anglers licensed to fish in all Atlantic Coast states and Gulf of Mexico states – excluding Louisiana and Texas. The sampling frame is the database of anglers with resident fishing saltwater fishing licenses in these states. Table 3 shows estimates of the number of resident anglers in each state, the sample sizes by state assuming an overall sample size of 10,000, and a calculation of expected number of completed, returned surveys assuming 45% response rate. The results of a Participation Time Series Query on the NMFS Recreational Fisheries Statistics Queries website</w:t>
      </w:r>
      <w:r w:rsidRPr="003734B1">
        <w:rPr>
          <w:rFonts w:ascii="Times New Roman" w:eastAsia="Times New Roman" w:hAnsi="Times New Roman" w:cs="Times New Roman"/>
          <w:sz w:val="24"/>
          <w:szCs w:val="24"/>
          <w:vertAlign w:val="superscript"/>
        </w:rPr>
        <w:footnoteReference w:id="1"/>
      </w:r>
      <w:r w:rsidRPr="003734B1">
        <w:rPr>
          <w:rFonts w:ascii="Times New Roman" w:eastAsia="Times New Roman" w:hAnsi="Times New Roman" w:cs="Times New Roman"/>
          <w:sz w:val="24"/>
          <w:szCs w:val="24"/>
        </w:rPr>
        <w:t xml:space="preserve"> for 2016 (the most recent year available) was used to calculate the estimated number of resident anglers in each state. The estimated sample size in each state is based on the proportion of estimated state resident licensed anglers in the state to the estimated number of state resident licensed anglers for all states combined.</w:t>
      </w:r>
    </w:p>
    <w:p w14:paraId="2A1DC906"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53B5A313"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In 2016, NMFS estimated there were over 8 million resident marine recreational anglers in the study area states (i.e. Maine to Mississippi) shown in Table 3 (NMFS 2017).</w:t>
      </w:r>
    </w:p>
    <w:p w14:paraId="7A3DFD12"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37228E54"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3734B1">
        <w:rPr>
          <w:rFonts w:ascii="Times New Roman" w:eastAsia="Times New Roman" w:hAnsi="Times New Roman" w:cs="Times New Roman"/>
          <w:b/>
          <w:color w:val="000000"/>
          <w:sz w:val="24"/>
          <w:szCs w:val="24"/>
        </w:rPr>
        <w:t>Table 3. Estimates of the number of resident anglers in each state, the sample sizes by state assuming an overall sample size of 10,000, and a calculation of the number of expected number of completed, returned surveys assuming 45% response.</w:t>
      </w:r>
    </w:p>
    <w:p w14:paraId="43BB10D8"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216"/>
        <w:gridCol w:w="1710"/>
        <w:gridCol w:w="1800"/>
        <w:gridCol w:w="1728"/>
      </w:tblGrid>
      <w:tr w:rsidR="0000460A" w:rsidRPr="003734B1" w14:paraId="507366D9" w14:textId="77777777" w:rsidTr="0000460A">
        <w:trPr>
          <w:trHeight w:val="2100"/>
          <w:jc w:val="center"/>
        </w:trPr>
        <w:tc>
          <w:tcPr>
            <w:tcW w:w="1569" w:type="dxa"/>
            <w:shd w:val="clear" w:color="auto" w:fill="auto"/>
            <w:noWrap/>
            <w:vAlign w:val="center"/>
            <w:hideMark/>
          </w:tcPr>
          <w:p w14:paraId="7A82109F" w14:textId="77777777" w:rsidR="003734B1" w:rsidRPr="003734B1" w:rsidRDefault="003734B1" w:rsidP="0000460A">
            <w:pPr>
              <w:spacing w:after="0" w:line="240" w:lineRule="auto"/>
              <w:jc w:val="center"/>
              <w:rPr>
                <w:rFonts w:ascii="Calibri" w:eastAsia="Times New Roman" w:hAnsi="Calibri" w:cs="Calibri"/>
                <w:b/>
                <w:bCs/>
              </w:rPr>
            </w:pPr>
            <w:r w:rsidRPr="003734B1">
              <w:rPr>
                <w:rFonts w:ascii="Calibri" w:eastAsia="Times New Roman" w:hAnsi="Calibri" w:cs="Calibri"/>
                <w:b/>
                <w:bCs/>
              </w:rPr>
              <w:t>State</w:t>
            </w:r>
          </w:p>
        </w:tc>
        <w:tc>
          <w:tcPr>
            <w:tcW w:w="1216" w:type="dxa"/>
            <w:shd w:val="clear" w:color="auto" w:fill="auto"/>
            <w:vAlign w:val="center"/>
            <w:hideMark/>
          </w:tcPr>
          <w:p w14:paraId="6AC4A203" w14:textId="77777777" w:rsidR="003734B1" w:rsidRPr="003734B1" w:rsidRDefault="003734B1" w:rsidP="003734B1">
            <w:pPr>
              <w:spacing w:after="0" w:line="240" w:lineRule="auto"/>
              <w:jc w:val="center"/>
              <w:rPr>
                <w:rFonts w:ascii="Calibri" w:eastAsia="Times New Roman" w:hAnsi="Calibri" w:cs="Calibri"/>
                <w:b/>
                <w:bCs/>
              </w:rPr>
            </w:pPr>
            <w:r w:rsidRPr="003734B1">
              <w:rPr>
                <w:rFonts w:ascii="Calibri" w:eastAsia="Times New Roman" w:hAnsi="Calibri" w:cs="Calibri"/>
                <w:b/>
                <w:bCs/>
              </w:rPr>
              <w:t>Estimate of Resident Anglers</w:t>
            </w:r>
          </w:p>
        </w:tc>
        <w:tc>
          <w:tcPr>
            <w:tcW w:w="1710" w:type="dxa"/>
            <w:shd w:val="clear" w:color="auto" w:fill="auto"/>
            <w:vAlign w:val="center"/>
            <w:hideMark/>
          </w:tcPr>
          <w:p w14:paraId="14884FD8" w14:textId="77777777" w:rsidR="003734B1" w:rsidRPr="003734B1" w:rsidRDefault="003734B1" w:rsidP="003734B1">
            <w:pPr>
              <w:spacing w:after="0" w:line="240" w:lineRule="auto"/>
              <w:jc w:val="center"/>
              <w:rPr>
                <w:rFonts w:ascii="Calibri" w:eastAsia="Times New Roman" w:hAnsi="Calibri" w:cs="Calibri"/>
                <w:b/>
                <w:bCs/>
              </w:rPr>
            </w:pPr>
            <w:r w:rsidRPr="003734B1">
              <w:rPr>
                <w:rFonts w:ascii="Calibri" w:eastAsia="Times New Roman" w:hAnsi="Calibri" w:cs="Calibri"/>
                <w:b/>
                <w:bCs/>
              </w:rPr>
              <w:t>Percent of Estimated Survey Area Resident Anglers in State</w:t>
            </w:r>
          </w:p>
        </w:tc>
        <w:tc>
          <w:tcPr>
            <w:tcW w:w="1800" w:type="dxa"/>
            <w:shd w:val="clear" w:color="auto" w:fill="auto"/>
            <w:vAlign w:val="center"/>
            <w:hideMark/>
          </w:tcPr>
          <w:p w14:paraId="4C6BC398" w14:textId="77777777" w:rsidR="003734B1" w:rsidRPr="003734B1" w:rsidRDefault="003734B1" w:rsidP="003734B1">
            <w:pPr>
              <w:spacing w:after="0" w:line="240" w:lineRule="auto"/>
              <w:jc w:val="center"/>
              <w:rPr>
                <w:rFonts w:ascii="Calibri" w:eastAsia="Times New Roman" w:hAnsi="Calibri" w:cs="Calibri"/>
                <w:b/>
                <w:bCs/>
              </w:rPr>
            </w:pPr>
            <w:r w:rsidRPr="003734B1">
              <w:rPr>
                <w:rFonts w:ascii="Calibri" w:eastAsia="Times New Roman" w:hAnsi="Calibri" w:cs="Calibri"/>
                <w:b/>
                <w:bCs/>
              </w:rPr>
              <w:t>Estimated Number of Anglers Sampled</w:t>
            </w:r>
          </w:p>
        </w:tc>
        <w:tc>
          <w:tcPr>
            <w:tcW w:w="1728" w:type="dxa"/>
            <w:shd w:val="clear" w:color="auto" w:fill="auto"/>
            <w:vAlign w:val="center"/>
            <w:hideMark/>
          </w:tcPr>
          <w:p w14:paraId="5D3B8BEA" w14:textId="77777777" w:rsidR="003734B1" w:rsidRPr="003734B1" w:rsidRDefault="003734B1" w:rsidP="003734B1">
            <w:pPr>
              <w:spacing w:after="0" w:line="240" w:lineRule="auto"/>
              <w:jc w:val="center"/>
              <w:rPr>
                <w:rFonts w:ascii="Calibri" w:eastAsia="Times New Roman" w:hAnsi="Calibri" w:cs="Calibri"/>
                <w:b/>
                <w:bCs/>
              </w:rPr>
            </w:pPr>
            <w:r w:rsidRPr="003734B1">
              <w:rPr>
                <w:rFonts w:ascii="Calibri" w:eastAsia="Times New Roman" w:hAnsi="Calibri" w:cs="Calibri"/>
                <w:b/>
                <w:bCs/>
              </w:rPr>
              <w:t># of Responses: 45% Response Rate</w:t>
            </w:r>
          </w:p>
        </w:tc>
      </w:tr>
      <w:tr w:rsidR="0000460A" w:rsidRPr="003734B1" w14:paraId="7EE3F875" w14:textId="77777777" w:rsidTr="0000460A">
        <w:trPr>
          <w:trHeight w:val="300"/>
          <w:jc w:val="center"/>
        </w:trPr>
        <w:tc>
          <w:tcPr>
            <w:tcW w:w="1569" w:type="dxa"/>
            <w:shd w:val="clear" w:color="auto" w:fill="auto"/>
            <w:noWrap/>
            <w:vAlign w:val="center"/>
            <w:hideMark/>
          </w:tcPr>
          <w:p w14:paraId="763D80AD"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Mississippi</w:t>
            </w:r>
          </w:p>
        </w:tc>
        <w:tc>
          <w:tcPr>
            <w:tcW w:w="1216" w:type="dxa"/>
            <w:shd w:val="clear" w:color="auto" w:fill="auto"/>
            <w:noWrap/>
            <w:vAlign w:val="center"/>
            <w:hideMark/>
          </w:tcPr>
          <w:p w14:paraId="307E51A1"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239,318</w:t>
            </w:r>
          </w:p>
        </w:tc>
        <w:tc>
          <w:tcPr>
            <w:tcW w:w="1710" w:type="dxa"/>
            <w:shd w:val="clear" w:color="auto" w:fill="auto"/>
            <w:noWrap/>
            <w:vAlign w:val="center"/>
            <w:hideMark/>
          </w:tcPr>
          <w:p w14:paraId="790E4CCD"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3%</w:t>
            </w:r>
          </w:p>
        </w:tc>
        <w:tc>
          <w:tcPr>
            <w:tcW w:w="1800" w:type="dxa"/>
            <w:shd w:val="clear" w:color="auto" w:fill="auto"/>
            <w:noWrap/>
            <w:vAlign w:val="center"/>
            <w:hideMark/>
          </w:tcPr>
          <w:p w14:paraId="34A540F8"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298</w:t>
            </w:r>
          </w:p>
        </w:tc>
        <w:tc>
          <w:tcPr>
            <w:tcW w:w="1728" w:type="dxa"/>
            <w:shd w:val="clear" w:color="auto" w:fill="auto"/>
            <w:noWrap/>
            <w:vAlign w:val="center"/>
            <w:hideMark/>
          </w:tcPr>
          <w:p w14:paraId="42BA4488"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134</w:t>
            </w:r>
          </w:p>
        </w:tc>
      </w:tr>
      <w:tr w:rsidR="0000460A" w:rsidRPr="003734B1" w14:paraId="6BCCBFEA" w14:textId="77777777" w:rsidTr="0000460A">
        <w:trPr>
          <w:trHeight w:val="300"/>
          <w:jc w:val="center"/>
        </w:trPr>
        <w:tc>
          <w:tcPr>
            <w:tcW w:w="1569" w:type="dxa"/>
            <w:shd w:val="clear" w:color="auto" w:fill="auto"/>
            <w:noWrap/>
            <w:vAlign w:val="center"/>
            <w:hideMark/>
          </w:tcPr>
          <w:p w14:paraId="0ABFA5A8"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lastRenderedPageBreak/>
              <w:t>Alabama</w:t>
            </w:r>
          </w:p>
        </w:tc>
        <w:tc>
          <w:tcPr>
            <w:tcW w:w="1216" w:type="dxa"/>
            <w:shd w:val="clear" w:color="auto" w:fill="auto"/>
            <w:noWrap/>
            <w:vAlign w:val="center"/>
            <w:hideMark/>
          </w:tcPr>
          <w:p w14:paraId="7542C8F6"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450,584</w:t>
            </w:r>
          </w:p>
        </w:tc>
        <w:tc>
          <w:tcPr>
            <w:tcW w:w="1710" w:type="dxa"/>
            <w:shd w:val="clear" w:color="auto" w:fill="auto"/>
            <w:noWrap/>
            <w:vAlign w:val="center"/>
            <w:hideMark/>
          </w:tcPr>
          <w:p w14:paraId="1E2488A5"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6%</w:t>
            </w:r>
          </w:p>
        </w:tc>
        <w:tc>
          <w:tcPr>
            <w:tcW w:w="1800" w:type="dxa"/>
            <w:shd w:val="clear" w:color="auto" w:fill="auto"/>
            <w:noWrap/>
            <w:vAlign w:val="center"/>
            <w:hideMark/>
          </w:tcPr>
          <w:p w14:paraId="7A9ADE68"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561</w:t>
            </w:r>
          </w:p>
        </w:tc>
        <w:tc>
          <w:tcPr>
            <w:tcW w:w="1728" w:type="dxa"/>
            <w:shd w:val="clear" w:color="auto" w:fill="auto"/>
            <w:noWrap/>
            <w:vAlign w:val="center"/>
            <w:hideMark/>
          </w:tcPr>
          <w:p w14:paraId="22532C07"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252</w:t>
            </w:r>
          </w:p>
        </w:tc>
      </w:tr>
      <w:tr w:rsidR="0000460A" w:rsidRPr="003734B1" w14:paraId="43A72B81" w14:textId="77777777" w:rsidTr="0000460A">
        <w:trPr>
          <w:trHeight w:val="377"/>
          <w:jc w:val="center"/>
        </w:trPr>
        <w:tc>
          <w:tcPr>
            <w:tcW w:w="1569" w:type="dxa"/>
            <w:shd w:val="clear" w:color="auto" w:fill="auto"/>
            <w:noWrap/>
            <w:vAlign w:val="center"/>
            <w:hideMark/>
          </w:tcPr>
          <w:p w14:paraId="28EB56C4"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Florida</w:t>
            </w:r>
            <w:r w:rsidRPr="003734B1">
              <w:rPr>
                <w:rFonts w:ascii="Calibri" w:eastAsia="Times New Roman" w:hAnsi="Calibri" w:cs="Times New Roman"/>
                <w:b/>
                <w:bCs/>
                <w:color w:val="000000"/>
                <w:vertAlign w:val="superscript"/>
              </w:rPr>
              <w:footnoteReference w:id="2"/>
            </w:r>
          </w:p>
        </w:tc>
        <w:tc>
          <w:tcPr>
            <w:tcW w:w="1216" w:type="dxa"/>
            <w:shd w:val="clear" w:color="auto" w:fill="auto"/>
            <w:noWrap/>
            <w:vAlign w:val="center"/>
            <w:hideMark/>
          </w:tcPr>
          <w:p w14:paraId="676C6043"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2,451,458</w:t>
            </w:r>
          </w:p>
        </w:tc>
        <w:tc>
          <w:tcPr>
            <w:tcW w:w="1710" w:type="dxa"/>
            <w:shd w:val="clear" w:color="auto" w:fill="auto"/>
            <w:noWrap/>
            <w:vAlign w:val="center"/>
            <w:hideMark/>
          </w:tcPr>
          <w:p w14:paraId="43B5D9FC"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31%</w:t>
            </w:r>
          </w:p>
        </w:tc>
        <w:tc>
          <w:tcPr>
            <w:tcW w:w="1800" w:type="dxa"/>
            <w:shd w:val="clear" w:color="auto" w:fill="auto"/>
            <w:noWrap/>
            <w:vAlign w:val="center"/>
            <w:hideMark/>
          </w:tcPr>
          <w:p w14:paraId="327864C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3,053</w:t>
            </w:r>
          </w:p>
        </w:tc>
        <w:tc>
          <w:tcPr>
            <w:tcW w:w="1728" w:type="dxa"/>
            <w:shd w:val="clear" w:color="auto" w:fill="auto"/>
            <w:noWrap/>
            <w:vAlign w:val="center"/>
            <w:hideMark/>
          </w:tcPr>
          <w:p w14:paraId="4FBDE92C"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1,374</w:t>
            </w:r>
          </w:p>
        </w:tc>
      </w:tr>
      <w:tr w:rsidR="0000460A" w:rsidRPr="003734B1" w14:paraId="3EFA2DAF" w14:textId="77777777" w:rsidTr="0000460A">
        <w:trPr>
          <w:trHeight w:val="300"/>
          <w:jc w:val="center"/>
        </w:trPr>
        <w:tc>
          <w:tcPr>
            <w:tcW w:w="1569" w:type="dxa"/>
            <w:shd w:val="clear" w:color="auto" w:fill="auto"/>
            <w:noWrap/>
            <w:vAlign w:val="center"/>
          </w:tcPr>
          <w:p w14:paraId="7F3CCAA0"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 xml:space="preserve">  East Florida</w:t>
            </w:r>
          </w:p>
        </w:tc>
        <w:tc>
          <w:tcPr>
            <w:tcW w:w="1216" w:type="dxa"/>
            <w:shd w:val="clear" w:color="auto" w:fill="auto"/>
            <w:noWrap/>
            <w:vAlign w:val="center"/>
          </w:tcPr>
          <w:p w14:paraId="5A36695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1,058,766</w:t>
            </w:r>
          </w:p>
        </w:tc>
        <w:tc>
          <w:tcPr>
            <w:tcW w:w="1710" w:type="dxa"/>
            <w:shd w:val="clear" w:color="auto" w:fill="auto"/>
            <w:noWrap/>
            <w:vAlign w:val="center"/>
          </w:tcPr>
          <w:p w14:paraId="7474FDC2"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13%</w:t>
            </w:r>
          </w:p>
        </w:tc>
        <w:tc>
          <w:tcPr>
            <w:tcW w:w="1800" w:type="dxa"/>
            <w:shd w:val="clear" w:color="auto" w:fill="auto"/>
            <w:noWrap/>
            <w:vAlign w:val="center"/>
          </w:tcPr>
          <w:p w14:paraId="4737E7AC"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1,319</w:t>
            </w:r>
          </w:p>
        </w:tc>
        <w:tc>
          <w:tcPr>
            <w:tcW w:w="1728" w:type="dxa"/>
            <w:shd w:val="clear" w:color="auto" w:fill="auto"/>
            <w:noWrap/>
            <w:vAlign w:val="center"/>
          </w:tcPr>
          <w:p w14:paraId="46BF966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594</w:t>
            </w:r>
          </w:p>
        </w:tc>
      </w:tr>
      <w:tr w:rsidR="0000460A" w:rsidRPr="003734B1" w14:paraId="0B7B9ABA" w14:textId="77777777" w:rsidTr="0000460A">
        <w:trPr>
          <w:trHeight w:val="300"/>
          <w:jc w:val="center"/>
        </w:trPr>
        <w:tc>
          <w:tcPr>
            <w:tcW w:w="1569" w:type="dxa"/>
            <w:shd w:val="clear" w:color="auto" w:fill="auto"/>
            <w:noWrap/>
            <w:vAlign w:val="center"/>
          </w:tcPr>
          <w:p w14:paraId="1EB76FDD"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 xml:space="preserve">  West Florida</w:t>
            </w:r>
          </w:p>
        </w:tc>
        <w:tc>
          <w:tcPr>
            <w:tcW w:w="1216" w:type="dxa"/>
            <w:shd w:val="clear" w:color="auto" w:fill="auto"/>
            <w:noWrap/>
            <w:vAlign w:val="center"/>
          </w:tcPr>
          <w:p w14:paraId="7E4B2A3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1,392,692</w:t>
            </w:r>
          </w:p>
        </w:tc>
        <w:tc>
          <w:tcPr>
            <w:tcW w:w="1710" w:type="dxa"/>
            <w:shd w:val="clear" w:color="auto" w:fill="auto"/>
            <w:noWrap/>
            <w:vAlign w:val="center"/>
          </w:tcPr>
          <w:p w14:paraId="249FF513"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18%</w:t>
            </w:r>
          </w:p>
        </w:tc>
        <w:tc>
          <w:tcPr>
            <w:tcW w:w="1800" w:type="dxa"/>
            <w:shd w:val="clear" w:color="auto" w:fill="auto"/>
            <w:noWrap/>
            <w:vAlign w:val="center"/>
          </w:tcPr>
          <w:p w14:paraId="27899313"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1,734</w:t>
            </w:r>
          </w:p>
        </w:tc>
        <w:tc>
          <w:tcPr>
            <w:tcW w:w="1728" w:type="dxa"/>
            <w:shd w:val="clear" w:color="auto" w:fill="auto"/>
            <w:noWrap/>
            <w:vAlign w:val="center"/>
          </w:tcPr>
          <w:p w14:paraId="63DC0A14"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780</w:t>
            </w:r>
          </w:p>
        </w:tc>
      </w:tr>
      <w:tr w:rsidR="0000460A" w:rsidRPr="003734B1" w14:paraId="7C23BF0F" w14:textId="77777777" w:rsidTr="0000460A">
        <w:trPr>
          <w:trHeight w:val="300"/>
          <w:jc w:val="center"/>
        </w:trPr>
        <w:tc>
          <w:tcPr>
            <w:tcW w:w="1569" w:type="dxa"/>
            <w:shd w:val="clear" w:color="auto" w:fill="auto"/>
            <w:noWrap/>
            <w:vAlign w:val="center"/>
            <w:hideMark/>
          </w:tcPr>
          <w:p w14:paraId="1FEB95E8"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Georgia</w:t>
            </w:r>
          </w:p>
        </w:tc>
        <w:tc>
          <w:tcPr>
            <w:tcW w:w="1216" w:type="dxa"/>
            <w:shd w:val="clear" w:color="auto" w:fill="auto"/>
            <w:noWrap/>
            <w:vAlign w:val="center"/>
            <w:hideMark/>
          </w:tcPr>
          <w:p w14:paraId="2BE2B1EF"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198,345</w:t>
            </w:r>
          </w:p>
        </w:tc>
        <w:tc>
          <w:tcPr>
            <w:tcW w:w="1710" w:type="dxa"/>
            <w:shd w:val="clear" w:color="auto" w:fill="auto"/>
            <w:noWrap/>
            <w:vAlign w:val="center"/>
            <w:hideMark/>
          </w:tcPr>
          <w:p w14:paraId="32D0F0B2"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2%</w:t>
            </w:r>
          </w:p>
        </w:tc>
        <w:tc>
          <w:tcPr>
            <w:tcW w:w="1800" w:type="dxa"/>
            <w:shd w:val="clear" w:color="auto" w:fill="auto"/>
            <w:noWrap/>
            <w:vAlign w:val="center"/>
            <w:hideMark/>
          </w:tcPr>
          <w:p w14:paraId="14AEB276"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247</w:t>
            </w:r>
          </w:p>
        </w:tc>
        <w:tc>
          <w:tcPr>
            <w:tcW w:w="1728" w:type="dxa"/>
            <w:shd w:val="clear" w:color="auto" w:fill="auto"/>
            <w:noWrap/>
            <w:vAlign w:val="center"/>
            <w:hideMark/>
          </w:tcPr>
          <w:p w14:paraId="0D010B86"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111</w:t>
            </w:r>
          </w:p>
        </w:tc>
      </w:tr>
      <w:tr w:rsidR="0000460A" w:rsidRPr="003734B1" w14:paraId="13DB95A5" w14:textId="77777777" w:rsidTr="0000460A">
        <w:trPr>
          <w:trHeight w:val="300"/>
          <w:jc w:val="center"/>
        </w:trPr>
        <w:tc>
          <w:tcPr>
            <w:tcW w:w="1569" w:type="dxa"/>
            <w:shd w:val="clear" w:color="auto" w:fill="auto"/>
            <w:noWrap/>
            <w:vAlign w:val="center"/>
            <w:hideMark/>
          </w:tcPr>
          <w:p w14:paraId="0265A92D"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South Carolina</w:t>
            </w:r>
          </w:p>
        </w:tc>
        <w:tc>
          <w:tcPr>
            <w:tcW w:w="1216" w:type="dxa"/>
            <w:shd w:val="clear" w:color="auto" w:fill="auto"/>
            <w:noWrap/>
            <w:vAlign w:val="center"/>
            <w:hideMark/>
          </w:tcPr>
          <w:p w14:paraId="1117C73E"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265,029</w:t>
            </w:r>
          </w:p>
        </w:tc>
        <w:tc>
          <w:tcPr>
            <w:tcW w:w="1710" w:type="dxa"/>
            <w:shd w:val="clear" w:color="auto" w:fill="auto"/>
            <w:noWrap/>
            <w:vAlign w:val="center"/>
            <w:hideMark/>
          </w:tcPr>
          <w:p w14:paraId="5843493A"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3%</w:t>
            </w:r>
          </w:p>
        </w:tc>
        <w:tc>
          <w:tcPr>
            <w:tcW w:w="1800" w:type="dxa"/>
            <w:shd w:val="clear" w:color="auto" w:fill="auto"/>
            <w:noWrap/>
            <w:vAlign w:val="center"/>
            <w:hideMark/>
          </w:tcPr>
          <w:p w14:paraId="285D0D4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330</w:t>
            </w:r>
          </w:p>
        </w:tc>
        <w:tc>
          <w:tcPr>
            <w:tcW w:w="1728" w:type="dxa"/>
            <w:shd w:val="clear" w:color="auto" w:fill="auto"/>
            <w:noWrap/>
            <w:vAlign w:val="center"/>
            <w:hideMark/>
          </w:tcPr>
          <w:p w14:paraId="14D393D9"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149</w:t>
            </w:r>
          </w:p>
        </w:tc>
      </w:tr>
      <w:tr w:rsidR="0000460A" w:rsidRPr="003734B1" w14:paraId="404BF309" w14:textId="77777777" w:rsidTr="0000460A">
        <w:trPr>
          <w:trHeight w:val="300"/>
          <w:jc w:val="center"/>
        </w:trPr>
        <w:tc>
          <w:tcPr>
            <w:tcW w:w="1569" w:type="dxa"/>
            <w:shd w:val="clear" w:color="auto" w:fill="auto"/>
            <w:noWrap/>
            <w:vAlign w:val="center"/>
            <w:hideMark/>
          </w:tcPr>
          <w:p w14:paraId="6A089C0D"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North Carolina</w:t>
            </w:r>
          </w:p>
        </w:tc>
        <w:tc>
          <w:tcPr>
            <w:tcW w:w="1216" w:type="dxa"/>
            <w:shd w:val="clear" w:color="auto" w:fill="auto"/>
            <w:noWrap/>
            <w:vAlign w:val="center"/>
            <w:hideMark/>
          </w:tcPr>
          <w:p w14:paraId="67579901"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822,682</w:t>
            </w:r>
          </w:p>
        </w:tc>
        <w:tc>
          <w:tcPr>
            <w:tcW w:w="1710" w:type="dxa"/>
            <w:shd w:val="clear" w:color="auto" w:fill="auto"/>
            <w:noWrap/>
            <w:vAlign w:val="center"/>
            <w:hideMark/>
          </w:tcPr>
          <w:p w14:paraId="2695A5FD"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10%</w:t>
            </w:r>
          </w:p>
        </w:tc>
        <w:tc>
          <w:tcPr>
            <w:tcW w:w="1800" w:type="dxa"/>
            <w:shd w:val="clear" w:color="auto" w:fill="auto"/>
            <w:noWrap/>
            <w:vAlign w:val="center"/>
            <w:hideMark/>
          </w:tcPr>
          <w:p w14:paraId="560DA098"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1,024</w:t>
            </w:r>
          </w:p>
        </w:tc>
        <w:tc>
          <w:tcPr>
            <w:tcW w:w="1728" w:type="dxa"/>
            <w:shd w:val="clear" w:color="auto" w:fill="auto"/>
            <w:noWrap/>
            <w:vAlign w:val="center"/>
            <w:hideMark/>
          </w:tcPr>
          <w:p w14:paraId="63D6BE35"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461</w:t>
            </w:r>
          </w:p>
        </w:tc>
      </w:tr>
      <w:tr w:rsidR="0000460A" w:rsidRPr="003734B1" w14:paraId="1A4DF990" w14:textId="77777777" w:rsidTr="0000460A">
        <w:trPr>
          <w:trHeight w:val="300"/>
          <w:jc w:val="center"/>
        </w:trPr>
        <w:tc>
          <w:tcPr>
            <w:tcW w:w="1569" w:type="dxa"/>
            <w:shd w:val="clear" w:color="auto" w:fill="auto"/>
            <w:noWrap/>
            <w:vAlign w:val="center"/>
            <w:hideMark/>
          </w:tcPr>
          <w:p w14:paraId="3CB77CCE"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Virginia</w:t>
            </w:r>
          </w:p>
        </w:tc>
        <w:tc>
          <w:tcPr>
            <w:tcW w:w="1216" w:type="dxa"/>
            <w:shd w:val="clear" w:color="auto" w:fill="auto"/>
            <w:noWrap/>
            <w:vAlign w:val="center"/>
            <w:hideMark/>
          </w:tcPr>
          <w:p w14:paraId="663BD13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480,037</w:t>
            </w:r>
          </w:p>
        </w:tc>
        <w:tc>
          <w:tcPr>
            <w:tcW w:w="1710" w:type="dxa"/>
            <w:shd w:val="clear" w:color="auto" w:fill="auto"/>
            <w:noWrap/>
            <w:vAlign w:val="center"/>
            <w:hideMark/>
          </w:tcPr>
          <w:p w14:paraId="1FD4FCED"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6%</w:t>
            </w:r>
          </w:p>
        </w:tc>
        <w:tc>
          <w:tcPr>
            <w:tcW w:w="1800" w:type="dxa"/>
            <w:shd w:val="clear" w:color="auto" w:fill="auto"/>
            <w:noWrap/>
            <w:vAlign w:val="center"/>
            <w:hideMark/>
          </w:tcPr>
          <w:p w14:paraId="48F7C572"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598</w:t>
            </w:r>
          </w:p>
        </w:tc>
        <w:tc>
          <w:tcPr>
            <w:tcW w:w="1728" w:type="dxa"/>
            <w:shd w:val="clear" w:color="auto" w:fill="auto"/>
            <w:noWrap/>
            <w:vAlign w:val="center"/>
            <w:hideMark/>
          </w:tcPr>
          <w:p w14:paraId="645E8CD7"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269</w:t>
            </w:r>
          </w:p>
        </w:tc>
      </w:tr>
      <w:tr w:rsidR="0000460A" w:rsidRPr="003734B1" w14:paraId="0B0E3CD3" w14:textId="77777777" w:rsidTr="0000460A">
        <w:trPr>
          <w:trHeight w:val="300"/>
          <w:jc w:val="center"/>
        </w:trPr>
        <w:tc>
          <w:tcPr>
            <w:tcW w:w="1569" w:type="dxa"/>
            <w:shd w:val="clear" w:color="auto" w:fill="auto"/>
            <w:noWrap/>
            <w:vAlign w:val="center"/>
            <w:hideMark/>
          </w:tcPr>
          <w:p w14:paraId="3C6BBA8A"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Maryland</w:t>
            </w:r>
          </w:p>
        </w:tc>
        <w:tc>
          <w:tcPr>
            <w:tcW w:w="1216" w:type="dxa"/>
            <w:shd w:val="clear" w:color="auto" w:fill="auto"/>
            <w:noWrap/>
            <w:vAlign w:val="center"/>
            <w:hideMark/>
          </w:tcPr>
          <w:p w14:paraId="0BE026F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474,384</w:t>
            </w:r>
          </w:p>
        </w:tc>
        <w:tc>
          <w:tcPr>
            <w:tcW w:w="1710" w:type="dxa"/>
            <w:shd w:val="clear" w:color="auto" w:fill="auto"/>
            <w:noWrap/>
            <w:vAlign w:val="center"/>
            <w:hideMark/>
          </w:tcPr>
          <w:p w14:paraId="314280C2"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6%</w:t>
            </w:r>
          </w:p>
        </w:tc>
        <w:tc>
          <w:tcPr>
            <w:tcW w:w="1800" w:type="dxa"/>
            <w:shd w:val="clear" w:color="auto" w:fill="auto"/>
            <w:noWrap/>
            <w:vAlign w:val="center"/>
            <w:hideMark/>
          </w:tcPr>
          <w:p w14:paraId="5F525576"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591</w:t>
            </w:r>
          </w:p>
        </w:tc>
        <w:tc>
          <w:tcPr>
            <w:tcW w:w="1728" w:type="dxa"/>
            <w:shd w:val="clear" w:color="auto" w:fill="auto"/>
            <w:noWrap/>
            <w:vAlign w:val="center"/>
            <w:hideMark/>
          </w:tcPr>
          <w:p w14:paraId="74A5788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266</w:t>
            </w:r>
          </w:p>
        </w:tc>
      </w:tr>
      <w:tr w:rsidR="0000460A" w:rsidRPr="003734B1" w14:paraId="5E79AF2D" w14:textId="77777777" w:rsidTr="0000460A">
        <w:trPr>
          <w:trHeight w:val="300"/>
          <w:jc w:val="center"/>
        </w:trPr>
        <w:tc>
          <w:tcPr>
            <w:tcW w:w="1569" w:type="dxa"/>
            <w:shd w:val="clear" w:color="auto" w:fill="auto"/>
            <w:noWrap/>
            <w:vAlign w:val="center"/>
            <w:hideMark/>
          </w:tcPr>
          <w:p w14:paraId="3C401357"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Delaware</w:t>
            </w:r>
          </w:p>
        </w:tc>
        <w:tc>
          <w:tcPr>
            <w:tcW w:w="1216" w:type="dxa"/>
            <w:shd w:val="clear" w:color="auto" w:fill="auto"/>
            <w:noWrap/>
            <w:vAlign w:val="center"/>
            <w:hideMark/>
          </w:tcPr>
          <w:p w14:paraId="0132BC4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103,691</w:t>
            </w:r>
          </w:p>
        </w:tc>
        <w:tc>
          <w:tcPr>
            <w:tcW w:w="1710" w:type="dxa"/>
            <w:shd w:val="clear" w:color="auto" w:fill="auto"/>
            <w:noWrap/>
            <w:vAlign w:val="center"/>
            <w:hideMark/>
          </w:tcPr>
          <w:p w14:paraId="126E0188"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w:t>
            </w:r>
          </w:p>
        </w:tc>
        <w:tc>
          <w:tcPr>
            <w:tcW w:w="1800" w:type="dxa"/>
            <w:shd w:val="clear" w:color="auto" w:fill="auto"/>
            <w:noWrap/>
            <w:vAlign w:val="center"/>
            <w:hideMark/>
          </w:tcPr>
          <w:p w14:paraId="213D7D0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129</w:t>
            </w:r>
          </w:p>
        </w:tc>
        <w:tc>
          <w:tcPr>
            <w:tcW w:w="1728" w:type="dxa"/>
            <w:shd w:val="clear" w:color="auto" w:fill="auto"/>
            <w:noWrap/>
            <w:vAlign w:val="center"/>
            <w:hideMark/>
          </w:tcPr>
          <w:p w14:paraId="4EF31501"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58</w:t>
            </w:r>
          </w:p>
        </w:tc>
      </w:tr>
      <w:tr w:rsidR="0000460A" w:rsidRPr="003734B1" w14:paraId="60B27BA4" w14:textId="77777777" w:rsidTr="0000460A">
        <w:trPr>
          <w:trHeight w:val="300"/>
          <w:jc w:val="center"/>
        </w:trPr>
        <w:tc>
          <w:tcPr>
            <w:tcW w:w="1569" w:type="dxa"/>
            <w:shd w:val="clear" w:color="auto" w:fill="auto"/>
            <w:noWrap/>
            <w:vAlign w:val="center"/>
            <w:hideMark/>
          </w:tcPr>
          <w:p w14:paraId="7D423167"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New Jersey</w:t>
            </w:r>
          </w:p>
        </w:tc>
        <w:tc>
          <w:tcPr>
            <w:tcW w:w="1216" w:type="dxa"/>
            <w:shd w:val="clear" w:color="auto" w:fill="auto"/>
            <w:noWrap/>
            <w:vAlign w:val="center"/>
            <w:hideMark/>
          </w:tcPr>
          <w:p w14:paraId="6F6E375F"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538,466</w:t>
            </w:r>
          </w:p>
        </w:tc>
        <w:tc>
          <w:tcPr>
            <w:tcW w:w="1710" w:type="dxa"/>
            <w:shd w:val="clear" w:color="auto" w:fill="auto"/>
            <w:noWrap/>
            <w:vAlign w:val="center"/>
            <w:hideMark/>
          </w:tcPr>
          <w:p w14:paraId="724F3A8F"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7%</w:t>
            </w:r>
          </w:p>
        </w:tc>
        <w:tc>
          <w:tcPr>
            <w:tcW w:w="1800" w:type="dxa"/>
            <w:shd w:val="clear" w:color="auto" w:fill="auto"/>
            <w:noWrap/>
            <w:vAlign w:val="center"/>
            <w:hideMark/>
          </w:tcPr>
          <w:p w14:paraId="6486745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671</w:t>
            </w:r>
          </w:p>
        </w:tc>
        <w:tc>
          <w:tcPr>
            <w:tcW w:w="1728" w:type="dxa"/>
            <w:shd w:val="clear" w:color="auto" w:fill="auto"/>
            <w:noWrap/>
            <w:vAlign w:val="center"/>
            <w:hideMark/>
          </w:tcPr>
          <w:p w14:paraId="1528FE5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302</w:t>
            </w:r>
          </w:p>
        </w:tc>
      </w:tr>
      <w:tr w:rsidR="0000460A" w:rsidRPr="003734B1" w14:paraId="195187B6" w14:textId="77777777" w:rsidTr="0000460A">
        <w:trPr>
          <w:trHeight w:val="300"/>
          <w:jc w:val="center"/>
        </w:trPr>
        <w:tc>
          <w:tcPr>
            <w:tcW w:w="1569" w:type="dxa"/>
            <w:shd w:val="clear" w:color="auto" w:fill="auto"/>
            <w:noWrap/>
            <w:vAlign w:val="center"/>
            <w:hideMark/>
          </w:tcPr>
          <w:p w14:paraId="3A3E1E37"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New York</w:t>
            </w:r>
          </w:p>
        </w:tc>
        <w:tc>
          <w:tcPr>
            <w:tcW w:w="1216" w:type="dxa"/>
            <w:shd w:val="clear" w:color="auto" w:fill="auto"/>
            <w:noWrap/>
            <w:vAlign w:val="center"/>
            <w:hideMark/>
          </w:tcPr>
          <w:p w14:paraId="7C1A037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808,544</w:t>
            </w:r>
          </w:p>
        </w:tc>
        <w:tc>
          <w:tcPr>
            <w:tcW w:w="1710" w:type="dxa"/>
            <w:shd w:val="clear" w:color="auto" w:fill="auto"/>
            <w:noWrap/>
            <w:vAlign w:val="center"/>
            <w:hideMark/>
          </w:tcPr>
          <w:p w14:paraId="0D02C944"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10%</w:t>
            </w:r>
          </w:p>
        </w:tc>
        <w:tc>
          <w:tcPr>
            <w:tcW w:w="1800" w:type="dxa"/>
            <w:shd w:val="clear" w:color="auto" w:fill="auto"/>
            <w:noWrap/>
            <w:vAlign w:val="center"/>
            <w:hideMark/>
          </w:tcPr>
          <w:p w14:paraId="3EEFE6A2"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1,007</w:t>
            </w:r>
          </w:p>
        </w:tc>
        <w:tc>
          <w:tcPr>
            <w:tcW w:w="1728" w:type="dxa"/>
            <w:shd w:val="clear" w:color="auto" w:fill="auto"/>
            <w:noWrap/>
            <w:vAlign w:val="center"/>
            <w:hideMark/>
          </w:tcPr>
          <w:p w14:paraId="146F9FC8"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453</w:t>
            </w:r>
          </w:p>
        </w:tc>
      </w:tr>
      <w:tr w:rsidR="0000460A" w:rsidRPr="003734B1" w14:paraId="5652B53A" w14:textId="77777777" w:rsidTr="0000460A">
        <w:trPr>
          <w:trHeight w:val="300"/>
          <w:jc w:val="center"/>
        </w:trPr>
        <w:tc>
          <w:tcPr>
            <w:tcW w:w="1569" w:type="dxa"/>
            <w:shd w:val="clear" w:color="auto" w:fill="auto"/>
            <w:noWrap/>
            <w:vAlign w:val="center"/>
            <w:hideMark/>
          </w:tcPr>
          <w:p w14:paraId="67D0129A"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Connecticut</w:t>
            </w:r>
          </w:p>
        </w:tc>
        <w:tc>
          <w:tcPr>
            <w:tcW w:w="1216" w:type="dxa"/>
            <w:shd w:val="clear" w:color="auto" w:fill="auto"/>
            <w:noWrap/>
            <w:vAlign w:val="center"/>
            <w:hideMark/>
          </w:tcPr>
          <w:p w14:paraId="346694B5"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296,822</w:t>
            </w:r>
          </w:p>
        </w:tc>
        <w:tc>
          <w:tcPr>
            <w:tcW w:w="1710" w:type="dxa"/>
            <w:shd w:val="clear" w:color="auto" w:fill="auto"/>
            <w:noWrap/>
            <w:vAlign w:val="center"/>
            <w:hideMark/>
          </w:tcPr>
          <w:p w14:paraId="5E63B9C5"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4%</w:t>
            </w:r>
          </w:p>
        </w:tc>
        <w:tc>
          <w:tcPr>
            <w:tcW w:w="1800" w:type="dxa"/>
            <w:shd w:val="clear" w:color="auto" w:fill="auto"/>
            <w:noWrap/>
            <w:vAlign w:val="center"/>
            <w:hideMark/>
          </w:tcPr>
          <w:p w14:paraId="32DAA87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370</w:t>
            </w:r>
          </w:p>
        </w:tc>
        <w:tc>
          <w:tcPr>
            <w:tcW w:w="1728" w:type="dxa"/>
            <w:shd w:val="clear" w:color="auto" w:fill="auto"/>
            <w:noWrap/>
            <w:vAlign w:val="center"/>
            <w:hideMark/>
          </w:tcPr>
          <w:p w14:paraId="097E88CC"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167</w:t>
            </w:r>
          </w:p>
        </w:tc>
      </w:tr>
      <w:tr w:rsidR="0000460A" w:rsidRPr="003734B1" w14:paraId="08226BA7" w14:textId="77777777" w:rsidTr="0000460A">
        <w:trPr>
          <w:trHeight w:val="300"/>
          <w:jc w:val="center"/>
        </w:trPr>
        <w:tc>
          <w:tcPr>
            <w:tcW w:w="1569" w:type="dxa"/>
            <w:shd w:val="clear" w:color="auto" w:fill="auto"/>
            <w:noWrap/>
            <w:vAlign w:val="center"/>
            <w:hideMark/>
          </w:tcPr>
          <w:p w14:paraId="3DFF57F9"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Rhode Island</w:t>
            </w:r>
          </w:p>
        </w:tc>
        <w:tc>
          <w:tcPr>
            <w:tcW w:w="1216" w:type="dxa"/>
            <w:shd w:val="clear" w:color="auto" w:fill="auto"/>
            <w:noWrap/>
            <w:vAlign w:val="center"/>
            <w:hideMark/>
          </w:tcPr>
          <w:p w14:paraId="07DEC680"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148,766</w:t>
            </w:r>
          </w:p>
        </w:tc>
        <w:tc>
          <w:tcPr>
            <w:tcW w:w="1710" w:type="dxa"/>
            <w:shd w:val="clear" w:color="auto" w:fill="auto"/>
            <w:noWrap/>
            <w:vAlign w:val="center"/>
            <w:hideMark/>
          </w:tcPr>
          <w:p w14:paraId="0871C437"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2%</w:t>
            </w:r>
          </w:p>
        </w:tc>
        <w:tc>
          <w:tcPr>
            <w:tcW w:w="1800" w:type="dxa"/>
            <w:shd w:val="clear" w:color="auto" w:fill="auto"/>
            <w:noWrap/>
            <w:vAlign w:val="center"/>
            <w:hideMark/>
          </w:tcPr>
          <w:p w14:paraId="0F812FC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185</w:t>
            </w:r>
          </w:p>
        </w:tc>
        <w:tc>
          <w:tcPr>
            <w:tcW w:w="1728" w:type="dxa"/>
            <w:shd w:val="clear" w:color="auto" w:fill="auto"/>
            <w:noWrap/>
            <w:vAlign w:val="center"/>
            <w:hideMark/>
          </w:tcPr>
          <w:p w14:paraId="6A137954"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83</w:t>
            </w:r>
          </w:p>
        </w:tc>
      </w:tr>
      <w:tr w:rsidR="0000460A" w:rsidRPr="003734B1" w14:paraId="789EEB1B" w14:textId="77777777" w:rsidTr="0000460A">
        <w:trPr>
          <w:trHeight w:val="300"/>
          <w:jc w:val="center"/>
        </w:trPr>
        <w:tc>
          <w:tcPr>
            <w:tcW w:w="1569" w:type="dxa"/>
            <w:shd w:val="clear" w:color="auto" w:fill="auto"/>
            <w:noWrap/>
            <w:vAlign w:val="center"/>
            <w:hideMark/>
          </w:tcPr>
          <w:p w14:paraId="2B889ADE"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Massachusetts</w:t>
            </w:r>
          </w:p>
        </w:tc>
        <w:tc>
          <w:tcPr>
            <w:tcW w:w="1216" w:type="dxa"/>
            <w:shd w:val="clear" w:color="auto" w:fill="auto"/>
            <w:noWrap/>
            <w:vAlign w:val="center"/>
            <w:hideMark/>
          </w:tcPr>
          <w:p w14:paraId="32AA0F24"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548,277</w:t>
            </w:r>
          </w:p>
        </w:tc>
        <w:tc>
          <w:tcPr>
            <w:tcW w:w="1710" w:type="dxa"/>
            <w:shd w:val="clear" w:color="auto" w:fill="auto"/>
            <w:noWrap/>
            <w:vAlign w:val="center"/>
            <w:hideMark/>
          </w:tcPr>
          <w:p w14:paraId="41139F69"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7%</w:t>
            </w:r>
          </w:p>
        </w:tc>
        <w:tc>
          <w:tcPr>
            <w:tcW w:w="1800" w:type="dxa"/>
            <w:shd w:val="clear" w:color="auto" w:fill="auto"/>
            <w:noWrap/>
            <w:vAlign w:val="center"/>
            <w:hideMark/>
          </w:tcPr>
          <w:p w14:paraId="28D755F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683</w:t>
            </w:r>
          </w:p>
        </w:tc>
        <w:tc>
          <w:tcPr>
            <w:tcW w:w="1728" w:type="dxa"/>
            <w:shd w:val="clear" w:color="auto" w:fill="auto"/>
            <w:noWrap/>
            <w:vAlign w:val="center"/>
            <w:hideMark/>
          </w:tcPr>
          <w:p w14:paraId="680A9264"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307</w:t>
            </w:r>
          </w:p>
        </w:tc>
      </w:tr>
      <w:tr w:rsidR="0000460A" w:rsidRPr="003734B1" w14:paraId="75A952F0" w14:textId="77777777" w:rsidTr="0000460A">
        <w:trPr>
          <w:trHeight w:val="300"/>
          <w:jc w:val="center"/>
        </w:trPr>
        <w:tc>
          <w:tcPr>
            <w:tcW w:w="1569" w:type="dxa"/>
            <w:shd w:val="clear" w:color="auto" w:fill="auto"/>
            <w:noWrap/>
            <w:vAlign w:val="center"/>
            <w:hideMark/>
          </w:tcPr>
          <w:p w14:paraId="03AE506A"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New Hampshire</w:t>
            </w:r>
          </w:p>
        </w:tc>
        <w:tc>
          <w:tcPr>
            <w:tcW w:w="1216" w:type="dxa"/>
            <w:shd w:val="clear" w:color="auto" w:fill="auto"/>
            <w:noWrap/>
            <w:vAlign w:val="center"/>
            <w:hideMark/>
          </w:tcPr>
          <w:p w14:paraId="514FB1AC"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77,508</w:t>
            </w:r>
          </w:p>
        </w:tc>
        <w:tc>
          <w:tcPr>
            <w:tcW w:w="1710" w:type="dxa"/>
            <w:shd w:val="clear" w:color="auto" w:fill="auto"/>
            <w:noWrap/>
            <w:vAlign w:val="center"/>
            <w:hideMark/>
          </w:tcPr>
          <w:p w14:paraId="795FF20A"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1%</w:t>
            </w:r>
          </w:p>
        </w:tc>
        <w:tc>
          <w:tcPr>
            <w:tcW w:w="1800" w:type="dxa"/>
            <w:shd w:val="clear" w:color="auto" w:fill="auto"/>
            <w:noWrap/>
            <w:vAlign w:val="center"/>
            <w:hideMark/>
          </w:tcPr>
          <w:p w14:paraId="70D572A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97</w:t>
            </w:r>
          </w:p>
        </w:tc>
        <w:tc>
          <w:tcPr>
            <w:tcW w:w="1728" w:type="dxa"/>
            <w:shd w:val="clear" w:color="auto" w:fill="auto"/>
            <w:noWrap/>
            <w:vAlign w:val="center"/>
            <w:hideMark/>
          </w:tcPr>
          <w:p w14:paraId="479D393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44</w:t>
            </w:r>
          </w:p>
        </w:tc>
      </w:tr>
      <w:tr w:rsidR="0000460A" w:rsidRPr="003734B1" w14:paraId="2F378D70" w14:textId="77777777" w:rsidTr="0000460A">
        <w:trPr>
          <w:trHeight w:val="300"/>
          <w:jc w:val="center"/>
        </w:trPr>
        <w:tc>
          <w:tcPr>
            <w:tcW w:w="1569" w:type="dxa"/>
            <w:shd w:val="clear" w:color="auto" w:fill="auto"/>
            <w:noWrap/>
            <w:vAlign w:val="center"/>
            <w:hideMark/>
          </w:tcPr>
          <w:p w14:paraId="7BDFBE77"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Maine</w:t>
            </w:r>
          </w:p>
        </w:tc>
        <w:tc>
          <w:tcPr>
            <w:tcW w:w="1216" w:type="dxa"/>
            <w:shd w:val="clear" w:color="auto" w:fill="auto"/>
            <w:noWrap/>
            <w:vAlign w:val="center"/>
            <w:hideMark/>
          </w:tcPr>
          <w:p w14:paraId="519AD00B"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126,394</w:t>
            </w:r>
          </w:p>
        </w:tc>
        <w:tc>
          <w:tcPr>
            <w:tcW w:w="1710" w:type="dxa"/>
            <w:shd w:val="clear" w:color="auto" w:fill="auto"/>
            <w:noWrap/>
            <w:vAlign w:val="center"/>
            <w:hideMark/>
          </w:tcPr>
          <w:p w14:paraId="3B2C16BB" w14:textId="77777777" w:rsidR="003734B1" w:rsidRPr="003734B1" w:rsidRDefault="003734B1" w:rsidP="003734B1">
            <w:pPr>
              <w:spacing w:after="0" w:line="240" w:lineRule="auto"/>
              <w:jc w:val="center"/>
              <w:rPr>
                <w:rFonts w:ascii="Calibri" w:eastAsia="Times New Roman" w:hAnsi="Calibri" w:cs="Calibri"/>
                <w:bCs/>
                <w:color w:val="000000"/>
              </w:rPr>
            </w:pPr>
            <w:r w:rsidRPr="003734B1">
              <w:rPr>
                <w:rFonts w:ascii="Calibri" w:eastAsia="Times New Roman" w:hAnsi="Calibri" w:cs="Calibri"/>
                <w:bCs/>
                <w:color w:val="000000"/>
              </w:rPr>
              <w:t>2%</w:t>
            </w:r>
          </w:p>
        </w:tc>
        <w:tc>
          <w:tcPr>
            <w:tcW w:w="1800" w:type="dxa"/>
            <w:shd w:val="clear" w:color="auto" w:fill="auto"/>
            <w:noWrap/>
            <w:vAlign w:val="center"/>
            <w:hideMark/>
          </w:tcPr>
          <w:p w14:paraId="2570CA85"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156</w:t>
            </w:r>
          </w:p>
        </w:tc>
        <w:tc>
          <w:tcPr>
            <w:tcW w:w="1728" w:type="dxa"/>
            <w:shd w:val="clear" w:color="auto" w:fill="auto"/>
            <w:noWrap/>
            <w:vAlign w:val="center"/>
            <w:hideMark/>
          </w:tcPr>
          <w:p w14:paraId="731607D6"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70</w:t>
            </w:r>
          </w:p>
        </w:tc>
      </w:tr>
      <w:tr w:rsidR="0000460A" w:rsidRPr="003734B1" w14:paraId="72EFAA56" w14:textId="77777777" w:rsidTr="0000460A">
        <w:trPr>
          <w:trHeight w:val="300"/>
          <w:jc w:val="center"/>
        </w:trPr>
        <w:tc>
          <w:tcPr>
            <w:tcW w:w="1569" w:type="dxa"/>
            <w:shd w:val="clear" w:color="auto" w:fill="auto"/>
            <w:noWrap/>
            <w:vAlign w:val="center"/>
            <w:hideMark/>
          </w:tcPr>
          <w:p w14:paraId="0139BC5C"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Totals</w:t>
            </w:r>
          </w:p>
        </w:tc>
        <w:tc>
          <w:tcPr>
            <w:tcW w:w="1216" w:type="dxa"/>
            <w:shd w:val="clear" w:color="auto" w:fill="auto"/>
            <w:noWrap/>
            <w:vAlign w:val="center"/>
            <w:hideMark/>
          </w:tcPr>
          <w:p w14:paraId="1EFBD184"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8,030,305</w:t>
            </w:r>
          </w:p>
        </w:tc>
        <w:tc>
          <w:tcPr>
            <w:tcW w:w="1710" w:type="dxa"/>
            <w:shd w:val="clear" w:color="auto" w:fill="auto"/>
            <w:noWrap/>
            <w:vAlign w:val="center"/>
            <w:hideMark/>
          </w:tcPr>
          <w:p w14:paraId="3DA1825B"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100%</w:t>
            </w:r>
          </w:p>
        </w:tc>
        <w:tc>
          <w:tcPr>
            <w:tcW w:w="1800" w:type="dxa"/>
            <w:shd w:val="clear" w:color="auto" w:fill="auto"/>
            <w:noWrap/>
            <w:vAlign w:val="center"/>
            <w:hideMark/>
          </w:tcPr>
          <w:p w14:paraId="7812B462"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10,000</w:t>
            </w:r>
          </w:p>
        </w:tc>
        <w:tc>
          <w:tcPr>
            <w:tcW w:w="1728" w:type="dxa"/>
            <w:shd w:val="clear" w:color="auto" w:fill="auto"/>
            <w:noWrap/>
            <w:vAlign w:val="center"/>
            <w:hideMark/>
          </w:tcPr>
          <w:p w14:paraId="009F1B87"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4,500</w:t>
            </w:r>
          </w:p>
        </w:tc>
      </w:tr>
    </w:tbl>
    <w:p w14:paraId="6F668A18"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4BCCB2D4"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sidRPr="003734B1">
        <w:rPr>
          <w:rFonts w:ascii="Times New Roman" w:eastAsia="Times New Roman" w:hAnsi="Times New Roman" w:cs="Times New Roman"/>
          <w:b/>
          <w:bCs/>
          <w:sz w:val="24"/>
          <w:szCs w:val="24"/>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06F54F74"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0BF5BFDA" w14:textId="77777777" w:rsidR="003734B1" w:rsidRPr="003734B1" w:rsidRDefault="003734B1" w:rsidP="003734B1">
      <w:pPr>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The SNAMS is a single-phase, self-administered mail survey and data collection procedures have been proven through previous MRIP studies (Andrews et al. 2010, Brick et al. 2012a). The data collection period begins with an advance (pre-notification) letter followed five days later by an initial survey mailing. The initial survey mailing is delivered by regular first class mail and includes a cover letter stating the purpose of the survey, a survey questionnaire, a post-paid return envelope and a prepaid cash incentive (as described in section A.9).</w:t>
      </w:r>
    </w:p>
    <w:p w14:paraId="6DCDD633" w14:textId="77777777" w:rsidR="003734B1" w:rsidRPr="003734B1" w:rsidRDefault="003734B1" w:rsidP="003734B1">
      <w:pPr>
        <w:spacing w:after="0" w:line="240" w:lineRule="auto"/>
        <w:rPr>
          <w:rFonts w:ascii="Times New Roman" w:eastAsia="Times New Roman" w:hAnsi="Times New Roman" w:cs="Times New Roman"/>
          <w:sz w:val="24"/>
          <w:szCs w:val="24"/>
        </w:rPr>
      </w:pPr>
    </w:p>
    <w:p w14:paraId="0C9F51B9" w14:textId="77777777" w:rsidR="003734B1" w:rsidRPr="003734B1" w:rsidRDefault="003734B1" w:rsidP="003734B1">
      <w:pPr>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 xml:space="preserve">One week following the initial mailing, a follow-up thank you/reminder contact is initiated. Three weeks after the initial survey mailing, a follow-up survey mailing is delivered to all sample units that have not responded to the survey. The follow-up mailing is delivered via first class mail and includes a nonresponse conversion letter, a second questionnaire and a post-paid return envelope. A final thank you/reminder will be sent two weeks later. </w:t>
      </w:r>
    </w:p>
    <w:p w14:paraId="570EEEF6" w14:textId="77777777" w:rsidR="003734B1" w:rsidRPr="003734B1" w:rsidRDefault="003734B1" w:rsidP="003734B1">
      <w:pPr>
        <w:spacing w:after="0" w:line="240" w:lineRule="auto"/>
        <w:rPr>
          <w:rFonts w:ascii="Times New Roman" w:eastAsia="Times New Roman" w:hAnsi="Times New Roman" w:cs="Times New Roman"/>
          <w:sz w:val="24"/>
          <w:szCs w:val="24"/>
        </w:rPr>
      </w:pPr>
    </w:p>
    <w:p w14:paraId="72F23B84" w14:textId="77777777" w:rsidR="003734B1" w:rsidRPr="003734B1" w:rsidRDefault="003734B1" w:rsidP="003734B1">
      <w:pPr>
        <w:pBdr>
          <w:top w:val="nil"/>
          <w:left w:val="nil"/>
          <w:bottom w:val="nil"/>
          <w:right w:val="nil"/>
          <w:between w:val="nil"/>
        </w:pBdr>
        <w:jc w:val="both"/>
        <w:rPr>
          <w:rFonts w:ascii="Times New Roman" w:eastAsia="Times New Roman" w:hAnsi="Times New Roman" w:cs="Times New Roman"/>
          <w:b/>
          <w:color w:val="000000"/>
          <w:sz w:val="24"/>
          <w:szCs w:val="24"/>
        </w:rPr>
      </w:pPr>
      <w:r w:rsidRPr="003734B1">
        <w:rPr>
          <w:rFonts w:ascii="Times New Roman" w:eastAsia="Times New Roman" w:hAnsi="Times New Roman" w:cs="Times New Roman"/>
          <w:color w:val="000000"/>
          <w:sz w:val="24"/>
          <w:szCs w:val="24"/>
        </w:rPr>
        <w:lastRenderedPageBreak/>
        <w:t>Anglers are stratified at the state level (Table 3) with analysis occurring at the council level</w:t>
      </w:r>
      <w:r w:rsidRPr="003734B1">
        <w:rPr>
          <w:rFonts w:ascii="Times New Roman" w:eastAsia="Times New Roman" w:hAnsi="Times New Roman" w:cs="Times New Roman"/>
          <w:color w:val="000000"/>
          <w:sz w:val="24"/>
          <w:szCs w:val="24"/>
          <w:vertAlign w:val="superscript"/>
        </w:rPr>
        <w:footnoteReference w:id="3"/>
      </w:r>
      <w:r w:rsidRPr="003734B1">
        <w:rPr>
          <w:rFonts w:ascii="Times New Roman" w:eastAsia="Times New Roman" w:hAnsi="Times New Roman" w:cs="Times New Roman"/>
          <w:color w:val="000000"/>
          <w:sz w:val="24"/>
          <w:szCs w:val="24"/>
        </w:rPr>
        <w:t>. Stratification at the state level is performed to accurately weigh state level participation for the council level analysis.  Analysis at the council level as shown in Table 4 is similar to the approach used by Brinson and Wallmo in their 2013 survey of recreational anglers’ attitudes and perceptions. Given the estimated council level sample sizes and expected response rate (Table 4), the data collected should allow for estimate precisions of at most +/-5% sampling error (+/- 5% margin of error) which should be adequate for this project. The required number of responses for each council region assuming referendum style questions with estimated 50/50 population ratios (50% yes and 50% no) is 384 responses</w:t>
      </w:r>
      <w:r w:rsidRPr="003734B1">
        <w:rPr>
          <w:rFonts w:ascii="Times New Roman" w:eastAsia="Times New Roman" w:hAnsi="Times New Roman" w:cs="Times New Roman"/>
          <w:color w:val="000000"/>
          <w:sz w:val="24"/>
          <w:szCs w:val="24"/>
          <w:vertAlign w:val="superscript"/>
        </w:rPr>
        <w:footnoteReference w:id="4"/>
      </w:r>
      <w:r w:rsidRPr="003734B1">
        <w:rPr>
          <w:rFonts w:ascii="Times New Roman" w:eastAsia="Times New Roman" w:hAnsi="Times New Roman" w:cs="Times New Roman"/>
          <w:color w:val="000000"/>
          <w:sz w:val="24"/>
          <w:szCs w:val="24"/>
        </w:rPr>
        <w:t xml:space="preserve"> (Dillman et al. 2009). In addition, the estimated number of respondents at the council level should allow for the calculation of rather precise confidence intervals around point estimates.    </w:t>
      </w:r>
    </w:p>
    <w:p w14:paraId="51E22339" w14:textId="77777777" w:rsidR="003734B1" w:rsidRPr="003734B1" w:rsidRDefault="003734B1" w:rsidP="003734B1">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p>
    <w:p w14:paraId="6B6E2DAD" w14:textId="77777777" w:rsidR="003734B1" w:rsidRPr="003734B1" w:rsidRDefault="003734B1" w:rsidP="003734B1">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3734B1">
        <w:rPr>
          <w:rFonts w:ascii="Times New Roman" w:eastAsia="Times New Roman" w:hAnsi="Times New Roman" w:cs="Times New Roman"/>
          <w:b/>
          <w:color w:val="000000"/>
          <w:sz w:val="24"/>
          <w:szCs w:val="24"/>
        </w:rPr>
        <w:t>Table 4. Anglers by Council Region and Potential Responses to 10,000 Angler Survey.</w:t>
      </w:r>
    </w:p>
    <w:p w14:paraId="7CDB3C3B" w14:textId="77777777" w:rsidR="003734B1" w:rsidRPr="003734B1" w:rsidRDefault="003734B1" w:rsidP="003734B1">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917"/>
        <w:gridCol w:w="960"/>
        <w:gridCol w:w="1623"/>
      </w:tblGrid>
      <w:tr w:rsidR="003734B1" w:rsidRPr="003734B1" w14:paraId="5E533AB6" w14:textId="77777777" w:rsidTr="0000460A">
        <w:trPr>
          <w:trHeight w:val="2100"/>
          <w:jc w:val="center"/>
        </w:trPr>
        <w:tc>
          <w:tcPr>
            <w:tcW w:w="1705" w:type="dxa"/>
            <w:shd w:val="clear" w:color="auto" w:fill="auto"/>
            <w:vAlign w:val="center"/>
            <w:hideMark/>
          </w:tcPr>
          <w:p w14:paraId="01A2A357"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Council Region</w:t>
            </w:r>
          </w:p>
        </w:tc>
        <w:tc>
          <w:tcPr>
            <w:tcW w:w="1917" w:type="dxa"/>
            <w:shd w:val="clear" w:color="auto" w:fill="auto"/>
            <w:vAlign w:val="center"/>
            <w:hideMark/>
          </w:tcPr>
          <w:p w14:paraId="5760F67A"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 of Estimated Survey Population</w:t>
            </w:r>
          </w:p>
        </w:tc>
        <w:tc>
          <w:tcPr>
            <w:tcW w:w="960" w:type="dxa"/>
            <w:shd w:val="clear" w:color="auto" w:fill="auto"/>
            <w:vAlign w:val="center"/>
            <w:hideMark/>
          </w:tcPr>
          <w:p w14:paraId="3DDC972A"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 of Surveys Mailed</w:t>
            </w:r>
          </w:p>
        </w:tc>
        <w:tc>
          <w:tcPr>
            <w:tcW w:w="1623" w:type="dxa"/>
            <w:shd w:val="clear" w:color="auto" w:fill="auto"/>
            <w:vAlign w:val="center"/>
            <w:hideMark/>
          </w:tcPr>
          <w:p w14:paraId="529FFA54"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 of Responses: 45% Response Rate</w:t>
            </w:r>
            <w:r w:rsidRPr="003734B1">
              <w:rPr>
                <w:rFonts w:ascii="Times New Roman" w:eastAsia="Times New Roman" w:hAnsi="Times New Roman" w:cs="Times New Roman"/>
                <w:color w:val="000000"/>
                <w:sz w:val="16"/>
                <w:szCs w:val="16"/>
              </w:rPr>
              <w:t> </w:t>
            </w:r>
          </w:p>
        </w:tc>
      </w:tr>
      <w:tr w:rsidR="003734B1" w:rsidRPr="003734B1" w14:paraId="31468ECC" w14:textId="77777777" w:rsidTr="0000460A">
        <w:trPr>
          <w:trHeight w:val="300"/>
          <w:jc w:val="center"/>
        </w:trPr>
        <w:tc>
          <w:tcPr>
            <w:tcW w:w="1705" w:type="dxa"/>
            <w:shd w:val="clear" w:color="auto" w:fill="auto"/>
            <w:noWrap/>
            <w:vAlign w:val="center"/>
            <w:hideMark/>
          </w:tcPr>
          <w:p w14:paraId="3A003BEC"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Gulf</w:t>
            </w:r>
          </w:p>
        </w:tc>
        <w:tc>
          <w:tcPr>
            <w:tcW w:w="1917" w:type="dxa"/>
            <w:shd w:val="clear" w:color="auto" w:fill="auto"/>
            <w:noWrap/>
            <w:vAlign w:val="center"/>
            <w:hideMark/>
          </w:tcPr>
          <w:p w14:paraId="3607A47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26%</w:t>
            </w:r>
          </w:p>
        </w:tc>
        <w:tc>
          <w:tcPr>
            <w:tcW w:w="960" w:type="dxa"/>
            <w:shd w:val="clear" w:color="auto" w:fill="auto"/>
            <w:noWrap/>
            <w:vAlign w:val="center"/>
            <w:hideMark/>
          </w:tcPr>
          <w:p w14:paraId="5E3DAAB2"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2,593</w:t>
            </w:r>
          </w:p>
        </w:tc>
        <w:tc>
          <w:tcPr>
            <w:tcW w:w="1623" w:type="dxa"/>
            <w:shd w:val="clear" w:color="auto" w:fill="auto"/>
            <w:noWrap/>
            <w:vAlign w:val="center"/>
            <w:hideMark/>
          </w:tcPr>
          <w:p w14:paraId="7ECA485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1,167</w:t>
            </w:r>
          </w:p>
        </w:tc>
      </w:tr>
      <w:tr w:rsidR="003734B1" w:rsidRPr="003734B1" w14:paraId="45E54051" w14:textId="77777777" w:rsidTr="0000460A">
        <w:trPr>
          <w:trHeight w:val="300"/>
          <w:jc w:val="center"/>
        </w:trPr>
        <w:tc>
          <w:tcPr>
            <w:tcW w:w="1705" w:type="dxa"/>
            <w:shd w:val="clear" w:color="auto" w:fill="auto"/>
            <w:noWrap/>
            <w:vAlign w:val="center"/>
            <w:hideMark/>
          </w:tcPr>
          <w:p w14:paraId="7AE0E360"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South Atlantic</w:t>
            </w:r>
          </w:p>
        </w:tc>
        <w:tc>
          <w:tcPr>
            <w:tcW w:w="1917" w:type="dxa"/>
            <w:shd w:val="clear" w:color="auto" w:fill="auto"/>
            <w:noWrap/>
            <w:vAlign w:val="center"/>
            <w:hideMark/>
          </w:tcPr>
          <w:p w14:paraId="207FCDB7"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29%</w:t>
            </w:r>
          </w:p>
        </w:tc>
        <w:tc>
          <w:tcPr>
            <w:tcW w:w="960" w:type="dxa"/>
            <w:shd w:val="clear" w:color="auto" w:fill="auto"/>
            <w:noWrap/>
            <w:vAlign w:val="center"/>
            <w:hideMark/>
          </w:tcPr>
          <w:p w14:paraId="6203B86D"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2,920</w:t>
            </w:r>
          </w:p>
        </w:tc>
        <w:tc>
          <w:tcPr>
            <w:tcW w:w="1623" w:type="dxa"/>
            <w:shd w:val="clear" w:color="auto" w:fill="auto"/>
            <w:noWrap/>
            <w:vAlign w:val="center"/>
            <w:hideMark/>
          </w:tcPr>
          <w:p w14:paraId="43C70A5C"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1,314</w:t>
            </w:r>
          </w:p>
        </w:tc>
      </w:tr>
      <w:tr w:rsidR="003734B1" w:rsidRPr="003734B1" w14:paraId="5DA70835" w14:textId="77777777" w:rsidTr="0000460A">
        <w:trPr>
          <w:trHeight w:val="300"/>
          <w:jc w:val="center"/>
        </w:trPr>
        <w:tc>
          <w:tcPr>
            <w:tcW w:w="1705" w:type="dxa"/>
            <w:shd w:val="clear" w:color="auto" w:fill="auto"/>
            <w:noWrap/>
            <w:vAlign w:val="center"/>
            <w:hideMark/>
          </w:tcPr>
          <w:p w14:paraId="06E1358D"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Mid Atlantic</w:t>
            </w:r>
          </w:p>
        </w:tc>
        <w:tc>
          <w:tcPr>
            <w:tcW w:w="1917" w:type="dxa"/>
            <w:shd w:val="clear" w:color="auto" w:fill="auto"/>
            <w:noWrap/>
            <w:vAlign w:val="center"/>
            <w:hideMark/>
          </w:tcPr>
          <w:p w14:paraId="08D018B3"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30%</w:t>
            </w:r>
          </w:p>
        </w:tc>
        <w:tc>
          <w:tcPr>
            <w:tcW w:w="960" w:type="dxa"/>
            <w:shd w:val="clear" w:color="auto" w:fill="auto"/>
            <w:noWrap/>
            <w:vAlign w:val="center"/>
            <w:hideMark/>
          </w:tcPr>
          <w:p w14:paraId="32504087"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2,995</w:t>
            </w:r>
          </w:p>
        </w:tc>
        <w:tc>
          <w:tcPr>
            <w:tcW w:w="1623" w:type="dxa"/>
            <w:shd w:val="clear" w:color="auto" w:fill="auto"/>
            <w:noWrap/>
            <w:vAlign w:val="center"/>
            <w:hideMark/>
          </w:tcPr>
          <w:p w14:paraId="4BC8490B"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1,348</w:t>
            </w:r>
          </w:p>
        </w:tc>
      </w:tr>
      <w:tr w:rsidR="003734B1" w:rsidRPr="003734B1" w14:paraId="6E832DB1" w14:textId="77777777" w:rsidTr="0000460A">
        <w:trPr>
          <w:trHeight w:val="350"/>
          <w:jc w:val="center"/>
        </w:trPr>
        <w:tc>
          <w:tcPr>
            <w:tcW w:w="1705" w:type="dxa"/>
            <w:shd w:val="clear" w:color="auto" w:fill="auto"/>
            <w:vAlign w:val="center"/>
            <w:hideMark/>
          </w:tcPr>
          <w:p w14:paraId="6BF2B198"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New England</w:t>
            </w:r>
          </w:p>
        </w:tc>
        <w:tc>
          <w:tcPr>
            <w:tcW w:w="1917" w:type="dxa"/>
            <w:shd w:val="clear" w:color="auto" w:fill="auto"/>
            <w:noWrap/>
            <w:vAlign w:val="center"/>
            <w:hideMark/>
          </w:tcPr>
          <w:p w14:paraId="5893F3FA"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15%</w:t>
            </w:r>
          </w:p>
        </w:tc>
        <w:tc>
          <w:tcPr>
            <w:tcW w:w="960" w:type="dxa"/>
            <w:shd w:val="clear" w:color="auto" w:fill="auto"/>
            <w:noWrap/>
            <w:vAlign w:val="center"/>
            <w:hideMark/>
          </w:tcPr>
          <w:p w14:paraId="3F039D0E"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1,492</w:t>
            </w:r>
          </w:p>
        </w:tc>
        <w:tc>
          <w:tcPr>
            <w:tcW w:w="1623" w:type="dxa"/>
            <w:shd w:val="clear" w:color="auto" w:fill="auto"/>
            <w:noWrap/>
            <w:vAlign w:val="center"/>
            <w:hideMark/>
          </w:tcPr>
          <w:p w14:paraId="08ACF6C2" w14:textId="77777777" w:rsidR="003734B1" w:rsidRPr="003734B1" w:rsidRDefault="003734B1" w:rsidP="003734B1">
            <w:pPr>
              <w:spacing w:after="0" w:line="240" w:lineRule="auto"/>
              <w:jc w:val="center"/>
              <w:rPr>
                <w:rFonts w:ascii="Calibri" w:eastAsia="Times New Roman" w:hAnsi="Calibri" w:cs="Calibri"/>
                <w:color w:val="000000"/>
              </w:rPr>
            </w:pPr>
            <w:r w:rsidRPr="003734B1">
              <w:rPr>
                <w:rFonts w:ascii="Calibri" w:eastAsia="Times New Roman" w:hAnsi="Calibri" w:cs="Calibri"/>
                <w:color w:val="000000"/>
              </w:rPr>
              <w:t>671</w:t>
            </w:r>
          </w:p>
        </w:tc>
      </w:tr>
      <w:tr w:rsidR="003734B1" w:rsidRPr="003734B1" w14:paraId="22F17EBD" w14:textId="77777777" w:rsidTr="0000460A">
        <w:trPr>
          <w:trHeight w:val="300"/>
          <w:jc w:val="center"/>
        </w:trPr>
        <w:tc>
          <w:tcPr>
            <w:tcW w:w="1705" w:type="dxa"/>
            <w:shd w:val="clear" w:color="auto" w:fill="auto"/>
            <w:noWrap/>
            <w:vAlign w:val="center"/>
            <w:hideMark/>
          </w:tcPr>
          <w:p w14:paraId="397CC880" w14:textId="77777777" w:rsidR="003734B1" w:rsidRPr="003734B1" w:rsidRDefault="003734B1" w:rsidP="003734B1">
            <w:pPr>
              <w:spacing w:after="0" w:line="240" w:lineRule="auto"/>
              <w:rPr>
                <w:rFonts w:ascii="Calibri" w:eastAsia="Times New Roman" w:hAnsi="Calibri" w:cs="Calibri"/>
                <w:b/>
                <w:bCs/>
                <w:color w:val="000000"/>
              </w:rPr>
            </w:pPr>
            <w:r w:rsidRPr="003734B1">
              <w:rPr>
                <w:rFonts w:ascii="Calibri" w:eastAsia="Times New Roman" w:hAnsi="Calibri" w:cs="Calibri"/>
                <w:b/>
                <w:bCs/>
                <w:color w:val="000000"/>
              </w:rPr>
              <w:t>Total</w:t>
            </w:r>
          </w:p>
        </w:tc>
        <w:tc>
          <w:tcPr>
            <w:tcW w:w="1917" w:type="dxa"/>
            <w:shd w:val="clear" w:color="auto" w:fill="auto"/>
            <w:noWrap/>
            <w:vAlign w:val="center"/>
            <w:hideMark/>
          </w:tcPr>
          <w:p w14:paraId="0324B13E"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100%</w:t>
            </w:r>
          </w:p>
        </w:tc>
        <w:tc>
          <w:tcPr>
            <w:tcW w:w="960" w:type="dxa"/>
            <w:shd w:val="clear" w:color="auto" w:fill="auto"/>
            <w:noWrap/>
            <w:vAlign w:val="center"/>
            <w:hideMark/>
          </w:tcPr>
          <w:p w14:paraId="31B049BA"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10,000</w:t>
            </w:r>
          </w:p>
        </w:tc>
        <w:tc>
          <w:tcPr>
            <w:tcW w:w="1623" w:type="dxa"/>
            <w:shd w:val="clear" w:color="auto" w:fill="auto"/>
            <w:noWrap/>
            <w:vAlign w:val="center"/>
            <w:hideMark/>
          </w:tcPr>
          <w:p w14:paraId="530932DF" w14:textId="77777777" w:rsidR="003734B1" w:rsidRPr="003734B1" w:rsidRDefault="003734B1" w:rsidP="003734B1">
            <w:pPr>
              <w:spacing w:after="0" w:line="240" w:lineRule="auto"/>
              <w:jc w:val="center"/>
              <w:rPr>
                <w:rFonts w:ascii="Calibri" w:eastAsia="Times New Roman" w:hAnsi="Calibri" w:cs="Calibri"/>
                <w:b/>
                <w:bCs/>
                <w:color w:val="000000"/>
              </w:rPr>
            </w:pPr>
            <w:r w:rsidRPr="003734B1">
              <w:rPr>
                <w:rFonts w:ascii="Calibri" w:eastAsia="Times New Roman" w:hAnsi="Calibri" w:cs="Calibri"/>
                <w:b/>
                <w:bCs/>
                <w:color w:val="000000"/>
              </w:rPr>
              <w:t>4,500</w:t>
            </w:r>
          </w:p>
        </w:tc>
      </w:tr>
    </w:tbl>
    <w:p w14:paraId="2597D774"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4D3138DC"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745F20D7"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sidRPr="003734B1">
        <w:rPr>
          <w:rFonts w:ascii="Times New Roman" w:eastAsia="Times New Roman" w:hAnsi="Times New Roman" w:cs="Times New Roman"/>
          <w:b/>
          <w:bCs/>
          <w:sz w:val="24"/>
          <w:szCs w:val="24"/>
          <w:u w:val="single"/>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007BDEE8"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2B231511"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r w:rsidRPr="003734B1">
        <w:rPr>
          <w:rFonts w:ascii="Times New Roman" w:eastAsia="Times New Roman" w:hAnsi="Times New Roman" w:cs="Times New Roman"/>
          <w:sz w:val="24"/>
          <w:szCs w:val="20"/>
        </w:rPr>
        <w:t>Recent MFES response rates (with a $2.00 cash incentive included in the initial survey mailing) for licensed anglers from Maine to Mississippi average 45% (Personal Communication, Rob Andrews, NMFS). By using the proven tailored design method (Dillman, 2009) for survey implementation and the $2.00 incentive we are expecting a similar response rate of 45% on the SNAMS.</w:t>
      </w:r>
    </w:p>
    <w:p w14:paraId="7BEBFC26"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p>
    <w:p w14:paraId="27353461" w14:textId="77777777" w:rsidR="003734B1" w:rsidRPr="003734B1" w:rsidRDefault="003734B1" w:rsidP="003734B1">
      <w:pPr>
        <w:spacing w:after="0" w:line="240" w:lineRule="auto"/>
        <w:rPr>
          <w:rFonts w:ascii="Times New Roman" w:eastAsia="Times New Roman" w:hAnsi="Times New Roman" w:cs="Times New Roman"/>
          <w:sz w:val="24"/>
          <w:szCs w:val="20"/>
        </w:rPr>
      </w:pPr>
      <w:r w:rsidRPr="003734B1">
        <w:rPr>
          <w:rFonts w:ascii="Times New Roman" w:eastAsia="Times New Roman" w:hAnsi="Times New Roman" w:cs="Times New Roman"/>
          <w:sz w:val="24"/>
          <w:szCs w:val="20"/>
        </w:rPr>
        <w:t>The expected response rates will be achieved by using standard mail survey protocols (Dillman et al, 2009). T</w:t>
      </w:r>
      <w:r w:rsidRPr="003734B1">
        <w:rPr>
          <w:rFonts w:ascii="Times New Roman" w:eastAsia="Times New Roman" w:hAnsi="Times New Roman" w:cs="Times New Roman"/>
          <w:sz w:val="24"/>
          <w:szCs w:val="24"/>
        </w:rPr>
        <w:t xml:space="preserve">he data collection period begins with an advance (pre-notification) letter followed five days later by an initial survey mailing. The initial survey mailing is delivered by regular first class mail and includes a cover letter stating the purpose of the survey, a survey questionnaire, a business-reply (no postage required) return envelope and a prepaid cash incentive (as described in section A.9). </w:t>
      </w:r>
      <w:r w:rsidRPr="003734B1">
        <w:rPr>
          <w:rFonts w:ascii="Times New Roman" w:eastAsia="Times New Roman" w:hAnsi="Times New Roman" w:cs="Times New Roman"/>
          <w:sz w:val="24"/>
          <w:szCs w:val="20"/>
        </w:rPr>
        <w:t xml:space="preserve">On the MFES, a $2.00 incentive was found to be optimal in terms of maximizing response and minimizing data collection costs. </w:t>
      </w:r>
    </w:p>
    <w:p w14:paraId="3F274521" w14:textId="77777777" w:rsidR="003734B1" w:rsidRPr="003734B1" w:rsidRDefault="003734B1" w:rsidP="003734B1">
      <w:pPr>
        <w:spacing w:after="0" w:line="240" w:lineRule="auto"/>
        <w:rPr>
          <w:rFonts w:ascii="Times New Roman" w:eastAsia="Times New Roman" w:hAnsi="Times New Roman" w:cs="Times New Roman"/>
          <w:sz w:val="24"/>
          <w:szCs w:val="20"/>
        </w:rPr>
      </w:pPr>
    </w:p>
    <w:p w14:paraId="6093DF4C" w14:textId="77777777" w:rsidR="003734B1" w:rsidRPr="003734B1" w:rsidRDefault="003734B1" w:rsidP="003734B1">
      <w:pPr>
        <w:spacing w:after="0" w:line="240" w:lineRule="auto"/>
        <w:rPr>
          <w:rFonts w:ascii="Times New Roman" w:eastAsia="Times New Roman" w:hAnsi="Times New Roman" w:cs="Times New Roman"/>
          <w:sz w:val="24"/>
          <w:szCs w:val="20"/>
        </w:rPr>
      </w:pPr>
      <w:r w:rsidRPr="003734B1">
        <w:rPr>
          <w:rFonts w:ascii="Times New Roman" w:eastAsia="Times New Roman" w:hAnsi="Times New Roman" w:cs="Times New Roman"/>
          <w:sz w:val="24"/>
          <w:szCs w:val="24"/>
        </w:rPr>
        <w:t>One week following the initial mailing, a follow-up thank you/reminder contact is initiated. Three weeks after the initial survey mailing, a follow-up survey mailing is delivered to all sample units that have not responded to the survey. The follow-up mailing is delivered via first class mail and includes a nonresponse conversion letter, a second questionnaire and a post-paid return envelope. A final thank you/reminder will be sent two weeks later.</w:t>
      </w:r>
    </w:p>
    <w:p w14:paraId="23EA5E6C"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p>
    <w:p w14:paraId="713519B7"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r w:rsidRPr="003734B1">
        <w:rPr>
          <w:rFonts w:ascii="Times New Roman" w:eastAsia="Times New Roman" w:hAnsi="Times New Roman" w:cs="Times New Roman"/>
          <w:sz w:val="24"/>
          <w:szCs w:val="20"/>
        </w:rPr>
        <w:t>Respondents will be provided business reply envelopes (no postage necessary) so that they may easily return their completed questionnaires.</w:t>
      </w:r>
    </w:p>
    <w:p w14:paraId="1D28826F"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p>
    <w:p w14:paraId="3620A707"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r w:rsidRPr="003734B1">
        <w:rPr>
          <w:rFonts w:ascii="Times New Roman" w:eastAsia="Times New Roman" w:hAnsi="Times New Roman" w:cs="Times New Roman"/>
          <w:sz w:val="24"/>
          <w:szCs w:val="20"/>
        </w:rPr>
        <w:t>For each sample, we will utilize the inverse of the selection probability from the sample frame to define initial base weights. Post-survey weighting adjustments will be implemented to account for differential response rates at the management council region and state level. Nonresponse bias will be measured by comparing unadjusted estimates to estimates that have been adjusted to account for differential nonresponse among weighting classes.</w:t>
      </w:r>
      <w:r w:rsidRPr="003734B1">
        <w:rPr>
          <w:rFonts w:ascii="Times New Roman" w:eastAsia="Times New Roman" w:hAnsi="Times New Roman" w:cs="Times New Roman"/>
          <w:sz w:val="20"/>
          <w:szCs w:val="20"/>
        </w:rPr>
        <w:t xml:space="preserve"> </w:t>
      </w:r>
      <w:r w:rsidRPr="003734B1">
        <w:rPr>
          <w:rFonts w:ascii="Times New Roman" w:eastAsia="Times New Roman" w:hAnsi="Times New Roman" w:cs="Times New Roman"/>
          <w:sz w:val="24"/>
          <w:szCs w:val="20"/>
        </w:rPr>
        <w:t>Demographic information that is included in the sample frame (e.g. age, license type) will also be evaluated for use in nonresponse adjustment. If nonresponse biases are detected, then standard methods described in statistical textbooks such as Cochran (1998) and Lohr (1977) will be employed.</w:t>
      </w:r>
    </w:p>
    <w:p w14:paraId="1DB4950E" w14:textId="77777777" w:rsidR="003734B1" w:rsidRPr="003734B1" w:rsidRDefault="003734B1" w:rsidP="003734B1">
      <w:pPr>
        <w:tabs>
          <w:tab w:val="left" w:pos="1152"/>
        </w:tabs>
        <w:spacing w:after="0" w:line="240" w:lineRule="auto"/>
        <w:rPr>
          <w:rFonts w:ascii="Times New Roman" w:eastAsia="Times New Roman" w:hAnsi="Times New Roman" w:cs="Times New Roman"/>
          <w:sz w:val="24"/>
          <w:szCs w:val="20"/>
        </w:rPr>
      </w:pPr>
    </w:p>
    <w:p w14:paraId="33C707F0"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sidRPr="003734B1">
        <w:rPr>
          <w:rFonts w:ascii="Times New Roman" w:eastAsia="Times New Roman" w:hAnsi="Times New Roman" w:cs="Times New Roman"/>
          <w:b/>
          <w:bCs/>
          <w:sz w:val="24"/>
          <w:szCs w:val="24"/>
          <w:u w:val="single"/>
        </w:rPr>
        <w:t>4.  Describe any tests of procedures or methods to be undertaken. Tests are encouraged as effective means to refine collections, but if ten or more test respondents are involved OMB must give prior approval.</w:t>
      </w:r>
    </w:p>
    <w:p w14:paraId="75885175"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652AD1F6" w14:textId="0A307032" w:rsidR="002E0EAA" w:rsidRPr="002E0EAA" w:rsidRDefault="002E0EAA"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E0EAA">
        <w:rPr>
          <w:rFonts w:ascii="Times New Roman" w:eastAsia="Times New Roman" w:hAnsi="Times New Roman" w:cs="Times New Roman"/>
          <w:sz w:val="24"/>
          <w:szCs w:val="24"/>
        </w:rPr>
        <w:t>The survey was pretested at the University of Florida's Survey Research Center (SRC). Pretesting was led by the SRC Director, Dr. Michael Scicchitano. The pretesters include</w:t>
      </w:r>
      <w:r w:rsidR="007D2E01">
        <w:rPr>
          <w:rFonts w:ascii="Times New Roman" w:eastAsia="Times New Roman" w:hAnsi="Times New Roman" w:cs="Times New Roman"/>
          <w:sz w:val="24"/>
          <w:szCs w:val="24"/>
        </w:rPr>
        <w:t xml:space="preserve"> seven </w:t>
      </w:r>
      <w:r w:rsidR="000C2A88">
        <w:rPr>
          <w:rFonts w:ascii="Times New Roman" w:eastAsia="Times New Roman" w:hAnsi="Times New Roman" w:cs="Times New Roman"/>
          <w:sz w:val="24"/>
          <w:szCs w:val="24"/>
        </w:rPr>
        <w:t xml:space="preserve">licensed </w:t>
      </w:r>
      <w:r w:rsidR="007D2E01">
        <w:rPr>
          <w:rFonts w:ascii="Times New Roman" w:eastAsia="Times New Roman" w:hAnsi="Times New Roman" w:cs="Times New Roman"/>
          <w:sz w:val="24"/>
          <w:szCs w:val="24"/>
        </w:rPr>
        <w:t xml:space="preserve">saltwater recreational anglers. Four </w:t>
      </w:r>
      <w:r w:rsidR="003841ED">
        <w:rPr>
          <w:rFonts w:ascii="Times New Roman" w:eastAsia="Times New Roman" w:hAnsi="Times New Roman" w:cs="Times New Roman"/>
          <w:sz w:val="24"/>
          <w:szCs w:val="24"/>
        </w:rPr>
        <w:t>pretesters are</w:t>
      </w:r>
      <w:r w:rsidR="007D2E01">
        <w:rPr>
          <w:rFonts w:ascii="Times New Roman" w:eastAsia="Times New Roman" w:hAnsi="Times New Roman" w:cs="Times New Roman"/>
          <w:sz w:val="24"/>
          <w:szCs w:val="24"/>
        </w:rPr>
        <w:t xml:space="preserve"> men and three </w:t>
      </w:r>
      <w:r w:rsidR="003841ED">
        <w:rPr>
          <w:rFonts w:ascii="Times New Roman" w:eastAsia="Times New Roman" w:hAnsi="Times New Roman" w:cs="Times New Roman"/>
          <w:sz w:val="24"/>
          <w:szCs w:val="24"/>
        </w:rPr>
        <w:t xml:space="preserve">pretesters are </w:t>
      </w:r>
      <w:r w:rsidR="007D2E01">
        <w:rPr>
          <w:rFonts w:ascii="Times New Roman" w:eastAsia="Times New Roman" w:hAnsi="Times New Roman" w:cs="Times New Roman"/>
          <w:sz w:val="24"/>
          <w:szCs w:val="24"/>
        </w:rPr>
        <w:t xml:space="preserve">women. </w:t>
      </w:r>
      <w:r w:rsidR="003841ED">
        <w:rPr>
          <w:rFonts w:ascii="Times New Roman" w:eastAsia="Times New Roman" w:hAnsi="Times New Roman" w:cs="Times New Roman"/>
          <w:sz w:val="24"/>
          <w:szCs w:val="24"/>
        </w:rPr>
        <w:t>The pretesters</w:t>
      </w:r>
      <w:r w:rsidR="007D2E01">
        <w:rPr>
          <w:rFonts w:ascii="Times New Roman" w:eastAsia="Times New Roman" w:hAnsi="Times New Roman" w:cs="Times New Roman"/>
          <w:sz w:val="24"/>
          <w:szCs w:val="24"/>
        </w:rPr>
        <w:t xml:space="preserve"> </w:t>
      </w:r>
      <w:r w:rsidR="007D2E01" w:rsidRPr="002E0EAA">
        <w:rPr>
          <w:rFonts w:ascii="Times New Roman" w:eastAsia="Times New Roman" w:hAnsi="Times New Roman" w:cs="Times New Roman"/>
          <w:sz w:val="24"/>
          <w:szCs w:val="24"/>
        </w:rPr>
        <w:t>rang</w:t>
      </w:r>
      <w:r w:rsidR="007D2E01">
        <w:rPr>
          <w:rFonts w:ascii="Times New Roman" w:eastAsia="Times New Roman" w:hAnsi="Times New Roman" w:cs="Times New Roman"/>
          <w:sz w:val="24"/>
          <w:szCs w:val="24"/>
        </w:rPr>
        <w:t xml:space="preserve">e </w:t>
      </w:r>
      <w:r w:rsidRPr="002E0EAA">
        <w:rPr>
          <w:rFonts w:ascii="Times New Roman" w:eastAsia="Times New Roman" w:hAnsi="Times New Roman" w:cs="Times New Roman"/>
          <w:sz w:val="24"/>
          <w:szCs w:val="24"/>
        </w:rPr>
        <w:t xml:space="preserve">in age from 27 to 66, with a diversity of educational backgrounds, and income categories from less than $40,000 to $200,000 or more. About half of the </w:t>
      </w:r>
      <w:r w:rsidR="007D2E01">
        <w:rPr>
          <w:rFonts w:ascii="Times New Roman" w:eastAsia="Times New Roman" w:hAnsi="Times New Roman" w:cs="Times New Roman"/>
          <w:sz w:val="24"/>
          <w:szCs w:val="24"/>
        </w:rPr>
        <w:t>pretesters</w:t>
      </w:r>
      <w:r w:rsidRPr="002E0EAA">
        <w:rPr>
          <w:rFonts w:ascii="Times New Roman" w:eastAsia="Times New Roman" w:hAnsi="Times New Roman" w:cs="Times New Roman"/>
          <w:sz w:val="24"/>
          <w:szCs w:val="24"/>
        </w:rPr>
        <w:t xml:space="preserve"> exclusively fish the Gulf</w:t>
      </w:r>
      <w:r w:rsidR="007D2E01">
        <w:rPr>
          <w:rFonts w:ascii="Times New Roman" w:eastAsia="Times New Roman" w:hAnsi="Times New Roman" w:cs="Times New Roman"/>
          <w:sz w:val="24"/>
          <w:szCs w:val="24"/>
        </w:rPr>
        <w:t xml:space="preserve"> of Mexico coast, and the others </w:t>
      </w:r>
      <w:r w:rsidRPr="002E0EAA">
        <w:rPr>
          <w:rFonts w:ascii="Times New Roman" w:eastAsia="Times New Roman" w:hAnsi="Times New Roman" w:cs="Times New Roman"/>
          <w:sz w:val="24"/>
          <w:szCs w:val="24"/>
        </w:rPr>
        <w:t xml:space="preserve">fish both the Atlantic Ocean and Gulf of Mexico coasts. </w:t>
      </w:r>
      <w:r w:rsidR="007D2E01">
        <w:rPr>
          <w:rFonts w:ascii="Times New Roman" w:eastAsia="Times New Roman" w:hAnsi="Times New Roman" w:cs="Times New Roman"/>
          <w:sz w:val="24"/>
          <w:szCs w:val="24"/>
        </w:rPr>
        <w:t>The p</w:t>
      </w:r>
      <w:r w:rsidRPr="002E0EAA">
        <w:rPr>
          <w:rFonts w:ascii="Times New Roman" w:eastAsia="Times New Roman" w:hAnsi="Times New Roman" w:cs="Times New Roman"/>
          <w:sz w:val="24"/>
          <w:szCs w:val="24"/>
        </w:rPr>
        <w:t xml:space="preserve">retesters responded positively to the overall appearance and structure of the survey materials and indicated survey questions were easily understood. Their feedback was used to revise </w:t>
      </w:r>
      <w:r w:rsidR="007D2E01">
        <w:rPr>
          <w:rFonts w:ascii="Times New Roman" w:eastAsia="Times New Roman" w:hAnsi="Times New Roman" w:cs="Times New Roman"/>
          <w:sz w:val="24"/>
          <w:szCs w:val="24"/>
        </w:rPr>
        <w:t>the correspondence and questionnaire</w:t>
      </w:r>
      <w:r w:rsidRPr="002E0EAA">
        <w:rPr>
          <w:rFonts w:ascii="Times New Roman" w:eastAsia="Times New Roman" w:hAnsi="Times New Roman" w:cs="Times New Roman"/>
          <w:sz w:val="24"/>
          <w:szCs w:val="24"/>
        </w:rPr>
        <w:t xml:space="preserve"> and to ensure that </w:t>
      </w:r>
      <w:r w:rsidR="007D2E01">
        <w:rPr>
          <w:rFonts w:ascii="Times New Roman" w:eastAsia="Times New Roman" w:hAnsi="Times New Roman" w:cs="Times New Roman"/>
          <w:sz w:val="24"/>
          <w:szCs w:val="24"/>
        </w:rPr>
        <w:t>the</w:t>
      </w:r>
      <w:r w:rsidR="00A77748">
        <w:rPr>
          <w:rFonts w:ascii="Times New Roman" w:eastAsia="Times New Roman" w:hAnsi="Times New Roman" w:cs="Times New Roman"/>
          <w:sz w:val="24"/>
          <w:szCs w:val="24"/>
        </w:rPr>
        <w:t xml:space="preserve"> survey </w:t>
      </w:r>
      <w:r w:rsidRPr="002E0EAA">
        <w:rPr>
          <w:rFonts w:ascii="Times New Roman" w:eastAsia="Times New Roman" w:hAnsi="Times New Roman" w:cs="Times New Roman"/>
          <w:sz w:val="24"/>
          <w:szCs w:val="24"/>
        </w:rPr>
        <w:t>material is understood and interpreted by the respondent as intended.</w:t>
      </w:r>
    </w:p>
    <w:p w14:paraId="36C5A601" w14:textId="77777777" w:rsidR="002E0EAA" w:rsidRPr="002E0EAA" w:rsidRDefault="002E0EAA"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577E53D2" w14:textId="36B5AD57" w:rsidR="002E0EAA" w:rsidRPr="002E0EAA" w:rsidRDefault="003841ED"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E0EAA" w:rsidRPr="002E0EAA">
        <w:rPr>
          <w:rFonts w:ascii="Times New Roman" w:eastAsia="Times New Roman" w:hAnsi="Times New Roman" w:cs="Times New Roman"/>
          <w:sz w:val="24"/>
          <w:szCs w:val="24"/>
        </w:rPr>
        <w:t xml:space="preserve">retest </w:t>
      </w:r>
      <w:r w:rsidR="002E0EAA">
        <w:rPr>
          <w:rFonts w:ascii="Times New Roman" w:eastAsia="Times New Roman" w:hAnsi="Times New Roman" w:cs="Times New Roman"/>
          <w:sz w:val="24"/>
          <w:szCs w:val="24"/>
        </w:rPr>
        <w:t xml:space="preserve">feedback, </w:t>
      </w:r>
      <w:r w:rsidR="00A77748">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general </w:t>
      </w:r>
      <w:r w:rsidR="00A77748">
        <w:rPr>
          <w:rFonts w:ascii="Times New Roman" w:eastAsia="Times New Roman" w:hAnsi="Times New Roman" w:cs="Times New Roman"/>
          <w:sz w:val="24"/>
          <w:szCs w:val="24"/>
        </w:rPr>
        <w:t>comments on s</w:t>
      </w:r>
      <w:r w:rsidR="00050079">
        <w:rPr>
          <w:rFonts w:ascii="Times New Roman" w:eastAsia="Times New Roman" w:hAnsi="Times New Roman" w:cs="Times New Roman"/>
          <w:sz w:val="24"/>
          <w:szCs w:val="24"/>
        </w:rPr>
        <w:t>urvey correspondence</w:t>
      </w:r>
      <w:r w:rsidR="002E0EAA" w:rsidRPr="002E0EAA">
        <w:rPr>
          <w:rFonts w:ascii="Times New Roman" w:eastAsia="Times New Roman" w:hAnsi="Times New Roman" w:cs="Times New Roman"/>
          <w:sz w:val="24"/>
          <w:szCs w:val="24"/>
        </w:rPr>
        <w:t>, questionnaire structure and</w:t>
      </w:r>
      <w:r w:rsidR="00BD32B3">
        <w:rPr>
          <w:rFonts w:ascii="Times New Roman" w:eastAsia="Times New Roman" w:hAnsi="Times New Roman" w:cs="Times New Roman"/>
          <w:sz w:val="24"/>
          <w:szCs w:val="24"/>
        </w:rPr>
        <w:t xml:space="preserve"> design, as well as </w:t>
      </w:r>
      <w:r w:rsidR="000C2A88">
        <w:rPr>
          <w:rFonts w:ascii="Times New Roman" w:eastAsia="Times New Roman" w:hAnsi="Times New Roman" w:cs="Times New Roman"/>
          <w:sz w:val="24"/>
          <w:szCs w:val="24"/>
        </w:rPr>
        <w:t>comments</w:t>
      </w:r>
      <w:r w:rsidR="00BD32B3">
        <w:rPr>
          <w:rFonts w:ascii="Times New Roman" w:eastAsia="Times New Roman" w:hAnsi="Times New Roman" w:cs="Times New Roman"/>
          <w:sz w:val="24"/>
          <w:szCs w:val="24"/>
        </w:rPr>
        <w:t xml:space="preserve"> on </w:t>
      </w:r>
      <w:r w:rsidR="002E0EAA" w:rsidRPr="002E0EAA">
        <w:rPr>
          <w:rFonts w:ascii="Times New Roman" w:eastAsia="Times New Roman" w:hAnsi="Times New Roman" w:cs="Times New Roman"/>
          <w:sz w:val="24"/>
          <w:szCs w:val="24"/>
        </w:rPr>
        <w:t>specif</w:t>
      </w:r>
      <w:r w:rsidR="00A77748">
        <w:rPr>
          <w:rFonts w:ascii="Times New Roman" w:eastAsia="Times New Roman" w:hAnsi="Times New Roman" w:cs="Times New Roman"/>
          <w:sz w:val="24"/>
          <w:szCs w:val="24"/>
        </w:rPr>
        <w:t>ic questions</w:t>
      </w:r>
      <w:r w:rsidR="00996A77">
        <w:rPr>
          <w:rFonts w:ascii="Times New Roman" w:eastAsia="Times New Roman" w:hAnsi="Times New Roman" w:cs="Times New Roman"/>
          <w:sz w:val="24"/>
          <w:szCs w:val="24"/>
        </w:rPr>
        <w:t xml:space="preserve">, </w:t>
      </w:r>
      <w:r w:rsidR="00BD32B3">
        <w:rPr>
          <w:rFonts w:ascii="Times New Roman" w:eastAsia="Times New Roman" w:hAnsi="Times New Roman" w:cs="Times New Roman"/>
          <w:sz w:val="24"/>
          <w:szCs w:val="24"/>
        </w:rPr>
        <w:t>and</w:t>
      </w:r>
      <w:r w:rsidR="002E0EAA" w:rsidRPr="002E0EAA">
        <w:rPr>
          <w:rFonts w:ascii="Times New Roman" w:eastAsia="Times New Roman" w:hAnsi="Times New Roman" w:cs="Times New Roman"/>
          <w:sz w:val="24"/>
          <w:szCs w:val="24"/>
        </w:rPr>
        <w:t xml:space="preserve"> </w:t>
      </w:r>
      <w:r w:rsidR="00792343">
        <w:rPr>
          <w:rFonts w:ascii="Times New Roman" w:eastAsia="Times New Roman" w:hAnsi="Times New Roman" w:cs="Times New Roman"/>
          <w:sz w:val="24"/>
          <w:szCs w:val="24"/>
        </w:rPr>
        <w:t>responses</w:t>
      </w:r>
      <w:r>
        <w:rPr>
          <w:rFonts w:ascii="Times New Roman" w:eastAsia="Times New Roman" w:hAnsi="Times New Roman" w:cs="Times New Roman"/>
          <w:sz w:val="24"/>
          <w:szCs w:val="24"/>
        </w:rPr>
        <w:t xml:space="preserve"> to</w:t>
      </w:r>
      <w:r w:rsidR="00050079">
        <w:rPr>
          <w:rFonts w:ascii="Times New Roman" w:eastAsia="Times New Roman" w:hAnsi="Times New Roman" w:cs="Times New Roman"/>
          <w:sz w:val="24"/>
          <w:szCs w:val="24"/>
        </w:rPr>
        <w:t xml:space="preserve"> the feedback</w:t>
      </w:r>
      <w:r w:rsidR="002E0EAA" w:rsidRPr="002E0EAA">
        <w:rPr>
          <w:rFonts w:ascii="Times New Roman" w:eastAsia="Times New Roman" w:hAnsi="Times New Roman" w:cs="Times New Roman"/>
          <w:sz w:val="24"/>
          <w:szCs w:val="24"/>
        </w:rPr>
        <w:t xml:space="preserve"> are </w:t>
      </w:r>
      <w:r w:rsidR="00996A77">
        <w:rPr>
          <w:rFonts w:ascii="Times New Roman" w:eastAsia="Times New Roman" w:hAnsi="Times New Roman" w:cs="Times New Roman"/>
          <w:sz w:val="24"/>
          <w:szCs w:val="24"/>
        </w:rPr>
        <w:t>summarized</w:t>
      </w:r>
      <w:r w:rsidR="002E0EAA" w:rsidRPr="002E0EAA">
        <w:rPr>
          <w:rFonts w:ascii="Times New Roman" w:eastAsia="Times New Roman" w:hAnsi="Times New Roman" w:cs="Times New Roman"/>
          <w:sz w:val="24"/>
          <w:szCs w:val="24"/>
        </w:rPr>
        <w:t xml:space="preserve"> below.</w:t>
      </w:r>
    </w:p>
    <w:p w14:paraId="246288DD" w14:textId="1180B2FE" w:rsidR="002E0EAA" w:rsidRPr="000A70AD" w:rsidRDefault="003841ED"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w:t>
      </w:r>
      <w:r w:rsidRPr="003841ED">
        <w:rPr>
          <w:rFonts w:ascii="Times New Roman" w:eastAsia="Times New Roman" w:hAnsi="Times New Roman" w:cs="Times New Roman"/>
          <w:sz w:val="24"/>
          <w:szCs w:val="24"/>
          <w:u w:val="single"/>
        </w:rPr>
        <w:t>eneral comments on survey correspondence, questionnaire structure and design</w:t>
      </w:r>
      <w:r>
        <w:rPr>
          <w:rFonts w:ascii="Times New Roman" w:eastAsia="Times New Roman" w:hAnsi="Times New Roman" w:cs="Times New Roman"/>
          <w:sz w:val="24"/>
          <w:szCs w:val="24"/>
          <w:u w:val="single"/>
        </w:rPr>
        <w:t>:</w:t>
      </w:r>
    </w:p>
    <w:p w14:paraId="2D253DE6" w14:textId="77777777" w:rsidR="00B04E04" w:rsidRPr="002E0EAA" w:rsidRDefault="00B04E04"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47513D38" w14:textId="04811E90" w:rsidR="00050079" w:rsidRDefault="002E0EAA" w:rsidP="00BD32B3">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D32B3">
        <w:rPr>
          <w:rFonts w:ascii="Times New Roman" w:eastAsia="Times New Roman" w:hAnsi="Times New Roman" w:cs="Times New Roman"/>
          <w:sz w:val="24"/>
          <w:szCs w:val="24"/>
        </w:rPr>
        <w:t xml:space="preserve">Pretesters </w:t>
      </w:r>
      <w:r w:rsidR="00BD32B3">
        <w:rPr>
          <w:rFonts w:ascii="Times New Roman" w:eastAsia="Times New Roman" w:hAnsi="Times New Roman" w:cs="Times New Roman"/>
          <w:sz w:val="24"/>
          <w:szCs w:val="24"/>
        </w:rPr>
        <w:t>reacted positively to</w:t>
      </w:r>
      <w:r w:rsidRPr="00BD32B3">
        <w:rPr>
          <w:rFonts w:ascii="Times New Roman" w:eastAsia="Times New Roman" w:hAnsi="Times New Roman" w:cs="Times New Roman"/>
          <w:sz w:val="24"/>
          <w:szCs w:val="24"/>
        </w:rPr>
        <w:t xml:space="preserve"> the </w:t>
      </w:r>
      <w:r w:rsidR="00BD32B3">
        <w:rPr>
          <w:rFonts w:ascii="Times New Roman" w:eastAsia="Times New Roman" w:hAnsi="Times New Roman" w:cs="Times New Roman"/>
          <w:sz w:val="24"/>
          <w:szCs w:val="24"/>
        </w:rPr>
        <w:t xml:space="preserve">logos, </w:t>
      </w:r>
      <w:r w:rsidRPr="00BD32B3">
        <w:rPr>
          <w:rFonts w:ascii="Times New Roman" w:eastAsia="Times New Roman" w:hAnsi="Times New Roman" w:cs="Times New Roman"/>
          <w:sz w:val="24"/>
          <w:szCs w:val="24"/>
        </w:rPr>
        <w:t>font</w:t>
      </w:r>
      <w:r w:rsidR="00BD32B3">
        <w:rPr>
          <w:rFonts w:ascii="Times New Roman" w:eastAsia="Times New Roman" w:hAnsi="Times New Roman" w:cs="Times New Roman"/>
          <w:sz w:val="24"/>
          <w:szCs w:val="24"/>
        </w:rPr>
        <w:t>s</w:t>
      </w:r>
      <w:r w:rsidRPr="00BD32B3">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use of color on the survey </w:t>
      </w:r>
      <w:r w:rsidR="00050079">
        <w:rPr>
          <w:rFonts w:ascii="Times New Roman" w:eastAsia="Times New Roman" w:hAnsi="Times New Roman" w:cs="Times New Roman"/>
          <w:sz w:val="24"/>
          <w:szCs w:val="24"/>
        </w:rPr>
        <w:t>c</w:t>
      </w:r>
      <w:r w:rsidR="00996A77">
        <w:rPr>
          <w:rFonts w:ascii="Times New Roman" w:eastAsia="Times New Roman" w:hAnsi="Times New Roman" w:cs="Times New Roman"/>
          <w:sz w:val="24"/>
          <w:szCs w:val="24"/>
        </w:rPr>
        <w:t>orrespondence</w:t>
      </w:r>
      <w:r>
        <w:rPr>
          <w:rFonts w:ascii="Times New Roman" w:eastAsia="Times New Roman" w:hAnsi="Times New Roman" w:cs="Times New Roman"/>
          <w:sz w:val="24"/>
          <w:szCs w:val="24"/>
        </w:rPr>
        <w:t>.</w:t>
      </w:r>
      <w:r w:rsidRPr="00BD32B3">
        <w:rPr>
          <w:rFonts w:ascii="Times New Roman" w:eastAsia="Times New Roman" w:hAnsi="Times New Roman" w:cs="Times New Roman"/>
          <w:sz w:val="24"/>
          <w:szCs w:val="24"/>
        </w:rPr>
        <w:t xml:space="preserve"> One said: “I like the lettering. I think it’s very well done. I like the </w:t>
      </w:r>
      <w:r w:rsidR="00996A77">
        <w:rPr>
          <w:rFonts w:ascii="Times New Roman" w:eastAsia="Times New Roman" w:hAnsi="Times New Roman" w:cs="Times New Roman"/>
          <w:sz w:val="24"/>
          <w:szCs w:val="24"/>
        </w:rPr>
        <w:t>[bolded]</w:t>
      </w:r>
      <w:r w:rsidR="00996A77" w:rsidRPr="00BD32B3">
        <w:rPr>
          <w:rFonts w:ascii="Times New Roman" w:eastAsia="Times New Roman" w:hAnsi="Times New Roman" w:cs="Times New Roman"/>
          <w:sz w:val="24"/>
          <w:szCs w:val="24"/>
        </w:rPr>
        <w:t xml:space="preserve"> </w:t>
      </w:r>
      <w:r w:rsidRPr="00BD32B3">
        <w:rPr>
          <w:rFonts w:ascii="Times New Roman" w:eastAsia="Times New Roman" w:hAnsi="Times New Roman" w:cs="Times New Roman"/>
          <w:sz w:val="24"/>
          <w:szCs w:val="24"/>
        </w:rPr>
        <w:t>blue. That pulls you to the center.” Another added: “I think the appearance is great. I actually think the bol</w:t>
      </w:r>
      <w:r w:rsidR="00050079" w:rsidRPr="00BD32B3">
        <w:rPr>
          <w:rFonts w:ascii="Times New Roman" w:eastAsia="Times New Roman" w:hAnsi="Times New Roman" w:cs="Times New Roman"/>
          <w:sz w:val="24"/>
          <w:szCs w:val="24"/>
        </w:rPr>
        <w:t>d part is catchy and helpful.”</w:t>
      </w:r>
    </w:p>
    <w:p w14:paraId="2D43F6DB" w14:textId="7B7B2701" w:rsidR="002E0EAA" w:rsidRDefault="00050079" w:rsidP="00BD32B3">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Pretesters </w:t>
      </w:r>
      <w:r w:rsidR="003841ED">
        <w:rPr>
          <w:rFonts w:ascii="Times New Roman" w:eastAsia="Times New Roman" w:hAnsi="Times New Roman" w:cs="Times New Roman"/>
          <w:sz w:val="24"/>
          <w:szCs w:val="24"/>
        </w:rPr>
        <w:t>wanted to know how they were selected for the survey</w:t>
      </w:r>
      <w:r w:rsidR="0048055E">
        <w:rPr>
          <w:rFonts w:ascii="Times New Roman" w:eastAsia="Times New Roman" w:hAnsi="Times New Roman" w:cs="Times New Roman"/>
          <w:sz w:val="24"/>
          <w:szCs w:val="24"/>
        </w:rPr>
        <w:t xml:space="preserve">. </w:t>
      </w:r>
      <w:r w:rsidR="002E0EAA" w:rsidRPr="00BD32B3">
        <w:rPr>
          <w:rFonts w:ascii="Times New Roman" w:eastAsia="Times New Roman" w:hAnsi="Times New Roman" w:cs="Times New Roman"/>
          <w:sz w:val="24"/>
          <w:szCs w:val="24"/>
        </w:rPr>
        <w:t xml:space="preserve">Basic information on how licensed anglers </w:t>
      </w:r>
      <w:r w:rsidR="0048055E">
        <w:rPr>
          <w:rFonts w:ascii="Times New Roman" w:eastAsia="Times New Roman" w:hAnsi="Times New Roman" w:cs="Times New Roman"/>
          <w:sz w:val="24"/>
          <w:szCs w:val="24"/>
        </w:rPr>
        <w:t>are</w:t>
      </w:r>
      <w:r w:rsidR="002E0EAA" w:rsidRPr="00BD32B3">
        <w:rPr>
          <w:rFonts w:ascii="Times New Roman" w:eastAsia="Times New Roman" w:hAnsi="Times New Roman" w:cs="Times New Roman"/>
          <w:sz w:val="24"/>
          <w:szCs w:val="24"/>
        </w:rPr>
        <w:t xml:space="preserve"> </w:t>
      </w:r>
      <w:r w:rsidR="007D2E01">
        <w:rPr>
          <w:rFonts w:ascii="Times New Roman" w:eastAsia="Times New Roman" w:hAnsi="Times New Roman" w:cs="Times New Roman"/>
          <w:sz w:val="24"/>
          <w:szCs w:val="24"/>
        </w:rPr>
        <w:t xml:space="preserve">randomly </w:t>
      </w:r>
      <w:r w:rsidR="0048055E">
        <w:rPr>
          <w:rFonts w:ascii="Times New Roman" w:eastAsia="Times New Roman" w:hAnsi="Times New Roman" w:cs="Times New Roman"/>
          <w:sz w:val="24"/>
          <w:szCs w:val="24"/>
        </w:rPr>
        <w:t>sampled</w:t>
      </w:r>
      <w:r w:rsidR="002E0EAA" w:rsidRPr="00BD32B3">
        <w:rPr>
          <w:rFonts w:ascii="Times New Roman" w:eastAsia="Times New Roman" w:hAnsi="Times New Roman" w:cs="Times New Roman"/>
          <w:sz w:val="24"/>
          <w:szCs w:val="24"/>
        </w:rPr>
        <w:t xml:space="preserve"> was added to the letters and postcards, including “We are contacting a random sample of licensed anglers.” </w:t>
      </w:r>
      <w:r w:rsidR="00A77748" w:rsidRPr="00BD32B3">
        <w:rPr>
          <w:rFonts w:ascii="Times New Roman" w:eastAsia="Times New Roman" w:hAnsi="Times New Roman" w:cs="Times New Roman"/>
          <w:sz w:val="24"/>
          <w:szCs w:val="24"/>
        </w:rPr>
        <w:t>and “</w:t>
      </w:r>
      <w:r w:rsidR="002E0EAA" w:rsidRPr="00BD32B3">
        <w:rPr>
          <w:rFonts w:ascii="Times New Roman" w:eastAsia="Times New Roman" w:hAnsi="Times New Roman" w:cs="Times New Roman"/>
          <w:sz w:val="24"/>
          <w:szCs w:val="24"/>
        </w:rPr>
        <w:t>You are one of only a small number of licensed anglers that have been selected to help in this study”.</w:t>
      </w:r>
    </w:p>
    <w:p w14:paraId="5AD81241" w14:textId="7231EF45" w:rsidR="00996A77" w:rsidRPr="00BD32B3" w:rsidRDefault="002E0EAA" w:rsidP="00BD32B3">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D32B3">
        <w:rPr>
          <w:rFonts w:ascii="Times New Roman" w:eastAsia="Times New Roman" w:hAnsi="Times New Roman" w:cs="Times New Roman"/>
          <w:sz w:val="24"/>
          <w:szCs w:val="24"/>
        </w:rPr>
        <w:t>All pretesters agreed that they liked the font, layout structure, and colors</w:t>
      </w:r>
      <w:r w:rsidR="00996A77">
        <w:rPr>
          <w:rFonts w:ascii="Times New Roman" w:eastAsia="Times New Roman" w:hAnsi="Times New Roman" w:cs="Times New Roman"/>
          <w:sz w:val="24"/>
          <w:szCs w:val="24"/>
        </w:rPr>
        <w:t xml:space="preserve"> of the questionnaire</w:t>
      </w:r>
      <w:r w:rsidRPr="00BD32B3">
        <w:rPr>
          <w:rFonts w:ascii="Times New Roman" w:eastAsia="Times New Roman" w:hAnsi="Times New Roman" w:cs="Times New Roman"/>
          <w:sz w:val="24"/>
          <w:szCs w:val="24"/>
        </w:rPr>
        <w:t>.</w:t>
      </w:r>
      <w:r w:rsidR="003841ED">
        <w:rPr>
          <w:rFonts w:ascii="Times New Roman" w:eastAsia="Times New Roman" w:hAnsi="Times New Roman" w:cs="Times New Roman"/>
          <w:sz w:val="24"/>
          <w:szCs w:val="24"/>
        </w:rPr>
        <w:t xml:space="preserve"> All questions were answered. None were left blank.</w:t>
      </w:r>
    </w:p>
    <w:p w14:paraId="2934B0F8" w14:textId="7B9A184F" w:rsidR="00996A77" w:rsidRDefault="002E0EAA" w:rsidP="00BD32B3">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D32B3">
        <w:rPr>
          <w:rFonts w:ascii="Times New Roman" w:eastAsia="Times New Roman" w:hAnsi="Times New Roman" w:cs="Times New Roman"/>
          <w:sz w:val="24"/>
          <w:szCs w:val="24"/>
        </w:rPr>
        <w:t xml:space="preserve">The photos on the front cover page </w:t>
      </w:r>
      <w:r w:rsidR="003841ED">
        <w:rPr>
          <w:rFonts w:ascii="Times New Roman" w:eastAsia="Times New Roman" w:hAnsi="Times New Roman" w:cs="Times New Roman"/>
          <w:sz w:val="24"/>
          <w:szCs w:val="24"/>
        </w:rPr>
        <w:t xml:space="preserve">should </w:t>
      </w:r>
      <w:r w:rsidRPr="00BD32B3">
        <w:rPr>
          <w:rFonts w:ascii="Times New Roman" w:eastAsia="Times New Roman" w:hAnsi="Times New Roman" w:cs="Times New Roman"/>
          <w:sz w:val="24"/>
          <w:szCs w:val="24"/>
        </w:rPr>
        <w:t>portray diversity in angler age, gender, and race or ethnicity.</w:t>
      </w:r>
    </w:p>
    <w:p w14:paraId="6D97578C" w14:textId="2327D262" w:rsidR="00A77748" w:rsidRDefault="002E0EAA" w:rsidP="00BD32B3">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D32B3">
        <w:rPr>
          <w:rFonts w:ascii="Times New Roman" w:eastAsia="Times New Roman" w:hAnsi="Times New Roman" w:cs="Times New Roman"/>
          <w:sz w:val="24"/>
          <w:szCs w:val="24"/>
        </w:rPr>
        <w:t xml:space="preserve">Several </w:t>
      </w:r>
      <w:r w:rsidR="007D2E01">
        <w:rPr>
          <w:rFonts w:ascii="Times New Roman" w:eastAsia="Times New Roman" w:hAnsi="Times New Roman" w:cs="Times New Roman"/>
          <w:sz w:val="24"/>
          <w:szCs w:val="24"/>
        </w:rPr>
        <w:t>pretesters</w:t>
      </w:r>
      <w:r w:rsidRPr="00BD32B3">
        <w:rPr>
          <w:rFonts w:ascii="Times New Roman" w:eastAsia="Times New Roman" w:hAnsi="Times New Roman" w:cs="Times New Roman"/>
          <w:sz w:val="24"/>
          <w:szCs w:val="24"/>
        </w:rPr>
        <w:t xml:space="preserve"> conflated fishery management and enforcement. Fishery managers establish fishing regulations to adhere to scientifically established catch limits and are not fishery enforcement agents or natural resources police. “Fisheries managers” is now defined in the introduction of Section 2.</w:t>
      </w:r>
    </w:p>
    <w:p w14:paraId="67A7268A" w14:textId="7C8321EB" w:rsidR="002E0EAA" w:rsidRDefault="002E0EAA" w:rsidP="00BD32B3">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D32B3">
        <w:rPr>
          <w:rFonts w:ascii="Times New Roman" w:eastAsia="Times New Roman" w:hAnsi="Times New Roman" w:cs="Times New Roman"/>
          <w:sz w:val="24"/>
          <w:szCs w:val="24"/>
        </w:rPr>
        <w:t xml:space="preserve">The </w:t>
      </w:r>
      <w:r w:rsidR="007D2E01">
        <w:rPr>
          <w:rFonts w:ascii="Times New Roman" w:eastAsia="Times New Roman" w:hAnsi="Times New Roman" w:cs="Times New Roman"/>
          <w:sz w:val="24"/>
          <w:szCs w:val="24"/>
        </w:rPr>
        <w:t xml:space="preserve">pretesters agreed the </w:t>
      </w:r>
      <w:r w:rsidRPr="00BD32B3">
        <w:rPr>
          <w:rFonts w:ascii="Times New Roman" w:eastAsia="Times New Roman" w:hAnsi="Times New Roman" w:cs="Times New Roman"/>
          <w:sz w:val="24"/>
          <w:szCs w:val="24"/>
        </w:rPr>
        <w:t xml:space="preserve">length (i.e. duration) of the survey </w:t>
      </w:r>
      <w:r w:rsidR="00A77748">
        <w:rPr>
          <w:rFonts w:ascii="Times New Roman" w:eastAsia="Times New Roman" w:hAnsi="Times New Roman" w:cs="Times New Roman"/>
          <w:sz w:val="24"/>
          <w:szCs w:val="24"/>
        </w:rPr>
        <w:t>was</w:t>
      </w:r>
      <w:r w:rsidRPr="00BD32B3">
        <w:rPr>
          <w:rFonts w:ascii="Times New Roman" w:eastAsia="Times New Roman" w:hAnsi="Times New Roman" w:cs="Times New Roman"/>
          <w:sz w:val="24"/>
          <w:szCs w:val="24"/>
        </w:rPr>
        <w:t xml:space="preserve"> reasonable. On average, the pretest subjects took 11.6 minutes to complete the draft questionnaire, with a standard deviation of 3.4 minutes. The median completion time was 11 minutes. The person who completed the draft questionnaire in the shortest amount of time took 8 minutes, and the person who took the longest completed the questionnaire in 18 minutes. No questions are </w:t>
      </w:r>
      <w:r w:rsidR="00A77748">
        <w:rPr>
          <w:rFonts w:ascii="Times New Roman" w:eastAsia="Times New Roman" w:hAnsi="Times New Roman" w:cs="Times New Roman"/>
          <w:sz w:val="24"/>
          <w:szCs w:val="24"/>
        </w:rPr>
        <w:t xml:space="preserve">deemed </w:t>
      </w:r>
      <w:r w:rsidR="007D2E01">
        <w:rPr>
          <w:rFonts w:ascii="Times New Roman" w:eastAsia="Times New Roman" w:hAnsi="Times New Roman" w:cs="Times New Roman"/>
          <w:sz w:val="24"/>
          <w:szCs w:val="24"/>
        </w:rPr>
        <w:t>redundant or unnecessary.</w:t>
      </w:r>
    </w:p>
    <w:p w14:paraId="4DB92E6E" w14:textId="77777777" w:rsidR="007D2E01" w:rsidRPr="00BD32B3" w:rsidRDefault="007D2E01" w:rsidP="007D2E0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imes New Roman" w:hAnsi="Times New Roman" w:cs="Times New Roman"/>
          <w:sz w:val="24"/>
          <w:szCs w:val="24"/>
        </w:rPr>
      </w:pPr>
    </w:p>
    <w:p w14:paraId="712B8900" w14:textId="46A1CC31" w:rsidR="002E0EAA" w:rsidRPr="000A70AD" w:rsidRDefault="000C2A88"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Comments on specific questions</w:t>
      </w:r>
      <w:r w:rsidR="00B04E04" w:rsidRPr="000A70AD">
        <w:rPr>
          <w:rFonts w:ascii="Times New Roman" w:eastAsia="Times New Roman" w:hAnsi="Times New Roman" w:cs="Times New Roman"/>
          <w:sz w:val="24"/>
          <w:szCs w:val="24"/>
          <w:u w:val="single"/>
        </w:rPr>
        <w:t>:</w:t>
      </w:r>
    </w:p>
    <w:p w14:paraId="2E33BAF0" w14:textId="77777777" w:rsidR="002E0EAA" w:rsidRPr="002E0EAA" w:rsidRDefault="002E0EAA" w:rsidP="002E0E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11975F6F"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92343">
        <w:rPr>
          <w:rFonts w:ascii="Times New Roman" w:eastAsia="Times New Roman" w:hAnsi="Times New Roman" w:cs="Times New Roman"/>
          <w:sz w:val="24"/>
          <w:szCs w:val="24"/>
          <w:u w:val="single"/>
        </w:rPr>
        <w:t>Question 2:</w:t>
      </w:r>
      <w:r w:rsidRPr="002E0EAA">
        <w:rPr>
          <w:rFonts w:ascii="Times New Roman" w:eastAsia="Times New Roman" w:hAnsi="Times New Roman" w:cs="Times New Roman"/>
          <w:sz w:val="24"/>
          <w:szCs w:val="24"/>
        </w:rPr>
        <w:t xml:space="preserve"> Consider either providing definitions of “state” and “federal” waters, or adjusting the terminology to more common terms like “in/near-shore” and “off-shore.”</w:t>
      </w:r>
    </w:p>
    <w:p w14:paraId="47F59914" w14:textId="0BDA3971" w:rsidR="002E0EAA" w:rsidRPr="002E0EAA" w:rsidRDefault="00792343"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Response</w:t>
      </w:r>
      <w:r w:rsidR="002E0EAA" w:rsidRPr="00792343">
        <w:rPr>
          <w:rFonts w:ascii="Times New Roman" w:eastAsia="Times New Roman" w:hAnsi="Times New Roman" w:cs="Times New Roman"/>
          <w:sz w:val="24"/>
          <w:szCs w:val="24"/>
          <w:u w:val="single"/>
        </w:rPr>
        <w:t>:</w:t>
      </w:r>
      <w:r w:rsidR="002E0EAA" w:rsidRPr="002E0EAA">
        <w:rPr>
          <w:rFonts w:ascii="Times New Roman" w:eastAsia="Times New Roman" w:hAnsi="Times New Roman" w:cs="Times New Roman"/>
          <w:sz w:val="24"/>
          <w:szCs w:val="24"/>
        </w:rPr>
        <w:t xml:space="preserve"> The question is asked to determine if respondents know if they fish in state and/or federal waters. As an alternative, respondents may select “I am unsure whether I fish in state or federal waters” as an option. </w:t>
      </w:r>
    </w:p>
    <w:p w14:paraId="33FE7693"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4417A4DE"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92343">
        <w:rPr>
          <w:rFonts w:ascii="Times New Roman" w:eastAsia="Times New Roman" w:hAnsi="Times New Roman" w:cs="Times New Roman"/>
          <w:sz w:val="24"/>
          <w:szCs w:val="24"/>
          <w:u w:val="single"/>
        </w:rPr>
        <w:t>Question 4:</w:t>
      </w:r>
      <w:r w:rsidRPr="002E0EAA">
        <w:rPr>
          <w:rFonts w:ascii="Times New Roman" w:eastAsia="Times New Roman" w:hAnsi="Times New Roman" w:cs="Times New Roman"/>
          <w:sz w:val="24"/>
          <w:szCs w:val="24"/>
        </w:rPr>
        <w:t xml:space="preserve"> Consider either changing the response categories to “Yes/No” or adjusting the scale to measure frequency, such as in question 3.</w:t>
      </w:r>
    </w:p>
    <w:p w14:paraId="37382070" w14:textId="45A40156" w:rsidR="002E0EAA" w:rsidRPr="002E0EAA" w:rsidRDefault="000C2A88"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Response</w:t>
      </w:r>
      <w:r w:rsidR="002E0EAA" w:rsidRPr="00792343">
        <w:rPr>
          <w:rFonts w:ascii="Times New Roman" w:eastAsia="Times New Roman" w:hAnsi="Times New Roman" w:cs="Times New Roman"/>
          <w:sz w:val="24"/>
          <w:szCs w:val="24"/>
          <w:u w:val="single"/>
        </w:rPr>
        <w:t>:</w:t>
      </w:r>
      <w:r w:rsidR="002E0EAA" w:rsidRPr="002E0EAA">
        <w:rPr>
          <w:rFonts w:ascii="Times New Roman" w:eastAsia="Times New Roman" w:hAnsi="Times New Roman" w:cs="Times New Roman"/>
          <w:sz w:val="24"/>
          <w:szCs w:val="24"/>
        </w:rPr>
        <w:t xml:space="preserve"> The question was changed to “There are many different reasons people choose to go saltwater recreational fishing. How important are each of the following reasons to you?” and the scale of responses was adjusted to measure </w:t>
      </w:r>
      <w:r w:rsidR="00B04E04">
        <w:rPr>
          <w:rFonts w:ascii="Times New Roman" w:eastAsia="Times New Roman" w:hAnsi="Times New Roman" w:cs="Times New Roman"/>
          <w:sz w:val="24"/>
          <w:szCs w:val="24"/>
        </w:rPr>
        <w:t xml:space="preserve">importance as in </w:t>
      </w:r>
      <w:r w:rsidR="002E0EAA" w:rsidRPr="002E0EAA">
        <w:rPr>
          <w:rFonts w:ascii="Times New Roman" w:eastAsia="Times New Roman" w:hAnsi="Times New Roman" w:cs="Times New Roman"/>
          <w:sz w:val="24"/>
          <w:szCs w:val="24"/>
        </w:rPr>
        <w:t xml:space="preserve">Sutton </w:t>
      </w:r>
      <w:r w:rsidR="00B04E04">
        <w:rPr>
          <w:rFonts w:ascii="Times New Roman" w:eastAsia="Times New Roman" w:hAnsi="Times New Roman" w:cs="Times New Roman"/>
          <w:sz w:val="24"/>
          <w:szCs w:val="24"/>
        </w:rPr>
        <w:t>(</w:t>
      </w:r>
      <w:r w:rsidR="002E0EAA" w:rsidRPr="002E0EAA">
        <w:rPr>
          <w:rFonts w:ascii="Times New Roman" w:eastAsia="Times New Roman" w:hAnsi="Times New Roman" w:cs="Times New Roman"/>
          <w:sz w:val="24"/>
          <w:szCs w:val="24"/>
        </w:rPr>
        <w:t>2007</w:t>
      </w:r>
      <w:r w:rsidR="00B04E04">
        <w:rPr>
          <w:rFonts w:ascii="Times New Roman" w:eastAsia="Times New Roman" w:hAnsi="Times New Roman" w:cs="Times New Roman"/>
          <w:sz w:val="24"/>
          <w:szCs w:val="24"/>
        </w:rPr>
        <w:t>)</w:t>
      </w:r>
      <w:r w:rsidR="002E0EAA" w:rsidRPr="002E0EAA">
        <w:rPr>
          <w:rFonts w:ascii="Times New Roman" w:eastAsia="Times New Roman" w:hAnsi="Times New Roman" w:cs="Times New Roman"/>
          <w:sz w:val="24"/>
          <w:szCs w:val="24"/>
        </w:rPr>
        <w:t>.</w:t>
      </w:r>
    </w:p>
    <w:p w14:paraId="7F41406D"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05518A57" w14:textId="16C63C60"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92343">
        <w:rPr>
          <w:rFonts w:ascii="Times New Roman" w:eastAsia="Times New Roman" w:hAnsi="Times New Roman" w:cs="Times New Roman"/>
          <w:sz w:val="24"/>
          <w:szCs w:val="24"/>
          <w:u w:val="single"/>
        </w:rPr>
        <w:t>Question 6:</w:t>
      </w:r>
      <w:r w:rsidRPr="002E0EAA">
        <w:rPr>
          <w:rFonts w:ascii="Times New Roman" w:eastAsia="Times New Roman" w:hAnsi="Times New Roman" w:cs="Times New Roman"/>
          <w:sz w:val="24"/>
          <w:szCs w:val="24"/>
        </w:rPr>
        <w:t xml:space="preserve"> Note that when the question format shifts to “Yes/No” responses, these are presented in the opposite direction of other response sections</w:t>
      </w:r>
      <w:r w:rsidR="00B04E04">
        <w:rPr>
          <w:rFonts w:ascii="Times New Roman" w:eastAsia="Times New Roman" w:hAnsi="Times New Roman" w:cs="Times New Roman"/>
          <w:sz w:val="24"/>
          <w:szCs w:val="24"/>
        </w:rPr>
        <w:t xml:space="preserve"> (which are </w:t>
      </w:r>
      <w:r w:rsidR="000C2A88">
        <w:rPr>
          <w:rFonts w:ascii="Times New Roman" w:eastAsia="Times New Roman" w:hAnsi="Times New Roman" w:cs="Times New Roman"/>
          <w:sz w:val="24"/>
          <w:szCs w:val="24"/>
        </w:rPr>
        <w:t>“</w:t>
      </w:r>
      <w:r w:rsidR="00B04E04">
        <w:rPr>
          <w:rFonts w:ascii="Times New Roman" w:eastAsia="Times New Roman" w:hAnsi="Times New Roman" w:cs="Times New Roman"/>
          <w:sz w:val="24"/>
          <w:szCs w:val="24"/>
        </w:rPr>
        <w:t>disagree</w:t>
      </w:r>
      <w:r w:rsidR="000C2A88">
        <w:rPr>
          <w:rFonts w:ascii="Times New Roman" w:eastAsia="Times New Roman" w:hAnsi="Times New Roman" w:cs="Times New Roman"/>
          <w:sz w:val="24"/>
          <w:szCs w:val="24"/>
        </w:rPr>
        <w:t>”</w:t>
      </w:r>
      <w:r w:rsidR="00B04E04">
        <w:rPr>
          <w:rFonts w:ascii="Times New Roman" w:eastAsia="Times New Roman" w:hAnsi="Times New Roman" w:cs="Times New Roman"/>
          <w:sz w:val="24"/>
          <w:szCs w:val="24"/>
        </w:rPr>
        <w:t xml:space="preserve"> to </w:t>
      </w:r>
      <w:r w:rsidR="000C2A88">
        <w:rPr>
          <w:rFonts w:ascii="Times New Roman" w:eastAsia="Times New Roman" w:hAnsi="Times New Roman" w:cs="Times New Roman"/>
          <w:sz w:val="24"/>
          <w:szCs w:val="24"/>
        </w:rPr>
        <w:t>“</w:t>
      </w:r>
      <w:r w:rsidR="00B04E04">
        <w:rPr>
          <w:rFonts w:ascii="Times New Roman" w:eastAsia="Times New Roman" w:hAnsi="Times New Roman" w:cs="Times New Roman"/>
          <w:sz w:val="24"/>
          <w:szCs w:val="24"/>
        </w:rPr>
        <w:t>agree</w:t>
      </w:r>
      <w:r w:rsidR="000C2A88">
        <w:rPr>
          <w:rFonts w:ascii="Times New Roman" w:eastAsia="Times New Roman" w:hAnsi="Times New Roman" w:cs="Times New Roman"/>
          <w:sz w:val="24"/>
          <w:szCs w:val="24"/>
        </w:rPr>
        <w:t>”</w:t>
      </w:r>
      <w:r w:rsidR="00B04E04">
        <w:rPr>
          <w:rFonts w:ascii="Times New Roman" w:eastAsia="Times New Roman" w:hAnsi="Times New Roman" w:cs="Times New Roman"/>
          <w:sz w:val="24"/>
          <w:szCs w:val="24"/>
        </w:rPr>
        <w:t>).</w:t>
      </w:r>
    </w:p>
    <w:p w14:paraId="25B5355D" w14:textId="0D78DF96" w:rsidR="002E0EAA" w:rsidRPr="002E0EAA" w:rsidRDefault="000C2A88"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Response</w:t>
      </w:r>
      <w:r w:rsidR="002E0EAA" w:rsidRPr="00792343">
        <w:rPr>
          <w:rFonts w:ascii="Times New Roman" w:eastAsia="Times New Roman" w:hAnsi="Times New Roman" w:cs="Times New Roman"/>
          <w:sz w:val="24"/>
          <w:szCs w:val="24"/>
          <w:u w:val="single"/>
        </w:rPr>
        <w:t>:</w:t>
      </w:r>
      <w:r w:rsidR="002E0EAA" w:rsidRPr="002E0EAA">
        <w:rPr>
          <w:rFonts w:ascii="Times New Roman" w:eastAsia="Times New Roman" w:hAnsi="Times New Roman" w:cs="Times New Roman"/>
          <w:sz w:val="24"/>
          <w:szCs w:val="24"/>
        </w:rPr>
        <w:t xml:space="preserve"> The orientation of “Yes/No” should not affect response rates or validity. The order of the response “Yes/No” is consistent with other Yes/No” response questions. Given the timeframe of the question (3 years), it is reasonable to expect respondents will be capable of answering the question “Yes” or “No”. </w:t>
      </w:r>
      <w:r w:rsidR="00BE79BF">
        <w:rPr>
          <w:rFonts w:ascii="Times New Roman" w:eastAsia="Times New Roman" w:hAnsi="Times New Roman" w:cs="Times New Roman"/>
          <w:sz w:val="24"/>
          <w:szCs w:val="24"/>
        </w:rPr>
        <w:t xml:space="preserve">All pretesters answered the question without difficulty. </w:t>
      </w:r>
      <w:r w:rsidR="002E0EAA" w:rsidRPr="002E0EAA">
        <w:rPr>
          <w:rFonts w:ascii="Times New Roman" w:eastAsia="Times New Roman" w:hAnsi="Times New Roman" w:cs="Times New Roman"/>
          <w:sz w:val="24"/>
          <w:szCs w:val="24"/>
        </w:rPr>
        <w:t>The response category for “don’t know” was omitted.</w:t>
      </w:r>
    </w:p>
    <w:p w14:paraId="33CCFF03"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5A5FE1D7" w14:textId="0E9B669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792343">
        <w:rPr>
          <w:rFonts w:ascii="Times New Roman" w:eastAsia="Times New Roman" w:hAnsi="Times New Roman" w:cs="Times New Roman"/>
          <w:sz w:val="24"/>
          <w:szCs w:val="24"/>
          <w:u w:val="single"/>
        </w:rPr>
        <w:t>Question 7:</w:t>
      </w:r>
      <w:r w:rsidRPr="002E0EAA">
        <w:rPr>
          <w:rFonts w:ascii="Times New Roman" w:eastAsia="Times New Roman" w:hAnsi="Times New Roman" w:cs="Times New Roman"/>
          <w:sz w:val="24"/>
          <w:szCs w:val="24"/>
        </w:rPr>
        <w:t xml:space="preserve"> Consider de</w:t>
      </w:r>
      <w:r w:rsidR="000C2A88">
        <w:rPr>
          <w:rFonts w:ascii="Times New Roman" w:eastAsia="Times New Roman" w:hAnsi="Times New Roman" w:cs="Times New Roman"/>
          <w:sz w:val="24"/>
          <w:szCs w:val="24"/>
        </w:rPr>
        <w:t xml:space="preserve">fining “fishery manager,” </w:t>
      </w:r>
      <w:r w:rsidR="00C5322F">
        <w:rPr>
          <w:rFonts w:ascii="Times New Roman" w:eastAsia="Times New Roman" w:hAnsi="Times New Roman" w:cs="Times New Roman"/>
          <w:sz w:val="24"/>
          <w:szCs w:val="24"/>
        </w:rPr>
        <w:t>and add a “don’t know” option.</w:t>
      </w:r>
    </w:p>
    <w:p w14:paraId="126617E6" w14:textId="77777777" w:rsidR="00C5322F" w:rsidRDefault="00C5322F" w:rsidP="00A76A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Response</w:t>
      </w:r>
      <w:r w:rsidR="002E0EAA" w:rsidRPr="00792343">
        <w:rPr>
          <w:rFonts w:ascii="Times New Roman" w:eastAsia="Times New Roman" w:hAnsi="Times New Roman" w:cs="Times New Roman"/>
          <w:sz w:val="24"/>
          <w:szCs w:val="24"/>
          <w:u w:val="single"/>
        </w:rPr>
        <w:t>:</w:t>
      </w:r>
      <w:r w:rsidR="002E0EAA" w:rsidRPr="002E0EAA">
        <w:rPr>
          <w:rFonts w:ascii="Times New Roman" w:eastAsia="Times New Roman" w:hAnsi="Times New Roman" w:cs="Times New Roman"/>
          <w:sz w:val="24"/>
          <w:szCs w:val="24"/>
        </w:rPr>
        <w:t xml:space="preserve"> The introduction to Section 2 was revised to </w:t>
      </w:r>
      <w:r w:rsidR="00A76ACF">
        <w:rPr>
          <w:rFonts w:ascii="Times New Roman" w:eastAsia="Times New Roman" w:hAnsi="Times New Roman" w:cs="Times New Roman"/>
          <w:sz w:val="24"/>
          <w:szCs w:val="24"/>
        </w:rPr>
        <w:t>“</w:t>
      </w:r>
      <w:r w:rsidR="00A76ACF" w:rsidRPr="00A76ACF">
        <w:rPr>
          <w:rFonts w:ascii="Times New Roman" w:eastAsia="Times New Roman" w:hAnsi="Times New Roman" w:cs="Times New Roman"/>
          <w:sz w:val="24"/>
          <w:szCs w:val="24"/>
        </w:rPr>
        <w:t>In this section, we ask about your understanding and opinions on saltwater recreational fisheries management and data collection. Fisheries</w:t>
      </w:r>
      <w:r w:rsidR="00A76ACF">
        <w:rPr>
          <w:rFonts w:ascii="Times New Roman" w:eastAsia="Times New Roman" w:hAnsi="Times New Roman" w:cs="Times New Roman"/>
          <w:sz w:val="24"/>
          <w:szCs w:val="24"/>
        </w:rPr>
        <w:t xml:space="preserve"> </w:t>
      </w:r>
      <w:r w:rsidR="00A76ACF" w:rsidRPr="00A76ACF">
        <w:rPr>
          <w:rFonts w:ascii="Times New Roman" w:eastAsia="Times New Roman" w:hAnsi="Times New Roman" w:cs="Times New Roman"/>
          <w:sz w:val="24"/>
          <w:szCs w:val="24"/>
        </w:rPr>
        <w:t>managers include representatives of NOAA Fisheries, state resource and fisheries agencies, and regional fishery management councils who</w:t>
      </w:r>
      <w:r w:rsidR="00A76ACF">
        <w:rPr>
          <w:rFonts w:ascii="Times New Roman" w:eastAsia="Times New Roman" w:hAnsi="Times New Roman" w:cs="Times New Roman"/>
          <w:sz w:val="24"/>
          <w:szCs w:val="24"/>
        </w:rPr>
        <w:t xml:space="preserve"> </w:t>
      </w:r>
      <w:r w:rsidR="00A76ACF" w:rsidRPr="00A76ACF">
        <w:rPr>
          <w:rFonts w:ascii="Times New Roman" w:eastAsia="Times New Roman" w:hAnsi="Times New Roman" w:cs="Times New Roman"/>
          <w:sz w:val="24"/>
          <w:szCs w:val="24"/>
        </w:rPr>
        <w:t>establish fishing regulations to adhere to scientifically established catch limits — Fisheries managers</w:t>
      </w:r>
      <w:r w:rsidR="00A76ACF">
        <w:rPr>
          <w:rFonts w:ascii="Times New Roman" w:eastAsia="Times New Roman" w:hAnsi="Times New Roman" w:cs="Times New Roman"/>
          <w:sz w:val="24"/>
          <w:szCs w:val="24"/>
        </w:rPr>
        <w:t xml:space="preserve"> are NOT law enforcement agents”. </w:t>
      </w:r>
    </w:p>
    <w:p w14:paraId="4C26E14C" w14:textId="4EB1B47E" w:rsidR="002E0EAA" w:rsidRPr="002E0EAA" w:rsidRDefault="002E0EAA" w:rsidP="00A76A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2E0EAA">
        <w:rPr>
          <w:rFonts w:ascii="Times New Roman" w:eastAsia="Times New Roman" w:hAnsi="Times New Roman" w:cs="Times New Roman"/>
          <w:sz w:val="24"/>
          <w:szCs w:val="24"/>
        </w:rPr>
        <w:t>There is no best practice to follow for including these additional response options when middle options (neither/nor) are offered on bipolar scales (Sturgis et al. 2014).</w:t>
      </w:r>
      <w:r w:rsidR="00A76ACF">
        <w:rPr>
          <w:rFonts w:ascii="Times New Roman" w:eastAsia="Times New Roman" w:hAnsi="Times New Roman" w:cs="Times New Roman"/>
          <w:sz w:val="24"/>
          <w:szCs w:val="24"/>
        </w:rPr>
        <w:t xml:space="preserve"> The decision was made to omit a “don’t know” </w:t>
      </w:r>
      <w:r w:rsidR="00C5322F">
        <w:rPr>
          <w:rFonts w:ascii="Times New Roman" w:eastAsia="Times New Roman" w:hAnsi="Times New Roman" w:cs="Times New Roman"/>
          <w:sz w:val="24"/>
          <w:szCs w:val="24"/>
        </w:rPr>
        <w:t>option</w:t>
      </w:r>
      <w:r w:rsidR="00A76ACF">
        <w:rPr>
          <w:rFonts w:ascii="Times New Roman" w:eastAsia="Times New Roman" w:hAnsi="Times New Roman" w:cs="Times New Roman"/>
          <w:sz w:val="24"/>
          <w:szCs w:val="24"/>
        </w:rPr>
        <w:t>.</w:t>
      </w:r>
    </w:p>
    <w:p w14:paraId="0A9DF522"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138B096A" w14:textId="03B32344" w:rsidR="00AE1734" w:rsidRDefault="00A76ACF"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Question 9</w:t>
      </w:r>
      <w:r>
        <w:rPr>
          <w:rFonts w:ascii="Times New Roman" w:eastAsia="Times New Roman" w:hAnsi="Times New Roman" w:cs="Times New Roman"/>
          <w:sz w:val="24"/>
          <w:szCs w:val="24"/>
        </w:rPr>
        <w:t>:</w:t>
      </w:r>
      <w:r w:rsidR="002E0EAA" w:rsidRPr="002E0EAA">
        <w:rPr>
          <w:rFonts w:ascii="Times New Roman" w:eastAsia="Times New Roman" w:hAnsi="Times New Roman" w:cs="Times New Roman"/>
          <w:sz w:val="24"/>
          <w:szCs w:val="24"/>
        </w:rPr>
        <w:t xml:space="preserve"> </w:t>
      </w:r>
      <w:r w:rsidR="000D0D65">
        <w:rPr>
          <w:rFonts w:ascii="Times New Roman" w:eastAsia="Times New Roman" w:hAnsi="Times New Roman" w:cs="Times New Roman"/>
          <w:sz w:val="24"/>
          <w:szCs w:val="24"/>
        </w:rPr>
        <w:t>Emphasize the word “effectiveness”. Consider collapsing the question</w:t>
      </w:r>
      <w:r w:rsidR="002E0EAA" w:rsidRPr="002E0EAA">
        <w:rPr>
          <w:rFonts w:ascii="Times New Roman" w:eastAsia="Times New Roman" w:hAnsi="Times New Roman" w:cs="Times New Roman"/>
          <w:sz w:val="24"/>
          <w:szCs w:val="24"/>
        </w:rPr>
        <w:t>.</w:t>
      </w:r>
    </w:p>
    <w:p w14:paraId="6C313112" w14:textId="413827EE" w:rsidR="002E0EAA" w:rsidRPr="002E0EAA" w:rsidRDefault="00AE1734"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xml:space="preserve">: </w:t>
      </w:r>
      <w:r w:rsidR="000D0D65">
        <w:rPr>
          <w:rFonts w:ascii="Times New Roman" w:eastAsia="Times New Roman" w:hAnsi="Times New Roman" w:cs="Times New Roman"/>
          <w:sz w:val="24"/>
          <w:szCs w:val="24"/>
        </w:rPr>
        <w:t xml:space="preserve">The word “effectiveness” was underlined. </w:t>
      </w:r>
      <w:r w:rsidR="002E0EAA" w:rsidRPr="002E0EAA">
        <w:rPr>
          <w:rFonts w:ascii="Times New Roman" w:eastAsia="Times New Roman" w:hAnsi="Times New Roman" w:cs="Times New Roman"/>
          <w:sz w:val="24"/>
          <w:szCs w:val="24"/>
        </w:rPr>
        <w:t>The items were not collapsed so results will remain comparable wi</w:t>
      </w:r>
      <w:r w:rsidR="00BE79BF">
        <w:rPr>
          <w:rFonts w:ascii="Times New Roman" w:eastAsia="Times New Roman" w:hAnsi="Times New Roman" w:cs="Times New Roman"/>
          <w:sz w:val="24"/>
          <w:szCs w:val="24"/>
        </w:rPr>
        <w:t>th a similar study (Vaske 2007)</w:t>
      </w:r>
      <w:r w:rsidR="002E0EAA" w:rsidRPr="002E0EAA">
        <w:rPr>
          <w:rFonts w:ascii="Times New Roman" w:eastAsia="Times New Roman" w:hAnsi="Times New Roman" w:cs="Times New Roman"/>
          <w:sz w:val="24"/>
          <w:szCs w:val="24"/>
        </w:rPr>
        <w:t>.</w:t>
      </w:r>
    </w:p>
    <w:p w14:paraId="36347D92"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1781E837" w14:textId="158A27AE" w:rsidR="002E0EAA" w:rsidRPr="002E0EAA" w:rsidRDefault="00AE1734"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Questions 12</w:t>
      </w:r>
      <w:r w:rsidR="000D0D65">
        <w:rPr>
          <w:rFonts w:ascii="Times New Roman" w:eastAsia="Times New Roman" w:hAnsi="Times New Roman" w:cs="Times New Roman"/>
          <w:sz w:val="24"/>
          <w:szCs w:val="24"/>
          <w:u w:val="single"/>
        </w:rPr>
        <w:t xml:space="preserve"> and 13</w:t>
      </w:r>
      <w:r w:rsidR="002E0EAA" w:rsidRPr="002E0EAA">
        <w:rPr>
          <w:rFonts w:ascii="Times New Roman" w:eastAsia="Times New Roman" w:hAnsi="Times New Roman" w:cs="Times New Roman"/>
          <w:sz w:val="24"/>
          <w:szCs w:val="24"/>
        </w:rPr>
        <w:t xml:space="preserve">: </w:t>
      </w:r>
      <w:r w:rsidR="000D0D65">
        <w:rPr>
          <w:rFonts w:ascii="Times New Roman" w:eastAsia="Times New Roman" w:hAnsi="Times New Roman" w:cs="Times New Roman"/>
          <w:sz w:val="24"/>
          <w:szCs w:val="24"/>
        </w:rPr>
        <w:t>Remove “creel and intercept surveys</w:t>
      </w:r>
      <w:r w:rsidR="000D0D65" w:rsidRPr="002E0EAA">
        <w:rPr>
          <w:rFonts w:ascii="Times New Roman" w:eastAsia="Times New Roman" w:hAnsi="Times New Roman" w:cs="Times New Roman"/>
          <w:sz w:val="24"/>
          <w:szCs w:val="24"/>
        </w:rPr>
        <w:t>”</w:t>
      </w:r>
      <w:r w:rsidR="000D0D65">
        <w:rPr>
          <w:rFonts w:ascii="Times New Roman" w:eastAsia="Times New Roman" w:hAnsi="Times New Roman" w:cs="Times New Roman"/>
          <w:sz w:val="24"/>
          <w:szCs w:val="24"/>
        </w:rPr>
        <w:t xml:space="preserve"> from the examples in the question.</w:t>
      </w:r>
      <w:r>
        <w:rPr>
          <w:rFonts w:ascii="Times New Roman" w:eastAsia="Times New Roman" w:hAnsi="Times New Roman" w:cs="Times New Roman"/>
          <w:sz w:val="24"/>
          <w:szCs w:val="24"/>
        </w:rPr>
        <w:t xml:space="preserve"> </w:t>
      </w:r>
      <w:r w:rsidR="000D0D65">
        <w:rPr>
          <w:rFonts w:ascii="Times New Roman" w:eastAsia="Times New Roman" w:hAnsi="Times New Roman" w:cs="Times New Roman"/>
          <w:sz w:val="24"/>
          <w:szCs w:val="24"/>
        </w:rPr>
        <w:t>Split family and friends questions, and collapse “</w:t>
      </w:r>
      <w:r w:rsidR="000D0D65" w:rsidRPr="002E0EAA">
        <w:rPr>
          <w:rFonts w:ascii="Times New Roman" w:eastAsia="Times New Roman" w:hAnsi="Times New Roman" w:cs="Times New Roman"/>
          <w:sz w:val="24"/>
          <w:szCs w:val="24"/>
        </w:rPr>
        <w:t>Recreational fishing organization meetings” to “Recreational fishing organizati</w:t>
      </w:r>
      <w:r w:rsidR="000D0D65">
        <w:rPr>
          <w:rFonts w:ascii="Times New Roman" w:eastAsia="Times New Roman" w:hAnsi="Times New Roman" w:cs="Times New Roman"/>
          <w:sz w:val="24"/>
          <w:szCs w:val="24"/>
        </w:rPr>
        <w:t>on newsletters/emails/meetings“. Differentiate questions 12 and question 13.</w:t>
      </w:r>
    </w:p>
    <w:p w14:paraId="53216423" w14:textId="77777777" w:rsidR="000D0D65" w:rsidRDefault="00AE1734"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Response</w:t>
      </w:r>
      <w:r>
        <w:rPr>
          <w:rFonts w:ascii="Times New Roman" w:eastAsia="Times New Roman" w:hAnsi="Times New Roman" w:cs="Times New Roman"/>
          <w:sz w:val="24"/>
          <w:szCs w:val="24"/>
        </w:rPr>
        <w:t xml:space="preserve">: </w:t>
      </w:r>
      <w:r w:rsidR="000D0D65">
        <w:rPr>
          <w:rFonts w:ascii="Times New Roman" w:eastAsia="Times New Roman" w:hAnsi="Times New Roman" w:cs="Times New Roman"/>
          <w:sz w:val="24"/>
          <w:szCs w:val="24"/>
        </w:rPr>
        <w:t>“creel and intercept surveys</w:t>
      </w:r>
      <w:r w:rsidR="002E0EAA" w:rsidRPr="002E0EAA">
        <w:rPr>
          <w:rFonts w:ascii="Times New Roman" w:eastAsia="Times New Roman" w:hAnsi="Times New Roman" w:cs="Times New Roman"/>
          <w:sz w:val="24"/>
          <w:szCs w:val="24"/>
        </w:rPr>
        <w:t>” was removed from question</w:t>
      </w:r>
      <w:r>
        <w:rPr>
          <w:rFonts w:ascii="Times New Roman" w:eastAsia="Times New Roman" w:hAnsi="Times New Roman" w:cs="Times New Roman"/>
          <w:sz w:val="24"/>
          <w:szCs w:val="24"/>
        </w:rPr>
        <w:t xml:space="preserve"> 12</w:t>
      </w:r>
      <w:r w:rsidR="002E0EAA" w:rsidRPr="002E0E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E0EAA" w:rsidRPr="002E0EAA">
        <w:rPr>
          <w:rFonts w:ascii="Times New Roman" w:eastAsia="Times New Roman" w:hAnsi="Times New Roman" w:cs="Times New Roman"/>
          <w:sz w:val="24"/>
          <w:szCs w:val="24"/>
        </w:rPr>
        <w:t>“Family and friends” were spli</w:t>
      </w:r>
      <w:r>
        <w:rPr>
          <w:rFonts w:ascii="Times New Roman" w:eastAsia="Times New Roman" w:hAnsi="Times New Roman" w:cs="Times New Roman"/>
          <w:sz w:val="24"/>
          <w:szCs w:val="24"/>
        </w:rPr>
        <w:t>t into two items, “Family members” and “Friends”</w:t>
      </w:r>
      <w:r w:rsidR="002E0EAA" w:rsidRPr="002E0EAA">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sidR="002E0EAA" w:rsidRPr="002E0EAA">
        <w:rPr>
          <w:rFonts w:ascii="Times New Roman" w:eastAsia="Times New Roman" w:hAnsi="Times New Roman" w:cs="Times New Roman"/>
          <w:sz w:val="24"/>
          <w:szCs w:val="24"/>
        </w:rPr>
        <w:t>Recreational fishing organization newsletters/emails“ and  “Recreational fishing organization meetings” were collapsed to “Recreational fishing organizati</w:t>
      </w:r>
      <w:r>
        <w:rPr>
          <w:rFonts w:ascii="Times New Roman" w:eastAsia="Times New Roman" w:hAnsi="Times New Roman" w:cs="Times New Roman"/>
          <w:sz w:val="24"/>
          <w:szCs w:val="24"/>
        </w:rPr>
        <w:t xml:space="preserve">on newsletters/emails/meetings“. </w:t>
      </w:r>
    </w:p>
    <w:p w14:paraId="0F637677" w14:textId="6254327A"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2E0EAA">
        <w:rPr>
          <w:rFonts w:ascii="Times New Roman" w:eastAsia="Times New Roman" w:hAnsi="Times New Roman" w:cs="Times New Roman"/>
          <w:sz w:val="24"/>
          <w:szCs w:val="24"/>
        </w:rPr>
        <w:t>“</w:t>
      </w:r>
      <w:r w:rsidR="00AE1734">
        <w:rPr>
          <w:rFonts w:ascii="Times New Roman" w:eastAsia="Times New Roman" w:hAnsi="Times New Roman" w:cs="Times New Roman"/>
          <w:sz w:val="24"/>
          <w:szCs w:val="24"/>
        </w:rPr>
        <w:t>S</w:t>
      </w:r>
      <w:r w:rsidRPr="002E0EAA">
        <w:rPr>
          <w:rFonts w:ascii="Times New Roman" w:eastAsia="Times New Roman" w:hAnsi="Times New Roman" w:cs="Times New Roman"/>
          <w:sz w:val="24"/>
          <w:szCs w:val="24"/>
        </w:rPr>
        <w:t xml:space="preserve">altwater fishing regulations and data collection issues” was underlined to differentiate question </w:t>
      </w:r>
      <w:r w:rsidR="000D0D65">
        <w:rPr>
          <w:rFonts w:ascii="Times New Roman" w:eastAsia="Times New Roman" w:hAnsi="Times New Roman" w:cs="Times New Roman"/>
          <w:sz w:val="24"/>
          <w:szCs w:val="24"/>
        </w:rPr>
        <w:t>13 from question 12.</w:t>
      </w:r>
    </w:p>
    <w:p w14:paraId="75C464E8" w14:textId="77777777" w:rsidR="002E0EAA" w:rsidRPr="002E0EAA" w:rsidRDefault="002E0EAA" w:rsidP="00B04E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p>
    <w:p w14:paraId="177FF528" w14:textId="77777777" w:rsidR="00D017CC" w:rsidRDefault="002E0EAA" w:rsidP="00D0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Questions 16-22</w:t>
      </w:r>
      <w:r w:rsidRPr="002E0EAA">
        <w:rPr>
          <w:rFonts w:ascii="Times New Roman" w:eastAsia="Times New Roman" w:hAnsi="Times New Roman" w:cs="Times New Roman"/>
          <w:sz w:val="24"/>
          <w:szCs w:val="24"/>
        </w:rPr>
        <w:t>: Consider adding a note that the respondent does not have to answer any questions that they do not wish to answer –standard IRB language which may encourage completion of the remainder of the survey, even if some demographic questions are skipped. Note: consider adding a response option of “prefer not to answer” for these questions, so that respondents do not become so discouraged that they do not reply to the remainder of the questionnaire.</w:t>
      </w:r>
    </w:p>
    <w:p w14:paraId="5946A6DC" w14:textId="78B8421B" w:rsidR="003734B1" w:rsidRPr="003734B1" w:rsidRDefault="00D017CC" w:rsidP="00D017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imes New Roman" w:hAnsi="Times New Roman" w:cs="Times New Roman"/>
          <w:sz w:val="24"/>
          <w:szCs w:val="24"/>
        </w:rPr>
      </w:pPr>
      <w:r w:rsidRPr="00E12A79">
        <w:rPr>
          <w:rFonts w:ascii="Times New Roman" w:eastAsia="Times New Roman" w:hAnsi="Times New Roman" w:cs="Times New Roman"/>
          <w:sz w:val="24"/>
          <w:szCs w:val="24"/>
          <w:u w:val="single"/>
        </w:rPr>
        <w:t>Response</w:t>
      </w:r>
      <w:r w:rsidR="002E0EAA" w:rsidRPr="002E0EAA">
        <w:rPr>
          <w:rFonts w:ascii="Times New Roman" w:eastAsia="Times New Roman" w:hAnsi="Times New Roman" w:cs="Times New Roman"/>
          <w:sz w:val="24"/>
          <w:szCs w:val="24"/>
        </w:rPr>
        <w:t xml:space="preserve">: “This survey is voluntary” is now stated in the 1st and 2nd survey package cover letters. The first sentence on the cover of the survey now states, “NOAA Fisheries is conducting this voluntary survey…”. In the description for Section 4, the words </w:t>
      </w:r>
      <w:r>
        <w:rPr>
          <w:rFonts w:ascii="Times New Roman" w:eastAsia="Times New Roman" w:hAnsi="Times New Roman" w:cs="Times New Roman"/>
          <w:sz w:val="24"/>
          <w:szCs w:val="24"/>
        </w:rPr>
        <w:t>“</w:t>
      </w:r>
      <w:r w:rsidR="002E0EAA" w:rsidRPr="002E0EAA">
        <w:rPr>
          <w:rFonts w:ascii="Times New Roman" w:eastAsia="Times New Roman" w:hAnsi="Times New Roman" w:cs="Times New Roman"/>
          <w:sz w:val="24"/>
          <w:szCs w:val="24"/>
        </w:rPr>
        <w:t>strictly confidential</w:t>
      </w:r>
      <w:r>
        <w:rPr>
          <w:rFonts w:ascii="Times New Roman" w:eastAsia="Times New Roman" w:hAnsi="Times New Roman" w:cs="Times New Roman"/>
          <w:sz w:val="24"/>
          <w:szCs w:val="24"/>
        </w:rPr>
        <w:t>”</w:t>
      </w:r>
      <w:r w:rsidR="002E0EAA" w:rsidRPr="002E0EAA">
        <w:rPr>
          <w:rFonts w:ascii="Times New Roman" w:eastAsia="Times New Roman" w:hAnsi="Times New Roman" w:cs="Times New Roman"/>
          <w:sz w:val="24"/>
          <w:szCs w:val="24"/>
        </w:rPr>
        <w:t xml:space="preserve"> are highlighted for emphasis. We considered adding a response option of “prefer not to answer” for these questions but it was determined that the nature and order of </w:t>
      </w:r>
      <w:r>
        <w:rPr>
          <w:rFonts w:ascii="Times New Roman" w:eastAsia="Times New Roman" w:hAnsi="Times New Roman" w:cs="Times New Roman"/>
          <w:sz w:val="24"/>
          <w:szCs w:val="24"/>
        </w:rPr>
        <w:t xml:space="preserve">the </w:t>
      </w:r>
      <w:r w:rsidR="002E0EAA" w:rsidRPr="002E0EAA">
        <w:rPr>
          <w:rFonts w:ascii="Times New Roman" w:eastAsia="Times New Roman" w:hAnsi="Times New Roman" w:cs="Times New Roman"/>
          <w:sz w:val="24"/>
          <w:szCs w:val="24"/>
        </w:rPr>
        <w:t xml:space="preserve">questions should not affect overall survey response rates. Respondents who prefer not </w:t>
      </w:r>
      <w:r>
        <w:rPr>
          <w:rFonts w:ascii="Times New Roman" w:eastAsia="Times New Roman" w:hAnsi="Times New Roman" w:cs="Times New Roman"/>
          <w:sz w:val="24"/>
          <w:szCs w:val="24"/>
        </w:rPr>
        <w:t xml:space="preserve">to </w:t>
      </w:r>
      <w:r w:rsidR="002E0EAA" w:rsidRPr="002E0EAA">
        <w:rPr>
          <w:rFonts w:ascii="Times New Roman" w:eastAsia="Times New Roman" w:hAnsi="Times New Roman" w:cs="Times New Roman"/>
          <w:sz w:val="24"/>
          <w:szCs w:val="24"/>
        </w:rPr>
        <w:t>answer may leave the question blank. Due to concerns of encouraging item refusal, the “prefer not to answer” option was omitted from Section 4.</w:t>
      </w:r>
    </w:p>
    <w:p w14:paraId="571B071B" w14:textId="77777777" w:rsidR="00D017CC" w:rsidRDefault="00D017CC"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067C3305" w14:textId="5CDAF5F8"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
          <w:bCs/>
          <w:sz w:val="24"/>
          <w:szCs w:val="24"/>
          <w:u w:val="single"/>
        </w:rPr>
      </w:pPr>
      <w:r w:rsidRPr="003734B1">
        <w:rPr>
          <w:rFonts w:ascii="Times New Roman" w:eastAsia="Times New Roman" w:hAnsi="Times New Roman" w:cs="Times New Roman"/>
          <w:b/>
          <w:bCs/>
          <w:sz w:val="24"/>
          <w:szCs w:val="24"/>
          <w:u w:val="single"/>
        </w:rPr>
        <w:t>5.  Provide the name and telephone number of individuals consulted on the statistical aspects of the design, and the name of the agency unit, contractor(s), grantee(s), or other person(s) who will actually collect and/or analyze the information for the agency.</w:t>
      </w:r>
    </w:p>
    <w:p w14:paraId="65BE0C46"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u w:val="single"/>
        </w:rPr>
      </w:pPr>
    </w:p>
    <w:p w14:paraId="46E9C1E1"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Statistical support was provided by the following:</w:t>
      </w:r>
    </w:p>
    <w:p w14:paraId="10BFB686"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Dr. Andrew Ropicki, Texas A&amp;M University, 361-825-6210</w:t>
      </w:r>
    </w:p>
    <w:p w14:paraId="25C9E7BB"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Dr. Stuart Carlton, Purdue University, 765-494-3726</w:t>
      </w:r>
    </w:p>
    <w:p w14:paraId="4DCBBB7D"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1BE479FD" w14:textId="77777777" w:rsidR="003734B1" w:rsidRPr="003734B1" w:rsidRDefault="003734B1" w:rsidP="003734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sectPr w:rsidR="003734B1" w:rsidRPr="003734B1" w:rsidSect="00C5322F">
          <w:footerReference w:type="default" r:id="rId8"/>
          <w:footerReference w:type="first" r:id="rId9"/>
          <w:footnotePr>
            <w:numRestart w:val="eachSect"/>
          </w:footnotePr>
          <w:endnotePr>
            <w:numFmt w:val="decimal"/>
          </w:endnotePr>
          <w:pgSz w:w="12240" w:h="15840"/>
          <w:pgMar w:top="1440" w:right="1440" w:bottom="1080" w:left="1440" w:header="720" w:footer="720" w:gutter="0"/>
          <w:cols w:space="720"/>
        </w:sectPr>
      </w:pPr>
      <w:r w:rsidRPr="003734B1">
        <w:rPr>
          <w:rFonts w:ascii="Times New Roman" w:eastAsia="Times New Roman" w:hAnsi="Times New Roman" w:cs="Times New Roman"/>
          <w:sz w:val="24"/>
          <w:szCs w:val="24"/>
        </w:rPr>
        <w:t>Adam Rettig, Survey Statistician, NOAA Fisheries Service, Office of Science and Technology, 301-427-8216 is the point-of-contact for the Agency.</w:t>
      </w:r>
    </w:p>
    <w:p w14:paraId="27288EA4"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3734B1">
        <w:rPr>
          <w:rFonts w:ascii="Times New Roman" w:eastAsia="Times New Roman" w:hAnsi="Times New Roman" w:cs="Times New Roman"/>
          <w:b/>
          <w:color w:val="000000"/>
          <w:sz w:val="24"/>
          <w:szCs w:val="24"/>
        </w:rPr>
        <w:t>References</w:t>
      </w:r>
    </w:p>
    <w:p w14:paraId="59F4F81A"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25DEE513"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Brinson, A. A., and K. Wallmo. 2013. Attitudes and Preferences of Saltwater Recreational Anglers: Report from the 2013 National Saltwater Angler Survey, Volume I. U.S. Dept. of Commer., NOAA Technical Memorandum NMFS-F/SPO-135, 45 p.</w:t>
      </w:r>
    </w:p>
    <w:p w14:paraId="7306C565"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24"/>
          <w:szCs w:val="24"/>
        </w:rPr>
      </w:pPr>
    </w:p>
    <w:p w14:paraId="65CF9612"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 xml:space="preserve">Cochran, W. 1977. </w:t>
      </w:r>
      <w:r w:rsidRPr="003734B1">
        <w:rPr>
          <w:rFonts w:ascii="Times New Roman" w:eastAsia="Times New Roman" w:hAnsi="Times New Roman" w:cs="Times New Roman"/>
          <w:i/>
          <w:iCs/>
          <w:sz w:val="24"/>
          <w:szCs w:val="24"/>
        </w:rPr>
        <w:t>Sampling Techniques</w:t>
      </w:r>
      <w:r w:rsidRPr="003734B1">
        <w:rPr>
          <w:rFonts w:ascii="Times New Roman" w:eastAsia="Times New Roman" w:hAnsi="Times New Roman" w:cs="Times New Roman"/>
          <w:sz w:val="24"/>
          <w:szCs w:val="24"/>
        </w:rPr>
        <w:t>. 3rd Edition. Toronto. John Wiley and Sons.</w:t>
      </w:r>
    </w:p>
    <w:p w14:paraId="67BD1D68"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16"/>
          <w:szCs w:val="16"/>
        </w:rPr>
      </w:pPr>
    </w:p>
    <w:p w14:paraId="5D1E1C0F"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 xml:space="preserve">Dillman, D.A., J.D. Smyth, and L.M. Christian (2009). </w:t>
      </w:r>
      <w:r w:rsidRPr="003734B1">
        <w:rPr>
          <w:rFonts w:ascii="Times New Roman" w:eastAsia="Times New Roman" w:hAnsi="Times New Roman" w:cs="Times New Roman"/>
          <w:i/>
          <w:sz w:val="24"/>
          <w:szCs w:val="24"/>
        </w:rPr>
        <w:t>Internet, Mail, and Mixed-Mode Surveys: The Tailored Design Method</w:t>
      </w:r>
      <w:r w:rsidRPr="003734B1">
        <w:rPr>
          <w:rFonts w:ascii="Times New Roman" w:eastAsia="Times New Roman" w:hAnsi="Times New Roman" w:cs="Times New Roman"/>
          <w:sz w:val="24"/>
          <w:szCs w:val="24"/>
        </w:rPr>
        <w:t>. New York: Wiley and Sons.</w:t>
      </w:r>
    </w:p>
    <w:p w14:paraId="67276043"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24"/>
          <w:szCs w:val="24"/>
        </w:rPr>
      </w:pPr>
    </w:p>
    <w:p w14:paraId="6CA4CAFF" w14:textId="77777777" w:rsidR="003734B1" w:rsidRPr="003734B1" w:rsidRDefault="003734B1" w:rsidP="003734B1">
      <w:pPr>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Lohr, S., 1998. Sampling: Design and Analysis. Duxbury Press.</w:t>
      </w:r>
    </w:p>
    <w:p w14:paraId="090C7E9E"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3F622F1E"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 xml:space="preserve">National Marine Fisheries Service. 2017. Fisheries of the United States, 2016. U.S. Department of Commerce, NOAA Current Fishery Statistics No. 2016. Available at: </w:t>
      </w:r>
      <w:hyperlink r:id="rId10" w:history="1">
        <w:r w:rsidRPr="003734B1">
          <w:rPr>
            <w:rFonts w:ascii="Times New Roman" w:eastAsia="Times New Roman" w:hAnsi="Times New Roman" w:cs="Times New Roman"/>
            <w:color w:val="0000FF"/>
            <w:sz w:val="24"/>
            <w:szCs w:val="24"/>
            <w:u w:val="single"/>
          </w:rPr>
          <w:t>https://www.fisheries.noaa.gov/feature-story/fisheries-united-states-2016</w:t>
        </w:r>
      </w:hyperlink>
      <w:r w:rsidRPr="003734B1">
        <w:rPr>
          <w:rFonts w:ascii="Times New Roman" w:eastAsia="Times New Roman" w:hAnsi="Times New Roman" w:cs="Times New Roman"/>
          <w:sz w:val="24"/>
          <w:szCs w:val="24"/>
        </w:rPr>
        <w:t>.</w:t>
      </w:r>
    </w:p>
    <w:p w14:paraId="34B662D2" w14:textId="77777777" w:rsidR="003734B1" w:rsidRP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53F9F2B9" w14:textId="7721BAB4" w:rsidR="003734B1" w:rsidRDefault="003734B1"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3734B1">
        <w:rPr>
          <w:rFonts w:ascii="Times New Roman" w:eastAsia="Times New Roman" w:hAnsi="Times New Roman" w:cs="Times New Roman"/>
          <w:sz w:val="24"/>
          <w:szCs w:val="24"/>
        </w:rPr>
        <w:t xml:space="preserve">National Marine Fisheries Service. 2018. Fisheries Economics of the United States, 2016. U.S. Department of Commerce, NOAA Tech. Memo. NMFS-F/SPO-187, 243p. Available at: </w:t>
      </w:r>
      <w:hyperlink r:id="rId11" w:history="1">
        <w:r w:rsidRPr="003734B1">
          <w:rPr>
            <w:rFonts w:ascii="Times New Roman" w:eastAsia="Times New Roman" w:hAnsi="Times New Roman" w:cs="Times New Roman"/>
            <w:color w:val="0000FF"/>
            <w:sz w:val="24"/>
            <w:szCs w:val="24"/>
            <w:u w:val="single"/>
          </w:rPr>
          <w:t>https://www.fisheries.noaa.gov/content/fisheries-economics-united-states-2016</w:t>
        </w:r>
      </w:hyperlink>
      <w:r w:rsidRPr="003734B1">
        <w:rPr>
          <w:rFonts w:ascii="Times New Roman" w:eastAsia="Times New Roman" w:hAnsi="Times New Roman" w:cs="Times New Roman"/>
          <w:sz w:val="24"/>
          <w:szCs w:val="24"/>
        </w:rPr>
        <w:t>.</w:t>
      </w:r>
    </w:p>
    <w:p w14:paraId="64048B11" w14:textId="0BF8AE49" w:rsidR="00BE79BF" w:rsidRDefault="00BE79BF"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5E42F053" w14:textId="4910A58C" w:rsidR="00BE79BF" w:rsidRDefault="00BE79BF"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BE79BF">
        <w:rPr>
          <w:rFonts w:ascii="Times New Roman" w:eastAsia="Times New Roman" w:hAnsi="Times New Roman" w:cs="Times New Roman"/>
          <w:sz w:val="24"/>
          <w:szCs w:val="24"/>
        </w:rPr>
        <w:t>Sutton, S.G., 2007. Constraints on recreational fishing participation in Queensland, Australia. Fisheries, 32(2), pp.73-83.</w:t>
      </w:r>
    </w:p>
    <w:p w14:paraId="1A8E4BC3" w14:textId="77777777" w:rsidR="00C5322F" w:rsidRPr="00C5322F" w:rsidRDefault="00C5322F" w:rsidP="00C5322F">
      <w:pPr>
        <w:widowControl w:val="0"/>
        <w:autoSpaceDE w:val="0"/>
        <w:autoSpaceDN w:val="0"/>
        <w:adjustRightInd w:val="0"/>
        <w:spacing w:after="0" w:line="240" w:lineRule="auto"/>
        <w:rPr>
          <w:rFonts w:ascii="Times New Roman" w:eastAsia="Times New Roman" w:hAnsi="Times New Roman" w:cs="Times New Roman"/>
          <w:sz w:val="24"/>
          <w:szCs w:val="24"/>
        </w:rPr>
      </w:pPr>
    </w:p>
    <w:p w14:paraId="47C90082" w14:textId="5FFD32CF" w:rsidR="00C5322F" w:rsidRPr="00C5322F" w:rsidRDefault="00C5322F" w:rsidP="00C5322F">
      <w:pPr>
        <w:widowControl w:val="0"/>
        <w:autoSpaceDE w:val="0"/>
        <w:autoSpaceDN w:val="0"/>
        <w:adjustRightInd w:val="0"/>
        <w:spacing w:after="0" w:line="240" w:lineRule="auto"/>
        <w:rPr>
          <w:rFonts w:ascii="Times New Roman" w:eastAsia="Times New Roman" w:hAnsi="Times New Roman" w:cs="Times New Roman"/>
          <w:sz w:val="24"/>
          <w:szCs w:val="24"/>
        </w:rPr>
      </w:pPr>
      <w:r w:rsidRPr="00C5322F">
        <w:rPr>
          <w:rFonts w:ascii="Times New Roman" w:eastAsia="Times New Roman" w:hAnsi="Times New Roman" w:cs="Times New Roman"/>
          <w:sz w:val="24"/>
          <w:szCs w:val="24"/>
        </w:rPr>
        <w:t>Sturgis, P., Roberts, C., &amp; Smith, P. (2014). Middle Alternatives Revisited: How the neither/nor Response Acts as a Way of Saying “I Don’t Know”? Sociological Methods &amp; Research, 43(1), 15–38.</w:t>
      </w:r>
    </w:p>
    <w:p w14:paraId="4FA99905" w14:textId="77777777" w:rsidR="00C5322F" w:rsidRDefault="00C5322F" w:rsidP="003734B1">
      <w:pPr>
        <w:widowControl w:val="0"/>
        <w:autoSpaceDE w:val="0"/>
        <w:autoSpaceDN w:val="0"/>
        <w:adjustRightInd w:val="0"/>
        <w:spacing w:after="0" w:line="240" w:lineRule="auto"/>
        <w:rPr>
          <w:rFonts w:ascii="Times New Roman" w:eastAsia="Times New Roman" w:hAnsi="Times New Roman" w:cs="Times New Roman"/>
          <w:sz w:val="24"/>
          <w:szCs w:val="24"/>
        </w:rPr>
      </w:pPr>
    </w:p>
    <w:p w14:paraId="72B7E45C" w14:textId="2A671551" w:rsidR="00A76ACF" w:rsidRPr="003734B1" w:rsidRDefault="00A76ACF" w:rsidP="003734B1">
      <w:pPr>
        <w:widowControl w:val="0"/>
        <w:autoSpaceDE w:val="0"/>
        <w:autoSpaceDN w:val="0"/>
        <w:adjustRightInd w:val="0"/>
        <w:spacing w:after="0" w:line="240" w:lineRule="auto"/>
        <w:rPr>
          <w:rFonts w:ascii="Times New Roman" w:eastAsia="Times New Roman" w:hAnsi="Times New Roman" w:cs="Times New Roman"/>
          <w:sz w:val="24"/>
          <w:szCs w:val="24"/>
        </w:rPr>
      </w:pPr>
      <w:r w:rsidRPr="00A76ACF">
        <w:rPr>
          <w:rFonts w:ascii="Times New Roman" w:eastAsia="Times New Roman" w:hAnsi="Times New Roman" w:cs="Times New Roman"/>
          <w:sz w:val="24"/>
          <w:szCs w:val="24"/>
        </w:rPr>
        <w:t>Vaske, J.J., Absher, J.D. and Bright, A.D., 2007. Salient value similarity, social trust and attitudes toward wildland fire management strategies. Human Ecology Review, pp.223-232.</w:t>
      </w:r>
    </w:p>
    <w:p w14:paraId="33BE12B9" w14:textId="77777777" w:rsidR="003734B1" w:rsidRDefault="003734B1"/>
    <w:sectPr w:rsidR="003734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19FC2" w14:textId="77777777" w:rsidR="00C5322F" w:rsidRDefault="00C5322F" w:rsidP="003734B1">
      <w:pPr>
        <w:spacing w:after="0" w:line="240" w:lineRule="auto"/>
      </w:pPr>
      <w:r>
        <w:separator/>
      </w:r>
    </w:p>
  </w:endnote>
  <w:endnote w:type="continuationSeparator" w:id="0">
    <w:p w14:paraId="7E75AF4B" w14:textId="77777777" w:rsidR="00C5322F" w:rsidRDefault="00C5322F" w:rsidP="0037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8E250" w14:textId="3718E902" w:rsidR="00C5322F" w:rsidRDefault="00C5322F">
    <w:pPr>
      <w:pStyle w:val="Footer"/>
      <w:jc w:val="center"/>
    </w:pPr>
    <w:r>
      <w:fldChar w:fldCharType="begin"/>
    </w:r>
    <w:r>
      <w:instrText xml:space="preserve"> PAGE   \* MERGEFORMAT </w:instrText>
    </w:r>
    <w:r>
      <w:fldChar w:fldCharType="separate"/>
    </w:r>
    <w:r w:rsidR="00975586">
      <w:rPr>
        <w:noProof/>
      </w:rPr>
      <w:t>1</w:t>
    </w:r>
    <w:r>
      <w:rPr>
        <w:noProof/>
      </w:rPr>
      <w:fldChar w:fldCharType="end"/>
    </w:r>
  </w:p>
  <w:p w14:paraId="3ACF1162" w14:textId="77777777" w:rsidR="00C5322F" w:rsidRDefault="00C53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0FCC8" w14:textId="77777777" w:rsidR="00C5322F" w:rsidRDefault="00C5322F">
    <w:pPr>
      <w:pStyle w:val="Footer"/>
      <w:jc w:val="center"/>
    </w:pPr>
    <w:r>
      <w:fldChar w:fldCharType="begin"/>
    </w:r>
    <w:r>
      <w:instrText xml:space="preserve"> PAGE   \* MERGEFORMAT </w:instrText>
    </w:r>
    <w:r>
      <w:fldChar w:fldCharType="separate"/>
    </w:r>
    <w:r>
      <w:rPr>
        <w:noProof/>
      </w:rPr>
      <w:t>1</w:t>
    </w:r>
    <w:r>
      <w:rPr>
        <w:noProof/>
      </w:rPr>
      <w:fldChar w:fldCharType="end"/>
    </w:r>
  </w:p>
  <w:p w14:paraId="17AE6CF6" w14:textId="77777777" w:rsidR="00C5322F" w:rsidRDefault="00C53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5543E" w14:textId="77777777" w:rsidR="00C5322F" w:rsidRDefault="00C5322F" w:rsidP="003734B1">
      <w:pPr>
        <w:spacing w:after="0" w:line="240" w:lineRule="auto"/>
      </w:pPr>
      <w:r>
        <w:separator/>
      </w:r>
    </w:p>
  </w:footnote>
  <w:footnote w:type="continuationSeparator" w:id="0">
    <w:p w14:paraId="128C3450" w14:textId="77777777" w:rsidR="00C5322F" w:rsidRDefault="00C5322F" w:rsidP="003734B1">
      <w:pPr>
        <w:spacing w:after="0" w:line="240" w:lineRule="auto"/>
      </w:pPr>
      <w:r>
        <w:continuationSeparator/>
      </w:r>
    </w:p>
  </w:footnote>
  <w:footnote w:id="1">
    <w:p w14:paraId="36E17448" w14:textId="77777777" w:rsidR="00C5322F" w:rsidRDefault="00C5322F" w:rsidP="003734B1">
      <w:pPr>
        <w:pStyle w:val="FootnoteText"/>
      </w:pPr>
      <w:r>
        <w:rPr>
          <w:rStyle w:val="FootnoteReference"/>
        </w:rPr>
        <w:footnoteRef/>
      </w:r>
      <w:r>
        <w:t xml:space="preserve"> </w:t>
      </w:r>
      <w:hyperlink r:id="rId1" w:history="1">
        <w:r w:rsidRPr="00DC3EED">
          <w:rPr>
            <w:rStyle w:val="Hyperlink"/>
            <w:sz w:val="24"/>
            <w:szCs w:val="24"/>
          </w:rPr>
          <w:t>https://www.st.nmfs.noaa.gov/recreational-fisheries/data-and-documentation/queries/index</w:t>
        </w:r>
      </w:hyperlink>
    </w:p>
  </w:footnote>
  <w:footnote w:id="2">
    <w:p w14:paraId="0236B62B" w14:textId="77777777" w:rsidR="00C5322F" w:rsidRDefault="00C5322F" w:rsidP="003734B1">
      <w:pPr>
        <w:pStyle w:val="FootnoteText"/>
      </w:pPr>
      <w:r>
        <w:rPr>
          <w:rStyle w:val="FootnoteReference"/>
        </w:rPr>
        <w:footnoteRef/>
      </w:r>
      <w:r>
        <w:t xml:space="preserve"> Florida will be further stratified into east and west components. The objective of this further stratification of Florida anglers is to separate anglers into groups based on their council region with west coast anglers in the Gulf council region and east coast anglers in the South Atlantic council region. Florida anglers were subdivided into the two groups based on estimated angler participation by coast as outlined in Fisheries Economics of the United States 2016 (NMFS 2018). NMFS 2018 estimated that 57% of Florida marine recreational anglers fished Gulf waters while 43% fished Atlantic waters.</w:t>
      </w:r>
    </w:p>
  </w:footnote>
  <w:footnote w:id="3">
    <w:p w14:paraId="07F73218" w14:textId="77777777" w:rsidR="00C5322F" w:rsidRDefault="00C5322F" w:rsidP="003734B1">
      <w:pPr>
        <w:pStyle w:val="FootnoteText"/>
      </w:pPr>
      <w:r>
        <w:rPr>
          <w:rStyle w:val="FootnoteReference"/>
        </w:rPr>
        <w:footnoteRef/>
      </w:r>
      <w:r>
        <w:t xml:space="preserve"> Florida is further stratified as noted in footnote 2. </w:t>
      </w:r>
    </w:p>
  </w:footnote>
  <w:footnote w:id="4">
    <w:p w14:paraId="3149651D" w14:textId="77777777" w:rsidR="00C5322F" w:rsidRDefault="00C5322F" w:rsidP="003734B1">
      <w:pPr>
        <w:pStyle w:val="FootnoteText"/>
      </w:pPr>
      <w:r>
        <w:rPr>
          <w:rStyle w:val="FootnoteReference"/>
        </w:rPr>
        <w:footnoteRef/>
      </w:r>
      <w:r>
        <w:t xml:space="preserve"> Assuming 50/50 population ratios is conservative, as the ratio moves away from a 50/50 split the required number of responses falls; at an 80/20 split only 246 responses are needed for a +/- 5% sampling error at the council level. It is also worth noting that the required sample size increases dramatically as acceptable sampling error is decreased from +/- 5%; 1,307 responses would be required from each council region to achieve +/- 3% sampling error (assuming a 50/50 population ratio).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A1CB8"/>
    <w:multiLevelType w:val="hybridMultilevel"/>
    <w:tmpl w:val="81C6F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56391"/>
    <w:multiLevelType w:val="hybridMultilevel"/>
    <w:tmpl w:val="79BE007C"/>
    <w:lvl w:ilvl="0" w:tplc="ECE805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4B1"/>
    <w:rsid w:val="0000460A"/>
    <w:rsid w:val="00050079"/>
    <w:rsid w:val="000A70AD"/>
    <w:rsid w:val="000C2A88"/>
    <w:rsid w:val="000D0D65"/>
    <w:rsid w:val="001B171B"/>
    <w:rsid w:val="00287882"/>
    <w:rsid w:val="002E0EAA"/>
    <w:rsid w:val="00356CD4"/>
    <w:rsid w:val="003734B1"/>
    <w:rsid w:val="003841ED"/>
    <w:rsid w:val="0048055E"/>
    <w:rsid w:val="006D39FA"/>
    <w:rsid w:val="00792343"/>
    <w:rsid w:val="007D2E01"/>
    <w:rsid w:val="00975586"/>
    <w:rsid w:val="00996A77"/>
    <w:rsid w:val="00A73E7F"/>
    <w:rsid w:val="00A76ACF"/>
    <w:rsid w:val="00A77748"/>
    <w:rsid w:val="00AE1734"/>
    <w:rsid w:val="00B04E04"/>
    <w:rsid w:val="00BB6BF0"/>
    <w:rsid w:val="00BD32B3"/>
    <w:rsid w:val="00BE79BF"/>
    <w:rsid w:val="00C5322F"/>
    <w:rsid w:val="00C70D44"/>
    <w:rsid w:val="00D017CC"/>
    <w:rsid w:val="00E1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34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4B1"/>
  </w:style>
  <w:style w:type="character" w:styleId="Hyperlink">
    <w:name w:val="Hyperlink"/>
    <w:uiPriority w:val="99"/>
    <w:unhideWhenUsed/>
    <w:rsid w:val="003734B1"/>
    <w:rPr>
      <w:color w:val="0000FF"/>
      <w:u w:val="single"/>
    </w:rPr>
  </w:style>
  <w:style w:type="paragraph" w:styleId="FootnoteText">
    <w:name w:val="footnote text"/>
    <w:basedOn w:val="Normal"/>
    <w:link w:val="FootnoteTextChar"/>
    <w:uiPriority w:val="99"/>
    <w:rsid w:val="003734B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734B1"/>
    <w:rPr>
      <w:rFonts w:ascii="Times New Roman" w:eastAsia="Times New Roman" w:hAnsi="Times New Roman" w:cs="Times New Roman"/>
      <w:sz w:val="20"/>
      <w:szCs w:val="20"/>
    </w:rPr>
  </w:style>
  <w:style w:type="character" w:styleId="FootnoteReference">
    <w:name w:val="footnote reference"/>
    <w:uiPriority w:val="99"/>
    <w:rsid w:val="003734B1"/>
    <w:rPr>
      <w:rFonts w:cs="Times New Roman"/>
      <w:vertAlign w:val="superscript"/>
    </w:rPr>
  </w:style>
  <w:style w:type="paragraph" w:styleId="ListParagraph">
    <w:name w:val="List Paragraph"/>
    <w:basedOn w:val="Normal"/>
    <w:uiPriority w:val="34"/>
    <w:qFormat/>
    <w:rsid w:val="002E0EAA"/>
    <w:pPr>
      <w:ind w:left="720"/>
      <w:contextualSpacing/>
    </w:pPr>
  </w:style>
  <w:style w:type="paragraph" w:styleId="BalloonText">
    <w:name w:val="Balloon Text"/>
    <w:basedOn w:val="Normal"/>
    <w:link w:val="BalloonTextChar"/>
    <w:uiPriority w:val="99"/>
    <w:semiHidden/>
    <w:unhideWhenUsed/>
    <w:rsid w:val="00BD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B3"/>
    <w:rPr>
      <w:rFonts w:ascii="Segoe UI" w:hAnsi="Segoe UI" w:cs="Segoe UI"/>
      <w:sz w:val="18"/>
      <w:szCs w:val="18"/>
    </w:rPr>
  </w:style>
  <w:style w:type="character" w:styleId="CommentReference">
    <w:name w:val="annotation reference"/>
    <w:basedOn w:val="DefaultParagraphFont"/>
    <w:uiPriority w:val="99"/>
    <w:semiHidden/>
    <w:unhideWhenUsed/>
    <w:rsid w:val="000A70AD"/>
    <w:rPr>
      <w:sz w:val="16"/>
      <w:szCs w:val="16"/>
    </w:rPr>
  </w:style>
  <w:style w:type="paragraph" w:styleId="CommentText">
    <w:name w:val="annotation text"/>
    <w:basedOn w:val="Normal"/>
    <w:link w:val="CommentTextChar"/>
    <w:uiPriority w:val="99"/>
    <w:semiHidden/>
    <w:unhideWhenUsed/>
    <w:rsid w:val="000A70AD"/>
    <w:pPr>
      <w:spacing w:line="240" w:lineRule="auto"/>
    </w:pPr>
    <w:rPr>
      <w:sz w:val="20"/>
      <w:szCs w:val="20"/>
    </w:rPr>
  </w:style>
  <w:style w:type="character" w:customStyle="1" w:styleId="CommentTextChar">
    <w:name w:val="Comment Text Char"/>
    <w:basedOn w:val="DefaultParagraphFont"/>
    <w:link w:val="CommentText"/>
    <w:uiPriority w:val="99"/>
    <w:semiHidden/>
    <w:rsid w:val="000A70AD"/>
    <w:rPr>
      <w:sz w:val="20"/>
      <w:szCs w:val="20"/>
    </w:rPr>
  </w:style>
  <w:style w:type="paragraph" w:styleId="CommentSubject">
    <w:name w:val="annotation subject"/>
    <w:basedOn w:val="CommentText"/>
    <w:next w:val="CommentText"/>
    <w:link w:val="CommentSubjectChar"/>
    <w:uiPriority w:val="99"/>
    <w:semiHidden/>
    <w:unhideWhenUsed/>
    <w:rsid w:val="000A70AD"/>
    <w:rPr>
      <w:b/>
      <w:bCs/>
    </w:rPr>
  </w:style>
  <w:style w:type="character" w:customStyle="1" w:styleId="CommentSubjectChar">
    <w:name w:val="Comment Subject Char"/>
    <w:basedOn w:val="CommentTextChar"/>
    <w:link w:val="CommentSubject"/>
    <w:uiPriority w:val="99"/>
    <w:semiHidden/>
    <w:rsid w:val="000A70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734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4B1"/>
  </w:style>
  <w:style w:type="character" w:styleId="Hyperlink">
    <w:name w:val="Hyperlink"/>
    <w:uiPriority w:val="99"/>
    <w:unhideWhenUsed/>
    <w:rsid w:val="003734B1"/>
    <w:rPr>
      <w:color w:val="0000FF"/>
      <w:u w:val="single"/>
    </w:rPr>
  </w:style>
  <w:style w:type="paragraph" w:styleId="FootnoteText">
    <w:name w:val="footnote text"/>
    <w:basedOn w:val="Normal"/>
    <w:link w:val="FootnoteTextChar"/>
    <w:uiPriority w:val="99"/>
    <w:rsid w:val="003734B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734B1"/>
    <w:rPr>
      <w:rFonts w:ascii="Times New Roman" w:eastAsia="Times New Roman" w:hAnsi="Times New Roman" w:cs="Times New Roman"/>
      <w:sz w:val="20"/>
      <w:szCs w:val="20"/>
    </w:rPr>
  </w:style>
  <w:style w:type="character" w:styleId="FootnoteReference">
    <w:name w:val="footnote reference"/>
    <w:uiPriority w:val="99"/>
    <w:rsid w:val="003734B1"/>
    <w:rPr>
      <w:rFonts w:cs="Times New Roman"/>
      <w:vertAlign w:val="superscript"/>
    </w:rPr>
  </w:style>
  <w:style w:type="paragraph" w:styleId="ListParagraph">
    <w:name w:val="List Paragraph"/>
    <w:basedOn w:val="Normal"/>
    <w:uiPriority w:val="34"/>
    <w:qFormat/>
    <w:rsid w:val="002E0EAA"/>
    <w:pPr>
      <w:ind w:left="720"/>
      <w:contextualSpacing/>
    </w:pPr>
  </w:style>
  <w:style w:type="paragraph" w:styleId="BalloonText">
    <w:name w:val="Balloon Text"/>
    <w:basedOn w:val="Normal"/>
    <w:link w:val="BalloonTextChar"/>
    <w:uiPriority w:val="99"/>
    <w:semiHidden/>
    <w:unhideWhenUsed/>
    <w:rsid w:val="00BD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B3"/>
    <w:rPr>
      <w:rFonts w:ascii="Segoe UI" w:hAnsi="Segoe UI" w:cs="Segoe UI"/>
      <w:sz w:val="18"/>
      <w:szCs w:val="18"/>
    </w:rPr>
  </w:style>
  <w:style w:type="character" w:styleId="CommentReference">
    <w:name w:val="annotation reference"/>
    <w:basedOn w:val="DefaultParagraphFont"/>
    <w:uiPriority w:val="99"/>
    <w:semiHidden/>
    <w:unhideWhenUsed/>
    <w:rsid w:val="000A70AD"/>
    <w:rPr>
      <w:sz w:val="16"/>
      <w:szCs w:val="16"/>
    </w:rPr>
  </w:style>
  <w:style w:type="paragraph" w:styleId="CommentText">
    <w:name w:val="annotation text"/>
    <w:basedOn w:val="Normal"/>
    <w:link w:val="CommentTextChar"/>
    <w:uiPriority w:val="99"/>
    <w:semiHidden/>
    <w:unhideWhenUsed/>
    <w:rsid w:val="000A70AD"/>
    <w:pPr>
      <w:spacing w:line="240" w:lineRule="auto"/>
    </w:pPr>
    <w:rPr>
      <w:sz w:val="20"/>
      <w:szCs w:val="20"/>
    </w:rPr>
  </w:style>
  <w:style w:type="character" w:customStyle="1" w:styleId="CommentTextChar">
    <w:name w:val="Comment Text Char"/>
    <w:basedOn w:val="DefaultParagraphFont"/>
    <w:link w:val="CommentText"/>
    <w:uiPriority w:val="99"/>
    <w:semiHidden/>
    <w:rsid w:val="000A70AD"/>
    <w:rPr>
      <w:sz w:val="20"/>
      <w:szCs w:val="20"/>
    </w:rPr>
  </w:style>
  <w:style w:type="paragraph" w:styleId="CommentSubject">
    <w:name w:val="annotation subject"/>
    <w:basedOn w:val="CommentText"/>
    <w:next w:val="CommentText"/>
    <w:link w:val="CommentSubjectChar"/>
    <w:uiPriority w:val="99"/>
    <w:semiHidden/>
    <w:unhideWhenUsed/>
    <w:rsid w:val="000A70AD"/>
    <w:rPr>
      <w:b/>
      <w:bCs/>
    </w:rPr>
  </w:style>
  <w:style w:type="character" w:customStyle="1" w:styleId="CommentSubjectChar">
    <w:name w:val="Comment Subject Char"/>
    <w:basedOn w:val="CommentTextChar"/>
    <w:link w:val="CommentSubject"/>
    <w:uiPriority w:val="99"/>
    <w:semiHidden/>
    <w:rsid w:val="000A70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48790">
      <w:bodyDiv w:val="1"/>
      <w:marLeft w:val="0"/>
      <w:marRight w:val="0"/>
      <w:marTop w:val="0"/>
      <w:marBottom w:val="0"/>
      <w:divBdr>
        <w:top w:val="none" w:sz="0" w:space="0" w:color="auto"/>
        <w:left w:val="none" w:sz="0" w:space="0" w:color="auto"/>
        <w:bottom w:val="none" w:sz="0" w:space="0" w:color="auto"/>
        <w:right w:val="none" w:sz="0" w:space="0" w:color="auto"/>
      </w:divBdr>
      <w:divsChild>
        <w:div w:id="627667049">
          <w:marLeft w:val="0"/>
          <w:marRight w:val="0"/>
          <w:marTop w:val="0"/>
          <w:marBottom w:val="0"/>
          <w:divBdr>
            <w:top w:val="single" w:sz="6" w:space="4" w:color="777777"/>
            <w:left w:val="single" w:sz="6" w:space="8" w:color="777777"/>
            <w:bottom w:val="single" w:sz="6" w:space="4" w:color="777777"/>
            <w:right w:val="single" w:sz="6" w:space="8" w:color="77777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isheries.noaa.gov/content/fisheries-economics-united-states-2016" TargetMode="External"/><Relationship Id="rId5" Type="http://schemas.openxmlformats.org/officeDocument/2006/relationships/webSettings" Target="webSettings.xml"/><Relationship Id="rId10" Type="http://schemas.openxmlformats.org/officeDocument/2006/relationships/hyperlink" Target="https://www.fisheries.noaa.gov/feature-story/fisheries-united-states-2016"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nmfs.noaa.gov/recreational-fisheries/data-and-documentation/querie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2019-05-28T13:44:00Z</dcterms:created>
  <dcterms:modified xsi:type="dcterms:W3CDTF">2019-05-28T13:44:00Z</dcterms:modified>
</cp:coreProperties>
</file>