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09C0D" w14:textId="77777777" w:rsidR="004F26E9" w:rsidRDefault="004F26E9" w:rsidP="00965D97">
      <w:pPr>
        <w:spacing w:line="360" w:lineRule="auto"/>
        <w:jc w:val="center"/>
        <w:rPr>
          <w:b/>
          <w:bCs/>
          <w:sz w:val="24"/>
          <w:szCs w:val="24"/>
        </w:rPr>
      </w:pPr>
      <w:bookmarkStart w:id="0" w:name="_Hlk1554789"/>
      <w:bookmarkStart w:id="1" w:name="_GoBack"/>
      <w:bookmarkEnd w:id="1"/>
      <w:r>
        <w:rPr>
          <w:b/>
          <w:bCs/>
          <w:sz w:val="24"/>
          <w:szCs w:val="24"/>
        </w:rPr>
        <w:t>SUPPORTING STATEMENT</w:t>
      </w:r>
    </w:p>
    <w:p w14:paraId="018F8980" w14:textId="77777777" w:rsidR="00E27322" w:rsidRDefault="00E27322" w:rsidP="00965D97">
      <w:pPr>
        <w:spacing w:line="360" w:lineRule="auto"/>
        <w:jc w:val="center"/>
        <w:rPr>
          <w:b/>
          <w:bCs/>
          <w:sz w:val="24"/>
          <w:szCs w:val="24"/>
        </w:rPr>
      </w:pPr>
      <w:r w:rsidRPr="00E27322">
        <w:rPr>
          <w:b/>
          <w:bCs/>
          <w:sz w:val="24"/>
          <w:szCs w:val="24"/>
        </w:rPr>
        <w:t xml:space="preserve">Social Network Analysis Mail Survey </w:t>
      </w:r>
    </w:p>
    <w:p w14:paraId="7A9AA0C1" w14:textId="77777777" w:rsidR="004F26E9" w:rsidRDefault="004F26E9" w:rsidP="00965D97">
      <w:pPr>
        <w:spacing w:line="360" w:lineRule="auto"/>
        <w:jc w:val="center"/>
        <w:rPr>
          <w:sz w:val="24"/>
          <w:szCs w:val="24"/>
        </w:rPr>
      </w:pPr>
      <w:r>
        <w:rPr>
          <w:b/>
          <w:bCs/>
          <w:sz w:val="24"/>
          <w:szCs w:val="24"/>
        </w:rPr>
        <w:t>OMB CONTROL NO. 0648-xxxx</w:t>
      </w:r>
    </w:p>
    <w:bookmarkEnd w:id="0"/>
    <w:p w14:paraId="1916013B" w14:textId="77777777" w:rsidR="004F26E9" w:rsidRDefault="004F26E9">
      <w:pPr>
        <w:rPr>
          <w:sz w:val="24"/>
          <w:szCs w:val="24"/>
        </w:rPr>
      </w:pPr>
    </w:p>
    <w:p w14:paraId="7C39EFD9" w14:textId="77777777" w:rsidR="00965D97" w:rsidRDefault="00965D97">
      <w:pPr>
        <w:rPr>
          <w:sz w:val="24"/>
          <w:szCs w:val="24"/>
        </w:rPr>
      </w:pPr>
    </w:p>
    <w:p w14:paraId="55B3599B" w14:textId="77777777" w:rsidR="004F26E9" w:rsidRDefault="004F26E9">
      <w:pPr>
        <w:tabs>
          <w:tab w:val="left" w:pos="720"/>
        </w:tabs>
        <w:ind w:left="720" w:hanging="720"/>
        <w:rPr>
          <w:sz w:val="24"/>
          <w:szCs w:val="24"/>
        </w:rPr>
      </w:pPr>
      <w:r>
        <w:rPr>
          <w:b/>
          <w:bCs/>
          <w:sz w:val="24"/>
          <w:szCs w:val="24"/>
        </w:rPr>
        <w:t xml:space="preserve">A. </w:t>
      </w:r>
      <w:r>
        <w:rPr>
          <w:b/>
          <w:bCs/>
          <w:sz w:val="24"/>
          <w:szCs w:val="24"/>
        </w:rPr>
        <w:tab/>
        <w:t>JUSTIFICATION</w:t>
      </w:r>
    </w:p>
    <w:p w14:paraId="5C818039" w14:textId="77777777" w:rsidR="006D7A62" w:rsidRPr="007208BF" w:rsidRDefault="006D7A62">
      <w:pPr>
        <w:rPr>
          <w:sz w:val="16"/>
          <w:szCs w:val="16"/>
        </w:rPr>
      </w:pPr>
    </w:p>
    <w:p w14:paraId="6F2100A4" w14:textId="77777777" w:rsidR="004F26E9" w:rsidRDefault="006D7A62">
      <w:pPr>
        <w:rPr>
          <w:sz w:val="24"/>
          <w:szCs w:val="24"/>
        </w:rPr>
        <w:sectPr w:rsidR="004F26E9">
          <w:footerReference w:type="default" r:id="rId9"/>
          <w:footnotePr>
            <w:numRestart w:val="eachSect"/>
          </w:footnotePr>
          <w:endnotePr>
            <w:numFmt w:val="decimal"/>
          </w:endnotePr>
          <w:type w:val="continuous"/>
          <w:pgSz w:w="12240" w:h="15840"/>
          <w:pgMar w:top="1440" w:right="1440" w:bottom="1080" w:left="1440" w:header="720" w:footer="720" w:gutter="0"/>
          <w:cols w:space="720"/>
        </w:sectPr>
      </w:pPr>
      <w:r w:rsidRPr="006D7A62">
        <w:rPr>
          <w:sz w:val="24"/>
          <w:szCs w:val="24"/>
        </w:rPr>
        <w:t xml:space="preserve">This request is for a </w:t>
      </w:r>
      <w:r w:rsidRPr="00483413">
        <w:rPr>
          <w:sz w:val="24"/>
          <w:szCs w:val="24"/>
        </w:rPr>
        <w:t>new data collection</w:t>
      </w:r>
      <w:r w:rsidRPr="006D7A62">
        <w:rPr>
          <w:sz w:val="24"/>
          <w:szCs w:val="24"/>
        </w:rPr>
        <w:t xml:space="preserve">, to implement the </w:t>
      </w:r>
      <w:r w:rsidR="00AF455B">
        <w:rPr>
          <w:sz w:val="24"/>
          <w:szCs w:val="24"/>
        </w:rPr>
        <w:t xml:space="preserve">National Marine Fisheries Service (NMFS) </w:t>
      </w:r>
      <w:r>
        <w:rPr>
          <w:sz w:val="24"/>
          <w:szCs w:val="24"/>
        </w:rPr>
        <w:t xml:space="preserve">Marine Recreational Information Program (MRIP) Social Network Analysis Mail Survey (SNAMS) </w:t>
      </w:r>
      <w:r w:rsidRPr="006D7A62">
        <w:rPr>
          <w:sz w:val="24"/>
          <w:szCs w:val="24"/>
        </w:rPr>
        <w:t>in all states along the Atl</w:t>
      </w:r>
      <w:r>
        <w:rPr>
          <w:sz w:val="24"/>
          <w:szCs w:val="24"/>
        </w:rPr>
        <w:t xml:space="preserve">antic and Gulf Coasts, </w:t>
      </w:r>
      <w:r w:rsidRPr="006D7A62">
        <w:rPr>
          <w:sz w:val="24"/>
          <w:szCs w:val="24"/>
        </w:rPr>
        <w:t>except Texas</w:t>
      </w:r>
      <w:r>
        <w:rPr>
          <w:sz w:val="24"/>
          <w:szCs w:val="24"/>
        </w:rPr>
        <w:t xml:space="preserve"> and Louisiana.</w:t>
      </w:r>
    </w:p>
    <w:p w14:paraId="60229008" w14:textId="77777777" w:rsidR="006D7A62" w:rsidRDefault="006D7A62">
      <w:pPr>
        <w:rPr>
          <w:b/>
          <w:bCs/>
          <w:sz w:val="24"/>
          <w:szCs w:val="24"/>
        </w:rPr>
      </w:pPr>
    </w:p>
    <w:p w14:paraId="28FC77DF" w14:textId="77777777" w:rsidR="004F26E9" w:rsidRDefault="004F26E9">
      <w:pPr>
        <w:rPr>
          <w:sz w:val="24"/>
          <w:szCs w:val="24"/>
        </w:rPr>
      </w:pPr>
      <w:r>
        <w:rPr>
          <w:b/>
          <w:bCs/>
          <w:sz w:val="24"/>
          <w:szCs w:val="24"/>
        </w:rPr>
        <w:t xml:space="preserve">1.  </w:t>
      </w:r>
      <w:r>
        <w:rPr>
          <w:b/>
          <w:bCs/>
          <w:sz w:val="24"/>
          <w:szCs w:val="24"/>
          <w:u w:val="single"/>
        </w:rPr>
        <w:t>Explain the circumstances that make the collection of information necessary.</w:t>
      </w:r>
    </w:p>
    <w:p w14:paraId="788F6E3D" w14:textId="77777777" w:rsidR="004F26E9" w:rsidRPr="007208BF" w:rsidRDefault="004F26E9">
      <w:pPr>
        <w:rPr>
          <w:sz w:val="16"/>
          <w:szCs w:val="16"/>
        </w:rPr>
      </w:pPr>
    </w:p>
    <w:p w14:paraId="31851E43" w14:textId="77777777" w:rsidR="009E26D2" w:rsidRPr="009E26D2" w:rsidRDefault="009E26D2" w:rsidP="009E26D2">
      <w:pPr>
        <w:widowControl/>
        <w:autoSpaceDE/>
        <w:autoSpaceDN/>
        <w:adjustRightInd/>
        <w:rPr>
          <w:sz w:val="24"/>
          <w:szCs w:val="24"/>
        </w:rPr>
      </w:pPr>
      <w:r w:rsidRPr="009E26D2">
        <w:rPr>
          <w:sz w:val="24"/>
          <w:szCs w:val="24"/>
        </w:rPr>
        <w:t xml:space="preserve">Collection of recreational fisheries catch and effort data is necessary to fulfill statutory requirements of Section 303 of the </w:t>
      </w:r>
      <w:hyperlink r:id="rId10" w:history="1">
        <w:r w:rsidRPr="009E26D2">
          <w:rPr>
            <w:color w:val="0000FF"/>
            <w:sz w:val="24"/>
            <w:szCs w:val="24"/>
            <w:u w:val="single"/>
          </w:rPr>
          <w:t>Magnuson-Stevens Fishery Conservation and Management Act</w:t>
        </w:r>
      </w:hyperlink>
      <w:r w:rsidRPr="009E26D2">
        <w:rPr>
          <w:sz w:val="24"/>
          <w:szCs w:val="24"/>
        </w:rPr>
        <w:t xml:space="preserve"> (16 U.S.C. 1852 </w:t>
      </w:r>
      <w:r w:rsidRPr="009E26D2">
        <w:rPr>
          <w:sz w:val="24"/>
          <w:szCs w:val="24"/>
          <w:u w:val="single"/>
        </w:rPr>
        <w:t>et</w:t>
      </w:r>
      <w:r w:rsidRPr="009E26D2">
        <w:rPr>
          <w:sz w:val="24"/>
          <w:szCs w:val="24"/>
        </w:rPr>
        <w:t xml:space="preserve">. </w:t>
      </w:r>
      <w:r w:rsidRPr="009E26D2">
        <w:rPr>
          <w:sz w:val="24"/>
          <w:szCs w:val="24"/>
          <w:u w:val="single"/>
        </w:rPr>
        <w:t>seq</w:t>
      </w:r>
      <w:r w:rsidRPr="009E26D2">
        <w:rPr>
          <w:sz w:val="24"/>
          <w:szCs w:val="24"/>
        </w:rPr>
        <w:t xml:space="preserve">.) and to comply with </w:t>
      </w:r>
      <w:hyperlink r:id="rId11" w:history="1">
        <w:r w:rsidRPr="009E26D2">
          <w:rPr>
            <w:color w:val="0000FF"/>
            <w:sz w:val="24"/>
            <w:szCs w:val="24"/>
            <w:u w:val="single"/>
          </w:rPr>
          <w:t>Executive Order 12962</w:t>
        </w:r>
      </w:hyperlink>
      <w:r w:rsidRPr="009E26D2">
        <w:rPr>
          <w:sz w:val="24"/>
          <w:szCs w:val="24"/>
        </w:rPr>
        <w:t xml:space="preserve"> on Recreational Fisheries. Section 303 (a) of the Magnuson-Stevens Act specifies data and analyses to be included in Fishery Management Plans (FMPs), as well as pertinent data that shall be submitted to the Secretary of Commerce under the plan. </w:t>
      </w:r>
      <w:r w:rsidR="00D742B0">
        <w:rPr>
          <w:sz w:val="24"/>
          <w:szCs w:val="24"/>
        </w:rPr>
        <w:t xml:space="preserve">Section 1 (e) of </w:t>
      </w:r>
      <w:r w:rsidR="00761F08">
        <w:rPr>
          <w:sz w:val="24"/>
          <w:szCs w:val="24"/>
        </w:rPr>
        <w:t xml:space="preserve">Executive Order 12962 </w:t>
      </w:r>
      <w:r w:rsidR="00FE50E3">
        <w:rPr>
          <w:sz w:val="24"/>
          <w:szCs w:val="24"/>
        </w:rPr>
        <w:t>orders</w:t>
      </w:r>
      <w:r w:rsidR="00761F08">
        <w:rPr>
          <w:sz w:val="24"/>
          <w:szCs w:val="24"/>
        </w:rPr>
        <w:t xml:space="preserve"> Federal agenc</w:t>
      </w:r>
      <w:r w:rsidR="00D742B0">
        <w:rPr>
          <w:sz w:val="24"/>
          <w:szCs w:val="24"/>
        </w:rPr>
        <w:t>ies</w:t>
      </w:r>
      <w:r w:rsidR="00FE50E3">
        <w:rPr>
          <w:sz w:val="24"/>
          <w:szCs w:val="24"/>
        </w:rPr>
        <w:t xml:space="preserve"> to</w:t>
      </w:r>
      <w:r w:rsidR="00D742B0">
        <w:rPr>
          <w:sz w:val="24"/>
          <w:szCs w:val="24"/>
        </w:rPr>
        <w:t xml:space="preserve"> </w:t>
      </w:r>
      <w:r w:rsidR="00761F08" w:rsidRPr="00761F08">
        <w:rPr>
          <w:sz w:val="24"/>
          <w:szCs w:val="24"/>
        </w:rPr>
        <w:t>support outreach programs designed to stimulate angler participation in the conservation and restoration of aquatic systems</w:t>
      </w:r>
      <w:r w:rsidR="00761F08">
        <w:rPr>
          <w:sz w:val="24"/>
          <w:szCs w:val="24"/>
        </w:rPr>
        <w:t>.</w:t>
      </w:r>
    </w:p>
    <w:p w14:paraId="5AE6ACCE" w14:textId="77777777" w:rsidR="009E26D2" w:rsidRPr="007208BF" w:rsidRDefault="009E26D2" w:rsidP="00516768">
      <w:pPr>
        <w:rPr>
          <w:sz w:val="16"/>
          <w:szCs w:val="16"/>
        </w:rPr>
      </w:pPr>
    </w:p>
    <w:p w14:paraId="5E804B14" w14:textId="77777777" w:rsidR="00516768" w:rsidRDefault="009E26D2" w:rsidP="00516768">
      <w:pPr>
        <w:rPr>
          <w:sz w:val="24"/>
          <w:szCs w:val="24"/>
        </w:rPr>
      </w:pPr>
      <w:r>
        <w:rPr>
          <w:sz w:val="24"/>
          <w:szCs w:val="24"/>
        </w:rPr>
        <w:t xml:space="preserve">Currently, </w:t>
      </w:r>
      <w:r w:rsidR="006D7A62">
        <w:rPr>
          <w:sz w:val="24"/>
          <w:szCs w:val="24"/>
        </w:rPr>
        <w:t xml:space="preserve">MRIP </w:t>
      </w:r>
      <w:r>
        <w:rPr>
          <w:sz w:val="24"/>
          <w:szCs w:val="24"/>
        </w:rPr>
        <w:t>administers surveys to collect data on r</w:t>
      </w:r>
      <w:r w:rsidR="00516768">
        <w:rPr>
          <w:sz w:val="24"/>
          <w:szCs w:val="24"/>
        </w:rPr>
        <w:t>ecreational fishing catch, effort and participation statistics</w:t>
      </w:r>
      <w:r>
        <w:rPr>
          <w:sz w:val="24"/>
          <w:szCs w:val="24"/>
        </w:rPr>
        <w:t>,</w:t>
      </w:r>
      <w:r w:rsidR="00516768">
        <w:rPr>
          <w:sz w:val="24"/>
          <w:szCs w:val="24"/>
        </w:rPr>
        <w:t xml:space="preserve"> </w:t>
      </w:r>
      <w:r>
        <w:rPr>
          <w:sz w:val="24"/>
          <w:szCs w:val="24"/>
        </w:rPr>
        <w:t xml:space="preserve">which </w:t>
      </w:r>
      <w:r w:rsidR="00516768">
        <w:rPr>
          <w:sz w:val="24"/>
          <w:szCs w:val="24"/>
        </w:rPr>
        <w:t xml:space="preserve">are fundamental for assessing the influence of fishing on any stock of fish. The quantities taken, the fishing effort, and the seasonal and geographical distribution of the catch and effort are required to assess the health of fish stocks and develop and evaluate national fisheries </w:t>
      </w:r>
      <w:r w:rsidR="00B7407E">
        <w:rPr>
          <w:sz w:val="24"/>
          <w:szCs w:val="24"/>
        </w:rPr>
        <w:t xml:space="preserve">management policies and plans. </w:t>
      </w:r>
      <w:r w:rsidR="00516768">
        <w:rPr>
          <w:sz w:val="24"/>
          <w:szCs w:val="24"/>
        </w:rPr>
        <w:t>The allocation of fishery resources depends</w:t>
      </w:r>
      <w:r>
        <w:rPr>
          <w:sz w:val="24"/>
          <w:szCs w:val="24"/>
        </w:rPr>
        <w:t>,</w:t>
      </w:r>
      <w:r w:rsidR="00516768">
        <w:rPr>
          <w:sz w:val="24"/>
          <w:szCs w:val="24"/>
        </w:rPr>
        <w:t xml:space="preserve"> </w:t>
      </w:r>
      <w:r>
        <w:rPr>
          <w:sz w:val="24"/>
          <w:szCs w:val="24"/>
        </w:rPr>
        <w:t xml:space="preserve">in part, </w:t>
      </w:r>
      <w:r w:rsidR="00516768">
        <w:rPr>
          <w:sz w:val="24"/>
          <w:szCs w:val="24"/>
        </w:rPr>
        <w:t>on the results of the surveys</w:t>
      </w:r>
      <w:r w:rsidR="001D6941">
        <w:rPr>
          <w:sz w:val="24"/>
          <w:szCs w:val="24"/>
        </w:rPr>
        <w:t xml:space="preserve"> </w:t>
      </w:r>
      <w:r w:rsidR="00FA06B0">
        <w:rPr>
          <w:sz w:val="24"/>
          <w:szCs w:val="24"/>
        </w:rPr>
        <w:t>MRIP administers</w:t>
      </w:r>
      <w:r w:rsidR="00516768">
        <w:rPr>
          <w:sz w:val="24"/>
          <w:szCs w:val="24"/>
        </w:rPr>
        <w:t>.</w:t>
      </w:r>
    </w:p>
    <w:p w14:paraId="7ACD1BD9" w14:textId="77777777" w:rsidR="00516768" w:rsidRPr="007208BF" w:rsidRDefault="00516768" w:rsidP="00516768">
      <w:pPr>
        <w:rPr>
          <w:sz w:val="16"/>
          <w:szCs w:val="16"/>
        </w:rPr>
      </w:pPr>
    </w:p>
    <w:p w14:paraId="29B24F04" w14:textId="77777777" w:rsidR="001D6941" w:rsidRDefault="00FE50E3" w:rsidP="00516768">
      <w:pPr>
        <w:rPr>
          <w:sz w:val="24"/>
          <w:szCs w:val="24"/>
        </w:rPr>
      </w:pPr>
      <w:r>
        <w:rPr>
          <w:sz w:val="24"/>
          <w:szCs w:val="24"/>
        </w:rPr>
        <w:t>In 2017</w:t>
      </w:r>
      <w:r w:rsidR="00D742B0">
        <w:rPr>
          <w:sz w:val="24"/>
          <w:szCs w:val="24"/>
        </w:rPr>
        <w:t>, a</w:t>
      </w:r>
      <w:r w:rsidR="00516768" w:rsidRPr="00516768">
        <w:rPr>
          <w:sz w:val="24"/>
          <w:szCs w:val="24"/>
        </w:rPr>
        <w:t xml:space="preserve"> National Academy of Sciences </w:t>
      </w:r>
      <w:r w:rsidR="00D742B0">
        <w:rPr>
          <w:sz w:val="24"/>
          <w:szCs w:val="24"/>
        </w:rPr>
        <w:t xml:space="preserve">(NAS) </w:t>
      </w:r>
      <w:r w:rsidR="00516768" w:rsidRPr="00516768">
        <w:rPr>
          <w:sz w:val="24"/>
          <w:szCs w:val="24"/>
        </w:rPr>
        <w:t>review identified several strategic a</w:t>
      </w:r>
      <w:r w:rsidR="00D742B0">
        <w:rPr>
          <w:sz w:val="24"/>
          <w:szCs w:val="24"/>
        </w:rPr>
        <w:t>reas for MRIP’s improvement</w:t>
      </w:r>
      <w:r w:rsidR="00516768" w:rsidRPr="00516768">
        <w:rPr>
          <w:sz w:val="24"/>
          <w:szCs w:val="24"/>
        </w:rPr>
        <w:t xml:space="preserve">. Among these areas for improvement, the NAS review suggested that MRIP develop the capacity to provide expertise that will help foster productive, collaborative relationships with key constituents who have valuable contributions to offer in the development of MRIP. These key constituents include the broader angling public. Further, MRIP is challenged to examine and develop strategic communications to ensure partners and constituents are engaged in </w:t>
      </w:r>
      <w:r w:rsidR="006D7A62">
        <w:rPr>
          <w:sz w:val="24"/>
          <w:szCs w:val="24"/>
        </w:rPr>
        <w:t>the MRIP re</w:t>
      </w:r>
      <w:r w:rsidR="00516768" w:rsidRPr="00516768">
        <w:rPr>
          <w:sz w:val="24"/>
          <w:szCs w:val="24"/>
        </w:rPr>
        <w:t>design process, kept well informed of opportunities to p</w:t>
      </w:r>
      <w:r w:rsidR="00B7407E">
        <w:rPr>
          <w:sz w:val="24"/>
          <w:szCs w:val="24"/>
        </w:rPr>
        <w:t xml:space="preserve">articipate, and apprised of </w:t>
      </w:r>
      <w:r w:rsidR="00516768" w:rsidRPr="00516768">
        <w:rPr>
          <w:sz w:val="24"/>
          <w:szCs w:val="24"/>
        </w:rPr>
        <w:t>progress.</w:t>
      </w:r>
      <w:r w:rsidR="00001C14">
        <w:rPr>
          <w:sz w:val="24"/>
          <w:szCs w:val="24"/>
        </w:rPr>
        <w:t xml:space="preserve"> </w:t>
      </w:r>
    </w:p>
    <w:p w14:paraId="388E179B" w14:textId="77777777" w:rsidR="001D6941" w:rsidRPr="007208BF" w:rsidRDefault="001D6941" w:rsidP="00516768">
      <w:pPr>
        <w:rPr>
          <w:sz w:val="16"/>
          <w:szCs w:val="16"/>
        </w:rPr>
      </w:pPr>
    </w:p>
    <w:p w14:paraId="3E2C7644" w14:textId="4A624781" w:rsidR="00516768" w:rsidRDefault="00AF455B" w:rsidP="004F4138">
      <w:pPr>
        <w:rPr>
          <w:sz w:val="24"/>
          <w:szCs w:val="24"/>
        </w:rPr>
      </w:pPr>
      <w:r>
        <w:rPr>
          <w:sz w:val="24"/>
          <w:szCs w:val="24"/>
        </w:rPr>
        <w:t>NAS r</w:t>
      </w:r>
      <w:r w:rsidR="00516768" w:rsidRPr="00516768">
        <w:rPr>
          <w:sz w:val="24"/>
          <w:szCs w:val="24"/>
        </w:rPr>
        <w:t xml:space="preserve">ecommendations </w:t>
      </w:r>
      <w:r w:rsidR="00B7407E">
        <w:rPr>
          <w:sz w:val="24"/>
          <w:szCs w:val="24"/>
        </w:rPr>
        <w:t>include</w:t>
      </w:r>
      <w:r w:rsidR="00516768" w:rsidRPr="00516768">
        <w:rPr>
          <w:sz w:val="24"/>
          <w:szCs w:val="24"/>
        </w:rPr>
        <w:t xml:space="preserve"> a need to “take a more active role in communication with anglers” and to match the level of understanding of recreational fisheries management by stakeholders (recreational anglers) with how the MRIP functions.</w:t>
      </w:r>
      <w:r w:rsidR="00516768">
        <w:rPr>
          <w:sz w:val="24"/>
          <w:szCs w:val="24"/>
        </w:rPr>
        <w:t xml:space="preserve"> </w:t>
      </w:r>
      <w:r w:rsidR="00001C14">
        <w:rPr>
          <w:sz w:val="24"/>
          <w:szCs w:val="24"/>
        </w:rPr>
        <w:t>The SNAMS</w:t>
      </w:r>
      <w:r w:rsidR="00516768" w:rsidRPr="00516768">
        <w:rPr>
          <w:sz w:val="24"/>
          <w:szCs w:val="24"/>
        </w:rPr>
        <w:t xml:space="preserve"> </w:t>
      </w:r>
      <w:r w:rsidR="00001C14">
        <w:rPr>
          <w:sz w:val="24"/>
          <w:szCs w:val="24"/>
        </w:rPr>
        <w:t>is</w:t>
      </w:r>
      <w:r w:rsidR="00516768" w:rsidRPr="00516768">
        <w:rPr>
          <w:sz w:val="24"/>
          <w:szCs w:val="24"/>
        </w:rPr>
        <w:t xml:space="preserve"> designed to collect information from </w:t>
      </w:r>
      <w:r w:rsidR="006D7A62">
        <w:rPr>
          <w:sz w:val="24"/>
          <w:szCs w:val="24"/>
        </w:rPr>
        <w:t xml:space="preserve">recreational </w:t>
      </w:r>
      <w:r w:rsidR="00516768" w:rsidRPr="00516768">
        <w:rPr>
          <w:sz w:val="24"/>
          <w:szCs w:val="24"/>
        </w:rPr>
        <w:t>anglers</w:t>
      </w:r>
      <w:r w:rsidR="00A80CA6">
        <w:rPr>
          <w:sz w:val="24"/>
          <w:szCs w:val="24"/>
        </w:rPr>
        <w:t xml:space="preserve"> in a systematic manner to ensure scientific, statistical integrity.</w:t>
      </w:r>
      <w:r w:rsidR="00516768" w:rsidRPr="00516768">
        <w:rPr>
          <w:sz w:val="24"/>
          <w:szCs w:val="24"/>
        </w:rPr>
        <w:t xml:space="preserve"> </w:t>
      </w:r>
      <w:r w:rsidR="00A80CA6">
        <w:rPr>
          <w:sz w:val="24"/>
          <w:szCs w:val="24"/>
        </w:rPr>
        <w:t xml:space="preserve">The objective of the SNAMS is </w:t>
      </w:r>
      <w:r w:rsidR="00001C14">
        <w:rPr>
          <w:sz w:val="24"/>
          <w:szCs w:val="24"/>
        </w:rPr>
        <w:t xml:space="preserve">to </w:t>
      </w:r>
      <w:r w:rsidR="006D7A62">
        <w:rPr>
          <w:sz w:val="24"/>
          <w:szCs w:val="24"/>
        </w:rPr>
        <w:t>research</w:t>
      </w:r>
      <w:r w:rsidR="00516768" w:rsidRPr="00516768">
        <w:rPr>
          <w:sz w:val="24"/>
          <w:szCs w:val="24"/>
        </w:rPr>
        <w:t xml:space="preserve"> </w:t>
      </w:r>
      <w:r w:rsidR="00B7407E" w:rsidRPr="00B7407E">
        <w:rPr>
          <w:sz w:val="24"/>
          <w:szCs w:val="24"/>
        </w:rPr>
        <w:t>how marine recreational anglers gather, share, and evaluate information on topics related to fisheries data collection, fisheries regulations, stock assessments, the overall health of fisheries, fisheries science, and fisheries management.</w:t>
      </w:r>
      <w:r w:rsidR="00A80CA6">
        <w:rPr>
          <w:sz w:val="24"/>
          <w:szCs w:val="24"/>
        </w:rPr>
        <w:t xml:space="preserve"> </w:t>
      </w:r>
      <w:r w:rsidR="004F4138" w:rsidRPr="004F4138">
        <w:rPr>
          <w:sz w:val="24"/>
          <w:szCs w:val="24"/>
        </w:rPr>
        <w:t xml:space="preserve">The survey results will inform NMFS and MRIP on the effectiveness of current communication </w:t>
      </w:r>
      <w:r w:rsidR="0078435A" w:rsidRPr="004F4138">
        <w:rPr>
          <w:sz w:val="24"/>
          <w:szCs w:val="24"/>
        </w:rPr>
        <w:t>strategies and</w:t>
      </w:r>
      <w:r w:rsidR="004F4138" w:rsidRPr="004F4138">
        <w:rPr>
          <w:sz w:val="24"/>
          <w:szCs w:val="24"/>
        </w:rPr>
        <w:t xml:space="preserve"> will be of particular use to </w:t>
      </w:r>
      <w:r w:rsidR="004F4138">
        <w:rPr>
          <w:sz w:val="24"/>
          <w:szCs w:val="24"/>
        </w:rPr>
        <w:t xml:space="preserve">NMFS and </w:t>
      </w:r>
      <w:r w:rsidR="004F4138" w:rsidRPr="004F4138">
        <w:rPr>
          <w:sz w:val="24"/>
          <w:szCs w:val="24"/>
        </w:rPr>
        <w:t>MRIP for fostering productive, collaborative relationships with stakeholders.</w:t>
      </w:r>
    </w:p>
    <w:p w14:paraId="4AC1EA31" w14:textId="25A94D45" w:rsidR="00B62BDC" w:rsidRDefault="00C5489B" w:rsidP="00217924">
      <w:pPr>
        <w:rPr>
          <w:sz w:val="24"/>
          <w:szCs w:val="24"/>
        </w:rPr>
      </w:pPr>
      <w:r>
        <w:rPr>
          <w:sz w:val="24"/>
          <w:szCs w:val="24"/>
        </w:rPr>
        <w:lastRenderedPageBreak/>
        <w:t xml:space="preserve">The </w:t>
      </w:r>
      <w:r w:rsidR="004C2A88" w:rsidRPr="004C2A88">
        <w:t xml:space="preserve"> </w:t>
      </w:r>
      <w:r w:rsidR="004C2A88">
        <w:rPr>
          <w:sz w:val="24"/>
          <w:szCs w:val="24"/>
        </w:rPr>
        <w:t>survey questionnaire is developed to include questions</w:t>
      </w:r>
      <w:r w:rsidR="004C2A88" w:rsidRPr="004C2A88">
        <w:rPr>
          <w:sz w:val="24"/>
          <w:szCs w:val="24"/>
        </w:rPr>
        <w:t xml:space="preserve"> necessary </w:t>
      </w:r>
      <w:r w:rsidR="004C2A88">
        <w:rPr>
          <w:sz w:val="24"/>
          <w:szCs w:val="24"/>
        </w:rPr>
        <w:t>for</w:t>
      </w:r>
      <w:r w:rsidR="004C2A88" w:rsidRPr="004C2A88">
        <w:rPr>
          <w:sz w:val="24"/>
          <w:szCs w:val="24"/>
        </w:rPr>
        <w:t xml:space="preserve"> </w:t>
      </w:r>
      <w:r w:rsidR="004C2A88">
        <w:rPr>
          <w:sz w:val="24"/>
          <w:szCs w:val="24"/>
        </w:rPr>
        <w:t xml:space="preserve">understanding saltwater recreational anglers’ background, attitudes, perceptions, sources of information, and trust in those sources, for </w:t>
      </w:r>
      <w:r w:rsidR="004C2A88" w:rsidRPr="004C2A88">
        <w:rPr>
          <w:sz w:val="24"/>
          <w:szCs w:val="24"/>
        </w:rPr>
        <w:t>social network analysis</w:t>
      </w:r>
      <w:r w:rsidR="004C2A88">
        <w:rPr>
          <w:sz w:val="24"/>
          <w:szCs w:val="24"/>
        </w:rPr>
        <w:t xml:space="preserve">. The </w:t>
      </w:r>
      <w:r w:rsidR="00BA06A1">
        <w:rPr>
          <w:sz w:val="24"/>
          <w:szCs w:val="24"/>
        </w:rPr>
        <w:t>preliminary survey</w:t>
      </w:r>
      <w:r>
        <w:rPr>
          <w:sz w:val="24"/>
          <w:szCs w:val="24"/>
        </w:rPr>
        <w:t xml:space="preserve"> questions</w:t>
      </w:r>
      <w:r w:rsidR="00BA06A1">
        <w:rPr>
          <w:sz w:val="24"/>
          <w:szCs w:val="24"/>
        </w:rPr>
        <w:t xml:space="preserve"> </w:t>
      </w:r>
      <w:r>
        <w:rPr>
          <w:sz w:val="24"/>
          <w:szCs w:val="24"/>
        </w:rPr>
        <w:t>assess angler</w:t>
      </w:r>
      <w:r w:rsidR="00B62BDC">
        <w:rPr>
          <w:sz w:val="24"/>
          <w:szCs w:val="24"/>
        </w:rPr>
        <w:t xml:space="preserve"> participation,</w:t>
      </w:r>
      <w:r>
        <w:rPr>
          <w:sz w:val="24"/>
          <w:szCs w:val="24"/>
        </w:rPr>
        <w:t xml:space="preserve"> whether </w:t>
      </w:r>
      <w:r w:rsidR="00BA06A1">
        <w:rPr>
          <w:sz w:val="24"/>
          <w:szCs w:val="24"/>
        </w:rPr>
        <w:t xml:space="preserve">an </w:t>
      </w:r>
      <w:r>
        <w:rPr>
          <w:sz w:val="24"/>
          <w:szCs w:val="24"/>
        </w:rPr>
        <w:t>a</w:t>
      </w:r>
      <w:r w:rsidR="00BA06A1">
        <w:rPr>
          <w:sz w:val="24"/>
          <w:szCs w:val="24"/>
        </w:rPr>
        <w:t xml:space="preserve">ngler </w:t>
      </w:r>
      <w:r>
        <w:rPr>
          <w:sz w:val="24"/>
          <w:szCs w:val="24"/>
        </w:rPr>
        <w:t>fish</w:t>
      </w:r>
      <w:r w:rsidR="00BA06A1">
        <w:rPr>
          <w:sz w:val="24"/>
          <w:szCs w:val="24"/>
        </w:rPr>
        <w:t>es</w:t>
      </w:r>
      <w:r>
        <w:rPr>
          <w:sz w:val="24"/>
          <w:szCs w:val="24"/>
        </w:rPr>
        <w:t xml:space="preserve"> in State and/or Federal waters, </w:t>
      </w:r>
      <w:r w:rsidR="00BA06A1">
        <w:rPr>
          <w:sz w:val="24"/>
          <w:szCs w:val="24"/>
        </w:rPr>
        <w:t xml:space="preserve">their </w:t>
      </w:r>
      <w:r>
        <w:rPr>
          <w:sz w:val="24"/>
          <w:szCs w:val="24"/>
        </w:rPr>
        <w:t xml:space="preserve">frequency of </w:t>
      </w:r>
      <w:r w:rsidR="00BA06A1">
        <w:rPr>
          <w:sz w:val="24"/>
          <w:szCs w:val="24"/>
        </w:rPr>
        <w:t>type</w:t>
      </w:r>
      <w:r>
        <w:rPr>
          <w:sz w:val="24"/>
          <w:szCs w:val="24"/>
        </w:rPr>
        <w:t xml:space="preserve"> of fishing (i.e. from shore, from a for-hire boat, from a private boat), and </w:t>
      </w:r>
      <w:r w:rsidR="00B62BDC">
        <w:rPr>
          <w:sz w:val="24"/>
          <w:szCs w:val="24"/>
        </w:rPr>
        <w:t xml:space="preserve">angling </w:t>
      </w:r>
      <w:r>
        <w:rPr>
          <w:sz w:val="24"/>
          <w:szCs w:val="24"/>
        </w:rPr>
        <w:t>motivations</w:t>
      </w:r>
      <w:r w:rsidR="00BA06A1">
        <w:rPr>
          <w:sz w:val="24"/>
          <w:szCs w:val="24"/>
        </w:rPr>
        <w:t>,</w:t>
      </w:r>
      <w:r w:rsidR="00B62BDC">
        <w:rPr>
          <w:sz w:val="24"/>
          <w:szCs w:val="24"/>
        </w:rPr>
        <w:t xml:space="preserve"> or </w:t>
      </w:r>
      <w:r>
        <w:rPr>
          <w:sz w:val="24"/>
          <w:szCs w:val="24"/>
        </w:rPr>
        <w:t xml:space="preserve">reasons for </w:t>
      </w:r>
      <w:r w:rsidR="00BA06A1">
        <w:rPr>
          <w:sz w:val="24"/>
          <w:szCs w:val="24"/>
        </w:rPr>
        <w:t xml:space="preserve">going </w:t>
      </w:r>
      <w:r>
        <w:rPr>
          <w:sz w:val="24"/>
          <w:szCs w:val="24"/>
        </w:rPr>
        <w:t>s</w:t>
      </w:r>
      <w:r w:rsidR="00B62BDC">
        <w:rPr>
          <w:sz w:val="24"/>
          <w:szCs w:val="24"/>
        </w:rPr>
        <w:t>altwater recreational fishing</w:t>
      </w:r>
      <w:r>
        <w:rPr>
          <w:sz w:val="24"/>
          <w:szCs w:val="24"/>
        </w:rPr>
        <w:t xml:space="preserve">. NMFS is asking these questions to </w:t>
      </w:r>
      <w:r w:rsidR="00B62BDC">
        <w:rPr>
          <w:sz w:val="24"/>
          <w:szCs w:val="24"/>
        </w:rPr>
        <w:t xml:space="preserve">understand the diversity of </w:t>
      </w:r>
      <w:r w:rsidR="00217924">
        <w:rPr>
          <w:sz w:val="24"/>
          <w:szCs w:val="24"/>
        </w:rPr>
        <w:t xml:space="preserve">these </w:t>
      </w:r>
      <w:r w:rsidR="00B62BDC">
        <w:rPr>
          <w:sz w:val="24"/>
          <w:szCs w:val="24"/>
        </w:rPr>
        <w:t>angler characteristics</w:t>
      </w:r>
      <w:r w:rsidR="00217924">
        <w:rPr>
          <w:sz w:val="24"/>
          <w:szCs w:val="24"/>
        </w:rPr>
        <w:t>,</w:t>
      </w:r>
      <w:r w:rsidR="00B62BDC">
        <w:rPr>
          <w:sz w:val="24"/>
          <w:szCs w:val="24"/>
        </w:rPr>
        <w:t xml:space="preserve"> which may be linked to the </w:t>
      </w:r>
      <w:r>
        <w:rPr>
          <w:sz w:val="24"/>
          <w:szCs w:val="24"/>
        </w:rPr>
        <w:t>level and extent of involvement</w:t>
      </w:r>
      <w:r w:rsidR="00B62BDC">
        <w:rPr>
          <w:sz w:val="24"/>
          <w:szCs w:val="24"/>
        </w:rPr>
        <w:t xml:space="preserve"> in saltwater recreational a</w:t>
      </w:r>
      <w:r w:rsidR="004C2A88">
        <w:rPr>
          <w:sz w:val="24"/>
          <w:szCs w:val="24"/>
        </w:rPr>
        <w:t xml:space="preserve">ngler </w:t>
      </w:r>
      <w:r w:rsidR="00B62BDC">
        <w:rPr>
          <w:sz w:val="24"/>
          <w:szCs w:val="24"/>
        </w:rPr>
        <w:t xml:space="preserve">networks. An understanding of these characteristics is important for </w:t>
      </w:r>
      <w:r w:rsidR="00217924">
        <w:rPr>
          <w:sz w:val="24"/>
          <w:szCs w:val="24"/>
        </w:rPr>
        <w:t>evaluating</w:t>
      </w:r>
      <w:r w:rsidR="00B62BDC">
        <w:rPr>
          <w:sz w:val="24"/>
          <w:szCs w:val="24"/>
        </w:rPr>
        <w:t xml:space="preserve"> the social structure</w:t>
      </w:r>
      <w:r w:rsidR="00217924">
        <w:rPr>
          <w:sz w:val="24"/>
          <w:szCs w:val="24"/>
        </w:rPr>
        <w:t xml:space="preserve"> of anglers who may, or may not, interact in a social network. Likewise, the second section of the survey’s questions concerning anglers knowledge of saltwater recreational fishing regulations, interactions with State or Federal fisheries management, knowledge and understanding of saltwater recreational fisheries data collection and data use, anglers’ attitudes about the effectiveness of fisheries management rules, and perception of, and trust in fisheries managers</w:t>
      </w:r>
      <w:r w:rsidR="004C2A88">
        <w:rPr>
          <w:sz w:val="24"/>
          <w:szCs w:val="24"/>
        </w:rPr>
        <w:t>,</w:t>
      </w:r>
      <w:r w:rsidR="00217924">
        <w:rPr>
          <w:sz w:val="24"/>
          <w:szCs w:val="24"/>
        </w:rPr>
        <w:t xml:space="preserve"> are important for understanding the </w:t>
      </w:r>
      <w:r w:rsidR="00BA06A1">
        <w:rPr>
          <w:sz w:val="24"/>
          <w:szCs w:val="24"/>
        </w:rPr>
        <w:t>perception of NMFS among</w:t>
      </w:r>
      <w:r w:rsidR="00C127FA">
        <w:rPr>
          <w:sz w:val="24"/>
          <w:szCs w:val="24"/>
        </w:rPr>
        <w:t xml:space="preserve"> different types of recreational anglers. </w:t>
      </w:r>
      <w:r w:rsidR="00BA06A1">
        <w:rPr>
          <w:sz w:val="24"/>
          <w:szCs w:val="24"/>
        </w:rPr>
        <w:t xml:space="preserve">These attitudes and perceptions are likely formed, in part, by </w:t>
      </w:r>
      <w:r w:rsidR="004C2A88">
        <w:rPr>
          <w:sz w:val="24"/>
          <w:szCs w:val="24"/>
        </w:rPr>
        <w:t xml:space="preserve">their fishing background, </w:t>
      </w:r>
      <w:r w:rsidR="00BA06A1">
        <w:rPr>
          <w:sz w:val="24"/>
          <w:szCs w:val="24"/>
        </w:rPr>
        <w:t xml:space="preserve">the anglers’ sources of information (and the level of trust about saltwater fishing regulations and data collection from </w:t>
      </w:r>
      <w:r w:rsidR="004C2A88">
        <w:rPr>
          <w:sz w:val="24"/>
          <w:szCs w:val="24"/>
        </w:rPr>
        <w:t>these</w:t>
      </w:r>
      <w:r w:rsidR="00BA06A1">
        <w:rPr>
          <w:sz w:val="24"/>
          <w:szCs w:val="24"/>
        </w:rPr>
        <w:t xml:space="preserve"> sources), from which anglers gather information on saltwater fishing and saltwater</w:t>
      </w:r>
      <w:r w:rsidR="004C2A88">
        <w:rPr>
          <w:sz w:val="24"/>
          <w:szCs w:val="24"/>
        </w:rPr>
        <w:t xml:space="preserve"> fisheries </w:t>
      </w:r>
      <w:r w:rsidR="003E5FBF">
        <w:rPr>
          <w:sz w:val="24"/>
          <w:szCs w:val="24"/>
        </w:rPr>
        <w:t>management</w:t>
      </w:r>
      <w:r w:rsidR="00BA06A1">
        <w:rPr>
          <w:sz w:val="24"/>
          <w:szCs w:val="24"/>
        </w:rPr>
        <w:t xml:space="preserve">. </w:t>
      </w:r>
      <w:r w:rsidR="0067240E">
        <w:rPr>
          <w:sz w:val="24"/>
          <w:szCs w:val="24"/>
        </w:rPr>
        <w:t>Finally</w:t>
      </w:r>
      <w:r w:rsidR="00BA06A1">
        <w:rPr>
          <w:sz w:val="24"/>
          <w:szCs w:val="24"/>
        </w:rPr>
        <w:t xml:space="preserve">, </w:t>
      </w:r>
      <w:r w:rsidR="0067240E">
        <w:rPr>
          <w:sz w:val="24"/>
          <w:szCs w:val="24"/>
        </w:rPr>
        <w:t xml:space="preserve">it is likely the </w:t>
      </w:r>
      <w:r w:rsidR="00BA06A1">
        <w:rPr>
          <w:sz w:val="24"/>
          <w:szCs w:val="24"/>
        </w:rPr>
        <w:t>demogr</w:t>
      </w:r>
      <w:r w:rsidR="0067240E">
        <w:rPr>
          <w:sz w:val="24"/>
          <w:szCs w:val="24"/>
        </w:rPr>
        <w:t>aphy of</w:t>
      </w:r>
      <w:r w:rsidR="00BA06A1">
        <w:rPr>
          <w:sz w:val="24"/>
          <w:szCs w:val="24"/>
        </w:rPr>
        <w:t xml:space="preserve"> </w:t>
      </w:r>
      <w:r w:rsidR="0067240E">
        <w:rPr>
          <w:sz w:val="24"/>
          <w:szCs w:val="24"/>
        </w:rPr>
        <w:t>individual anglers</w:t>
      </w:r>
      <w:r w:rsidR="00BA06A1">
        <w:rPr>
          <w:sz w:val="24"/>
          <w:szCs w:val="24"/>
        </w:rPr>
        <w:t xml:space="preserve"> </w:t>
      </w:r>
      <w:r w:rsidR="0067240E">
        <w:rPr>
          <w:sz w:val="24"/>
          <w:szCs w:val="24"/>
        </w:rPr>
        <w:t>is also an influencing component of angler</w:t>
      </w:r>
      <w:r w:rsidR="00BA06A1">
        <w:rPr>
          <w:sz w:val="24"/>
          <w:szCs w:val="24"/>
        </w:rPr>
        <w:t xml:space="preserve"> </w:t>
      </w:r>
      <w:r w:rsidR="0067240E">
        <w:rPr>
          <w:sz w:val="24"/>
          <w:szCs w:val="24"/>
        </w:rPr>
        <w:t xml:space="preserve">perception of fisheries managers and NMFS. The </w:t>
      </w:r>
      <w:r w:rsidR="004C2A88">
        <w:rPr>
          <w:sz w:val="24"/>
          <w:szCs w:val="24"/>
        </w:rPr>
        <w:t>availability</w:t>
      </w:r>
      <w:r w:rsidR="0067240E">
        <w:rPr>
          <w:sz w:val="24"/>
          <w:szCs w:val="24"/>
        </w:rPr>
        <w:t xml:space="preserve"> of demographic characteristics</w:t>
      </w:r>
      <w:r w:rsidR="00C127FA">
        <w:rPr>
          <w:sz w:val="24"/>
          <w:szCs w:val="24"/>
        </w:rPr>
        <w:t xml:space="preserve"> and angler attitudes and beliefs regarding fisheries management and data collection</w:t>
      </w:r>
      <w:r w:rsidR="0067240E">
        <w:rPr>
          <w:sz w:val="24"/>
          <w:szCs w:val="24"/>
        </w:rPr>
        <w:t xml:space="preserve"> will help NMFS understand the similarities and differences among and between </w:t>
      </w:r>
      <w:r w:rsidR="00C127FA">
        <w:rPr>
          <w:sz w:val="24"/>
          <w:szCs w:val="24"/>
        </w:rPr>
        <w:t xml:space="preserve">different </w:t>
      </w:r>
      <w:r w:rsidR="0067240E">
        <w:rPr>
          <w:sz w:val="24"/>
          <w:szCs w:val="24"/>
        </w:rPr>
        <w:t xml:space="preserve">groups of anglers. Ultimately, all of these components are necessary as part of the social network analysis </w:t>
      </w:r>
      <w:r w:rsidR="008A4902">
        <w:rPr>
          <w:sz w:val="24"/>
          <w:szCs w:val="24"/>
        </w:rPr>
        <w:t xml:space="preserve">to identify </w:t>
      </w:r>
      <w:r w:rsidR="00FA0282">
        <w:rPr>
          <w:sz w:val="24"/>
          <w:szCs w:val="24"/>
        </w:rPr>
        <w:t xml:space="preserve">data-driven </w:t>
      </w:r>
      <w:r w:rsidR="008A4902">
        <w:rPr>
          <w:sz w:val="24"/>
          <w:szCs w:val="24"/>
        </w:rPr>
        <w:t xml:space="preserve">strategies for </w:t>
      </w:r>
      <w:r w:rsidR="00FA0282">
        <w:rPr>
          <w:sz w:val="24"/>
          <w:szCs w:val="24"/>
        </w:rPr>
        <w:t xml:space="preserve">outreach and effective communication </w:t>
      </w:r>
      <w:r w:rsidR="008A4902">
        <w:rPr>
          <w:sz w:val="24"/>
          <w:szCs w:val="24"/>
        </w:rPr>
        <w:t>with anglers</w:t>
      </w:r>
      <w:r w:rsidR="001A6426">
        <w:rPr>
          <w:sz w:val="24"/>
          <w:szCs w:val="24"/>
        </w:rPr>
        <w:t>.</w:t>
      </w:r>
    </w:p>
    <w:p w14:paraId="0C422B54" w14:textId="77777777" w:rsidR="00965D97" w:rsidRPr="007208BF" w:rsidRDefault="00965D97" w:rsidP="004F4138">
      <w:pPr>
        <w:rPr>
          <w:sz w:val="16"/>
          <w:szCs w:val="16"/>
        </w:rPr>
      </w:pPr>
    </w:p>
    <w:p w14:paraId="6184DA9A" w14:textId="77777777" w:rsidR="004F26E9" w:rsidRDefault="004F26E9">
      <w:pPr>
        <w:rPr>
          <w:b/>
          <w:bCs/>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14:paraId="40C342C7" w14:textId="77777777" w:rsidR="00932CBD" w:rsidRPr="007208BF" w:rsidRDefault="00932CBD">
      <w:pPr>
        <w:rPr>
          <w:b/>
          <w:bCs/>
          <w:sz w:val="16"/>
          <w:szCs w:val="16"/>
        </w:rPr>
      </w:pPr>
    </w:p>
    <w:p w14:paraId="1DE5974C" w14:textId="77777777" w:rsidR="00932CBD" w:rsidRPr="00932CBD" w:rsidRDefault="00932CBD" w:rsidP="001A4159">
      <w:pPr>
        <w:rPr>
          <w:sz w:val="24"/>
          <w:szCs w:val="24"/>
        </w:rPr>
      </w:pPr>
      <w:r>
        <w:rPr>
          <w:bCs/>
          <w:sz w:val="24"/>
          <w:szCs w:val="24"/>
        </w:rPr>
        <w:t>The SNAMS</w:t>
      </w:r>
      <w:r w:rsidR="00731186">
        <w:rPr>
          <w:bCs/>
          <w:sz w:val="24"/>
          <w:szCs w:val="24"/>
        </w:rPr>
        <w:t xml:space="preserve"> is a one-time data </w:t>
      </w:r>
      <w:r w:rsidR="004637EE">
        <w:rPr>
          <w:bCs/>
          <w:sz w:val="24"/>
          <w:szCs w:val="24"/>
        </w:rPr>
        <w:t>collection</w:t>
      </w:r>
      <w:r>
        <w:rPr>
          <w:bCs/>
          <w:sz w:val="24"/>
          <w:szCs w:val="24"/>
        </w:rPr>
        <w:t xml:space="preserve"> to </w:t>
      </w:r>
      <w:r w:rsidRPr="00932CBD">
        <w:rPr>
          <w:bCs/>
          <w:sz w:val="24"/>
          <w:szCs w:val="24"/>
        </w:rPr>
        <w:t>research how marine recreational anglers gather, share, and evaluate information on topics related to fisheries data collection, fisheries regulations, stock assessments, the overall health of fisheries, fisheries science, and fisheries management.</w:t>
      </w:r>
      <w:r>
        <w:rPr>
          <w:bCs/>
          <w:sz w:val="24"/>
          <w:szCs w:val="24"/>
        </w:rPr>
        <w:t xml:space="preserve"> </w:t>
      </w:r>
      <w:r w:rsidR="00E84C60">
        <w:rPr>
          <w:bCs/>
          <w:sz w:val="24"/>
          <w:szCs w:val="24"/>
        </w:rPr>
        <w:t>The MRIP</w:t>
      </w:r>
      <w:r>
        <w:rPr>
          <w:bCs/>
          <w:sz w:val="24"/>
          <w:szCs w:val="24"/>
        </w:rPr>
        <w:t xml:space="preserve"> Communication and Education Team (CET)</w:t>
      </w:r>
      <w:r w:rsidR="00E84C60">
        <w:rPr>
          <w:bCs/>
          <w:sz w:val="24"/>
          <w:szCs w:val="24"/>
        </w:rPr>
        <w:t xml:space="preserve"> </w:t>
      </w:r>
      <w:r>
        <w:rPr>
          <w:bCs/>
          <w:sz w:val="24"/>
          <w:szCs w:val="24"/>
        </w:rPr>
        <w:t>will be the primary user of the information to be collected.</w:t>
      </w:r>
    </w:p>
    <w:p w14:paraId="0BEA11A2" w14:textId="77777777" w:rsidR="004F26E9" w:rsidRPr="007208BF" w:rsidRDefault="004F26E9" w:rsidP="001A4159">
      <w:pPr>
        <w:rPr>
          <w:sz w:val="16"/>
          <w:szCs w:val="16"/>
        </w:rPr>
      </w:pPr>
    </w:p>
    <w:p w14:paraId="2DB33138" w14:textId="77777777" w:rsidR="004F26E9" w:rsidRDefault="00E84C60" w:rsidP="001A4159">
      <w:pPr>
        <w:rPr>
          <w:sz w:val="24"/>
          <w:szCs w:val="24"/>
        </w:rPr>
      </w:pPr>
      <w:r>
        <w:rPr>
          <w:sz w:val="24"/>
          <w:szCs w:val="24"/>
        </w:rPr>
        <w:t xml:space="preserve">Stakeholder attitudes toward and trust in resource management agencies can play a key role in how the agencies’ actions are perceived and how their messages are received (Vaske et al. 2007; Carlton 2012; Carlton and Jacobson 2013). Effective communication is critical to building trust among stakeholders, garnering support for resource management decisions, and successfully transmitting critical resource management information (Jacobson 2009). However, effective communication is a complex process, relying on an interplay between the message, the messenger, the medium, and the audience to determine how information is transmitted to and understood by the audience. The best channels for reaching stakeholders are not always obvious or direct from afar (Prokopy et al. 2015). By asking stakeholders about their attitudes toward and trust in fishery management agencies, their preferred sources of fishery information, and who they talk to about fishery data collection and management issues, their communication networks can be examined. Understanding the communication networks will elucidate how information </w:t>
      </w:r>
      <w:r>
        <w:rPr>
          <w:sz w:val="24"/>
          <w:szCs w:val="24"/>
        </w:rPr>
        <w:lastRenderedPageBreak/>
        <w:t>flows in the system, the relationship between different information sources and attitudes toward and trust in management, and regional differences in attitudes toward and trust in management. Th</w:t>
      </w:r>
      <w:r w:rsidR="006567CD">
        <w:rPr>
          <w:sz w:val="24"/>
          <w:szCs w:val="24"/>
        </w:rPr>
        <w:t xml:space="preserve">e results of the </w:t>
      </w:r>
      <w:r w:rsidR="006567CD" w:rsidRPr="006567CD">
        <w:rPr>
          <w:sz w:val="24"/>
          <w:szCs w:val="24"/>
        </w:rPr>
        <w:t xml:space="preserve">survey will be used to improve: 1) our understanding of saltwater recreational </w:t>
      </w:r>
      <w:r w:rsidR="006567CD">
        <w:rPr>
          <w:sz w:val="24"/>
          <w:szCs w:val="24"/>
        </w:rPr>
        <w:t>anglers’</w:t>
      </w:r>
      <w:r w:rsidR="006567CD" w:rsidRPr="006567CD">
        <w:rPr>
          <w:sz w:val="24"/>
          <w:szCs w:val="24"/>
        </w:rPr>
        <w:t xml:space="preserve"> knowledge, opinions, and beliefs on data collection</w:t>
      </w:r>
      <w:r w:rsidR="006567CD">
        <w:rPr>
          <w:sz w:val="24"/>
          <w:szCs w:val="24"/>
        </w:rPr>
        <w:t xml:space="preserve"> and fisheries management</w:t>
      </w:r>
      <w:r w:rsidR="006567CD" w:rsidRPr="006567CD">
        <w:rPr>
          <w:sz w:val="24"/>
          <w:szCs w:val="24"/>
        </w:rPr>
        <w:t xml:space="preserve">, and 2) how we communicate with saltwater recreational </w:t>
      </w:r>
      <w:r w:rsidR="006567CD">
        <w:rPr>
          <w:sz w:val="24"/>
          <w:szCs w:val="24"/>
        </w:rPr>
        <w:t>anglers</w:t>
      </w:r>
      <w:r w:rsidR="006567CD" w:rsidRPr="006567CD">
        <w:rPr>
          <w:sz w:val="24"/>
          <w:szCs w:val="24"/>
        </w:rPr>
        <w:t>.</w:t>
      </w:r>
    </w:p>
    <w:p w14:paraId="4E74021E" w14:textId="77777777" w:rsidR="00301121" w:rsidRPr="007208BF" w:rsidRDefault="00301121" w:rsidP="001A4159">
      <w:pPr>
        <w:rPr>
          <w:sz w:val="16"/>
          <w:szCs w:val="16"/>
        </w:rPr>
      </w:pPr>
    </w:p>
    <w:p w14:paraId="53820B65" w14:textId="77777777" w:rsidR="00ED14E1" w:rsidRDefault="00ED14E1" w:rsidP="004637EE">
      <w:pPr>
        <w:rPr>
          <w:sz w:val="24"/>
          <w:szCs w:val="24"/>
        </w:rPr>
      </w:pPr>
      <w:r w:rsidRPr="00ED14E1">
        <w:rPr>
          <w:sz w:val="24"/>
          <w:szCs w:val="24"/>
        </w:rPr>
        <w:t>The</w:t>
      </w:r>
      <w:r>
        <w:rPr>
          <w:sz w:val="24"/>
          <w:szCs w:val="24"/>
        </w:rPr>
        <w:t xml:space="preserve"> </w:t>
      </w:r>
      <w:r w:rsidRPr="00ED14E1">
        <w:rPr>
          <w:sz w:val="24"/>
          <w:szCs w:val="24"/>
        </w:rPr>
        <w:t xml:space="preserve">proposed questionnaire was developed in consultation with Dr. </w:t>
      </w:r>
      <w:r>
        <w:rPr>
          <w:sz w:val="24"/>
          <w:szCs w:val="24"/>
        </w:rPr>
        <w:t xml:space="preserve">Andrew Ropicki </w:t>
      </w:r>
      <w:r w:rsidRPr="00ED14E1">
        <w:rPr>
          <w:sz w:val="24"/>
          <w:szCs w:val="24"/>
        </w:rPr>
        <w:t xml:space="preserve">of </w:t>
      </w:r>
      <w:r>
        <w:rPr>
          <w:sz w:val="24"/>
          <w:szCs w:val="24"/>
        </w:rPr>
        <w:t>Texas A&amp;M</w:t>
      </w:r>
      <w:r w:rsidR="006567CD">
        <w:rPr>
          <w:sz w:val="24"/>
          <w:szCs w:val="24"/>
        </w:rPr>
        <w:t xml:space="preserve"> University</w:t>
      </w:r>
      <w:r>
        <w:rPr>
          <w:sz w:val="24"/>
          <w:szCs w:val="24"/>
        </w:rPr>
        <w:t>, Dr. Stuart Carlton of Purdue University</w:t>
      </w:r>
      <w:r w:rsidRPr="00ED14E1">
        <w:rPr>
          <w:sz w:val="24"/>
          <w:szCs w:val="24"/>
        </w:rPr>
        <w:t>, industry experts</w:t>
      </w:r>
      <w:r>
        <w:rPr>
          <w:sz w:val="24"/>
          <w:szCs w:val="24"/>
        </w:rPr>
        <w:t xml:space="preserve">, </w:t>
      </w:r>
      <w:r w:rsidRPr="00ED14E1">
        <w:rPr>
          <w:sz w:val="24"/>
          <w:szCs w:val="24"/>
        </w:rPr>
        <w:t>and NMFS staff.</w:t>
      </w:r>
      <w:r>
        <w:rPr>
          <w:sz w:val="24"/>
          <w:szCs w:val="24"/>
        </w:rPr>
        <w:t xml:space="preserve"> </w:t>
      </w:r>
      <w:r w:rsidR="00BA7AA4">
        <w:rPr>
          <w:sz w:val="24"/>
          <w:szCs w:val="24"/>
        </w:rPr>
        <w:t xml:space="preserve">The survey form is organized to ease </w:t>
      </w:r>
      <w:r w:rsidR="00507AEF">
        <w:rPr>
          <w:sz w:val="24"/>
          <w:szCs w:val="24"/>
        </w:rPr>
        <w:t xml:space="preserve">data collection </w:t>
      </w:r>
      <w:r w:rsidR="004637EE">
        <w:rPr>
          <w:sz w:val="24"/>
          <w:szCs w:val="24"/>
        </w:rPr>
        <w:t xml:space="preserve">and has </w:t>
      </w:r>
      <w:r w:rsidR="00BA7AA4">
        <w:rPr>
          <w:sz w:val="24"/>
          <w:szCs w:val="24"/>
        </w:rPr>
        <w:t>clearly</w:t>
      </w:r>
      <w:r w:rsidR="00507AEF">
        <w:rPr>
          <w:sz w:val="24"/>
          <w:szCs w:val="24"/>
        </w:rPr>
        <w:t xml:space="preserve"> defined sections which</w:t>
      </w:r>
      <w:r w:rsidR="00BA7AA4">
        <w:rPr>
          <w:sz w:val="24"/>
          <w:szCs w:val="24"/>
        </w:rPr>
        <w:t xml:space="preserve"> identif</w:t>
      </w:r>
      <w:r w:rsidR="00507AEF">
        <w:rPr>
          <w:sz w:val="24"/>
          <w:szCs w:val="24"/>
        </w:rPr>
        <w:t>y</w:t>
      </w:r>
      <w:r w:rsidR="00BA7AA4">
        <w:rPr>
          <w:sz w:val="24"/>
          <w:szCs w:val="24"/>
        </w:rPr>
        <w:t xml:space="preserve"> the types of data being collected. The survey will collect information on 1) saltwater recreational fishing habits, 2) saltwater recreational fisheries management and data collection, 3) sources for saltwater recreational fishing information, and 4) demographic information.</w:t>
      </w:r>
      <w:r w:rsidR="004637EE" w:rsidRPr="004637EE">
        <w:rPr>
          <w:sz w:val="24"/>
          <w:szCs w:val="24"/>
        </w:rPr>
        <w:t xml:space="preserve"> </w:t>
      </w:r>
      <w:r w:rsidR="004637EE">
        <w:rPr>
          <w:sz w:val="24"/>
          <w:szCs w:val="24"/>
        </w:rPr>
        <w:t>Collectively, these sections will</w:t>
      </w:r>
      <w:r w:rsidR="004637EE" w:rsidRPr="00301121">
        <w:rPr>
          <w:sz w:val="24"/>
          <w:szCs w:val="24"/>
        </w:rPr>
        <w:t xml:space="preserve"> </w:t>
      </w:r>
      <w:r w:rsidR="004637EE">
        <w:rPr>
          <w:sz w:val="24"/>
          <w:szCs w:val="24"/>
        </w:rPr>
        <w:t>provide</w:t>
      </w:r>
      <w:r w:rsidR="004637EE" w:rsidRPr="00301121">
        <w:rPr>
          <w:sz w:val="24"/>
          <w:szCs w:val="24"/>
        </w:rPr>
        <w:t xml:space="preserve"> insight</w:t>
      </w:r>
      <w:r w:rsidR="004637EE">
        <w:rPr>
          <w:sz w:val="24"/>
          <w:szCs w:val="24"/>
        </w:rPr>
        <w:t>s</w:t>
      </w:r>
      <w:r w:rsidR="004637EE" w:rsidRPr="00301121">
        <w:rPr>
          <w:sz w:val="24"/>
          <w:szCs w:val="24"/>
        </w:rPr>
        <w:t xml:space="preserve"> into how recreational anglers gather and evaluate information </w:t>
      </w:r>
      <w:r w:rsidR="004637EE">
        <w:rPr>
          <w:sz w:val="24"/>
          <w:szCs w:val="24"/>
        </w:rPr>
        <w:t>on recreational fisheries.</w:t>
      </w:r>
    </w:p>
    <w:p w14:paraId="3EFBFB02" w14:textId="77777777" w:rsidR="00BA7AA4" w:rsidRPr="007208BF" w:rsidRDefault="00BA7AA4" w:rsidP="001A4159">
      <w:pPr>
        <w:rPr>
          <w:sz w:val="16"/>
          <w:szCs w:val="16"/>
        </w:rPr>
      </w:pPr>
    </w:p>
    <w:p w14:paraId="63D942FB" w14:textId="77777777" w:rsidR="001A4159" w:rsidRDefault="00664CB0" w:rsidP="001A4159">
      <w:pPr>
        <w:rPr>
          <w:sz w:val="24"/>
          <w:szCs w:val="24"/>
        </w:rPr>
      </w:pPr>
      <w:r>
        <w:rPr>
          <w:sz w:val="24"/>
          <w:szCs w:val="24"/>
        </w:rPr>
        <w:t>Section 1 – Saltwater Fishing Habits</w:t>
      </w:r>
    </w:p>
    <w:p w14:paraId="20EB8D6C" w14:textId="77777777" w:rsidR="00664CB0" w:rsidRDefault="00400CA9" w:rsidP="001A4159">
      <w:pPr>
        <w:rPr>
          <w:sz w:val="24"/>
          <w:szCs w:val="24"/>
        </w:rPr>
      </w:pPr>
      <w:r>
        <w:rPr>
          <w:sz w:val="24"/>
          <w:szCs w:val="24"/>
        </w:rPr>
        <w:t>This section seeks to describe the actual level of involvement an individual has in recreational fishing. Questions are asked to determine fishing avidity, location of fishing activity, and reasons for fishing. The results of these questions will primarily be used for outreach and education purposes.</w:t>
      </w:r>
    </w:p>
    <w:p w14:paraId="079D33D7" w14:textId="77777777" w:rsidR="0078435A" w:rsidRPr="007208BF" w:rsidRDefault="0078435A" w:rsidP="001A4159">
      <w:pPr>
        <w:rPr>
          <w:sz w:val="16"/>
          <w:szCs w:val="16"/>
        </w:rPr>
      </w:pPr>
    </w:p>
    <w:p w14:paraId="34DA7D26" w14:textId="77777777" w:rsidR="00664CB0" w:rsidRDefault="00664CB0" w:rsidP="001A4159">
      <w:pPr>
        <w:rPr>
          <w:sz w:val="24"/>
          <w:szCs w:val="24"/>
        </w:rPr>
      </w:pPr>
      <w:r>
        <w:rPr>
          <w:sz w:val="24"/>
          <w:szCs w:val="24"/>
        </w:rPr>
        <w:t>Section 2 – Saltwater Recreational Fisheries Management</w:t>
      </w:r>
    </w:p>
    <w:p w14:paraId="3CFFDD91" w14:textId="77777777" w:rsidR="00664CB0" w:rsidRDefault="00400CA9" w:rsidP="001A4159">
      <w:pPr>
        <w:rPr>
          <w:sz w:val="24"/>
          <w:szCs w:val="24"/>
        </w:rPr>
      </w:pPr>
      <w:r>
        <w:rPr>
          <w:sz w:val="24"/>
          <w:szCs w:val="24"/>
        </w:rPr>
        <w:t xml:space="preserve">This section </w:t>
      </w:r>
      <w:r w:rsidR="00DB0CCB">
        <w:rPr>
          <w:sz w:val="24"/>
          <w:szCs w:val="24"/>
        </w:rPr>
        <w:t>evaluates</w:t>
      </w:r>
      <w:r>
        <w:rPr>
          <w:sz w:val="24"/>
          <w:szCs w:val="24"/>
        </w:rPr>
        <w:t xml:space="preserve"> the level of </w:t>
      </w:r>
      <w:r w:rsidR="003C4861">
        <w:rPr>
          <w:sz w:val="24"/>
          <w:szCs w:val="24"/>
        </w:rPr>
        <w:t>knowledge of, understanding of</w:t>
      </w:r>
      <w:r>
        <w:rPr>
          <w:sz w:val="24"/>
          <w:szCs w:val="24"/>
        </w:rPr>
        <w:t>,</w:t>
      </w:r>
      <w:r w:rsidR="003C4861">
        <w:rPr>
          <w:sz w:val="24"/>
          <w:szCs w:val="24"/>
        </w:rPr>
        <w:t xml:space="preserve"> trust in, and preferences for </w:t>
      </w:r>
      <w:r w:rsidR="003C4861" w:rsidRPr="00400CA9">
        <w:rPr>
          <w:sz w:val="24"/>
          <w:szCs w:val="24"/>
        </w:rPr>
        <w:t xml:space="preserve">recreational </w:t>
      </w:r>
      <w:r w:rsidRPr="00400CA9">
        <w:rPr>
          <w:sz w:val="24"/>
          <w:szCs w:val="24"/>
        </w:rPr>
        <w:t xml:space="preserve">saltwater fisheries </w:t>
      </w:r>
      <w:r w:rsidR="003C4861">
        <w:rPr>
          <w:sz w:val="24"/>
          <w:szCs w:val="24"/>
        </w:rPr>
        <w:t>regulations, management, data collection, and data use</w:t>
      </w:r>
      <w:r w:rsidRPr="00400CA9">
        <w:rPr>
          <w:sz w:val="24"/>
          <w:szCs w:val="24"/>
        </w:rPr>
        <w:t>.</w:t>
      </w:r>
      <w:r>
        <w:rPr>
          <w:sz w:val="24"/>
          <w:szCs w:val="24"/>
        </w:rPr>
        <w:t xml:space="preserve"> </w:t>
      </w:r>
      <w:r w:rsidR="003C4861">
        <w:rPr>
          <w:sz w:val="24"/>
          <w:szCs w:val="24"/>
        </w:rPr>
        <w:t xml:space="preserve">There is also a question to determine if the respondent has attended a public meeting or contacted a fisheries agency to discuss fisheries issues in the past three years. </w:t>
      </w:r>
      <w:r>
        <w:rPr>
          <w:sz w:val="24"/>
          <w:szCs w:val="24"/>
        </w:rPr>
        <w:t xml:space="preserve">These results </w:t>
      </w:r>
      <w:r w:rsidR="004637EE">
        <w:rPr>
          <w:sz w:val="24"/>
          <w:szCs w:val="24"/>
        </w:rPr>
        <w:t>will a</w:t>
      </w:r>
      <w:r>
        <w:rPr>
          <w:sz w:val="24"/>
          <w:szCs w:val="24"/>
        </w:rPr>
        <w:t xml:space="preserve">ssist </w:t>
      </w:r>
      <w:r w:rsidR="003C4861">
        <w:rPr>
          <w:sz w:val="24"/>
          <w:szCs w:val="24"/>
        </w:rPr>
        <w:t xml:space="preserve">in building communication strategies, </w:t>
      </w:r>
      <w:r>
        <w:rPr>
          <w:sz w:val="24"/>
          <w:szCs w:val="24"/>
        </w:rPr>
        <w:t>managing angler expectations</w:t>
      </w:r>
      <w:r w:rsidR="003C4861">
        <w:rPr>
          <w:sz w:val="24"/>
          <w:szCs w:val="24"/>
        </w:rPr>
        <w:t>,</w:t>
      </w:r>
      <w:r w:rsidR="00EE4506">
        <w:rPr>
          <w:sz w:val="24"/>
          <w:szCs w:val="24"/>
        </w:rPr>
        <w:t xml:space="preserve"> and </w:t>
      </w:r>
      <w:r>
        <w:rPr>
          <w:sz w:val="24"/>
          <w:szCs w:val="24"/>
        </w:rPr>
        <w:t>target</w:t>
      </w:r>
      <w:r w:rsidR="00EE4506">
        <w:rPr>
          <w:sz w:val="24"/>
          <w:szCs w:val="24"/>
        </w:rPr>
        <w:t>ing</w:t>
      </w:r>
      <w:r>
        <w:rPr>
          <w:sz w:val="24"/>
          <w:szCs w:val="24"/>
        </w:rPr>
        <w:t xml:space="preserve"> </w:t>
      </w:r>
      <w:r w:rsidR="003C4861">
        <w:rPr>
          <w:sz w:val="24"/>
          <w:szCs w:val="24"/>
        </w:rPr>
        <w:t xml:space="preserve">outreach </w:t>
      </w:r>
      <w:r w:rsidR="00EE4506">
        <w:rPr>
          <w:sz w:val="24"/>
          <w:szCs w:val="24"/>
        </w:rPr>
        <w:t>and messaging.</w:t>
      </w:r>
    </w:p>
    <w:p w14:paraId="3EE3D772" w14:textId="77777777" w:rsidR="00664CB0" w:rsidRPr="007208BF" w:rsidRDefault="00664CB0" w:rsidP="001A4159">
      <w:pPr>
        <w:rPr>
          <w:sz w:val="16"/>
          <w:szCs w:val="16"/>
        </w:rPr>
      </w:pPr>
    </w:p>
    <w:p w14:paraId="45CD0D1A" w14:textId="77777777" w:rsidR="00664CB0" w:rsidRDefault="00664CB0" w:rsidP="001A4159">
      <w:pPr>
        <w:rPr>
          <w:sz w:val="24"/>
          <w:szCs w:val="24"/>
        </w:rPr>
      </w:pPr>
      <w:r>
        <w:rPr>
          <w:sz w:val="24"/>
          <w:szCs w:val="24"/>
        </w:rPr>
        <w:t>Section 3 – Sources for Saltwater Recreational Fishing Information</w:t>
      </w:r>
    </w:p>
    <w:p w14:paraId="667C6C5E" w14:textId="77777777" w:rsidR="00664CB0" w:rsidRDefault="00682A64" w:rsidP="001A4159">
      <w:pPr>
        <w:rPr>
          <w:sz w:val="24"/>
          <w:szCs w:val="24"/>
        </w:rPr>
      </w:pPr>
      <w:r>
        <w:rPr>
          <w:sz w:val="24"/>
          <w:szCs w:val="24"/>
        </w:rPr>
        <w:t>This section asks about the sources</w:t>
      </w:r>
      <w:r w:rsidR="00553F79">
        <w:rPr>
          <w:sz w:val="24"/>
          <w:szCs w:val="24"/>
        </w:rPr>
        <w:t xml:space="preserve"> recreational anglers use to get information on recreational saltwater fishing. </w:t>
      </w:r>
      <w:r w:rsidR="002914F5">
        <w:rPr>
          <w:sz w:val="24"/>
          <w:szCs w:val="24"/>
        </w:rPr>
        <w:t>Q</w:t>
      </w:r>
      <w:r w:rsidR="00553F79">
        <w:rPr>
          <w:sz w:val="24"/>
          <w:szCs w:val="24"/>
        </w:rPr>
        <w:t xml:space="preserve">uestions </w:t>
      </w:r>
      <w:r w:rsidR="002914F5">
        <w:rPr>
          <w:sz w:val="24"/>
          <w:szCs w:val="24"/>
        </w:rPr>
        <w:t xml:space="preserve">seek </w:t>
      </w:r>
      <w:r w:rsidR="00553F79">
        <w:rPr>
          <w:sz w:val="24"/>
          <w:szCs w:val="24"/>
        </w:rPr>
        <w:t xml:space="preserve">to </w:t>
      </w:r>
      <w:r w:rsidR="002914F5">
        <w:rPr>
          <w:sz w:val="24"/>
          <w:szCs w:val="24"/>
        </w:rPr>
        <w:t xml:space="preserve">identify </w:t>
      </w:r>
      <w:r w:rsidR="00553F79">
        <w:rPr>
          <w:sz w:val="24"/>
          <w:szCs w:val="24"/>
        </w:rPr>
        <w:t xml:space="preserve">the types of sources used, how often sources are used to gather information on fishing, and the level of trust in the sources. There is also a question to understand the size of angler social networks (i.e. how many other </w:t>
      </w:r>
      <w:r w:rsidR="0078435A">
        <w:rPr>
          <w:sz w:val="24"/>
          <w:szCs w:val="24"/>
        </w:rPr>
        <w:t>anglers’</w:t>
      </w:r>
      <w:r w:rsidR="00553F79">
        <w:rPr>
          <w:sz w:val="24"/>
          <w:szCs w:val="24"/>
        </w:rPr>
        <w:t xml:space="preserve"> respondents discuss recreational saltwater fishing with).</w:t>
      </w:r>
    </w:p>
    <w:p w14:paraId="4E564EC1" w14:textId="77777777" w:rsidR="00664CB0" w:rsidRPr="007208BF" w:rsidRDefault="00664CB0" w:rsidP="001A4159">
      <w:pPr>
        <w:rPr>
          <w:sz w:val="16"/>
          <w:szCs w:val="16"/>
        </w:rPr>
      </w:pPr>
    </w:p>
    <w:p w14:paraId="60181E93" w14:textId="77777777" w:rsidR="00664CB0" w:rsidRDefault="00664CB0" w:rsidP="001A4159">
      <w:pPr>
        <w:rPr>
          <w:sz w:val="24"/>
          <w:szCs w:val="24"/>
        </w:rPr>
      </w:pPr>
      <w:r>
        <w:rPr>
          <w:sz w:val="24"/>
          <w:szCs w:val="24"/>
        </w:rPr>
        <w:t>Section 4 – Demographic Information</w:t>
      </w:r>
    </w:p>
    <w:p w14:paraId="1859CCCA" w14:textId="77777777" w:rsidR="001A4159" w:rsidRDefault="00553F79" w:rsidP="001A4159">
      <w:pPr>
        <w:rPr>
          <w:sz w:val="24"/>
          <w:szCs w:val="24"/>
        </w:rPr>
      </w:pPr>
      <w:r>
        <w:rPr>
          <w:sz w:val="24"/>
          <w:szCs w:val="24"/>
        </w:rPr>
        <w:t>This section elicits information on the respondent</w:t>
      </w:r>
      <w:r w:rsidR="002914F5">
        <w:rPr>
          <w:sz w:val="24"/>
          <w:szCs w:val="24"/>
        </w:rPr>
        <w:t xml:space="preserve">; </w:t>
      </w:r>
      <w:r>
        <w:rPr>
          <w:sz w:val="24"/>
          <w:szCs w:val="24"/>
        </w:rPr>
        <w:t xml:space="preserve">their age, level of education, household income, </w:t>
      </w:r>
      <w:r w:rsidR="004637EE">
        <w:rPr>
          <w:sz w:val="24"/>
          <w:szCs w:val="24"/>
        </w:rPr>
        <w:t>gender</w:t>
      </w:r>
      <w:r>
        <w:rPr>
          <w:sz w:val="24"/>
          <w:szCs w:val="24"/>
        </w:rPr>
        <w:t xml:space="preserve">, race, and ethnicity. This standard demographic information will allow us to better understand the unique characteristics of the recreational </w:t>
      </w:r>
      <w:r w:rsidR="004F4138">
        <w:rPr>
          <w:sz w:val="24"/>
          <w:szCs w:val="24"/>
        </w:rPr>
        <w:t>anglers</w:t>
      </w:r>
      <w:r>
        <w:rPr>
          <w:sz w:val="24"/>
          <w:szCs w:val="24"/>
        </w:rPr>
        <w:t xml:space="preserve">. Information collected in this section is comparable to United States (U.S.) Census information. The U.S. Census does not collect or provide the information at a level to be able to identify a specific population of </w:t>
      </w:r>
      <w:r w:rsidR="004F4138">
        <w:rPr>
          <w:sz w:val="24"/>
          <w:szCs w:val="24"/>
        </w:rPr>
        <w:t>anglers</w:t>
      </w:r>
      <w:r>
        <w:rPr>
          <w:sz w:val="24"/>
          <w:szCs w:val="24"/>
        </w:rPr>
        <w:t xml:space="preserve">, or </w:t>
      </w:r>
      <w:r w:rsidR="004F4138">
        <w:rPr>
          <w:sz w:val="24"/>
          <w:szCs w:val="24"/>
        </w:rPr>
        <w:t>fishing</w:t>
      </w:r>
      <w:r>
        <w:rPr>
          <w:sz w:val="24"/>
          <w:szCs w:val="24"/>
        </w:rPr>
        <w:t xml:space="preserve"> as a separate industry. Information about </w:t>
      </w:r>
      <w:r w:rsidR="004F4138">
        <w:rPr>
          <w:sz w:val="24"/>
          <w:szCs w:val="24"/>
        </w:rPr>
        <w:t>fishing</w:t>
      </w:r>
      <w:r>
        <w:rPr>
          <w:sz w:val="24"/>
          <w:szCs w:val="24"/>
        </w:rPr>
        <w:t xml:space="preserve"> in the U.S. Census is aggregated with other industries such as forestry and agriculture. Collection of the data in the section serves to describe this specific population of </w:t>
      </w:r>
      <w:r w:rsidR="002914F5">
        <w:rPr>
          <w:sz w:val="24"/>
          <w:szCs w:val="24"/>
        </w:rPr>
        <w:t>anglers</w:t>
      </w:r>
      <w:r>
        <w:rPr>
          <w:sz w:val="24"/>
          <w:szCs w:val="24"/>
        </w:rPr>
        <w:t xml:space="preserve"> and will allow for comparison to the general U.S</w:t>
      </w:r>
      <w:r w:rsidR="00D0377E">
        <w:rPr>
          <w:sz w:val="24"/>
          <w:szCs w:val="24"/>
        </w:rPr>
        <w:t>.</w:t>
      </w:r>
      <w:r>
        <w:rPr>
          <w:sz w:val="24"/>
          <w:szCs w:val="24"/>
        </w:rPr>
        <w:t xml:space="preserve"> public.</w:t>
      </w:r>
    </w:p>
    <w:p w14:paraId="48121DA0" w14:textId="77777777" w:rsidR="00664CB0" w:rsidRPr="007208BF" w:rsidRDefault="00664CB0" w:rsidP="001A4159">
      <w:pPr>
        <w:rPr>
          <w:sz w:val="16"/>
          <w:szCs w:val="16"/>
        </w:rPr>
      </w:pPr>
    </w:p>
    <w:p w14:paraId="7A075E76" w14:textId="77777777" w:rsidR="00977826" w:rsidRDefault="00D0377E" w:rsidP="00977826">
      <w:pPr>
        <w:pStyle w:val="CM22"/>
        <w:spacing w:after="0"/>
      </w:pPr>
      <w:r>
        <w:t xml:space="preserve">It is anticipated that the information collected will be disseminated to the public or used to support publicly disseminated information. </w:t>
      </w:r>
      <w:r w:rsidR="00977826">
        <w:t xml:space="preserve">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w:t>
      </w:r>
      <w:r w:rsidR="00DB3CB3">
        <w:t>information quality guidelines.</w:t>
      </w:r>
      <w:r w:rsidR="00977826">
        <w:t xml:space="preserve"> The data collected by the SNAMS will be subject to the quality control measures and pre-dissemination review pursuant to </w:t>
      </w:r>
      <w:hyperlink r:id="rId12" w:history="1">
        <w:r w:rsidR="00977826" w:rsidRPr="00942F84">
          <w:rPr>
            <w:rStyle w:val="Hyperlink"/>
          </w:rPr>
          <w:t>Section 515 of Public Law 106-554</w:t>
        </w:r>
      </w:hyperlink>
      <w:r w:rsidR="00DB3CB3">
        <w:t>.</w:t>
      </w:r>
    </w:p>
    <w:p w14:paraId="07BFBED2" w14:textId="77777777" w:rsidR="00301121" w:rsidRPr="007208BF" w:rsidRDefault="00301121" w:rsidP="00301121">
      <w:pPr>
        <w:pStyle w:val="Default"/>
        <w:rPr>
          <w:sz w:val="16"/>
          <w:szCs w:val="16"/>
        </w:rPr>
      </w:pPr>
    </w:p>
    <w:p w14:paraId="62082BC5" w14:textId="77777777" w:rsidR="004F26E9" w:rsidRDefault="004F26E9">
      <w:pPr>
        <w:rPr>
          <w:b/>
          <w:bCs/>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14:paraId="6E840838" w14:textId="77777777" w:rsidR="001D6941" w:rsidRPr="007208BF" w:rsidRDefault="001D6941">
      <w:pPr>
        <w:rPr>
          <w:b/>
          <w:bCs/>
          <w:sz w:val="16"/>
          <w:szCs w:val="16"/>
        </w:rPr>
      </w:pPr>
    </w:p>
    <w:p w14:paraId="5A3C3C83" w14:textId="77777777" w:rsidR="004F26E9" w:rsidRDefault="007503D9">
      <w:pPr>
        <w:rPr>
          <w:sz w:val="24"/>
          <w:szCs w:val="24"/>
        </w:rPr>
      </w:pPr>
      <w:r w:rsidRPr="007503D9">
        <w:rPr>
          <w:sz w:val="24"/>
          <w:szCs w:val="24"/>
        </w:rPr>
        <w:t>The proposed data collection will utilize voluntary, self-administered mail surveys</w:t>
      </w:r>
      <w:r>
        <w:rPr>
          <w:sz w:val="24"/>
          <w:szCs w:val="24"/>
        </w:rPr>
        <w:t xml:space="preserve">. </w:t>
      </w:r>
      <w:r w:rsidR="00833F00" w:rsidRPr="00833F00">
        <w:rPr>
          <w:sz w:val="24"/>
          <w:szCs w:val="24"/>
        </w:rPr>
        <w:t xml:space="preserve">Survey responses for mail surveys will be </w:t>
      </w:r>
      <w:r w:rsidR="00833F00">
        <w:rPr>
          <w:sz w:val="24"/>
          <w:szCs w:val="24"/>
        </w:rPr>
        <w:t xml:space="preserve">entered into electronic databases. Entered data will be error checked </w:t>
      </w:r>
      <w:r w:rsidR="001A0554">
        <w:rPr>
          <w:sz w:val="24"/>
          <w:szCs w:val="24"/>
        </w:rPr>
        <w:t xml:space="preserve">for </w:t>
      </w:r>
      <w:r w:rsidR="001A0554" w:rsidRPr="00833F00">
        <w:rPr>
          <w:sz w:val="24"/>
          <w:szCs w:val="24"/>
        </w:rPr>
        <w:t>accuracy</w:t>
      </w:r>
      <w:r w:rsidR="001A0554">
        <w:rPr>
          <w:sz w:val="24"/>
          <w:szCs w:val="24"/>
        </w:rPr>
        <w:t xml:space="preserve"> </w:t>
      </w:r>
      <w:r w:rsidR="00833F00">
        <w:rPr>
          <w:sz w:val="24"/>
          <w:szCs w:val="24"/>
        </w:rPr>
        <w:t xml:space="preserve">using computer programs </w:t>
      </w:r>
      <w:r w:rsidR="001A0554">
        <w:rPr>
          <w:sz w:val="24"/>
          <w:szCs w:val="24"/>
        </w:rPr>
        <w:t>in written in SAS.</w:t>
      </w:r>
    </w:p>
    <w:p w14:paraId="53EA4448" w14:textId="77777777" w:rsidR="004F26E9" w:rsidRPr="007208BF" w:rsidRDefault="004F26E9">
      <w:pPr>
        <w:rPr>
          <w:sz w:val="16"/>
          <w:szCs w:val="16"/>
        </w:rPr>
      </w:pPr>
    </w:p>
    <w:p w14:paraId="5D4A5E10" w14:textId="77777777"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14:paraId="090778D6" w14:textId="77777777" w:rsidR="004F26E9" w:rsidRPr="007208BF" w:rsidRDefault="004F26E9">
      <w:pPr>
        <w:rPr>
          <w:sz w:val="16"/>
          <w:szCs w:val="16"/>
        </w:rPr>
      </w:pPr>
    </w:p>
    <w:p w14:paraId="7EB3683B" w14:textId="77777777" w:rsidR="004F26E9" w:rsidRDefault="00C170F7" w:rsidP="001F01DD">
      <w:pPr>
        <w:rPr>
          <w:sz w:val="24"/>
          <w:szCs w:val="24"/>
        </w:rPr>
      </w:pPr>
      <w:r w:rsidRPr="001F01DD">
        <w:rPr>
          <w:sz w:val="24"/>
          <w:szCs w:val="24"/>
        </w:rPr>
        <w:t>NMFS collaborates with state natural resource agencies and regional interstate fisheries commissions on the Atlantic and Gulf coasts to ensure that recreational fisheries data co</w:t>
      </w:r>
      <w:r>
        <w:rPr>
          <w:sz w:val="24"/>
          <w:szCs w:val="24"/>
        </w:rPr>
        <w:t>llections are not duplicative. The most recent, related survey was conducted in 2013 (</w:t>
      </w:r>
      <w:r w:rsidR="00E12950">
        <w:rPr>
          <w:sz w:val="24"/>
          <w:szCs w:val="24"/>
        </w:rPr>
        <w:t xml:space="preserve">Brinson and Walmo, OMB # </w:t>
      </w:r>
      <w:r w:rsidR="0006340E">
        <w:rPr>
          <w:sz w:val="24"/>
          <w:szCs w:val="24"/>
        </w:rPr>
        <w:t>0648-0656</w:t>
      </w:r>
      <w:r w:rsidR="00E12950">
        <w:rPr>
          <w:sz w:val="24"/>
          <w:szCs w:val="24"/>
        </w:rPr>
        <w:t xml:space="preserve">) on the </w:t>
      </w:r>
      <w:r w:rsidR="00E12950" w:rsidRPr="00E12950">
        <w:rPr>
          <w:sz w:val="24"/>
          <w:szCs w:val="24"/>
        </w:rPr>
        <w:t>Attitudes and Preferences of Saltwater Recreational Anglers</w:t>
      </w:r>
      <w:r>
        <w:rPr>
          <w:sz w:val="24"/>
          <w:szCs w:val="24"/>
        </w:rPr>
        <w:t xml:space="preserve">. That survey </w:t>
      </w:r>
      <w:r w:rsidR="0006340E">
        <w:rPr>
          <w:sz w:val="24"/>
          <w:szCs w:val="24"/>
        </w:rPr>
        <w:t xml:space="preserve">was conducted </w:t>
      </w:r>
      <w:r>
        <w:rPr>
          <w:sz w:val="24"/>
          <w:szCs w:val="24"/>
        </w:rPr>
        <w:t xml:space="preserve">to understand the range of attitudes, preferences, and concerns that recreational anglers hold towards saltwater fishing and elicited the type of goals and objectives that should be pursued (e.g. in developing guidelines), and overall attitudes and concerns regarding recreational fisheries management. </w:t>
      </w:r>
      <w:r w:rsidR="00503F7F">
        <w:rPr>
          <w:sz w:val="24"/>
          <w:szCs w:val="24"/>
        </w:rPr>
        <w:t>That</w:t>
      </w:r>
      <w:r w:rsidR="001F01DD">
        <w:rPr>
          <w:sz w:val="24"/>
          <w:szCs w:val="24"/>
        </w:rPr>
        <w:t xml:space="preserve"> </w:t>
      </w:r>
      <w:r w:rsidR="001F01DD" w:rsidRPr="001F01DD">
        <w:rPr>
          <w:sz w:val="24"/>
          <w:szCs w:val="24"/>
        </w:rPr>
        <w:t>survey</w:t>
      </w:r>
      <w:r w:rsidR="00503F7F">
        <w:rPr>
          <w:sz w:val="24"/>
          <w:szCs w:val="24"/>
        </w:rPr>
        <w:t xml:space="preserve"> </w:t>
      </w:r>
      <w:r>
        <w:rPr>
          <w:sz w:val="24"/>
          <w:szCs w:val="24"/>
        </w:rPr>
        <w:t>did</w:t>
      </w:r>
      <w:r w:rsidR="00503F7F">
        <w:rPr>
          <w:sz w:val="24"/>
          <w:szCs w:val="24"/>
        </w:rPr>
        <w:t xml:space="preserve"> not provide</w:t>
      </w:r>
      <w:r w:rsidR="001F01DD">
        <w:rPr>
          <w:sz w:val="24"/>
          <w:szCs w:val="24"/>
        </w:rPr>
        <w:t xml:space="preserve"> information on how </w:t>
      </w:r>
      <w:r w:rsidR="0048589D">
        <w:rPr>
          <w:sz w:val="24"/>
          <w:szCs w:val="24"/>
        </w:rPr>
        <w:t xml:space="preserve">recreational </w:t>
      </w:r>
      <w:r w:rsidR="001F01DD">
        <w:rPr>
          <w:sz w:val="24"/>
          <w:szCs w:val="24"/>
        </w:rPr>
        <w:t xml:space="preserve">anglers gather, share, and </w:t>
      </w:r>
      <w:r w:rsidR="001F01DD" w:rsidRPr="00B7407E">
        <w:rPr>
          <w:sz w:val="24"/>
          <w:szCs w:val="24"/>
        </w:rPr>
        <w:t xml:space="preserve">evaluate information on topics related to </w:t>
      </w:r>
      <w:r w:rsidR="001F01DD">
        <w:rPr>
          <w:sz w:val="24"/>
          <w:szCs w:val="24"/>
        </w:rPr>
        <w:t xml:space="preserve">MRIP </w:t>
      </w:r>
      <w:r w:rsidR="001F01DD" w:rsidRPr="00B7407E">
        <w:rPr>
          <w:sz w:val="24"/>
          <w:szCs w:val="24"/>
        </w:rPr>
        <w:t>fisheries data collection, fisheries regulations, stock assessments, the overall health of fisheries, fisheries science, and fisheries management.</w:t>
      </w:r>
    </w:p>
    <w:p w14:paraId="43B28C01" w14:textId="77777777" w:rsidR="0048589D" w:rsidRPr="007208BF" w:rsidRDefault="0048589D" w:rsidP="001F01DD">
      <w:pPr>
        <w:rPr>
          <w:sz w:val="16"/>
          <w:szCs w:val="16"/>
        </w:rPr>
      </w:pPr>
    </w:p>
    <w:p w14:paraId="33B1E3D9" w14:textId="77777777"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14:paraId="4A7EBB5F" w14:textId="77777777" w:rsidR="004F26E9" w:rsidRPr="007208BF" w:rsidRDefault="004F26E9">
      <w:pPr>
        <w:rPr>
          <w:sz w:val="16"/>
          <w:szCs w:val="16"/>
        </w:rPr>
      </w:pPr>
    </w:p>
    <w:p w14:paraId="7AE7068C" w14:textId="77777777" w:rsidR="004F26E9" w:rsidRDefault="009D1CCE">
      <w:pPr>
        <w:rPr>
          <w:sz w:val="24"/>
          <w:szCs w:val="24"/>
        </w:rPr>
      </w:pPr>
      <w:r w:rsidRPr="009D1CCE">
        <w:rPr>
          <w:sz w:val="24"/>
          <w:szCs w:val="24"/>
        </w:rPr>
        <w:t xml:space="preserve">No small businesses </w:t>
      </w:r>
      <w:r w:rsidR="00F603B7">
        <w:rPr>
          <w:sz w:val="24"/>
          <w:szCs w:val="24"/>
        </w:rPr>
        <w:t xml:space="preserve">or other small entities </w:t>
      </w:r>
      <w:r w:rsidRPr="009D1CCE">
        <w:rPr>
          <w:sz w:val="24"/>
          <w:szCs w:val="24"/>
        </w:rPr>
        <w:t>will be impacted by this revision. Individuals are the respondents.</w:t>
      </w:r>
    </w:p>
    <w:p w14:paraId="0BF31D4D" w14:textId="77777777" w:rsidR="004F26E9" w:rsidRPr="007208BF" w:rsidRDefault="004F26E9">
      <w:pPr>
        <w:rPr>
          <w:sz w:val="16"/>
          <w:szCs w:val="16"/>
        </w:rPr>
      </w:pPr>
    </w:p>
    <w:p w14:paraId="08B7D0F1" w14:textId="77777777"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14:paraId="0ED76959" w14:textId="77777777" w:rsidR="004F26E9" w:rsidRPr="007208BF" w:rsidRDefault="004F26E9">
      <w:pPr>
        <w:rPr>
          <w:sz w:val="16"/>
          <w:szCs w:val="16"/>
        </w:rPr>
      </w:pPr>
    </w:p>
    <w:p w14:paraId="78F12CDB" w14:textId="77777777" w:rsidR="004F26E9" w:rsidRDefault="009D1CCE">
      <w:pPr>
        <w:rPr>
          <w:sz w:val="24"/>
          <w:szCs w:val="24"/>
        </w:rPr>
      </w:pPr>
      <w:r w:rsidRPr="009D1CCE">
        <w:rPr>
          <w:sz w:val="24"/>
          <w:szCs w:val="24"/>
        </w:rPr>
        <w:t>If the survey is not conducted, NMF</w:t>
      </w:r>
      <w:r>
        <w:rPr>
          <w:sz w:val="24"/>
          <w:szCs w:val="24"/>
        </w:rPr>
        <w:t xml:space="preserve">S will not obtain information on how recreational anglers gather, share, and evaluate </w:t>
      </w:r>
      <w:r w:rsidRPr="00B7407E">
        <w:rPr>
          <w:sz w:val="24"/>
          <w:szCs w:val="24"/>
        </w:rPr>
        <w:t>information on topics related to fisheries data collection, fisheries regulations, stock assessments, the overall health of fisheries, fisheries science, and fisheries management.</w:t>
      </w:r>
      <w:r>
        <w:rPr>
          <w:sz w:val="24"/>
          <w:szCs w:val="24"/>
        </w:rPr>
        <w:t xml:space="preserve"> </w:t>
      </w:r>
      <w:r w:rsidR="009036D2" w:rsidRPr="009D1CCE">
        <w:rPr>
          <w:sz w:val="24"/>
          <w:szCs w:val="24"/>
        </w:rPr>
        <w:t xml:space="preserve">NMFS </w:t>
      </w:r>
      <w:r w:rsidR="009036D2">
        <w:rPr>
          <w:sz w:val="24"/>
          <w:szCs w:val="24"/>
        </w:rPr>
        <w:t xml:space="preserve">may </w:t>
      </w:r>
      <w:r w:rsidR="009036D2" w:rsidRPr="009D1CCE">
        <w:rPr>
          <w:sz w:val="24"/>
          <w:szCs w:val="24"/>
        </w:rPr>
        <w:t xml:space="preserve">experience difficulty in effectively </w:t>
      </w:r>
      <w:r w:rsidR="009036D2">
        <w:rPr>
          <w:sz w:val="24"/>
          <w:szCs w:val="24"/>
        </w:rPr>
        <w:t>communicating with recreational anglers concerning MRIP</w:t>
      </w:r>
      <w:r w:rsidR="009036D2" w:rsidRPr="009D1CCE">
        <w:rPr>
          <w:sz w:val="24"/>
          <w:szCs w:val="24"/>
        </w:rPr>
        <w:t xml:space="preserve">. </w:t>
      </w:r>
      <w:r w:rsidRPr="009D1CCE">
        <w:rPr>
          <w:sz w:val="24"/>
          <w:szCs w:val="24"/>
        </w:rPr>
        <w:t xml:space="preserve">MRIP </w:t>
      </w:r>
      <w:r w:rsidR="009036D2">
        <w:rPr>
          <w:sz w:val="24"/>
          <w:szCs w:val="24"/>
        </w:rPr>
        <w:t>may have difficulty examining</w:t>
      </w:r>
      <w:r w:rsidRPr="009D1CCE">
        <w:rPr>
          <w:sz w:val="24"/>
          <w:szCs w:val="24"/>
        </w:rPr>
        <w:t xml:space="preserve"> and develop</w:t>
      </w:r>
      <w:r w:rsidR="009036D2">
        <w:rPr>
          <w:sz w:val="24"/>
          <w:szCs w:val="24"/>
        </w:rPr>
        <w:t>ing</w:t>
      </w:r>
      <w:r w:rsidRPr="009D1CCE">
        <w:rPr>
          <w:sz w:val="24"/>
          <w:szCs w:val="24"/>
        </w:rPr>
        <w:t xml:space="preserve"> strategic communications to ensure partners and constituents are engaged in the MRIP redesign process, kept well informed of opportunities to participate, and apprised</w:t>
      </w:r>
      <w:r w:rsidR="00B665E0">
        <w:rPr>
          <w:sz w:val="24"/>
          <w:szCs w:val="24"/>
        </w:rPr>
        <w:t xml:space="preserve"> of the initiative’s progress. </w:t>
      </w:r>
      <w:r>
        <w:rPr>
          <w:sz w:val="24"/>
          <w:szCs w:val="24"/>
        </w:rPr>
        <w:t xml:space="preserve">There are no current plans to implement the SNAMS </w:t>
      </w:r>
      <w:r w:rsidR="009036D2">
        <w:rPr>
          <w:sz w:val="24"/>
          <w:szCs w:val="24"/>
        </w:rPr>
        <w:t>beyond</w:t>
      </w:r>
      <w:r>
        <w:rPr>
          <w:sz w:val="24"/>
          <w:szCs w:val="24"/>
        </w:rPr>
        <w:t xml:space="preserve"> 2019</w:t>
      </w:r>
      <w:r w:rsidR="00064FA3">
        <w:rPr>
          <w:sz w:val="24"/>
          <w:szCs w:val="24"/>
        </w:rPr>
        <w:t xml:space="preserve"> or on a frequent basis</w:t>
      </w:r>
      <w:r w:rsidR="009036D2">
        <w:rPr>
          <w:sz w:val="24"/>
          <w:szCs w:val="24"/>
        </w:rPr>
        <w:t>.</w:t>
      </w:r>
    </w:p>
    <w:p w14:paraId="5752D03C" w14:textId="77777777" w:rsidR="004F26E9" w:rsidRPr="007208BF" w:rsidRDefault="004F26E9">
      <w:pPr>
        <w:rPr>
          <w:sz w:val="16"/>
          <w:szCs w:val="16"/>
        </w:rPr>
      </w:pPr>
    </w:p>
    <w:p w14:paraId="1F0B5F3F" w14:textId="77777777"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14:paraId="1251B860" w14:textId="77777777" w:rsidR="004F26E9" w:rsidRPr="007208BF" w:rsidRDefault="004F26E9">
      <w:pPr>
        <w:rPr>
          <w:sz w:val="16"/>
          <w:szCs w:val="16"/>
        </w:rPr>
      </w:pPr>
    </w:p>
    <w:p w14:paraId="641AEF19" w14:textId="77777777" w:rsidR="004F26E9" w:rsidRPr="009036D2" w:rsidRDefault="009036D2" w:rsidP="009036D2">
      <w:pPr>
        <w:rPr>
          <w:sz w:val="24"/>
          <w:szCs w:val="24"/>
        </w:rPr>
      </w:pPr>
      <w:r w:rsidRPr="009036D2">
        <w:rPr>
          <w:sz w:val="24"/>
          <w:szCs w:val="24"/>
        </w:rPr>
        <w:t>The collection is consistent with OMB guidelines.</w:t>
      </w:r>
    </w:p>
    <w:p w14:paraId="78538312" w14:textId="77777777" w:rsidR="00725C5C" w:rsidRPr="007208BF" w:rsidRDefault="00725C5C">
      <w:pPr>
        <w:rPr>
          <w:b/>
          <w:bCs/>
          <w:sz w:val="16"/>
          <w:szCs w:val="16"/>
        </w:rPr>
      </w:pPr>
    </w:p>
    <w:p w14:paraId="36D84672" w14:textId="77777777"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14:paraId="22135576" w14:textId="77777777" w:rsidR="004F26E9" w:rsidRPr="007208BF" w:rsidRDefault="004F26E9">
      <w:pPr>
        <w:rPr>
          <w:sz w:val="16"/>
          <w:szCs w:val="16"/>
        </w:rPr>
      </w:pPr>
    </w:p>
    <w:p w14:paraId="5AC265BC" w14:textId="77777777" w:rsidR="004F26E9" w:rsidRDefault="001E6F72">
      <w:pPr>
        <w:rPr>
          <w:sz w:val="24"/>
          <w:szCs w:val="24"/>
        </w:rPr>
      </w:pPr>
      <w:r>
        <w:rPr>
          <w:sz w:val="24"/>
          <w:szCs w:val="24"/>
        </w:rPr>
        <w:t xml:space="preserve">A </w:t>
      </w:r>
      <w:r w:rsidRPr="001E6F72">
        <w:rPr>
          <w:sz w:val="24"/>
          <w:szCs w:val="24"/>
          <w:u w:val="single"/>
        </w:rPr>
        <w:t>Federal Register</w:t>
      </w:r>
      <w:r>
        <w:rPr>
          <w:sz w:val="24"/>
          <w:szCs w:val="24"/>
        </w:rPr>
        <w:t xml:space="preserve"> Notice published on </w:t>
      </w:r>
      <w:r w:rsidR="00113371">
        <w:rPr>
          <w:sz w:val="24"/>
          <w:szCs w:val="24"/>
        </w:rPr>
        <w:t>February</w:t>
      </w:r>
      <w:r>
        <w:rPr>
          <w:sz w:val="24"/>
          <w:szCs w:val="24"/>
        </w:rPr>
        <w:t xml:space="preserve"> </w:t>
      </w:r>
      <w:r w:rsidR="00113371">
        <w:rPr>
          <w:sz w:val="24"/>
          <w:szCs w:val="24"/>
        </w:rPr>
        <w:t>2</w:t>
      </w:r>
      <w:r>
        <w:rPr>
          <w:sz w:val="24"/>
          <w:szCs w:val="24"/>
        </w:rPr>
        <w:t xml:space="preserve">, </w:t>
      </w:r>
      <w:r w:rsidR="00113371">
        <w:rPr>
          <w:sz w:val="24"/>
          <w:szCs w:val="24"/>
        </w:rPr>
        <w:t>201</w:t>
      </w:r>
      <w:r w:rsidR="008614F9">
        <w:rPr>
          <w:sz w:val="24"/>
          <w:szCs w:val="24"/>
        </w:rPr>
        <w:t>8</w:t>
      </w:r>
      <w:r>
        <w:rPr>
          <w:sz w:val="24"/>
          <w:szCs w:val="24"/>
        </w:rPr>
        <w:t xml:space="preserve"> (</w:t>
      </w:r>
      <w:r w:rsidR="00113371">
        <w:rPr>
          <w:sz w:val="24"/>
          <w:szCs w:val="24"/>
        </w:rPr>
        <w:t>83</w:t>
      </w:r>
      <w:r>
        <w:rPr>
          <w:sz w:val="24"/>
          <w:szCs w:val="24"/>
        </w:rPr>
        <w:t xml:space="preserve"> FR </w:t>
      </w:r>
      <w:r w:rsidR="008614F9">
        <w:rPr>
          <w:sz w:val="24"/>
          <w:szCs w:val="24"/>
        </w:rPr>
        <w:t>4909</w:t>
      </w:r>
      <w:r>
        <w:rPr>
          <w:sz w:val="24"/>
          <w:szCs w:val="24"/>
        </w:rPr>
        <w:t xml:space="preserve">) solicited public comments. </w:t>
      </w:r>
      <w:r w:rsidR="00113371" w:rsidRPr="00113371">
        <w:rPr>
          <w:sz w:val="24"/>
          <w:szCs w:val="24"/>
        </w:rPr>
        <w:t xml:space="preserve">One substantive comment </w:t>
      </w:r>
      <w:r w:rsidR="008614F9">
        <w:rPr>
          <w:sz w:val="24"/>
          <w:szCs w:val="24"/>
        </w:rPr>
        <w:t xml:space="preserve">was </w:t>
      </w:r>
      <w:r w:rsidR="00CC1CBF">
        <w:rPr>
          <w:sz w:val="24"/>
          <w:szCs w:val="24"/>
        </w:rPr>
        <w:t xml:space="preserve">received from the </w:t>
      </w:r>
      <w:r w:rsidR="008614F9">
        <w:rPr>
          <w:sz w:val="24"/>
          <w:szCs w:val="24"/>
        </w:rPr>
        <w:t xml:space="preserve">Rhode Island </w:t>
      </w:r>
      <w:r w:rsidR="00DB3CB3">
        <w:rPr>
          <w:sz w:val="24"/>
          <w:szCs w:val="24"/>
        </w:rPr>
        <w:t xml:space="preserve">Party and Charter Association. </w:t>
      </w:r>
      <w:r w:rsidR="008614F9">
        <w:rPr>
          <w:sz w:val="24"/>
          <w:szCs w:val="24"/>
        </w:rPr>
        <w:t xml:space="preserve">The commenter </w:t>
      </w:r>
      <w:r w:rsidR="00CC1CBF">
        <w:rPr>
          <w:sz w:val="24"/>
          <w:szCs w:val="24"/>
        </w:rPr>
        <w:t xml:space="preserve">asked if </w:t>
      </w:r>
      <w:r w:rsidR="00EB7836">
        <w:rPr>
          <w:sz w:val="24"/>
          <w:szCs w:val="24"/>
        </w:rPr>
        <w:t>a sample of licensed anglers</w:t>
      </w:r>
      <w:r w:rsidR="00CC1CBF">
        <w:rPr>
          <w:sz w:val="24"/>
          <w:szCs w:val="24"/>
        </w:rPr>
        <w:t xml:space="preserve"> would be randomly selected from the National Saltwater Angler Registry</w:t>
      </w:r>
      <w:r w:rsidR="005602CA">
        <w:rPr>
          <w:sz w:val="24"/>
          <w:szCs w:val="24"/>
        </w:rPr>
        <w:t xml:space="preserve">, </w:t>
      </w:r>
      <w:r w:rsidR="00CC1CBF">
        <w:rPr>
          <w:sz w:val="24"/>
          <w:szCs w:val="24"/>
        </w:rPr>
        <w:t xml:space="preserve">indicated </w:t>
      </w:r>
      <w:r w:rsidR="005602CA">
        <w:rPr>
          <w:sz w:val="24"/>
          <w:szCs w:val="24"/>
        </w:rPr>
        <w:t xml:space="preserve">that </w:t>
      </w:r>
      <w:r w:rsidR="008614F9">
        <w:rPr>
          <w:sz w:val="24"/>
          <w:szCs w:val="24"/>
        </w:rPr>
        <w:t>some states do not require a fishing license for charter/party clients</w:t>
      </w:r>
      <w:r w:rsidR="005602CA">
        <w:rPr>
          <w:sz w:val="24"/>
          <w:szCs w:val="24"/>
        </w:rPr>
        <w:t>, that those who</w:t>
      </w:r>
      <w:r w:rsidR="008614F9">
        <w:rPr>
          <w:sz w:val="24"/>
          <w:szCs w:val="24"/>
        </w:rPr>
        <w:t xml:space="preserve"> fish aboard for-hire vessels are</w:t>
      </w:r>
      <w:r w:rsidR="005602CA">
        <w:rPr>
          <w:sz w:val="24"/>
          <w:szCs w:val="24"/>
        </w:rPr>
        <w:t xml:space="preserve"> often</w:t>
      </w:r>
      <w:r w:rsidR="008614F9">
        <w:rPr>
          <w:sz w:val="24"/>
          <w:szCs w:val="24"/>
        </w:rPr>
        <w:t xml:space="preserve"> tour</w:t>
      </w:r>
      <w:r w:rsidR="005602CA">
        <w:rPr>
          <w:sz w:val="24"/>
          <w:szCs w:val="24"/>
        </w:rPr>
        <w:t>ists, asked if there are</w:t>
      </w:r>
      <w:r w:rsidR="005602CA" w:rsidRPr="005602CA">
        <w:rPr>
          <w:sz w:val="24"/>
          <w:szCs w:val="24"/>
        </w:rPr>
        <w:t xml:space="preserve"> </w:t>
      </w:r>
      <w:r w:rsidR="005602CA">
        <w:rPr>
          <w:sz w:val="24"/>
          <w:szCs w:val="24"/>
        </w:rPr>
        <w:t>any</w:t>
      </w:r>
      <w:r w:rsidR="005602CA" w:rsidRPr="005602CA">
        <w:rPr>
          <w:sz w:val="24"/>
          <w:szCs w:val="24"/>
        </w:rPr>
        <w:t xml:space="preserve"> plans to distribute the survey to for-hire </w:t>
      </w:r>
      <w:r w:rsidR="00CC1CBF">
        <w:rPr>
          <w:sz w:val="24"/>
          <w:szCs w:val="24"/>
        </w:rPr>
        <w:t xml:space="preserve">vessel </w:t>
      </w:r>
      <w:r w:rsidR="005602CA" w:rsidRPr="005602CA">
        <w:rPr>
          <w:sz w:val="24"/>
          <w:szCs w:val="24"/>
        </w:rPr>
        <w:t>operators</w:t>
      </w:r>
      <w:r w:rsidR="00CC1CBF">
        <w:rPr>
          <w:sz w:val="24"/>
          <w:szCs w:val="24"/>
        </w:rPr>
        <w:t>, and requested a copy of the questionnaire.</w:t>
      </w:r>
    </w:p>
    <w:p w14:paraId="6EC5BD47" w14:textId="77777777" w:rsidR="00283030" w:rsidRPr="007208BF" w:rsidRDefault="00283030">
      <w:pPr>
        <w:rPr>
          <w:sz w:val="16"/>
          <w:szCs w:val="16"/>
        </w:rPr>
      </w:pPr>
    </w:p>
    <w:p w14:paraId="32FB40C8" w14:textId="77777777" w:rsidR="00BF0A81" w:rsidRDefault="00283030" w:rsidP="00EE795D">
      <w:pPr>
        <w:rPr>
          <w:sz w:val="24"/>
          <w:szCs w:val="24"/>
        </w:rPr>
      </w:pPr>
      <w:r>
        <w:rPr>
          <w:sz w:val="24"/>
          <w:szCs w:val="24"/>
        </w:rPr>
        <w:t>NMFS responded by indicating that the survey sample will include licensed anglers randomly selected from the National Saltwater Angler Registry</w:t>
      </w:r>
      <w:r w:rsidR="00C35CEB">
        <w:rPr>
          <w:sz w:val="24"/>
          <w:szCs w:val="24"/>
        </w:rPr>
        <w:t xml:space="preserve"> and</w:t>
      </w:r>
      <w:r w:rsidR="00EE795D">
        <w:rPr>
          <w:sz w:val="24"/>
          <w:szCs w:val="24"/>
        </w:rPr>
        <w:t xml:space="preserve"> that </w:t>
      </w:r>
      <w:r>
        <w:rPr>
          <w:sz w:val="24"/>
          <w:szCs w:val="24"/>
        </w:rPr>
        <w:t xml:space="preserve">non-licensed anglers </w:t>
      </w:r>
      <w:r w:rsidR="00EE795D">
        <w:rPr>
          <w:sz w:val="24"/>
          <w:szCs w:val="24"/>
        </w:rPr>
        <w:t>may</w:t>
      </w:r>
      <w:r>
        <w:rPr>
          <w:sz w:val="24"/>
          <w:szCs w:val="24"/>
        </w:rPr>
        <w:t xml:space="preserve"> be </w:t>
      </w:r>
      <w:r w:rsidR="00EE795D">
        <w:rPr>
          <w:sz w:val="24"/>
          <w:szCs w:val="24"/>
        </w:rPr>
        <w:t xml:space="preserve">considered in the survey </w:t>
      </w:r>
      <w:r>
        <w:rPr>
          <w:sz w:val="24"/>
          <w:szCs w:val="24"/>
        </w:rPr>
        <w:t>methodology</w:t>
      </w:r>
      <w:r w:rsidR="00C35CEB">
        <w:rPr>
          <w:sz w:val="24"/>
          <w:szCs w:val="24"/>
        </w:rPr>
        <w:t xml:space="preserve">. The NMFS response also stated </w:t>
      </w:r>
      <w:r w:rsidR="00EE795D">
        <w:rPr>
          <w:sz w:val="24"/>
          <w:szCs w:val="24"/>
        </w:rPr>
        <w:t xml:space="preserve">that MRIP was initiating a listening tour in 2018 to </w:t>
      </w:r>
      <w:r w:rsidR="00EE795D" w:rsidRPr="00EE795D">
        <w:rPr>
          <w:sz w:val="24"/>
          <w:szCs w:val="24"/>
        </w:rPr>
        <w:t>meet with members of the for-hire sector, in addition to private recreational anglers, local, regional, and state partners</w:t>
      </w:r>
      <w:r w:rsidR="00BF0A81">
        <w:rPr>
          <w:sz w:val="24"/>
          <w:szCs w:val="24"/>
        </w:rPr>
        <w:t xml:space="preserve">, </w:t>
      </w:r>
      <w:r w:rsidR="00EE795D">
        <w:rPr>
          <w:sz w:val="24"/>
          <w:szCs w:val="24"/>
        </w:rPr>
        <w:t xml:space="preserve">and </w:t>
      </w:r>
      <w:r w:rsidR="00C35CEB">
        <w:rPr>
          <w:sz w:val="24"/>
          <w:szCs w:val="24"/>
        </w:rPr>
        <w:t xml:space="preserve">the </w:t>
      </w:r>
      <w:r w:rsidR="00EE795D">
        <w:rPr>
          <w:sz w:val="24"/>
          <w:szCs w:val="24"/>
        </w:rPr>
        <w:t>questi</w:t>
      </w:r>
      <w:r w:rsidR="00BF0A81">
        <w:rPr>
          <w:sz w:val="24"/>
          <w:szCs w:val="24"/>
        </w:rPr>
        <w:t xml:space="preserve">onnaire </w:t>
      </w:r>
      <w:r w:rsidR="00C35CEB">
        <w:rPr>
          <w:sz w:val="24"/>
          <w:szCs w:val="24"/>
        </w:rPr>
        <w:t>was under development</w:t>
      </w:r>
      <w:r>
        <w:rPr>
          <w:sz w:val="24"/>
          <w:szCs w:val="24"/>
        </w:rPr>
        <w:t>.</w:t>
      </w:r>
    </w:p>
    <w:p w14:paraId="6BF11963" w14:textId="77777777" w:rsidR="00BF0A81" w:rsidRPr="007208BF" w:rsidRDefault="00BF0A81" w:rsidP="00EE795D">
      <w:pPr>
        <w:rPr>
          <w:sz w:val="16"/>
          <w:szCs w:val="16"/>
        </w:rPr>
      </w:pPr>
    </w:p>
    <w:p w14:paraId="1B67D7EA" w14:textId="77777777" w:rsidR="00DF69FD" w:rsidRPr="00DF69FD" w:rsidRDefault="00EE795D" w:rsidP="00EE795D">
      <w:pPr>
        <w:rPr>
          <w:color w:val="FF0000"/>
          <w:sz w:val="24"/>
          <w:szCs w:val="24"/>
        </w:rPr>
      </w:pPr>
      <w:r>
        <w:rPr>
          <w:sz w:val="24"/>
          <w:szCs w:val="24"/>
        </w:rPr>
        <w:t xml:space="preserve">Ultimately, it was decided that the sampling frame for the SNAMS should not include unlicensed anglers, so they will not be part of the survey. Unlicensed anglers include those not required to have a license due to age (youth and senior </w:t>
      </w:r>
      <w:r w:rsidR="00BF0A81">
        <w:rPr>
          <w:sz w:val="24"/>
          <w:szCs w:val="24"/>
        </w:rPr>
        <w:t>anglers</w:t>
      </w:r>
      <w:r>
        <w:rPr>
          <w:sz w:val="24"/>
          <w:szCs w:val="24"/>
        </w:rPr>
        <w:t xml:space="preserve">) and those that only fish on for-hire vessels where the vessel license covers them. Exclusion of anglers not required to have a license due to age effectively truncates the age distribution of respondents. </w:t>
      </w:r>
      <w:r w:rsidRPr="007A5E1B">
        <w:rPr>
          <w:sz w:val="24"/>
          <w:szCs w:val="24"/>
        </w:rPr>
        <w:t xml:space="preserve">While </w:t>
      </w:r>
      <w:r>
        <w:rPr>
          <w:sz w:val="24"/>
          <w:szCs w:val="24"/>
        </w:rPr>
        <w:t>for-hire vessel unlicensed anglers</w:t>
      </w:r>
      <w:r w:rsidRPr="007A5E1B">
        <w:rPr>
          <w:sz w:val="24"/>
          <w:szCs w:val="24"/>
        </w:rPr>
        <w:t xml:space="preserve"> might account for a great deal of effort it seems unlikely that they actively follow and participate in the fisheries data collection process. These </w:t>
      </w:r>
      <w:r w:rsidR="00BF0A81">
        <w:rPr>
          <w:sz w:val="24"/>
          <w:szCs w:val="24"/>
        </w:rPr>
        <w:t>anglers</w:t>
      </w:r>
      <w:r w:rsidRPr="007A5E1B">
        <w:rPr>
          <w:sz w:val="24"/>
          <w:szCs w:val="24"/>
        </w:rPr>
        <w:t xml:space="preserve"> would most likely get any information on fisheries data collection and management from the for-hire operator they fish with. Given this, more effective communication with unlicensed anglers would involve understanding how for-hire operators gather, analyze, and disseminate information on fisheries data collection which is not within the purview of this methodology. </w:t>
      </w:r>
      <w:r>
        <w:rPr>
          <w:sz w:val="24"/>
          <w:szCs w:val="24"/>
        </w:rPr>
        <w:t>We believe that the real-world effects of this coverage gap will be minimal and will not significantly change the outcomes.</w:t>
      </w:r>
    </w:p>
    <w:p w14:paraId="79D2E3AD" w14:textId="77777777" w:rsidR="00DF69FD" w:rsidRPr="007208BF" w:rsidRDefault="00DF69FD">
      <w:pPr>
        <w:rPr>
          <w:sz w:val="16"/>
          <w:szCs w:val="16"/>
        </w:rPr>
      </w:pPr>
    </w:p>
    <w:p w14:paraId="2A75627A" w14:textId="77777777" w:rsidR="00DF69FD" w:rsidRDefault="00DF69FD" w:rsidP="00DF69FD">
      <w:pPr>
        <w:rPr>
          <w:sz w:val="24"/>
          <w:szCs w:val="24"/>
        </w:rPr>
      </w:pPr>
      <w:r w:rsidRPr="00DF69FD">
        <w:rPr>
          <w:sz w:val="24"/>
          <w:szCs w:val="24"/>
        </w:rPr>
        <w:t xml:space="preserve">MRIP is a collaborative effort among government agencies, independent scientists, recreational fishing groups and conservation organizations to ensure scientifically rigorous collection of appropriate information that meets manager </w:t>
      </w:r>
      <w:r w:rsidR="00DB3CB3">
        <w:rPr>
          <w:sz w:val="24"/>
          <w:szCs w:val="24"/>
        </w:rPr>
        <w:t xml:space="preserve">and stakeholder needs. </w:t>
      </w:r>
      <w:r w:rsidRPr="00DF69FD">
        <w:rPr>
          <w:sz w:val="24"/>
          <w:szCs w:val="24"/>
        </w:rPr>
        <w:t>Subsequently, MRIP staff members maintain regular communication with customers, through workshops, workgroup meetings</w:t>
      </w:r>
      <w:r w:rsidR="00DB3CB3">
        <w:rPr>
          <w:sz w:val="24"/>
          <w:szCs w:val="24"/>
        </w:rPr>
        <w:t xml:space="preserve"> and one-on-one consultations. </w:t>
      </w:r>
      <w:r w:rsidRPr="00DF69FD">
        <w:rPr>
          <w:sz w:val="24"/>
          <w:szCs w:val="24"/>
        </w:rPr>
        <w:t>For example, The MRIP Executive Steering Committee (ESC), which includes senior managers from NOAA Fisheries, the Executive Directors of the Interstate Marine Fisheries Commissions, and a representative from the Marine Fisheries Advisory Committee, provides general oversight of MRIP and ensures that the program satisfies Federal, state and stakeholder needs for r</w:t>
      </w:r>
      <w:r w:rsidR="00DB3CB3">
        <w:rPr>
          <w:sz w:val="24"/>
          <w:szCs w:val="24"/>
        </w:rPr>
        <w:t>ecreational fishing statistics.</w:t>
      </w:r>
      <w:r w:rsidRPr="00DF69FD">
        <w:rPr>
          <w:sz w:val="24"/>
          <w:szCs w:val="24"/>
        </w:rPr>
        <w:t xml:space="preserve"> The ESC meets annually to review program activities, strategically allocate funds to addresses data needs an</w:t>
      </w:r>
      <w:r w:rsidR="00DB3CB3">
        <w:rPr>
          <w:sz w:val="24"/>
          <w:szCs w:val="24"/>
        </w:rPr>
        <w:t xml:space="preserve">d approve research priorities. </w:t>
      </w:r>
      <w:r w:rsidRPr="00DF69FD">
        <w:rPr>
          <w:sz w:val="24"/>
          <w:szCs w:val="24"/>
        </w:rPr>
        <w:t>Similarly, the MRIP Operations Team (OT), which is responsible for developing and testing improved data collection designs, includes representatives from NOAA Fisheries headquarters, regional offices and science centers, the Interstate Marine Fisheries Commissions and st</w:t>
      </w:r>
      <w:r w:rsidR="00DB3CB3">
        <w:rPr>
          <w:sz w:val="24"/>
          <w:szCs w:val="24"/>
        </w:rPr>
        <w:t xml:space="preserve">ate natural resource agencies. </w:t>
      </w:r>
      <w:r w:rsidRPr="00DF69FD">
        <w:rPr>
          <w:sz w:val="24"/>
          <w:szCs w:val="24"/>
        </w:rPr>
        <w:t>The OT meets 1-2 times each year to identify regional and state needs for recreational fishing statistics an</w:t>
      </w:r>
      <w:r w:rsidR="00DB3CB3">
        <w:rPr>
          <w:sz w:val="24"/>
          <w:szCs w:val="24"/>
        </w:rPr>
        <w:t xml:space="preserve">d develop research priorities. </w:t>
      </w:r>
      <w:r w:rsidRPr="00DF69FD">
        <w:rPr>
          <w:sz w:val="24"/>
          <w:szCs w:val="24"/>
        </w:rPr>
        <w:t>Finally, MRIP staff participate in numerous meetings sponsored by regional fishery management councils and state natural resource agencies to update fishery managers, scientists and stakeholders on program accomplishments and collect feedback about data needs a</w:t>
      </w:r>
      <w:r w:rsidR="00DB3CB3">
        <w:rPr>
          <w:sz w:val="24"/>
          <w:szCs w:val="24"/>
        </w:rPr>
        <w:t xml:space="preserve">nd concerns about the program. </w:t>
      </w:r>
      <w:r w:rsidRPr="00DF69FD">
        <w:rPr>
          <w:sz w:val="24"/>
          <w:szCs w:val="24"/>
        </w:rPr>
        <w:t>Recent feedback and questions resulting from these forums include the following</w:t>
      </w:r>
      <w:r>
        <w:rPr>
          <w:sz w:val="24"/>
          <w:szCs w:val="24"/>
        </w:rPr>
        <w:t>:</w:t>
      </w:r>
    </w:p>
    <w:p w14:paraId="744FBB42" w14:textId="77777777" w:rsidR="00DF69FD" w:rsidRPr="007208BF" w:rsidRDefault="00DF69FD" w:rsidP="00DF69FD">
      <w:pPr>
        <w:rPr>
          <w:sz w:val="16"/>
          <w:szCs w:val="16"/>
        </w:rPr>
      </w:pPr>
    </w:p>
    <w:p w14:paraId="31CFC41F" w14:textId="77777777" w:rsidR="00DF69FD" w:rsidRDefault="00DF69FD" w:rsidP="00DF69FD">
      <w:pPr>
        <w:numPr>
          <w:ilvl w:val="0"/>
          <w:numId w:val="1"/>
        </w:numPr>
        <w:ind w:left="720" w:hanging="300"/>
        <w:rPr>
          <w:sz w:val="24"/>
          <w:szCs w:val="24"/>
        </w:rPr>
      </w:pPr>
      <w:r w:rsidRPr="00DF69FD">
        <w:rPr>
          <w:sz w:val="24"/>
          <w:szCs w:val="24"/>
        </w:rPr>
        <w:t xml:space="preserve">How did MRIP arrive at the current design for </w:t>
      </w:r>
      <w:r>
        <w:rPr>
          <w:sz w:val="24"/>
          <w:szCs w:val="24"/>
        </w:rPr>
        <w:t xml:space="preserve">researching </w:t>
      </w:r>
      <w:r w:rsidRPr="00B7407E">
        <w:rPr>
          <w:sz w:val="24"/>
          <w:szCs w:val="24"/>
        </w:rPr>
        <w:t>how marine recreational anglers gather, share, and evaluate information on topics related to fisheries data collection, fisheries regulations, stock assessments, the overall health of fisheries, fisheries sc</w:t>
      </w:r>
      <w:r>
        <w:rPr>
          <w:sz w:val="24"/>
          <w:szCs w:val="24"/>
        </w:rPr>
        <w:t>ience, and fisheries management</w:t>
      </w:r>
      <w:r w:rsidRPr="00DF69FD">
        <w:rPr>
          <w:sz w:val="24"/>
          <w:szCs w:val="24"/>
        </w:rPr>
        <w:t>?</w:t>
      </w:r>
    </w:p>
    <w:p w14:paraId="0AA39788" w14:textId="77777777" w:rsidR="00DF69FD" w:rsidRPr="00DF69FD" w:rsidRDefault="00DF69FD" w:rsidP="00DF69FD">
      <w:pPr>
        <w:numPr>
          <w:ilvl w:val="0"/>
          <w:numId w:val="1"/>
        </w:numPr>
        <w:ind w:left="720" w:hanging="300"/>
        <w:rPr>
          <w:sz w:val="24"/>
          <w:szCs w:val="24"/>
        </w:rPr>
      </w:pPr>
      <w:r w:rsidRPr="00DF69FD">
        <w:rPr>
          <w:sz w:val="24"/>
          <w:szCs w:val="24"/>
        </w:rPr>
        <w:t xml:space="preserve">Response: Each methodology that was </w:t>
      </w:r>
      <w:r w:rsidR="00F22780">
        <w:rPr>
          <w:sz w:val="24"/>
          <w:szCs w:val="24"/>
        </w:rPr>
        <w:t>considered</w:t>
      </w:r>
      <w:r w:rsidRPr="00DF69FD">
        <w:rPr>
          <w:sz w:val="24"/>
          <w:szCs w:val="24"/>
        </w:rPr>
        <w:t xml:space="preserve"> reflected design elements, both positive and negative, from earlier </w:t>
      </w:r>
      <w:r w:rsidR="00F22780">
        <w:rPr>
          <w:sz w:val="24"/>
          <w:szCs w:val="24"/>
        </w:rPr>
        <w:t xml:space="preserve">MRIP </w:t>
      </w:r>
      <w:r w:rsidR="00DB3CB3">
        <w:rPr>
          <w:sz w:val="24"/>
          <w:szCs w:val="24"/>
        </w:rPr>
        <w:t xml:space="preserve">studies. </w:t>
      </w:r>
      <w:r w:rsidRPr="00DF69FD">
        <w:rPr>
          <w:sz w:val="24"/>
          <w:szCs w:val="24"/>
        </w:rPr>
        <w:t xml:space="preserve">The present design provides complete (or nearly complete) coverage of the population of anglers, incorporates sampling from state angler license databases, as suggested by the NRC, and is less susceptible to nonresponse error than </w:t>
      </w:r>
      <w:r w:rsidR="00F22780">
        <w:rPr>
          <w:sz w:val="24"/>
          <w:szCs w:val="24"/>
        </w:rPr>
        <w:t>conducting a telephone survey</w:t>
      </w:r>
      <w:r w:rsidR="00DB3CB3">
        <w:rPr>
          <w:sz w:val="24"/>
          <w:szCs w:val="24"/>
        </w:rPr>
        <w:t>.</w:t>
      </w:r>
    </w:p>
    <w:p w14:paraId="40F8EDB6" w14:textId="77777777" w:rsidR="00DF69FD" w:rsidRPr="00DF69FD" w:rsidRDefault="00DF69FD" w:rsidP="00DF69FD">
      <w:pPr>
        <w:numPr>
          <w:ilvl w:val="0"/>
          <w:numId w:val="1"/>
        </w:numPr>
        <w:ind w:left="720" w:hanging="300"/>
        <w:rPr>
          <w:sz w:val="24"/>
          <w:szCs w:val="24"/>
        </w:rPr>
      </w:pPr>
      <w:r w:rsidRPr="00DF69FD">
        <w:rPr>
          <w:sz w:val="24"/>
          <w:szCs w:val="24"/>
        </w:rPr>
        <w:t>MRIP should expand the use of angler registries or license databases to c</w:t>
      </w:r>
      <w:r>
        <w:rPr>
          <w:sz w:val="24"/>
          <w:szCs w:val="24"/>
        </w:rPr>
        <w:t xml:space="preserve">ollect </w:t>
      </w:r>
      <w:r w:rsidRPr="00DF69FD">
        <w:rPr>
          <w:sz w:val="24"/>
          <w:szCs w:val="24"/>
        </w:rPr>
        <w:t>inf</w:t>
      </w:r>
      <w:r w:rsidR="00DB3CB3">
        <w:rPr>
          <w:sz w:val="24"/>
          <w:szCs w:val="24"/>
        </w:rPr>
        <w:t>ormation from anglers.</w:t>
      </w:r>
    </w:p>
    <w:p w14:paraId="28C42687" w14:textId="77777777" w:rsidR="00DF69FD" w:rsidRPr="00DF69FD" w:rsidRDefault="00DF69FD" w:rsidP="00DF69FD">
      <w:pPr>
        <w:numPr>
          <w:ilvl w:val="0"/>
          <w:numId w:val="1"/>
        </w:numPr>
        <w:ind w:left="720" w:hanging="300"/>
        <w:rPr>
          <w:sz w:val="24"/>
          <w:szCs w:val="24"/>
        </w:rPr>
      </w:pPr>
      <w:r w:rsidRPr="00DF69FD">
        <w:rPr>
          <w:sz w:val="24"/>
          <w:szCs w:val="24"/>
        </w:rPr>
        <w:t xml:space="preserve">Response: We agree completely with this </w:t>
      </w:r>
      <w:r w:rsidR="0078435A" w:rsidRPr="00DF69FD">
        <w:rPr>
          <w:sz w:val="24"/>
          <w:szCs w:val="24"/>
        </w:rPr>
        <w:t>comment and</w:t>
      </w:r>
      <w:r w:rsidRPr="00DF69FD">
        <w:rPr>
          <w:sz w:val="24"/>
          <w:szCs w:val="24"/>
        </w:rPr>
        <w:t xml:space="preserve"> have consistently tried to incorporate angler license databases into sampling designs.</w:t>
      </w:r>
    </w:p>
    <w:p w14:paraId="0806C07E" w14:textId="77777777" w:rsidR="00DF69FD" w:rsidRPr="00DF69FD" w:rsidRDefault="00DF69FD" w:rsidP="00DF69FD">
      <w:pPr>
        <w:numPr>
          <w:ilvl w:val="0"/>
          <w:numId w:val="1"/>
        </w:numPr>
        <w:ind w:left="720" w:hanging="300"/>
        <w:rPr>
          <w:sz w:val="24"/>
          <w:szCs w:val="24"/>
        </w:rPr>
      </w:pPr>
      <w:r w:rsidRPr="00DF69FD">
        <w:rPr>
          <w:sz w:val="24"/>
          <w:szCs w:val="24"/>
        </w:rPr>
        <w:t xml:space="preserve">How complete are angler registries or license databases in terms of covering all recreational fishing activity?  </w:t>
      </w:r>
    </w:p>
    <w:p w14:paraId="06136523" w14:textId="77777777" w:rsidR="00DF69FD" w:rsidRPr="00DF69FD" w:rsidRDefault="00DF69FD" w:rsidP="00DF69FD">
      <w:pPr>
        <w:numPr>
          <w:ilvl w:val="0"/>
          <w:numId w:val="1"/>
        </w:numPr>
        <w:ind w:left="720" w:hanging="300"/>
        <w:rPr>
          <w:sz w:val="24"/>
          <w:szCs w:val="24"/>
        </w:rPr>
      </w:pPr>
      <w:r w:rsidRPr="00DF69FD">
        <w:rPr>
          <w:sz w:val="24"/>
          <w:szCs w:val="24"/>
        </w:rPr>
        <w:t>Response: Coverage of license databases varies by state</w:t>
      </w:r>
      <w:r w:rsidR="00DB3CB3">
        <w:rPr>
          <w:sz w:val="24"/>
          <w:szCs w:val="24"/>
        </w:rPr>
        <w:t xml:space="preserve"> and type of fishing activity. </w:t>
      </w:r>
      <w:r w:rsidRPr="00DF69FD">
        <w:rPr>
          <w:sz w:val="24"/>
          <w:szCs w:val="24"/>
        </w:rPr>
        <w:t>Previous MRIP pilot studies suggest that coverage ranges from 20%-95% in states where pilot studies have been conducted.</w:t>
      </w:r>
    </w:p>
    <w:p w14:paraId="311BAE82" w14:textId="77777777" w:rsidR="00DF69FD" w:rsidRPr="007208BF" w:rsidRDefault="00DF69FD" w:rsidP="00DF69FD">
      <w:pPr>
        <w:rPr>
          <w:sz w:val="16"/>
          <w:szCs w:val="16"/>
        </w:rPr>
      </w:pPr>
    </w:p>
    <w:p w14:paraId="0E026CF3" w14:textId="77777777" w:rsidR="004F26E9" w:rsidRDefault="00DF69FD">
      <w:pPr>
        <w:rPr>
          <w:sz w:val="24"/>
          <w:szCs w:val="24"/>
        </w:rPr>
      </w:pPr>
      <w:r w:rsidRPr="00DF69FD">
        <w:rPr>
          <w:sz w:val="24"/>
          <w:szCs w:val="24"/>
        </w:rPr>
        <w:t xml:space="preserve">The </w:t>
      </w:r>
      <w:r>
        <w:rPr>
          <w:sz w:val="24"/>
          <w:szCs w:val="24"/>
        </w:rPr>
        <w:t>SNAMS</w:t>
      </w:r>
      <w:r w:rsidRPr="00DF69FD">
        <w:rPr>
          <w:sz w:val="24"/>
          <w:szCs w:val="24"/>
        </w:rPr>
        <w:t xml:space="preserve"> instrument has been evaluated through cognitive testing to ensure that the instructions and questions are clear.</w:t>
      </w:r>
    </w:p>
    <w:p w14:paraId="0E1A50D7" w14:textId="77777777" w:rsidR="00DB3CB3" w:rsidRPr="007208BF" w:rsidRDefault="00DB3CB3">
      <w:pPr>
        <w:rPr>
          <w:sz w:val="16"/>
          <w:szCs w:val="16"/>
        </w:rPr>
      </w:pPr>
    </w:p>
    <w:p w14:paraId="229C022D" w14:textId="77777777"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14:paraId="560C496B" w14:textId="77777777" w:rsidR="004F26E9" w:rsidRPr="007208BF" w:rsidRDefault="004F26E9">
      <w:pPr>
        <w:rPr>
          <w:sz w:val="16"/>
          <w:szCs w:val="16"/>
        </w:rPr>
      </w:pPr>
    </w:p>
    <w:p w14:paraId="30697C3E" w14:textId="77777777" w:rsidR="009036D2" w:rsidRPr="009036D2" w:rsidRDefault="009036D2" w:rsidP="009036D2">
      <w:pPr>
        <w:rPr>
          <w:color w:val="000000"/>
          <w:sz w:val="24"/>
          <w:szCs w:val="24"/>
        </w:rPr>
      </w:pPr>
      <w:r w:rsidRPr="009036D2">
        <w:rPr>
          <w:color w:val="000000"/>
          <w:sz w:val="24"/>
          <w:szCs w:val="24"/>
        </w:rPr>
        <w:t>The benefits of prepaid cash incentives on improving survey resp</w:t>
      </w:r>
      <w:r w:rsidR="00DB3CB3">
        <w:rPr>
          <w:color w:val="000000"/>
          <w:sz w:val="24"/>
          <w:szCs w:val="24"/>
        </w:rPr>
        <w:t>onse rates are well documented.</w:t>
      </w:r>
      <w:r w:rsidRPr="009036D2">
        <w:rPr>
          <w:color w:val="000000"/>
          <w:sz w:val="24"/>
          <w:szCs w:val="24"/>
        </w:rPr>
        <w:t xml:space="preserve"> Dillman (2009) describes a small, prepaid cash incentive as a “token of appreciation” that encourages response and brings at</w:t>
      </w:r>
      <w:r w:rsidR="00DB3CB3">
        <w:rPr>
          <w:color w:val="000000"/>
          <w:sz w:val="24"/>
          <w:szCs w:val="24"/>
        </w:rPr>
        <w:t xml:space="preserve">tention to the survey request. </w:t>
      </w:r>
      <w:r w:rsidRPr="009036D2">
        <w:rPr>
          <w:color w:val="000000"/>
          <w:sz w:val="24"/>
          <w:szCs w:val="24"/>
        </w:rPr>
        <w:t xml:space="preserve">In addition to improving response rates, incentives may reduce nonresponse bias by encouraging participation from individuals with little or no interest in the survey </w:t>
      </w:r>
      <w:r w:rsidR="00DB3CB3">
        <w:rPr>
          <w:color w:val="000000"/>
          <w:sz w:val="24"/>
          <w:szCs w:val="24"/>
        </w:rPr>
        <w:t>topic (Groves et al., 2006).</w:t>
      </w:r>
    </w:p>
    <w:p w14:paraId="59D01F5A" w14:textId="77777777" w:rsidR="009036D2" w:rsidRPr="007208BF" w:rsidRDefault="009036D2" w:rsidP="009036D2">
      <w:pPr>
        <w:rPr>
          <w:color w:val="000000"/>
          <w:sz w:val="16"/>
          <w:szCs w:val="16"/>
        </w:rPr>
      </w:pPr>
    </w:p>
    <w:p w14:paraId="204FAED1" w14:textId="77777777" w:rsidR="009036D2" w:rsidRPr="009036D2" w:rsidRDefault="009036D2" w:rsidP="009036D2">
      <w:pPr>
        <w:rPr>
          <w:color w:val="000000"/>
          <w:sz w:val="24"/>
          <w:szCs w:val="24"/>
        </w:rPr>
      </w:pPr>
      <w:r w:rsidRPr="009036D2">
        <w:rPr>
          <w:color w:val="000000"/>
          <w:sz w:val="24"/>
          <w:szCs w:val="24"/>
        </w:rPr>
        <w:t xml:space="preserve">Church (1993) presents a meta-analysis of 38 experimental studies testing the impact of cash incentives </w:t>
      </w:r>
      <w:r w:rsidR="00DB3CB3">
        <w:rPr>
          <w:color w:val="000000"/>
          <w:sz w:val="24"/>
          <w:szCs w:val="24"/>
        </w:rPr>
        <w:t xml:space="preserve">on mail survey response rates. </w:t>
      </w:r>
      <w:r w:rsidRPr="009036D2">
        <w:rPr>
          <w:color w:val="000000"/>
          <w:sz w:val="24"/>
          <w:szCs w:val="24"/>
        </w:rPr>
        <w:t>The incentives, which ranged from $0.01 to $5.00 increased response rates over contro</w:t>
      </w:r>
      <w:r w:rsidR="00DB3CB3">
        <w:rPr>
          <w:color w:val="000000"/>
          <w:sz w:val="24"/>
          <w:szCs w:val="24"/>
        </w:rPr>
        <w:t>l groups by an average of 19.1%.</w:t>
      </w:r>
      <w:r w:rsidRPr="009036D2">
        <w:rPr>
          <w:color w:val="000000"/>
          <w:sz w:val="24"/>
          <w:szCs w:val="24"/>
        </w:rPr>
        <w:t xml:space="preserve"> </w:t>
      </w:r>
    </w:p>
    <w:p w14:paraId="2BF249B7" w14:textId="77777777" w:rsidR="009036D2" w:rsidRPr="007208BF" w:rsidRDefault="009036D2" w:rsidP="009036D2">
      <w:pPr>
        <w:rPr>
          <w:color w:val="000000"/>
          <w:sz w:val="16"/>
          <w:szCs w:val="16"/>
        </w:rPr>
      </w:pPr>
    </w:p>
    <w:p w14:paraId="0902B764" w14:textId="77777777" w:rsidR="009036D2" w:rsidRPr="009036D2" w:rsidRDefault="009036D2" w:rsidP="009036D2">
      <w:pPr>
        <w:rPr>
          <w:color w:val="000000"/>
          <w:sz w:val="24"/>
          <w:szCs w:val="24"/>
        </w:rPr>
      </w:pPr>
      <w:r w:rsidRPr="009036D2">
        <w:rPr>
          <w:color w:val="000000"/>
          <w:sz w:val="24"/>
          <w:szCs w:val="24"/>
        </w:rPr>
        <w:t>More recently, Trussell and Lavrakas (2004) reported that providing an incentive of at least $1.00 increased response rates and cooperation rates to the second phase of a two-phase, mixed-mode (RDD/mail diary) survey, and that incremental increases in incentive amounts up to $10.00 increased respo</w:t>
      </w:r>
      <w:r w:rsidR="00DB3CB3">
        <w:rPr>
          <w:color w:val="000000"/>
          <w:sz w:val="24"/>
          <w:szCs w:val="24"/>
        </w:rPr>
        <w:t xml:space="preserve">nse rates in a linear fashion. </w:t>
      </w:r>
      <w:r w:rsidRPr="009036D2">
        <w:rPr>
          <w:color w:val="000000"/>
          <w:sz w:val="24"/>
          <w:szCs w:val="24"/>
        </w:rPr>
        <w:t xml:space="preserve">These conclusions were consistent even for individuals who initially refused to participate in </w:t>
      </w:r>
      <w:r w:rsidR="00DB3CB3">
        <w:rPr>
          <w:color w:val="000000"/>
          <w:sz w:val="24"/>
          <w:szCs w:val="24"/>
        </w:rPr>
        <w:t>the second phase of the study.</w:t>
      </w:r>
    </w:p>
    <w:p w14:paraId="48423CDD" w14:textId="77777777" w:rsidR="009036D2" w:rsidRPr="007208BF" w:rsidRDefault="009036D2" w:rsidP="009036D2">
      <w:pPr>
        <w:rPr>
          <w:color w:val="000000"/>
          <w:sz w:val="16"/>
          <w:szCs w:val="16"/>
        </w:rPr>
      </w:pPr>
      <w:r w:rsidRPr="009036D2">
        <w:rPr>
          <w:color w:val="000000"/>
          <w:sz w:val="24"/>
          <w:szCs w:val="24"/>
        </w:rPr>
        <w:t xml:space="preserve">  </w:t>
      </w:r>
    </w:p>
    <w:p w14:paraId="3025B357" w14:textId="77777777" w:rsidR="009036D2" w:rsidRPr="009036D2" w:rsidRDefault="009036D2" w:rsidP="009036D2">
      <w:pPr>
        <w:rPr>
          <w:color w:val="000000"/>
          <w:sz w:val="24"/>
          <w:szCs w:val="24"/>
        </w:rPr>
      </w:pPr>
      <w:r w:rsidRPr="009036D2">
        <w:rPr>
          <w:color w:val="000000"/>
          <w:sz w:val="24"/>
          <w:szCs w:val="24"/>
        </w:rPr>
        <w:t>Similarly, Brick et al. (2011) concluded that a prepaid cash incentive of $15.00 significantly increased response rates to the second phase of a national, two-phase mail survey, and that response rates for a $5.00 incentive treatment, while not significantly different from either a control group or the $15.00 experimental treatment, w</w:t>
      </w:r>
      <w:r w:rsidR="00DB3CB3">
        <w:rPr>
          <w:color w:val="000000"/>
          <w:sz w:val="24"/>
          <w:szCs w:val="24"/>
        </w:rPr>
        <w:t xml:space="preserve">ere in the expected direction. </w:t>
      </w:r>
      <w:r w:rsidRPr="009036D2">
        <w:rPr>
          <w:color w:val="000000"/>
          <w:sz w:val="24"/>
          <w:szCs w:val="24"/>
        </w:rPr>
        <w:t>In addition, the effect of the incentives was most pronounced for the initial mailing, which could result in decreased</w:t>
      </w:r>
      <w:r w:rsidR="00DB3CB3">
        <w:rPr>
          <w:color w:val="000000"/>
          <w:sz w:val="24"/>
          <w:szCs w:val="24"/>
        </w:rPr>
        <w:t xml:space="preserve"> costs for follow-up mailings.</w:t>
      </w:r>
    </w:p>
    <w:p w14:paraId="315DEE44" w14:textId="77777777" w:rsidR="009036D2" w:rsidRPr="007208BF" w:rsidRDefault="009036D2" w:rsidP="009036D2">
      <w:pPr>
        <w:rPr>
          <w:color w:val="000000"/>
          <w:sz w:val="16"/>
          <w:szCs w:val="16"/>
        </w:rPr>
      </w:pPr>
    </w:p>
    <w:p w14:paraId="7B8A827D" w14:textId="77777777" w:rsidR="009036D2" w:rsidRPr="009036D2" w:rsidRDefault="009036D2" w:rsidP="009036D2">
      <w:pPr>
        <w:rPr>
          <w:color w:val="000000"/>
          <w:sz w:val="24"/>
          <w:szCs w:val="24"/>
        </w:rPr>
      </w:pPr>
      <w:r w:rsidRPr="009036D2">
        <w:rPr>
          <w:color w:val="000000"/>
          <w:sz w:val="24"/>
          <w:szCs w:val="24"/>
        </w:rPr>
        <w:t>The init</w:t>
      </w:r>
      <w:r w:rsidR="002863D6">
        <w:rPr>
          <w:color w:val="000000"/>
          <w:sz w:val="24"/>
          <w:szCs w:val="24"/>
        </w:rPr>
        <w:t>ial two waves of the 2012-2013 MRIP Marine Fishing Effort Survey (M</w:t>
      </w:r>
      <w:r w:rsidRPr="009036D2">
        <w:rPr>
          <w:color w:val="000000"/>
          <w:sz w:val="24"/>
          <w:szCs w:val="24"/>
        </w:rPr>
        <w:t>FES</w:t>
      </w:r>
      <w:r w:rsidR="002863D6">
        <w:rPr>
          <w:color w:val="000000"/>
          <w:sz w:val="24"/>
          <w:szCs w:val="24"/>
        </w:rPr>
        <w:t>, O</w:t>
      </w:r>
      <w:r w:rsidRPr="009036D2">
        <w:rPr>
          <w:color w:val="000000"/>
          <w:sz w:val="24"/>
          <w:szCs w:val="24"/>
        </w:rPr>
        <w:t>MB Control No. 0648-0652) included an experiment to test the impact of cash incentives on response ra</w:t>
      </w:r>
      <w:r w:rsidR="00DB3CB3">
        <w:rPr>
          <w:color w:val="000000"/>
          <w:sz w:val="24"/>
          <w:szCs w:val="24"/>
        </w:rPr>
        <w:t xml:space="preserve">tes, survey measures and cost. </w:t>
      </w:r>
      <w:r w:rsidRPr="009036D2">
        <w:rPr>
          <w:color w:val="000000"/>
          <w:sz w:val="24"/>
          <w:szCs w:val="24"/>
        </w:rPr>
        <w:t xml:space="preserve">Three levels of incentives, $1.00, $2.00 and $5.00, and a </w:t>
      </w:r>
      <w:r w:rsidR="0078435A" w:rsidRPr="009036D2">
        <w:rPr>
          <w:color w:val="000000"/>
          <w:sz w:val="24"/>
          <w:szCs w:val="24"/>
        </w:rPr>
        <w:t>z</w:t>
      </w:r>
      <w:r w:rsidR="0078435A">
        <w:rPr>
          <w:color w:val="000000"/>
          <w:sz w:val="24"/>
          <w:szCs w:val="24"/>
        </w:rPr>
        <w:t>ero-dollar</w:t>
      </w:r>
      <w:r w:rsidR="00DB3CB3">
        <w:rPr>
          <w:color w:val="000000"/>
          <w:sz w:val="24"/>
          <w:szCs w:val="24"/>
        </w:rPr>
        <w:t xml:space="preserve"> control were tested.</w:t>
      </w:r>
      <w:r w:rsidRPr="009036D2">
        <w:rPr>
          <w:color w:val="000000"/>
          <w:sz w:val="24"/>
          <w:szCs w:val="24"/>
        </w:rPr>
        <w:t xml:space="preserve"> Incentives were included in the initial</w:t>
      </w:r>
      <w:r w:rsidR="0044309E">
        <w:rPr>
          <w:color w:val="000000"/>
          <w:sz w:val="24"/>
          <w:szCs w:val="24"/>
        </w:rPr>
        <w:t xml:space="preserve"> survey mailing for each wave.</w:t>
      </w:r>
    </w:p>
    <w:p w14:paraId="0BBCE2CF" w14:textId="77777777" w:rsidR="009036D2" w:rsidRPr="007208BF" w:rsidRDefault="009036D2" w:rsidP="009036D2">
      <w:pPr>
        <w:rPr>
          <w:color w:val="000000"/>
          <w:sz w:val="16"/>
          <w:szCs w:val="16"/>
        </w:rPr>
      </w:pPr>
    </w:p>
    <w:p w14:paraId="6855DA2A" w14:textId="77777777" w:rsidR="002863D6" w:rsidRDefault="009036D2" w:rsidP="009036D2">
      <w:pPr>
        <w:rPr>
          <w:color w:val="000000"/>
          <w:sz w:val="24"/>
          <w:szCs w:val="24"/>
        </w:rPr>
      </w:pPr>
      <w:r w:rsidRPr="009036D2">
        <w:rPr>
          <w:color w:val="000000"/>
          <w:sz w:val="24"/>
          <w:szCs w:val="24"/>
        </w:rPr>
        <w:t>Table 1 provides the response rates, total number of completed surveys and relative cost per completed survey</w:t>
      </w:r>
      <w:r w:rsidR="00DB3CB3">
        <w:rPr>
          <w:color w:val="000000"/>
          <w:sz w:val="24"/>
          <w:szCs w:val="24"/>
        </w:rPr>
        <w:t xml:space="preserve"> for each incentive treatment. </w:t>
      </w:r>
      <w:r w:rsidRPr="009036D2">
        <w:rPr>
          <w:color w:val="000000"/>
          <w:sz w:val="24"/>
          <w:szCs w:val="24"/>
        </w:rPr>
        <w:t xml:space="preserve">Response rates increased significantly with increasing incentive amounts, and differences in response rates among incentive treatments were </w:t>
      </w:r>
      <w:r w:rsidR="00E87CBA">
        <w:rPr>
          <w:color w:val="000000"/>
          <w:sz w:val="24"/>
          <w:szCs w:val="24"/>
        </w:rPr>
        <w:t>statistically</w:t>
      </w:r>
      <w:r w:rsidR="00E87CBA" w:rsidRPr="009036D2">
        <w:rPr>
          <w:color w:val="000000"/>
          <w:sz w:val="24"/>
          <w:szCs w:val="24"/>
        </w:rPr>
        <w:t xml:space="preserve"> </w:t>
      </w:r>
      <w:r w:rsidR="00DB3CB3">
        <w:rPr>
          <w:color w:val="000000"/>
          <w:sz w:val="24"/>
          <w:szCs w:val="24"/>
        </w:rPr>
        <w:t xml:space="preserve">significant (p&lt;0.0001). </w:t>
      </w:r>
      <w:r w:rsidRPr="009036D2">
        <w:rPr>
          <w:color w:val="000000"/>
          <w:sz w:val="24"/>
          <w:szCs w:val="24"/>
        </w:rPr>
        <w:t>However, while the $5.00 incentive resulted in the highest response rate, the $1.00 and $2.00 treatments were the most efficient in terms of cost; including a $1.00 or $2.00 cash incentive lowered the cost per completed survey by approximately 15%.</w:t>
      </w:r>
      <w:r w:rsidR="002863D6">
        <w:rPr>
          <w:color w:val="000000"/>
          <w:sz w:val="24"/>
          <w:szCs w:val="24"/>
        </w:rPr>
        <w:t xml:space="preserve"> </w:t>
      </w:r>
    </w:p>
    <w:p w14:paraId="409F7B96" w14:textId="77777777" w:rsidR="009036D2" w:rsidRPr="007208BF" w:rsidRDefault="009036D2" w:rsidP="009036D2">
      <w:pPr>
        <w:rPr>
          <w:color w:val="000000"/>
          <w:sz w:val="16"/>
          <w:szCs w:val="16"/>
        </w:rPr>
      </w:pPr>
    </w:p>
    <w:p w14:paraId="41550CC6" w14:textId="77777777" w:rsidR="009036D2" w:rsidRPr="009036D2" w:rsidRDefault="009036D2" w:rsidP="009036D2">
      <w:pPr>
        <w:rPr>
          <w:b/>
          <w:color w:val="000000"/>
          <w:sz w:val="24"/>
          <w:szCs w:val="24"/>
        </w:rPr>
      </w:pPr>
      <w:r w:rsidRPr="009036D2">
        <w:rPr>
          <w:b/>
          <w:color w:val="000000"/>
          <w:sz w:val="24"/>
          <w:szCs w:val="24"/>
        </w:rPr>
        <w:t xml:space="preserve">Table 1. Response rates, number of completed surveys and relative data collection costs for each incentive treatment tested during the first two waves of the </w:t>
      </w:r>
      <w:r w:rsidR="002863D6">
        <w:rPr>
          <w:b/>
          <w:color w:val="000000"/>
          <w:sz w:val="24"/>
          <w:szCs w:val="24"/>
        </w:rPr>
        <w:t xml:space="preserve">2012-2013 </w:t>
      </w:r>
      <w:r w:rsidRPr="009036D2">
        <w:rPr>
          <w:b/>
          <w:color w:val="000000"/>
          <w:sz w:val="24"/>
          <w:szCs w:val="24"/>
        </w:rPr>
        <w:t>MFES.</w:t>
      </w:r>
    </w:p>
    <w:p w14:paraId="76D7D541" w14:textId="77777777" w:rsidR="009036D2" w:rsidRPr="009036D2" w:rsidRDefault="009036D2" w:rsidP="009036D2">
      <w:pPr>
        <w:rPr>
          <w:color w:val="000000"/>
          <w:sz w:val="24"/>
          <w:szCs w:val="24"/>
        </w:rPr>
      </w:pPr>
    </w:p>
    <w:tbl>
      <w:tblPr>
        <w:tblW w:w="5320" w:type="dxa"/>
        <w:jc w:val="center"/>
        <w:tblLook w:val="04A0" w:firstRow="1" w:lastRow="0" w:firstColumn="1" w:lastColumn="0" w:noHBand="0" w:noVBand="1"/>
      </w:tblPr>
      <w:tblGrid>
        <w:gridCol w:w="1180"/>
        <w:gridCol w:w="1240"/>
        <w:gridCol w:w="1240"/>
        <w:gridCol w:w="1660"/>
      </w:tblGrid>
      <w:tr w:rsidR="009036D2" w:rsidRPr="009036D2" w14:paraId="2E814F49" w14:textId="77777777" w:rsidTr="00FB7E21">
        <w:trPr>
          <w:trHeight w:val="600"/>
          <w:jc w:val="center"/>
        </w:trPr>
        <w:tc>
          <w:tcPr>
            <w:tcW w:w="1180" w:type="dxa"/>
            <w:tcBorders>
              <w:top w:val="single" w:sz="4" w:space="0" w:color="auto"/>
              <w:left w:val="nil"/>
              <w:bottom w:val="single" w:sz="4" w:space="0" w:color="auto"/>
              <w:right w:val="nil"/>
            </w:tcBorders>
            <w:shd w:val="clear" w:color="auto" w:fill="auto"/>
            <w:hideMark/>
          </w:tcPr>
          <w:p w14:paraId="511D09D6" w14:textId="77777777" w:rsidR="009036D2" w:rsidRPr="009036D2" w:rsidRDefault="009036D2" w:rsidP="009036D2">
            <w:pPr>
              <w:widowControl/>
              <w:autoSpaceDE/>
              <w:autoSpaceDN/>
              <w:adjustRightInd/>
              <w:jc w:val="center"/>
              <w:rPr>
                <w:color w:val="000000"/>
                <w:sz w:val="22"/>
                <w:szCs w:val="22"/>
              </w:rPr>
            </w:pPr>
            <w:r w:rsidRPr="009036D2">
              <w:rPr>
                <w:color w:val="000000"/>
                <w:sz w:val="22"/>
                <w:szCs w:val="22"/>
              </w:rPr>
              <w:t>Incentive Amount</w:t>
            </w:r>
          </w:p>
        </w:tc>
        <w:tc>
          <w:tcPr>
            <w:tcW w:w="1240" w:type="dxa"/>
            <w:tcBorders>
              <w:top w:val="single" w:sz="4" w:space="0" w:color="auto"/>
              <w:left w:val="nil"/>
              <w:bottom w:val="single" w:sz="4" w:space="0" w:color="auto"/>
              <w:right w:val="nil"/>
            </w:tcBorders>
            <w:shd w:val="clear" w:color="auto" w:fill="auto"/>
            <w:hideMark/>
          </w:tcPr>
          <w:p w14:paraId="620F2DE2" w14:textId="77777777" w:rsidR="009036D2" w:rsidRPr="009036D2" w:rsidRDefault="009036D2" w:rsidP="009036D2">
            <w:pPr>
              <w:widowControl/>
              <w:autoSpaceDE/>
              <w:autoSpaceDN/>
              <w:adjustRightInd/>
              <w:jc w:val="center"/>
              <w:rPr>
                <w:color w:val="000000"/>
                <w:sz w:val="22"/>
                <w:szCs w:val="22"/>
              </w:rPr>
            </w:pPr>
            <w:r w:rsidRPr="009036D2">
              <w:rPr>
                <w:color w:val="000000"/>
                <w:sz w:val="22"/>
                <w:szCs w:val="22"/>
              </w:rPr>
              <w:t>Response Rate</w:t>
            </w:r>
          </w:p>
        </w:tc>
        <w:tc>
          <w:tcPr>
            <w:tcW w:w="1240" w:type="dxa"/>
            <w:tcBorders>
              <w:top w:val="single" w:sz="4" w:space="0" w:color="auto"/>
              <w:left w:val="nil"/>
              <w:bottom w:val="single" w:sz="4" w:space="0" w:color="auto"/>
              <w:right w:val="nil"/>
            </w:tcBorders>
            <w:shd w:val="clear" w:color="auto" w:fill="auto"/>
            <w:hideMark/>
          </w:tcPr>
          <w:p w14:paraId="7B601A74" w14:textId="77777777" w:rsidR="009036D2" w:rsidRPr="009036D2" w:rsidRDefault="009036D2" w:rsidP="009036D2">
            <w:pPr>
              <w:widowControl/>
              <w:autoSpaceDE/>
              <w:autoSpaceDN/>
              <w:adjustRightInd/>
              <w:jc w:val="center"/>
              <w:rPr>
                <w:color w:val="000000"/>
                <w:sz w:val="22"/>
                <w:szCs w:val="22"/>
              </w:rPr>
            </w:pPr>
            <w:r w:rsidRPr="009036D2">
              <w:rPr>
                <w:color w:val="000000"/>
                <w:sz w:val="22"/>
                <w:szCs w:val="22"/>
              </w:rPr>
              <w:t>Completed Surveys</w:t>
            </w:r>
          </w:p>
        </w:tc>
        <w:tc>
          <w:tcPr>
            <w:tcW w:w="1660" w:type="dxa"/>
            <w:tcBorders>
              <w:top w:val="single" w:sz="4" w:space="0" w:color="auto"/>
              <w:left w:val="nil"/>
              <w:bottom w:val="single" w:sz="4" w:space="0" w:color="auto"/>
              <w:right w:val="nil"/>
            </w:tcBorders>
            <w:shd w:val="clear" w:color="auto" w:fill="auto"/>
            <w:hideMark/>
          </w:tcPr>
          <w:p w14:paraId="30E3CECD" w14:textId="77777777" w:rsidR="009036D2" w:rsidRPr="009036D2" w:rsidRDefault="009036D2" w:rsidP="009036D2">
            <w:pPr>
              <w:widowControl/>
              <w:autoSpaceDE/>
              <w:autoSpaceDN/>
              <w:adjustRightInd/>
              <w:jc w:val="center"/>
              <w:rPr>
                <w:color w:val="000000"/>
                <w:sz w:val="22"/>
                <w:szCs w:val="22"/>
              </w:rPr>
            </w:pPr>
            <w:r w:rsidRPr="009036D2">
              <w:rPr>
                <w:color w:val="000000"/>
                <w:sz w:val="22"/>
                <w:szCs w:val="22"/>
              </w:rPr>
              <w:t>Relative Cost per Complete</w:t>
            </w:r>
            <w:r w:rsidRPr="009036D2">
              <w:rPr>
                <w:color w:val="000000"/>
                <w:sz w:val="22"/>
                <w:szCs w:val="22"/>
                <w:vertAlign w:val="superscript"/>
              </w:rPr>
              <w:footnoteReference w:id="1"/>
            </w:r>
          </w:p>
        </w:tc>
      </w:tr>
      <w:tr w:rsidR="009036D2" w:rsidRPr="009036D2" w14:paraId="34B8FC51" w14:textId="77777777" w:rsidTr="00FB7E21">
        <w:trPr>
          <w:trHeight w:val="300"/>
          <w:jc w:val="center"/>
        </w:trPr>
        <w:tc>
          <w:tcPr>
            <w:tcW w:w="1180" w:type="dxa"/>
            <w:tcBorders>
              <w:top w:val="nil"/>
              <w:left w:val="nil"/>
              <w:bottom w:val="nil"/>
              <w:right w:val="nil"/>
            </w:tcBorders>
            <w:shd w:val="clear" w:color="auto" w:fill="auto"/>
            <w:vAlign w:val="bottom"/>
            <w:hideMark/>
          </w:tcPr>
          <w:p w14:paraId="31CB81EE" w14:textId="77777777" w:rsidR="009036D2" w:rsidRPr="009036D2" w:rsidRDefault="009036D2" w:rsidP="009036D2">
            <w:pPr>
              <w:widowControl/>
              <w:autoSpaceDE/>
              <w:autoSpaceDN/>
              <w:adjustRightInd/>
              <w:jc w:val="center"/>
              <w:rPr>
                <w:color w:val="000000"/>
                <w:sz w:val="22"/>
                <w:szCs w:val="22"/>
              </w:rPr>
            </w:pPr>
            <w:r w:rsidRPr="009036D2">
              <w:rPr>
                <w:color w:val="000000"/>
                <w:sz w:val="22"/>
                <w:szCs w:val="22"/>
              </w:rPr>
              <w:t xml:space="preserve">$0.00 </w:t>
            </w:r>
          </w:p>
        </w:tc>
        <w:tc>
          <w:tcPr>
            <w:tcW w:w="1240" w:type="dxa"/>
            <w:tcBorders>
              <w:top w:val="nil"/>
              <w:left w:val="nil"/>
              <w:bottom w:val="nil"/>
              <w:right w:val="nil"/>
            </w:tcBorders>
            <w:shd w:val="clear" w:color="auto" w:fill="auto"/>
            <w:hideMark/>
          </w:tcPr>
          <w:p w14:paraId="67445C34" w14:textId="77777777" w:rsidR="009036D2" w:rsidRPr="009036D2" w:rsidRDefault="009036D2" w:rsidP="009036D2">
            <w:pPr>
              <w:widowControl/>
              <w:autoSpaceDE/>
              <w:autoSpaceDN/>
              <w:adjustRightInd/>
              <w:jc w:val="center"/>
              <w:rPr>
                <w:color w:val="000000"/>
                <w:sz w:val="22"/>
                <w:szCs w:val="22"/>
              </w:rPr>
            </w:pPr>
            <w:r w:rsidRPr="009036D2">
              <w:rPr>
                <w:color w:val="000000"/>
                <w:sz w:val="22"/>
                <w:szCs w:val="22"/>
              </w:rPr>
              <w:t>27.0</w:t>
            </w:r>
          </w:p>
        </w:tc>
        <w:tc>
          <w:tcPr>
            <w:tcW w:w="1240" w:type="dxa"/>
            <w:tcBorders>
              <w:top w:val="nil"/>
              <w:left w:val="nil"/>
              <w:bottom w:val="nil"/>
              <w:right w:val="nil"/>
            </w:tcBorders>
            <w:shd w:val="clear" w:color="auto" w:fill="auto"/>
            <w:hideMark/>
          </w:tcPr>
          <w:p w14:paraId="44922170" w14:textId="77777777" w:rsidR="009036D2" w:rsidRPr="009036D2" w:rsidRDefault="009036D2" w:rsidP="009036D2">
            <w:pPr>
              <w:widowControl/>
              <w:autoSpaceDE/>
              <w:autoSpaceDN/>
              <w:adjustRightInd/>
              <w:jc w:val="center"/>
              <w:rPr>
                <w:color w:val="000000"/>
                <w:sz w:val="22"/>
                <w:szCs w:val="22"/>
              </w:rPr>
            </w:pPr>
            <w:r w:rsidRPr="009036D2">
              <w:rPr>
                <w:color w:val="000000"/>
                <w:sz w:val="22"/>
                <w:szCs w:val="22"/>
              </w:rPr>
              <w:t>2,154</w:t>
            </w:r>
          </w:p>
        </w:tc>
        <w:tc>
          <w:tcPr>
            <w:tcW w:w="1660" w:type="dxa"/>
            <w:tcBorders>
              <w:top w:val="nil"/>
              <w:left w:val="nil"/>
              <w:bottom w:val="nil"/>
              <w:right w:val="nil"/>
            </w:tcBorders>
            <w:shd w:val="clear" w:color="auto" w:fill="auto"/>
            <w:hideMark/>
          </w:tcPr>
          <w:p w14:paraId="3519AAC4" w14:textId="77777777" w:rsidR="009036D2" w:rsidRPr="009036D2" w:rsidRDefault="009036D2" w:rsidP="009036D2">
            <w:pPr>
              <w:widowControl/>
              <w:autoSpaceDE/>
              <w:autoSpaceDN/>
              <w:adjustRightInd/>
              <w:jc w:val="center"/>
              <w:rPr>
                <w:color w:val="000000"/>
                <w:sz w:val="22"/>
                <w:szCs w:val="22"/>
              </w:rPr>
            </w:pPr>
            <w:r w:rsidRPr="009036D2">
              <w:rPr>
                <w:color w:val="000000"/>
                <w:sz w:val="22"/>
                <w:szCs w:val="22"/>
              </w:rPr>
              <w:t>1.00</w:t>
            </w:r>
          </w:p>
        </w:tc>
      </w:tr>
      <w:tr w:rsidR="009036D2" w:rsidRPr="009036D2" w14:paraId="403CE399" w14:textId="77777777" w:rsidTr="00FB7E21">
        <w:trPr>
          <w:trHeight w:val="300"/>
          <w:jc w:val="center"/>
        </w:trPr>
        <w:tc>
          <w:tcPr>
            <w:tcW w:w="1180" w:type="dxa"/>
            <w:tcBorders>
              <w:top w:val="nil"/>
              <w:left w:val="nil"/>
              <w:bottom w:val="nil"/>
              <w:right w:val="nil"/>
            </w:tcBorders>
            <w:shd w:val="clear" w:color="auto" w:fill="auto"/>
            <w:vAlign w:val="bottom"/>
            <w:hideMark/>
          </w:tcPr>
          <w:p w14:paraId="37B48478" w14:textId="77777777" w:rsidR="009036D2" w:rsidRPr="009036D2" w:rsidRDefault="009036D2" w:rsidP="009036D2">
            <w:pPr>
              <w:widowControl/>
              <w:autoSpaceDE/>
              <w:autoSpaceDN/>
              <w:adjustRightInd/>
              <w:jc w:val="center"/>
              <w:rPr>
                <w:color w:val="000000"/>
                <w:sz w:val="22"/>
                <w:szCs w:val="22"/>
              </w:rPr>
            </w:pPr>
            <w:r w:rsidRPr="009036D2">
              <w:rPr>
                <w:color w:val="000000"/>
                <w:sz w:val="22"/>
                <w:szCs w:val="22"/>
              </w:rPr>
              <w:t xml:space="preserve">$1.00 </w:t>
            </w:r>
          </w:p>
        </w:tc>
        <w:tc>
          <w:tcPr>
            <w:tcW w:w="1240" w:type="dxa"/>
            <w:tcBorders>
              <w:top w:val="nil"/>
              <w:left w:val="nil"/>
              <w:bottom w:val="nil"/>
              <w:right w:val="nil"/>
            </w:tcBorders>
            <w:shd w:val="clear" w:color="auto" w:fill="auto"/>
            <w:hideMark/>
          </w:tcPr>
          <w:p w14:paraId="234ACFA7" w14:textId="77777777" w:rsidR="009036D2" w:rsidRPr="009036D2" w:rsidRDefault="009036D2" w:rsidP="009036D2">
            <w:pPr>
              <w:widowControl/>
              <w:autoSpaceDE/>
              <w:autoSpaceDN/>
              <w:adjustRightInd/>
              <w:jc w:val="center"/>
              <w:rPr>
                <w:color w:val="000000"/>
                <w:sz w:val="22"/>
                <w:szCs w:val="22"/>
              </w:rPr>
            </w:pPr>
            <w:r w:rsidRPr="009036D2">
              <w:rPr>
                <w:color w:val="000000"/>
                <w:sz w:val="22"/>
                <w:szCs w:val="22"/>
              </w:rPr>
              <w:t>37.8</w:t>
            </w:r>
          </w:p>
        </w:tc>
        <w:tc>
          <w:tcPr>
            <w:tcW w:w="1240" w:type="dxa"/>
            <w:tcBorders>
              <w:top w:val="nil"/>
              <w:left w:val="nil"/>
              <w:bottom w:val="nil"/>
              <w:right w:val="nil"/>
            </w:tcBorders>
            <w:shd w:val="clear" w:color="auto" w:fill="auto"/>
            <w:hideMark/>
          </w:tcPr>
          <w:p w14:paraId="080D0E44" w14:textId="77777777" w:rsidR="009036D2" w:rsidRPr="009036D2" w:rsidRDefault="009036D2" w:rsidP="009036D2">
            <w:pPr>
              <w:widowControl/>
              <w:autoSpaceDE/>
              <w:autoSpaceDN/>
              <w:adjustRightInd/>
              <w:jc w:val="center"/>
              <w:rPr>
                <w:color w:val="000000"/>
                <w:sz w:val="22"/>
                <w:szCs w:val="22"/>
              </w:rPr>
            </w:pPr>
            <w:r w:rsidRPr="009036D2">
              <w:rPr>
                <w:color w:val="000000"/>
                <w:sz w:val="22"/>
                <w:szCs w:val="22"/>
              </w:rPr>
              <w:t>3,065</w:t>
            </w:r>
          </w:p>
        </w:tc>
        <w:tc>
          <w:tcPr>
            <w:tcW w:w="1660" w:type="dxa"/>
            <w:tcBorders>
              <w:top w:val="nil"/>
              <w:left w:val="nil"/>
              <w:bottom w:val="nil"/>
              <w:right w:val="nil"/>
            </w:tcBorders>
            <w:shd w:val="clear" w:color="auto" w:fill="auto"/>
            <w:hideMark/>
          </w:tcPr>
          <w:p w14:paraId="77E8FCF3" w14:textId="77777777" w:rsidR="009036D2" w:rsidRPr="009036D2" w:rsidRDefault="009036D2" w:rsidP="009036D2">
            <w:pPr>
              <w:widowControl/>
              <w:autoSpaceDE/>
              <w:autoSpaceDN/>
              <w:adjustRightInd/>
              <w:jc w:val="center"/>
              <w:rPr>
                <w:color w:val="000000"/>
                <w:sz w:val="22"/>
                <w:szCs w:val="22"/>
              </w:rPr>
            </w:pPr>
            <w:r w:rsidRPr="009036D2">
              <w:rPr>
                <w:color w:val="000000"/>
                <w:sz w:val="22"/>
                <w:szCs w:val="22"/>
              </w:rPr>
              <w:t>0.85</w:t>
            </w:r>
          </w:p>
        </w:tc>
      </w:tr>
      <w:tr w:rsidR="009036D2" w:rsidRPr="009036D2" w14:paraId="7BEC479A" w14:textId="77777777" w:rsidTr="00FB7E21">
        <w:trPr>
          <w:trHeight w:val="300"/>
          <w:jc w:val="center"/>
        </w:trPr>
        <w:tc>
          <w:tcPr>
            <w:tcW w:w="1180" w:type="dxa"/>
            <w:tcBorders>
              <w:top w:val="nil"/>
              <w:left w:val="nil"/>
              <w:bottom w:val="nil"/>
              <w:right w:val="nil"/>
            </w:tcBorders>
            <w:shd w:val="clear" w:color="auto" w:fill="auto"/>
            <w:vAlign w:val="bottom"/>
            <w:hideMark/>
          </w:tcPr>
          <w:p w14:paraId="7AF43F04" w14:textId="77777777" w:rsidR="009036D2" w:rsidRPr="009036D2" w:rsidRDefault="009036D2" w:rsidP="009036D2">
            <w:pPr>
              <w:widowControl/>
              <w:autoSpaceDE/>
              <w:autoSpaceDN/>
              <w:adjustRightInd/>
              <w:jc w:val="center"/>
              <w:rPr>
                <w:color w:val="000000"/>
                <w:sz w:val="22"/>
                <w:szCs w:val="22"/>
              </w:rPr>
            </w:pPr>
            <w:r w:rsidRPr="009036D2">
              <w:rPr>
                <w:color w:val="000000"/>
                <w:sz w:val="22"/>
                <w:szCs w:val="22"/>
              </w:rPr>
              <w:t xml:space="preserve">$2.00 </w:t>
            </w:r>
          </w:p>
        </w:tc>
        <w:tc>
          <w:tcPr>
            <w:tcW w:w="1240" w:type="dxa"/>
            <w:tcBorders>
              <w:top w:val="nil"/>
              <w:left w:val="nil"/>
              <w:bottom w:val="nil"/>
              <w:right w:val="nil"/>
            </w:tcBorders>
            <w:shd w:val="clear" w:color="auto" w:fill="auto"/>
            <w:hideMark/>
          </w:tcPr>
          <w:p w14:paraId="072285E0" w14:textId="77777777" w:rsidR="009036D2" w:rsidRPr="009036D2" w:rsidRDefault="009036D2" w:rsidP="009036D2">
            <w:pPr>
              <w:widowControl/>
              <w:autoSpaceDE/>
              <w:autoSpaceDN/>
              <w:adjustRightInd/>
              <w:jc w:val="center"/>
              <w:rPr>
                <w:color w:val="000000"/>
                <w:sz w:val="22"/>
                <w:szCs w:val="22"/>
              </w:rPr>
            </w:pPr>
            <w:r w:rsidRPr="009036D2">
              <w:rPr>
                <w:color w:val="000000"/>
                <w:sz w:val="22"/>
                <w:szCs w:val="22"/>
              </w:rPr>
              <w:t>41.8</w:t>
            </w:r>
          </w:p>
        </w:tc>
        <w:tc>
          <w:tcPr>
            <w:tcW w:w="1240" w:type="dxa"/>
            <w:tcBorders>
              <w:top w:val="nil"/>
              <w:left w:val="nil"/>
              <w:bottom w:val="nil"/>
              <w:right w:val="nil"/>
            </w:tcBorders>
            <w:shd w:val="clear" w:color="auto" w:fill="auto"/>
            <w:hideMark/>
          </w:tcPr>
          <w:p w14:paraId="52769AF2" w14:textId="77777777" w:rsidR="009036D2" w:rsidRPr="009036D2" w:rsidRDefault="009036D2" w:rsidP="009036D2">
            <w:pPr>
              <w:widowControl/>
              <w:autoSpaceDE/>
              <w:autoSpaceDN/>
              <w:adjustRightInd/>
              <w:jc w:val="center"/>
              <w:rPr>
                <w:color w:val="000000"/>
                <w:sz w:val="22"/>
                <w:szCs w:val="22"/>
              </w:rPr>
            </w:pPr>
            <w:r w:rsidRPr="009036D2">
              <w:rPr>
                <w:color w:val="000000"/>
                <w:sz w:val="22"/>
                <w:szCs w:val="22"/>
              </w:rPr>
              <w:t>3,415</w:t>
            </w:r>
          </w:p>
        </w:tc>
        <w:tc>
          <w:tcPr>
            <w:tcW w:w="1660" w:type="dxa"/>
            <w:tcBorders>
              <w:top w:val="nil"/>
              <w:left w:val="nil"/>
              <w:bottom w:val="nil"/>
              <w:right w:val="nil"/>
            </w:tcBorders>
            <w:shd w:val="clear" w:color="auto" w:fill="auto"/>
            <w:hideMark/>
          </w:tcPr>
          <w:p w14:paraId="2B231513" w14:textId="77777777" w:rsidR="009036D2" w:rsidRPr="009036D2" w:rsidRDefault="009036D2" w:rsidP="009036D2">
            <w:pPr>
              <w:widowControl/>
              <w:autoSpaceDE/>
              <w:autoSpaceDN/>
              <w:adjustRightInd/>
              <w:jc w:val="center"/>
              <w:rPr>
                <w:color w:val="000000"/>
                <w:sz w:val="22"/>
                <w:szCs w:val="22"/>
              </w:rPr>
            </w:pPr>
            <w:r w:rsidRPr="009036D2">
              <w:rPr>
                <w:color w:val="000000"/>
                <w:sz w:val="22"/>
                <w:szCs w:val="22"/>
              </w:rPr>
              <w:t>0.87</w:t>
            </w:r>
          </w:p>
        </w:tc>
      </w:tr>
      <w:tr w:rsidR="009036D2" w:rsidRPr="009036D2" w14:paraId="7D12AD0E" w14:textId="77777777" w:rsidTr="00FB7E21">
        <w:trPr>
          <w:trHeight w:val="300"/>
          <w:jc w:val="center"/>
        </w:trPr>
        <w:tc>
          <w:tcPr>
            <w:tcW w:w="1180" w:type="dxa"/>
            <w:tcBorders>
              <w:top w:val="nil"/>
              <w:left w:val="nil"/>
              <w:bottom w:val="single" w:sz="4" w:space="0" w:color="auto"/>
              <w:right w:val="nil"/>
            </w:tcBorders>
            <w:shd w:val="clear" w:color="auto" w:fill="auto"/>
            <w:vAlign w:val="bottom"/>
            <w:hideMark/>
          </w:tcPr>
          <w:p w14:paraId="3283C6A6" w14:textId="77777777" w:rsidR="009036D2" w:rsidRPr="009036D2" w:rsidRDefault="009036D2" w:rsidP="009036D2">
            <w:pPr>
              <w:widowControl/>
              <w:autoSpaceDE/>
              <w:autoSpaceDN/>
              <w:adjustRightInd/>
              <w:jc w:val="center"/>
              <w:rPr>
                <w:color w:val="000000"/>
                <w:sz w:val="22"/>
                <w:szCs w:val="22"/>
              </w:rPr>
            </w:pPr>
            <w:r w:rsidRPr="009036D2">
              <w:rPr>
                <w:color w:val="000000"/>
                <w:sz w:val="22"/>
                <w:szCs w:val="22"/>
              </w:rPr>
              <w:t xml:space="preserve">$5.00 </w:t>
            </w:r>
          </w:p>
        </w:tc>
        <w:tc>
          <w:tcPr>
            <w:tcW w:w="1240" w:type="dxa"/>
            <w:tcBorders>
              <w:top w:val="nil"/>
              <w:left w:val="nil"/>
              <w:bottom w:val="single" w:sz="4" w:space="0" w:color="auto"/>
              <w:right w:val="nil"/>
            </w:tcBorders>
            <w:shd w:val="clear" w:color="auto" w:fill="auto"/>
            <w:vAlign w:val="bottom"/>
            <w:hideMark/>
          </w:tcPr>
          <w:p w14:paraId="046890C5" w14:textId="77777777" w:rsidR="009036D2" w:rsidRPr="009036D2" w:rsidRDefault="009036D2" w:rsidP="009036D2">
            <w:pPr>
              <w:widowControl/>
              <w:autoSpaceDE/>
              <w:autoSpaceDN/>
              <w:adjustRightInd/>
              <w:jc w:val="center"/>
              <w:rPr>
                <w:color w:val="000000"/>
                <w:sz w:val="22"/>
                <w:szCs w:val="22"/>
              </w:rPr>
            </w:pPr>
            <w:r w:rsidRPr="009036D2">
              <w:rPr>
                <w:color w:val="000000"/>
                <w:sz w:val="22"/>
                <w:szCs w:val="22"/>
              </w:rPr>
              <w:t>46.7</w:t>
            </w:r>
          </w:p>
        </w:tc>
        <w:tc>
          <w:tcPr>
            <w:tcW w:w="1240" w:type="dxa"/>
            <w:tcBorders>
              <w:top w:val="nil"/>
              <w:left w:val="nil"/>
              <w:bottom w:val="single" w:sz="4" w:space="0" w:color="auto"/>
              <w:right w:val="nil"/>
            </w:tcBorders>
            <w:shd w:val="clear" w:color="auto" w:fill="auto"/>
            <w:vAlign w:val="bottom"/>
            <w:hideMark/>
          </w:tcPr>
          <w:p w14:paraId="3A868D77" w14:textId="77777777" w:rsidR="009036D2" w:rsidRPr="009036D2" w:rsidRDefault="009036D2" w:rsidP="009036D2">
            <w:pPr>
              <w:widowControl/>
              <w:autoSpaceDE/>
              <w:autoSpaceDN/>
              <w:adjustRightInd/>
              <w:jc w:val="center"/>
              <w:rPr>
                <w:color w:val="000000"/>
                <w:sz w:val="22"/>
                <w:szCs w:val="22"/>
              </w:rPr>
            </w:pPr>
            <w:r w:rsidRPr="009036D2">
              <w:rPr>
                <w:color w:val="000000"/>
                <w:sz w:val="22"/>
                <w:szCs w:val="22"/>
              </w:rPr>
              <w:t>3,807</w:t>
            </w:r>
          </w:p>
        </w:tc>
        <w:tc>
          <w:tcPr>
            <w:tcW w:w="1660" w:type="dxa"/>
            <w:tcBorders>
              <w:top w:val="nil"/>
              <w:left w:val="nil"/>
              <w:bottom w:val="single" w:sz="4" w:space="0" w:color="auto"/>
              <w:right w:val="nil"/>
            </w:tcBorders>
            <w:shd w:val="clear" w:color="auto" w:fill="auto"/>
            <w:vAlign w:val="bottom"/>
            <w:hideMark/>
          </w:tcPr>
          <w:p w14:paraId="56EDD509" w14:textId="77777777" w:rsidR="009036D2" w:rsidRPr="009036D2" w:rsidRDefault="009036D2" w:rsidP="009036D2">
            <w:pPr>
              <w:widowControl/>
              <w:autoSpaceDE/>
              <w:autoSpaceDN/>
              <w:adjustRightInd/>
              <w:jc w:val="center"/>
              <w:rPr>
                <w:color w:val="000000"/>
                <w:sz w:val="22"/>
                <w:szCs w:val="22"/>
              </w:rPr>
            </w:pPr>
            <w:r w:rsidRPr="009036D2">
              <w:rPr>
                <w:color w:val="000000"/>
                <w:sz w:val="22"/>
                <w:szCs w:val="22"/>
              </w:rPr>
              <w:t>1.09</w:t>
            </w:r>
          </w:p>
        </w:tc>
      </w:tr>
    </w:tbl>
    <w:p w14:paraId="5085FCC7" w14:textId="77777777" w:rsidR="004F26E9" w:rsidRDefault="004F26E9">
      <w:pPr>
        <w:rPr>
          <w:sz w:val="24"/>
          <w:szCs w:val="24"/>
        </w:rPr>
      </w:pPr>
    </w:p>
    <w:p w14:paraId="3F3F4086" w14:textId="77777777" w:rsidR="004F26E9" w:rsidRDefault="00CC1CBF">
      <w:pPr>
        <w:rPr>
          <w:sz w:val="24"/>
          <w:szCs w:val="24"/>
        </w:rPr>
      </w:pPr>
      <w:r w:rsidRPr="00CC1CBF">
        <w:rPr>
          <w:sz w:val="24"/>
          <w:szCs w:val="24"/>
        </w:rPr>
        <w:t>Given the benefits of reduced data collection costs and higher response rates the SNAMS will include a $2.00 cash incentive i</w:t>
      </w:r>
      <w:r w:rsidR="00DB3CB3">
        <w:rPr>
          <w:sz w:val="24"/>
          <w:szCs w:val="24"/>
        </w:rPr>
        <w:t xml:space="preserve">n the initial survey mailings. </w:t>
      </w:r>
      <w:r w:rsidRPr="00CC1CBF">
        <w:rPr>
          <w:sz w:val="24"/>
          <w:szCs w:val="24"/>
        </w:rPr>
        <w:t>Based upon the results of previous pilot studies, we anticipate that a $2.00 incentive will result in sufficiently high response rates and minimize overall survey costs by reducing the number of survey mailings.</w:t>
      </w:r>
      <w:r w:rsidR="00C35CEB">
        <w:rPr>
          <w:sz w:val="24"/>
          <w:szCs w:val="24"/>
        </w:rPr>
        <w:t xml:space="preserve"> Moreover, recent (Wave 3, May-June 2018) response rates on the MFES </w:t>
      </w:r>
      <w:r w:rsidR="00DD0781">
        <w:rPr>
          <w:sz w:val="24"/>
          <w:szCs w:val="24"/>
        </w:rPr>
        <w:t>(which still includes the $2.00 incentive) of</w:t>
      </w:r>
      <w:r w:rsidR="00C35CEB">
        <w:rPr>
          <w:sz w:val="24"/>
          <w:szCs w:val="24"/>
        </w:rPr>
        <w:t xml:space="preserve"> licensed anglers from Maine to Mississippi are approximately 45% (Personal Communication, Rob Andrews, NMFS). </w:t>
      </w:r>
      <w:r w:rsidR="00DD0781">
        <w:rPr>
          <w:sz w:val="24"/>
          <w:szCs w:val="24"/>
        </w:rPr>
        <w:t xml:space="preserve">By using the </w:t>
      </w:r>
      <w:r w:rsidR="00C35CEB">
        <w:rPr>
          <w:sz w:val="24"/>
          <w:szCs w:val="24"/>
        </w:rPr>
        <w:t>proven</w:t>
      </w:r>
      <w:r w:rsidR="00DD0781">
        <w:rPr>
          <w:sz w:val="24"/>
          <w:szCs w:val="24"/>
        </w:rPr>
        <w:t xml:space="preserve"> tailored design method (Dillman, 2009) for </w:t>
      </w:r>
      <w:r w:rsidR="00C35CEB">
        <w:rPr>
          <w:sz w:val="24"/>
          <w:szCs w:val="24"/>
        </w:rPr>
        <w:t xml:space="preserve">survey implementation and </w:t>
      </w:r>
      <w:r w:rsidR="00DD0781">
        <w:rPr>
          <w:sz w:val="24"/>
          <w:szCs w:val="24"/>
        </w:rPr>
        <w:t xml:space="preserve">the $2.00 </w:t>
      </w:r>
      <w:r w:rsidR="00C35CEB">
        <w:rPr>
          <w:sz w:val="24"/>
          <w:szCs w:val="24"/>
        </w:rPr>
        <w:t>incentive we are expecting a similar response rate of 45% on the SNAMS.</w:t>
      </w:r>
    </w:p>
    <w:p w14:paraId="789B3389" w14:textId="77777777" w:rsidR="004F26E9" w:rsidRPr="007208BF" w:rsidRDefault="004F26E9">
      <w:pPr>
        <w:rPr>
          <w:sz w:val="16"/>
          <w:szCs w:val="16"/>
        </w:rPr>
      </w:pPr>
    </w:p>
    <w:p w14:paraId="75150D52" w14:textId="77777777"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14:paraId="43ACFB0D" w14:textId="77777777" w:rsidR="004F26E9" w:rsidRPr="007208BF" w:rsidRDefault="004F26E9">
      <w:pPr>
        <w:rPr>
          <w:sz w:val="16"/>
          <w:szCs w:val="16"/>
        </w:rPr>
      </w:pPr>
    </w:p>
    <w:p w14:paraId="5E27E9BA" w14:textId="77777777" w:rsidR="00F43ECD" w:rsidRPr="00F43ECD" w:rsidRDefault="00F43ECD" w:rsidP="00F43ECD">
      <w:pPr>
        <w:rPr>
          <w:sz w:val="24"/>
          <w:szCs w:val="24"/>
        </w:rPr>
      </w:pPr>
      <w:r w:rsidRPr="00F43ECD">
        <w:rPr>
          <w:sz w:val="24"/>
          <w:szCs w:val="24"/>
        </w:rPr>
        <w:t xml:space="preserve">As stated on the instrument, responses are kept confidential as required by </w:t>
      </w:r>
      <w:r w:rsidR="003F6F90">
        <w:rPr>
          <w:sz w:val="24"/>
          <w:szCs w:val="24"/>
        </w:rPr>
        <w:t xml:space="preserve">section 402(b) of the Magnuson-Stevens Act and </w:t>
      </w:r>
      <w:hyperlink r:id="rId13" w:history="1">
        <w:r w:rsidRPr="00F43ECD">
          <w:rPr>
            <w:color w:val="0000FF"/>
            <w:sz w:val="24"/>
            <w:szCs w:val="24"/>
            <w:u w:val="single"/>
          </w:rPr>
          <w:t>NOAA Administrative Order 216-100</w:t>
        </w:r>
      </w:hyperlink>
      <w:r w:rsidRPr="00F43ECD">
        <w:rPr>
          <w:sz w:val="24"/>
          <w:szCs w:val="24"/>
        </w:rPr>
        <w:t>, Confidentiality of Fisheries Statistics, and will not be released for public use except in aggregate statistical form without identificat</w:t>
      </w:r>
      <w:r w:rsidR="0034115F">
        <w:rPr>
          <w:sz w:val="24"/>
          <w:szCs w:val="24"/>
        </w:rPr>
        <w:t>ion as to its source.</w:t>
      </w:r>
    </w:p>
    <w:p w14:paraId="3C3E73C4" w14:textId="77777777" w:rsidR="004F26E9" w:rsidRPr="007208BF" w:rsidRDefault="004F26E9">
      <w:pPr>
        <w:rPr>
          <w:sz w:val="16"/>
          <w:szCs w:val="16"/>
        </w:rPr>
      </w:pPr>
    </w:p>
    <w:p w14:paraId="42EBEEF5" w14:textId="77777777"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14:paraId="703B1527" w14:textId="77777777" w:rsidR="004F26E9" w:rsidRPr="007208BF" w:rsidRDefault="004F26E9">
      <w:pPr>
        <w:rPr>
          <w:sz w:val="16"/>
          <w:szCs w:val="16"/>
        </w:rPr>
      </w:pPr>
    </w:p>
    <w:p w14:paraId="25A76571" w14:textId="77777777" w:rsidR="00F43ECD" w:rsidRPr="00F43ECD" w:rsidRDefault="00F43ECD" w:rsidP="00F43ECD">
      <w:pPr>
        <w:rPr>
          <w:sz w:val="24"/>
          <w:szCs w:val="24"/>
        </w:rPr>
      </w:pPr>
      <w:r w:rsidRPr="00F43ECD">
        <w:rPr>
          <w:sz w:val="24"/>
          <w:szCs w:val="24"/>
        </w:rPr>
        <w:t xml:space="preserve">No sensitive questions are asked. </w:t>
      </w:r>
    </w:p>
    <w:p w14:paraId="21EB65A9" w14:textId="77777777" w:rsidR="004F26E9" w:rsidRPr="007208BF" w:rsidRDefault="004F26E9">
      <w:pPr>
        <w:rPr>
          <w:sz w:val="16"/>
          <w:szCs w:val="16"/>
        </w:rPr>
      </w:pPr>
    </w:p>
    <w:p w14:paraId="5EA7D46B" w14:textId="77777777"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14:paraId="678CE669" w14:textId="77777777" w:rsidR="004F26E9" w:rsidRPr="007208BF" w:rsidRDefault="004F26E9">
      <w:pPr>
        <w:rPr>
          <w:sz w:val="16"/>
          <w:szCs w:val="16"/>
        </w:rPr>
      </w:pPr>
    </w:p>
    <w:p w14:paraId="2370264F" w14:textId="77777777" w:rsidR="00F43ECD" w:rsidRDefault="00F43ECD" w:rsidP="00F43ECD">
      <w:pPr>
        <w:widowControl/>
        <w:autoSpaceDE/>
        <w:autoSpaceDN/>
        <w:adjustRightInd/>
        <w:rPr>
          <w:sz w:val="24"/>
        </w:rPr>
      </w:pPr>
      <w:r w:rsidRPr="00F43ECD">
        <w:rPr>
          <w:sz w:val="24"/>
        </w:rPr>
        <w:t>The estimated response burden per survey activity and the total response burden are shown in Table 2. The expected number of respondents and number of responses are based on the results of previous MRIP studies. The hourly rate of $22.77 is based on the average for all civilian workers from the January 2011 National Compensation Survey (</w:t>
      </w:r>
      <w:hyperlink r:id="rId14" w:history="1">
        <w:r w:rsidRPr="00F43ECD">
          <w:rPr>
            <w:color w:val="0000FF"/>
            <w:sz w:val="24"/>
            <w:u w:val="single"/>
          </w:rPr>
          <w:t>http://www.bls.gov/ncs/ocs/sp/nctb1477.pdf</w:t>
        </w:r>
      </w:hyperlink>
      <w:r w:rsidRPr="00F43ECD">
        <w:rPr>
          <w:sz w:val="24"/>
        </w:rPr>
        <w:t xml:space="preserve">). There are </w:t>
      </w:r>
      <w:r w:rsidR="00DB3CB3">
        <w:rPr>
          <w:sz w:val="24"/>
        </w:rPr>
        <w:t>no other costs to respondents. </w:t>
      </w:r>
      <w:r w:rsidRPr="00F43ECD">
        <w:rPr>
          <w:sz w:val="24"/>
        </w:rPr>
        <w:t xml:space="preserve">There are also no recordkeeping requirements associated with MRIP </w:t>
      </w:r>
      <w:r>
        <w:rPr>
          <w:sz w:val="24"/>
        </w:rPr>
        <w:t>SNAMS</w:t>
      </w:r>
      <w:r w:rsidR="00DB3CB3">
        <w:rPr>
          <w:sz w:val="24"/>
        </w:rPr>
        <w:t>. </w:t>
      </w:r>
      <w:r w:rsidRPr="00F43ECD">
        <w:rPr>
          <w:sz w:val="24"/>
        </w:rPr>
        <w:t xml:space="preserve">A total of </w:t>
      </w:r>
      <w:r w:rsidR="00AA436E">
        <w:rPr>
          <w:sz w:val="24"/>
        </w:rPr>
        <w:t>1,</w:t>
      </w:r>
      <w:r w:rsidR="00897350">
        <w:rPr>
          <w:sz w:val="24"/>
        </w:rPr>
        <w:t>125</w:t>
      </w:r>
      <w:r w:rsidR="00993E34">
        <w:rPr>
          <w:sz w:val="24"/>
        </w:rPr>
        <w:t xml:space="preserve"> </w:t>
      </w:r>
      <w:r w:rsidRPr="00F43ECD">
        <w:rPr>
          <w:sz w:val="24"/>
        </w:rPr>
        <w:t>burden hours is anticipated, resulting in a cost to respondents of approximately $</w:t>
      </w:r>
      <w:r w:rsidR="00897350" w:rsidRPr="00897350">
        <w:rPr>
          <w:sz w:val="24"/>
        </w:rPr>
        <w:t>25</w:t>
      </w:r>
      <w:r w:rsidR="00897350">
        <w:rPr>
          <w:sz w:val="24"/>
        </w:rPr>
        <w:t>,</w:t>
      </w:r>
      <w:r w:rsidR="00897350" w:rsidRPr="00897350">
        <w:rPr>
          <w:sz w:val="24"/>
        </w:rPr>
        <w:t>616.25</w:t>
      </w:r>
      <w:r w:rsidRPr="00F43ECD">
        <w:rPr>
          <w:sz w:val="24"/>
        </w:rPr>
        <w:t>.</w:t>
      </w:r>
    </w:p>
    <w:p w14:paraId="207A6836" w14:textId="77777777" w:rsidR="0078435A" w:rsidRDefault="0078435A" w:rsidP="00F43ECD">
      <w:pPr>
        <w:widowControl/>
        <w:autoSpaceDE/>
        <w:autoSpaceDN/>
        <w:adjustRightInd/>
        <w:rPr>
          <w:rFonts w:ascii="Garamond" w:hAnsi="Garamond"/>
          <w:b/>
          <w:sz w:val="16"/>
          <w:szCs w:val="16"/>
        </w:rPr>
      </w:pPr>
    </w:p>
    <w:p w14:paraId="12FCAC59" w14:textId="77777777" w:rsidR="00A26B3D" w:rsidRDefault="00A26B3D" w:rsidP="00F43ECD">
      <w:pPr>
        <w:widowControl/>
        <w:autoSpaceDE/>
        <w:autoSpaceDN/>
        <w:adjustRightInd/>
        <w:rPr>
          <w:rFonts w:ascii="Garamond" w:hAnsi="Garamond"/>
          <w:b/>
          <w:sz w:val="16"/>
          <w:szCs w:val="16"/>
        </w:rPr>
      </w:pPr>
    </w:p>
    <w:p w14:paraId="026C85D0" w14:textId="77777777" w:rsidR="00A26B3D" w:rsidRDefault="00A26B3D" w:rsidP="00F43ECD">
      <w:pPr>
        <w:widowControl/>
        <w:autoSpaceDE/>
        <w:autoSpaceDN/>
        <w:adjustRightInd/>
        <w:rPr>
          <w:rFonts w:ascii="Garamond" w:hAnsi="Garamond"/>
          <w:b/>
          <w:sz w:val="16"/>
          <w:szCs w:val="16"/>
        </w:rPr>
      </w:pPr>
    </w:p>
    <w:p w14:paraId="185627E0" w14:textId="77777777" w:rsidR="00A26B3D" w:rsidRDefault="00A26B3D" w:rsidP="00F43ECD">
      <w:pPr>
        <w:widowControl/>
        <w:autoSpaceDE/>
        <w:autoSpaceDN/>
        <w:adjustRightInd/>
        <w:rPr>
          <w:rFonts w:ascii="Garamond" w:hAnsi="Garamond"/>
          <w:b/>
          <w:sz w:val="16"/>
          <w:szCs w:val="16"/>
        </w:rPr>
      </w:pPr>
    </w:p>
    <w:p w14:paraId="3C446F67" w14:textId="77777777" w:rsidR="00A26B3D" w:rsidRDefault="00A26B3D" w:rsidP="00F43ECD">
      <w:pPr>
        <w:widowControl/>
        <w:autoSpaceDE/>
        <w:autoSpaceDN/>
        <w:adjustRightInd/>
        <w:rPr>
          <w:rFonts w:ascii="Garamond" w:hAnsi="Garamond"/>
          <w:b/>
          <w:sz w:val="16"/>
          <w:szCs w:val="16"/>
        </w:rPr>
      </w:pPr>
    </w:p>
    <w:p w14:paraId="2872A7A6" w14:textId="77777777" w:rsidR="00A26B3D" w:rsidRDefault="00A26B3D" w:rsidP="00F43ECD">
      <w:pPr>
        <w:widowControl/>
        <w:autoSpaceDE/>
        <w:autoSpaceDN/>
        <w:adjustRightInd/>
        <w:rPr>
          <w:rFonts w:ascii="Garamond" w:hAnsi="Garamond"/>
          <w:b/>
          <w:sz w:val="16"/>
          <w:szCs w:val="16"/>
        </w:rPr>
      </w:pPr>
    </w:p>
    <w:p w14:paraId="51964DFD" w14:textId="77777777" w:rsidR="00A26B3D" w:rsidRDefault="00A26B3D" w:rsidP="00F43ECD">
      <w:pPr>
        <w:widowControl/>
        <w:autoSpaceDE/>
        <w:autoSpaceDN/>
        <w:adjustRightInd/>
        <w:rPr>
          <w:rFonts w:ascii="Garamond" w:hAnsi="Garamond"/>
          <w:b/>
          <w:sz w:val="16"/>
          <w:szCs w:val="16"/>
        </w:rPr>
      </w:pPr>
    </w:p>
    <w:p w14:paraId="0E3AD614" w14:textId="77777777" w:rsidR="00A26B3D" w:rsidRDefault="00A26B3D" w:rsidP="00F43ECD">
      <w:pPr>
        <w:widowControl/>
        <w:autoSpaceDE/>
        <w:autoSpaceDN/>
        <w:adjustRightInd/>
        <w:rPr>
          <w:rFonts w:ascii="Garamond" w:hAnsi="Garamond"/>
          <w:b/>
          <w:sz w:val="16"/>
          <w:szCs w:val="16"/>
        </w:rPr>
      </w:pPr>
    </w:p>
    <w:p w14:paraId="023377B7" w14:textId="77777777" w:rsidR="00A26B3D" w:rsidRDefault="00A26B3D" w:rsidP="00F43ECD">
      <w:pPr>
        <w:widowControl/>
        <w:autoSpaceDE/>
        <w:autoSpaceDN/>
        <w:adjustRightInd/>
        <w:rPr>
          <w:rFonts w:ascii="Garamond" w:hAnsi="Garamond"/>
          <w:b/>
          <w:sz w:val="16"/>
          <w:szCs w:val="16"/>
        </w:rPr>
      </w:pPr>
    </w:p>
    <w:p w14:paraId="0B844EAC" w14:textId="77777777" w:rsidR="00A26B3D" w:rsidRPr="007208BF" w:rsidRDefault="00A26B3D" w:rsidP="00F43ECD">
      <w:pPr>
        <w:widowControl/>
        <w:autoSpaceDE/>
        <w:autoSpaceDN/>
        <w:adjustRightInd/>
        <w:rPr>
          <w:rFonts w:ascii="Garamond" w:hAnsi="Garamond"/>
          <w:b/>
          <w:sz w:val="16"/>
          <w:szCs w:val="16"/>
        </w:rPr>
      </w:pPr>
    </w:p>
    <w:p w14:paraId="6DCACFE3" w14:textId="77777777" w:rsidR="00F43ECD" w:rsidRPr="008E6E1F" w:rsidRDefault="00F43ECD" w:rsidP="00F43ECD">
      <w:pPr>
        <w:rPr>
          <w:b/>
          <w:color w:val="000000"/>
          <w:sz w:val="24"/>
          <w:szCs w:val="24"/>
        </w:rPr>
      </w:pPr>
      <w:r w:rsidRPr="008E6E1F">
        <w:rPr>
          <w:b/>
          <w:color w:val="000000"/>
          <w:sz w:val="24"/>
          <w:szCs w:val="24"/>
        </w:rPr>
        <w:t xml:space="preserve">Table 2. Estimated response burden for the MRIP </w:t>
      </w:r>
      <w:r w:rsidR="009272B4" w:rsidRPr="008E6E1F">
        <w:rPr>
          <w:b/>
          <w:color w:val="000000"/>
          <w:sz w:val="24"/>
          <w:szCs w:val="24"/>
        </w:rPr>
        <w:t>SNAMS</w:t>
      </w:r>
      <w:r w:rsidR="002F4A6D">
        <w:rPr>
          <w:b/>
          <w:color w:val="000000"/>
          <w:sz w:val="24"/>
          <w:szCs w:val="24"/>
        </w:rPr>
        <w:t>.</w:t>
      </w:r>
    </w:p>
    <w:p w14:paraId="1896192A" w14:textId="77777777" w:rsidR="00F43ECD" w:rsidRPr="008E6E1F" w:rsidRDefault="00F43ECD" w:rsidP="00FB7E21">
      <w:pPr>
        <w:jc w:val="center"/>
        <w:rPr>
          <w:color w:val="000000"/>
          <w:sz w:val="24"/>
          <w:szCs w:val="24"/>
        </w:rPr>
      </w:pPr>
    </w:p>
    <w:tbl>
      <w:tblPr>
        <w:tblW w:w="631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45"/>
        <w:gridCol w:w="1268"/>
        <w:gridCol w:w="1519"/>
        <w:gridCol w:w="1177"/>
        <w:gridCol w:w="1108"/>
      </w:tblGrid>
      <w:tr w:rsidR="00242E51" w:rsidRPr="008E6E1F" w14:paraId="67D67DC8" w14:textId="77777777" w:rsidTr="00242E51">
        <w:trPr>
          <w:trHeight w:val="930"/>
          <w:jc w:val="center"/>
        </w:trPr>
        <w:tc>
          <w:tcPr>
            <w:tcW w:w="1245" w:type="dxa"/>
            <w:shd w:val="clear" w:color="auto" w:fill="auto"/>
            <w:vAlign w:val="bottom"/>
            <w:hideMark/>
          </w:tcPr>
          <w:p w14:paraId="51502591" w14:textId="77777777" w:rsidR="00242E51" w:rsidRPr="008E6E1F" w:rsidRDefault="00242E51" w:rsidP="00FB7E21">
            <w:pPr>
              <w:widowControl/>
              <w:autoSpaceDE/>
              <w:autoSpaceDN/>
              <w:adjustRightInd/>
              <w:jc w:val="center"/>
              <w:rPr>
                <w:b/>
                <w:bCs/>
                <w:color w:val="000000"/>
                <w:sz w:val="24"/>
                <w:szCs w:val="24"/>
              </w:rPr>
            </w:pPr>
            <w:r w:rsidRPr="008E6E1F">
              <w:rPr>
                <w:b/>
                <w:bCs/>
                <w:color w:val="000000"/>
                <w:sz w:val="24"/>
                <w:szCs w:val="24"/>
              </w:rPr>
              <w:t>Sample Size</w:t>
            </w:r>
          </w:p>
        </w:tc>
        <w:tc>
          <w:tcPr>
            <w:tcW w:w="1268" w:type="dxa"/>
            <w:shd w:val="clear" w:color="auto" w:fill="auto"/>
            <w:vAlign w:val="bottom"/>
            <w:hideMark/>
          </w:tcPr>
          <w:p w14:paraId="0ABE0631" w14:textId="77777777" w:rsidR="00242E51" w:rsidRPr="008E6E1F" w:rsidRDefault="00242E51" w:rsidP="00FB7E21">
            <w:pPr>
              <w:widowControl/>
              <w:autoSpaceDE/>
              <w:autoSpaceDN/>
              <w:adjustRightInd/>
              <w:jc w:val="center"/>
              <w:rPr>
                <w:b/>
                <w:bCs/>
                <w:color w:val="000000"/>
                <w:sz w:val="24"/>
                <w:szCs w:val="24"/>
              </w:rPr>
            </w:pPr>
            <w:r w:rsidRPr="008E6E1F">
              <w:rPr>
                <w:b/>
                <w:bCs/>
                <w:color w:val="000000"/>
                <w:sz w:val="24"/>
                <w:szCs w:val="24"/>
              </w:rPr>
              <w:t>Expected Response Rate</w:t>
            </w:r>
          </w:p>
        </w:tc>
        <w:tc>
          <w:tcPr>
            <w:tcW w:w="1519" w:type="dxa"/>
            <w:shd w:val="clear" w:color="auto" w:fill="auto"/>
            <w:vAlign w:val="bottom"/>
            <w:hideMark/>
          </w:tcPr>
          <w:p w14:paraId="37004976" w14:textId="77777777" w:rsidR="00242E51" w:rsidRPr="008E6E1F" w:rsidRDefault="00242E51" w:rsidP="00FB7E21">
            <w:pPr>
              <w:widowControl/>
              <w:autoSpaceDE/>
              <w:autoSpaceDN/>
              <w:adjustRightInd/>
              <w:jc w:val="center"/>
              <w:rPr>
                <w:b/>
                <w:bCs/>
                <w:color w:val="000000"/>
                <w:sz w:val="24"/>
                <w:szCs w:val="24"/>
              </w:rPr>
            </w:pPr>
            <w:r w:rsidRPr="008E6E1F">
              <w:rPr>
                <w:b/>
                <w:bCs/>
                <w:color w:val="000000"/>
                <w:sz w:val="24"/>
                <w:szCs w:val="24"/>
              </w:rPr>
              <w:t>Estimated Number of Responses</w:t>
            </w:r>
          </w:p>
        </w:tc>
        <w:tc>
          <w:tcPr>
            <w:tcW w:w="1177" w:type="dxa"/>
            <w:shd w:val="clear" w:color="auto" w:fill="auto"/>
            <w:vAlign w:val="bottom"/>
            <w:hideMark/>
          </w:tcPr>
          <w:p w14:paraId="210F0E88" w14:textId="77777777" w:rsidR="00242E51" w:rsidRPr="008E6E1F" w:rsidRDefault="00242E51" w:rsidP="00FB7E21">
            <w:pPr>
              <w:widowControl/>
              <w:autoSpaceDE/>
              <w:autoSpaceDN/>
              <w:adjustRightInd/>
              <w:jc w:val="center"/>
              <w:rPr>
                <w:b/>
                <w:bCs/>
                <w:color w:val="000000"/>
                <w:sz w:val="24"/>
                <w:szCs w:val="24"/>
              </w:rPr>
            </w:pPr>
            <w:r w:rsidRPr="008E6E1F">
              <w:rPr>
                <w:b/>
                <w:bCs/>
                <w:color w:val="000000"/>
                <w:sz w:val="24"/>
                <w:szCs w:val="24"/>
              </w:rPr>
              <w:t>Minutes per Response</w:t>
            </w:r>
          </w:p>
        </w:tc>
        <w:tc>
          <w:tcPr>
            <w:tcW w:w="1108" w:type="dxa"/>
            <w:shd w:val="clear" w:color="auto" w:fill="auto"/>
            <w:vAlign w:val="bottom"/>
            <w:hideMark/>
          </w:tcPr>
          <w:p w14:paraId="59AD4900" w14:textId="77777777" w:rsidR="00242E51" w:rsidRPr="008E6E1F" w:rsidRDefault="00242E51" w:rsidP="00FB7E21">
            <w:pPr>
              <w:widowControl/>
              <w:autoSpaceDE/>
              <w:autoSpaceDN/>
              <w:adjustRightInd/>
              <w:jc w:val="center"/>
              <w:rPr>
                <w:b/>
                <w:bCs/>
                <w:color w:val="000000"/>
                <w:sz w:val="24"/>
                <w:szCs w:val="24"/>
              </w:rPr>
            </w:pPr>
            <w:r w:rsidRPr="008E6E1F">
              <w:rPr>
                <w:b/>
                <w:bCs/>
                <w:color w:val="000000"/>
                <w:sz w:val="24"/>
                <w:szCs w:val="24"/>
              </w:rPr>
              <w:t>Total Time (Hours)</w:t>
            </w:r>
          </w:p>
        </w:tc>
      </w:tr>
      <w:tr w:rsidR="00242E51" w:rsidRPr="008E6E1F" w14:paraId="154464ED" w14:textId="77777777" w:rsidTr="00242E51">
        <w:trPr>
          <w:trHeight w:val="315"/>
          <w:jc w:val="center"/>
        </w:trPr>
        <w:tc>
          <w:tcPr>
            <w:tcW w:w="1245" w:type="dxa"/>
            <w:shd w:val="clear" w:color="auto" w:fill="auto"/>
            <w:vAlign w:val="bottom"/>
            <w:hideMark/>
          </w:tcPr>
          <w:p w14:paraId="2AA45A5E" w14:textId="77777777" w:rsidR="00242E51" w:rsidRPr="008E6E1F" w:rsidRDefault="00242E51" w:rsidP="00FB7E21">
            <w:pPr>
              <w:widowControl/>
              <w:autoSpaceDE/>
              <w:autoSpaceDN/>
              <w:adjustRightInd/>
              <w:jc w:val="center"/>
              <w:rPr>
                <w:color w:val="000000"/>
                <w:sz w:val="24"/>
                <w:szCs w:val="24"/>
              </w:rPr>
            </w:pPr>
            <w:r w:rsidRPr="008E6E1F">
              <w:rPr>
                <w:color w:val="000000"/>
                <w:sz w:val="24"/>
                <w:szCs w:val="24"/>
              </w:rPr>
              <w:t>10,000</w:t>
            </w:r>
          </w:p>
        </w:tc>
        <w:tc>
          <w:tcPr>
            <w:tcW w:w="1268" w:type="dxa"/>
            <w:shd w:val="clear" w:color="auto" w:fill="auto"/>
            <w:vAlign w:val="bottom"/>
            <w:hideMark/>
          </w:tcPr>
          <w:p w14:paraId="7E2B9386" w14:textId="77777777" w:rsidR="00242E51" w:rsidRPr="008E6E1F" w:rsidRDefault="00242E51" w:rsidP="00FB7E21">
            <w:pPr>
              <w:widowControl/>
              <w:autoSpaceDE/>
              <w:autoSpaceDN/>
              <w:adjustRightInd/>
              <w:jc w:val="center"/>
              <w:rPr>
                <w:color w:val="000000"/>
                <w:sz w:val="24"/>
                <w:szCs w:val="24"/>
              </w:rPr>
            </w:pPr>
            <w:r>
              <w:rPr>
                <w:color w:val="000000"/>
                <w:sz w:val="24"/>
                <w:szCs w:val="24"/>
              </w:rPr>
              <w:t>45</w:t>
            </w:r>
            <w:r w:rsidRPr="008E6E1F">
              <w:rPr>
                <w:color w:val="000000"/>
                <w:sz w:val="24"/>
                <w:szCs w:val="24"/>
                <w:vertAlign w:val="superscript"/>
              </w:rPr>
              <w:footnoteReference w:id="2"/>
            </w:r>
            <w:r w:rsidRPr="008E6E1F">
              <w:rPr>
                <w:color w:val="000000"/>
                <w:sz w:val="24"/>
                <w:szCs w:val="24"/>
              </w:rPr>
              <w:t xml:space="preserve"> %</w:t>
            </w:r>
          </w:p>
        </w:tc>
        <w:tc>
          <w:tcPr>
            <w:tcW w:w="1519" w:type="dxa"/>
            <w:shd w:val="clear" w:color="auto" w:fill="auto"/>
            <w:vAlign w:val="bottom"/>
          </w:tcPr>
          <w:p w14:paraId="68C7718A" w14:textId="77777777" w:rsidR="00242E51" w:rsidRPr="008E6E1F" w:rsidRDefault="00242E51" w:rsidP="00993E34">
            <w:pPr>
              <w:widowControl/>
              <w:autoSpaceDE/>
              <w:autoSpaceDN/>
              <w:adjustRightInd/>
              <w:jc w:val="center"/>
              <w:rPr>
                <w:color w:val="000000"/>
                <w:sz w:val="24"/>
                <w:szCs w:val="24"/>
              </w:rPr>
            </w:pPr>
            <w:r w:rsidRPr="008E6E1F">
              <w:rPr>
                <w:color w:val="000000"/>
                <w:sz w:val="24"/>
                <w:szCs w:val="24"/>
              </w:rPr>
              <w:t>4,</w:t>
            </w:r>
            <w:r>
              <w:rPr>
                <w:color w:val="000000"/>
                <w:sz w:val="24"/>
                <w:szCs w:val="24"/>
              </w:rPr>
              <w:t>5</w:t>
            </w:r>
            <w:r w:rsidRPr="008E6E1F">
              <w:rPr>
                <w:color w:val="000000"/>
                <w:sz w:val="24"/>
                <w:szCs w:val="24"/>
              </w:rPr>
              <w:t>00</w:t>
            </w:r>
          </w:p>
        </w:tc>
        <w:tc>
          <w:tcPr>
            <w:tcW w:w="1177" w:type="dxa"/>
            <w:shd w:val="clear" w:color="auto" w:fill="auto"/>
            <w:vAlign w:val="bottom"/>
          </w:tcPr>
          <w:p w14:paraId="465BB0B2" w14:textId="77777777" w:rsidR="00242E51" w:rsidRPr="008E6E1F" w:rsidRDefault="00897350" w:rsidP="00FB7E21">
            <w:pPr>
              <w:widowControl/>
              <w:autoSpaceDE/>
              <w:autoSpaceDN/>
              <w:adjustRightInd/>
              <w:jc w:val="center"/>
              <w:rPr>
                <w:color w:val="000000"/>
                <w:sz w:val="24"/>
                <w:szCs w:val="24"/>
              </w:rPr>
            </w:pPr>
            <w:r>
              <w:rPr>
                <w:color w:val="000000"/>
                <w:sz w:val="24"/>
                <w:szCs w:val="24"/>
              </w:rPr>
              <w:t>15</w:t>
            </w:r>
          </w:p>
        </w:tc>
        <w:tc>
          <w:tcPr>
            <w:tcW w:w="1108" w:type="dxa"/>
            <w:shd w:val="clear" w:color="auto" w:fill="auto"/>
            <w:vAlign w:val="bottom"/>
          </w:tcPr>
          <w:p w14:paraId="46967647" w14:textId="77777777" w:rsidR="00242E51" w:rsidRPr="008E6E1F" w:rsidRDefault="00242E51" w:rsidP="00897350">
            <w:pPr>
              <w:widowControl/>
              <w:autoSpaceDE/>
              <w:autoSpaceDN/>
              <w:adjustRightInd/>
              <w:jc w:val="center"/>
              <w:rPr>
                <w:color w:val="000000"/>
                <w:sz w:val="24"/>
                <w:szCs w:val="24"/>
              </w:rPr>
            </w:pPr>
            <w:r w:rsidRPr="008E6E1F">
              <w:rPr>
                <w:color w:val="000000"/>
                <w:sz w:val="24"/>
                <w:szCs w:val="24"/>
              </w:rPr>
              <w:t>1,</w:t>
            </w:r>
            <w:r w:rsidR="00897350">
              <w:rPr>
                <w:color w:val="000000"/>
                <w:sz w:val="24"/>
                <w:szCs w:val="24"/>
              </w:rPr>
              <w:t>125</w:t>
            </w:r>
          </w:p>
        </w:tc>
      </w:tr>
    </w:tbl>
    <w:p w14:paraId="7BE0977C" w14:textId="77777777" w:rsidR="004F26E9" w:rsidRPr="007208BF" w:rsidRDefault="004F26E9">
      <w:pPr>
        <w:rPr>
          <w:sz w:val="16"/>
          <w:szCs w:val="16"/>
        </w:rPr>
      </w:pPr>
    </w:p>
    <w:p w14:paraId="72206382" w14:textId="77777777"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14:paraId="5F966EFB" w14:textId="77777777" w:rsidR="004F26E9" w:rsidRPr="007208BF" w:rsidRDefault="004F26E9">
      <w:pPr>
        <w:rPr>
          <w:sz w:val="16"/>
          <w:szCs w:val="16"/>
        </w:rPr>
      </w:pPr>
    </w:p>
    <w:p w14:paraId="292C7DA9" w14:textId="77777777" w:rsidR="004F26E9" w:rsidRDefault="00573C9B" w:rsidP="009C39C3">
      <w:pPr>
        <w:pStyle w:val="CM4"/>
        <w:ind w:right="533"/>
      </w:pPr>
      <w:r>
        <w:t>There will be no financial cost to the public to participate in this study, only the cost of t</w:t>
      </w:r>
      <w:r w:rsidR="00DB3CB3">
        <w:t>heir labor (i.e. response time).</w:t>
      </w:r>
    </w:p>
    <w:p w14:paraId="2ADD7425" w14:textId="77777777" w:rsidR="004F26E9" w:rsidRPr="007208BF" w:rsidRDefault="004F26E9">
      <w:pPr>
        <w:rPr>
          <w:sz w:val="16"/>
          <w:szCs w:val="16"/>
        </w:rPr>
      </w:pPr>
    </w:p>
    <w:p w14:paraId="0CBD6851" w14:textId="77777777"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14:paraId="595799BB" w14:textId="77777777" w:rsidR="004F26E9" w:rsidRPr="007208BF" w:rsidRDefault="004F26E9">
      <w:pPr>
        <w:rPr>
          <w:sz w:val="16"/>
          <w:szCs w:val="16"/>
        </w:rPr>
      </w:pPr>
    </w:p>
    <w:p w14:paraId="10B17E84" w14:textId="77777777" w:rsidR="009C39C3" w:rsidRDefault="009C39C3">
      <w:pPr>
        <w:rPr>
          <w:sz w:val="24"/>
          <w:szCs w:val="24"/>
        </w:rPr>
      </w:pPr>
      <w:r w:rsidRPr="009C39C3">
        <w:rPr>
          <w:sz w:val="24"/>
          <w:szCs w:val="24"/>
        </w:rPr>
        <w:t>A contract was awarded to ECS Federal</w:t>
      </w:r>
      <w:r w:rsidR="00FD2F40" w:rsidRPr="00FD2F40">
        <w:t xml:space="preserve"> </w:t>
      </w:r>
      <w:r w:rsidR="00FD2F40">
        <w:rPr>
          <w:sz w:val="24"/>
          <w:szCs w:val="24"/>
        </w:rPr>
        <w:t>for</w:t>
      </w:r>
      <w:r w:rsidRPr="009C39C3">
        <w:rPr>
          <w:sz w:val="24"/>
          <w:szCs w:val="24"/>
        </w:rPr>
        <w:t xml:space="preserve"> development of the survey instrument, </w:t>
      </w:r>
      <w:r>
        <w:rPr>
          <w:sz w:val="24"/>
          <w:szCs w:val="24"/>
        </w:rPr>
        <w:t>implementing the survey</w:t>
      </w:r>
      <w:r w:rsidRPr="009C39C3">
        <w:rPr>
          <w:sz w:val="24"/>
          <w:szCs w:val="24"/>
        </w:rPr>
        <w:t xml:space="preserve">, data collection and processing, quality control, and supervision. </w:t>
      </w:r>
      <w:r w:rsidR="00FD2F40">
        <w:rPr>
          <w:sz w:val="24"/>
          <w:szCs w:val="24"/>
        </w:rPr>
        <w:t>The contracted cost of the survey is $</w:t>
      </w:r>
      <w:r w:rsidR="00FD2F40" w:rsidRPr="00FD2F40">
        <w:rPr>
          <w:sz w:val="24"/>
          <w:szCs w:val="24"/>
        </w:rPr>
        <w:t>187,431</w:t>
      </w:r>
      <w:r w:rsidR="00FD2F40">
        <w:rPr>
          <w:sz w:val="24"/>
          <w:szCs w:val="24"/>
        </w:rPr>
        <w:t xml:space="preserve">.00. </w:t>
      </w:r>
      <w:r w:rsidRPr="009C39C3">
        <w:rPr>
          <w:sz w:val="24"/>
          <w:szCs w:val="24"/>
        </w:rPr>
        <w:t xml:space="preserve">Additional federal costs include the time of NMFS staff. The NMFS staff will be responsible for developing and administering the contract, </w:t>
      </w:r>
      <w:r w:rsidR="00E614D5">
        <w:rPr>
          <w:sz w:val="24"/>
          <w:szCs w:val="24"/>
        </w:rPr>
        <w:t xml:space="preserve">providing feedback on </w:t>
      </w:r>
      <w:r w:rsidRPr="009C39C3">
        <w:rPr>
          <w:sz w:val="24"/>
          <w:szCs w:val="24"/>
        </w:rPr>
        <w:t xml:space="preserve">the development of the survey, and </w:t>
      </w:r>
      <w:r w:rsidR="00E614D5">
        <w:rPr>
          <w:sz w:val="24"/>
          <w:szCs w:val="24"/>
        </w:rPr>
        <w:t xml:space="preserve">reviewing results, done as part of regular duties. </w:t>
      </w:r>
      <w:r w:rsidR="00E614D5" w:rsidRPr="009C39C3">
        <w:rPr>
          <w:sz w:val="24"/>
          <w:szCs w:val="24"/>
        </w:rPr>
        <w:t>The cost of NMFS staf</w:t>
      </w:r>
      <w:r w:rsidR="00E614D5">
        <w:rPr>
          <w:sz w:val="24"/>
          <w:szCs w:val="24"/>
        </w:rPr>
        <w:t>f time is $</w:t>
      </w:r>
      <w:r w:rsidR="00E614D5" w:rsidRPr="00E614D5">
        <w:t xml:space="preserve"> </w:t>
      </w:r>
      <w:r w:rsidR="00E614D5" w:rsidRPr="00E614D5">
        <w:rPr>
          <w:sz w:val="24"/>
          <w:szCs w:val="24"/>
        </w:rPr>
        <w:t>17</w:t>
      </w:r>
      <w:r w:rsidR="00E614D5">
        <w:rPr>
          <w:sz w:val="24"/>
          <w:szCs w:val="24"/>
        </w:rPr>
        <w:t>,</w:t>
      </w:r>
      <w:r w:rsidR="00E614D5" w:rsidRPr="00E614D5">
        <w:rPr>
          <w:sz w:val="24"/>
          <w:szCs w:val="24"/>
        </w:rPr>
        <w:t>921.6</w:t>
      </w:r>
      <w:r w:rsidR="00E614D5">
        <w:rPr>
          <w:sz w:val="24"/>
          <w:szCs w:val="24"/>
        </w:rPr>
        <w:t>0</w:t>
      </w:r>
      <w:r w:rsidR="00E614D5" w:rsidRPr="00E614D5">
        <w:rPr>
          <w:sz w:val="24"/>
          <w:szCs w:val="24"/>
        </w:rPr>
        <w:t xml:space="preserve"> </w:t>
      </w:r>
      <w:r w:rsidR="00E614D5">
        <w:rPr>
          <w:sz w:val="24"/>
          <w:szCs w:val="24"/>
        </w:rPr>
        <w:t>(based on 160 hours total X $65.38/</w:t>
      </w:r>
      <w:r w:rsidR="0078435A">
        <w:rPr>
          <w:sz w:val="24"/>
          <w:szCs w:val="24"/>
        </w:rPr>
        <w:t>hr.</w:t>
      </w:r>
      <w:r w:rsidR="00E614D5">
        <w:rPr>
          <w:sz w:val="24"/>
          <w:szCs w:val="24"/>
        </w:rPr>
        <w:t xml:space="preserve"> = $10,460.80 + 160 hours total X $46.63/</w:t>
      </w:r>
      <w:r w:rsidR="0078435A">
        <w:rPr>
          <w:sz w:val="24"/>
          <w:szCs w:val="24"/>
        </w:rPr>
        <w:t>hr.</w:t>
      </w:r>
      <w:r w:rsidR="00E614D5">
        <w:rPr>
          <w:sz w:val="24"/>
          <w:szCs w:val="24"/>
        </w:rPr>
        <w:t xml:space="preserve"> = $7460.80). </w:t>
      </w:r>
    </w:p>
    <w:p w14:paraId="044F50CB" w14:textId="77777777" w:rsidR="009C39C3" w:rsidRPr="007208BF" w:rsidRDefault="009C39C3">
      <w:pPr>
        <w:rPr>
          <w:sz w:val="16"/>
          <w:szCs w:val="16"/>
        </w:rPr>
      </w:pPr>
    </w:p>
    <w:p w14:paraId="71DB301E" w14:textId="77777777"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14:paraId="00D1EDD5" w14:textId="77777777" w:rsidR="004F26E9" w:rsidRPr="007208BF" w:rsidRDefault="004F26E9">
      <w:pPr>
        <w:rPr>
          <w:sz w:val="16"/>
          <w:szCs w:val="16"/>
        </w:rPr>
      </w:pPr>
    </w:p>
    <w:p w14:paraId="109DAC78" w14:textId="77777777" w:rsidR="004F26E9" w:rsidRDefault="000129A3">
      <w:pPr>
        <w:rPr>
          <w:sz w:val="24"/>
          <w:szCs w:val="24"/>
        </w:rPr>
      </w:pPr>
      <w:r>
        <w:rPr>
          <w:sz w:val="24"/>
          <w:szCs w:val="24"/>
        </w:rPr>
        <w:t xml:space="preserve">This is a new </w:t>
      </w:r>
      <w:r w:rsidR="00E7499F">
        <w:rPr>
          <w:sz w:val="24"/>
          <w:szCs w:val="24"/>
        </w:rPr>
        <w:t>data collection.</w:t>
      </w:r>
    </w:p>
    <w:p w14:paraId="0BEE31E5" w14:textId="77777777" w:rsidR="000129A3" w:rsidRPr="007208BF" w:rsidRDefault="000129A3">
      <w:pPr>
        <w:rPr>
          <w:sz w:val="16"/>
          <w:szCs w:val="16"/>
        </w:rPr>
      </w:pPr>
    </w:p>
    <w:p w14:paraId="4BFCC2F1" w14:textId="77777777" w:rsidR="004F26E9" w:rsidRDefault="004F26E9">
      <w:pPr>
        <w:rPr>
          <w:b/>
          <w:bCs/>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14:paraId="3ACF8835" w14:textId="77777777" w:rsidR="009272B4" w:rsidRPr="007208BF" w:rsidRDefault="009272B4">
      <w:pPr>
        <w:rPr>
          <w:b/>
          <w:bCs/>
          <w:sz w:val="16"/>
          <w:szCs w:val="16"/>
        </w:rPr>
      </w:pPr>
    </w:p>
    <w:p w14:paraId="46A92395" w14:textId="77777777" w:rsidR="009272B4" w:rsidRPr="004549B7" w:rsidRDefault="00E7499F" w:rsidP="00242E51">
      <w:pPr>
        <w:pStyle w:val="CM23"/>
        <w:ind w:right="130"/>
      </w:pPr>
      <w:r w:rsidRPr="004549B7">
        <w:t xml:space="preserve">Descriptive and analytical reports will include summaries of data. </w:t>
      </w:r>
      <w:r w:rsidR="00242E51" w:rsidRPr="00242E51">
        <w:t>These reports will not release or reveal</w:t>
      </w:r>
      <w:r w:rsidR="00242E51">
        <w:t xml:space="preserve"> </w:t>
      </w:r>
      <w:r w:rsidR="00242E51" w:rsidRPr="00242E51">
        <w:t>individual responses.</w:t>
      </w:r>
      <w:r w:rsidR="00242E51">
        <w:t xml:space="preserve"> </w:t>
      </w:r>
      <w:r w:rsidRPr="004549B7">
        <w:t xml:space="preserve">The data </w:t>
      </w:r>
      <w:r w:rsidR="004549B7">
        <w:t xml:space="preserve">summaries </w:t>
      </w:r>
      <w:r w:rsidRPr="004549B7">
        <w:t xml:space="preserve">may </w:t>
      </w:r>
      <w:r w:rsidR="009272B4" w:rsidRPr="004549B7">
        <w:t>support research and analyses to be presented at appropriate professional meetings (e.g. American Fisheries Society, Joint Statistical Meetings) and may be submitted for publication in appropriate statistical or fis</w:t>
      </w:r>
      <w:r w:rsidR="00DB3CB3">
        <w:t>heries peer-reviewed journals.</w:t>
      </w:r>
    </w:p>
    <w:p w14:paraId="61C6EC29" w14:textId="77777777"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14:paraId="275EC35A" w14:textId="77777777" w:rsidR="004F26E9" w:rsidRPr="00A26B3D" w:rsidRDefault="004F26E9">
      <w:pPr>
        <w:rPr>
          <w:sz w:val="16"/>
          <w:szCs w:val="16"/>
        </w:rPr>
      </w:pPr>
    </w:p>
    <w:p w14:paraId="79792118" w14:textId="77777777" w:rsidR="004F26E9" w:rsidRDefault="005752F5">
      <w:pPr>
        <w:rPr>
          <w:sz w:val="24"/>
          <w:szCs w:val="24"/>
        </w:rPr>
      </w:pPr>
      <w:r w:rsidRPr="005752F5">
        <w:rPr>
          <w:sz w:val="24"/>
          <w:szCs w:val="24"/>
        </w:rPr>
        <w:t>The OMB control number and expiration date will be displayed.</w:t>
      </w:r>
    </w:p>
    <w:p w14:paraId="36F787E9" w14:textId="77777777" w:rsidR="005752F5" w:rsidRPr="00A26B3D" w:rsidRDefault="005752F5">
      <w:pPr>
        <w:rPr>
          <w:sz w:val="16"/>
          <w:szCs w:val="16"/>
        </w:rPr>
      </w:pPr>
    </w:p>
    <w:p w14:paraId="5125C897" w14:textId="77777777"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14:paraId="318D259E" w14:textId="77777777" w:rsidR="004F26E9" w:rsidRPr="00A26B3D" w:rsidRDefault="004F26E9">
      <w:pPr>
        <w:rPr>
          <w:sz w:val="16"/>
          <w:szCs w:val="16"/>
        </w:rPr>
      </w:pPr>
    </w:p>
    <w:p w14:paraId="0EE8F34C" w14:textId="77777777" w:rsidR="00966DBE" w:rsidRDefault="005752F5" w:rsidP="00FB7E21">
      <w:pPr>
        <w:rPr>
          <w:b/>
          <w:color w:val="000000"/>
          <w:sz w:val="24"/>
          <w:szCs w:val="24"/>
        </w:rPr>
        <w:sectPr w:rsidR="00966DBE">
          <w:footnotePr>
            <w:numRestart w:val="eachSect"/>
          </w:footnotePr>
          <w:endnotePr>
            <w:numFmt w:val="decimal"/>
          </w:endnotePr>
          <w:type w:val="continuous"/>
          <w:pgSz w:w="12240" w:h="15840"/>
          <w:pgMar w:top="1440" w:right="1440" w:bottom="1080" w:left="1440" w:header="720" w:footer="720" w:gutter="0"/>
          <w:cols w:space="720"/>
        </w:sectPr>
      </w:pPr>
      <w:r w:rsidRPr="005752F5">
        <w:rPr>
          <w:sz w:val="24"/>
          <w:szCs w:val="24"/>
        </w:rPr>
        <w:t>There are no exceptions to the certification statement.</w:t>
      </w:r>
    </w:p>
    <w:p w14:paraId="19CA565F" w14:textId="77777777" w:rsidR="00FB7E21" w:rsidRPr="00FB7E21" w:rsidRDefault="00FB7E21" w:rsidP="00FB7E21">
      <w:pPr>
        <w:rPr>
          <w:b/>
          <w:color w:val="000000"/>
          <w:sz w:val="24"/>
          <w:szCs w:val="24"/>
        </w:rPr>
      </w:pPr>
      <w:r w:rsidRPr="00FB7E21">
        <w:rPr>
          <w:b/>
          <w:color w:val="000000"/>
          <w:sz w:val="24"/>
          <w:szCs w:val="24"/>
        </w:rPr>
        <w:t>References</w:t>
      </w:r>
    </w:p>
    <w:p w14:paraId="026030FD" w14:textId="77777777" w:rsidR="00FB7E21" w:rsidRPr="00FB7E21" w:rsidRDefault="00FB7E21" w:rsidP="00FB7E21">
      <w:pPr>
        <w:rPr>
          <w:b/>
          <w:color w:val="000000"/>
          <w:sz w:val="24"/>
          <w:szCs w:val="24"/>
        </w:rPr>
      </w:pPr>
    </w:p>
    <w:p w14:paraId="3F440F69" w14:textId="77777777" w:rsidR="00FB7E21" w:rsidRPr="00FB7E21" w:rsidRDefault="00FB7E21" w:rsidP="00966DBE">
      <w:pPr>
        <w:rPr>
          <w:color w:val="000000"/>
          <w:sz w:val="24"/>
          <w:szCs w:val="24"/>
        </w:rPr>
      </w:pPr>
      <w:r w:rsidRPr="00FB7E21">
        <w:rPr>
          <w:color w:val="000000"/>
          <w:sz w:val="24"/>
          <w:szCs w:val="24"/>
        </w:rPr>
        <w:t>Brick, J.M., D. William</w:t>
      </w:r>
      <w:r w:rsidR="00DB3CB3">
        <w:rPr>
          <w:color w:val="000000"/>
          <w:sz w:val="24"/>
          <w:szCs w:val="24"/>
        </w:rPr>
        <w:t xml:space="preserve">s, and J.M. Montaquila (2011). </w:t>
      </w:r>
      <w:r w:rsidRPr="00FB7E21">
        <w:rPr>
          <w:color w:val="000000"/>
          <w:sz w:val="24"/>
          <w:szCs w:val="24"/>
        </w:rPr>
        <w:t>Address-Based Sampl</w:t>
      </w:r>
      <w:r w:rsidR="00DB3CB3">
        <w:rPr>
          <w:color w:val="000000"/>
          <w:sz w:val="24"/>
          <w:szCs w:val="24"/>
        </w:rPr>
        <w:t xml:space="preserve">ing for Subpopulation Surveys. </w:t>
      </w:r>
      <w:r w:rsidRPr="00FB7E21">
        <w:rPr>
          <w:color w:val="000000"/>
          <w:sz w:val="24"/>
          <w:szCs w:val="24"/>
        </w:rPr>
        <w:t xml:space="preserve">Public </w:t>
      </w:r>
      <w:r w:rsidR="00DB3CB3">
        <w:rPr>
          <w:color w:val="000000"/>
          <w:sz w:val="24"/>
          <w:szCs w:val="24"/>
        </w:rPr>
        <w:t>Opinion Quarterly 75: 409-428.</w:t>
      </w:r>
    </w:p>
    <w:p w14:paraId="310FFD26" w14:textId="77777777" w:rsidR="00FB7E21" w:rsidRPr="00FB7E21" w:rsidRDefault="00FB7E21" w:rsidP="00966DBE">
      <w:pPr>
        <w:rPr>
          <w:color w:val="000000"/>
          <w:sz w:val="24"/>
          <w:szCs w:val="24"/>
        </w:rPr>
      </w:pPr>
    </w:p>
    <w:p w14:paraId="4D6F68A8" w14:textId="77777777" w:rsidR="00966DBE" w:rsidRDefault="00966DBE" w:rsidP="00966DBE">
      <w:pPr>
        <w:widowControl/>
        <w:pBdr>
          <w:top w:val="nil"/>
          <w:left w:val="nil"/>
          <w:bottom w:val="nil"/>
          <w:right w:val="nil"/>
          <w:between w:val="nil"/>
        </w:pBdr>
        <w:autoSpaceDE/>
        <w:autoSpaceDN/>
        <w:adjustRightInd/>
        <w:spacing w:line="259" w:lineRule="auto"/>
        <w:jc w:val="both"/>
        <w:rPr>
          <w:color w:val="000000"/>
          <w:sz w:val="24"/>
          <w:szCs w:val="24"/>
        </w:rPr>
      </w:pPr>
      <w:r w:rsidRPr="00966DBE">
        <w:rPr>
          <w:color w:val="000000"/>
          <w:sz w:val="24"/>
          <w:szCs w:val="24"/>
        </w:rPr>
        <w:t>Carlton, 2012. The role of science in public understanding of environmental controversies: Cognition, media, and resident opinion in coastal Florida. Dissertation submitted to the School of Natural Resources &amp; Environment, University of Florida.</w:t>
      </w:r>
    </w:p>
    <w:p w14:paraId="460EC44E" w14:textId="77777777" w:rsidR="00966DBE" w:rsidRPr="00966DBE" w:rsidRDefault="00966DBE" w:rsidP="00966DBE">
      <w:pPr>
        <w:widowControl/>
        <w:pBdr>
          <w:top w:val="nil"/>
          <w:left w:val="nil"/>
          <w:bottom w:val="nil"/>
          <w:right w:val="nil"/>
          <w:between w:val="nil"/>
        </w:pBdr>
        <w:autoSpaceDE/>
        <w:autoSpaceDN/>
        <w:adjustRightInd/>
        <w:spacing w:line="259" w:lineRule="auto"/>
        <w:jc w:val="both"/>
        <w:rPr>
          <w:color w:val="000000"/>
          <w:sz w:val="24"/>
          <w:szCs w:val="24"/>
        </w:rPr>
      </w:pPr>
    </w:p>
    <w:p w14:paraId="3F8DC4EB" w14:textId="77777777" w:rsidR="00966DBE" w:rsidRPr="00966DBE" w:rsidRDefault="00966DBE" w:rsidP="00966DBE">
      <w:pPr>
        <w:widowControl/>
        <w:pBdr>
          <w:top w:val="nil"/>
          <w:left w:val="nil"/>
          <w:bottom w:val="nil"/>
          <w:right w:val="nil"/>
          <w:between w:val="nil"/>
        </w:pBdr>
        <w:autoSpaceDE/>
        <w:autoSpaceDN/>
        <w:adjustRightInd/>
        <w:spacing w:line="259" w:lineRule="auto"/>
        <w:jc w:val="both"/>
        <w:rPr>
          <w:color w:val="000000"/>
          <w:sz w:val="24"/>
          <w:szCs w:val="24"/>
        </w:rPr>
      </w:pPr>
      <w:r w:rsidRPr="00966DBE">
        <w:rPr>
          <w:color w:val="000000"/>
          <w:sz w:val="24"/>
          <w:szCs w:val="24"/>
        </w:rPr>
        <w:t>Carlton, J. S., &amp; Jacobson, S. K. (2013). Climate change and coastal environmental risk perceptions in Florida. Journal of environmental management, 130, 32-39.</w:t>
      </w:r>
    </w:p>
    <w:p w14:paraId="3CC84A61" w14:textId="77777777" w:rsidR="00FB7E21" w:rsidRPr="00FB7E21" w:rsidRDefault="00FB7E21" w:rsidP="00966DBE">
      <w:pPr>
        <w:widowControl/>
        <w:rPr>
          <w:sz w:val="24"/>
          <w:szCs w:val="24"/>
        </w:rPr>
      </w:pPr>
      <w:r w:rsidRPr="00FB7E21">
        <w:rPr>
          <w:sz w:val="24"/>
          <w:szCs w:val="24"/>
        </w:rPr>
        <w:t xml:space="preserve">Church, A.H. (1993). </w:t>
      </w:r>
      <w:r w:rsidRPr="00FB7E21">
        <w:rPr>
          <w:rFonts w:ascii="AdvOT3c2d9f11" w:hAnsi="AdvOT3c2d9f11" w:cs="AdvOT3c2d9f11"/>
          <w:sz w:val="24"/>
          <w:szCs w:val="24"/>
        </w:rPr>
        <w:t>Estimating the Effect of Incentives on Mail Survey R</w:t>
      </w:r>
      <w:r w:rsidR="00DB3CB3">
        <w:rPr>
          <w:rFonts w:ascii="AdvOT3c2d9f11" w:hAnsi="AdvOT3c2d9f11" w:cs="AdvOT3c2d9f11"/>
          <w:sz w:val="24"/>
          <w:szCs w:val="24"/>
        </w:rPr>
        <w:t>esponse Rates: A Meta-Analysis.</w:t>
      </w:r>
      <w:r w:rsidRPr="00FB7E21">
        <w:rPr>
          <w:rFonts w:ascii="AdvOT3c2d9f11" w:hAnsi="AdvOT3c2d9f11" w:cs="AdvOT3c2d9f11"/>
          <w:sz w:val="24"/>
          <w:szCs w:val="24"/>
        </w:rPr>
        <w:t xml:space="preserve"> </w:t>
      </w:r>
      <w:r w:rsidRPr="00FB7E21">
        <w:rPr>
          <w:rFonts w:ascii="AdvOT21bf1298.I" w:hAnsi="AdvOT21bf1298.I" w:cs="AdvOT21bf1298.I"/>
          <w:sz w:val="24"/>
          <w:szCs w:val="24"/>
        </w:rPr>
        <w:t xml:space="preserve">Public Opinion Quarterly </w:t>
      </w:r>
      <w:r w:rsidRPr="00FB7E21">
        <w:rPr>
          <w:rFonts w:ascii="AdvOT3c2d9f11" w:hAnsi="AdvOT3c2d9f11" w:cs="AdvOT3c2d9f11"/>
          <w:sz w:val="24"/>
          <w:szCs w:val="24"/>
        </w:rPr>
        <w:t>57:62–79.</w:t>
      </w:r>
    </w:p>
    <w:p w14:paraId="6ADA515D" w14:textId="77777777" w:rsidR="00FB7E21" w:rsidRPr="00FB7E21" w:rsidRDefault="00FB7E21" w:rsidP="00966DBE">
      <w:pPr>
        <w:rPr>
          <w:color w:val="000000"/>
          <w:sz w:val="24"/>
          <w:szCs w:val="24"/>
        </w:rPr>
      </w:pPr>
    </w:p>
    <w:p w14:paraId="54704CBA" w14:textId="77777777" w:rsidR="00FB7E21" w:rsidRPr="00FB7E21" w:rsidRDefault="00FB7E21" w:rsidP="00966DBE">
      <w:pPr>
        <w:widowControl/>
        <w:rPr>
          <w:sz w:val="24"/>
          <w:szCs w:val="24"/>
        </w:rPr>
      </w:pPr>
      <w:r w:rsidRPr="00FB7E21">
        <w:rPr>
          <w:rFonts w:ascii="AdvOT3c2d9f11" w:hAnsi="AdvOT3c2d9f11" w:cs="AdvOT3c2d9f11"/>
          <w:sz w:val="24"/>
          <w:szCs w:val="24"/>
        </w:rPr>
        <w:t xml:space="preserve">Dillman, D.A., J.D. Smyth, and L.M. Christian (2009). </w:t>
      </w:r>
      <w:r w:rsidRPr="00FB7E21">
        <w:rPr>
          <w:rFonts w:ascii="AdvOT21bf1298.I" w:hAnsi="AdvOT21bf1298.I" w:cs="AdvOT21bf1298.I"/>
          <w:i/>
          <w:sz w:val="24"/>
          <w:szCs w:val="24"/>
        </w:rPr>
        <w:t>Internet, Mail, and Mixed-Mode Surveys: The Tailored Design Method</w:t>
      </w:r>
      <w:r w:rsidRPr="00FB7E21">
        <w:rPr>
          <w:rFonts w:ascii="AdvOT21bf1298.I" w:hAnsi="AdvOT21bf1298.I" w:cs="AdvOT21bf1298.I"/>
          <w:sz w:val="24"/>
          <w:szCs w:val="24"/>
        </w:rPr>
        <w:t xml:space="preserve">. </w:t>
      </w:r>
      <w:r w:rsidRPr="00FB7E21">
        <w:rPr>
          <w:rFonts w:ascii="AdvOT3c2d9f11" w:hAnsi="AdvOT3c2d9f11" w:cs="AdvOT3c2d9f11"/>
          <w:sz w:val="24"/>
          <w:szCs w:val="24"/>
        </w:rPr>
        <w:t>New York: Wiley and Sons.</w:t>
      </w:r>
    </w:p>
    <w:p w14:paraId="733C63CB" w14:textId="77777777" w:rsidR="00FB7E21" w:rsidRPr="00FB7E21" w:rsidRDefault="00FB7E21" w:rsidP="00966DBE">
      <w:pPr>
        <w:rPr>
          <w:color w:val="000000"/>
          <w:sz w:val="24"/>
          <w:szCs w:val="24"/>
        </w:rPr>
      </w:pPr>
    </w:p>
    <w:p w14:paraId="6ECD55FC" w14:textId="77777777" w:rsidR="00FB7E21" w:rsidRPr="00FB7E21" w:rsidRDefault="00FB7E21" w:rsidP="00966DBE">
      <w:pPr>
        <w:rPr>
          <w:color w:val="000000"/>
          <w:sz w:val="24"/>
          <w:szCs w:val="24"/>
        </w:rPr>
      </w:pPr>
      <w:r w:rsidRPr="00FB7E21">
        <w:rPr>
          <w:color w:val="000000"/>
          <w:sz w:val="24"/>
          <w:szCs w:val="24"/>
        </w:rPr>
        <w:t xml:space="preserve">Groves, R., M. Couper, S. Presser, E. Singer, R. Tourangeau, G. Acosta, and Nelson, L. (2006). Experiments in Producing Nonresponse Bias. </w:t>
      </w:r>
      <w:r w:rsidRPr="00FB7E21">
        <w:rPr>
          <w:iCs/>
          <w:color w:val="000000"/>
          <w:sz w:val="24"/>
          <w:szCs w:val="24"/>
        </w:rPr>
        <w:t>Public Opinion Quarterly</w:t>
      </w:r>
      <w:r w:rsidRPr="00FB7E21">
        <w:rPr>
          <w:color w:val="000000"/>
          <w:sz w:val="24"/>
          <w:szCs w:val="24"/>
        </w:rPr>
        <w:t xml:space="preserve"> 70: 720–736.</w:t>
      </w:r>
    </w:p>
    <w:p w14:paraId="56688C79" w14:textId="77777777" w:rsidR="00FB7E21" w:rsidRPr="00FB7E21" w:rsidRDefault="00FB7E21" w:rsidP="00966DBE">
      <w:pPr>
        <w:rPr>
          <w:color w:val="000000"/>
          <w:sz w:val="24"/>
          <w:szCs w:val="24"/>
        </w:rPr>
      </w:pPr>
    </w:p>
    <w:p w14:paraId="03E1D567" w14:textId="77777777" w:rsidR="002872A5" w:rsidRDefault="002872A5" w:rsidP="00966DBE">
      <w:pPr>
        <w:jc w:val="both"/>
        <w:rPr>
          <w:sz w:val="24"/>
          <w:szCs w:val="24"/>
        </w:rPr>
      </w:pPr>
      <w:r>
        <w:rPr>
          <w:sz w:val="24"/>
          <w:szCs w:val="24"/>
        </w:rPr>
        <w:t>Jacobson, S. K. (2009). Communication skills for conservation professionals. Island Press.</w:t>
      </w:r>
    </w:p>
    <w:p w14:paraId="09C482EC" w14:textId="77777777" w:rsidR="00966DBE" w:rsidRDefault="00966DBE" w:rsidP="00966DBE">
      <w:pPr>
        <w:rPr>
          <w:color w:val="000000"/>
          <w:sz w:val="24"/>
          <w:szCs w:val="24"/>
        </w:rPr>
      </w:pPr>
    </w:p>
    <w:p w14:paraId="52DF5B8B" w14:textId="77777777" w:rsidR="00FB7E21" w:rsidRPr="00FB7E21" w:rsidRDefault="00FB7E21" w:rsidP="00966DBE">
      <w:pPr>
        <w:rPr>
          <w:rFonts w:ascii="Calibri" w:hAnsi="Calibri" w:cs="Calibri"/>
          <w:b/>
          <w:bCs/>
          <w:color w:val="000000"/>
          <w:sz w:val="24"/>
          <w:szCs w:val="24"/>
        </w:rPr>
      </w:pPr>
      <w:r w:rsidRPr="00FB7E21">
        <w:rPr>
          <w:color w:val="000000"/>
          <w:sz w:val="24"/>
          <w:szCs w:val="24"/>
        </w:rPr>
        <w:t xml:space="preserve">Lohr, S. (2009). Multiple Frame Surveys. Chapter 4 in Pfeffermann, D. (Ed.) </w:t>
      </w:r>
      <w:r w:rsidRPr="00FB7E21">
        <w:rPr>
          <w:i/>
          <w:iCs/>
          <w:color w:val="000000"/>
          <w:sz w:val="24"/>
          <w:szCs w:val="24"/>
        </w:rPr>
        <w:t>Handbook of Statistics: Sample Surveys Design, Methods and Applications</w:t>
      </w:r>
      <w:r w:rsidRPr="00FB7E21">
        <w:rPr>
          <w:iCs/>
          <w:color w:val="000000"/>
          <w:sz w:val="24"/>
          <w:szCs w:val="24"/>
        </w:rPr>
        <w:t xml:space="preserve"> </w:t>
      </w:r>
      <w:r w:rsidRPr="00FB7E21">
        <w:rPr>
          <w:color w:val="000000"/>
          <w:sz w:val="24"/>
          <w:szCs w:val="24"/>
        </w:rPr>
        <w:t>(vol. 29A). Elsevier, Amsterdam</w:t>
      </w:r>
      <w:r w:rsidRPr="00FB7E21">
        <w:rPr>
          <w:rFonts w:ascii="Calibri" w:hAnsi="Calibri" w:cs="Calibri"/>
          <w:b/>
          <w:bCs/>
          <w:color w:val="000000"/>
          <w:sz w:val="24"/>
          <w:szCs w:val="24"/>
        </w:rPr>
        <w:t>.</w:t>
      </w:r>
    </w:p>
    <w:p w14:paraId="5DC7CC18" w14:textId="77777777" w:rsidR="00FB7E21" w:rsidRPr="00FB7E21" w:rsidRDefault="00FB7E21" w:rsidP="00966DBE">
      <w:pPr>
        <w:rPr>
          <w:color w:val="000000"/>
          <w:sz w:val="24"/>
          <w:szCs w:val="24"/>
        </w:rPr>
      </w:pPr>
      <w:r w:rsidRPr="00FB7E21">
        <w:rPr>
          <w:color w:val="000000"/>
          <w:sz w:val="24"/>
          <w:szCs w:val="24"/>
        </w:rPr>
        <w:t>National Research Council (</w:t>
      </w:r>
      <w:r w:rsidR="002872A5">
        <w:rPr>
          <w:color w:val="000000"/>
          <w:sz w:val="24"/>
          <w:szCs w:val="24"/>
        </w:rPr>
        <w:t>2017</w:t>
      </w:r>
      <w:r w:rsidRPr="00FB7E21">
        <w:rPr>
          <w:color w:val="000000"/>
          <w:sz w:val="24"/>
          <w:szCs w:val="24"/>
        </w:rPr>
        <w:t xml:space="preserve">). </w:t>
      </w:r>
      <w:r w:rsidRPr="00FB7E21">
        <w:rPr>
          <w:i/>
          <w:iCs/>
          <w:color w:val="000000"/>
          <w:sz w:val="24"/>
          <w:szCs w:val="24"/>
        </w:rPr>
        <w:t>Review of Recreational Fisheries Survey Methods</w:t>
      </w:r>
      <w:r w:rsidRPr="00FB7E21">
        <w:rPr>
          <w:color w:val="000000"/>
          <w:sz w:val="24"/>
          <w:szCs w:val="24"/>
        </w:rPr>
        <w:t>. Washington, D.C.: National Academies Press.</w:t>
      </w:r>
    </w:p>
    <w:p w14:paraId="54EDA470" w14:textId="77777777" w:rsidR="00966DBE" w:rsidRDefault="00966DBE" w:rsidP="00966DBE">
      <w:pPr>
        <w:jc w:val="both"/>
        <w:rPr>
          <w:sz w:val="24"/>
          <w:szCs w:val="24"/>
        </w:rPr>
      </w:pPr>
    </w:p>
    <w:p w14:paraId="3BCA2FDC" w14:textId="77777777" w:rsidR="002872A5" w:rsidRDefault="002872A5" w:rsidP="00966DBE">
      <w:pPr>
        <w:jc w:val="both"/>
        <w:rPr>
          <w:sz w:val="24"/>
          <w:szCs w:val="24"/>
        </w:rPr>
      </w:pPr>
      <w:r>
        <w:rPr>
          <w:sz w:val="24"/>
          <w:szCs w:val="24"/>
        </w:rPr>
        <w:t>Prokopy, L. S., Carlton, J. S., Arbuckle, J. G., Haigh, T., Lemos, M. C., Mase, A. S., Babin, N., Dunn, M., Andresen, J., Angel, J., Hart, C., and R. Power. (2015). Extension′ s role in disseminating information about climate change to agricultural stakeholders in the United States. Climatic Change, 130(2), 261-272.</w:t>
      </w:r>
    </w:p>
    <w:p w14:paraId="569AD639" w14:textId="77777777" w:rsidR="00966DBE" w:rsidRDefault="00966DBE" w:rsidP="00966DBE">
      <w:pPr>
        <w:rPr>
          <w:color w:val="000000"/>
          <w:sz w:val="24"/>
          <w:szCs w:val="24"/>
        </w:rPr>
      </w:pPr>
    </w:p>
    <w:p w14:paraId="0D19379B" w14:textId="77777777" w:rsidR="00FB7E21" w:rsidRPr="00FB7E21" w:rsidRDefault="00FB7E21" w:rsidP="00966DBE">
      <w:pPr>
        <w:rPr>
          <w:color w:val="000000"/>
          <w:sz w:val="24"/>
          <w:szCs w:val="24"/>
        </w:rPr>
      </w:pPr>
      <w:r w:rsidRPr="00FB7E21">
        <w:rPr>
          <w:color w:val="000000"/>
          <w:sz w:val="24"/>
          <w:szCs w:val="24"/>
        </w:rPr>
        <w:t>Trussel</w:t>
      </w:r>
      <w:r w:rsidR="00DB3CB3">
        <w:rPr>
          <w:color w:val="000000"/>
          <w:sz w:val="24"/>
          <w:szCs w:val="24"/>
        </w:rPr>
        <w:t>l, N. and P.J. Lavrakas (2004).</w:t>
      </w:r>
      <w:r w:rsidRPr="00FB7E21">
        <w:rPr>
          <w:color w:val="000000"/>
          <w:sz w:val="24"/>
          <w:szCs w:val="24"/>
        </w:rPr>
        <w:t xml:space="preserve"> The influence of incremental increases in token cash incentives on mail survey response: Is there an optimal amount?  Public Opinion Quarterly 68: 349-367.</w:t>
      </w:r>
    </w:p>
    <w:p w14:paraId="1B76E231" w14:textId="77777777" w:rsidR="00966DBE" w:rsidRDefault="00966DBE" w:rsidP="00966DBE">
      <w:pPr>
        <w:jc w:val="both"/>
        <w:rPr>
          <w:sz w:val="24"/>
          <w:szCs w:val="24"/>
        </w:rPr>
      </w:pPr>
    </w:p>
    <w:p w14:paraId="3AD04413" w14:textId="77777777" w:rsidR="008C7789" w:rsidRPr="00AC5C42" w:rsidRDefault="002872A5" w:rsidP="00965D97">
      <w:pPr>
        <w:jc w:val="both"/>
        <w:rPr>
          <w:sz w:val="24"/>
          <w:szCs w:val="24"/>
        </w:rPr>
      </w:pPr>
      <w:r>
        <w:rPr>
          <w:sz w:val="24"/>
          <w:szCs w:val="24"/>
        </w:rPr>
        <w:t>Vaske, J. J., Absher, J. D., &amp; Bright, A. D. (2007). Salient value similarity, social trust and attitudes toward wildland fire management strategies. Human Ecology Review, 223-232.</w:t>
      </w:r>
    </w:p>
    <w:sectPr w:rsidR="008C7789" w:rsidRPr="00AC5C42" w:rsidSect="00966DBE">
      <w:footerReference w:type="default" r:id="rId15"/>
      <w:footerReference w:type="first" r:id="rId16"/>
      <w:footnotePr>
        <w:numRestart w:val="eachSect"/>
      </w:footnotePr>
      <w:endnotePr>
        <w:numFmt w:val="decimal"/>
      </w:endnotePr>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C4C7A" w14:textId="77777777" w:rsidR="005E5BAB" w:rsidRDefault="005E5BAB">
      <w:r>
        <w:separator/>
      </w:r>
    </w:p>
  </w:endnote>
  <w:endnote w:type="continuationSeparator" w:id="0">
    <w:p w14:paraId="3450CDE6" w14:textId="77777777" w:rsidR="005E5BAB" w:rsidRDefault="005E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dvOT3c2d9f11">
    <w:altName w:val="Cambria"/>
    <w:panose1 w:val="00000000000000000000"/>
    <w:charset w:val="00"/>
    <w:family w:val="roman"/>
    <w:notTrueType/>
    <w:pitch w:val="default"/>
    <w:sig w:usb0="00000003" w:usb1="00000000" w:usb2="00000000" w:usb3="00000000" w:csb0="00000001" w:csb1="00000000"/>
  </w:font>
  <w:font w:name="AdvOT21bf1298.I">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D17C9" w14:textId="78FDDD82" w:rsidR="004F26E9" w:rsidRDefault="004F26E9">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6D5C00">
      <w:rPr>
        <w:rStyle w:val="PageNumber"/>
        <w:noProof/>
        <w:sz w:val="24"/>
        <w:szCs w:val="24"/>
      </w:rPr>
      <w:t>2</w:t>
    </w:r>
    <w:r>
      <w:rPr>
        <w:rStyle w:val="PageNumber"/>
        <w:sz w:val="24"/>
        <w:szCs w:val="24"/>
      </w:rPr>
      <w:fldChar w:fldCharType="end"/>
    </w:r>
  </w:p>
  <w:p w14:paraId="6D364F6F" w14:textId="77777777" w:rsidR="004F26E9" w:rsidRDefault="004F26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F6923" w14:textId="0D170C65" w:rsidR="00966DBE" w:rsidRDefault="00966DBE">
    <w:pPr>
      <w:pStyle w:val="Footer"/>
      <w:jc w:val="center"/>
    </w:pPr>
    <w:r>
      <w:fldChar w:fldCharType="begin"/>
    </w:r>
    <w:r>
      <w:instrText xml:space="preserve"> PAGE   \* MERGEFORMAT </w:instrText>
    </w:r>
    <w:r>
      <w:fldChar w:fldCharType="separate"/>
    </w:r>
    <w:r w:rsidR="006A00BE">
      <w:rPr>
        <w:noProof/>
      </w:rPr>
      <w:t>10</w:t>
    </w:r>
    <w:r>
      <w:rPr>
        <w:noProof/>
      </w:rPr>
      <w:fldChar w:fldCharType="end"/>
    </w:r>
  </w:p>
  <w:p w14:paraId="158122CF" w14:textId="77777777" w:rsidR="00966DBE" w:rsidRDefault="00966D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00C67" w14:textId="77777777" w:rsidR="00966DBE" w:rsidRDefault="00966DBE">
    <w:pPr>
      <w:pStyle w:val="Footer"/>
      <w:jc w:val="center"/>
    </w:pPr>
    <w:r>
      <w:fldChar w:fldCharType="begin"/>
    </w:r>
    <w:r>
      <w:instrText xml:space="preserve"> PAGE   \* MERGEFORMAT </w:instrText>
    </w:r>
    <w:r>
      <w:fldChar w:fldCharType="separate"/>
    </w:r>
    <w:r w:rsidR="00750764">
      <w:rPr>
        <w:noProof/>
      </w:rPr>
      <w:t>1</w:t>
    </w:r>
    <w:r>
      <w:rPr>
        <w:noProof/>
      </w:rPr>
      <w:fldChar w:fldCharType="end"/>
    </w:r>
  </w:p>
  <w:p w14:paraId="046886FD" w14:textId="77777777" w:rsidR="00966DBE" w:rsidRDefault="00966D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3DFB26" w14:textId="77777777" w:rsidR="005E5BAB" w:rsidRDefault="005E5BAB">
      <w:r>
        <w:separator/>
      </w:r>
    </w:p>
  </w:footnote>
  <w:footnote w:type="continuationSeparator" w:id="0">
    <w:p w14:paraId="4A069506" w14:textId="77777777" w:rsidR="005E5BAB" w:rsidRDefault="005E5BAB">
      <w:r>
        <w:continuationSeparator/>
      </w:r>
    </w:p>
  </w:footnote>
  <w:footnote w:id="1">
    <w:p w14:paraId="464B73F9" w14:textId="77777777" w:rsidR="009036D2" w:rsidRDefault="009036D2" w:rsidP="009036D2">
      <w:pPr>
        <w:pStyle w:val="FootnoteText"/>
      </w:pPr>
      <w:r>
        <w:rPr>
          <w:rStyle w:val="FootnoteReference"/>
        </w:rPr>
        <w:footnoteRef/>
      </w:r>
      <w:r>
        <w:t xml:space="preserve"> Data collection costs include costs associated with printing survey materials, assembling survey packets, postage, receipting and processing completed surveys, and incentives. </w:t>
      </w:r>
    </w:p>
  </w:footnote>
  <w:footnote w:id="2">
    <w:p w14:paraId="57ACE681" w14:textId="77777777" w:rsidR="00242E51" w:rsidRDefault="00242E51" w:rsidP="00F43ECD">
      <w:pPr>
        <w:pStyle w:val="FootnoteText"/>
      </w:pPr>
      <w:r>
        <w:rPr>
          <w:rStyle w:val="FootnoteReference"/>
        </w:rPr>
        <w:footnoteRef/>
      </w:r>
      <w:r>
        <w:t xml:space="preserve"> Response rate based on response rates of ME-MS licensed anglers for Wave 3 (May-June) of the 2018 MFES. (Personal Communication with Rob Andrews, NMFS).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56749"/>
    <w:multiLevelType w:val="hybridMultilevel"/>
    <w:tmpl w:val="4B1CD30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79F63128"/>
    <w:multiLevelType w:val="hybridMultilevel"/>
    <w:tmpl w:val="143CB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1C14"/>
    <w:rsid w:val="000129A3"/>
    <w:rsid w:val="0006340E"/>
    <w:rsid w:val="000643E4"/>
    <w:rsid w:val="00064FA3"/>
    <w:rsid w:val="000F29DF"/>
    <w:rsid w:val="000F4FFE"/>
    <w:rsid w:val="000F74B3"/>
    <w:rsid w:val="00100362"/>
    <w:rsid w:val="00105DC3"/>
    <w:rsid w:val="00107F5D"/>
    <w:rsid w:val="00113371"/>
    <w:rsid w:val="00120E0C"/>
    <w:rsid w:val="00146B73"/>
    <w:rsid w:val="00150428"/>
    <w:rsid w:val="00192971"/>
    <w:rsid w:val="001A0554"/>
    <w:rsid w:val="001A4159"/>
    <w:rsid w:val="001A4A28"/>
    <w:rsid w:val="001A6426"/>
    <w:rsid w:val="001A68BE"/>
    <w:rsid w:val="001B5600"/>
    <w:rsid w:val="001D6941"/>
    <w:rsid w:val="001E6F72"/>
    <w:rsid w:val="001F01DD"/>
    <w:rsid w:val="001F5A36"/>
    <w:rsid w:val="00200625"/>
    <w:rsid w:val="00217924"/>
    <w:rsid w:val="0022420D"/>
    <w:rsid w:val="00242E51"/>
    <w:rsid w:val="00273FA0"/>
    <w:rsid w:val="00283030"/>
    <w:rsid w:val="0028431A"/>
    <w:rsid w:val="002863D6"/>
    <w:rsid w:val="002872A5"/>
    <w:rsid w:val="002905B0"/>
    <w:rsid w:val="002914F5"/>
    <w:rsid w:val="002B2969"/>
    <w:rsid w:val="002B7DFA"/>
    <w:rsid w:val="002C148E"/>
    <w:rsid w:val="002F4A6D"/>
    <w:rsid w:val="002F5FC7"/>
    <w:rsid w:val="00301121"/>
    <w:rsid w:val="003052D3"/>
    <w:rsid w:val="00312E44"/>
    <w:rsid w:val="00314492"/>
    <w:rsid w:val="00331294"/>
    <w:rsid w:val="0034115F"/>
    <w:rsid w:val="00357A23"/>
    <w:rsid w:val="003661EA"/>
    <w:rsid w:val="00367C6F"/>
    <w:rsid w:val="00373DDA"/>
    <w:rsid w:val="0037448F"/>
    <w:rsid w:val="00387F3B"/>
    <w:rsid w:val="003B445F"/>
    <w:rsid w:val="003C4861"/>
    <w:rsid w:val="003D261A"/>
    <w:rsid w:val="003D3414"/>
    <w:rsid w:val="003E52B3"/>
    <w:rsid w:val="003E5FBF"/>
    <w:rsid w:val="003E7FB0"/>
    <w:rsid w:val="003F6F90"/>
    <w:rsid w:val="00400CA9"/>
    <w:rsid w:val="0044309E"/>
    <w:rsid w:val="004549B7"/>
    <w:rsid w:val="004637EE"/>
    <w:rsid w:val="004649B9"/>
    <w:rsid w:val="004657E4"/>
    <w:rsid w:val="00465FC7"/>
    <w:rsid w:val="00481CCB"/>
    <w:rsid w:val="00483413"/>
    <w:rsid w:val="0048589D"/>
    <w:rsid w:val="004C2A88"/>
    <w:rsid w:val="004D0446"/>
    <w:rsid w:val="004D1D9B"/>
    <w:rsid w:val="004E3003"/>
    <w:rsid w:val="004F26E9"/>
    <w:rsid w:val="004F4138"/>
    <w:rsid w:val="004F6CF6"/>
    <w:rsid w:val="00503F7F"/>
    <w:rsid w:val="00507AEF"/>
    <w:rsid w:val="00516768"/>
    <w:rsid w:val="00532DD5"/>
    <w:rsid w:val="00553F79"/>
    <w:rsid w:val="005602CA"/>
    <w:rsid w:val="005643BF"/>
    <w:rsid w:val="00573C9B"/>
    <w:rsid w:val="005752F5"/>
    <w:rsid w:val="00584186"/>
    <w:rsid w:val="005B71C7"/>
    <w:rsid w:val="005C6558"/>
    <w:rsid w:val="005C6676"/>
    <w:rsid w:val="005C6849"/>
    <w:rsid w:val="005C75DD"/>
    <w:rsid w:val="005E11BA"/>
    <w:rsid w:val="005E5BAB"/>
    <w:rsid w:val="00611A7C"/>
    <w:rsid w:val="0061662A"/>
    <w:rsid w:val="006376F2"/>
    <w:rsid w:val="006431AC"/>
    <w:rsid w:val="006567CD"/>
    <w:rsid w:val="00664CB0"/>
    <w:rsid w:val="0067240E"/>
    <w:rsid w:val="006734DC"/>
    <w:rsid w:val="00682A64"/>
    <w:rsid w:val="006A00BE"/>
    <w:rsid w:val="006B505A"/>
    <w:rsid w:val="006D13EF"/>
    <w:rsid w:val="006D5C00"/>
    <w:rsid w:val="006D7A62"/>
    <w:rsid w:val="006F051D"/>
    <w:rsid w:val="007008F5"/>
    <w:rsid w:val="007032F0"/>
    <w:rsid w:val="007208BF"/>
    <w:rsid w:val="00725C5C"/>
    <w:rsid w:val="00731186"/>
    <w:rsid w:val="00744D5D"/>
    <w:rsid w:val="007503D9"/>
    <w:rsid w:val="00750764"/>
    <w:rsid w:val="00760D4D"/>
    <w:rsid w:val="00761F08"/>
    <w:rsid w:val="00774B33"/>
    <w:rsid w:val="00780DFF"/>
    <w:rsid w:val="0078435A"/>
    <w:rsid w:val="00796A23"/>
    <w:rsid w:val="007A5F64"/>
    <w:rsid w:val="007B4537"/>
    <w:rsid w:val="007C42DC"/>
    <w:rsid w:val="007E74FE"/>
    <w:rsid w:val="007F5F68"/>
    <w:rsid w:val="007F7DE6"/>
    <w:rsid w:val="00801600"/>
    <w:rsid w:val="00815467"/>
    <w:rsid w:val="00821AD7"/>
    <w:rsid w:val="00821BF8"/>
    <w:rsid w:val="00833F00"/>
    <w:rsid w:val="008473BB"/>
    <w:rsid w:val="00854B3E"/>
    <w:rsid w:val="008614F9"/>
    <w:rsid w:val="00897350"/>
    <w:rsid w:val="008A4902"/>
    <w:rsid w:val="008C04AD"/>
    <w:rsid w:val="008C7789"/>
    <w:rsid w:val="008E4B8E"/>
    <w:rsid w:val="008E6E1F"/>
    <w:rsid w:val="008F7CC8"/>
    <w:rsid w:val="009002BA"/>
    <w:rsid w:val="00902BB1"/>
    <w:rsid w:val="009036D2"/>
    <w:rsid w:val="009125EE"/>
    <w:rsid w:val="009167EF"/>
    <w:rsid w:val="009219AA"/>
    <w:rsid w:val="009272B4"/>
    <w:rsid w:val="00932CBD"/>
    <w:rsid w:val="00944D4A"/>
    <w:rsid w:val="0094526A"/>
    <w:rsid w:val="00965D97"/>
    <w:rsid w:val="00966DBE"/>
    <w:rsid w:val="00977826"/>
    <w:rsid w:val="00993E34"/>
    <w:rsid w:val="009C39C3"/>
    <w:rsid w:val="009D1CCE"/>
    <w:rsid w:val="009D6A11"/>
    <w:rsid w:val="009E26D2"/>
    <w:rsid w:val="009E446D"/>
    <w:rsid w:val="00A01C9F"/>
    <w:rsid w:val="00A17BA6"/>
    <w:rsid w:val="00A26B3D"/>
    <w:rsid w:val="00A52249"/>
    <w:rsid w:val="00A70C04"/>
    <w:rsid w:val="00A80CA6"/>
    <w:rsid w:val="00A87491"/>
    <w:rsid w:val="00AA074B"/>
    <w:rsid w:val="00AA436E"/>
    <w:rsid w:val="00AC11D4"/>
    <w:rsid w:val="00AC5C42"/>
    <w:rsid w:val="00AF455B"/>
    <w:rsid w:val="00AF6490"/>
    <w:rsid w:val="00B07817"/>
    <w:rsid w:val="00B62BDC"/>
    <w:rsid w:val="00B665E0"/>
    <w:rsid w:val="00B7407E"/>
    <w:rsid w:val="00B9006A"/>
    <w:rsid w:val="00BA06A1"/>
    <w:rsid w:val="00BA1CE2"/>
    <w:rsid w:val="00BA7AA4"/>
    <w:rsid w:val="00BB257B"/>
    <w:rsid w:val="00BC76A8"/>
    <w:rsid w:val="00BF0A81"/>
    <w:rsid w:val="00C003E4"/>
    <w:rsid w:val="00C10FD8"/>
    <w:rsid w:val="00C127FA"/>
    <w:rsid w:val="00C170F7"/>
    <w:rsid w:val="00C35CEB"/>
    <w:rsid w:val="00C5489B"/>
    <w:rsid w:val="00C719C2"/>
    <w:rsid w:val="00C76F96"/>
    <w:rsid w:val="00C93915"/>
    <w:rsid w:val="00CC0C9F"/>
    <w:rsid w:val="00CC1010"/>
    <w:rsid w:val="00CC1CBF"/>
    <w:rsid w:val="00CC3E9B"/>
    <w:rsid w:val="00CE1E61"/>
    <w:rsid w:val="00D01B7D"/>
    <w:rsid w:val="00D0377E"/>
    <w:rsid w:val="00D14121"/>
    <w:rsid w:val="00D61589"/>
    <w:rsid w:val="00D742B0"/>
    <w:rsid w:val="00D74531"/>
    <w:rsid w:val="00D9379C"/>
    <w:rsid w:val="00DB0CCB"/>
    <w:rsid w:val="00DB3CB3"/>
    <w:rsid w:val="00DC162A"/>
    <w:rsid w:val="00DD0781"/>
    <w:rsid w:val="00DE5CE9"/>
    <w:rsid w:val="00DF2793"/>
    <w:rsid w:val="00DF69FD"/>
    <w:rsid w:val="00E04EE0"/>
    <w:rsid w:val="00E0608F"/>
    <w:rsid w:val="00E12950"/>
    <w:rsid w:val="00E166E6"/>
    <w:rsid w:val="00E27322"/>
    <w:rsid w:val="00E27B27"/>
    <w:rsid w:val="00E362D1"/>
    <w:rsid w:val="00E479D7"/>
    <w:rsid w:val="00E56F56"/>
    <w:rsid w:val="00E614D5"/>
    <w:rsid w:val="00E724BE"/>
    <w:rsid w:val="00E732D4"/>
    <w:rsid w:val="00E7499F"/>
    <w:rsid w:val="00E84C60"/>
    <w:rsid w:val="00E87979"/>
    <w:rsid w:val="00E87CBA"/>
    <w:rsid w:val="00EB7836"/>
    <w:rsid w:val="00ED14E1"/>
    <w:rsid w:val="00ED54FC"/>
    <w:rsid w:val="00EE4506"/>
    <w:rsid w:val="00EE795D"/>
    <w:rsid w:val="00EF7812"/>
    <w:rsid w:val="00F149BB"/>
    <w:rsid w:val="00F16BFA"/>
    <w:rsid w:val="00F22780"/>
    <w:rsid w:val="00F37934"/>
    <w:rsid w:val="00F41856"/>
    <w:rsid w:val="00F43ECD"/>
    <w:rsid w:val="00F603B7"/>
    <w:rsid w:val="00FA0282"/>
    <w:rsid w:val="00FA06B0"/>
    <w:rsid w:val="00FB7E21"/>
    <w:rsid w:val="00FD2F40"/>
    <w:rsid w:val="00FD3176"/>
    <w:rsid w:val="00FE50E3"/>
    <w:rsid w:val="00FF2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1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uiPriority w:val="99"/>
    <w:unhideWhenUsed/>
    <w:rsid w:val="00516768"/>
    <w:rPr>
      <w:color w:val="0000FF"/>
      <w:u w:val="single"/>
    </w:rPr>
  </w:style>
  <w:style w:type="paragraph" w:customStyle="1" w:styleId="Default">
    <w:name w:val="Default"/>
    <w:uiPriority w:val="99"/>
    <w:rsid w:val="00932CBD"/>
    <w:pPr>
      <w:widowControl w:val="0"/>
      <w:autoSpaceDE w:val="0"/>
      <w:autoSpaceDN w:val="0"/>
      <w:adjustRightInd w:val="0"/>
    </w:pPr>
    <w:rPr>
      <w:color w:val="000000"/>
      <w:sz w:val="24"/>
      <w:szCs w:val="24"/>
    </w:rPr>
  </w:style>
  <w:style w:type="paragraph" w:styleId="FootnoteText">
    <w:name w:val="footnote text"/>
    <w:basedOn w:val="Normal"/>
    <w:link w:val="FootnoteTextChar"/>
    <w:uiPriority w:val="99"/>
    <w:rsid w:val="009036D2"/>
  </w:style>
  <w:style w:type="character" w:customStyle="1" w:styleId="FootnoteTextChar">
    <w:name w:val="Footnote Text Char"/>
    <w:basedOn w:val="DefaultParagraphFont"/>
    <w:link w:val="FootnoteText"/>
    <w:uiPriority w:val="99"/>
    <w:rsid w:val="009036D2"/>
  </w:style>
  <w:style w:type="character" w:styleId="FootnoteReference">
    <w:name w:val="footnote reference"/>
    <w:uiPriority w:val="99"/>
    <w:rsid w:val="009036D2"/>
    <w:rPr>
      <w:rFonts w:cs="Times New Roman"/>
      <w:vertAlign w:val="superscript"/>
    </w:rPr>
  </w:style>
  <w:style w:type="paragraph" w:customStyle="1" w:styleId="CM22">
    <w:name w:val="CM22"/>
    <w:basedOn w:val="Default"/>
    <w:next w:val="Default"/>
    <w:uiPriority w:val="99"/>
    <w:rsid w:val="00977826"/>
    <w:pPr>
      <w:spacing w:after="563"/>
    </w:pPr>
    <w:rPr>
      <w:color w:val="auto"/>
    </w:rPr>
  </w:style>
  <w:style w:type="character" w:styleId="CommentReference">
    <w:name w:val="annotation reference"/>
    <w:uiPriority w:val="99"/>
    <w:rsid w:val="00EB7836"/>
    <w:rPr>
      <w:sz w:val="16"/>
      <w:szCs w:val="16"/>
    </w:rPr>
  </w:style>
  <w:style w:type="paragraph" w:styleId="CommentText">
    <w:name w:val="annotation text"/>
    <w:basedOn w:val="Normal"/>
    <w:link w:val="CommentTextChar"/>
    <w:rsid w:val="00EB7836"/>
  </w:style>
  <w:style w:type="character" w:customStyle="1" w:styleId="CommentTextChar">
    <w:name w:val="Comment Text Char"/>
    <w:basedOn w:val="DefaultParagraphFont"/>
    <w:link w:val="CommentText"/>
    <w:rsid w:val="00EB7836"/>
  </w:style>
  <w:style w:type="paragraph" w:styleId="CommentSubject">
    <w:name w:val="annotation subject"/>
    <w:basedOn w:val="CommentText"/>
    <w:next w:val="CommentText"/>
    <w:link w:val="CommentSubjectChar"/>
    <w:rsid w:val="00EB7836"/>
    <w:rPr>
      <w:b/>
      <w:bCs/>
    </w:rPr>
  </w:style>
  <w:style w:type="character" w:customStyle="1" w:styleId="CommentSubjectChar">
    <w:name w:val="Comment Subject Char"/>
    <w:link w:val="CommentSubject"/>
    <w:rsid w:val="00EB7836"/>
    <w:rPr>
      <w:b/>
      <w:bCs/>
    </w:rPr>
  </w:style>
  <w:style w:type="paragraph" w:styleId="BalloonText">
    <w:name w:val="Balloon Text"/>
    <w:basedOn w:val="Normal"/>
    <w:link w:val="BalloonTextChar"/>
    <w:rsid w:val="00EB7836"/>
    <w:rPr>
      <w:rFonts w:ascii="Segoe UI" w:hAnsi="Segoe UI" w:cs="Segoe UI"/>
      <w:sz w:val="18"/>
      <w:szCs w:val="18"/>
    </w:rPr>
  </w:style>
  <w:style w:type="character" w:customStyle="1" w:styleId="BalloonTextChar">
    <w:name w:val="Balloon Text Char"/>
    <w:link w:val="BalloonText"/>
    <w:rsid w:val="00EB7836"/>
    <w:rPr>
      <w:rFonts w:ascii="Segoe UI" w:hAnsi="Segoe UI" w:cs="Segoe UI"/>
      <w:sz w:val="18"/>
      <w:szCs w:val="18"/>
    </w:rPr>
  </w:style>
  <w:style w:type="paragraph" w:customStyle="1" w:styleId="CM4">
    <w:name w:val="CM4"/>
    <w:basedOn w:val="Default"/>
    <w:next w:val="Default"/>
    <w:uiPriority w:val="99"/>
    <w:rsid w:val="009272B4"/>
    <w:pPr>
      <w:spacing w:line="280" w:lineRule="atLeast"/>
    </w:pPr>
    <w:rPr>
      <w:color w:val="auto"/>
    </w:rPr>
  </w:style>
  <w:style w:type="paragraph" w:customStyle="1" w:styleId="CM23">
    <w:name w:val="CM23"/>
    <w:basedOn w:val="Default"/>
    <w:next w:val="Default"/>
    <w:uiPriority w:val="99"/>
    <w:rsid w:val="009272B4"/>
    <w:pPr>
      <w:spacing w:after="275"/>
    </w:pPr>
    <w:rPr>
      <w:color w:val="auto"/>
    </w:rPr>
  </w:style>
  <w:style w:type="character" w:customStyle="1" w:styleId="FooterChar">
    <w:name w:val="Footer Char"/>
    <w:link w:val="Footer"/>
    <w:uiPriority w:val="99"/>
    <w:rsid w:val="00966DBE"/>
  </w:style>
  <w:style w:type="character" w:styleId="FollowedHyperlink">
    <w:name w:val="FollowedHyperlink"/>
    <w:rsid w:val="008E6E1F"/>
    <w:rPr>
      <w:color w:val="954F72"/>
      <w:u w:val="single"/>
    </w:rPr>
  </w:style>
  <w:style w:type="character" w:customStyle="1" w:styleId="UnresolvedMention">
    <w:name w:val="Unresolved Mention"/>
    <w:uiPriority w:val="99"/>
    <w:semiHidden/>
    <w:unhideWhenUsed/>
    <w:rsid w:val="008C778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uiPriority w:val="99"/>
    <w:unhideWhenUsed/>
    <w:rsid w:val="00516768"/>
    <w:rPr>
      <w:color w:val="0000FF"/>
      <w:u w:val="single"/>
    </w:rPr>
  </w:style>
  <w:style w:type="paragraph" w:customStyle="1" w:styleId="Default">
    <w:name w:val="Default"/>
    <w:uiPriority w:val="99"/>
    <w:rsid w:val="00932CBD"/>
    <w:pPr>
      <w:widowControl w:val="0"/>
      <w:autoSpaceDE w:val="0"/>
      <w:autoSpaceDN w:val="0"/>
      <w:adjustRightInd w:val="0"/>
    </w:pPr>
    <w:rPr>
      <w:color w:val="000000"/>
      <w:sz w:val="24"/>
      <w:szCs w:val="24"/>
    </w:rPr>
  </w:style>
  <w:style w:type="paragraph" w:styleId="FootnoteText">
    <w:name w:val="footnote text"/>
    <w:basedOn w:val="Normal"/>
    <w:link w:val="FootnoteTextChar"/>
    <w:uiPriority w:val="99"/>
    <w:rsid w:val="009036D2"/>
  </w:style>
  <w:style w:type="character" w:customStyle="1" w:styleId="FootnoteTextChar">
    <w:name w:val="Footnote Text Char"/>
    <w:basedOn w:val="DefaultParagraphFont"/>
    <w:link w:val="FootnoteText"/>
    <w:uiPriority w:val="99"/>
    <w:rsid w:val="009036D2"/>
  </w:style>
  <w:style w:type="character" w:styleId="FootnoteReference">
    <w:name w:val="footnote reference"/>
    <w:uiPriority w:val="99"/>
    <w:rsid w:val="009036D2"/>
    <w:rPr>
      <w:rFonts w:cs="Times New Roman"/>
      <w:vertAlign w:val="superscript"/>
    </w:rPr>
  </w:style>
  <w:style w:type="paragraph" w:customStyle="1" w:styleId="CM22">
    <w:name w:val="CM22"/>
    <w:basedOn w:val="Default"/>
    <w:next w:val="Default"/>
    <w:uiPriority w:val="99"/>
    <w:rsid w:val="00977826"/>
    <w:pPr>
      <w:spacing w:after="563"/>
    </w:pPr>
    <w:rPr>
      <w:color w:val="auto"/>
    </w:rPr>
  </w:style>
  <w:style w:type="character" w:styleId="CommentReference">
    <w:name w:val="annotation reference"/>
    <w:uiPriority w:val="99"/>
    <w:rsid w:val="00EB7836"/>
    <w:rPr>
      <w:sz w:val="16"/>
      <w:szCs w:val="16"/>
    </w:rPr>
  </w:style>
  <w:style w:type="paragraph" w:styleId="CommentText">
    <w:name w:val="annotation text"/>
    <w:basedOn w:val="Normal"/>
    <w:link w:val="CommentTextChar"/>
    <w:rsid w:val="00EB7836"/>
  </w:style>
  <w:style w:type="character" w:customStyle="1" w:styleId="CommentTextChar">
    <w:name w:val="Comment Text Char"/>
    <w:basedOn w:val="DefaultParagraphFont"/>
    <w:link w:val="CommentText"/>
    <w:rsid w:val="00EB7836"/>
  </w:style>
  <w:style w:type="paragraph" w:styleId="CommentSubject">
    <w:name w:val="annotation subject"/>
    <w:basedOn w:val="CommentText"/>
    <w:next w:val="CommentText"/>
    <w:link w:val="CommentSubjectChar"/>
    <w:rsid w:val="00EB7836"/>
    <w:rPr>
      <w:b/>
      <w:bCs/>
    </w:rPr>
  </w:style>
  <w:style w:type="character" w:customStyle="1" w:styleId="CommentSubjectChar">
    <w:name w:val="Comment Subject Char"/>
    <w:link w:val="CommentSubject"/>
    <w:rsid w:val="00EB7836"/>
    <w:rPr>
      <w:b/>
      <w:bCs/>
    </w:rPr>
  </w:style>
  <w:style w:type="paragraph" w:styleId="BalloonText">
    <w:name w:val="Balloon Text"/>
    <w:basedOn w:val="Normal"/>
    <w:link w:val="BalloonTextChar"/>
    <w:rsid w:val="00EB7836"/>
    <w:rPr>
      <w:rFonts w:ascii="Segoe UI" w:hAnsi="Segoe UI" w:cs="Segoe UI"/>
      <w:sz w:val="18"/>
      <w:szCs w:val="18"/>
    </w:rPr>
  </w:style>
  <w:style w:type="character" w:customStyle="1" w:styleId="BalloonTextChar">
    <w:name w:val="Balloon Text Char"/>
    <w:link w:val="BalloonText"/>
    <w:rsid w:val="00EB7836"/>
    <w:rPr>
      <w:rFonts w:ascii="Segoe UI" w:hAnsi="Segoe UI" w:cs="Segoe UI"/>
      <w:sz w:val="18"/>
      <w:szCs w:val="18"/>
    </w:rPr>
  </w:style>
  <w:style w:type="paragraph" w:customStyle="1" w:styleId="CM4">
    <w:name w:val="CM4"/>
    <w:basedOn w:val="Default"/>
    <w:next w:val="Default"/>
    <w:uiPriority w:val="99"/>
    <w:rsid w:val="009272B4"/>
    <w:pPr>
      <w:spacing w:line="280" w:lineRule="atLeast"/>
    </w:pPr>
    <w:rPr>
      <w:color w:val="auto"/>
    </w:rPr>
  </w:style>
  <w:style w:type="paragraph" w:customStyle="1" w:styleId="CM23">
    <w:name w:val="CM23"/>
    <w:basedOn w:val="Default"/>
    <w:next w:val="Default"/>
    <w:uiPriority w:val="99"/>
    <w:rsid w:val="009272B4"/>
    <w:pPr>
      <w:spacing w:after="275"/>
    </w:pPr>
    <w:rPr>
      <w:color w:val="auto"/>
    </w:rPr>
  </w:style>
  <w:style w:type="character" w:customStyle="1" w:styleId="FooterChar">
    <w:name w:val="Footer Char"/>
    <w:link w:val="Footer"/>
    <w:uiPriority w:val="99"/>
    <w:rsid w:val="00966DBE"/>
  </w:style>
  <w:style w:type="character" w:styleId="FollowedHyperlink">
    <w:name w:val="FollowedHyperlink"/>
    <w:rsid w:val="008E6E1F"/>
    <w:rPr>
      <w:color w:val="954F72"/>
      <w:u w:val="single"/>
    </w:rPr>
  </w:style>
  <w:style w:type="character" w:customStyle="1" w:styleId="UnresolvedMention">
    <w:name w:val="Unresolved Mention"/>
    <w:uiPriority w:val="99"/>
    <w:semiHidden/>
    <w:unhideWhenUsed/>
    <w:rsid w:val="008C7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5729">
      <w:bodyDiv w:val="1"/>
      <w:marLeft w:val="0"/>
      <w:marRight w:val="0"/>
      <w:marTop w:val="0"/>
      <w:marBottom w:val="0"/>
      <w:divBdr>
        <w:top w:val="none" w:sz="0" w:space="0" w:color="auto"/>
        <w:left w:val="none" w:sz="0" w:space="0" w:color="auto"/>
        <w:bottom w:val="none" w:sz="0" w:space="0" w:color="auto"/>
        <w:right w:val="none" w:sz="0" w:space="0" w:color="auto"/>
      </w:divBdr>
      <w:divsChild>
        <w:div w:id="642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8239702">
              <w:marLeft w:val="0"/>
              <w:marRight w:val="0"/>
              <w:marTop w:val="0"/>
              <w:marBottom w:val="0"/>
              <w:divBdr>
                <w:top w:val="none" w:sz="0" w:space="0" w:color="auto"/>
                <w:left w:val="none" w:sz="0" w:space="0" w:color="auto"/>
                <w:bottom w:val="none" w:sz="0" w:space="0" w:color="auto"/>
                <w:right w:val="none" w:sz="0" w:space="0" w:color="auto"/>
              </w:divBdr>
              <w:divsChild>
                <w:div w:id="977761186">
                  <w:marLeft w:val="0"/>
                  <w:marRight w:val="0"/>
                  <w:marTop w:val="0"/>
                  <w:marBottom w:val="0"/>
                  <w:divBdr>
                    <w:top w:val="none" w:sz="0" w:space="0" w:color="auto"/>
                    <w:left w:val="none" w:sz="0" w:space="0" w:color="auto"/>
                    <w:bottom w:val="none" w:sz="0" w:space="0" w:color="auto"/>
                    <w:right w:val="none" w:sz="0" w:space="0" w:color="auto"/>
                  </w:divBdr>
                  <w:divsChild>
                    <w:div w:id="158329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14461">
      <w:bodyDiv w:val="1"/>
      <w:marLeft w:val="0"/>
      <w:marRight w:val="0"/>
      <w:marTop w:val="0"/>
      <w:marBottom w:val="0"/>
      <w:divBdr>
        <w:top w:val="none" w:sz="0" w:space="0" w:color="auto"/>
        <w:left w:val="none" w:sz="0" w:space="0" w:color="auto"/>
        <w:bottom w:val="none" w:sz="0" w:space="0" w:color="auto"/>
        <w:right w:val="none" w:sz="0" w:space="0" w:color="auto"/>
      </w:divBdr>
    </w:div>
    <w:div w:id="734936164">
      <w:bodyDiv w:val="1"/>
      <w:marLeft w:val="0"/>
      <w:marRight w:val="0"/>
      <w:marTop w:val="0"/>
      <w:marBottom w:val="0"/>
      <w:divBdr>
        <w:top w:val="none" w:sz="0" w:space="0" w:color="auto"/>
        <w:left w:val="none" w:sz="0" w:space="0" w:color="auto"/>
        <w:bottom w:val="none" w:sz="0" w:space="0" w:color="auto"/>
        <w:right w:val="none" w:sz="0" w:space="0" w:color="auto"/>
      </w:divBdr>
    </w:div>
    <w:div w:id="869490252">
      <w:bodyDiv w:val="1"/>
      <w:marLeft w:val="0"/>
      <w:marRight w:val="0"/>
      <w:marTop w:val="0"/>
      <w:marBottom w:val="0"/>
      <w:divBdr>
        <w:top w:val="none" w:sz="0" w:space="0" w:color="auto"/>
        <w:left w:val="none" w:sz="0" w:space="0" w:color="auto"/>
        <w:bottom w:val="none" w:sz="0" w:space="0" w:color="auto"/>
        <w:right w:val="none" w:sz="0" w:space="0" w:color="auto"/>
      </w:divBdr>
    </w:div>
    <w:div w:id="945163096">
      <w:bodyDiv w:val="1"/>
      <w:marLeft w:val="0"/>
      <w:marRight w:val="0"/>
      <w:marTop w:val="0"/>
      <w:marBottom w:val="0"/>
      <w:divBdr>
        <w:top w:val="none" w:sz="0" w:space="0" w:color="auto"/>
        <w:left w:val="none" w:sz="0" w:space="0" w:color="auto"/>
        <w:bottom w:val="none" w:sz="0" w:space="0" w:color="auto"/>
        <w:right w:val="none" w:sz="0" w:space="0" w:color="auto"/>
      </w:divBdr>
    </w:div>
    <w:div w:id="1022970647">
      <w:bodyDiv w:val="1"/>
      <w:marLeft w:val="0"/>
      <w:marRight w:val="0"/>
      <w:marTop w:val="0"/>
      <w:marBottom w:val="0"/>
      <w:divBdr>
        <w:top w:val="none" w:sz="0" w:space="0" w:color="auto"/>
        <w:left w:val="none" w:sz="0" w:space="0" w:color="auto"/>
        <w:bottom w:val="none" w:sz="0" w:space="0" w:color="auto"/>
        <w:right w:val="none" w:sz="0" w:space="0" w:color="auto"/>
      </w:divBdr>
    </w:div>
    <w:div w:id="1215390978">
      <w:bodyDiv w:val="1"/>
      <w:marLeft w:val="0"/>
      <w:marRight w:val="0"/>
      <w:marTop w:val="0"/>
      <w:marBottom w:val="0"/>
      <w:divBdr>
        <w:top w:val="none" w:sz="0" w:space="0" w:color="auto"/>
        <w:left w:val="none" w:sz="0" w:space="0" w:color="auto"/>
        <w:bottom w:val="none" w:sz="0" w:space="0" w:color="auto"/>
        <w:right w:val="none" w:sz="0" w:space="0" w:color="auto"/>
      </w:divBdr>
    </w:div>
    <w:div w:id="1743718769">
      <w:bodyDiv w:val="1"/>
      <w:marLeft w:val="0"/>
      <w:marRight w:val="0"/>
      <w:marTop w:val="0"/>
      <w:marBottom w:val="0"/>
      <w:divBdr>
        <w:top w:val="none" w:sz="0" w:space="0" w:color="auto"/>
        <w:left w:val="none" w:sz="0" w:space="0" w:color="auto"/>
        <w:bottom w:val="none" w:sz="0" w:space="0" w:color="auto"/>
        <w:right w:val="none" w:sz="0" w:space="0" w:color="auto"/>
      </w:divBdr>
      <w:divsChild>
        <w:div w:id="866601476">
          <w:marLeft w:val="0"/>
          <w:marRight w:val="0"/>
          <w:marTop w:val="0"/>
          <w:marBottom w:val="0"/>
          <w:divBdr>
            <w:top w:val="none" w:sz="0" w:space="0" w:color="auto"/>
            <w:left w:val="none" w:sz="0" w:space="0" w:color="auto"/>
            <w:bottom w:val="none" w:sz="0" w:space="0" w:color="auto"/>
            <w:right w:val="none" w:sz="0" w:space="0" w:color="auto"/>
          </w:divBdr>
          <w:divsChild>
            <w:div w:id="2044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porateservices.noaa.gov/ames/administrative_orders/chapter_216/216-100.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ws.gov/informationquality/section515.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ater.epa.gov/lawsregs/guidance/wetlands/eo12962.cf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nmfs.noaa.gov/msa2005/docs/MSA_amended_msa%20_20070112_FINAL.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bls.gov/ncs/ocs/sp/nctb147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CAD3D-3215-4159-ADCF-0E275081C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4494</Words>
  <Characters>25616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30050</CharactersWithSpaces>
  <SharedDoc>false</SharedDoc>
  <HLinks>
    <vt:vector size="48" baseType="variant">
      <vt:variant>
        <vt:i4>4325392</vt:i4>
      </vt:variant>
      <vt:variant>
        <vt:i4>22</vt:i4>
      </vt:variant>
      <vt:variant>
        <vt:i4>0</vt:i4>
      </vt:variant>
      <vt:variant>
        <vt:i4>5</vt:i4>
      </vt:variant>
      <vt:variant>
        <vt:lpwstr>https://www.fisheries.noaa.gov/content/fisheries-economics-united-states-2016</vt:lpwstr>
      </vt:variant>
      <vt:variant>
        <vt:lpwstr/>
      </vt:variant>
      <vt:variant>
        <vt:i4>5439491</vt:i4>
      </vt:variant>
      <vt:variant>
        <vt:i4>19</vt:i4>
      </vt:variant>
      <vt:variant>
        <vt:i4>0</vt:i4>
      </vt:variant>
      <vt:variant>
        <vt:i4>5</vt:i4>
      </vt:variant>
      <vt:variant>
        <vt:lpwstr>https://www.fisheries.noaa.gov/feature-story/fisheries-united-states-2016</vt:lpwstr>
      </vt:variant>
      <vt:variant>
        <vt:lpwstr/>
      </vt:variant>
      <vt:variant>
        <vt:i4>6422644</vt:i4>
      </vt:variant>
      <vt:variant>
        <vt:i4>16</vt:i4>
      </vt:variant>
      <vt:variant>
        <vt:i4>0</vt:i4>
      </vt:variant>
      <vt:variant>
        <vt:i4>5</vt:i4>
      </vt:variant>
      <vt:variant>
        <vt:lpwstr>http://www.bls.gov/ncs/ocs/sp/nctb1477.pdf</vt:lpwstr>
      </vt:variant>
      <vt:variant>
        <vt:lpwstr/>
      </vt:variant>
      <vt:variant>
        <vt:i4>7798847</vt:i4>
      </vt:variant>
      <vt:variant>
        <vt:i4>13</vt:i4>
      </vt:variant>
      <vt:variant>
        <vt:i4>0</vt:i4>
      </vt:variant>
      <vt:variant>
        <vt:i4>5</vt:i4>
      </vt:variant>
      <vt:variant>
        <vt:lpwstr>http://www.corporateservices.noaa.gov/ames/administrative_orders/chapter_216/216-100.html</vt:lpwstr>
      </vt:variant>
      <vt:variant>
        <vt:lpwstr/>
      </vt:variant>
      <vt:variant>
        <vt:i4>852034</vt:i4>
      </vt:variant>
      <vt:variant>
        <vt:i4>10</vt:i4>
      </vt:variant>
      <vt:variant>
        <vt:i4>0</vt:i4>
      </vt:variant>
      <vt:variant>
        <vt:i4>5</vt:i4>
      </vt:variant>
      <vt:variant>
        <vt:lpwstr>http://www.fws.gov/informationquality/section515.html</vt:lpwstr>
      </vt:variant>
      <vt:variant>
        <vt:lpwstr/>
      </vt:variant>
      <vt:variant>
        <vt:i4>8257586</vt:i4>
      </vt:variant>
      <vt:variant>
        <vt:i4>3</vt:i4>
      </vt:variant>
      <vt:variant>
        <vt:i4>0</vt:i4>
      </vt:variant>
      <vt:variant>
        <vt:i4>5</vt:i4>
      </vt:variant>
      <vt:variant>
        <vt:lpwstr>http://water.epa.gov/lawsregs/guidance/wetlands/eo12962.cfm</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ariant>
        <vt:i4>196626</vt:i4>
      </vt:variant>
      <vt:variant>
        <vt:i4>0</vt:i4>
      </vt:variant>
      <vt:variant>
        <vt:i4>0</vt:i4>
      </vt:variant>
      <vt:variant>
        <vt:i4>5</vt:i4>
      </vt:variant>
      <vt:variant>
        <vt:lpwstr>https://www.st.nmfs.noaa.gov/recreational-fisheries/data-and-documentation/queries/index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SYSTEM</cp:lastModifiedBy>
  <cp:revision>2</cp:revision>
  <cp:lastPrinted>2001-03-13T12:05:00Z</cp:lastPrinted>
  <dcterms:created xsi:type="dcterms:W3CDTF">2019-05-28T13:44:00Z</dcterms:created>
  <dcterms:modified xsi:type="dcterms:W3CDTF">2019-05-28T13:44:00Z</dcterms:modified>
</cp:coreProperties>
</file>