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67C5A" w14:textId="3906FFF4" w:rsidR="00865B47" w:rsidRPr="00546A24" w:rsidRDefault="00AF33C5" w:rsidP="00865B47">
      <w:pPr>
        <w:pStyle w:val="NormalWeb"/>
        <w:spacing w:before="0" w:beforeAutospacing="0" w:after="0" w:afterAutospacing="0"/>
        <w:jc w:val="center"/>
        <w:rPr>
          <w:rFonts w:asciiTheme="minorHAnsi" w:hAnsiTheme="minorHAnsi"/>
          <w:b/>
          <w:bCs/>
          <w:color w:val="auto"/>
          <w:sz w:val="22"/>
          <w:szCs w:val="22"/>
        </w:rPr>
      </w:pPr>
      <w:bookmarkStart w:id="0" w:name="_GoBack"/>
      <w:bookmarkEnd w:id="0"/>
      <w:r>
        <w:rPr>
          <w:rFonts w:asciiTheme="minorHAnsi" w:hAnsiTheme="minorHAnsi"/>
          <w:b/>
          <w:sz w:val="22"/>
          <w:szCs w:val="22"/>
        </w:rPr>
        <w:t>U.S.</w:t>
      </w:r>
      <w:r w:rsidR="00B569A6" w:rsidRPr="00546A24">
        <w:rPr>
          <w:rFonts w:asciiTheme="minorHAnsi" w:hAnsiTheme="minorHAnsi"/>
          <w:b/>
          <w:sz w:val="22"/>
          <w:szCs w:val="22"/>
        </w:rPr>
        <w:t xml:space="preserve"> </w:t>
      </w:r>
      <w:r w:rsidR="00865B47" w:rsidRPr="00546A24">
        <w:rPr>
          <w:rFonts w:asciiTheme="minorHAnsi" w:hAnsiTheme="minorHAnsi"/>
          <w:b/>
          <w:color w:val="auto"/>
          <w:sz w:val="22"/>
          <w:szCs w:val="22"/>
        </w:rPr>
        <w:t>Department of Commerce</w:t>
      </w:r>
    </w:p>
    <w:p w14:paraId="5B3D56FF" w14:textId="2AF37448" w:rsidR="00865B47" w:rsidRPr="00546A24" w:rsidRDefault="00865B47" w:rsidP="00865B4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00E50E37" w:rsidRPr="00546A24">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14:paraId="39E55F9D" w14:textId="77777777" w:rsidR="002B4CA3" w:rsidRPr="00546A24" w:rsidRDefault="002B4CA3" w:rsidP="002B4CA3">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14:paraId="5B3F55BE" w14:textId="76685C46" w:rsidR="00865B47" w:rsidRPr="00546A24" w:rsidRDefault="00D07003" w:rsidP="00865B4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00865B47" w:rsidRPr="00546A24">
        <w:rPr>
          <w:rFonts w:asciiTheme="minorHAnsi" w:hAnsiTheme="minorHAnsi"/>
          <w:b/>
          <w:color w:val="auto"/>
          <w:sz w:val="22"/>
          <w:szCs w:val="22"/>
        </w:rPr>
        <w:t xml:space="preserve"> </w:t>
      </w:r>
    </w:p>
    <w:p w14:paraId="27C94373" w14:textId="108CAC9E" w:rsidR="00865B47" w:rsidRPr="00546A24" w:rsidRDefault="00D93A75" w:rsidP="00865B47">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002274E2" w:rsidRPr="00546A24">
        <w:rPr>
          <w:rFonts w:asciiTheme="minorHAnsi" w:hAnsiTheme="minorHAnsi"/>
          <w:b/>
          <w:color w:val="auto"/>
          <w:sz w:val="22"/>
          <w:szCs w:val="22"/>
        </w:rPr>
        <w:t>0607</w:t>
      </w:r>
      <w:r w:rsidR="008F15E8">
        <w:rPr>
          <w:rFonts w:asciiTheme="minorHAnsi" w:hAnsiTheme="minorHAnsi"/>
          <w:b/>
          <w:color w:val="auto"/>
          <w:sz w:val="22"/>
          <w:szCs w:val="22"/>
        </w:rPr>
        <w:t>-</w:t>
      </w:r>
      <w:r w:rsidR="007A7EED">
        <w:rPr>
          <w:rFonts w:asciiTheme="minorHAnsi" w:hAnsiTheme="minorHAnsi"/>
          <w:b/>
          <w:color w:val="auto"/>
          <w:sz w:val="22"/>
          <w:szCs w:val="22"/>
        </w:rPr>
        <w:t>1004</w:t>
      </w:r>
    </w:p>
    <w:p w14:paraId="6F2D5C0E" w14:textId="77777777" w:rsidR="00477AF6" w:rsidRPr="00C323EE" w:rsidRDefault="00477AF6" w:rsidP="00865B47">
      <w:pPr>
        <w:jc w:val="center"/>
        <w:rPr>
          <w:rFonts w:asciiTheme="minorHAnsi" w:hAnsiTheme="minorHAnsi"/>
        </w:rPr>
      </w:pPr>
    </w:p>
    <w:p w14:paraId="3A3177A7" w14:textId="2F716AB6" w:rsidR="00865B47" w:rsidRPr="00076AC4" w:rsidRDefault="00AB423A" w:rsidP="00865B47">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00865B47" w:rsidRPr="00546A24">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w:t>
      </w:r>
      <w:r w:rsidR="00865B47" w:rsidRPr="00076AC4">
        <w:rPr>
          <w:rFonts w:asciiTheme="minorHAnsi" w:hAnsiTheme="minorHAnsi"/>
          <w:color w:val="auto"/>
          <w:sz w:val="22"/>
          <w:szCs w:val="22"/>
        </w:rPr>
        <w:t>–</w:t>
      </w:r>
      <w:r w:rsidR="00865B47" w:rsidRPr="00076AC4">
        <w:rPr>
          <w:rStyle w:val="Strong"/>
          <w:rFonts w:asciiTheme="minorHAnsi" w:hAnsiTheme="minorHAnsi"/>
          <w:color w:val="auto"/>
          <w:sz w:val="22"/>
          <w:szCs w:val="22"/>
        </w:rPr>
        <w:t xml:space="preserve"> Justification </w:t>
      </w:r>
    </w:p>
    <w:p w14:paraId="16C8112B" w14:textId="77777777" w:rsidR="00865B47" w:rsidRPr="000B1FB7" w:rsidRDefault="00865B47" w:rsidP="00865B4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14:paraId="2ABBD716" w14:textId="4187C3B0" w:rsidR="00F479F7" w:rsidRPr="005D7D25" w:rsidRDefault="002B4028" w:rsidP="00483258">
      <w:pPr>
        <w:pStyle w:val="NormalWeb"/>
        <w:ind w:left="360"/>
        <w:rPr>
          <w:rFonts w:asciiTheme="minorHAnsi" w:hAnsiTheme="minorHAnsi"/>
          <w:bCs/>
          <w:color w:val="auto"/>
        </w:rPr>
      </w:pPr>
      <w:r w:rsidRPr="005D7D25">
        <w:rPr>
          <w:rFonts w:asciiTheme="minorHAnsi" w:hAnsiTheme="minorHAnsi"/>
          <w:sz w:val="22"/>
          <w:szCs w:val="22"/>
        </w:rPr>
        <w:t xml:space="preserve">In an effort to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F21765">
        <w:rPr>
          <w:rFonts w:asciiTheme="minorHAnsi" w:hAnsiTheme="minorHAnsi"/>
          <w:sz w:val="22"/>
          <w:szCs w:val="22"/>
        </w:rPr>
        <w:t xml:space="preserve">is </w:t>
      </w:r>
      <w:r w:rsidR="00D5148F">
        <w:rPr>
          <w:rFonts w:asciiTheme="minorHAnsi" w:hAnsiTheme="minorHAnsi"/>
          <w:sz w:val="22"/>
          <w:szCs w:val="22"/>
        </w:rPr>
        <w:t>conduct</w:t>
      </w:r>
      <w:r w:rsidR="00F21765">
        <w:rPr>
          <w:rFonts w:asciiTheme="minorHAnsi" w:hAnsiTheme="minorHAnsi"/>
          <w:sz w:val="22"/>
          <w:szCs w:val="22"/>
        </w:rPr>
        <w:t>ing</w:t>
      </w:r>
      <w:r w:rsidR="007F14DB" w:rsidRPr="005D7D25">
        <w:rPr>
          <w:rFonts w:asciiTheme="minorHAnsi" w:hAnsiTheme="minorHAnsi"/>
          <w:sz w:val="22"/>
          <w:szCs w:val="22"/>
        </w:rPr>
        <w:t xml:space="preserve"> the</w:t>
      </w:r>
      <w:r w:rsidRPr="005D7D25">
        <w:rPr>
          <w:rFonts w:asciiTheme="minorHAnsi" w:hAnsiTheme="minorHAnsi"/>
          <w:sz w:val="22"/>
          <w:szCs w:val="22"/>
        </w:rPr>
        <w:t xml:space="preserve"> </w:t>
      </w:r>
      <w:r w:rsidR="008F15E8" w:rsidRPr="005D7D25">
        <w:rPr>
          <w:rFonts w:asciiTheme="minorHAnsi" w:hAnsiTheme="minorHAnsi"/>
          <w:sz w:val="22"/>
          <w:szCs w:val="22"/>
        </w:rPr>
        <w:t>Annual Business Survey (ABS)</w:t>
      </w:r>
      <w:r w:rsidR="007F14DB" w:rsidRPr="005D7D25">
        <w:rPr>
          <w:rFonts w:asciiTheme="minorHAnsi" w:hAnsiTheme="minorHAnsi"/>
          <w:sz w:val="22"/>
          <w:szCs w:val="22"/>
        </w:rPr>
        <w:t xml:space="preserve">.  </w:t>
      </w:r>
      <w:r w:rsidR="008F15E8" w:rsidRPr="005D7D25">
        <w:rPr>
          <w:rFonts w:asciiTheme="minorHAnsi" w:hAnsiTheme="minorHAnsi"/>
          <w:sz w:val="22"/>
          <w:szCs w:val="22"/>
        </w:rPr>
        <w:t xml:space="preserve">The </w:t>
      </w:r>
      <w:r w:rsidR="001C1E31">
        <w:rPr>
          <w:rFonts w:asciiTheme="minorHAnsi" w:hAnsiTheme="minorHAnsi"/>
          <w:sz w:val="22"/>
          <w:szCs w:val="22"/>
        </w:rPr>
        <w:t xml:space="preserve">ABS </w:t>
      </w:r>
      <w:r w:rsidR="008F15E8" w:rsidRPr="005D7D25">
        <w:rPr>
          <w:rFonts w:asciiTheme="minorHAnsi" w:hAnsiTheme="minorHAnsi"/>
          <w:sz w:val="22"/>
          <w:szCs w:val="22"/>
        </w:rPr>
        <w:t>combine</w:t>
      </w:r>
      <w:r w:rsidR="00F21765">
        <w:rPr>
          <w:rFonts w:asciiTheme="minorHAnsi" w:hAnsiTheme="minorHAnsi"/>
          <w:sz w:val="22"/>
          <w:szCs w:val="22"/>
        </w:rPr>
        <w:t>s</w:t>
      </w:r>
      <w:r w:rsidR="008F15E8" w:rsidRPr="005D7D25">
        <w:rPr>
          <w:rFonts w:asciiTheme="minorHAnsi" w:hAnsiTheme="minorHAnsi"/>
          <w:sz w:val="22"/>
          <w:szCs w:val="22"/>
        </w:rPr>
        <w:t xml:space="preserve"> Census Bureau firm-level collections to reduce respondent burden, increase data quality, reduce operational costs, and operate more efficiently.  The ABS replace</w:t>
      </w:r>
      <w:r w:rsidR="004F42A6">
        <w:rPr>
          <w:rFonts w:asciiTheme="minorHAnsi" w:hAnsiTheme="minorHAnsi"/>
          <w:sz w:val="22"/>
          <w:szCs w:val="22"/>
        </w:rPr>
        <w:t>d</w:t>
      </w:r>
      <w:r w:rsidR="008F15E8" w:rsidRPr="005D7D25">
        <w:rPr>
          <w:rFonts w:asciiTheme="minorHAnsi" w:hAnsiTheme="minorHAnsi"/>
          <w:sz w:val="22"/>
          <w:szCs w:val="22"/>
        </w:rPr>
        <w:t xml:space="preserve"> the five-year Survey of Business Owners (SBO) for employer businesses, the Annual Survey of Entrepreneurs (ASE), and the Business R&amp;D and Innovation for Microbusinesses (BRDI-M) surveys.  </w:t>
      </w:r>
      <w:r w:rsidR="00F21765" w:rsidRPr="00F21765">
        <w:rPr>
          <w:rFonts w:asciiTheme="minorHAnsi" w:hAnsiTheme="minorHAnsi"/>
          <w:sz w:val="22"/>
          <w:szCs w:val="22"/>
        </w:rPr>
        <w:t xml:space="preserve">The ABS provides information on selected economic and demographic characteristics for businesses and business owners by sex, ethnicity, race, and veteran status. Further, the survey measures research and development for microbusinesses, new business topics such as innovation and technology, as well as other business characteristics. </w:t>
      </w:r>
      <w:r w:rsidR="007166AE" w:rsidRPr="005D7D25">
        <w:rPr>
          <w:rFonts w:asciiTheme="minorHAnsi" w:hAnsiTheme="minorHAnsi"/>
          <w:sz w:val="22"/>
          <w:szCs w:val="22"/>
        </w:rPr>
        <w:t xml:space="preserve"> </w:t>
      </w:r>
      <w:r w:rsidR="002202FA" w:rsidRPr="005D7D25">
        <w:rPr>
          <w:rFonts w:asciiTheme="minorHAnsi" w:hAnsiTheme="minorHAnsi"/>
          <w:sz w:val="22"/>
          <w:szCs w:val="22"/>
        </w:rPr>
        <w:t xml:space="preserve">The </w:t>
      </w:r>
      <w:r w:rsidR="008F15E8" w:rsidRPr="005D7D25">
        <w:rPr>
          <w:rFonts w:asciiTheme="minorHAnsi" w:hAnsiTheme="minorHAnsi"/>
          <w:sz w:val="22"/>
          <w:szCs w:val="22"/>
        </w:rPr>
        <w:t>ABS</w:t>
      </w:r>
      <w:r w:rsidR="006F237F" w:rsidRPr="005D7D25">
        <w:rPr>
          <w:rFonts w:asciiTheme="minorHAnsi" w:hAnsiTheme="minorHAnsi"/>
          <w:sz w:val="22"/>
          <w:szCs w:val="22"/>
        </w:rPr>
        <w:t xml:space="preserve"> </w:t>
      </w:r>
      <w:r w:rsidR="004F42A6">
        <w:rPr>
          <w:rFonts w:asciiTheme="minorHAnsi" w:hAnsiTheme="minorHAnsi"/>
          <w:sz w:val="22"/>
          <w:szCs w:val="22"/>
        </w:rPr>
        <w:t>is</w:t>
      </w:r>
      <w:r w:rsidR="002202FA" w:rsidRPr="005D7D25">
        <w:rPr>
          <w:rFonts w:asciiTheme="minorHAnsi" w:hAnsiTheme="minorHAnsi"/>
          <w:sz w:val="22"/>
          <w:szCs w:val="22"/>
        </w:rPr>
        <w:t xml:space="preserve"> </w:t>
      </w:r>
      <w:r w:rsidR="00F21765">
        <w:rPr>
          <w:rFonts w:asciiTheme="minorHAnsi" w:hAnsiTheme="minorHAnsi"/>
          <w:sz w:val="22"/>
          <w:szCs w:val="22"/>
        </w:rPr>
        <w:t>sponsored</w:t>
      </w:r>
      <w:r w:rsidR="007F14DB" w:rsidRPr="005D7D25">
        <w:rPr>
          <w:rFonts w:asciiTheme="minorHAnsi" w:hAnsiTheme="minorHAnsi"/>
          <w:sz w:val="22"/>
          <w:szCs w:val="22"/>
        </w:rPr>
        <w:t xml:space="preserve"> </w:t>
      </w:r>
      <w:r w:rsidR="002202FA" w:rsidRPr="005D7D25">
        <w:rPr>
          <w:rFonts w:asciiTheme="minorHAnsi" w:hAnsiTheme="minorHAnsi"/>
          <w:sz w:val="22"/>
          <w:szCs w:val="22"/>
        </w:rPr>
        <w:t>by the</w:t>
      </w:r>
      <w:r w:rsidR="006371AE" w:rsidRPr="005D7D25">
        <w:rPr>
          <w:rFonts w:asciiTheme="minorHAnsi" w:hAnsiTheme="minorHAnsi"/>
          <w:sz w:val="22"/>
          <w:szCs w:val="22"/>
        </w:rPr>
        <w:t xml:space="preserve"> </w:t>
      </w:r>
      <w:r w:rsidR="009B66BA">
        <w:rPr>
          <w:rFonts w:asciiTheme="minorHAnsi" w:hAnsiTheme="minorHAnsi"/>
          <w:sz w:val="22"/>
          <w:szCs w:val="22"/>
        </w:rPr>
        <w:t>National Center for Science and Engineering Statistics (NCSES) within the</w:t>
      </w:r>
      <w:r w:rsidR="009B66BA" w:rsidRPr="005D7D25">
        <w:rPr>
          <w:rFonts w:asciiTheme="minorHAnsi" w:hAnsiTheme="minorHAnsi"/>
          <w:sz w:val="22"/>
          <w:szCs w:val="22"/>
        </w:rPr>
        <w:t xml:space="preserve"> </w:t>
      </w:r>
      <w:r w:rsidR="008F15E8" w:rsidRPr="005D7D25">
        <w:rPr>
          <w:rFonts w:asciiTheme="minorHAnsi" w:hAnsiTheme="minorHAnsi"/>
          <w:sz w:val="22"/>
          <w:szCs w:val="22"/>
        </w:rPr>
        <w:t xml:space="preserve">National Science Foundation (NSF) </w:t>
      </w:r>
      <w:r w:rsidR="002202FA" w:rsidRPr="005D7D25">
        <w:rPr>
          <w:rFonts w:asciiTheme="minorHAnsi" w:hAnsiTheme="minorHAnsi"/>
          <w:sz w:val="22"/>
          <w:szCs w:val="22"/>
        </w:rPr>
        <w:t xml:space="preserve">and </w:t>
      </w:r>
      <w:r w:rsidR="00F21765">
        <w:rPr>
          <w:rFonts w:asciiTheme="minorHAnsi" w:hAnsiTheme="minorHAnsi"/>
          <w:sz w:val="22"/>
          <w:szCs w:val="22"/>
        </w:rPr>
        <w:t xml:space="preserve">conducted by </w:t>
      </w:r>
      <w:r w:rsidR="002202FA" w:rsidRPr="005D7D25">
        <w:rPr>
          <w:rFonts w:asciiTheme="minorHAnsi" w:hAnsiTheme="minorHAnsi"/>
          <w:sz w:val="22"/>
          <w:szCs w:val="22"/>
        </w:rPr>
        <w:t>the Census Bureau</w:t>
      </w:r>
      <w:r w:rsidR="007F14DB" w:rsidRPr="005D7D25">
        <w:rPr>
          <w:rFonts w:asciiTheme="minorHAnsi" w:hAnsiTheme="minorHAnsi"/>
          <w:sz w:val="22"/>
          <w:szCs w:val="22"/>
        </w:rPr>
        <w:t xml:space="preserve"> for </w:t>
      </w:r>
      <w:r w:rsidR="008F15E8" w:rsidRPr="005D7D25">
        <w:rPr>
          <w:rFonts w:asciiTheme="minorHAnsi" w:hAnsiTheme="minorHAnsi"/>
          <w:sz w:val="22"/>
          <w:szCs w:val="22"/>
        </w:rPr>
        <w:t>five</w:t>
      </w:r>
      <w:r w:rsidR="007F14DB" w:rsidRPr="005D7D25">
        <w:rPr>
          <w:rFonts w:asciiTheme="minorHAnsi" w:hAnsiTheme="minorHAnsi"/>
          <w:sz w:val="22"/>
          <w:szCs w:val="22"/>
        </w:rPr>
        <w:t xml:space="preserve"> years (201</w:t>
      </w:r>
      <w:r w:rsidR="00E16A6D">
        <w:rPr>
          <w:rFonts w:asciiTheme="minorHAnsi" w:hAnsiTheme="minorHAnsi"/>
          <w:sz w:val="22"/>
          <w:szCs w:val="22"/>
        </w:rPr>
        <w:t>8</w:t>
      </w:r>
      <w:r w:rsidR="008F15E8" w:rsidRPr="005D7D25">
        <w:rPr>
          <w:rFonts w:asciiTheme="minorHAnsi" w:hAnsiTheme="minorHAnsi"/>
          <w:sz w:val="22"/>
          <w:szCs w:val="22"/>
        </w:rPr>
        <w:t xml:space="preserve"> – 202</w:t>
      </w:r>
      <w:r w:rsidR="00E16A6D">
        <w:rPr>
          <w:rFonts w:asciiTheme="minorHAnsi" w:hAnsiTheme="minorHAnsi"/>
          <w:sz w:val="22"/>
          <w:szCs w:val="22"/>
        </w:rPr>
        <w:t>2</w:t>
      </w:r>
      <w:r w:rsidR="007F14DB" w:rsidRPr="005D7D25">
        <w:rPr>
          <w:rFonts w:asciiTheme="minorHAnsi" w:hAnsiTheme="minorHAnsi"/>
          <w:sz w:val="22"/>
          <w:szCs w:val="22"/>
        </w:rPr>
        <w:t>)</w:t>
      </w:r>
      <w:r w:rsidR="002202FA" w:rsidRPr="005D7D25">
        <w:rPr>
          <w:rFonts w:asciiTheme="minorHAnsi" w:hAnsiTheme="minorHAnsi"/>
          <w:sz w:val="22"/>
          <w:szCs w:val="22"/>
        </w:rPr>
        <w:t xml:space="preserve">.  </w:t>
      </w:r>
      <w:r w:rsidR="00F479F7" w:rsidRPr="005D7D25">
        <w:rPr>
          <w:rFonts w:asciiTheme="minorHAnsi" w:hAnsiTheme="minorHAnsi"/>
          <w:bCs/>
          <w:color w:val="auto"/>
          <w:sz w:val="22"/>
          <w:szCs w:val="22"/>
        </w:rPr>
        <w:t>Title 13 United States Code, Sections 8(b), 131, and 182, Title 42 United States Code, Section</w:t>
      </w:r>
      <w:r w:rsidR="005D7D25">
        <w:rPr>
          <w:rFonts w:asciiTheme="minorHAnsi" w:hAnsiTheme="minorHAnsi"/>
          <w:bCs/>
          <w:color w:val="auto"/>
          <w:sz w:val="22"/>
          <w:szCs w:val="22"/>
        </w:rPr>
        <w:t xml:space="preserve"> </w:t>
      </w:r>
      <w:r w:rsidR="00F479F7" w:rsidRPr="005D7D25">
        <w:rPr>
          <w:rFonts w:asciiTheme="minorHAnsi" w:hAnsiTheme="minorHAnsi"/>
          <w:bCs/>
          <w:color w:val="auto"/>
          <w:sz w:val="22"/>
          <w:szCs w:val="22"/>
        </w:rPr>
        <w:t xml:space="preserve">1861-76 (National Science Foundation Act of 1950, as amended), </w:t>
      </w:r>
      <w:r w:rsidR="00A706F9" w:rsidRP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00F479F7" w:rsidRPr="00A706F9">
        <w:rPr>
          <w:rFonts w:asciiTheme="minorHAnsi" w:hAnsiTheme="minorHAnsi"/>
          <w:bCs/>
          <w:color w:val="auto"/>
          <w:sz w:val="22"/>
          <w:szCs w:val="22"/>
        </w:rPr>
        <w:t>a</w:t>
      </w:r>
      <w:r w:rsidR="00F479F7" w:rsidRPr="005D7D25">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 xml:space="preserve">of Title 13 United States Code </w:t>
      </w:r>
      <w:r w:rsidR="00F479F7" w:rsidRPr="005D7D25">
        <w:rPr>
          <w:rFonts w:asciiTheme="minorHAnsi" w:hAnsiTheme="minorHAnsi"/>
          <w:bCs/>
          <w:color w:val="auto"/>
          <w:sz w:val="22"/>
          <w:szCs w:val="22"/>
        </w:rPr>
        <w:t>require</w:t>
      </w:r>
      <w:r w:rsidR="005D7D25">
        <w:rPr>
          <w:rFonts w:asciiTheme="minorHAnsi" w:hAnsiTheme="minorHAnsi"/>
          <w:bCs/>
          <w:color w:val="auto"/>
          <w:sz w:val="22"/>
          <w:szCs w:val="22"/>
        </w:rPr>
        <w:t>s</w:t>
      </w:r>
      <w:r w:rsidR="00F479F7" w:rsidRPr="005D7D25">
        <w:rPr>
          <w:rFonts w:asciiTheme="minorHAnsi" w:hAnsiTheme="minorHAnsi"/>
          <w:bCs/>
          <w:color w:val="auto"/>
          <w:sz w:val="22"/>
          <w:szCs w:val="22"/>
        </w:rPr>
        <w:t xml:space="preserve"> response</w:t>
      </w:r>
      <w:r w:rsidR="005D7D25">
        <w:rPr>
          <w:rFonts w:asciiTheme="minorHAnsi" w:hAnsiTheme="minorHAnsi"/>
          <w:bCs/>
          <w:color w:val="auto"/>
          <w:sz w:val="22"/>
          <w:szCs w:val="22"/>
        </w:rPr>
        <w:t xml:space="preserve"> from sampled firms</w:t>
      </w:r>
      <w:r w:rsidR="00F479F7" w:rsidRPr="005D7D25">
        <w:rPr>
          <w:rFonts w:asciiTheme="minorHAnsi" w:hAnsiTheme="minorHAnsi"/>
          <w:bCs/>
          <w:color w:val="auto"/>
          <w:sz w:val="22"/>
          <w:szCs w:val="22"/>
        </w:rPr>
        <w:t xml:space="preserve">. </w:t>
      </w:r>
    </w:p>
    <w:p w14:paraId="759EA87C" w14:textId="7076BCAE" w:rsidR="00090ABC" w:rsidRPr="005D7D25" w:rsidRDefault="00090ABC" w:rsidP="00090ABC">
      <w:pPr>
        <w:pStyle w:val="NoSpacing"/>
        <w:ind w:left="360"/>
        <w:rPr>
          <w:rFonts w:asciiTheme="minorHAnsi" w:hAnsiTheme="minorHAnsi"/>
          <w:sz w:val="22"/>
          <w:szCs w:val="22"/>
        </w:rPr>
      </w:pPr>
      <w:r w:rsidRPr="005D7D25">
        <w:rPr>
          <w:rFonts w:asciiTheme="minorHAnsi" w:hAnsiTheme="minorHAnsi"/>
          <w:sz w:val="22"/>
          <w:szCs w:val="22"/>
        </w:rPr>
        <w:t xml:space="preserve">The </w:t>
      </w:r>
      <w:r w:rsidR="00F479F7" w:rsidRPr="005D7D25">
        <w:rPr>
          <w:rFonts w:asciiTheme="minorHAnsi" w:hAnsiTheme="minorHAnsi"/>
          <w:sz w:val="22"/>
          <w:szCs w:val="22"/>
        </w:rPr>
        <w:t>ABS</w:t>
      </w:r>
      <w:r w:rsidRPr="005D7D25">
        <w:rPr>
          <w:rFonts w:asciiTheme="minorHAnsi" w:hAnsiTheme="minorHAnsi"/>
          <w:sz w:val="22"/>
          <w:szCs w:val="22"/>
        </w:rPr>
        <w:t xml:space="preserve"> includes all nonfarm </w:t>
      </w:r>
      <w:r w:rsidR="00FC1EDD" w:rsidRPr="005D7D25">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00B71DB7" w:rsidRPr="005D7D25">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w:t>
      </w:r>
      <w:r w:rsidR="002E7C1D">
        <w:rPr>
          <w:rFonts w:asciiTheme="minorHAnsi" w:hAnsiTheme="minorHAnsi"/>
          <w:sz w:val="22"/>
          <w:szCs w:val="22"/>
        </w:rPr>
        <w:t xml:space="preserve">other </w:t>
      </w:r>
      <w:r w:rsidRPr="005D7D25">
        <w:rPr>
          <w:rFonts w:asciiTheme="minorHAnsi" w:hAnsiTheme="minorHAnsi"/>
          <w:sz w:val="22"/>
          <w:szCs w:val="22"/>
        </w:rPr>
        <w:t>type of corporation, with rec</w:t>
      </w:r>
      <w:r w:rsidR="00F479F7" w:rsidRPr="005D7D25">
        <w:rPr>
          <w:rFonts w:asciiTheme="minorHAnsi" w:hAnsiTheme="minorHAnsi"/>
          <w:sz w:val="22"/>
          <w:szCs w:val="22"/>
        </w:rPr>
        <w:t>eipts of $1,000 or more</w:t>
      </w:r>
      <w:r w:rsidR="00F479F7" w:rsidRPr="00483258">
        <w:rPr>
          <w:rFonts w:asciiTheme="minorHAnsi" w:hAnsiTheme="minorHAnsi"/>
          <w:sz w:val="22"/>
          <w:szCs w:val="22"/>
        </w:rPr>
        <w:t>. The ABS</w:t>
      </w:r>
      <w:r w:rsidRPr="00483258">
        <w:rPr>
          <w:rFonts w:asciiTheme="minorHAnsi" w:hAnsiTheme="minorHAnsi"/>
          <w:sz w:val="22"/>
          <w:szCs w:val="22"/>
        </w:rPr>
        <w:t xml:space="preserve"> sample</w:t>
      </w:r>
      <w:r w:rsidR="003D35F4" w:rsidRPr="00483258">
        <w:rPr>
          <w:rFonts w:asciiTheme="minorHAnsi" w:hAnsiTheme="minorHAnsi"/>
          <w:sz w:val="22"/>
          <w:szCs w:val="22"/>
        </w:rPr>
        <w:t>s</w:t>
      </w:r>
      <w:r w:rsidRPr="00483258">
        <w:rPr>
          <w:rFonts w:asciiTheme="minorHAnsi" w:hAnsiTheme="minorHAnsi"/>
          <w:sz w:val="22"/>
          <w:szCs w:val="22"/>
        </w:rPr>
        <w:t xml:space="preserve"> </w:t>
      </w:r>
      <w:r w:rsidR="00B91F59" w:rsidRPr="00483258">
        <w:rPr>
          <w:rFonts w:asciiTheme="minorHAnsi" w:hAnsiTheme="minorHAnsi"/>
          <w:sz w:val="22"/>
          <w:szCs w:val="22"/>
        </w:rPr>
        <w:t xml:space="preserve">approximately </w:t>
      </w:r>
      <w:r w:rsidR="00F479F7" w:rsidRPr="00483258">
        <w:rPr>
          <w:rFonts w:asciiTheme="minorHAnsi" w:hAnsiTheme="minorHAnsi"/>
          <w:sz w:val="22"/>
          <w:szCs w:val="22"/>
        </w:rPr>
        <w:t>8</w:t>
      </w:r>
      <w:r w:rsidR="00415D6D">
        <w:rPr>
          <w:rFonts w:asciiTheme="minorHAnsi" w:hAnsiTheme="minorHAnsi"/>
          <w:sz w:val="22"/>
          <w:szCs w:val="22"/>
        </w:rPr>
        <w:t>5</w:t>
      </w:r>
      <w:r w:rsidR="00F479F7" w:rsidRPr="00483258">
        <w:rPr>
          <w:rFonts w:asciiTheme="minorHAnsi" w:hAnsiTheme="minorHAnsi"/>
          <w:sz w:val="22"/>
          <w:szCs w:val="22"/>
        </w:rPr>
        <w:t>0</w:t>
      </w:r>
      <w:r w:rsidR="00B91F59" w:rsidRPr="00483258">
        <w:rPr>
          <w:rFonts w:asciiTheme="minorHAnsi" w:hAnsiTheme="minorHAnsi"/>
          <w:sz w:val="22"/>
          <w:szCs w:val="22"/>
        </w:rPr>
        <w:t>,000</w:t>
      </w:r>
      <w:r w:rsidRPr="00483258">
        <w:rPr>
          <w:rFonts w:asciiTheme="minorHAnsi" w:hAnsiTheme="minorHAnsi"/>
          <w:sz w:val="22"/>
          <w:szCs w:val="22"/>
        </w:rPr>
        <w:t xml:space="preserve"> employer businesses</w:t>
      </w:r>
      <w:r w:rsidR="00E16A6D">
        <w:rPr>
          <w:rFonts w:asciiTheme="minorHAnsi" w:hAnsiTheme="minorHAnsi"/>
          <w:sz w:val="22"/>
          <w:szCs w:val="22"/>
        </w:rPr>
        <w:t xml:space="preserve"> in 2018</w:t>
      </w:r>
      <w:r w:rsidR="00DA2071" w:rsidRPr="00483258">
        <w:rPr>
          <w:rFonts w:asciiTheme="minorHAnsi" w:hAnsiTheme="minorHAnsi"/>
          <w:sz w:val="22"/>
          <w:szCs w:val="22"/>
        </w:rPr>
        <w:t xml:space="preserve"> and approximately 3</w:t>
      </w:r>
      <w:r w:rsidR="00415D6D">
        <w:rPr>
          <w:rFonts w:asciiTheme="minorHAnsi" w:hAnsiTheme="minorHAnsi"/>
          <w:sz w:val="22"/>
          <w:szCs w:val="22"/>
        </w:rPr>
        <w:t>0</w:t>
      </w:r>
      <w:r w:rsidR="00DA2071" w:rsidRPr="00483258">
        <w:rPr>
          <w:rFonts w:asciiTheme="minorHAnsi" w:hAnsiTheme="minorHAnsi"/>
          <w:sz w:val="22"/>
          <w:szCs w:val="22"/>
        </w:rPr>
        <w:t>0,000 employer businesses in years 201</w:t>
      </w:r>
      <w:r w:rsidR="00E16A6D">
        <w:rPr>
          <w:rFonts w:asciiTheme="minorHAnsi" w:hAnsiTheme="minorHAnsi"/>
          <w:sz w:val="22"/>
          <w:szCs w:val="22"/>
        </w:rPr>
        <w:t>9</w:t>
      </w:r>
      <w:r w:rsidR="00DA2071" w:rsidRPr="00483258">
        <w:rPr>
          <w:rFonts w:asciiTheme="minorHAnsi" w:hAnsiTheme="minorHAnsi"/>
          <w:sz w:val="22"/>
          <w:szCs w:val="22"/>
        </w:rPr>
        <w:t>-202</w:t>
      </w:r>
      <w:r w:rsidR="00E16A6D">
        <w:rPr>
          <w:rFonts w:asciiTheme="minorHAnsi" w:hAnsiTheme="minorHAnsi"/>
          <w:sz w:val="22"/>
          <w:szCs w:val="22"/>
        </w:rPr>
        <w:t>2</w:t>
      </w:r>
      <w:r w:rsidRPr="00483258">
        <w:rPr>
          <w:rFonts w:asciiTheme="minorHAnsi" w:hAnsiTheme="minorHAnsi"/>
          <w:sz w:val="22"/>
          <w:szCs w:val="22"/>
        </w:rPr>
        <w:t xml:space="preserve">.  The </w:t>
      </w:r>
      <w:r w:rsidR="00CA2B9B" w:rsidRPr="00483258">
        <w:rPr>
          <w:rFonts w:asciiTheme="minorHAnsi" w:hAnsiTheme="minorHAnsi"/>
          <w:sz w:val="22"/>
          <w:szCs w:val="22"/>
        </w:rPr>
        <w:t>sample</w:t>
      </w:r>
      <w:r w:rsidRPr="00483258">
        <w:rPr>
          <w:rFonts w:asciiTheme="minorHAnsi" w:hAnsiTheme="minorHAnsi"/>
          <w:sz w:val="22"/>
          <w:szCs w:val="22"/>
        </w:rPr>
        <w:t xml:space="preserve"> is stratified by </w:t>
      </w:r>
      <w:r w:rsidR="007F656B" w:rsidRPr="00483258">
        <w:rPr>
          <w:rFonts w:asciiTheme="minorHAnsi" w:hAnsiTheme="minorHAnsi"/>
          <w:sz w:val="22"/>
          <w:szCs w:val="22"/>
        </w:rPr>
        <w:t>state, frame, and industry</w:t>
      </w:r>
      <w:r w:rsidRPr="00483258">
        <w:rPr>
          <w:rFonts w:asciiTheme="minorHAnsi" w:hAnsiTheme="minorHAnsi"/>
          <w:sz w:val="22"/>
          <w:szCs w:val="22"/>
        </w:rPr>
        <w:t xml:space="preserve">. The Census Bureau selects </w:t>
      </w:r>
      <w:r w:rsidR="000D0ADD">
        <w:rPr>
          <w:rFonts w:asciiTheme="minorHAnsi" w:hAnsiTheme="minorHAnsi"/>
          <w:sz w:val="22"/>
          <w:szCs w:val="22"/>
        </w:rPr>
        <w:t>some</w:t>
      </w:r>
      <w:r w:rsidR="004F42A6" w:rsidRPr="00483258">
        <w:rPr>
          <w:rFonts w:asciiTheme="minorHAnsi" w:hAnsiTheme="minorHAnsi"/>
          <w:sz w:val="22"/>
          <w:szCs w:val="22"/>
        </w:rPr>
        <w:t xml:space="preserve"> </w:t>
      </w:r>
      <w:r w:rsidRPr="00483258">
        <w:rPr>
          <w:rFonts w:asciiTheme="minorHAnsi" w:hAnsiTheme="minorHAnsi"/>
          <w:sz w:val="22"/>
          <w:szCs w:val="22"/>
        </w:rPr>
        <w:t>companies with certainty based</w:t>
      </w:r>
      <w:r w:rsidR="00F479F7" w:rsidRPr="00483258">
        <w:rPr>
          <w:rFonts w:asciiTheme="minorHAnsi" w:hAnsiTheme="minorHAnsi"/>
          <w:sz w:val="22"/>
          <w:szCs w:val="22"/>
        </w:rPr>
        <w:t xml:space="preserve"> on volume of sales, payroll, </w:t>
      </w:r>
      <w:r w:rsidRPr="00483258">
        <w:rPr>
          <w:rFonts w:asciiTheme="minorHAnsi" w:hAnsiTheme="minorHAnsi"/>
          <w:sz w:val="22"/>
          <w:szCs w:val="22"/>
        </w:rPr>
        <w:t>number of paid employees</w:t>
      </w:r>
      <w:r w:rsidR="00F479F7" w:rsidRPr="00483258">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14:paraId="6709A6F5" w14:textId="77777777" w:rsidR="003D35F4" w:rsidRPr="005D7D25" w:rsidRDefault="003D35F4" w:rsidP="00A32108">
      <w:pPr>
        <w:pStyle w:val="NoSpacing"/>
        <w:ind w:left="360"/>
        <w:rPr>
          <w:rFonts w:asciiTheme="minorHAnsi" w:hAnsiTheme="minorHAnsi"/>
          <w:sz w:val="22"/>
          <w:szCs w:val="22"/>
        </w:rPr>
      </w:pPr>
    </w:p>
    <w:p w14:paraId="48D1E95B" w14:textId="77777777" w:rsidR="000D0ADD" w:rsidRDefault="00A04E12" w:rsidP="00A32108">
      <w:pPr>
        <w:pStyle w:val="NoSpacing"/>
        <w:ind w:left="360"/>
        <w:rPr>
          <w:rFonts w:asciiTheme="minorHAnsi" w:hAnsiTheme="minorHAnsi"/>
          <w:sz w:val="22"/>
          <w:szCs w:val="22"/>
        </w:rPr>
      </w:pPr>
      <w:r w:rsidRPr="005D7D25">
        <w:rPr>
          <w:rFonts w:asciiTheme="minorHAnsi" w:hAnsiTheme="minorHAnsi"/>
          <w:sz w:val="22"/>
          <w:szCs w:val="22"/>
        </w:rPr>
        <w:t xml:space="preserve">The ABS </w:t>
      </w:r>
      <w:r w:rsidR="00C50D36">
        <w:rPr>
          <w:rFonts w:asciiTheme="minorHAnsi" w:hAnsiTheme="minorHAnsi"/>
          <w:sz w:val="22"/>
          <w:szCs w:val="22"/>
        </w:rPr>
        <w:t xml:space="preserve">is designed to incorporate new content each survey year based on topics of relevance.  </w:t>
      </w:r>
      <w:r w:rsidR="00DE2D61" w:rsidRPr="005D7D25">
        <w:rPr>
          <w:rFonts w:asciiTheme="minorHAnsi" w:hAnsiTheme="minorHAnsi"/>
          <w:sz w:val="22"/>
          <w:szCs w:val="22"/>
        </w:rPr>
        <w:t xml:space="preserve">Each year the new module of questions is submitted to the Office of Management and Budget (OMB) for approval.  </w:t>
      </w:r>
      <w:r w:rsidR="000D0ADD">
        <w:rPr>
          <w:rFonts w:asciiTheme="minorHAnsi" w:hAnsiTheme="minorHAnsi"/>
          <w:sz w:val="22"/>
          <w:szCs w:val="22"/>
        </w:rPr>
        <w:t xml:space="preserve">The table below shows the proposed ABS content for each survey year.  </w:t>
      </w:r>
    </w:p>
    <w:p w14:paraId="7BAB21C1" w14:textId="4D1FDA24" w:rsidR="001C1E31" w:rsidRDefault="001C1E31">
      <w:pPr>
        <w:rPr>
          <w:rFonts w:asciiTheme="minorHAnsi" w:eastAsia="Times New Roman" w:hAnsiTheme="minorHAnsi"/>
        </w:rPr>
      </w:pPr>
      <w:r>
        <w:rPr>
          <w:rFonts w:asciiTheme="minorHAnsi" w:hAnsiTheme="minorHAnsi"/>
        </w:rPr>
        <w:br w:type="page"/>
      </w:r>
    </w:p>
    <w:p w14:paraId="5A0079D5" w14:textId="77777777" w:rsidR="000D0ADD" w:rsidRDefault="000D0ADD" w:rsidP="00A32108">
      <w:pPr>
        <w:pStyle w:val="NoSpacing"/>
        <w:ind w:left="360"/>
        <w:rPr>
          <w:rFonts w:asciiTheme="minorHAnsi" w:hAnsiTheme="minorHAnsi"/>
          <w:sz w:val="22"/>
          <w:szCs w:val="22"/>
        </w:rPr>
      </w:pPr>
    </w:p>
    <w:tbl>
      <w:tblPr>
        <w:tblStyle w:val="TableGrid"/>
        <w:tblW w:w="10608" w:type="dxa"/>
        <w:tblInd w:w="-113" w:type="dxa"/>
        <w:tblLook w:val="04A0" w:firstRow="1" w:lastRow="0" w:firstColumn="1" w:lastColumn="0" w:noHBand="0" w:noVBand="1"/>
      </w:tblPr>
      <w:tblGrid>
        <w:gridCol w:w="3125"/>
        <w:gridCol w:w="1385"/>
        <w:gridCol w:w="1633"/>
        <w:gridCol w:w="1316"/>
        <w:gridCol w:w="1512"/>
        <w:gridCol w:w="1637"/>
      </w:tblGrid>
      <w:tr w:rsidR="000D0ADD" w14:paraId="09BE094E" w14:textId="77777777" w:rsidTr="003C2B71">
        <w:tc>
          <w:tcPr>
            <w:tcW w:w="10608" w:type="dxa"/>
            <w:gridSpan w:val="6"/>
            <w:tcBorders>
              <w:top w:val="single" w:sz="4" w:space="0" w:color="auto"/>
              <w:left w:val="single" w:sz="4" w:space="0" w:color="auto"/>
              <w:bottom w:val="single" w:sz="4" w:space="0" w:color="auto"/>
              <w:right w:val="single" w:sz="4" w:space="0" w:color="auto"/>
            </w:tcBorders>
            <w:hideMark/>
          </w:tcPr>
          <w:p w14:paraId="1112D40B" w14:textId="2CD022E2" w:rsidR="000D0ADD" w:rsidRDefault="000D0ADD" w:rsidP="000D0ADD">
            <w:pPr>
              <w:jc w:val="center"/>
              <w:rPr>
                <w:b/>
              </w:rPr>
            </w:pPr>
            <w:r>
              <w:rPr>
                <w:b/>
              </w:rPr>
              <w:t xml:space="preserve">Proposed Content for the Annual Business Survey </w:t>
            </w:r>
          </w:p>
          <w:p w14:paraId="1A5D5622" w14:textId="77777777" w:rsidR="000D0ADD" w:rsidRDefault="000D0ADD" w:rsidP="000D0ADD">
            <w:pPr>
              <w:jc w:val="center"/>
              <w:rPr>
                <w:b/>
              </w:rPr>
            </w:pPr>
          </w:p>
        </w:tc>
      </w:tr>
      <w:tr w:rsidR="000D0ADD" w14:paraId="7136DB52" w14:textId="77777777" w:rsidTr="003C2B71">
        <w:tc>
          <w:tcPr>
            <w:tcW w:w="3125" w:type="dxa"/>
            <w:tcBorders>
              <w:top w:val="single" w:sz="4" w:space="0" w:color="auto"/>
              <w:left w:val="single" w:sz="4" w:space="0" w:color="auto"/>
              <w:bottom w:val="single" w:sz="4" w:space="0" w:color="auto"/>
              <w:right w:val="single" w:sz="4" w:space="0" w:color="auto"/>
            </w:tcBorders>
          </w:tcPr>
          <w:p w14:paraId="5A77BC97" w14:textId="77777777" w:rsidR="000D0ADD" w:rsidRDefault="000D0ADD" w:rsidP="000D0ADD">
            <w:pPr>
              <w:jc w:val="center"/>
              <w:rPr>
                <w:b/>
              </w:rPr>
            </w:pPr>
          </w:p>
        </w:tc>
        <w:tc>
          <w:tcPr>
            <w:tcW w:w="7483" w:type="dxa"/>
            <w:gridSpan w:val="5"/>
            <w:tcBorders>
              <w:top w:val="single" w:sz="4" w:space="0" w:color="auto"/>
              <w:left w:val="single" w:sz="4" w:space="0" w:color="auto"/>
              <w:bottom w:val="single" w:sz="4" w:space="0" w:color="auto"/>
              <w:right w:val="single" w:sz="4" w:space="0" w:color="auto"/>
            </w:tcBorders>
            <w:hideMark/>
          </w:tcPr>
          <w:p w14:paraId="3E8AE318" w14:textId="7842EC5D" w:rsidR="000D0ADD" w:rsidRDefault="00D26617" w:rsidP="000D0ADD">
            <w:pPr>
              <w:jc w:val="center"/>
              <w:rPr>
                <w:b/>
              </w:rPr>
            </w:pPr>
            <w:r>
              <w:rPr>
                <w:b/>
              </w:rPr>
              <w:t>Collection</w:t>
            </w:r>
            <w:r w:rsidR="000D0ADD">
              <w:rPr>
                <w:b/>
              </w:rPr>
              <w:t xml:space="preserve"> Year</w:t>
            </w:r>
          </w:p>
        </w:tc>
      </w:tr>
      <w:tr w:rsidR="000D0ADD" w14:paraId="14FAC028"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6088BD31" w14:textId="77777777" w:rsidR="000D0ADD" w:rsidRDefault="000D0ADD" w:rsidP="000D0ADD">
            <w:pPr>
              <w:rPr>
                <w:b/>
              </w:rPr>
            </w:pPr>
            <w:r>
              <w:rPr>
                <w:b/>
              </w:rPr>
              <w:t xml:space="preserve">Topic Modules </w:t>
            </w:r>
          </w:p>
        </w:tc>
        <w:tc>
          <w:tcPr>
            <w:tcW w:w="1385" w:type="dxa"/>
            <w:tcBorders>
              <w:top w:val="single" w:sz="4" w:space="0" w:color="auto"/>
              <w:left w:val="single" w:sz="4" w:space="0" w:color="auto"/>
              <w:bottom w:val="single" w:sz="4" w:space="0" w:color="auto"/>
              <w:right w:val="single" w:sz="4" w:space="0" w:color="auto"/>
            </w:tcBorders>
            <w:hideMark/>
          </w:tcPr>
          <w:p w14:paraId="78CEE9EC" w14:textId="29CC1F14" w:rsidR="000D0ADD" w:rsidRDefault="00D26617" w:rsidP="000D0ADD">
            <w:pPr>
              <w:jc w:val="center"/>
              <w:rPr>
                <w:b/>
              </w:rPr>
            </w:pPr>
            <w:r>
              <w:rPr>
                <w:b/>
              </w:rPr>
              <w:t>2018</w:t>
            </w:r>
          </w:p>
        </w:tc>
        <w:tc>
          <w:tcPr>
            <w:tcW w:w="1633" w:type="dxa"/>
            <w:tcBorders>
              <w:top w:val="single" w:sz="4" w:space="0" w:color="auto"/>
              <w:left w:val="single" w:sz="4" w:space="0" w:color="auto"/>
              <w:bottom w:val="single" w:sz="4" w:space="0" w:color="auto"/>
              <w:right w:val="single" w:sz="4" w:space="0" w:color="auto"/>
            </w:tcBorders>
            <w:hideMark/>
          </w:tcPr>
          <w:p w14:paraId="34F0FCDE" w14:textId="0D5E4D47" w:rsidR="000D0ADD" w:rsidRDefault="00D26617" w:rsidP="000D0ADD">
            <w:pPr>
              <w:jc w:val="center"/>
              <w:rPr>
                <w:b/>
              </w:rPr>
            </w:pPr>
            <w:r>
              <w:rPr>
                <w:b/>
              </w:rPr>
              <w:t>2019</w:t>
            </w:r>
          </w:p>
        </w:tc>
        <w:tc>
          <w:tcPr>
            <w:tcW w:w="1316" w:type="dxa"/>
            <w:tcBorders>
              <w:top w:val="single" w:sz="4" w:space="0" w:color="auto"/>
              <w:left w:val="single" w:sz="4" w:space="0" w:color="auto"/>
              <w:bottom w:val="single" w:sz="4" w:space="0" w:color="auto"/>
              <w:right w:val="single" w:sz="4" w:space="0" w:color="auto"/>
            </w:tcBorders>
            <w:hideMark/>
          </w:tcPr>
          <w:p w14:paraId="1C21AD7D" w14:textId="15A031C5" w:rsidR="000D0ADD" w:rsidRDefault="00D26617" w:rsidP="000D0ADD">
            <w:pPr>
              <w:jc w:val="center"/>
              <w:rPr>
                <w:b/>
              </w:rPr>
            </w:pPr>
            <w:r>
              <w:rPr>
                <w:b/>
              </w:rPr>
              <w:t>2020</w:t>
            </w:r>
          </w:p>
        </w:tc>
        <w:tc>
          <w:tcPr>
            <w:tcW w:w="1512" w:type="dxa"/>
            <w:tcBorders>
              <w:top w:val="single" w:sz="4" w:space="0" w:color="auto"/>
              <w:left w:val="single" w:sz="4" w:space="0" w:color="auto"/>
              <w:bottom w:val="single" w:sz="4" w:space="0" w:color="auto"/>
              <w:right w:val="single" w:sz="4" w:space="0" w:color="auto"/>
            </w:tcBorders>
            <w:hideMark/>
          </w:tcPr>
          <w:p w14:paraId="530949E8" w14:textId="617ACB02" w:rsidR="000D0ADD" w:rsidRDefault="00D26617" w:rsidP="000D0ADD">
            <w:pPr>
              <w:jc w:val="center"/>
              <w:rPr>
                <w:b/>
              </w:rPr>
            </w:pPr>
            <w:r>
              <w:rPr>
                <w:b/>
              </w:rPr>
              <w:t>2021</w:t>
            </w:r>
          </w:p>
        </w:tc>
        <w:tc>
          <w:tcPr>
            <w:tcW w:w="1637" w:type="dxa"/>
            <w:tcBorders>
              <w:top w:val="single" w:sz="4" w:space="0" w:color="auto"/>
              <w:left w:val="single" w:sz="4" w:space="0" w:color="auto"/>
              <w:bottom w:val="single" w:sz="4" w:space="0" w:color="auto"/>
              <w:right w:val="single" w:sz="4" w:space="0" w:color="auto"/>
            </w:tcBorders>
            <w:hideMark/>
          </w:tcPr>
          <w:p w14:paraId="26653DA6" w14:textId="4CD59CF7" w:rsidR="000D0ADD" w:rsidRDefault="00D26617" w:rsidP="000D0ADD">
            <w:pPr>
              <w:jc w:val="center"/>
              <w:rPr>
                <w:b/>
                <w:i/>
              </w:rPr>
            </w:pPr>
            <w:r>
              <w:rPr>
                <w:b/>
              </w:rPr>
              <w:t>2022</w:t>
            </w:r>
          </w:p>
        </w:tc>
      </w:tr>
      <w:tr w:rsidR="000D0ADD" w14:paraId="4B07B409"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72AA7081" w14:textId="77777777" w:rsidR="000D0ADD" w:rsidRDefault="000D0ADD" w:rsidP="000D0ADD">
            <w:pPr>
              <w:pStyle w:val="ListParagraph"/>
              <w:numPr>
                <w:ilvl w:val="0"/>
                <w:numId w:val="23"/>
              </w:numPr>
            </w:pPr>
            <w:r>
              <w:t>Owner Characteristics</w:t>
            </w:r>
          </w:p>
        </w:tc>
        <w:tc>
          <w:tcPr>
            <w:tcW w:w="1385" w:type="dxa"/>
            <w:tcBorders>
              <w:top w:val="single" w:sz="4" w:space="0" w:color="auto"/>
              <w:left w:val="single" w:sz="4" w:space="0" w:color="auto"/>
              <w:bottom w:val="single" w:sz="4" w:space="0" w:color="auto"/>
              <w:right w:val="single" w:sz="4" w:space="0" w:color="auto"/>
            </w:tcBorders>
            <w:hideMark/>
          </w:tcPr>
          <w:p w14:paraId="0FAB0AFD" w14:textId="77777777" w:rsidR="000D0ADD" w:rsidRDefault="000D0ADD" w:rsidP="000D0ADD">
            <w:pPr>
              <w:jc w:val="center"/>
            </w:pPr>
            <w:r>
              <w:t>Full</w:t>
            </w:r>
          </w:p>
        </w:tc>
        <w:tc>
          <w:tcPr>
            <w:tcW w:w="1633" w:type="dxa"/>
            <w:tcBorders>
              <w:top w:val="single" w:sz="4" w:space="0" w:color="auto"/>
              <w:left w:val="single" w:sz="4" w:space="0" w:color="auto"/>
              <w:bottom w:val="single" w:sz="4" w:space="0" w:color="auto"/>
              <w:right w:val="single" w:sz="4" w:space="0" w:color="auto"/>
            </w:tcBorders>
            <w:hideMark/>
          </w:tcPr>
          <w:p w14:paraId="2FD144C8" w14:textId="77777777" w:rsidR="000D0ADD" w:rsidRDefault="000D0ADD" w:rsidP="000D0ADD">
            <w:pPr>
              <w:jc w:val="center"/>
            </w:pPr>
            <w:r>
              <w:t>Reduced</w:t>
            </w:r>
          </w:p>
          <w:p w14:paraId="0A488154" w14:textId="77777777" w:rsidR="000D0ADD" w:rsidRDefault="000D0ADD" w:rsidP="000D0ADD">
            <w:pPr>
              <w:jc w:val="center"/>
            </w:pPr>
          </w:p>
        </w:tc>
        <w:tc>
          <w:tcPr>
            <w:tcW w:w="1316" w:type="dxa"/>
            <w:tcBorders>
              <w:top w:val="single" w:sz="4" w:space="0" w:color="auto"/>
              <w:left w:val="single" w:sz="4" w:space="0" w:color="auto"/>
              <w:bottom w:val="single" w:sz="4" w:space="0" w:color="auto"/>
              <w:right w:val="single" w:sz="4" w:space="0" w:color="auto"/>
            </w:tcBorders>
            <w:hideMark/>
          </w:tcPr>
          <w:p w14:paraId="1A9630BC" w14:textId="77777777" w:rsidR="000D0ADD" w:rsidRDefault="000D0ADD" w:rsidP="000D0ADD">
            <w:pPr>
              <w:jc w:val="center"/>
            </w:pPr>
            <w:r>
              <w:t>Reduced</w:t>
            </w:r>
          </w:p>
        </w:tc>
        <w:tc>
          <w:tcPr>
            <w:tcW w:w="1512" w:type="dxa"/>
            <w:tcBorders>
              <w:top w:val="single" w:sz="4" w:space="0" w:color="auto"/>
              <w:left w:val="single" w:sz="4" w:space="0" w:color="auto"/>
              <w:bottom w:val="single" w:sz="4" w:space="0" w:color="auto"/>
              <w:right w:val="single" w:sz="4" w:space="0" w:color="auto"/>
            </w:tcBorders>
            <w:hideMark/>
          </w:tcPr>
          <w:p w14:paraId="0ED85F23" w14:textId="77777777" w:rsidR="000D0ADD" w:rsidRDefault="000D0ADD" w:rsidP="000D0ADD">
            <w:pPr>
              <w:jc w:val="center"/>
            </w:pPr>
            <w:r>
              <w:t>Full</w:t>
            </w:r>
          </w:p>
        </w:tc>
        <w:tc>
          <w:tcPr>
            <w:tcW w:w="1637" w:type="dxa"/>
            <w:tcBorders>
              <w:top w:val="single" w:sz="4" w:space="0" w:color="auto"/>
              <w:left w:val="single" w:sz="4" w:space="0" w:color="auto"/>
              <w:bottom w:val="single" w:sz="4" w:space="0" w:color="auto"/>
              <w:right w:val="single" w:sz="4" w:space="0" w:color="auto"/>
            </w:tcBorders>
            <w:hideMark/>
          </w:tcPr>
          <w:p w14:paraId="1DC67618" w14:textId="77777777" w:rsidR="000D0ADD" w:rsidRDefault="000D0ADD" w:rsidP="000D0ADD">
            <w:pPr>
              <w:jc w:val="center"/>
            </w:pPr>
            <w:r>
              <w:t>Reduced</w:t>
            </w:r>
          </w:p>
          <w:p w14:paraId="61AD28EB" w14:textId="77777777" w:rsidR="000D0ADD" w:rsidRDefault="000D0ADD" w:rsidP="000D0ADD">
            <w:pPr>
              <w:jc w:val="center"/>
            </w:pPr>
          </w:p>
        </w:tc>
      </w:tr>
      <w:tr w:rsidR="000D0ADD" w14:paraId="6388A54C"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01928FFF" w14:textId="77777777" w:rsidR="000D0ADD" w:rsidRDefault="000D0ADD" w:rsidP="000D0ADD">
            <w:pPr>
              <w:pStyle w:val="ListParagraph"/>
              <w:numPr>
                <w:ilvl w:val="0"/>
                <w:numId w:val="23"/>
              </w:numPr>
            </w:pPr>
            <w:r>
              <w:t>Innovation</w:t>
            </w:r>
          </w:p>
        </w:tc>
        <w:tc>
          <w:tcPr>
            <w:tcW w:w="1385" w:type="dxa"/>
            <w:tcBorders>
              <w:top w:val="single" w:sz="4" w:space="0" w:color="auto"/>
              <w:left w:val="single" w:sz="4" w:space="0" w:color="auto"/>
              <w:bottom w:val="single" w:sz="4" w:space="0" w:color="auto"/>
              <w:right w:val="single" w:sz="4" w:space="0" w:color="auto"/>
            </w:tcBorders>
            <w:hideMark/>
          </w:tcPr>
          <w:p w14:paraId="6EAACB21" w14:textId="77777777" w:rsidR="000D0ADD" w:rsidRDefault="000D0ADD" w:rsidP="000D0ADD">
            <w:pPr>
              <w:jc w:val="center"/>
            </w:pPr>
            <w:r>
              <w:t xml:space="preserve">Full </w:t>
            </w:r>
          </w:p>
        </w:tc>
        <w:tc>
          <w:tcPr>
            <w:tcW w:w="1633" w:type="dxa"/>
            <w:tcBorders>
              <w:top w:val="single" w:sz="4" w:space="0" w:color="auto"/>
              <w:left w:val="single" w:sz="4" w:space="0" w:color="auto"/>
              <w:bottom w:val="single" w:sz="4" w:space="0" w:color="auto"/>
              <w:right w:val="single" w:sz="4" w:space="0" w:color="auto"/>
            </w:tcBorders>
            <w:hideMark/>
          </w:tcPr>
          <w:p w14:paraId="293F9240" w14:textId="77777777" w:rsidR="000D0ADD" w:rsidRDefault="000D0ADD" w:rsidP="000D0ADD">
            <w:pPr>
              <w:jc w:val="center"/>
            </w:pPr>
            <w:r>
              <w:t>Reduced</w:t>
            </w:r>
          </w:p>
          <w:p w14:paraId="06DA576D" w14:textId="77777777" w:rsidR="000D0ADD" w:rsidRDefault="000D0ADD" w:rsidP="000D0ADD">
            <w:pPr>
              <w:jc w:val="center"/>
            </w:pPr>
          </w:p>
        </w:tc>
        <w:tc>
          <w:tcPr>
            <w:tcW w:w="1316" w:type="dxa"/>
            <w:tcBorders>
              <w:top w:val="single" w:sz="4" w:space="0" w:color="auto"/>
              <w:left w:val="single" w:sz="4" w:space="0" w:color="auto"/>
              <w:bottom w:val="single" w:sz="4" w:space="0" w:color="auto"/>
              <w:right w:val="single" w:sz="4" w:space="0" w:color="auto"/>
            </w:tcBorders>
            <w:hideMark/>
          </w:tcPr>
          <w:p w14:paraId="0158B097" w14:textId="77777777" w:rsidR="000D0ADD" w:rsidRDefault="000D0ADD" w:rsidP="000D0ADD">
            <w:pPr>
              <w:jc w:val="center"/>
            </w:pPr>
            <w:r>
              <w:t xml:space="preserve">Full </w:t>
            </w:r>
          </w:p>
        </w:tc>
        <w:tc>
          <w:tcPr>
            <w:tcW w:w="1512" w:type="dxa"/>
            <w:tcBorders>
              <w:top w:val="single" w:sz="4" w:space="0" w:color="auto"/>
              <w:left w:val="single" w:sz="4" w:space="0" w:color="auto"/>
              <w:bottom w:val="single" w:sz="4" w:space="0" w:color="auto"/>
              <w:right w:val="single" w:sz="4" w:space="0" w:color="auto"/>
            </w:tcBorders>
            <w:hideMark/>
          </w:tcPr>
          <w:p w14:paraId="427B48FA" w14:textId="77777777" w:rsidR="000D0ADD" w:rsidRDefault="000D0ADD" w:rsidP="000D0ADD">
            <w:pPr>
              <w:jc w:val="center"/>
            </w:pPr>
          </w:p>
        </w:tc>
        <w:tc>
          <w:tcPr>
            <w:tcW w:w="1637" w:type="dxa"/>
            <w:tcBorders>
              <w:top w:val="single" w:sz="4" w:space="0" w:color="auto"/>
              <w:left w:val="single" w:sz="4" w:space="0" w:color="auto"/>
              <w:bottom w:val="single" w:sz="4" w:space="0" w:color="auto"/>
              <w:right w:val="single" w:sz="4" w:space="0" w:color="auto"/>
            </w:tcBorders>
            <w:hideMark/>
          </w:tcPr>
          <w:p w14:paraId="0EAB7A89" w14:textId="77777777" w:rsidR="000D0ADD" w:rsidRDefault="000D0ADD" w:rsidP="000D0ADD">
            <w:pPr>
              <w:jc w:val="center"/>
            </w:pPr>
          </w:p>
        </w:tc>
      </w:tr>
      <w:tr w:rsidR="000D0ADD" w14:paraId="7CE208E3"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0C3A320C" w14:textId="77777777" w:rsidR="000D0ADD" w:rsidRDefault="000D0ADD" w:rsidP="000D0ADD">
            <w:pPr>
              <w:pStyle w:val="ListParagraph"/>
              <w:numPr>
                <w:ilvl w:val="0"/>
                <w:numId w:val="23"/>
              </w:numPr>
            </w:pPr>
            <w:r>
              <w:t xml:space="preserve">Research &amp; Development </w:t>
            </w:r>
            <w:r>
              <w:br/>
              <w:t>(1-9 employees only)</w:t>
            </w:r>
          </w:p>
        </w:tc>
        <w:tc>
          <w:tcPr>
            <w:tcW w:w="1385" w:type="dxa"/>
            <w:tcBorders>
              <w:top w:val="single" w:sz="4" w:space="0" w:color="auto"/>
              <w:left w:val="single" w:sz="4" w:space="0" w:color="auto"/>
              <w:bottom w:val="single" w:sz="4" w:space="0" w:color="auto"/>
              <w:right w:val="single" w:sz="4" w:space="0" w:color="auto"/>
            </w:tcBorders>
            <w:hideMark/>
          </w:tcPr>
          <w:p w14:paraId="2F9EBD3E" w14:textId="77777777" w:rsidR="000D0ADD" w:rsidRDefault="000D0ADD" w:rsidP="000D0ADD">
            <w:pPr>
              <w:jc w:val="center"/>
            </w:pPr>
            <w:r>
              <w:t xml:space="preserve">Full </w:t>
            </w:r>
          </w:p>
        </w:tc>
        <w:tc>
          <w:tcPr>
            <w:tcW w:w="1633" w:type="dxa"/>
            <w:tcBorders>
              <w:top w:val="single" w:sz="4" w:space="0" w:color="auto"/>
              <w:left w:val="single" w:sz="4" w:space="0" w:color="auto"/>
              <w:bottom w:val="single" w:sz="4" w:space="0" w:color="auto"/>
              <w:right w:val="single" w:sz="4" w:space="0" w:color="auto"/>
            </w:tcBorders>
            <w:hideMark/>
          </w:tcPr>
          <w:p w14:paraId="77CEC6EA" w14:textId="77777777" w:rsidR="000D0ADD" w:rsidRDefault="000D0ADD" w:rsidP="000D0ADD">
            <w:pPr>
              <w:jc w:val="center"/>
            </w:pPr>
            <w:r>
              <w:t>Full</w:t>
            </w:r>
          </w:p>
        </w:tc>
        <w:tc>
          <w:tcPr>
            <w:tcW w:w="1316" w:type="dxa"/>
            <w:tcBorders>
              <w:top w:val="single" w:sz="4" w:space="0" w:color="auto"/>
              <w:left w:val="single" w:sz="4" w:space="0" w:color="auto"/>
              <w:bottom w:val="single" w:sz="4" w:space="0" w:color="auto"/>
              <w:right w:val="single" w:sz="4" w:space="0" w:color="auto"/>
            </w:tcBorders>
            <w:hideMark/>
          </w:tcPr>
          <w:p w14:paraId="52B20594" w14:textId="77777777" w:rsidR="000D0ADD" w:rsidRDefault="000D0ADD" w:rsidP="000D0ADD">
            <w:pPr>
              <w:jc w:val="center"/>
            </w:pPr>
            <w:r>
              <w:t>Full</w:t>
            </w:r>
          </w:p>
        </w:tc>
        <w:tc>
          <w:tcPr>
            <w:tcW w:w="1512" w:type="dxa"/>
            <w:tcBorders>
              <w:top w:val="single" w:sz="4" w:space="0" w:color="auto"/>
              <w:left w:val="single" w:sz="4" w:space="0" w:color="auto"/>
              <w:bottom w:val="single" w:sz="4" w:space="0" w:color="auto"/>
              <w:right w:val="single" w:sz="4" w:space="0" w:color="auto"/>
            </w:tcBorders>
            <w:hideMark/>
          </w:tcPr>
          <w:p w14:paraId="128CE14D" w14:textId="77777777" w:rsidR="000D0ADD" w:rsidRDefault="000D0ADD" w:rsidP="000D0ADD">
            <w:pPr>
              <w:jc w:val="center"/>
            </w:pPr>
            <w:r>
              <w:t>Full</w:t>
            </w:r>
          </w:p>
        </w:tc>
        <w:tc>
          <w:tcPr>
            <w:tcW w:w="1637" w:type="dxa"/>
            <w:tcBorders>
              <w:top w:val="single" w:sz="4" w:space="0" w:color="auto"/>
              <w:left w:val="single" w:sz="4" w:space="0" w:color="auto"/>
              <w:bottom w:val="single" w:sz="4" w:space="0" w:color="auto"/>
              <w:right w:val="single" w:sz="4" w:space="0" w:color="auto"/>
            </w:tcBorders>
            <w:hideMark/>
          </w:tcPr>
          <w:p w14:paraId="41ABF4FB" w14:textId="77777777" w:rsidR="000D0ADD" w:rsidRDefault="000D0ADD" w:rsidP="000D0ADD">
            <w:pPr>
              <w:jc w:val="center"/>
            </w:pPr>
            <w:r>
              <w:t>Full</w:t>
            </w:r>
          </w:p>
        </w:tc>
      </w:tr>
      <w:tr w:rsidR="000D0ADD" w14:paraId="565277FE"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067BE627" w14:textId="77777777" w:rsidR="000D0ADD" w:rsidRDefault="000D0ADD" w:rsidP="000D0ADD">
            <w:pPr>
              <w:pStyle w:val="ListParagraph"/>
              <w:numPr>
                <w:ilvl w:val="0"/>
                <w:numId w:val="23"/>
              </w:numPr>
            </w:pPr>
            <w:r>
              <w:t>Technology and Intellectual Property</w:t>
            </w:r>
          </w:p>
        </w:tc>
        <w:tc>
          <w:tcPr>
            <w:tcW w:w="1385" w:type="dxa"/>
            <w:tcBorders>
              <w:top w:val="single" w:sz="4" w:space="0" w:color="auto"/>
              <w:left w:val="single" w:sz="4" w:space="0" w:color="auto"/>
              <w:bottom w:val="single" w:sz="4" w:space="0" w:color="auto"/>
              <w:right w:val="single" w:sz="4" w:space="0" w:color="auto"/>
            </w:tcBorders>
            <w:hideMark/>
          </w:tcPr>
          <w:p w14:paraId="5A39190B" w14:textId="77777777" w:rsidR="000D0ADD" w:rsidRDefault="000D0ADD" w:rsidP="000D0ADD">
            <w:pPr>
              <w:jc w:val="center"/>
            </w:pPr>
            <w:r>
              <w:t>Reduced</w:t>
            </w:r>
          </w:p>
          <w:p w14:paraId="5B82A1A6" w14:textId="77777777" w:rsidR="000D0ADD" w:rsidRDefault="000D0ADD" w:rsidP="000D0ADD">
            <w:pPr>
              <w:jc w:val="center"/>
            </w:pPr>
            <w:r>
              <w:t>(digital)</w:t>
            </w:r>
          </w:p>
        </w:tc>
        <w:tc>
          <w:tcPr>
            <w:tcW w:w="1633" w:type="dxa"/>
            <w:tcBorders>
              <w:top w:val="single" w:sz="4" w:space="0" w:color="auto"/>
              <w:left w:val="single" w:sz="4" w:space="0" w:color="auto"/>
              <w:bottom w:val="single" w:sz="4" w:space="0" w:color="auto"/>
              <w:right w:val="single" w:sz="4" w:space="0" w:color="auto"/>
            </w:tcBorders>
            <w:hideMark/>
          </w:tcPr>
          <w:p w14:paraId="3D80314D" w14:textId="77777777" w:rsidR="000D0ADD" w:rsidRDefault="000D0ADD" w:rsidP="000D0ADD">
            <w:pPr>
              <w:jc w:val="center"/>
            </w:pPr>
            <w:r>
              <w:t xml:space="preserve">Full (automation) </w:t>
            </w:r>
          </w:p>
        </w:tc>
        <w:tc>
          <w:tcPr>
            <w:tcW w:w="1316" w:type="dxa"/>
            <w:tcBorders>
              <w:top w:val="single" w:sz="4" w:space="0" w:color="auto"/>
              <w:left w:val="single" w:sz="4" w:space="0" w:color="auto"/>
              <w:bottom w:val="single" w:sz="4" w:space="0" w:color="auto"/>
              <w:right w:val="single" w:sz="4" w:space="0" w:color="auto"/>
            </w:tcBorders>
            <w:hideMark/>
          </w:tcPr>
          <w:p w14:paraId="79F02233" w14:textId="77777777" w:rsidR="000D0ADD" w:rsidRDefault="000D0ADD" w:rsidP="000D0ADD">
            <w:pPr>
              <w:jc w:val="center"/>
            </w:pPr>
            <w:r>
              <w:t>Full (technology TBD)</w:t>
            </w:r>
          </w:p>
        </w:tc>
        <w:tc>
          <w:tcPr>
            <w:tcW w:w="1512" w:type="dxa"/>
            <w:tcBorders>
              <w:top w:val="single" w:sz="4" w:space="0" w:color="auto"/>
              <w:left w:val="single" w:sz="4" w:space="0" w:color="auto"/>
              <w:bottom w:val="single" w:sz="4" w:space="0" w:color="auto"/>
              <w:right w:val="single" w:sz="4" w:space="0" w:color="auto"/>
            </w:tcBorders>
            <w:hideMark/>
          </w:tcPr>
          <w:p w14:paraId="0C5CE675" w14:textId="77777777" w:rsidR="000D0ADD" w:rsidRPr="000773BF" w:rsidRDefault="000D0ADD" w:rsidP="000D0ADD">
            <w:pPr>
              <w:jc w:val="center"/>
              <w:rPr>
                <w:strike/>
              </w:rPr>
            </w:pPr>
            <w:r>
              <w:t xml:space="preserve">Full </w:t>
            </w:r>
            <w:r>
              <w:br/>
              <w:t>(digital)</w:t>
            </w:r>
          </w:p>
        </w:tc>
        <w:tc>
          <w:tcPr>
            <w:tcW w:w="1637" w:type="dxa"/>
            <w:tcBorders>
              <w:top w:val="single" w:sz="4" w:space="0" w:color="auto"/>
              <w:left w:val="single" w:sz="4" w:space="0" w:color="auto"/>
              <w:bottom w:val="single" w:sz="4" w:space="0" w:color="auto"/>
              <w:right w:val="single" w:sz="4" w:space="0" w:color="auto"/>
            </w:tcBorders>
            <w:hideMark/>
          </w:tcPr>
          <w:p w14:paraId="6301C795" w14:textId="77777777" w:rsidR="000D0ADD" w:rsidRDefault="000D0ADD" w:rsidP="000D0ADD">
            <w:pPr>
              <w:jc w:val="center"/>
            </w:pPr>
            <w:r>
              <w:t>Full (automation)</w:t>
            </w:r>
          </w:p>
        </w:tc>
      </w:tr>
      <w:tr w:rsidR="000D0ADD" w14:paraId="498929F4" w14:textId="77777777" w:rsidTr="003C2B71">
        <w:tc>
          <w:tcPr>
            <w:tcW w:w="3125" w:type="dxa"/>
            <w:tcBorders>
              <w:top w:val="single" w:sz="4" w:space="0" w:color="auto"/>
              <w:left w:val="single" w:sz="4" w:space="0" w:color="auto"/>
              <w:bottom w:val="single" w:sz="4" w:space="0" w:color="auto"/>
              <w:right w:val="single" w:sz="4" w:space="0" w:color="auto"/>
            </w:tcBorders>
            <w:hideMark/>
          </w:tcPr>
          <w:p w14:paraId="34D23573" w14:textId="77777777" w:rsidR="000D0ADD" w:rsidRDefault="000D0ADD" w:rsidP="000D0ADD">
            <w:pPr>
              <w:pStyle w:val="ListParagraph"/>
              <w:numPr>
                <w:ilvl w:val="0"/>
                <w:numId w:val="23"/>
              </w:numPr>
            </w:pPr>
            <w:r>
              <w:t xml:space="preserve">Financing </w:t>
            </w:r>
            <w:r>
              <w:br/>
            </w:r>
          </w:p>
        </w:tc>
        <w:tc>
          <w:tcPr>
            <w:tcW w:w="1385" w:type="dxa"/>
            <w:tcBorders>
              <w:top w:val="single" w:sz="4" w:space="0" w:color="auto"/>
              <w:left w:val="single" w:sz="4" w:space="0" w:color="auto"/>
              <w:bottom w:val="single" w:sz="4" w:space="0" w:color="auto"/>
              <w:right w:val="single" w:sz="4" w:space="0" w:color="auto"/>
            </w:tcBorders>
            <w:hideMark/>
          </w:tcPr>
          <w:p w14:paraId="7F593F03" w14:textId="77777777" w:rsidR="000D0ADD" w:rsidRDefault="000D0ADD" w:rsidP="000D0ADD">
            <w:pPr>
              <w:jc w:val="center"/>
            </w:pPr>
            <w:r>
              <w:t xml:space="preserve">Full </w:t>
            </w:r>
          </w:p>
        </w:tc>
        <w:tc>
          <w:tcPr>
            <w:tcW w:w="1633" w:type="dxa"/>
            <w:tcBorders>
              <w:top w:val="single" w:sz="4" w:space="0" w:color="auto"/>
              <w:left w:val="single" w:sz="4" w:space="0" w:color="auto"/>
              <w:bottom w:val="single" w:sz="4" w:space="0" w:color="auto"/>
              <w:right w:val="single" w:sz="4" w:space="0" w:color="auto"/>
            </w:tcBorders>
            <w:hideMark/>
          </w:tcPr>
          <w:p w14:paraId="1DD345CF" w14:textId="77777777" w:rsidR="000D0ADD" w:rsidRDefault="000D0ADD" w:rsidP="000D0ADD">
            <w:pPr>
              <w:jc w:val="center"/>
            </w:pPr>
          </w:p>
        </w:tc>
        <w:tc>
          <w:tcPr>
            <w:tcW w:w="1316" w:type="dxa"/>
            <w:tcBorders>
              <w:top w:val="single" w:sz="4" w:space="0" w:color="auto"/>
              <w:left w:val="single" w:sz="4" w:space="0" w:color="auto"/>
              <w:bottom w:val="single" w:sz="4" w:space="0" w:color="auto"/>
              <w:right w:val="single" w:sz="4" w:space="0" w:color="auto"/>
            </w:tcBorders>
            <w:hideMark/>
          </w:tcPr>
          <w:p w14:paraId="4D29E972" w14:textId="77777777" w:rsidR="000D0ADD" w:rsidRDefault="000D0ADD" w:rsidP="000D0ADD">
            <w:pPr>
              <w:jc w:val="center"/>
            </w:pPr>
          </w:p>
        </w:tc>
        <w:tc>
          <w:tcPr>
            <w:tcW w:w="1512" w:type="dxa"/>
            <w:tcBorders>
              <w:top w:val="single" w:sz="4" w:space="0" w:color="auto"/>
              <w:left w:val="single" w:sz="4" w:space="0" w:color="auto"/>
              <w:bottom w:val="single" w:sz="4" w:space="0" w:color="auto"/>
              <w:right w:val="single" w:sz="4" w:space="0" w:color="auto"/>
            </w:tcBorders>
            <w:hideMark/>
          </w:tcPr>
          <w:p w14:paraId="5BED8CAF" w14:textId="77777777" w:rsidR="000D0ADD" w:rsidRDefault="000D0ADD" w:rsidP="000D0ADD">
            <w:pPr>
              <w:jc w:val="center"/>
            </w:pPr>
            <w:r>
              <w:t>Full</w:t>
            </w:r>
          </w:p>
        </w:tc>
        <w:tc>
          <w:tcPr>
            <w:tcW w:w="1637" w:type="dxa"/>
            <w:tcBorders>
              <w:top w:val="single" w:sz="4" w:space="0" w:color="auto"/>
              <w:left w:val="single" w:sz="4" w:space="0" w:color="auto"/>
              <w:bottom w:val="single" w:sz="4" w:space="0" w:color="auto"/>
              <w:right w:val="single" w:sz="4" w:space="0" w:color="auto"/>
            </w:tcBorders>
            <w:hideMark/>
          </w:tcPr>
          <w:p w14:paraId="433B0059" w14:textId="77777777" w:rsidR="000D0ADD" w:rsidRDefault="000D0ADD" w:rsidP="000D0ADD">
            <w:pPr>
              <w:jc w:val="center"/>
            </w:pPr>
          </w:p>
        </w:tc>
      </w:tr>
      <w:tr w:rsidR="000D0ADD" w14:paraId="096B18C6" w14:textId="77777777" w:rsidTr="003C2B71">
        <w:tc>
          <w:tcPr>
            <w:tcW w:w="3125" w:type="dxa"/>
            <w:tcBorders>
              <w:top w:val="single" w:sz="4" w:space="0" w:color="auto"/>
              <w:left w:val="single" w:sz="4" w:space="0" w:color="auto"/>
              <w:bottom w:val="single" w:sz="4" w:space="0" w:color="auto"/>
              <w:right w:val="single" w:sz="4" w:space="0" w:color="auto"/>
            </w:tcBorders>
          </w:tcPr>
          <w:p w14:paraId="2E1B4464" w14:textId="77777777" w:rsidR="000D0ADD" w:rsidRDefault="000D0ADD" w:rsidP="000D0ADD">
            <w:pPr>
              <w:pStyle w:val="ListParagraph"/>
              <w:numPr>
                <w:ilvl w:val="0"/>
                <w:numId w:val="23"/>
              </w:numPr>
            </w:pPr>
            <w:r>
              <w:t xml:space="preserve">Globalization </w:t>
            </w:r>
          </w:p>
          <w:p w14:paraId="671B867E" w14:textId="77777777" w:rsidR="000D0ADD" w:rsidRDefault="000D0ADD" w:rsidP="000D0ADD">
            <w:pPr>
              <w:pStyle w:val="ListParagraph"/>
            </w:pPr>
          </w:p>
        </w:tc>
        <w:tc>
          <w:tcPr>
            <w:tcW w:w="1385" w:type="dxa"/>
            <w:tcBorders>
              <w:top w:val="single" w:sz="4" w:space="0" w:color="auto"/>
              <w:left w:val="single" w:sz="4" w:space="0" w:color="auto"/>
              <w:bottom w:val="single" w:sz="4" w:space="0" w:color="auto"/>
              <w:right w:val="single" w:sz="4" w:space="0" w:color="auto"/>
            </w:tcBorders>
          </w:tcPr>
          <w:p w14:paraId="26038BA2" w14:textId="77777777" w:rsidR="000D0ADD" w:rsidRDefault="000D0ADD" w:rsidP="000D0ADD">
            <w:pPr>
              <w:jc w:val="center"/>
            </w:pPr>
          </w:p>
        </w:tc>
        <w:tc>
          <w:tcPr>
            <w:tcW w:w="1633" w:type="dxa"/>
            <w:tcBorders>
              <w:top w:val="single" w:sz="4" w:space="0" w:color="auto"/>
              <w:left w:val="single" w:sz="4" w:space="0" w:color="auto"/>
              <w:bottom w:val="single" w:sz="4" w:space="0" w:color="auto"/>
              <w:right w:val="single" w:sz="4" w:space="0" w:color="auto"/>
            </w:tcBorders>
          </w:tcPr>
          <w:p w14:paraId="711082FE" w14:textId="77777777" w:rsidR="000D0ADD" w:rsidRDefault="000D0ADD" w:rsidP="000D0ADD">
            <w:pPr>
              <w:jc w:val="center"/>
            </w:pPr>
          </w:p>
        </w:tc>
        <w:tc>
          <w:tcPr>
            <w:tcW w:w="1316" w:type="dxa"/>
            <w:tcBorders>
              <w:top w:val="single" w:sz="4" w:space="0" w:color="auto"/>
              <w:left w:val="single" w:sz="4" w:space="0" w:color="auto"/>
              <w:bottom w:val="single" w:sz="4" w:space="0" w:color="auto"/>
              <w:right w:val="single" w:sz="4" w:space="0" w:color="auto"/>
            </w:tcBorders>
          </w:tcPr>
          <w:p w14:paraId="217E2C82" w14:textId="77777777" w:rsidR="000D0ADD" w:rsidRPr="00D76127" w:rsidRDefault="000D0ADD" w:rsidP="000D0ADD">
            <w:pPr>
              <w:jc w:val="center"/>
              <w:rPr>
                <w:color w:val="FF0000"/>
              </w:rPr>
            </w:pPr>
            <w:r w:rsidRPr="00D76127">
              <w:t>Full</w:t>
            </w:r>
          </w:p>
        </w:tc>
        <w:tc>
          <w:tcPr>
            <w:tcW w:w="1512" w:type="dxa"/>
            <w:tcBorders>
              <w:top w:val="single" w:sz="4" w:space="0" w:color="auto"/>
              <w:left w:val="single" w:sz="4" w:space="0" w:color="auto"/>
              <w:bottom w:val="single" w:sz="4" w:space="0" w:color="auto"/>
              <w:right w:val="single" w:sz="4" w:space="0" w:color="auto"/>
            </w:tcBorders>
          </w:tcPr>
          <w:p w14:paraId="007E2FCD" w14:textId="77777777" w:rsidR="000D0ADD" w:rsidRPr="000773BF" w:rsidRDefault="000D0ADD" w:rsidP="000D0ADD">
            <w:pPr>
              <w:jc w:val="center"/>
              <w:rPr>
                <w:color w:val="FF0000"/>
              </w:rPr>
            </w:pPr>
          </w:p>
        </w:tc>
        <w:tc>
          <w:tcPr>
            <w:tcW w:w="1637" w:type="dxa"/>
            <w:tcBorders>
              <w:top w:val="single" w:sz="4" w:space="0" w:color="auto"/>
              <w:left w:val="single" w:sz="4" w:space="0" w:color="auto"/>
              <w:bottom w:val="single" w:sz="4" w:space="0" w:color="auto"/>
              <w:right w:val="single" w:sz="4" w:space="0" w:color="auto"/>
            </w:tcBorders>
          </w:tcPr>
          <w:p w14:paraId="03FC8446" w14:textId="77777777" w:rsidR="000D0ADD" w:rsidRDefault="000D0ADD" w:rsidP="000D0ADD">
            <w:pPr>
              <w:jc w:val="center"/>
            </w:pPr>
          </w:p>
        </w:tc>
      </w:tr>
      <w:tr w:rsidR="000D0ADD" w14:paraId="426F60B5" w14:textId="77777777" w:rsidTr="003C2B71">
        <w:tc>
          <w:tcPr>
            <w:tcW w:w="3125" w:type="dxa"/>
            <w:tcBorders>
              <w:top w:val="single" w:sz="4" w:space="0" w:color="auto"/>
              <w:left w:val="single" w:sz="4" w:space="0" w:color="auto"/>
              <w:bottom w:val="single" w:sz="4" w:space="0" w:color="auto"/>
              <w:right w:val="single" w:sz="4" w:space="0" w:color="auto"/>
            </w:tcBorders>
          </w:tcPr>
          <w:p w14:paraId="6CA20A66" w14:textId="77777777" w:rsidR="000D0ADD" w:rsidRDefault="000D0ADD" w:rsidP="000D0ADD">
            <w:pPr>
              <w:pStyle w:val="ListParagraph"/>
              <w:numPr>
                <w:ilvl w:val="0"/>
                <w:numId w:val="23"/>
              </w:numPr>
            </w:pPr>
            <w:r>
              <w:t xml:space="preserve">Business Structure </w:t>
            </w:r>
          </w:p>
          <w:p w14:paraId="1F75DAE8" w14:textId="77777777" w:rsidR="000D0ADD" w:rsidRDefault="000D0ADD" w:rsidP="000D0ADD">
            <w:pPr>
              <w:pStyle w:val="ListParagraph"/>
            </w:pPr>
          </w:p>
        </w:tc>
        <w:tc>
          <w:tcPr>
            <w:tcW w:w="1385" w:type="dxa"/>
            <w:tcBorders>
              <w:top w:val="single" w:sz="4" w:space="0" w:color="auto"/>
              <w:left w:val="single" w:sz="4" w:space="0" w:color="auto"/>
              <w:bottom w:val="single" w:sz="4" w:space="0" w:color="auto"/>
              <w:right w:val="single" w:sz="4" w:space="0" w:color="auto"/>
            </w:tcBorders>
          </w:tcPr>
          <w:p w14:paraId="075BB8E5" w14:textId="77777777" w:rsidR="000D0ADD" w:rsidRDefault="000D0ADD" w:rsidP="000D0ADD">
            <w:pPr>
              <w:jc w:val="center"/>
            </w:pPr>
            <w:r>
              <w:t xml:space="preserve">Full </w:t>
            </w:r>
          </w:p>
        </w:tc>
        <w:tc>
          <w:tcPr>
            <w:tcW w:w="1633" w:type="dxa"/>
            <w:tcBorders>
              <w:top w:val="single" w:sz="4" w:space="0" w:color="auto"/>
              <w:left w:val="single" w:sz="4" w:space="0" w:color="auto"/>
              <w:bottom w:val="single" w:sz="4" w:space="0" w:color="auto"/>
              <w:right w:val="single" w:sz="4" w:space="0" w:color="auto"/>
            </w:tcBorders>
          </w:tcPr>
          <w:p w14:paraId="64D0EF06" w14:textId="77777777" w:rsidR="000D0ADD" w:rsidRDefault="000D0ADD" w:rsidP="000D0ADD">
            <w:pPr>
              <w:jc w:val="center"/>
            </w:pPr>
            <w:r>
              <w:t xml:space="preserve">Full </w:t>
            </w:r>
          </w:p>
        </w:tc>
        <w:tc>
          <w:tcPr>
            <w:tcW w:w="1316" w:type="dxa"/>
            <w:tcBorders>
              <w:top w:val="single" w:sz="4" w:space="0" w:color="auto"/>
              <w:left w:val="single" w:sz="4" w:space="0" w:color="auto"/>
              <w:bottom w:val="single" w:sz="4" w:space="0" w:color="auto"/>
              <w:right w:val="single" w:sz="4" w:space="0" w:color="auto"/>
            </w:tcBorders>
          </w:tcPr>
          <w:p w14:paraId="3E6E9E1C" w14:textId="77777777" w:rsidR="000D0ADD" w:rsidRDefault="000D0ADD" w:rsidP="000D0ADD">
            <w:pPr>
              <w:jc w:val="center"/>
            </w:pPr>
            <w:r>
              <w:t xml:space="preserve">Full </w:t>
            </w:r>
          </w:p>
        </w:tc>
        <w:tc>
          <w:tcPr>
            <w:tcW w:w="1512" w:type="dxa"/>
            <w:tcBorders>
              <w:top w:val="single" w:sz="4" w:space="0" w:color="auto"/>
              <w:left w:val="single" w:sz="4" w:space="0" w:color="auto"/>
              <w:bottom w:val="single" w:sz="4" w:space="0" w:color="auto"/>
              <w:right w:val="single" w:sz="4" w:space="0" w:color="auto"/>
            </w:tcBorders>
          </w:tcPr>
          <w:p w14:paraId="34B46559" w14:textId="77777777" w:rsidR="000D0ADD" w:rsidRDefault="000D0ADD" w:rsidP="000D0ADD">
            <w:pPr>
              <w:jc w:val="center"/>
            </w:pPr>
            <w:r>
              <w:t xml:space="preserve">Full </w:t>
            </w:r>
          </w:p>
        </w:tc>
        <w:tc>
          <w:tcPr>
            <w:tcW w:w="1637" w:type="dxa"/>
            <w:tcBorders>
              <w:top w:val="single" w:sz="4" w:space="0" w:color="auto"/>
              <w:left w:val="single" w:sz="4" w:space="0" w:color="auto"/>
              <w:bottom w:val="single" w:sz="4" w:space="0" w:color="auto"/>
              <w:right w:val="single" w:sz="4" w:space="0" w:color="auto"/>
            </w:tcBorders>
          </w:tcPr>
          <w:p w14:paraId="07A0E49F" w14:textId="77777777" w:rsidR="000D0ADD" w:rsidRDefault="000D0ADD" w:rsidP="000D0ADD">
            <w:pPr>
              <w:jc w:val="center"/>
            </w:pPr>
            <w:r>
              <w:t xml:space="preserve">Full </w:t>
            </w:r>
          </w:p>
        </w:tc>
      </w:tr>
    </w:tbl>
    <w:p w14:paraId="776851D4" w14:textId="77777777" w:rsidR="000D0ADD" w:rsidRDefault="000D0ADD" w:rsidP="00A32108">
      <w:pPr>
        <w:pStyle w:val="NoSpacing"/>
        <w:ind w:left="360"/>
        <w:rPr>
          <w:rFonts w:asciiTheme="minorHAnsi" w:hAnsiTheme="minorHAnsi"/>
          <w:sz w:val="22"/>
          <w:szCs w:val="22"/>
        </w:rPr>
      </w:pPr>
    </w:p>
    <w:p w14:paraId="00BA6127" w14:textId="7718CE15" w:rsidR="009375B5" w:rsidRDefault="00C76F5D" w:rsidP="00BF79E6">
      <w:pPr>
        <w:pStyle w:val="NormalWeb"/>
        <w:ind w:left="360"/>
        <w:rPr>
          <w:rStyle w:val="Strong"/>
          <w:rFonts w:asciiTheme="minorHAnsi" w:hAnsiTheme="minorHAnsi"/>
          <w:b w:val="0"/>
          <w:color w:val="auto"/>
          <w:sz w:val="22"/>
          <w:szCs w:val="22"/>
        </w:rPr>
      </w:pPr>
      <w:r w:rsidRPr="005D7D25">
        <w:rPr>
          <w:rStyle w:val="Strong"/>
          <w:rFonts w:asciiTheme="minorHAnsi" w:hAnsiTheme="minorHAnsi"/>
          <w:b w:val="0"/>
          <w:color w:val="auto"/>
          <w:sz w:val="22"/>
          <w:szCs w:val="22"/>
        </w:rPr>
        <w:t xml:space="preserve">The </w:t>
      </w:r>
      <w:r w:rsidR="00DA2071" w:rsidRPr="005D7D25">
        <w:rPr>
          <w:rStyle w:val="Strong"/>
          <w:rFonts w:asciiTheme="minorHAnsi" w:hAnsiTheme="minorHAnsi"/>
          <w:b w:val="0"/>
          <w:color w:val="auto"/>
          <w:sz w:val="22"/>
          <w:szCs w:val="22"/>
        </w:rPr>
        <w:t>ABS</w:t>
      </w:r>
      <w:r w:rsidR="00035309" w:rsidRPr="005D7D25">
        <w:rPr>
          <w:rStyle w:val="Strong"/>
          <w:rFonts w:asciiTheme="minorHAnsi" w:hAnsiTheme="minorHAnsi"/>
          <w:b w:val="0"/>
          <w:color w:val="auto"/>
          <w:sz w:val="22"/>
          <w:szCs w:val="22"/>
        </w:rPr>
        <w:t xml:space="preserve"> collection is electronic only</w:t>
      </w:r>
      <w:r w:rsidR="0081784F" w:rsidRPr="005D7D25">
        <w:rPr>
          <w:rStyle w:val="Strong"/>
          <w:rFonts w:asciiTheme="minorHAnsi" w:hAnsiTheme="minorHAnsi"/>
          <w:b w:val="0"/>
          <w:color w:val="auto"/>
          <w:sz w:val="22"/>
          <w:szCs w:val="22"/>
        </w:rPr>
        <w:t xml:space="preserve">.  </w:t>
      </w:r>
      <w:r w:rsidR="008D28FC" w:rsidRPr="005D7D25">
        <w:rPr>
          <w:rStyle w:val="Strong"/>
          <w:rFonts w:asciiTheme="minorHAnsi" w:hAnsiTheme="minorHAnsi"/>
          <w:b w:val="0"/>
          <w:color w:val="auto"/>
          <w:sz w:val="22"/>
          <w:szCs w:val="22"/>
        </w:rPr>
        <w:t>Those selected for the survey receive an initial letter informing the respondents of their requirement to complete the survey as well as instructions on accessing the survey</w:t>
      </w:r>
      <w:r w:rsidR="00C03001">
        <w:rPr>
          <w:rStyle w:val="Strong"/>
          <w:rFonts w:asciiTheme="minorHAnsi" w:hAnsiTheme="minorHAnsi"/>
          <w:b w:val="0"/>
          <w:color w:val="auto"/>
          <w:sz w:val="22"/>
          <w:szCs w:val="22"/>
        </w:rPr>
        <w:t xml:space="preserve"> (see Attachment A)</w:t>
      </w:r>
      <w:r w:rsidRPr="005D7D25">
        <w:rPr>
          <w:rStyle w:val="Strong"/>
          <w:rFonts w:asciiTheme="minorHAnsi" w:hAnsiTheme="minorHAnsi"/>
          <w:b w:val="0"/>
          <w:color w:val="auto"/>
          <w:sz w:val="22"/>
          <w:szCs w:val="22"/>
        </w:rPr>
        <w:t xml:space="preserve">.  </w:t>
      </w:r>
      <w:r w:rsidR="009C514A" w:rsidRPr="005D7D25">
        <w:rPr>
          <w:rStyle w:val="Strong"/>
          <w:rFonts w:asciiTheme="minorHAnsi" w:hAnsiTheme="minorHAnsi"/>
          <w:b w:val="0"/>
          <w:color w:val="auto"/>
          <w:sz w:val="22"/>
          <w:szCs w:val="22"/>
        </w:rPr>
        <w:t xml:space="preserve">  </w:t>
      </w:r>
      <w:r w:rsidR="00B924ED" w:rsidRPr="005D7D25">
        <w:rPr>
          <w:rStyle w:val="Strong"/>
          <w:rFonts w:asciiTheme="minorHAnsi" w:hAnsiTheme="minorHAnsi"/>
          <w:b w:val="0"/>
          <w:color w:val="auto"/>
          <w:sz w:val="22"/>
          <w:szCs w:val="22"/>
        </w:rPr>
        <w:t xml:space="preserve">The </w:t>
      </w:r>
      <w:r w:rsidR="00DA2071" w:rsidRPr="005D7D25">
        <w:rPr>
          <w:rStyle w:val="Strong"/>
          <w:rFonts w:asciiTheme="minorHAnsi" w:hAnsiTheme="minorHAnsi"/>
          <w:b w:val="0"/>
          <w:color w:val="auto"/>
          <w:sz w:val="22"/>
          <w:szCs w:val="22"/>
        </w:rPr>
        <w:t>201</w:t>
      </w:r>
      <w:r w:rsidR="00E42CD2">
        <w:rPr>
          <w:rStyle w:val="Strong"/>
          <w:rFonts w:asciiTheme="minorHAnsi" w:hAnsiTheme="minorHAnsi"/>
          <w:b w:val="0"/>
          <w:color w:val="auto"/>
          <w:sz w:val="22"/>
          <w:szCs w:val="22"/>
        </w:rPr>
        <w:t>9</w:t>
      </w:r>
      <w:r w:rsidR="00DA2071" w:rsidRPr="005D7D25">
        <w:rPr>
          <w:rStyle w:val="Strong"/>
          <w:rFonts w:asciiTheme="minorHAnsi" w:hAnsiTheme="minorHAnsi"/>
          <w:b w:val="0"/>
          <w:color w:val="auto"/>
          <w:sz w:val="22"/>
          <w:szCs w:val="22"/>
        </w:rPr>
        <w:t xml:space="preserve"> ABS</w:t>
      </w:r>
      <w:r w:rsidR="00B924ED" w:rsidRPr="005D7D25">
        <w:rPr>
          <w:rStyle w:val="Strong"/>
          <w:rFonts w:asciiTheme="minorHAnsi" w:hAnsiTheme="minorHAnsi"/>
          <w:b w:val="0"/>
          <w:color w:val="auto"/>
          <w:sz w:val="22"/>
          <w:szCs w:val="22"/>
        </w:rPr>
        <w:t xml:space="preserve"> i</w:t>
      </w:r>
      <w:r w:rsidR="009C514A" w:rsidRPr="005D7D25">
        <w:rPr>
          <w:rStyle w:val="Strong"/>
          <w:rFonts w:asciiTheme="minorHAnsi" w:hAnsiTheme="minorHAnsi"/>
          <w:b w:val="0"/>
          <w:color w:val="auto"/>
          <w:sz w:val="22"/>
          <w:szCs w:val="22"/>
        </w:rPr>
        <w:t>nitial mail</w:t>
      </w:r>
      <w:r w:rsidR="00516FFB">
        <w:rPr>
          <w:rStyle w:val="Strong"/>
          <w:rFonts w:asciiTheme="minorHAnsi" w:hAnsiTheme="minorHAnsi"/>
          <w:b w:val="0"/>
          <w:color w:val="auto"/>
          <w:sz w:val="22"/>
          <w:szCs w:val="22"/>
        </w:rPr>
        <w:t>ing</w:t>
      </w:r>
      <w:r w:rsidR="009C514A" w:rsidRPr="005D7D25">
        <w:rPr>
          <w:rStyle w:val="Strong"/>
          <w:rFonts w:asciiTheme="minorHAnsi" w:hAnsiTheme="minorHAnsi"/>
          <w:b w:val="0"/>
          <w:color w:val="auto"/>
          <w:sz w:val="22"/>
          <w:szCs w:val="22"/>
        </w:rPr>
        <w:t xml:space="preserve"> </w:t>
      </w:r>
      <w:r w:rsidR="00E210C8" w:rsidRPr="005D7D25">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00112476" w:rsidRPr="005D7D25">
        <w:rPr>
          <w:rStyle w:val="Strong"/>
          <w:rFonts w:asciiTheme="minorHAnsi" w:hAnsiTheme="minorHAnsi"/>
          <w:b w:val="0"/>
          <w:color w:val="auto"/>
          <w:sz w:val="22"/>
          <w:szCs w:val="22"/>
        </w:rPr>
        <w:t>Ju</w:t>
      </w:r>
      <w:r w:rsidR="00516FFB">
        <w:rPr>
          <w:rStyle w:val="Strong"/>
          <w:rFonts w:asciiTheme="minorHAnsi" w:hAnsiTheme="minorHAnsi"/>
          <w:b w:val="0"/>
          <w:color w:val="auto"/>
          <w:sz w:val="22"/>
          <w:szCs w:val="22"/>
        </w:rPr>
        <w:t>ly</w:t>
      </w:r>
      <w:r w:rsidR="00112476" w:rsidRPr="005D7D25">
        <w:rPr>
          <w:rStyle w:val="Strong"/>
          <w:rFonts w:asciiTheme="minorHAnsi" w:hAnsiTheme="minorHAnsi"/>
          <w:b w:val="0"/>
          <w:color w:val="auto"/>
          <w:sz w:val="22"/>
          <w:szCs w:val="22"/>
        </w:rPr>
        <w:t xml:space="preserve"> </w:t>
      </w:r>
      <w:r w:rsidR="00DA2071" w:rsidRPr="005D7D25">
        <w:rPr>
          <w:rStyle w:val="Strong"/>
          <w:rFonts w:asciiTheme="minorHAnsi" w:hAnsiTheme="minorHAnsi"/>
          <w:b w:val="0"/>
          <w:color w:val="auto"/>
          <w:sz w:val="22"/>
          <w:szCs w:val="22"/>
        </w:rPr>
        <w:t>201</w:t>
      </w:r>
      <w:r w:rsidR="00516FFB">
        <w:rPr>
          <w:rStyle w:val="Strong"/>
          <w:rFonts w:asciiTheme="minorHAnsi" w:hAnsiTheme="minorHAnsi"/>
          <w:b w:val="0"/>
          <w:color w:val="auto"/>
          <w:sz w:val="22"/>
          <w:szCs w:val="22"/>
        </w:rPr>
        <w:t>9</w:t>
      </w:r>
      <w:r w:rsidR="009C514A" w:rsidRPr="005D7D25">
        <w:rPr>
          <w:rStyle w:val="Strong"/>
          <w:rFonts w:asciiTheme="minorHAnsi" w:hAnsiTheme="minorHAnsi"/>
          <w:b w:val="0"/>
          <w:color w:val="auto"/>
          <w:sz w:val="22"/>
          <w:szCs w:val="22"/>
        </w:rPr>
        <w:t xml:space="preserve">.  </w:t>
      </w:r>
      <w:r w:rsidR="003D35F4" w:rsidRPr="005D7D25">
        <w:rPr>
          <w:rStyle w:val="Strong"/>
          <w:rFonts w:asciiTheme="minorHAnsi" w:hAnsiTheme="minorHAnsi"/>
          <w:b w:val="0"/>
          <w:color w:val="auto"/>
          <w:sz w:val="22"/>
          <w:szCs w:val="22"/>
        </w:rPr>
        <w:t>Respon</w:t>
      </w:r>
      <w:r w:rsidR="008B1EA4" w:rsidRPr="005D7D25">
        <w:rPr>
          <w:rStyle w:val="Strong"/>
          <w:rFonts w:asciiTheme="minorHAnsi" w:hAnsiTheme="minorHAnsi"/>
          <w:b w:val="0"/>
          <w:color w:val="auto"/>
          <w:sz w:val="22"/>
          <w:szCs w:val="22"/>
        </w:rPr>
        <w:t xml:space="preserve">ses will be due approximately </w:t>
      </w:r>
      <w:r w:rsidR="001C686E">
        <w:rPr>
          <w:rStyle w:val="Strong"/>
          <w:rFonts w:asciiTheme="minorHAnsi" w:hAnsiTheme="minorHAnsi"/>
          <w:b w:val="0"/>
          <w:color w:val="auto"/>
          <w:sz w:val="22"/>
          <w:szCs w:val="22"/>
        </w:rPr>
        <w:t>3</w:t>
      </w:r>
      <w:r w:rsidR="008B1EA4" w:rsidRPr="005D7D25">
        <w:rPr>
          <w:rStyle w:val="Strong"/>
          <w:rFonts w:asciiTheme="minorHAnsi" w:hAnsiTheme="minorHAnsi"/>
          <w:b w:val="0"/>
          <w:color w:val="auto"/>
          <w:sz w:val="22"/>
          <w:szCs w:val="22"/>
        </w:rPr>
        <w:t>0</w:t>
      </w:r>
      <w:r w:rsidR="003D35F4" w:rsidRPr="005D7D25">
        <w:rPr>
          <w:rStyle w:val="Strong"/>
          <w:rFonts w:asciiTheme="minorHAnsi" w:hAnsiTheme="minorHAnsi"/>
          <w:b w:val="0"/>
          <w:color w:val="auto"/>
          <w:sz w:val="22"/>
          <w:szCs w:val="22"/>
        </w:rPr>
        <w:t xml:space="preserve"> days from initial mail</w:t>
      </w:r>
      <w:r w:rsidR="00516FFB">
        <w:rPr>
          <w:rStyle w:val="Strong"/>
          <w:rFonts w:asciiTheme="minorHAnsi" w:hAnsiTheme="minorHAnsi"/>
          <w:b w:val="0"/>
          <w:color w:val="auto"/>
          <w:sz w:val="22"/>
          <w:szCs w:val="22"/>
        </w:rPr>
        <w:t>ing</w:t>
      </w:r>
      <w:r w:rsidR="003D35F4" w:rsidRPr="005D7D25">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R</w:t>
      </w:r>
      <w:r w:rsidR="008B1EA4" w:rsidRPr="005D7D25">
        <w:rPr>
          <w:rStyle w:val="Strong"/>
          <w:rFonts w:asciiTheme="minorHAnsi" w:hAnsiTheme="minorHAnsi"/>
          <w:b w:val="0"/>
          <w:color w:val="auto"/>
          <w:sz w:val="22"/>
          <w:szCs w:val="22"/>
        </w:rPr>
        <w:t>es</w:t>
      </w:r>
      <w:r w:rsidR="00F7630F" w:rsidRPr="005D7D25">
        <w:rPr>
          <w:rStyle w:val="Strong"/>
          <w:rFonts w:asciiTheme="minorHAnsi" w:hAnsiTheme="minorHAnsi"/>
          <w:b w:val="0"/>
          <w:color w:val="auto"/>
          <w:sz w:val="22"/>
          <w:szCs w:val="22"/>
        </w:rPr>
        <w:t>pondents will</w:t>
      </w:r>
      <w:r w:rsidR="000D0ADD">
        <w:rPr>
          <w:rStyle w:val="Strong"/>
          <w:rFonts w:asciiTheme="minorHAnsi" w:hAnsiTheme="minorHAnsi"/>
          <w:b w:val="0"/>
          <w:color w:val="auto"/>
          <w:sz w:val="22"/>
          <w:szCs w:val="22"/>
        </w:rPr>
        <w:t xml:space="preserve"> also</w:t>
      </w:r>
      <w:r w:rsidR="00F7630F" w:rsidRPr="005D7D25">
        <w:rPr>
          <w:rStyle w:val="Strong"/>
          <w:rFonts w:asciiTheme="minorHAnsi" w:hAnsiTheme="minorHAnsi"/>
          <w:b w:val="0"/>
          <w:color w:val="auto"/>
          <w:sz w:val="22"/>
          <w:szCs w:val="22"/>
        </w:rPr>
        <w:t xml:space="preserve"> receive a due date reminder approximately one week before responses are due.  </w:t>
      </w:r>
      <w:r w:rsidR="000D0ADD">
        <w:rPr>
          <w:rStyle w:val="Strong"/>
          <w:rFonts w:asciiTheme="minorHAnsi" w:hAnsiTheme="minorHAnsi"/>
          <w:b w:val="0"/>
          <w:color w:val="auto"/>
          <w:sz w:val="22"/>
          <w:szCs w:val="22"/>
        </w:rPr>
        <w:t>The Census Bureau plans to conduct two follow-up mailing</w:t>
      </w:r>
      <w:r w:rsidR="00014225">
        <w:rPr>
          <w:rStyle w:val="Strong"/>
          <w:rFonts w:asciiTheme="minorHAnsi" w:hAnsiTheme="minorHAnsi"/>
          <w:b w:val="0"/>
          <w:color w:val="auto"/>
          <w:sz w:val="22"/>
          <w:szCs w:val="22"/>
        </w:rPr>
        <w:t>s</w:t>
      </w:r>
      <w:r w:rsidR="000D0ADD">
        <w:rPr>
          <w:rStyle w:val="Strong"/>
          <w:rFonts w:asciiTheme="minorHAnsi" w:hAnsiTheme="minorHAnsi"/>
          <w:b w:val="0"/>
          <w:color w:val="auto"/>
          <w:sz w:val="22"/>
          <w:szCs w:val="22"/>
        </w:rPr>
        <w:t xml:space="preserve"> and </w:t>
      </w:r>
      <w:r w:rsidR="001C686E">
        <w:rPr>
          <w:rStyle w:val="Strong"/>
          <w:rFonts w:asciiTheme="minorHAnsi" w:hAnsiTheme="minorHAnsi"/>
          <w:b w:val="0"/>
          <w:color w:val="auto"/>
          <w:sz w:val="22"/>
          <w:szCs w:val="22"/>
        </w:rPr>
        <w:t>an optional third follow-up if deemed necessary based on check-in.</w:t>
      </w:r>
      <w:r w:rsidR="00E210C8" w:rsidRPr="005D7D25">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N</w:t>
      </w:r>
      <w:r w:rsidR="008D28FC" w:rsidRPr="005D7D25">
        <w:rPr>
          <w:rStyle w:val="Strong"/>
          <w:rFonts w:asciiTheme="minorHAnsi" w:hAnsiTheme="minorHAnsi"/>
          <w:b w:val="0"/>
          <w:color w:val="auto"/>
          <w:sz w:val="22"/>
          <w:szCs w:val="22"/>
        </w:rPr>
        <w:t xml:space="preserve">onrespondents </w:t>
      </w:r>
      <w:r w:rsidR="00DA2071" w:rsidRPr="005D7D25">
        <w:rPr>
          <w:rStyle w:val="Strong"/>
          <w:rFonts w:asciiTheme="minorHAnsi" w:hAnsiTheme="minorHAnsi"/>
          <w:b w:val="0"/>
          <w:color w:val="auto"/>
          <w:sz w:val="22"/>
          <w:szCs w:val="22"/>
        </w:rPr>
        <w:t>may</w:t>
      </w:r>
      <w:r w:rsidR="008D28FC" w:rsidRPr="005D7D25">
        <w:rPr>
          <w:rStyle w:val="Strong"/>
          <w:rFonts w:asciiTheme="minorHAnsi" w:hAnsiTheme="minorHAnsi"/>
          <w:b w:val="0"/>
          <w:color w:val="auto"/>
          <w:sz w:val="22"/>
          <w:szCs w:val="22"/>
        </w:rPr>
        <w:t xml:space="preserve"> receive a certified mailing for the second</w:t>
      </w:r>
      <w:r w:rsidR="001C686E">
        <w:rPr>
          <w:rStyle w:val="Strong"/>
          <w:rFonts w:asciiTheme="minorHAnsi" w:hAnsiTheme="minorHAnsi"/>
          <w:b w:val="0"/>
          <w:color w:val="auto"/>
          <w:sz w:val="22"/>
          <w:szCs w:val="22"/>
        </w:rPr>
        <w:t xml:space="preserve"> and third</w:t>
      </w:r>
      <w:r w:rsidR="008D28FC" w:rsidRPr="005D7D25">
        <w:rPr>
          <w:rStyle w:val="Strong"/>
          <w:rFonts w:asciiTheme="minorHAnsi" w:hAnsiTheme="minorHAnsi"/>
          <w:b w:val="0"/>
          <w:color w:val="auto"/>
          <w:sz w:val="22"/>
          <w:szCs w:val="22"/>
        </w:rPr>
        <w:t xml:space="preserve"> follow-up</w:t>
      </w:r>
      <w:r w:rsidR="001C686E">
        <w:rPr>
          <w:rStyle w:val="Strong"/>
          <w:rFonts w:asciiTheme="minorHAnsi" w:hAnsiTheme="minorHAnsi"/>
          <w:b w:val="0"/>
          <w:color w:val="auto"/>
          <w:sz w:val="22"/>
          <w:szCs w:val="22"/>
        </w:rPr>
        <w:t xml:space="preserve"> mailings</w:t>
      </w:r>
      <w:r w:rsidR="008D28FC" w:rsidRPr="005D7D25">
        <w:rPr>
          <w:rStyle w:val="Strong"/>
          <w:rFonts w:asciiTheme="minorHAnsi" w:hAnsiTheme="minorHAnsi"/>
          <w:b w:val="0"/>
          <w:color w:val="auto"/>
          <w:sz w:val="22"/>
          <w:szCs w:val="22"/>
        </w:rPr>
        <w:t>.</w:t>
      </w:r>
      <w:r w:rsidR="00516FFB">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 xml:space="preserve"> The Census Bureau may also plan to conduct an email follow-up to select respondents </w:t>
      </w:r>
      <w:r w:rsidR="00516FFB">
        <w:rPr>
          <w:rStyle w:val="Strong"/>
          <w:rFonts w:asciiTheme="minorHAnsi" w:hAnsiTheme="minorHAnsi"/>
          <w:b w:val="0"/>
          <w:color w:val="auto"/>
          <w:sz w:val="22"/>
          <w:szCs w:val="22"/>
        </w:rPr>
        <w:t xml:space="preserve">reminding them to </w:t>
      </w:r>
      <w:r w:rsidR="001C686E">
        <w:rPr>
          <w:rStyle w:val="Strong"/>
          <w:rFonts w:asciiTheme="minorHAnsi" w:hAnsiTheme="minorHAnsi"/>
          <w:b w:val="0"/>
          <w:color w:val="auto"/>
          <w:sz w:val="22"/>
          <w:szCs w:val="22"/>
        </w:rPr>
        <w:t xml:space="preserve">submit their </w:t>
      </w:r>
      <w:r w:rsidR="00516FFB">
        <w:rPr>
          <w:rStyle w:val="Strong"/>
          <w:rFonts w:asciiTheme="minorHAnsi" w:hAnsiTheme="minorHAnsi"/>
          <w:b w:val="0"/>
          <w:color w:val="auto"/>
          <w:sz w:val="22"/>
          <w:szCs w:val="22"/>
        </w:rPr>
        <w:t xml:space="preserve">report </w:t>
      </w:r>
      <w:r w:rsidR="001C686E">
        <w:rPr>
          <w:rStyle w:val="Strong"/>
          <w:rFonts w:asciiTheme="minorHAnsi" w:hAnsiTheme="minorHAnsi"/>
          <w:b w:val="0"/>
          <w:color w:val="auto"/>
          <w:sz w:val="22"/>
          <w:szCs w:val="22"/>
        </w:rPr>
        <w:t>in the electronic instrument</w:t>
      </w:r>
      <w:r w:rsidR="00A94033">
        <w:rPr>
          <w:rStyle w:val="Strong"/>
          <w:rFonts w:asciiTheme="minorHAnsi" w:hAnsiTheme="minorHAnsi"/>
          <w:b w:val="0"/>
          <w:color w:val="auto"/>
          <w:sz w:val="22"/>
          <w:szCs w:val="22"/>
        </w:rPr>
        <w:t xml:space="preserve"> (see Attachment B)</w:t>
      </w:r>
      <w:r w:rsidR="00516FFB">
        <w:rPr>
          <w:rStyle w:val="Strong"/>
          <w:rFonts w:asciiTheme="minorHAnsi" w:hAnsiTheme="minorHAnsi"/>
          <w:b w:val="0"/>
          <w:color w:val="auto"/>
          <w:sz w:val="22"/>
          <w:szCs w:val="22"/>
        </w:rPr>
        <w:t>.</w:t>
      </w:r>
      <w:r w:rsidR="008D28FC" w:rsidRPr="005D7D25">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Closeout of mail operations is scheduled for </w:t>
      </w:r>
      <w:r w:rsidR="00112476" w:rsidRPr="005D7D25">
        <w:rPr>
          <w:rStyle w:val="Strong"/>
          <w:rFonts w:asciiTheme="minorHAnsi" w:hAnsiTheme="minorHAnsi"/>
          <w:b w:val="0"/>
          <w:color w:val="auto"/>
          <w:sz w:val="22"/>
          <w:szCs w:val="22"/>
        </w:rPr>
        <w:t>December</w:t>
      </w:r>
      <w:r w:rsidR="00E210C8" w:rsidRPr="005D7D25">
        <w:rPr>
          <w:rStyle w:val="Strong"/>
          <w:rFonts w:asciiTheme="minorHAnsi" w:hAnsiTheme="minorHAnsi"/>
          <w:b w:val="0"/>
          <w:color w:val="auto"/>
          <w:sz w:val="22"/>
          <w:szCs w:val="22"/>
        </w:rPr>
        <w:t xml:space="preserve"> </w:t>
      </w:r>
      <w:r w:rsidR="00A368B5" w:rsidRPr="005D7D25">
        <w:rPr>
          <w:rStyle w:val="Strong"/>
          <w:rFonts w:asciiTheme="minorHAnsi" w:hAnsiTheme="minorHAnsi"/>
          <w:b w:val="0"/>
          <w:color w:val="auto"/>
          <w:sz w:val="22"/>
          <w:szCs w:val="22"/>
        </w:rPr>
        <w:t>201</w:t>
      </w:r>
      <w:r w:rsidR="00516FFB">
        <w:rPr>
          <w:rStyle w:val="Strong"/>
          <w:rFonts w:asciiTheme="minorHAnsi" w:hAnsiTheme="minorHAnsi"/>
          <w:b w:val="0"/>
          <w:color w:val="auto"/>
          <w:sz w:val="22"/>
          <w:szCs w:val="22"/>
        </w:rPr>
        <w:t>9</w:t>
      </w:r>
      <w:r w:rsidRPr="005D7D25">
        <w:rPr>
          <w:rStyle w:val="Strong"/>
          <w:rFonts w:asciiTheme="minorHAnsi" w:hAnsiTheme="minorHAnsi"/>
          <w:b w:val="0"/>
          <w:color w:val="auto"/>
          <w:sz w:val="22"/>
          <w:szCs w:val="22"/>
        </w:rPr>
        <w:t xml:space="preserve">.  Upon </w:t>
      </w:r>
      <w:r w:rsidR="00DA69B2" w:rsidRPr="005D7D25">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00DA69B2" w:rsidRPr="005D7D25">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the response data will be </w:t>
      </w:r>
      <w:r w:rsidR="009C514A" w:rsidRPr="005D7D25">
        <w:rPr>
          <w:rStyle w:val="Strong"/>
          <w:rFonts w:asciiTheme="minorHAnsi" w:hAnsiTheme="minorHAnsi"/>
          <w:b w:val="0"/>
          <w:color w:val="auto"/>
          <w:sz w:val="22"/>
          <w:szCs w:val="22"/>
        </w:rPr>
        <w:t xml:space="preserve">processed, </w:t>
      </w:r>
      <w:r w:rsidRPr="005D7D25">
        <w:rPr>
          <w:rStyle w:val="Strong"/>
          <w:rFonts w:asciiTheme="minorHAnsi" w:hAnsiTheme="minorHAnsi"/>
          <w:b w:val="0"/>
          <w:color w:val="auto"/>
          <w:sz w:val="22"/>
          <w:szCs w:val="22"/>
        </w:rPr>
        <w:t>edited</w:t>
      </w:r>
      <w:r w:rsidR="004240B6" w:rsidRPr="005D7D25">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009C514A" w:rsidRPr="005D7D25">
        <w:rPr>
          <w:rStyle w:val="Strong"/>
          <w:rFonts w:asciiTheme="minorHAnsi" w:hAnsiTheme="minorHAnsi"/>
          <w:b w:val="0"/>
          <w:color w:val="auto"/>
          <w:sz w:val="22"/>
          <w:szCs w:val="22"/>
        </w:rPr>
        <w:t>, tabulated, and released publicly</w:t>
      </w:r>
      <w:r w:rsidRPr="005D7D25">
        <w:rPr>
          <w:rStyle w:val="Strong"/>
          <w:rFonts w:asciiTheme="minorHAnsi" w:hAnsiTheme="minorHAnsi"/>
          <w:b w:val="0"/>
          <w:color w:val="auto"/>
          <w:sz w:val="22"/>
          <w:szCs w:val="22"/>
        </w:rPr>
        <w:t>.</w:t>
      </w:r>
    </w:p>
    <w:p w14:paraId="0CC5BAB6" w14:textId="24078441" w:rsidR="00D26617" w:rsidRPr="005D7D25" w:rsidRDefault="00D26617" w:rsidP="00BF79E6">
      <w:pPr>
        <w:pStyle w:val="NormalWeb"/>
        <w:ind w:left="360"/>
        <w:rPr>
          <w:rStyle w:val="Strong"/>
          <w:rFonts w:asciiTheme="minorHAnsi" w:hAnsiTheme="minorHAnsi"/>
          <w:b w:val="0"/>
          <w:sz w:val="22"/>
          <w:szCs w:val="22"/>
          <w:u w:val="single"/>
        </w:rPr>
      </w:pPr>
      <w:r>
        <w:rPr>
          <w:rStyle w:val="Strong"/>
          <w:rFonts w:asciiTheme="minorHAnsi" w:hAnsiTheme="minorHAnsi"/>
          <w:b w:val="0"/>
          <w:color w:val="auto"/>
          <w:sz w:val="22"/>
          <w:szCs w:val="22"/>
        </w:rPr>
        <w:t>Starting with the 2019 calendar year, the Annual Business Survey will use the collection year in the survey name</w:t>
      </w:r>
      <w:r w:rsidR="00B957DB">
        <w:rPr>
          <w:rStyle w:val="Strong"/>
          <w:rFonts w:asciiTheme="minorHAnsi" w:hAnsiTheme="minorHAnsi"/>
          <w:b w:val="0"/>
          <w:color w:val="auto"/>
          <w:sz w:val="22"/>
          <w:szCs w:val="22"/>
        </w:rPr>
        <w:t xml:space="preserve"> rather than a single reference year</w:t>
      </w:r>
      <w:r>
        <w:rPr>
          <w:rStyle w:val="Strong"/>
          <w:rFonts w:asciiTheme="minorHAnsi" w:hAnsiTheme="minorHAnsi"/>
          <w:b w:val="0"/>
          <w:color w:val="auto"/>
          <w:sz w:val="22"/>
          <w:szCs w:val="22"/>
        </w:rPr>
        <w:t xml:space="preserve">.  </w:t>
      </w:r>
      <w:r w:rsidR="00B957DB">
        <w:rPr>
          <w:rStyle w:val="Strong"/>
          <w:rFonts w:asciiTheme="minorHAnsi" w:hAnsiTheme="minorHAnsi"/>
          <w:b w:val="0"/>
          <w:color w:val="auto"/>
          <w:sz w:val="22"/>
          <w:szCs w:val="22"/>
        </w:rPr>
        <w:t>The ABS includes questions from multiple reference periods and Census felt this change would better reflect the collection cycle of the survey.  Therefore, the 2019 collection will be referred to as the 2019 Annual Business Survey</w:t>
      </w:r>
      <w:r w:rsidR="003A3155">
        <w:rPr>
          <w:rStyle w:val="Strong"/>
          <w:rFonts w:asciiTheme="minorHAnsi" w:hAnsiTheme="minorHAnsi"/>
          <w:b w:val="0"/>
          <w:color w:val="auto"/>
          <w:sz w:val="22"/>
          <w:szCs w:val="22"/>
        </w:rPr>
        <w:t xml:space="preserve"> (rather than the 2018 Annual Business Survey)</w:t>
      </w:r>
      <w:r w:rsidR="00B957DB">
        <w:rPr>
          <w:rStyle w:val="Strong"/>
          <w:rFonts w:asciiTheme="minorHAnsi" w:hAnsiTheme="minorHAnsi"/>
          <w:b w:val="0"/>
          <w:color w:val="auto"/>
          <w:sz w:val="22"/>
          <w:szCs w:val="22"/>
        </w:rPr>
        <w:t xml:space="preserve">.  </w:t>
      </w:r>
    </w:p>
    <w:p w14:paraId="092DB7B7" w14:textId="77777777" w:rsidR="00C76F5D" w:rsidRPr="00546A24" w:rsidRDefault="00C76F5D"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14:paraId="22D43E18" w14:textId="3C5A3CE2" w:rsidR="00F80500" w:rsidRPr="00C323EE" w:rsidRDefault="00E67360" w:rsidP="00F80500">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 xml:space="preserve">Statistics from the ABS will be used by government program officials, industry organization leaders, economic and social analysts, business entrepreneurs, and domestic and foreign researchers in academia, business, and government. Estimates produced on owner demographic data may be used to assess business assistance needs, allocate available program resources, and create a framework </w:t>
      </w:r>
      <w:r w:rsidRPr="00E67360">
        <w:rPr>
          <w:rStyle w:val="Strong"/>
          <w:rFonts w:asciiTheme="minorHAnsi" w:hAnsiTheme="minorHAnsi"/>
          <w:b w:val="0"/>
          <w:color w:val="auto"/>
          <w:sz w:val="22"/>
          <w:szCs w:val="22"/>
        </w:rPr>
        <w:lastRenderedPageBreak/>
        <w:t xml:space="preserve">for planning, directing, and assessing programs that promote the activities of disadvantaged groups; to assess minority-owned businesses by industry and area and to educate industry associations, corporations, and government entities; to analyze business operations in comparison to similar firms, compute market share, and assess business growth and future prospects.  Estimates produced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to compare business innovation in the United States to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3C494D">
        <w:rPr>
          <w:rStyle w:val="Strong"/>
          <w:rFonts w:asciiTheme="minorHAnsi" w:hAnsiTheme="minorHAnsi"/>
          <w:b w:val="0"/>
          <w:color w:val="auto"/>
          <w:sz w:val="22"/>
          <w:szCs w:val="22"/>
        </w:rPr>
        <w:t>, including those</w:t>
      </w:r>
      <w:r w:rsidRPr="00E67360">
        <w:rPr>
          <w:rStyle w:val="Strong"/>
          <w:rFonts w:asciiTheme="minorHAnsi" w:hAnsiTheme="minorHAnsi"/>
          <w:b w:val="0"/>
          <w:color w:val="auto"/>
          <w:sz w:val="22"/>
          <w:szCs w:val="22"/>
        </w:rPr>
        <w:t xml:space="preserve"> in the European Union.</w:t>
      </w:r>
    </w:p>
    <w:p w14:paraId="0A942C37" w14:textId="6F8B6E70" w:rsidR="00742537" w:rsidRPr="00076AC4" w:rsidRDefault="00742537" w:rsidP="00742537">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p>
    <w:p w14:paraId="7170FEFD" w14:textId="77777777" w:rsidR="00742537" w:rsidRPr="009E6EC2"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14:paraId="16F314EB" w14:textId="77777777" w:rsidR="00742537" w:rsidRPr="00DC1289"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14:paraId="06762928" w14:textId="77777777" w:rsidR="00742537" w:rsidRPr="00F736EE"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14:paraId="7E159654" w14:textId="77777777" w:rsidR="00742537" w:rsidRPr="007A175B" w:rsidRDefault="00742537" w:rsidP="0074253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14:paraId="1D351A91" w14:textId="77777777" w:rsidR="00742537" w:rsidRPr="00436F91" w:rsidRDefault="00742537" w:rsidP="0074253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14:paraId="2876110B" w14:textId="019B080A" w:rsidR="00F80500" w:rsidRDefault="00742537" w:rsidP="00742537">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14:paraId="339027EC" w14:textId="77777777" w:rsidR="00742537" w:rsidRPr="00C323EE" w:rsidRDefault="00742537" w:rsidP="00742537">
      <w:pPr>
        <w:pStyle w:val="NormalWeb"/>
        <w:ind w:left="720" w:hanging="360"/>
        <w:contextualSpacing/>
        <w:rPr>
          <w:rStyle w:val="Strong"/>
          <w:rFonts w:asciiTheme="minorHAnsi" w:hAnsiTheme="minorHAnsi"/>
          <w:b w:val="0"/>
          <w:color w:val="auto"/>
          <w:sz w:val="22"/>
          <w:szCs w:val="22"/>
        </w:rPr>
      </w:pPr>
    </w:p>
    <w:p w14:paraId="4A9B35FC" w14:textId="30CFCB0F" w:rsidR="00D004D5" w:rsidRDefault="00D004D5" w:rsidP="00742537">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questions on the 201</w:t>
      </w:r>
      <w:r w:rsidR="00E16A6D">
        <w:rPr>
          <w:rStyle w:val="Strong"/>
          <w:rFonts w:asciiTheme="minorHAnsi" w:hAnsiTheme="minorHAnsi"/>
          <w:b w:val="0"/>
          <w:color w:val="auto"/>
          <w:sz w:val="22"/>
          <w:szCs w:val="22"/>
        </w:rPr>
        <w:t>9</w:t>
      </w:r>
      <w:r>
        <w:rPr>
          <w:rStyle w:val="Strong"/>
          <w:rFonts w:asciiTheme="minorHAnsi" w:hAnsiTheme="minorHAnsi"/>
          <w:b w:val="0"/>
          <w:color w:val="auto"/>
          <w:sz w:val="22"/>
          <w:szCs w:val="22"/>
        </w:rPr>
        <w:t xml:space="preserve"> ABS for technology will measure the effect of technology on the workforce including, the number of workers and the skill mix of workers.</w:t>
      </w:r>
    </w:p>
    <w:p w14:paraId="7E2B85C6" w14:textId="4975E33B" w:rsidR="006B6E84" w:rsidRDefault="00F80500" w:rsidP="00742537">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pre-dissemination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008A7BE4" w:rsidRPr="00C323EE">
        <w:rPr>
          <w:rFonts w:asciiTheme="minorHAnsi" w:hAnsiTheme="minorHAnsi"/>
          <w:sz w:val="22"/>
          <w:szCs w:val="22"/>
        </w:rPr>
        <w:t>at</w:t>
      </w:r>
      <w:r w:rsidRPr="00C323EE">
        <w:rPr>
          <w:rFonts w:asciiTheme="minorHAnsi" w:hAnsiTheme="minorHAnsi"/>
          <w:sz w:val="22"/>
          <w:szCs w:val="22"/>
        </w:rPr>
        <w:t xml:space="preserve"> </w:t>
      </w:r>
      <w:hyperlink r:id="rId9" w:history="1">
        <w:r w:rsidR="00851A90" w:rsidRPr="00C323EE">
          <w:rPr>
            <w:rStyle w:val="Hyperlink"/>
            <w:rFonts w:asciiTheme="minorHAnsi" w:hAnsiTheme="minorHAnsi"/>
            <w:sz w:val="22"/>
            <w:szCs w:val="22"/>
          </w:rPr>
          <w:t>http://www.</w:t>
        </w:r>
        <w:r w:rsidR="00851A90" w:rsidRPr="006B6E10">
          <w:rPr>
            <w:rStyle w:val="Hyperlink"/>
            <w:rFonts w:asciiTheme="minorHAnsi" w:hAnsiTheme="minorHAnsi"/>
            <w:sz w:val="22"/>
            <w:szCs w:val="22"/>
          </w:rPr>
          <w:t>census.</w:t>
        </w:r>
        <w:r w:rsidR="00851A90" w:rsidRPr="00C323EE">
          <w:rPr>
            <w:rStyle w:val="Hyperlink"/>
            <w:rFonts w:asciiTheme="minorHAnsi" w:hAnsiTheme="minorHAnsi"/>
            <w:sz w:val="22"/>
            <w:szCs w:val="22"/>
          </w:rPr>
          <w:t>gov/quality/guidelines/index.html</w:t>
        </w:r>
      </w:hyperlink>
      <w:r w:rsidRPr="00C323EE">
        <w:rPr>
          <w:rFonts w:asciiTheme="minorHAnsi" w:hAnsiTheme="minorHAnsi"/>
          <w:sz w:val="22"/>
          <w:szCs w:val="22"/>
        </w:rPr>
        <w:t xml:space="preserve">.  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p>
    <w:p w14:paraId="485C1D0C" w14:textId="4B9D06EB" w:rsidR="00C76F5D" w:rsidRPr="00546A24" w:rsidRDefault="00CB6234" w:rsidP="00865B4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14:paraId="10D33891" w14:textId="5F261894" w:rsidR="00CB6234" w:rsidRPr="00DC1289" w:rsidRDefault="00187C27" w:rsidP="007553C6">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00251042" w:rsidRPr="00546A24">
        <w:rPr>
          <w:rStyle w:val="Strong"/>
          <w:rFonts w:asciiTheme="minorHAnsi" w:hAnsiTheme="minorHAnsi"/>
          <w:b w:val="0"/>
          <w:color w:val="auto"/>
          <w:sz w:val="22"/>
          <w:szCs w:val="22"/>
        </w:rPr>
        <w:t>is</w:t>
      </w:r>
      <w:r w:rsidR="00FC1EDD" w:rsidRPr="00546A24">
        <w:rPr>
          <w:rStyle w:val="Strong"/>
          <w:rFonts w:asciiTheme="minorHAnsi" w:hAnsiTheme="minorHAnsi"/>
          <w:b w:val="0"/>
          <w:color w:val="auto"/>
          <w:sz w:val="22"/>
          <w:szCs w:val="22"/>
        </w:rPr>
        <w:t xml:space="preserve"> collected via</w:t>
      </w:r>
      <w:r w:rsidR="00251042" w:rsidRPr="00546A2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reporting </w:t>
      </w:r>
      <w:r w:rsidR="00FC1EDD" w:rsidRPr="00546A24">
        <w:rPr>
          <w:rStyle w:val="Strong"/>
          <w:rFonts w:asciiTheme="minorHAnsi" w:hAnsiTheme="minorHAnsi"/>
          <w:b w:val="0"/>
          <w:color w:val="auto"/>
          <w:sz w:val="22"/>
          <w:szCs w:val="22"/>
        </w:rPr>
        <w:t>system</w:t>
      </w:r>
      <w:r w:rsidRPr="00546A24">
        <w:rPr>
          <w:rStyle w:val="Strong"/>
          <w:rFonts w:asciiTheme="minorHAnsi" w:hAnsiTheme="minorHAnsi"/>
          <w:b w:val="0"/>
          <w:color w:val="auto"/>
          <w:sz w:val="22"/>
          <w:szCs w:val="22"/>
        </w:rPr>
        <w:t xml:space="preserve">.  Businesses </w:t>
      </w:r>
      <w:r w:rsidR="00251042" w:rsidRPr="00546A24">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000C7A8E" w:rsidRPr="00546A24">
        <w:rPr>
          <w:rStyle w:val="Strong"/>
          <w:rFonts w:asciiTheme="minorHAnsi" w:hAnsiTheme="minorHAnsi"/>
          <w:b w:val="0"/>
          <w:color w:val="auto"/>
          <w:sz w:val="22"/>
          <w:szCs w:val="22"/>
        </w:rPr>
        <w:t>log</w:t>
      </w:r>
      <w:r w:rsidR="00D355DD" w:rsidRPr="00546A24">
        <w:rPr>
          <w:rStyle w:val="Strong"/>
          <w:rFonts w:asciiTheme="minorHAnsi" w:hAnsiTheme="minorHAnsi"/>
          <w:b w:val="0"/>
          <w:color w:val="auto"/>
          <w:sz w:val="22"/>
          <w:szCs w:val="22"/>
        </w:rPr>
        <w:t>-</w:t>
      </w:r>
      <w:r w:rsidR="000C7A8E" w:rsidRPr="00546A24">
        <w:rPr>
          <w:rStyle w:val="Strong"/>
          <w:rFonts w:asciiTheme="minorHAnsi" w:hAnsiTheme="minorHAnsi"/>
          <w:b w:val="0"/>
          <w:color w:val="auto"/>
          <w:sz w:val="22"/>
          <w:szCs w:val="22"/>
        </w:rPr>
        <w:t>in</w:t>
      </w:r>
      <w:r w:rsidR="00C713D5">
        <w:rPr>
          <w:rStyle w:val="Strong"/>
          <w:rFonts w:asciiTheme="minorHAnsi" w:hAnsiTheme="minorHAnsi"/>
          <w:b w:val="0"/>
          <w:color w:val="auto"/>
          <w:sz w:val="22"/>
          <w:szCs w:val="22"/>
        </w:rPr>
        <w:t xml:space="preserve"> instructions</w:t>
      </w:r>
      <w:r w:rsidRPr="00546A24">
        <w:rPr>
          <w:rStyle w:val="Strong"/>
          <w:rFonts w:asciiTheme="minorHAnsi" w:hAnsiTheme="minorHAnsi"/>
          <w:b w:val="0"/>
          <w:color w:val="auto"/>
          <w:sz w:val="22"/>
          <w:szCs w:val="22"/>
        </w:rPr>
        <w:t xml:space="preserve"> to access the </w:t>
      </w:r>
      <w:r w:rsidR="00882AF6" w:rsidRPr="00546A24">
        <w:rPr>
          <w:rStyle w:val="Strong"/>
          <w:rFonts w:asciiTheme="minorHAnsi" w:hAnsiTheme="minorHAnsi"/>
          <w:b w:val="0"/>
          <w:color w:val="auto"/>
          <w:sz w:val="22"/>
          <w:szCs w:val="22"/>
        </w:rPr>
        <w:t xml:space="preserve">secure electronic reporting </w:t>
      </w:r>
      <w:r w:rsidR="00FC1EDD" w:rsidRPr="00546A24">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00CB6234" w:rsidRPr="00546A24">
        <w:rPr>
          <w:rStyle w:val="Strong"/>
          <w:rFonts w:asciiTheme="minorHAnsi" w:hAnsiTheme="minorHAnsi"/>
          <w:b w:val="0"/>
          <w:color w:val="auto"/>
          <w:sz w:val="22"/>
          <w:szCs w:val="22"/>
        </w:rPr>
        <w:t>Centurion – Internet Data Collection System.</w:t>
      </w:r>
      <w:r w:rsidR="003368EB" w:rsidRPr="00546A24">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system </w:t>
      </w:r>
      <w:r w:rsidR="003368EB" w:rsidRPr="00546A24">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003368EB" w:rsidRPr="00546A24">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003368EB" w:rsidRPr="00546A24">
        <w:rPr>
          <w:rStyle w:val="Strong"/>
          <w:rFonts w:asciiTheme="minorHAnsi" w:hAnsiTheme="minorHAnsi"/>
          <w:b w:val="0"/>
          <w:color w:val="auto"/>
          <w:sz w:val="22"/>
          <w:szCs w:val="22"/>
        </w:rPr>
        <w:t>save and continue</w:t>
      </w:r>
      <w:r w:rsidR="00742537">
        <w:rPr>
          <w:rStyle w:val="Strong"/>
          <w:rFonts w:asciiTheme="minorHAnsi" w:hAnsiTheme="minorHAnsi"/>
          <w:b w:val="0"/>
          <w:color w:val="auto"/>
          <w:sz w:val="22"/>
          <w:szCs w:val="22"/>
        </w:rPr>
        <w:t>’</w:t>
      </w:r>
      <w:r w:rsidR="009E6EC2">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 xml:space="preserve">  S</w:t>
      </w:r>
      <w:r w:rsidR="00742537" w:rsidRPr="00546A24">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00742537" w:rsidRPr="00546A24">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00742537" w:rsidRPr="00546A24">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00742537" w:rsidRPr="00546A24">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742537">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(see </w:t>
      </w:r>
      <w:r w:rsidR="00C03001">
        <w:rPr>
          <w:rStyle w:val="Strong"/>
          <w:rFonts w:asciiTheme="minorHAnsi" w:hAnsiTheme="minorHAnsi"/>
          <w:b w:val="0"/>
          <w:color w:val="auto"/>
          <w:sz w:val="22"/>
          <w:szCs w:val="22"/>
        </w:rPr>
        <w:t>A</w:t>
      </w:r>
      <w:r w:rsidR="006E47F3">
        <w:rPr>
          <w:rStyle w:val="Strong"/>
          <w:rFonts w:asciiTheme="minorHAnsi" w:hAnsiTheme="minorHAnsi"/>
          <w:b w:val="0"/>
          <w:color w:val="auto"/>
          <w:sz w:val="22"/>
          <w:szCs w:val="22"/>
        </w:rPr>
        <w:t xml:space="preserve">ttachments </w:t>
      </w:r>
      <w:r w:rsidR="00C03001">
        <w:rPr>
          <w:rStyle w:val="Strong"/>
          <w:rFonts w:asciiTheme="minorHAnsi" w:hAnsiTheme="minorHAnsi"/>
          <w:b w:val="0"/>
          <w:color w:val="auto"/>
          <w:sz w:val="22"/>
          <w:szCs w:val="22"/>
        </w:rPr>
        <w:t>C</w:t>
      </w:r>
      <w:r w:rsidR="006E47F3">
        <w:rPr>
          <w:rStyle w:val="Strong"/>
          <w:rFonts w:asciiTheme="minorHAnsi" w:hAnsiTheme="minorHAnsi"/>
          <w:b w:val="0"/>
          <w:color w:val="auto"/>
          <w:sz w:val="22"/>
          <w:szCs w:val="22"/>
        </w:rPr>
        <w:t>)</w:t>
      </w:r>
      <w:r w:rsidR="00D5148F">
        <w:rPr>
          <w:rStyle w:val="Strong"/>
          <w:rFonts w:asciiTheme="minorHAnsi" w:hAnsiTheme="minorHAnsi"/>
          <w:b w:val="0"/>
          <w:color w:val="auto"/>
          <w:sz w:val="22"/>
          <w:szCs w:val="22"/>
        </w:rPr>
        <w:t xml:space="preserve">.  </w:t>
      </w:r>
      <w:r w:rsidR="00882AF6" w:rsidRPr="009E6EC2">
        <w:rPr>
          <w:rStyle w:val="Strong"/>
          <w:rFonts w:asciiTheme="minorHAnsi" w:hAnsiTheme="minorHAnsi"/>
          <w:b w:val="0"/>
          <w:color w:val="auto"/>
          <w:sz w:val="22"/>
          <w:szCs w:val="22"/>
        </w:rPr>
        <w:t xml:space="preserve">Once a respondent has completed </w:t>
      </w:r>
      <w:r w:rsidR="005972F3" w:rsidRPr="009E6EC2">
        <w:rPr>
          <w:rStyle w:val="Strong"/>
          <w:rFonts w:asciiTheme="minorHAnsi" w:hAnsiTheme="minorHAnsi"/>
          <w:b w:val="0"/>
          <w:color w:val="auto"/>
          <w:sz w:val="22"/>
          <w:szCs w:val="22"/>
        </w:rPr>
        <w:t xml:space="preserve">the </w:t>
      </w:r>
      <w:r w:rsidR="00882AF6" w:rsidRPr="009E6EC2">
        <w:rPr>
          <w:rStyle w:val="Strong"/>
          <w:rFonts w:asciiTheme="minorHAnsi" w:hAnsiTheme="minorHAnsi"/>
          <w:b w:val="0"/>
          <w:color w:val="auto"/>
          <w:sz w:val="22"/>
          <w:szCs w:val="22"/>
        </w:rPr>
        <w:t>online survey, a PDF copy of the responses may be printed or sav</w:t>
      </w:r>
      <w:r w:rsidR="00882AF6" w:rsidRPr="00DC1289">
        <w:rPr>
          <w:rStyle w:val="Strong"/>
          <w:rFonts w:asciiTheme="minorHAnsi" w:hAnsiTheme="minorHAnsi"/>
          <w:b w:val="0"/>
          <w:color w:val="auto"/>
          <w:sz w:val="22"/>
          <w:szCs w:val="22"/>
        </w:rPr>
        <w:t>ed for business records</w:t>
      </w:r>
      <w:r w:rsidR="005972F3" w:rsidRP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The electronic reporting </w:t>
      </w:r>
      <w:r w:rsidR="009E6EC2">
        <w:rPr>
          <w:rStyle w:val="Strong"/>
          <w:rFonts w:asciiTheme="minorHAnsi" w:hAnsiTheme="minorHAnsi"/>
          <w:b w:val="0"/>
          <w:color w:val="auto"/>
          <w:sz w:val="22"/>
          <w:szCs w:val="22"/>
        </w:rPr>
        <w:t>system</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008A7BE4" w:rsidRPr="009E6EC2">
        <w:rPr>
          <w:rStyle w:val="Strong"/>
          <w:rFonts w:asciiTheme="minorHAnsi" w:hAnsiTheme="minorHAnsi"/>
          <w:b w:val="0"/>
          <w:color w:val="auto"/>
          <w:sz w:val="22"/>
          <w:szCs w:val="22"/>
        </w:rPr>
        <w:t xml:space="preserve"> edits</w:t>
      </w:r>
      <w:r w:rsidR="003368EB" w:rsidRPr="009E6EC2">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003368EB" w:rsidRPr="009E6EC2">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003368EB" w:rsidRPr="009E6EC2">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008A7BE4" w:rsidRPr="009E6EC2">
        <w:rPr>
          <w:rStyle w:val="Strong"/>
          <w:rFonts w:asciiTheme="minorHAnsi" w:hAnsiTheme="minorHAnsi"/>
          <w:b w:val="0"/>
          <w:color w:val="auto"/>
          <w:sz w:val="22"/>
          <w:szCs w:val="22"/>
        </w:rPr>
        <w:t>their</w:t>
      </w:r>
      <w:r w:rsidR="003368EB" w:rsidRPr="009E6EC2">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  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008A7BE4" w:rsidRPr="009E6EC2">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respondents. </w:t>
      </w:r>
      <w:r w:rsidR="003368EB" w:rsidRPr="009E6EC2">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system </w:t>
      </w:r>
      <w:r w:rsidR="003368EB" w:rsidRPr="00DC1289">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003368EB" w:rsidRPr="00DC1289">
        <w:rPr>
          <w:rStyle w:val="Strong"/>
          <w:rFonts w:asciiTheme="minorHAnsi" w:hAnsiTheme="minorHAnsi"/>
          <w:b w:val="0"/>
          <w:color w:val="auto"/>
          <w:sz w:val="22"/>
          <w:szCs w:val="22"/>
        </w:rPr>
        <w:t xml:space="preserve"> progress and allows them to </w:t>
      </w:r>
      <w:r w:rsidR="00D82937" w:rsidRPr="00DC1289">
        <w:rPr>
          <w:rStyle w:val="Strong"/>
          <w:rFonts w:asciiTheme="minorHAnsi" w:hAnsiTheme="minorHAnsi"/>
          <w:b w:val="0"/>
          <w:color w:val="auto"/>
          <w:sz w:val="22"/>
          <w:szCs w:val="22"/>
        </w:rPr>
        <w:t xml:space="preserve">return </w:t>
      </w:r>
      <w:r w:rsidR="008118B9" w:rsidRPr="00DC128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008118B9" w:rsidRPr="00DC1289">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complete the survey. The </w:t>
      </w:r>
      <w:r w:rsidR="00DC1289">
        <w:rPr>
          <w:rStyle w:val="Strong"/>
          <w:rFonts w:asciiTheme="minorHAnsi" w:hAnsiTheme="minorHAnsi"/>
          <w:b w:val="0"/>
          <w:color w:val="auto"/>
          <w:sz w:val="22"/>
          <w:szCs w:val="22"/>
        </w:rPr>
        <w:t xml:space="preserve">electronic reporting </w:t>
      </w:r>
      <w:r w:rsidR="00D82937" w:rsidRPr="00DC1289">
        <w:rPr>
          <w:rStyle w:val="Strong"/>
          <w:rFonts w:asciiTheme="minorHAnsi" w:hAnsiTheme="minorHAnsi"/>
          <w:b w:val="0"/>
          <w:color w:val="auto"/>
          <w:sz w:val="22"/>
          <w:szCs w:val="22"/>
        </w:rPr>
        <w:t>system also generates an error page prior to submission that indicates</w:t>
      </w:r>
      <w:r w:rsidR="00C62D1B">
        <w:rPr>
          <w:rStyle w:val="Strong"/>
          <w:rFonts w:asciiTheme="minorHAnsi" w:hAnsiTheme="minorHAnsi"/>
          <w:b w:val="0"/>
          <w:color w:val="auto"/>
          <w:sz w:val="22"/>
          <w:szCs w:val="22"/>
        </w:rPr>
        <w:t xml:space="preserve"> if </w:t>
      </w:r>
      <w:r w:rsidR="00D82937" w:rsidRPr="00DC1289">
        <w:rPr>
          <w:rStyle w:val="Strong"/>
          <w:rFonts w:asciiTheme="minorHAnsi" w:hAnsiTheme="minorHAnsi"/>
          <w:b w:val="0"/>
          <w:color w:val="auto"/>
          <w:sz w:val="22"/>
          <w:szCs w:val="22"/>
        </w:rPr>
        <w:t xml:space="preserve">a respondent needs to revisit a page </w:t>
      </w:r>
      <w:r w:rsidR="00851A90">
        <w:rPr>
          <w:rStyle w:val="Strong"/>
          <w:rFonts w:asciiTheme="minorHAnsi" w:hAnsiTheme="minorHAnsi"/>
          <w:b w:val="0"/>
          <w:color w:val="auto"/>
          <w:sz w:val="22"/>
          <w:szCs w:val="22"/>
        </w:rPr>
        <w:t>to</w:t>
      </w:r>
      <w:r w:rsidR="00D82937" w:rsidRPr="00DC1289">
        <w:rPr>
          <w:rStyle w:val="Strong"/>
          <w:rFonts w:asciiTheme="minorHAnsi" w:hAnsiTheme="minorHAnsi"/>
          <w:b w:val="0"/>
          <w:color w:val="auto"/>
          <w:sz w:val="22"/>
          <w:szCs w:val="22"/>
        </w:rPr>
        <w:t xml:space="preserve"> make a correction. </w:t>
      </w:r>
    </w:p>
    <w:p w14:paraId="4C41BA92" w14:textId="083B711D" w:rsidR="004E1FA1" w:rsidRPr="00483258" w:rsidRDefault="000F2A9A" w:rsidP="00B91F59">
      <w:pPr>
        <w:pStyle w:val="NormalWeb"/>
        <w:ind w:left="360"/>
        <w:rPr>
          <w:rStyle w:val="Strong"/>
          <w:rFonts w:asciiTheme="minorHAnsi" w:hAnsiTheme="minorHAnsi"/>
          <w:b w:val="0"/>
          <w:color w:val="auto"/>
          <w:sz w:val="22"/>
          <w:szCs w:val="22"/>
        </w:rPr>
      </w:pPr>
      <w:r w:rsidRPr="00DC1289">
        <w:rPr>
          <w:rStyle w:val="Strong"/>
          <w:rFonts w:asciiTheme="minorHAnsi" w:hAnsiTheme="minorHAnsi"/>
          <w:b w:val="0"/>
          <w:sz w:val="22"/>
          <w:szCs w:val="22"/>
        </w:rPr>
        <w:t>By implementing an electronic</w:t>
      </w:r>
      <w:r w:rsidR="00A96174" w:rsidRPr="00F736EE">
        <w:rPr>
          <w:rStyle w:val="Strong"/>
          <w:rFonts w:asciiTheme="minorHAnsi" w:hAnsiTheme="minorHAnsi"/>
          <w:b w:val="0"/>
          <w:sz w:val="22"/>
          <w:szCs w:val="22"/>
        </w:rPr>
        <w:t>-</w:t>
      </w:r>
      <w:r w:rsidRPr="00F736EE">
        <w:rPr>
          <w:rStyle w:val="Strong"/>
          <w:rFonts w:asciiTheme="minorHAnsi" w:hAnsiTheme="minorHAnsi"/>
          <w:b w:val="0"/>
          <w:sz w:val="22"/>
          <w:szCs w:val="22"/>
        </w:rPr>
        <w:t>only collection</w:t>
      </w:r>
      <w:r w:rsidR="00DE288F" w:rsidRPr="00F736EE">
        <w:rPr>
          <w:rStyle w:val="Strong"/>
          <w:rFonts w:asciiTheme="minorHAnsi" w:hAnsiTheme="minorHAnsi"/>
          <w:b w:val="0"/>
          <w:sz w:val="22"/>
          <w:szCs w:val="22"/>
        </w:rPr>
        <w:t xml:space="preserve">, </w:t>
      </w:r>
      <w:r w:rsidRPr="00F736EE">
        <w:rPr>
          <w:rStyle w:val="Strong"/>
          <w:rFonts w:asciiTheme="minorHAnsi" w:hAnsiTheme="minorHAnsi"/>
          <w:b w:val="0"/>
          <w:sz w:val="22"/>
          <w:szCs w:val="22"/>
        </w:rPr>
        <w:t xml:space="preserve">the Census </w:t>
      </w:r>
      <w:r w:rsidRPr="00937D19">
        <w:rPr>
          <w:rStyle w:val="Strong"/>
          <w:rFonts w:asciiTheme="minorHAnsi" w:hAnsiTheme="minorHAnsi"/>
          <w:b w:val="0"/>
          <w:sz w:val="22"/>
          <w:szCs w:val="22"/>
        </w:rPr>
        <w:t>Bureau reduce</w:t>
      </w:r>
      <w:r w:rsidR="007448E3" w:rsidRPr="007A175B">
        <w:rPr>
          <w:rStyle w:val="Strong"/>
          <w:rFonts w:asciiTheme="minorHAnsi" w:hAnsiTheme="minorHAnsi"/>
          <w:b w:val="0"/>
          <w:sz w:val="22"/>
          <w:szCs w:val="22"/>
        </w:rPr>
        <w:t>s</w:t>
      </w:r>
      <w:r w:rsidRPr="00851A90">
        <w:rPr>
          <w:rStyle w:val="Strong"/>
          <w:rFonts w:asciiTheme="minorHAnsi" w:hAnsiTheme="minorHAnsi"/>
          <w:b w:val="0"/>
          <w:sz w:val="22"/>
          <w:szCs w:val="22"/>
        </w:rPr>
        <w:t xml:space="preserve"> the cost of mailing this annual survey.  Additionally, electronic responses </w:t>
      </w:r>
      <w:r w:rsidR="003C494D">
        <w:rPr>
          <w:rStyle w:val="Strong"/>
          <w:rFonts w:asciiTheme="minorHAnsi" w:hAnsiTheme="minorHAnsi"/>
          <w:b w:val="0"/>
          <w:sz w:val="22"/>
          <w:szCs w:val="22"/>
        </w:rPr>
        <w:t>yield higher quality</w:t>
      </w:r>
      <w:r w:rsidRPr="00851A90">
        <w:rPr>
          <w:rStyle w:val="Strong"/>
          <w:rFonts w:asciiTheme="minorHAnsi" w:hAnsiTheme="minorHAnsi"/>
          <w:b w:val="0"/>
          <w:sz w:val="22"/>
          <w:szCs w:val="22"/>
        </w:rPr>
        <w:t xml:space="preserve"> response data by utilizing edits</w:t>
      </w:r>
      <w:r w:rsidR="00090ABC" w:rsidRPr="00436F91">
        <w:rPr>
          <w:rStyle w:val="Strong"/>
          <w:rFonts w:asciiTheme="minorHAnsi" w:hAnsiTheme="minorHAnsi"/>
          <w:b w:val="0"/>
          <w:color w:val="auto"/>
          <w:sz w:val="22"/>
          <w:szCs w:val="22"/>
        </w:rPr>
        <w:t xml:space="preserve"> built into</w:t>
      </w:r>
      <w:r w:rsidRPr="00436F91">
        <w:rPr>
          <w:rStyle w:val="Strong"/>
          <w:rFonts w:asciiTheme="minorHAnsi" w:hAnsiTheme="minorHAnsi"/>
          <w:b w:val="0"/>
          <w:sz w:val="22"/>
          <w:szCs w:val="22"/>
        </w:rPr>
        <w:t xml:space="preserve"> the electronic reporting </w:t>
      </w:r>
      <w:r w:rsidR="00090ABC" w:rsidRPr="007715DC">
        <w:rPr>
          <w:rStyle w:val="Strong"/>
          <w:rFonts w:asciiTheme="minorHAnsi" w:hAnsiTheme="minorHAnsi"/>
          <w:b w:val="0"/>
          <w:color w:val="auto"/>
          <w:sz w:val="22"/>
          <w:szCs w:val="22"/>
        </w:rPr>
        <w:t>system</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00D82937" w:rsidRPr="00436F91">
        <w:rPr>
          <w:rStyle w:val="Strong"/>
          <w:rFonts w:asciiTheme="minorHAnsi" w:hAnsiTheme="minorHAnsi"/>
          <w:b w:val="0"/>
          <w:color w:val="auto"/>
          <w:sz w:val="22"/>
          <w:szCs w:val="22"/>
        </w:rPr>
        <w:t xml:space="preserve"> decrease</w:t>
      </w:r>
      <w:r w:rsidR="00D82937" w:rsidRPr="007715DC">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00D82937" w:rsidRPr="00436F91">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001E0B18" w:rsidRPr="00483258">
        <w:rPr>
          <w:rStyle w:val="Strong"/>
          <w:rFonts w:asciiTheme="minorHAnsi" w:hAnsiTheme="minorHAnsi"/>
          <w:b w:val="0"/>
          <w:color w:val="auto"/>
          <w:sz w:val="22"/>
          <w:szCs w:val="22"/>
        </w:rPr>
        <w:t>processed</w:t>
      </w:r>
      <w:r w:rsidR="002F06FE">
        <w:rPr>
          <w:rStyle w:val="Strong"/>
          <w:rFonts w:asciiTheme="minorHAnsi" w:hAnsiTheme="minorHAnsi"/>
          <w:b w:val="0"/>
          <w:color w:val="auto"/>
          <w:sz w:val="22"/>
          <w:szCs w:val="22"/>
        </w:rPr>
        <w:t>,</w:t>
      </w:r>
      <w:r w:rsidR="009743FB" w:rsidRPr="00483258">
        <w:rPr>
          <w:rStyle w:val="Strong"/>
          <w:rFonts w:asciiTheme="minorHAnsi" w:hAnsiTheme="minorHAnsi"/>
          <w:b w:val="0"/>
          <w:sz w:val="22"/>
          <w:szCs w:val="22"/>
        </w:rPr>
        <w:t xml:space="preserve"> ultimately leading to cost savings and increased data quality.</w:t>
      </w:r>
    </w:p>
    <w:p w14:paraId="03EBF741" w14:textId="3AD21AD8" w:rsidR="007553C6" w:rsidRPr="00483258" w:rsidRDefault="007553C6" w:rsidP="00B91F59">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14:paraId="75226891" w14:textId="47719B35" w:rsidR="002C3D78" w:rsidRPr="00683620" w:rsidRDefault="007553C6" w:rsidP="00683620">
      <w:pPr>
        <w:pStyle w:val="NormalWeb"/>
        <w:ind w:left="360"/>
        <w:rPr>
          <w:rStyle w:val="Strong"/>
          <w:rFonts w:asciiTheme="minorHAnsi" w:hAnsiTheme="minorHAnsi"/>
          <w:color w:val="auto"/>
          <w:sz w:val="22"/>
          <w:szCs w:val="22"/>
          <w:u w:val="single"/>
        </w:rPr>
      </w:pPr>
      <w:r w:rsidRPr="00546A24">
        <w:rPr>
          <w:rStyle w:val="Strong"/>
          <w:rFonts w:asciiTheme="minorHAnsi" w:hAnsiTheme="minorHAnsi"/>
          <w:b w:val="0"/>
          <w:color w:val="auto"/>
          <w:sz w:val="22"/>
          <w:szCs w:val="22"/>
        </w:rPr>
        <w:t xml:space="preserve">The </w:t>
      </w:r>
      <w:r w:rsidR="00186033">
        <w:rPr>
          <w:rStyle w:val="Strong"/>
          <w:rFonts w:asciiTheme="minorHAnsi" w:hAnsiTheme="minorHAnsi"/>
          <w:b w:val="0"/>
          <w:color w:val="auto"/>
          <w:sz w:val="22"/>
          <w:szCs w:val="22"/>
        </w:rPr>
        <w:t>ABS</w:t>
      </w:r>
      <w:r w:rsidR="00B91F59" w:rsidRPr="00546A24">
        <w:rPr>
          <w:rStyle w:val="Strong"/>
          <w:rFonts w:asciiTheme="minorHAnsi" w:hAnsiTheme="minorHAnsi"/>
          <w:b w:val="0"/>
          <w:color w:val="auto"/>
          <w:sz w:val="22"/>
          <w:szCs w:val="22"/>
        </w:rPr>
        <w:t xml:space="preserve"> </w:t>
      </w:r>
      <w:r w:rsidR="00186033">
        <w:rPr>
          <w:rStyle w:val="Strong"/>
          <w:rFonts w:asciiTheme="minorHAnsi" w:hAnsiTheme="minorHAnsi"/>
          <w:b w:val="0"/>
          <w:color w:val="auto"/>
          <w:sz w:val="22"/>
          <w:szCs w:val="22"/>
        </w:rPr>
        <w:t xml:space="preserve">will exclude certain businesses from </w:t>
      </w:r>
      <w:r w:rsidR="00AF79A3">
        <w:rPr>
          <w:rStyle w:val="Strong"/>
          <w:rFonts w:asciiTheme="minorHAnsi" w:hAnsiTheme="minorHAnsi"/>
          <w:b w:val="0"/>
          <w:color w:val="auto"/>
          <w:sz w:val="22"/>
          <w:szCs w:val="22"/>
        </w:rPr>
        <w:t>receiving</w:t>
      </w:r>
      <w:r w:rsidR="00186033">
        <w:rPr>
          <w:rStyle w:val="Strong"/>
          <w:rFonts w:asciiTheme="minorHAnsi" w:hAnsiTheme="minorHAnsi"/>
          <w:b w:val="0"/>
          <w:color w:val="auto"/>
          <w:sz w:val="22"/>
          <w:szCs w:val="22"/>
        </w:rPr>
        <w:t xml:space="preserve"> a portion of the survey that they will receive on another </w:t>
      </w:r>
      <w:r w:rsidR="00E9672F">
        <w:rPr>
          <w:rStyle w:val="Strong"/>
          <w:rFonts w:asciiTheme="minorHAnsi" w:hAnsiTheme="minorHAnsi"/>
          <w:b w:val="0"/>
          <w:color w:val="auto"/>
          <w:sz w:val="22"/>
          <w:szCs w:val="22"/>
        </w:rPr>
        <w:t>C</w:t>
      </w:r>
      <w:r w:rsidR="00AF79A3">
        <w:rPr>
          <w:rStyle w:val="Strong"/>
          <w:rFonts w:asciiTheme="minorHAnsi" w:hAnsiTheme="minorHAnsi"/>
          <w:b w:val="0"/>
          <w:color w:val="auto"/>
          <w:sz w:val="22"/>
          <w:szCs w:val="22"/>
        </w:rPr>
        <w:t xml:space="preserve">ensus Bureau </w:t>
      </w:r>
      <w:r w:rsidR="006C4FC1">
        <w:rPr>
          <w:rStyle w:val="Strong"/>
          <w:rFonts w:asciiTheme="minorHAnsi" w:hAnsiTheme="minorHAnsi"/>
          <w:b w:val="0"/>
          <w:color w:val="auto"/>
          <w:sz w:val="22"/>
          <w:szCs w:val="22"/>
        </w:rPr>
        <w:t>s</w:t>
      </w:r>
      <w:r w:rsidR="00AF79A3">
        <w:rPr>
          <w:rStyle w:val="Strong"/>
          <w:rFonts w:asciiTheme="minorHAnsi" w:hAnsiTheme="minorHAnsi"/>
          <w:b w:val="0"/>
          <w:color w:val="auto"/>
          <w:sz w:val="22"/>
          <w:szCs w:val="22"/>
        </w:rPr>
        <w:t>urvey (Business R&amp;D Survey – BRD</w:t>
      </w:r>
      <w:r w:rsidR="000F0A77">
        <w:rPr>
          <w:rStyle w:val="Strong"/>
          <w:rFonts w:asciiTheme="minorHAnsi" w:hAnsiTheme="minorHAnsi"/>
          <w:b w:val="0"/>
          <w:color w:val="auto"/>
          <w:sz w:val="22"/>
          <w:szCs w:val="22"/>
        </w:rPr>
        <w:t>S</w:t>
      </w:r>
      <w:r w:rsidR="00AF79A3">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w:t>
      </w:r>
      <w:r w:rsidR="00386983">
        <w:rPr>
          <w:rStyle w:val="Strong"/>
          <w:rFonts w:asciiTheme="minorHAnsi" w:hAnsiTheme="minorHAnsi"/>
          <w:b w:val="0"/>
          <w:color w:val="auto"/>
          <w:sz w:val="22"/>
          <w:szCs w:val="22"/>
        </w:rPr>
        <w:t xml:space="preserve">Similar data on R&amp;D are collected from the BRDS, however, the population of respondents is different for the R&amp;D topic.  The ABS collects R&amp;D from businesses with between 1-9 employees, while the BRDS collects </w:t>
      </w:r>
      <w:r w:rsidR="00CE73B8">
        <w:rPr>
          <w:rStyle w:val="Strong"/>
          <w:rFonts w:asciiTheme="minorHAnsi" w:hAnsiTheme="minorHAnsi"/>
          <w:b w:val="0"/>
          <w:color w:val="auto"/>
          <w:sz w:val="22"/>
          <w:szCs w:val="22"/>
        </w:rPr>
        <w:t xml:space="preserve">this data from businesses with 10 or more employees.  Additionally, the Census Bureau consulted with NSF’s </w:t>
      </w:r>
      <w:r w:rsidR="00CE73B8">
        <w:rPr>
          <w:rFonts w:asciiTheme="minorHAnsi" w:hAnsiTheme="minorHAnsi"/>
          <w:sz w:val="22"/>
          <w:szCs w:val="22"/>
        </w:rPr>
        <w:t>National Center for Science and Engineering Statistics to remove duplication of questions from the innovation part of the BRDS.  ABS replaces the innovation part of the BRDS.</w:t>
      </w:r>
    </w:p>
    <w:p w14:paraId="51FB38FA" w14:textId="4B436FBC" w:rsidR="007553C6" w:rsidRPr="00076AC4" w:rsidRDefault="004B5C10" w:rsidP="00483258">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14:paraId="2DC5B03B" w14:textId="569246F2" w:rsidR="00FD6928" w:rsidRPr="00DC1289" w:rsidRDefault="00FD6928" w:rsidP="00700003">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00960991" w:rsidRPr="000B1FB7">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008C466E" w:rsidRPr="009E6EC2">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00700003" w:rsidRPr="00DC1289">
        <w:rPr>
          <w:rStyle w:val="Strong"/>
          <w:rFonts w:asciiTheme="minorHAnsi" w:hAnsiTheme="minorHAnsi"/>
          <w:b w:val="0"/>
          <w:color w:val="auto"/>
          <w:sz w:val="22"/>
          <w:szCs w:val="22"/>
        </w:rPr>
        <w:t>methods to minimize the burden:</w:t>
      </w:r>
      <w:r w:rsidR="00EE1EB2" w:rsidRPr="00DC1289">
        <w:rPr>
          <w:rStyle w:val="Strong"/>
          <w:rFonts w:asciiTheme="minorHAnsi" w:hAnsiTheme="minorHAnsi"/>
          <w:b w:val="0"/>
          <w:color w:val="auto"/>
          <w:sz w:val="22"/>
          <w:szCs w:val="22"/>
        </w:rPr>
        <w:t xml:space="preserve"> </w:t>
      </w:r>
    </w:p>
    <w:p w14:paraId="14068002" w14:textId="11A7CF4E" w:rsidR="002D765F" w:rsidRPr="008049F7" w:rsidRDefault="00FD6928"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5432FA"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are used to stratify the universe.  Administrative data f</w:t>
      </w:r>
      <w:r w:rsidRPr="00937D19">
        <w:rPr>
          <w:rStyle w:val="Strong"/>
          <w:rFonts w:asciiTheme="minorHAnsi" w:hAnsiTheme="minorHAnsi"/>
          <w:b w:val="0"/>
          <w:color w:val="auto"/>
          <w:sz w:val="22"/>
          <w:szCs w:val="22"/>
        </w:rPr>
        <w:t>rom the Social Security Administration (SSA)</w:t>
      </w:r>
      <w:r w:rsidR="00A21F2C">
        <w:rPr>
          <w:rStyle w:val="Strong"/>
          <w:rFonts w:asciiTheme="minorHAnsi" w:hAnsiTheme="minorHAnsi"/>
          <w:b w:val="0"/>
          <w:color w:val="auto"/>
          <w:sz w:val="22"/>
          <w:szCs w:val="22"/>
        </w:rPr>
        <w:t>, American Community Survey, and Decennial Census</w:t>
      </w:r>
      <w:r w:rsidRPr="00937D19">
        <w:rPr>
          <w:rStyle w:val="Strong"/>
          <w:rFonts w:asciiTheme="minorHAnsi" w:hAnsiTheme="minorHAnsi"/>
          <w:b w:val="0"/>
          <w:color w:val="auto"/>
          <w:sz w:val="22"/>
          <w:szCs w:val="22"/>
        </w:rPr>
        <w:t xml:space="preserve">, </w:t>
      </w:r>
      <w:r w:rsidR="006B1EC8">
        <w:rPr>
          <w:rStyle w:val="Strong"/>
          <w:rFonts w:asciiTheme="minorHAnsi" w:hAnsiTheme="minorHAnsi"/>
          <w:b w:val="0"/>
          <w:color w:val="auto"/>
          <w:sz w:val="22"/>
          <w:szCs w:val="22"/>
        </w:rPr>
        <w:t>as well as</w:t>
      </w:r>
      <w:r w:rsidRPr="00937D19">
        <w:rPr>
          <w:rStyle w:val="Strong"/>
          <w:rFonts w:asciiTheme="minorHAnsi" w:hAnsiTheme="minorHAnsi"/>
          <w:b w:val="0"/>
          <w:color w:val="auto"/>
          <w:sz w:val="22"/>
          <w:szCs w:val="22"/>
        </w:rPr>
        <w:t xml:space="preserve">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14:paraId="5384C130" w14:textId="5004F4B0" w:rsidR="008049F7" w:rsidRPr="001C4D18" w:rsidRDefault="00A94033"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E</w:t>
      </w:r>
      <w:r w:rsidR="008049F7">
        <w:rPr>
          <w:rStyle w:val="Strong"/>
          <w:rFonts w:asciiTheme="minorHAnsi" w:hAnsiTheme="minorHAnsi"/>
          <w:b w:val="0"/>
          <w:color w:val="auto"/>
          <w:sz w:val="22"/>
          <w:szCs w:val="22"/>
        </w:rPr>
        <w:t>mployment</w:t>
      </w:r>
      <w:r>
        <w:rPr>
          <w:rStyle w:val="Strong"/>
          <w:rFonts w:asciiTheme="minorHAnsi" w:hAnsiTheme="minorHAnsi"/>
          <w:b w:val="0"/>
          <w:color w:val="auto"/>
          <w:sz w:val="22"/>
          <w:szCs w:val="22"/>
        </w:rPr>
        <w:t xml:space="preserve"> based form path</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Based on </w:t>
      </w:r>
      <w:r w:rsidR="00DA1B10">
        <w:rPr>
          <w:rStyle w:val="Strong"/>
          <w:rFonts w:asciiTheme="minorHAnsi" w:hAnsiTheme="minorHAnsi"/>
          <w:b w:val="0"/>
          <w:color w:val="auto"/>
          <w:sz w:val="22"/>
          <w:szCs w:val="22"/>
        </w:rPr>
        <w:t xml:space="preserve">the number of employees reported, </w:t>
      </w:r>
      <w:r w:rsidR="009E0800">
        <w:rPr>
          <w:rStyle w:val="Strong"/>
          <w:rFonts w:asciiTheme="minorHAnsi" w:hAnsiTheme="minorHAnsi"/>
          <w:b w:val="0"/>
          <w:color w:val="auto"/>
          <w:sz w:val="22"/>
          <w:szCs w:val="22"/>
        </w:rPr>
        <w:t xml:space="preserve">businesses </w:t>
      </w:r>
      <w:r w:rsidR="008049F7">
        <w:rPr>
          <w:rStyle w:val="Strong"/>
          <w:rFonts w:asciiTheme="minorHAnsi" w:hAnsiTheme="minorHAnsi"/>
          <w:b w:val="0"/>
          <w:color w:val="auto"/>
          <w:sz w:val="22"/>
          <w:szCs w:val="22"/>
        </w:rPr>
        <w:t>with</w:t>
      </w:r>
      <w:r w:rsidR="009E0800">
        <w:rPr>
          <w:rStyle w:val="Strong"/>
          <w:rFonts w:asciiTheme="minorHAnsi" w:hAnsiTheme="minorHAnsi"/>
          <w:b w:val="0"/>
          <w:color w:val="auto"/>
          <w:sz w:val="22"/>
          <w:szCs w:val="22"/>
        </w:rPr>
        <w:t xml:space="preserve"> </w:t>
      </w:r>
      <w:r w:rsidR="00143204">
        <w:rPr>
          <w:rStyle w:val="Strong"/>
          <w:rFonts w:asciiTheme="minorHAnsi" w:hAnsiTheme="minorHAnsi"/>
          <w:b w:val="0"/>
          <w:color w:val="auto"/>
          <w:sz w:val="22"/>
          <w:szCs w:val="22"/>
        </w:rPr>
        <w:t xml:space="preserve">10 or </w:t>
      </w:r>
      <w:r w:rsidR="009E0800">
        <w:rPr>
          <w:rStyle w:val="Strong"/>
          <w:rFonts w:asciiTheme="minorHAnsi" w:hAnsiTheme="minorHAnsi"/>
          <w:b w:val="0"/>
          <w:color w:val="auto"/>
          <w:sz w:val="22"/>
          <w:szCs w:val="22"/>
        </w:rPr>
        <w:t>more</w:t>
      </w:r>
      <w:r w:rsidR="008049F7">
        <w:rPr>
          <w:rStyle w:val="Strong"/>
          <w:rFonts w:asciiTheme="minorHAnsi" w:hAnsiTheme="minorHAnsi"/>
          <w:b w:val="0"/>
          <w:color w:val="auto"/>
          <w:sz w:val="22"/>
          <w:szCs w:val="22"/>
        </w:rPr>
        <w:t xml:space="preserve"> employees will not</w:t>
      </w:r>
      <w:r w:rsidR="000F0A77">
        <w:rPr>
          <w:rStyle w:val="Strong"/>
          <w:rFonts w:asciiTheme="minorHAnsi" w:hAnsiTheme="minorHAnsi"/>
          <w:b w:val="0"/>
          <w:color w:val="auto"/>
          <w:sz w:val="22"/>
          <w:szCs w:val="22"/>
        </w:rPr>
        <w:t xml:space="preserve"> be</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asked questions on research and development</w:t>
      </w:r>
      <w:r w:rsidR="00C216C1">
        <w:rPr>
          <w:rStyle w:val="Strong"/>
          <w:rFonts w:asciiTheme="minorHAnsi" w:hAnsiTheme="minorHAnsi"/>
          <w:b w:val="0"/>
          <w:color w:val="auto"/>
          <w:sz w:val="22"/>
          <w:szCs w:val="22"/>
        </w:rPr>
        <w:t xml:space="preserve"> because those business</w:t>
      </w:r>
      <w:r w:rsidR="002C291A">
        <w:rPr>
          <w:rStyle w:val="Strong"/>
          <w:rFonts w:asciiTheme="minorHAnsi" w:hAnsiTheme="minorHAnsi"/>
          <w:b w:val="0"/>
          <w:color w:val="auto"/>
          <w:sz w:val="22"/>
          <w:szCs w:val="22"/>
        </w:rPr>
        <w:t>es’</w:t>
      </w:r>
      <w:r w:rsidR="00C216C1">
        <w:rPr>
          <w:rStyle w:val="Strong"/>
          <w:rFonts w:asciiTheme="minorHAnsi" w:hAnsiTheme="minorHAnsi"/>
          <w:b w:val="0"/>
          <w:color w:val="auto"/>
          <w:sz w:val="22"/>
          <w:szCs w:val="22"/>
        </w:rPr>
        <w:t xml:space="preserve"> data will continue to be collected from the BRDS</w:t>
      </w:r>
      <w:r w:rsidR="008049F7">
        <w:rPr>
          <w:rStyle w:val="Strong"/>
          <w:rFonts w:asciiTheme="minorHAnsi" w:hAnsiTheme="minorHAnsi"/>
          <w:b w:val="0"/>
          <w:color w:val="auto"/>
          <w:sz w:val="22"/>
          <w:szCs w:val="22"/>
        </w:rPr>
        <w:t xml:space="preserve">. </w:t>
      </w:r>
    </w:p>
    <w:p w14:paraId="396152C0" w14:textId="3F609D87" w:rsidR="00DA1B10" w:rsidRPr="007A175B" w:rsidRDefault="00DA1B10" w:rsidP="00B91F59">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Predetermining owner characteristics: Businesses that responded to the 2017 ABS and reported their owner characteristics in 2017, will not be asked questions in Section B: Owner Characteristics for 201</w:t>
      </w:r>
      <w:r w:rsidR="00E16A6D">
        <w:rPr>
          <w:rStyle w:val="Strong"/>
          <w:rFonts w:asciiTheme="minorHAnsi" w:hAnsiTheme="minorHAnsi"/>
          <w:b w:val="0"/>
          <w:color w:val="auto"/>
          <w:sz w:val="22"/>
          <w:szCs w:val="22"/>
        </w:rPr>
        <w:t>9</w:t>
      </w:r>
      <w:r>
        <w:rPr>
          <w:rStyle w:val="Strong"/>
          <w:rFonts w:asciiTheme="minorHAnsi" w:hAnsiTheme="minorHAnsi"/>
          <w:b w:val="0"/>
          <w:color w:val="auto"/>
          <w:sz w:val="22"/>
          <w:szCs w:val="22"/>
        </w:rPr>
        <w:t>.</w:t>
      </w:r>
    </w:p>
    <w:p w14:paraId="63343361" w14:textId="28B528F7" w:rsidR="00C43187" w:rsidRPr="00546A24" w:rsidRDefault="005972F3" w:rsidP="004263C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00EF78B4" w:rsidRPr="00436F91">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00707B29" w:rsidRPr="007715DC">
        <w:rPr>
          <w:rStyle w:val="Strong"/>
          <w:rFonts w:asciiTheme="minorHAnsi" w:hAnsiTheme="minorHAnsi"/>
          <w:b w:val="0"/>
          <w:color w:val="auto"/>
          <w:sz w:val="22"/>
          <w:szCs w:val="22"/>
        </w:rPr>
        <w:t>design</w:t>
      </w:r>
      <w:r w:rsidR="005432FA" w:rsidRPr="00546A24">
        <w:rPr>
          <w:rStyle w:val="Strong"/>
          <w:rFonts w:asciiTheme="minorHAnsi" w:hAnsiTheme="minorHAnsi"/>
          <w:b w:val="0"/>
          <w:color w:val="auto"/>
          <w:sz w:val="22"/>
          <w:szCs w:val="22"/>
        </w:rPr>
        <w:t>:</w:t>
      </w:r>
      <w:r w:rsidR="00707B29" w:rsidRPr="00546A24">
        <w:rPr>
          <w:rStyle w:val="Strong"/>
          <w:rFonts w:asciiTheme="minorHAnsi" w:hAnsiTheme="minorHAnsi"/>
          <w:b w:val="0"/>
          <w:color w:val="auto"/>
          <w:sz w:val="22"/>
          <w:szCs w:val="22"/>
        </w:rPr>
        <w:t xml:space="preserve"> </w:t>
      </w:r>
      <w:r w:rsidR="009E0800" w:rsidRPr="00483258">
        <w:rPr>
          <w:rStyle w:val="Strong"/>
          <w:rFonts w:asciiTheme="minorHAnsi" w:hAnsiTheme="minorHAnsi"/>
          <w:b w:val="0"/>
          <w:color w:val="auto"/>
          <w:sz w:val="22"/>
          <w:szCs w:val="22"/>
        </w:rPr>
        <w:t xml:space="preserve">New </w:t>
      </w:r>
      <w:r w:rsidRPr="00483258">
        <w:rPr>
          <w:rStyle w:val="Strong"/>
          <w:rFonts w:asciiTheme="minorHAnsi" w:hAnsiTheme="minorHAnsi"/>
          <w:b w:val="0"/>
          <w:color w:val="auto"/>
          <w:sz w:val="22"/>
          <w:szCs w:val="22"/>
        </w:rPr>
        <w:t xml:space="preserve">questions </w:t>
      </w:r>
      <w:r w:rsidR="00FD6928" w:rsidRPr="00483258">
        <w:rPr>
          <w:rStyle w:val="Strong"/>
          <w:rFonts w:asciiTheme="minorHAnsi" w:hAnsiTheme="minorHAnsi"/>
          <w:b w:val="0"/>
          <w:color w:val="auto"/>
          <w:sz w:val="22"/>
          <w:szCs w:val="22"/>
        </w:rPr>
        <w:t>ha</w:t>
      </w:r>
      <w:r w:rsidR="00776D36" w:rsidRPr="00483258">
        <w:rPr>
          <w:rStyle w:val="Strong"/>
          <w:rFonts w:asciiTheme="minorHAnsi" w:hAnsiTheme="minorHAnsi"/>
          <w:b w:val="0"/>
          <w:color w:val="auto"/>
          <w:sz w:val="22"/>
          <w:szCs w:val="22"/>
        </w:rPr>
        <w:t>ve</w:t>
      </w:r>
      <w:r w:rsidR="00FD6928" w:rsidRPr="00483258">
        <w:rPr>
          <w:rStyle w:val="Strong"/>
          <w:rFonts w:asciiTheme="minorHAnsi" w:hAnsiTheme="minorHAnsi"/>
          <w:b w:val="0"/>
          <w:color w:val="auto"/>
          <w:sz w:val="22"/>
          <w:szCs w:val="22"/>
        </w:rPr>
        <w:t xml:space="preserve"> been </w:t>
      </w:r>
      <w:r w:rsidR="009E0800" w:rsidRPr="00483258">
        <w:rPr>
          <w:rStyle w:val="Strong"/>
          <w:rFonts w:asciiTheme="minorHAnsi" w:hAnsiTheme="minorHAnsi"/>
          <w:b w:val="0"/>
          <w:color w:val="auto"/>
          <w:sz w:val="22"/>
          <w:szCs w:val="22"/>
        </w:rPr>
        <w:t xml:space="preserve">cognitively </w:t>
      </w:r>
      <w:r w:rsidR="00FD6928" w:rsidRPr="00483258">
        <w:rPr>
          <w:rStyle w:val="Strong"/>
          <w:rFonts w:asciiTheme="minorHAnsi" w:hAnsiTheme="minorHAnsi"/>
          <w:b w:val="0"/>
          <w:color w:val="auto"/>
          <w:sz w:val="22"/>
          <w:szCs w:val="22"/>
        </w:rPr>
        <w:t>tested through</w:t>
      </w:r>
      <w:r w:rsidR="009E0800" w:rsidRPr="00483258">
        <w:rPr>
          <w:rStyle w:val="Strong"/>
          <w:rFonts w:asciiTheme="minorHAnsi" w:hAnsiTheme="minorHAnsi"/>
          <w:b w:val="0"/>
          <w:color w:val="auto"/>
          <w:sz w:val="22"/>
          <w:szCs w:val="22"/>
        </w:rPr>
        <w:t xml:space="preserve"> </w:t>
      </w:r>
      <w:r w:rsidR="00FD6928" w:rsidRPr="00483258">
        <w:rPr>
          <w:rStyle w:val="Strong"/>
          <w:rFonts w:asciiTheme="minorHAnsi" w:hAnsiTheme="minorHAnsi"/>
          <w:b w:val="0"/>
          <w:color w:val="auto"/>
          <w:sz w:val="22"/>
          <w:szCs w:val="22"/>
        </w:rPr>
        <w:t>personal interviews</w:t>
      </w:r>
      <w:r w:rsidR="007468CE">
        <w:rPr>
          <w:rStyle w:val="Strong"/>
          <w:rFonts w:asciiTheme="minorHAnsi" w:hAnsiTheme="minorHAnsi"/>
          <w:b w:val="0"/>
          <w:color w:val="auto"/>
          <w:sz w:val="22"/>
          <w:szCs w:val="22"/>
        </w:rPr>
        <w:t xml:space="preserve"> (see Attachment E)</w:t>
      </w:r>
      <w:r w:rsidR="00FD6928" w:rsidRPr="00483258">
        <w:rPr>
          <w:rStyle w:val="Strong"/>
          <w:rFonts w:asciiTheme="minorHAnsi" w:hAnsiTheme="minorHAnsi"/>
          <w:b w:val="0"/>
          <w:color w:val="auto"/>
          <w:sz w:val="22"/>
          <w:szCs w:val="22"/>
        </w:rPr>
        <w:t>.</w:t>
      </w:r>
      <w:r w:rsidR="00FD6928" w:rsidRPr="00546A24">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The remaining questions have been tested and fielded previously with the same population.  </w:t>
      </w:r>
      <w:r w:rsidR="00F853CC" w:rsidRPr="00546A24">
        <w:rPr>
          <w:rStyle w:val="Strong"/>
          <w:rFonts w:asciiTheme="minorHAnsi" w:hAnsiTheme="minorHAnsi"/>
          <w:b w:val="0"/>
          <w:color w:val="auto"/>
          <w:sz w:val="22"/>
          <w:szCs w:val="22"/>
        </w:rPr>
        <w:t>In addition</w:t>
      </w:r>
      <w:r w:rsidR="00FD6928" w:rsidRPr="00546A24">
        <w:rPr>
          <w:rStyle w:val="Strong"/>
          <w:rFonts w:asciiTheme="minorHAnsi" w:hAnsiTheme="minorHAnsi"/>
          <w:b w:val="0"/>
          <w:color w:val="auto"/>
          <w:sz w:val="22"/>
          <w:szCs w:val="22"/>
        </w:rPr>
        <w:t xml:space="preserve">, the </w:t>
      </w:r>
      <w:r w:rsidR="005432FA" w:rsidRPr="00546A24">
        <w:rPr>
          <w:rStyle w:val="Strong"/>
          <w:rFonts w:asciiTheme="minorHAnsi" w:hAnsiTheme="minorHAnsi"/>
          <w:b w:val="0"/>
          <w:color w:val="auto"/>
          <w:sz w:val="22"/>
          <w:szCs w:val="22"/>
        </w:rPr>
        <w:t>electronic reporting instrument</w:t>
      </w:r>
      <w:r w:rsidR="00FD6928" w:rsidRPr="00546A24">
        <w:rPr>
          <w:rStyle w:val="Strong"/>
          <w:rFonts w:asciiTheme="minorHAnsi" w:hAnsiTheme="minorHAnsi"/>
          <w:b w:val="0"/>
          <w:color w:val="auto"/>
          <w:sz w:val="22"/>
          <w:szCs w:val="22"/>
        </w:rPr>
        <w:t xml:space="preserve"> </w:t>
      </w:r>
      <w:r w:rsidR="00611A73" w:rsidRPr="00546A24">
        <w:rPr>
          <w:rStyle w:val="Strong"/>
          <w:rFonts w:asciiTheme="minorHAnsi" w:hAnsiTheme="minorHAnsi"/>
          <w:b w:val="0"/>
          <w:color w:val="auto"/>
          <w:sz w:val="22"/>
          <w:szCs w:val="22"/>
        </w:rPr>
        <w:t>includes</w:t>
      </w:r>
      <w:r w:rsidR="00FD6928" w:rsidRPr="00546A24">
        <w:rPr>
          <w:rStyle w:val="Strong"/>
          <w:rFonts w:asciiTheme="minorHAnsi" w:hAnsiTheme="minorHAnsi"/>
          <w:b w:val="0"/>
          <w:color w:val="auto"/>
          <w:sz w:val="22"/>
          <w:szCs w:val="22"/>
        </w:rPr>
        <w:t xml:space="preserve"> </w:t>
      </w:r>
      <w:r w:rsidR="007A2046" w:rsidRPr="00546A24">
        <w:rPr>
          <w:rStyle w:val="Strong"/>
          <w:rFonts w:asciiTheme="minorHAnsi" w:hAnsiTheme="minorHAnsi"/>
          <w:b w:val="0"/>
          <w:color w:val="auto"/>
          <w:sz w:val="22"/>
          <w:szCs w:val="22"/>
        </w:rPr>
        <w:t>skip</w:t>
      </w:r>
      <w:r w:rsidR="00FD6928" w:rsidRPr="00546A24">
        <w:rPr>
          <w:rStyle w:val="Strong"/>
          <w:rFonts w:asciiTheme="minorHAnsi" w:hAnsiTheme="minorHAnsi"/>
          <w:b w:val="0"/>
          <w:color w:val="auto"/>
          <w:sz w:val="22"/>
          <w:szCs w:val="22"/>
        </w:rPr>
        <w:t xml:space="preserve"> patterns throughout so that respondents will only read and answer questions pertaining to their specific owner and business characteristics.</w:t>
      </w:r>
    </w:p>
    <w:p w14:paraId="50D16EE9" w14:textId="45794246" w:rsidR="0099299F" w:rsidRPr="00546A24" w:rsidRDefault="00C041B3" w:rsidP="00246812">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546A24">
        <w:rPr>
          <w:rStyle w:val="Strong"/>
          <w:rFonts w:asciiTheme="minorHAnsi" w:hAnsiTheme="minorHAnsi"/>
          <w:b w:val="0"/>
          <w:sz w:val="22"/>
          <w:szCs w:val="22"/>
        </w:rPr>
        <w:t xml:space="preserve">Exclusion </w:t>
      </w:r>
      <w:r w:rsidR="00873F1C">
        <w:rPr>
          <w:rStyle w:val="Strong"/>
          <w:rFonts w:asciiTheme="minorHAnsi" w:hAnsiTheme="minorHAnsi"/>
          <w:b w:val="0"/>
          <w:sz w:val="22"/>
          <w:szCs w:val="22"/>
        </w:rPr>
        <w:t>of</w:t>
      </w:r>
      <w:r w:rsidRPr="00546A24">
        <w:rPr>
          <w:rStyle w:val="Strong"/>
          <w:rFonts w:asciiTheme="minorHAnsi" w:hAnsiTheme="minorHAnsi"/>
          <w:b w:val="0"/>
          <w:sz w:val="22"/>
          <w:szCs w:val="22"/>
        </w:rPr>
        <w:t xml:space="preserve"> Nonprofits: The A</w:t>
      </w:r>
      <w:r w:rsidR="00873F1C">
        <w:rPr>
          <w:rStyle w:val="Strong"/>
          <w:rFonts w:asciiTheme="minorHAnsi" w:hAnsiTheme="minorHAnsi"/>
          <w:b w:val="0"/>
          <w:sz w:val="22"/>
          <w:szCs w:val="22"/>
        </w:rPr>
        <w:t>BS</w:t>
      </w:r>
      <w:r w:rsidRPr="00546A24">
        <w:rPr>
          <w:rStyle w:val="Strong"/>
          <w:rFonts w:asciiTheme="minorHAnsi" w:hAnsiTheme="minorHAnsi"/>
          <w:b w:val="0"/>
          <w:sz w:val="22"/>
          <w:szCs w:val="22"/>
        </w:rPr>
        <w:t xml:space="preserve"> universe is matched to publicly available datasets from the IRS. This universe identif</w:t>
      </w:r>
      <w:r w:rsidR="00FC1EDD" w:rsidRPr="00546A24">
        <w:rPr>
          <w:rStyle w:val="Strong"/>
          <w:rFonts w:asciiTheme="minorHAnsi" w:hAnsiTheme="minorHAnsi"/>
          <w:b w:val="0"/>
          <w:sz w:val="22"/>
          <w:szCs w:val="22"/>
        </w:rPr>
        <w:t>ies</w:t>
      </w:r>
      <w:r w:rsidRPr="00546A24">
        <w:rPr>
          <w:rStyle w:val="Strong"/>
          <w:rFonts w:asciiTheme="minorHAnsi" w:hAnsiTheme="minorHAnsi"/>
          <w:b w:val="0"/>
          <w:sz w:val="22"/>
          <w:szCs w:val="22"/>
        </w:rPr>
        <w:t xml:space="preserve"> nonprofit organizations whose ownership by </w:t>
      </w:r>
      <w:r w:rsidR="00061B14">
        <w:rPr>
          <w:rStyle w:val="Strong"/>
          <w:rFonts w:asciiTheme="minorHAnsi" w:hAnsiTheme="minorHAnsi"/>
          <w:b w:val="0"/>
          <w:sz w:val="22"/>
          <w:szCs w:val="22"/>
        </w:rPr>
        <w:t>sex</w:t>
      </w:r>
      <w:r w:rsidRPr="00546A24">
        <w:rPr>
          <w:rStyle w:val="Strong"/>
          <w:rFonts w:asciiTheme="minorHAnsi" w:hAnsiTheme="minorHAnsi"/>
          <w:b w:val="0"/>
          <w:sz w:val="22"/>
          <w:szCs w:val="22"/>
        </w:rPr>
        <w:t>, ethnicity, race, and veteran status cannot be determined.  Businesses identified as nonprofit organization</w:t>
      </w:r>
      <w:r w:rsidR="008C1375" w:rsidRPr="00546A24">
        <w:rPr>
          <w:rStyle w:val="Strong"/>
          <w:rFonts w:asciiTheme="minorHAnsi" w:hAnsiTheme="minorHAnsi"/>
          <w:b w:val="0"/>
          <w:sz w:val="22"/>
          <w:szCs w:val="22"/>
        </w:rPr>
        <w:t>s</w:t>
      </w:r>
      <w:r w:rsidRPr="00546A24">
        <w:rPr>
          <w:rStyle w:val="Strong"/>
          <w:rFonts w:asciiTheme="minorHAnsi" w:hAnsiTheme="minorHAnsi"/>
          <w:b w:val="0"/>
          <w:sz w:val="22"/>
          <w:szCs w:val="22"/>
        </w:rPr>
        <w:t xml:space="preserve"> do not receive a request to respond to </w:t>
      </w:r>
      <w:r w:rsidR="00E50E37" w:rsidRPr="00546A24">
        <w:rPr>
          <w:rStyle w:val="Strong"/>
          <w:rFonts w:asciiTheme="minorHAnsi" w:hAnsiTheme="minorHAnsi"/>
          <w:b w:val="0"/>
          <w:sz w:val="22"/>
          <w:szCs w:val="22"/>
        </w:rPr>
        <w:t>the A</w:t>
      </w:r>
      <w:r w:rsidR="00086CED">
        <w:rPr>
          <w:rStyle w:val="Strong"/>
          <w:rFonts w:asciiTheme="minorHAnsi" w:hAnsiTheme="minorHAnsi"/>
          <w:b w:val="0"/>
          <w:sz w:val="22"/>
          <w:szCs w:val="22"/>
        </w:rPr>
        <w:t>BS</w:t>
      </w:r>
      <w:r w:rsidRPr="00546A24">
        <w:rPr>
          <w:rStyle w:val="Strong"/>
          <w:rFonts w:asciiTheme="minorHAnsi" w:hAnsiTheme="minorHAnsi"/>
          <w:b w:val="0"/>
          <w:sz w:val="22"/>
          <w:szCs w:val="22"/>
        </w:rPr>
        <w:t>.</w:t>
      </w:r>
    </w:p>
    <w:p w14:paraId="1CE5F042" w14:textId="77777777" w:rsidR="00C041B3" w:rsidRPr="00C323EE" w:rsidRDefault="00C041B3" w:rsidP="00F641A3">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14:paraId="1826A05A" w14:textId="77777777" w:rsidR="00FD6928" w:rsidRPr="00546A24" w:rsidRDefault="00FD6928" w:rsidP="00F641A3">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14:paraId="341023CB" w14:textId="254DE69E" w:rsidR="00FD6928" w:rsidRPr="00546A24" w:rsidRDefault="00A200B9" w:rsidP="00FD6928">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 xml:space="preserve">ABS </w:t>
      </w:r>
      <w:r w:rsidRPr="00546A24">
        <w:rPr>
          <w:rStyle w:val="Strong"/>
          <w:rFonts w:asciiTheme="minorHAnsi" w:hAnsiTheme="minorHAnsi"/>
          <w:b w:val="0"/>
          <w:sz w:val="22"/>
          <w:szCs w:val="22"/>
        </w:rPr>
        <w:t>improve</w:t>
      </w:r>
      <w:r w:rsidR="002526AD">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00B02323" w:rsidRPr="00546A24">
        <w:rPr>
          <w:rStyle w:val="Strong"/>
          <w:rFonts w:asciiTheme="minorHAnsi" w:hAnsiTheme="minorHAnsi"/>
          <w:b w:val="0"/>
          <w:sz w:val="22"/>
          <w:szCs w:val="22"/>
        </w:rPr>
        <w:t xml:space="preserve"> and expand</w:t>
      </w:r>
      <w:r w:rsidR="00433691">
        <w:rPr>
          <w:rStyle w:val="Strong"/>
          <w:rFonts w:asciiTheme="minorHAnsi" w:hAnsiTheme="minorHAnsi"/>
          <w:b w:val="0"/>
          <w:sz w:val="22"/>
          <w:szCs w:val="22"/>
        </w:rPr>
        <w:t>s</w:t>
      </w:r>
      <w:r w:rsidR="00B02323" w:rsidRPr="00546A24">
        <w:rPr>
          <w:rStyle w:val="Strong"/>
          <w:rFonts w:asciiTheme="minorHAnsi" w:hAnsiTheme="minorHAnsi"/>
          <w:b w:val="0"/>
          <w:sz w:val="22"/>
          <w:szCs w:val="22"/>
        </w:rPr>
        <w:t xml:space="preserve"> </w:t>
      </w:r>
      <w:r w:rsidR="00433691">
        <w:rPr>
          <w:rStyle w:val="Strong"/>
          <w:rFonts w:asciiTheme="minorHAnsi" w:hAnsiTheme="minorHAnsi"/>
          <w:b w:val="0"/>
          <w:sz w:val="22"/>
          <w:szCs w:val="22"/>
        </w:rPr>
        <w:t xml:space="preserve">the </w:t>
      </w:r>
      <w:r w:rsidR="00B02323" w:rsidRPr="00546A24">
        <w:rPr>
          <w:rStyle w:val="Strong"/>
          <w:rFonts w:asciiTheme="minorHAnsi" w:hAnsiTheme="minorHAnsi"/>
          <w:b w:val="0"/>
          <w:sz w:val="22"/>
          <w:szCs w:val="22"/>
        </w:rPr>
        <w:t>availability of federal economic statistics in the area</w:t>
      </w:r>
      <w:r w:rsidR="00473322">
        <w:rPr>
          <w:rStyle w:val="Strong"/>
          <w:rFonts w:asciiTheme="minorHAnsi" w:hAnsiTheme="minorHAnsi"/>
          <w:b w:val="0"/>
          <w:sz w:val="22"/>
          <w:szCs w:val="22"/>
        </w:rPr>
        <w:t>s</w:t>
      </w:r>
      <w:r w:rsidR="00B02323" w:rsidRPr="00546A24">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00B02323" w:rsidRPr="00546A24">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 xml:space="preserve">.  </w:t>
      </w:r>
      <w:r w:rsidR="008860BC" w:rsidRPr="00546A24">
        <w:rPr>
          <w:rStyle w:val="Strong"/>
          <w:rFonts w:asciiTheme="minorHAnsi" w:hAnsiTheme="minorHAnsi"/>
          <w:b w:val="0"/>
          <w:color w:val="auto"/>
          <w:sz w:val="22"/>
          <w:szCs w:val="22"/>
        </w:rPr>
        <w:t xml:space="preserve">A less frequent collection </w:t>
      </w:r>
      <w:r w:rsidR="00FD6928" w:rsidRPr="00546A24">
        <w:rPr>
          <w:rStyle w:val="Strong"/>
          <w:rFonts w:asciiTheme="minorHAnsi" w:hAnsiTheme="minorHAnsi"/>
          <w:b w:val="0"/>
          <w:color w:val="auto"/>
          <w:sz w:val="22"/>
          <w:szCs w:val="22"/>
        </w:rPr>
        <w:t xml:space="preserve">would </w:t>
      </w:r>
      <w:r w:rsidR="008860BC" w:rsidRPr="00546A24">
        <w:rPr>
          <w:rStyle w:val="Strong"/>
          <w:rFonts w:asciiTheme="minorHAnsi" w:hAnsiTheme="minorHAnsi"/>
          <w:b w:val="0"/>
          <w:color w:val="auto"/>
          <w:sz w:val="22"/>
          <w:szCs w:val="22"/>
        </w:rPr>
        <w:t>impact</w:t>
      </w:r>
      <w:r w:rsidR="00FD6928" w:rsidRPr="00546A24">
        <w:rPr>
          <w:rStyle w:val="Strong"/>
          <w:rFonts w:asciiTheme="minorHAnsi" w:hAnsiTheme="minorHAnsi"/>
          <w:b w:val="0"/>
          <w:color w:val="auto"/>
          <w:sz w:val="22"/>
          <w:szCs w:val="22"/>
        </w:rPr>
        <w:t xml:space="preserve"> government agencies</w:t>
      </w:r>
      <w:r w:rsidR="00E27B1F" w:rsidRPr="00546A24">
        <w:rPr>
          <w:rStyle w:val="Strong"/>
          <w:rFonts w:asciiTheme="minorHAnsi" w:hAnsiTheme="minorHAnsi"/>
          <w:b w:val="0"/>
          <w:color w:val="auto"/>
          <w:sz w:val="22"/>
          <w:szCs w:val="22"/>
        </w:rPr>
        <w:t>’</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access to information used to</w:t>
      </w:r>
      <w:r w:rsidR="00FD6928" w:rsidRPr="00546A24">
        <w:rPr>
          <w:rStyle w:val="Strong"/>
          <w:rFonts w:asciiTheme="minorHAnsi" w:hAnsiTheme="minorHAnsi"/>
          <w:b w:val="0"/>
          <w:color w:val="auto"/>
          <w:sz w:val="22"/>
          <w:szCs w:val="22"/>
        </w:rPr>
        <w:t xml:space="preserve"> </w:t>
      </w:r>
      <w:r w:rsidR="008860BC" w:rsidRPr="00546A24">
        <w:rPr>
          <w:rStyle w:val="Strong"/>
          <w:rFonts w:asciiTheme="minorHAnsi" w:hAnsiTheme="minorHAnsi"/>
          <w:b w:val="0"/>
          <w:color w:val="auto"/>
          <w:sz w:val="22"/>
          <w:szCs w:val="22"/>
        </w:rPr>
        <w:t xml:space="preserve">monitor and </w:t>
      </w:r>
      <w:r w:rsidR="00FD6928" w:rsidRPr="00546A24">
        <w:rPr>
          <w:rStyle w:val="Strong"/>
          <w:rFonts w:asciiTheme="minorHAnsi" w:hAnsiTheme="minorHAnsi"/>
          <w:b w:val="0"/>
          <w:color w:val="auto"/>
          <w:sz w:val="22"/>
          <w:szCs w:val="22"/>
        </w:rPr>
        <w:t xml:space="preserve">maintain assistance programs for </w:t>
      </w:r>
      <w:r w:rsidR="00707B29" w:rsidRPr="00546A24">
        <w:rPr>
          <w:rStyle w:val="Strong"/>
          <w:rFonts w:asciiTheme="minorHAnsi" w:hAnsiTheme="minorHAnsi"/>
          <w:b w:val="0"/>
          <w:color w:val="auto"/>
          <w:sz w:val="22"/>
          <w:szCs w:val="22"/>
        </w:rPr>
        <w:t>women-, minority-, and veteran-owned</w:t>
      </w:r>
      <w:r w:rsidR="00EF78B4" w:rsidRPr="00546A24">
        <w:rPr>
          <w:rStyle w:val="Strong"/>
          <w:rFonts w:asciiTheme="minorHAnsi" w:hAnsiTheme="minorHAnsi"/>
          <w:b w:val="0"/>
          <w:color w:val="auto"/>
          <w:sz w:val="22"/>
          <w:szCs w:val="22"/>
        </w:rPr>
        <w:t xml:space="preserve"> businesses</w:t>
      </w:r>
      <w:r w:rsidR="00FD6928" w:rsidRPr="00546A24">
        <w:rPr>
          <w:rStyle w:val="Strong"/>
          <w:rFonts w:asciiTheme="minorHAnsi" w:hAnsiTheme="minorHAnsi"/>
          <w:b w:val="0"/>
          <w:color w:val="auto"/>
          <w:sz w:val="22"/>
          <w:szCs w:val="22"/>
        </w:rPr>
        <w:t>.</w:t>
      </w:r>
    </w:p>
    <w:p w14:paraId="6A39EF5C" w14:textId="77777777" w:rsidR="00FD6928"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14:paraId="4BA07EFD" w14:textId="77777777" w:rsidR="00E22ACA" w:rsidRPr="00546A24" w:rsidRDefault="00E22ACA" w:rsidP="00E22ACA">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14:paraId="67349AE8" w14:textId="77777777" w:rsidR="00E22ACA" w:rsidRPr="00546A24" w:rsidRDefault="00E22ACA" w:rsidP="007553C6">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Consultations Outside the Agency</w:t>
      </w:r>
    </w:p>
    <w:p w14:paraId="555B8017" w14:textId="385B31C3" w:rsidR="00AA59FE" w:rsidRDefault="00772857" w:rsidP="0089710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Census Bureau has collaborated with </w:t>
      </w:r>
      <w:r w:rsidR="003C494D">
        <w:rPr>
          <w:rStyle w:val="Strong"/>
          <w:rFonts w:asciiTheme="minorHAnsi" w:hAnsiTheme="minorHAnsi"/>
          <w:b w:val="0"/>
          <w:color w:val="auto"/>
          <w:sz w:val="22"/>
          <w:szCs w:val="22"/>
        </w:rPr>
        <w:t>the National Center for Science and Engineering Statistics,</w:t>
      </w:r>
      <w:r w:rsidRPr="00546A24">
        <w:rPr>
          <w:rStyle w:val="Strong"/>
          <w:rFonts w:asciiTheme="minorHAnsi" w:hAnsiTheme="minorHAnsi"/>
          <w:b w:val="0"/>
          <w:color w:val="auto"/>
          <w:sz w:val="22"/>
          <w:szCs w:val="22"/>
        </w:rPr>
        <w:t xml:space="preserve"> </w:t>
      </w:r>
      <w:r w:rsidR="000F0A77">
        <w:rPr>
          <w:rStyle w:val="Strong"/>
          <w:rFonts w:asciiTheme="minorHAnsi" w:hAnsiTheme="minorHAnsi"/>
          <w:b w:val="0"/>
          <w:color w:val="auto"/>
          <w:sz w:val="22"/>
          <w:szCs w:val="22"/>
        </w:rPr>
        <w:t xml:space="preserve">the Ewing Marion </w:t>
      </w:r>
      <w:r w:rsidRPr="00546A24">
        <w:rPr>
          <w:rStyle w:val="Strong"/>
          <w:rFonts w:asciiTheme="minorHAnsi" w:hAnsiTheme="minorHAnsi"/>
          <w:b w:val="0"/>
          <w:color w:val="auto"/>
          <w:sz w:val="22"/>
          <w:szCs w:val="22"/>
        </w:rPr>
        <w:t xml:space="preserve">Kauffman Foundation, </w:t>
      </w:r>
      <w:r w:rsidR="000F0A77">
        <w:rPr>
          <w:rStyle w:val="Strong"/>
          <w:rFonts w:asciiTheme="minorHAnsi" w:hAnsiTheme="minorHAnsi"/>
          <w:b w:val="0"/>
          <w:color w:val="auto"/>
          <w:sz w:val="22"/>
          <w:szCs w:val="22"/>
        </w:rPr>
        <w:t xml:space="preserve">the Small Business Administration, the </w:t>
      </w:r>
      <w:r w:rsidR="00F733D5">
        <w:rPr>
          <w:rStyle w:val="Strong"/>
          <w:rFonts w:asciiTheme="minorHAnsi" w:hAnsiTheme="minorHAnsi"/>
          <w:b w:val="0"/>
          <w:color w:val="auto"/>
          <w:sz w:val="22"/>
          <w:szCs w:val="22"/>
        </w:rPr>
        <w:t>Minority Business Development Agency (</w:t>
      </w:r>
      <w:r w:rsidRPr="00546A24">
        <w:rPr>
          <w:rStyle w:val="Strong"/>
          <w:rFonts w:asciiTheme="minorHAnsi" w:hAnsiTheme="minorHAnsi"/>
          <w:b w:val="0"/>
          <w:color w:val="auto"/>
          <w:sz w:val="22"/>
          <w:szCs w:val="22"/>
        </w:rPr>
        <w:t>MBDA</w:t>
      </w:r>
      <w:r w:rsidR="00F733D5">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and other agencies to implement a robust and effective program. </w:t>
      </w:r>
      <w:r w:rsidR="003C3DF9" w:rsidRPr="003C3DF9">
        <w:rPr>
          <w:rStyle w:val="Strong"/>
          <w:rFonts w:asciiTheme="minorHAnsi" w:hAnsiTheme="minorHAnsi"/>
          <w:b w:val="0"/>
          <w:color w:val="auto"/>
          <w:sz w:val="22"/>
          <w:szCs w:val="22"/>
        </w:rPr>
        <w:t>Content for the Annual Business Survey (ABS), including topics for modules, is selected by the National Center for Science and Engineering Statistics (NCSES) and the Survey Director for ABS at the Census Bureau.  Feedback on content is obtained through interactions at professional conferences including the American Economic Association (AEA) meetings, the Conference on Research in Income and Wealth (CRIW), and the National Bureau of Economic Research (NBER) Summer Institute.</w:t>
      </w:r>
      <w:r w:rsidRPr="00546A24">
        <w:rPr>
          <w:rStyle w:val="Strong"/>
          <w:rFonts w:asciiTheme="minorHAnsi" w:hAnsiTheme="minorHAnsi"/>
          <w:b w:val="0"/>
          <w:color w:val="auto"/>
          <w:sz w:val="22"/>
          <w:szCs w:val="22"/>
        </w:rPr>
        <w:t xml:space="preserve"> </w:t>
      </w:r>
    </w:p>
    <w:p w14:paraId="65AD2E46" w14:textId="3BB2B00A" w:rsidR="00AA59FE" w:rsidRPr="00AA59FE" w:rsidRDefault="005D7B50" w:rsidP="00AA59F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National Center for Science and Engineering Statistics </w:t>
      </w:r>
      <w:r w:rsidR="00AA59FE" w:rsidRPr="00AA59FE">
        <w:rPr>
          <w:rStyle w:val="Strong"/>
          <w:rFonts w:asciiTheme="minorHAnsi" w:hAnsiTheme="minorHAnsi"/>
          <w:b w:val="0"/>
          <w:color w:val="auto"/>
          <w:sz w:val="22"/>
          <w:szCs w:val="22"/>
        </w:rPr>
        <w:t xml:space="preserve">has had extensive consultation outside </w:t>
      </w:r>
      <w:r w:rsidR="00433691">
        <w:rPr>
          <w:rStyle w:val="Strong"/>
          <w:rFonts w:asciiTheme="minorHAnsi" w:hAnsiTheme="minorHAnsi"/>
          <w:b w:val="0"/>
          <w:color w:val="auto"/>
          <w:sz w:val="22"/>
          <w:szCs w:val="22"/>
        </w:rPr>
        <w:t xml:space="preserve">of </w:t>
      </w:r>
      <w:r w:rsidR="00AA59FE" w:rsidRPr="00AA59FE">
        <w:rPr>
          <w:rStyle w:val="Strong"/>
          <w:rFonts w:asciiTheme="minorHAnsi" w:hAnsiTheme="minorHAnsi"/>
          <w:b w:val="0"/>
          <w:color w:val="auto"/>
          <w:sz w:val="22"/>
          <w:szCs w:val="22"/>
        </w:rPr>
        <w:t xml:space="preserve">the agency in preparation for the various sections/modules included on the Annual Business Survey and its predecessor surveys including meetings with </w:t>
      </w:r>
      <w:r w:rsidR="00143204">
        <w:rPr>
          <w:rStyle w:val="Strong"/>
          <w:rFonts w:asciiTheme="minorHAnsi" w:hAnsiTheme="minorHAnsi"/>
          <w:b w:val="0"/>
          <w:color w:val="auto"/>
          <w:sz w:val="22"/>
          <w:szCs w:val="22"/>
        </w:rPr>
        <w:t xml:space="preserve">researchers, academia, </w:t>
      </w:r>
      <w:r w:rsidR="00AA59FE" w:rsidRPr="00AA59FE">
        <w:rPr>
          <w:rStyle w:val="Strong"/>
          <w:rFonts w:asciiTheme="minorHAnsi" w:hAnsiTheme="minorHAnsi"/>
          <w:b w:val="0"/>
          <w:color w:val="auto"/>
          <w:sz w:val="22"/>
          <w:szCs w:val="22"/>
        </w:rPr>
        <w:t xml:space="preserve">data users, expert panels, cognitive interviews and debriefings.  </w:t>
      </w:r>
    </w:p>
    <w:p w14:paraId="6B70A17A"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In preparation for the Microbusiness Innovation Science and Technology Survey (MIST), the model for the Micro-Business R&amp;D section of, and multiple other questions included in, the ABS, NCSES held a one-day workshop (September 2010) for prospective data users of R&amp;D and innovation-related data in order to gain a better understanding on data user needs, to understand how microbusiness data would be used, and to obtain guidance on priorities and strategies for content to be included in the survey. The data users included academics, government employees and other stakeholders. </w:t>
      </w:r>
    </w:p>
    <w:p w14:paraId="3A2C066E"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Following the development of a draft MIST questionnaire, NCSES convened an expert panel (February 2012) of academics and other stakeholders to provide input and feedback to NCSES on the development of the MIST survey. Panel members reacted to the draft survey questionnaire and discussed issues encountered in the earlier testing, such as questions on innovation and defining the number of employees.  </w:t>
      </w:r>
    </w:p>
    <w:p w14:paraId="7450D996"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The MIST questionnaire was revised based on findings from the expert panel. Cognitive interviews (November 2011 – May 2012) were conducted with 38 small businesses (conducted over six rounds to allow a process of revision and retesting of the questionnaire) and focused primarily on the content of the questionnaire. Following the MIST pretest conducted for NCSES by Westat, 20 debriefing interviews (Fall 2012) were conducted with pretest respondents.</w:t>
      </w:r>
    </w:p>
    <w:p w14:paraId="21C2C049" w14:textId="389514B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It was during this period that NCSES started a three-phase study focusing on innovation measurement. Early stage scoping interviews were conducted with 23 medium to large businesses (July to October 2012) to support additional survey question development, to explore respondents’ perceptions of innovation and the Oslo Manual</w:t>
      </w:r>
      <w:r w:rsidR="00B10F0C">
        <w:rPr>
          <w:rStyle w:val="Strong"/>
          <w:rFonts w:asciiTheme="minorHAnsi" w:hAnsiTheme="minorHAnsi"/>
          <w:b w:val="0"/>
          <w:color w:val="auto"/>
          <w:sz w:val="22"/>
          <w:szCs w:val="22"/>
        </w:rPr>
        <w:t>: Guidelines for Collecting and Interpreting Innovation Data (OECED/Eurostat: 2005)</w:t>
      </w:r>
      <w:r w:rsidRPr="00AA59FE">
        <w:rPr>
          <w:rStyle w:val="Strong"/>
          <w:rFonts w:asciiTheme="minorHAnsi" w:hAnsiTheme="minorHAnsi"/>
          <w:b w:val="0"/>
          <w:color w:val="auto"/>
          <w:sz w:val="22"/>
          <w:szCs w:val="22"/>
        </w:rPr>
        <w:t xml:space="preserve"> survey concepts, to understand the language they use to describe these subjects, and the extent to which related data are contained in company records. Interviews were conducted with academic researchers (October to December 2014) to identify: the concepts, indicators, and data sources academic researchers are using to measure business innovation, the limits and challenges of these data, and whether the Oslo Manual definitions and metrics for innovation are useful and relevant to innovation research. The purpose of the two-day Innovation Metrics Panel Meetings (December 2014) was to solicit input from federal, state and other policymakers about the innovation metrics and data that are helpful from a policy design and evaluation perspective, as well as to complement and enhance the understanding of innovation and its activities.</w:t>
      </w:r>
    </w:p>
    <w:p w14:paraId="7E8A2078"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 xml:space="preserve">Another expert panel (June 2015) was held to identify and consider new avenues for refining, expanding, and reshaping the national innovation data NCSES collects in order to better inform public and private sector decision makers as they address the innovation policy issues before them. </w:t>
      </w:r>
    </w:p>
    <w:p w14:paraId="427F95C2" w14:textId="77777777" w:rsidR="00AA59FE" w:rsidRPr="00AA59FE" w:rsidRDefault="00AA59FE" w:rsidP="00AA59FE">
      <w:pPr>
        <w:pStyle w:val="NormalWeb"/>
        <w:ind w:left="360"/>
        <w:rPr>
          <w:rStyle w:val="Strong"/>
          <w:rFonts w:asciiTheme="minorHAnsi" w:hAnsiTheme="minorHAnsi"/>
          <w:b w:val="0"/>
          <w:color w:val="auto"/>
          <w:sz w:val="22"/>
          <w:szCs w:val="22"/>
        </w:rPr>
      </w:pPr>
      <w:r w:rsidRPr="00AA59FE">
        <w:rPr>
          <w:rStyle w:val="Strong"/>
          <w:rFonts w:asciiTheme="minorHAnsi" w:hAnsiTheme="minorHAnsi"/>
          <w:b w:val="0"/>
          <w:color w:val="auto"/>
          <w:sz w:val="22"/>
          <w:szCs w:val="22"/>
        </w:rPr>
        <w:t>After the MIST pilot (2015), 20 debriefing interviews were conducted to understand general reactions to the survey, evaluate content of the questionnaire, such as learning whether and why businesses made errors in some of their responses (e. g., based on question misinterpretation or lack of knowledge), effectiveness of the contact strategies, what motivated businesses to respond and for the non-respondents why they did not respond. The MIST questionnaire became the Microbusiness Research and Development and Innovation Survey (MBRDIS - 2016). The MBRDIS questionnaire was integrated into several sections of the ABS.</w:t>
      </w:r>
    </w:p>
    <w:p w14:paraId="6E05D9CA" w14:textId="692BDB60" w:rsidR="009A0754" w:rsidRDefault="00AA59FE" w:rsidP="00F641A3">
      <w:pPr>
        <w:pStyle w:val="NormalWeb"/>
        <w:ind w:left="360"/>
        <w:rPr>
          <w:rStyle w:val="Strong"/>
          <w:rFonts w:asciiTheme="minorHAnsi" w:hAnsiTheme="minorHAnsi"/>
          <w:b w:val="0"/>
          <w:sz w:val="22"/>
          <w:szCs w:val="22"/>
        </w:rPr>
      </w:pPr>
      <w:r w:rsidRPr="00AA59FE">
        <w:rPr>
          <w:rStyle w:val="Strong"/>
          <w:rFonts w:asciiTheme="minorHAnsi" w:hAnsiTheme="minorHAnsi"/>
          <w:b w:val="0"/>
          <w:color w:val="auto"/>
          <w:sz w:val="22"/>
          <w:szCs w:val="22"/>
        </w:rPr>
        <w:t xml:space="preserve">In addition to the work previously completed, 20 cognitive interviews (see </w:t>
      </w:r>
      <w:r w:rsidR="007468CE">
        <w:rPr>
          <w:rStyle w:val="Strong"/>
          <w:rFonts w:asciiTheme="minorHAnsi" w:hAnsiTheme="minorHAnsi"/>
          <w:b w:val="0"/>
          <w:color w:val="auto"/>
          <w:sz w:val="22"/>
          <w:szCs w:val="22"/>
        </w:rPr>
        <w:t>A</w:t>
      </w:r>
      <w:r w:rsidRPr="00AA59FE">
        <w:rPr>
          <w:rStyle w:val="Strong"/>
          <w:rFonts w:asciiTheme="minorHAnsi" w:hAnsiTheme="minorHAnsi"/>
          <w:b w:val="0"/>
          <w:color w:val="auto"/>
          <w:sz w:val="22"/>
          <w:szCs w:val="22"/>
        </w:rPr>
        <w:t>ttachment</w:t>
      </w:r>
      <w:r w:rsidR="00095A40">
        <w:rPr>
          <w:rStyle w:val="Strong"/>
          <w:rFonts w:asciiTheme="minorHAnsi" w:hAnsiTheme="minorHAnsi"/>
          <w:b w:val="0"/>
          <w:color w:val="auto"/>
          <w:sz w:val="22"/>
          <w:szCs w:val="22"/>
        </w:rPr>
        <w:t xml:space="preserve"> </w:t>
      </w:r>
      <w:r w:rsidR="00B0661F">
        <w:rPr>
          <w:rStyle w:val="Strong"/>
          <w:rFonts w:asciiTheme="minorHAnsi" w:hAnsiTheme="minorHAnsi"/>
          <w:b w:val="0"/>
          <w:color w:val="auto"/>
          <w:sz w:val="22"/>
          <w:szCs w:val="22"/>
        </w:rPr>
        <w:t>F</w:t>
      </w:r>
      <w:r w:rsidRPr="00AA59FE">
        <w:rPr>
          <w:rStyle w:val="Strong"/>
          <w:rFonts w:asciiTheme="minorHAnsi" w:hAnsiTheme="minorHAnsi"/>
          <w:b w:val="0"/>
          <w:color w:val="auto"/>
          <w:sz w:val="22"/>
          <w:szCs w:val="22"/>
        </w:rPr>
        <w:t>) were conducted to test a draft module of 13 innovation questions, to explore relevance and comprehension of the module content for the population of U.S. businesses. The objective was to assess respondent interpretation of the questions, relevance of the content, feasibility of response, and appropriateness of the response options. Currently, debriefing interviews are being conducted with MBRDIS respondents.</w:t>
      </w:r>
    </w:p>
    <w:p w14:paraId="00715F62" w14:textId="086FF497" w:rsidR="001F482B" w:rsidRPr="00546A24" w:rsidRDefault="00897109" w:rsidP="001C4D18">
      <w:pPr>
        <w:ind w:left="360"/>
        <w:rPr>
          <w:rFonts w:asciiTheme="minorHAnsi" w:hAnsiTheme="minorHAnsi"/>
        </w:rPr>
      </w:pPr>
      <w:r w:rsidRPr="00546A24">
        <w:rPr>
          <w:rStyle w:val="Strong"/>
          <w:rFonts w:asciiTheme="minorHAnsi" w:hAnsiTheme="minorHAnsi"/>
          <w:b w:val="0"/>
        </w:rPr>
        <w:t>T</w:t>
      </w:r>
      <w:r w:rsidR="002B6745" w:rsidRPr="00546A24">
        <w:rPr>
          <w:rStyle w:val="Strong"/>
          <w:rFonts w:asciiTheme="minorHAnsi" w:hAnsiTheme="minorHAnsi"/>
          <w:b w:val="0"/>
        </w:rPr>
        <w:t xml:space="preserve">he Census Bureau </w:t>
      </w:r>
      <w:r w:rsidR="00C04971" w:rsidRPr="00546A24">
        <w:rPr>
          <w:rStyle w:val="Strong"/>
          <w:rFonts w:asciiTheme="minorHAnsi" w:hAnsiTheme="minorHAnsi"/>
          <w:b w:val="0"/>
        </w:rPr>
        <w:t>consulted th</w:t>
      </w:r>
      <w:r w:rsidR="00C04971" w:rsidRPr="00276A13">
        <w:rPr>
          <w:rStyle w:val="Strong"/>
          <w:rFonts w:asciiTheme="minorHAnsi" w:hAnsiTheme="minorHAnsi"/>
          <w:b w:val="0"/>
        </w:rPr>
        <w:t xml:space="preserve">e </w:t>
      </w:r>
      <w:r w:rsidR="00C04971" w:rsidRPr="00483258">
        <w:rPr>
          <w:rStyle w:val="Strong"/>
          <w:rFonts w:asciiTheme="minorHAnsi" w:hAnsiTheme="minorHAnsi"/>
          <w:b w:val="0"/>
        </w:rPr>
        <w:t>following officials</w:t>
      </w:r>
      <w:r w:rsidR="00C04971" w:rsidRPr="00546A24">
        <w:rPr>
          <w:rStyle w:val="Strong"/>
          <w:rFonts w:asciiTheme="minorHAnsi" w:hAnsiTheme="minorHAnsi"/>
          <w:b w:val="0"/>
        </w:rPr>
        <w:t xml:space="preserve"> and agencies</w:t>
      </w:r>
      <w:r w:rsidR="00F733D5">
        <w:rPr>
          <w:rStyle w:val="Strong"/>
          <w:rFonts w:asciiTheme="minorHAnsi" w:hAnsiTheme="minorHAnsi"/>
          <w:b w:val="0"/>
        </w:rPr>
        <w:t xml:space="preserve"> regarding content for the ABS</w:t>
      </w:r>
      <w:r w:rsidR="00C04971" w:rsidRPr="00546A24">
        <w:rPr>
          <w:rStyle w:val="Strong"/>
          <w:rFonts w:asciiTheme="minorHAnsi" w:hAnsiTheme="minorHAnsi"/>
          <w:b w:val="0"/>
        </w:rPr>
        <w:t>:</w:t>
      </w:r>
    </w:p>
    <w:p w14:paraId="3D875EB7" w14:textId="77777777" w:rsidR="0084103E" w:rsidRPr="00546A24" w:rsidRDefault="0084103E" w:rsidP="0002635B">
      <w:pPr>
        <w:pStyle w:val="NoSpacing"/>
        <w:ind w:left="360"/>
        <w:rPr>
          <w:rFonts w:asciiTheme="minorHAnsi" w:hAnsiTheme="minorHAnsi"/>
          <w:sz w:val="22"/>
          <w:szCs w:val="22"/>
        </w:rPr>
        <w:sectPr w:rsidR="0084103E" w:rsidRPr="00546A24">
          <w:footerReference w:type="default" r:id="rId10"/>
          <w:pgSz w:w="12240" w:h="15840"/>
          <w:pgMar w:top="1440" w:right="1440" w:bottom="1440" w:left="1440" w:header="720" w:footer="720" w:gutter="0"/>
          <w:cols w:space="720"/>
          <w:docGrid w:linePitch="360"/>
        </w:sectPr>
      </w:pPr>
    </w:p>
    <w:p w14:paraId="66701CEF" w14:textId="77777777" w:rsidR="00EA4BFB" w:rsidRPr="00076AC4" w:rsidRDefault="00EA4BFB" w:rsidP="00EA4BFB">
      <w:pPr>
        <w:pStyle w:val="NoSpacing"/>
        <w:ind w:left="360"/>
        <w:rPr>
          <w:rFonts w:asciiTheme="minorHAnsi" w:hAnsiTheme="minorHAnsi"/>
          <w:sz w:val="22"/>
          <w:szCs w:val="22"/>
        </w:rPr>
      </w:pPr>
      <w:r w:rsidRPr="00076AC4">
        <w:rPr>
          <w:rFonts w:asciiTheme="minorHAnsi" w:hAnsiTheme="minorHAnsi"/>
          <w:sz w:val="22"/>
          <w:szCs w:val="22"/>
        </w:rPr>
        <w:t>John Jankowski, Program Director</w:t>
      </w:r>
    </w:p>
    <w:p w14:paraId="7612F4EE" w14:textId="77777777" w:rsidR="00EA4BFB" w:rsidRPr="000B1FB7" w:rsidRDefault="00EA4BFB" w:rsidP="00EA4BFB">
      <w:pPr>
        <w:pStyle w:val="NoSpacing"/>
        <w:ind w:left="360"/>
        <w:rPr>
          <w:rFonts w:asciiTheme="minorHAnsi" w:hAnsiTheme="minorHAnsi"/>
          <w:sz w:val="22"/>
          <w:szCs w:val="22"/>
        </w:rPr>
      </w:pPr>
      <w:r w:rsidRPr="000B1FB7">
        <w:rPr>
          <w:rFonts w:asciiTheme="minorHAnsi" w:hAnsiTheme="minorHAnsi"/>
          <w:sz w:val="22"/>
          <w:szCs w:val="22"/>
        </w:rPr>
        <w:t>National Science Foundation</w:t>
      </w:r>
    </w:p>
    <w:p w14:paraId="504B552E" w14:textId="77777777" w:rsidR="00EA4BFB" w:rsidRPr="009E6EC2" w:rsidRDefault="00EA4BFB" w:rsidP="00EA4BFB">
      <w:pPr>
        <w:pStyle w:val="NoSpacing"/>
        <w:ind w:left="360"/>
        <w:rPr>
          <w:rFonts w:asciiTheme="minorHAnsi" w:hAnsiTheme="minorHAnsi"/>
          <w:sz w:val="22"/>
          <w:szCs w:val="22"/>
        </w:rPr>
      </w:pPr>
      <w:r w:rsidRPr="009E6EC2">
        <w:rPr>
          <w:rFonts w:asciiTheme="minorHAnsi" w:hAnsiTheme="minorHAnsi"/>
          <w:sz w:val="22"/>
          <w:szCs w:val="22"/>
        </w:rPr>
        <w:t>National Center for Science and Engineering Statistics</w:t>
      </w:r>
    </w:p>
    <w:p w14:paraId="06B4AA7F" w14:textId="4DF951A2" w:rsidR="00EA4BFB" w:rsidRDefault="00276A13" w:rsidP="00EA4BFB">
      <w:pPr>
        <w:pStyle w:val="NoSpacing"/>
        <w:ind w:left="360"/>
        <w:rPr>
          <w:rFonts w:asciiTheme="minorHAnsi" w:hAnsiTheme="minorHAnsi"/>
          <w:sz w:val="22"/>
          <w:szCs w:val="22"/>
        </w:rPr>
      </w:pPr>
      <w:r>
        <w:rPr>
          <w:rFonts w:asciiTheme="minorHAnsi" w:hAnsiTheme="minorHAnsi"/>
          <w:sz w:val="22"/>
          <w:szCs w:val="22"/>
        </w:rPr>
        <w:t>2415 Eisenhower Avenue</w:t>
      </w:r>
    </w:p>
    <w:p w14:paraId="70BD8CF0" w14:textId="3D5FDCA8" w:rsidR="00276A13" w:rsidRDefault="00276A13" w:rsidP="00EA4BFB">
      <w:pPr>
        <w:pStyle w:val="NoSpacing"/>
        <w:ind w:left="360"/>
        <w:rPr>
          <w:rFonts w:asciiTheme="minorHAnsi" w:hAnsiTheme="minorHAnsi"/>
          <w:sz w:val="22"/>
          <w:szCs w:val="22"/>
        </w:rPr>
      </w:pPr>
      <w:r>
        <w:rPr>
          <w:rFonts w:asciiTheme="minorHAnsi" w:hAnsiTheme="minorHAnsi"/>
          <w:sz w:val="22"/>
          <w:szCs w:val="22"/>
        </w:rPr>
        <w:t>Alexandria VA, 22314</w:t>
      </w:r>
    </w:p>
    <w:p w14:paraId="21A0F6D8" w14:textId="77777777" w:rsidR="00276A13" w:rsidRPr="00F736EE" w:rsidRDefault="00276A13" w:rsidP="00EA4BFB">
      <w:pPr>
        <w:pStyle w:val="NoSpacing"/>
        <w:ind w:left="360"/>
        <w:rPr>
          <w:rFonts w:asciiTheme="minorHAnsi" w:hAnsiTheme="minorHAnsi"/>
          <w:sz w:val="22"/>
          <w:szCs w:val="22"/>
        </w:rPr>
      </w:pPr>
    </w:p>
    <w:p w14:paraId="5BFD7ECF" w14:textId="77777777" w:rsidR="00EA4BFB" w:rsidRPr="00937D19" w:rsidRDefault="00EA4BFB" w:rsidP="00EA4BFB">
      <w:pPr>
        <w:pStyle w:val="NoSpacing"/>
        <w:ind w:left="360"/>
        <w:rPr>
          <w:rFonts w:asciiTheme="minorHAnsi" w:hAnsiTheme="minorHAnsi"/>
          <w:sz w:val="22"/>
          <w:szCs w:val="22"/>
        </w:rPr>
      </w:pPr>
      <w:r w:rsidRPr="00937D19">
        <w:rPr>
          <w:rFonts w:asciiTheme="minorHAnsi" w:hAnsiTheme="minorHAnsi"/>
          <w:sz w:val="22"/>
          <w:szCs w:val="22"/>
        </w:rPr>
        <w:t>Audrey Kindlon, Survey Statistician</w:t>
      </w:r>
    </w:p>
    <w:p w14:paraId="26F6BFA4" w14:textId="77777777" w:rsidR="00EA4BFB" w:rsidRPr="007A175B" w:rsidRDefault="00EA4BFB" w:rsidP="00EA4BFB">
      <w:pPr>
        <w:pStyle w:val="NoSpacing"/>
        <w:ind w:left="360"/>
        <w:rPr>
          <w:rFonts w:asciiTheme="minorHAnsi" w:hAnsiTheme="minorHAnsi"/>
          <w:sz w:val="22"/>
          <w:szCs w:val="22"/>
        </w:rPr>
      </w:pPr>
      <w:r w:rsidRPr="007A175B">
        <w:rPr>
          <w:rFonts w:asciiTheme="minorHAnsi" w:hAnsiTheme="minorHAnsi"/>
          <w:sz w:val="22"/>
          <w:szCs w:val="22"/>
        </w:rPr>
        <w:t>National Science Foundation</w:t>
      </w:r>
    </w:p>
    <w:p w14:paraId="6322B464" w14:textId="77777777" w:rsidR="00EA4BFB" w:rsidRPr="007715DC" w:rsidRDefault="00EA4BFB" w:rsidP="00EA4BFB">
      <w:pPr>
        <w:pStyle w:val="NoSpacing"/>
        <w:ind w:left="360"/>
        <w:rPr>
          <w:rFonts w:asciiTheme="minorHAnsi" w:hAnsiTheme="minorHAnsi"/>
          <w:sz w:val="22"/>
          <w:szCs w:val="22"/>
        </w:rPr>
      </w:pPr>
      <w:r w:rsidRPr="00436F91">
        <w:rPr>
          <w:rFonts w:asciiTheme="minorHAnsi" w:hAnsiTheme="minorHAnsi"/>
          <w:sz w:val="22"/>
          <w:szCs w:val="22"/>
        </w:rPr>
        <w:t>National Center for Scie</w:t>
      </w:r>
      <w:r w:rsidRPr="007715DC">
        <w:rPr>
          <w:rFonts w:asciiTheme="minorHAnsi" w:hAnsiTheme="minorHAnsi"/>
          <w:sz w:val="22"/>
          <w:szCs w:val="22"/>
        </w:rPr>
        <w:t>nce and Engineering Statistics</w:t>
      </w:r>
    </w:p>
    <w:p w14:paraId="5CD05100" w14:textId="77777777" w:rsidR="00276A13" w:rsidRDefault="00276A13" w:rsidP="00276A13">
      <w:pPr>
        <w:pStyle w:val="NoSpacing"/>
        <w:ind w:left="360"/>
        <w:rPr>
          <w:rFonts w:asciiTheme="minorHAnsi" w:hAnsiTheme="minorHAnsi"/>
          <w:sz w:val="22"/>
          <w:szCs w:val="22"/>
        </w:rPr>
      </w:pPr>
      <w:r>
        <w:rPr>
          <w:rFonts w:asciiTheme="minorHAnsi" w:hAnsiTheme="minorHAnsi"/>
          <w:sz w:val="22"/>
          <w:szCs w:val="22"/>
        </w:rPr>
        <w:t>2415 Eisenhower Avenue</w:t>
      </w:r>
    </w:p>
    <w:p w14:paraId="3EC04830" w14:textId="77777777" w:rsidR="00276A13" w:rsidRDefault="00276A13" w:rsidP="00276A13">
      <w:pPr>
        <w:pStyle w:val="NoSpacing"/>
        <w:ind w:left="360"/>
        <w:rPr>
          <w:rFonts w:asciiTheme="minorHAnsi" w:hAnsiTheme="minorHAnsi"/>
          <w:sz w:val="22"/>
          <w:szCs w:val="22"/>
        </w:rPr>
      </w:pPr>
      <w:r>
        <w:rPr>
          <w:rFonts w:asciiTheme="minorHAnsi" w:hAnsiTheme="minorHAnsi"/>
          <w:sz w:val="22"/>
          <w:szCs w:val="22"/>
        </w:rPr>
        <w:t>Alexandria VA, 22314</w:t>
      </w:r>
    </w:p>
    <w:p w14:paraId="094F0E53" w14:textId="77777777" w:rsidR="00EA4BFB" w:rsidRDefault="00EA4BFB" w:rsidP="0002635B">
      <w:pPr>
        <w:pStyle w:val="NormalWeb"/>
        <w:spacing w:before="0" w:beforeAutospacing="0" w:after="0" w:afterAutospacing="0"/>
        <w:ind w:left="360"/>
        <w:rPr>
          <w:rFonts w:asciiTheme="minorHAnsi" w:hAnsiTheme="minorHAnsi"/>
          <w:sz w:val="22"/>
          <w:szCs w:val="22"/>
        </w:rPr>
      </w:pPr>
    </w:p>
    <w:p w14:paraId="4CC7698C" w14:textId="6AA4CCD8"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Alicia M. Robb, Senior Research Fellow</w:t>
      </w:r>
      <w:r w:rsidR="00EA4BFB">
        <w:rPr>
          <w:rStyle w:val="Strong"/>
          <w:rFonts w:asciiTheme="minorHAnsi" w:hAnsiTheme="minorHAnsi"/>
          <w:b w:val="0"/>
          <w:color w:val="auto"/>
          <w:sz w:val="22"/>
          <w:szCs w:val="22"/>
        </w:rPr>
        <w:t xml:space="preserve"> (former)</w:t>
      </w:r>
    </w:p>
    <w:p w14:paraId="1928F5E1"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14:paraId="536D804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14:paraId="6162F9C1" w14:textId="298A64FB"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14:paraId="4081A84B" w14:textId="77777777" w:rsidR="00897109" w:rsidRPr="00546A24" w:rsidRDefault="00897109" w:rsidP="00897109">
      <w:pPr>
        <w:pStyle w:val="NoSpacing"/>
        <w:ind w:left="360"/>
        <w:rPr>
          <w:rFonts w:asciiTheme="minorHAnsi" w:hAnsiTheme="minorHAnsi"/>
          <w:sz w:val="22"/>
          <w:szCs w:val="22"/>
        </w:rPr>
      </w:pPr>
    </w:p>
    <w:p w14:paraId="7D5BEF91" w14:textId="2CD89A7F" w:rsidR="00897109" w:rsidRPr="00076AC4" w:rsidRDefault="00897109" w:rsidP="00897109">
      <w:pPr>
        <w:pStyle w:val="NoSpacing"/>
        <w:ind w:left="360"/>
        <w:rPr>
          <w:rFonts w:asciiTheme="minorHAnsi" w:hAnsiTheme="minorHAnsi"/>
          <w:sz w:val="22"/>
          <w:szCs w:val="22"/>
        </w:rPr>
      </w:pPr>
      <w:r w:rsidRPr="00076AC4">
        <w:rPr>
          <w:rFonts w:asciiTheme="minorHAnsi" w:hAnsiTheme="minorHAnsi"/>
          <w:sz w:val="22"/>
          <w:szCs w:val="22"/>
        </w:rPr>
        <w:t>Arnobio Morelix, Senior Research Analyst &amp; Program Officer</w:t>
      </w:r>
      <w:r w:rsidR="00EA4BFB">
        <w:rPr>
          <w:rFonts w:asciiTheme="minorHAnsi" w:hAnsiTheme="minorHAnsi"/>
          <w:sz w:val="22"/>
          <w:szCs w:val="22"/>
        </w:rPr>
        <w:t xml:space="preserve"> (former)</w:t>
      </w:r>
    </w:p>
    <w:p w14:paraId="4B02839D" w14:textId="77777777" w:rsidR="00897109" w:rsidRPr="000B1FB7" w:rsidRDefault="00897109" w:rsidP="00897109">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14:paraId="3A7FF447" w14:textId="77777777" w:rsidR="00897109" w:rsidRPr="009E6EC2" w:rsidRDefault="00897109" w:rsidP="00897109">
      <w:pPr>
        <w:pStyle w:val="NoSpacing"/>
        <w:ind w:left="360"/>
        <w:rPr>
          <w:rFonts w:asciiTheme="minorHAnsi" w:hAnsiTheme="minorHAnsi"/>
          <w:sz w:val="22"/>
          <w:szCs w:val="22"/>
        </w:rPr>
      </w:pPr>
      <w:r w:rsidRPr="009E6EC2">
        <w:rPr>
          <w:rFonts w:asciiTheme="minorHAnsi" w:hAnsiTheme="minorHAnsi"/>
          <w:sz w:val="22"/>
          <w:szCs w:val="22"/>
        </w:rPr>
        <w:t>4801 Rockhill Road</w:t>
      </w:r>
    </w:p>
    <w:p w14:paraId="70C5D723" w14:textId="358C7117" w:rsidR="003830DB" w:rsidRPr="00546A24" w:rsidRDefault="00897109" w:rsidP="0002635B">
      <w:pPr>
        <w:pStyle w:val="NoSpacing"/>
        <w:ind w:left="360"/>
        <w:rPr>
          <w:rFonts w:asciiTheme="minorHAnsi" w:hAnsiTheme="minorHAnsi"/>
          <w:sz w:val="22"/>
          <w:szCs w:val="22"/>
        </w:rPr>
      </w:pPr>
      <w:r w:rsidRPr="00DC1289">
        <w:rPr>
          <w:rFonts w:asciiTheme="minorHAnsi" w:hAnsiTheme="minorHAnsi"/>
          <w:sz w:val="22"/>
          <w:szCs w:val="22"/>
        </w:rPr>
        <w:t>Kansas City, MO 64112</w:t>
      </w:r>
    </w:p>
    <w:p w14:paraId="77B39AFB" w14:textId="77777777" w:rsidR="003830DB" w:rsidRPr="00546A24" w:rsidRDefault="003830DB" w:rsidP="0002635B">
      <w:pPr>
        <w:pStyle w:val="NoSpacing"/>
        <w:ind w:left="360"/>
        <w:rPr>
          <w:rFonts w:asciiTheme="minorHAnsi" w:hAnsiTheme="minorHAnsi"/>
          <w:sz w:val="22"/>
          <w:szCs w:val="22"/>
        </w:rPr>
      </w:pPr>
    </w:p>
    <w:p w14:paraId="404D97C7"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Robert W. Fairlie, Professor</w:t>
      </w:r>
    </w:p>
    <w:p w14:paraId="7BC48C39"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14:paraId="3E446C3B"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Department of Economics, Engineering 2 Building</w:t>
      </w:r>
    </w:p>
    <w:p w14:paraId="61F8E148" w14:textId="77777777" w:rsidR="003830DB" w:rsidRPr="00546A24" w:rsidRDefault="003830DB" w:rsidP="0002635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14:paraId="23E77CCC" w14:textId="77777777" w:rsidR="003830DB" w:rsidRPr="00546A24" w:rsidRDefault="003830DB" w:rsidP="0002635B">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14:paraId="2AB94CC7" w14:textId="606383BB" w:rsidR="00F728EC" w:rsidRPr="00C323EE" w:rsidRDefault="00F728EC" w:rsidP="0002635B">
      <w:pPr>
        <w:shd w:val="clear" w:color="auto" w:fill="FFFFFF"/>
        <w:spacing w:after="0" w:line="240" w:lineRule="auto"/>
        <w:ind w:left="360"/>
        <w:rPr>
          <w:rFonts w:asciiTheme="minorHAnsi" w:hAnsiTheme="minorHAnsi"/>
        </w:rPr>
      </w:pPr>
    </w:p>
    <w:p w14:paraId="33ECF4A6" w14:textId="031AA20F"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Miriam Segal, Research Analyst</w:t>
      </w:r>
      <w:r w:rsidR="00E30B5A">
        <w:rPr>
          <w:rFonts w:asciiTheme="minorHAnsi" w:eastAsia="Times New Roman" w:hAnsiTheme="minorHAnsi"/>
        </w:rPr>
        <w:t xml:space="preserve"> (former)</w:t>
      </w:r>
    </w:p>
    <w:p w14:paraId="2472577A" w14:textId="681BE124" w:rsidR="003830DB" w:rsidRPr="00C323EE"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Small Business Administration</w:t>
      </w:r>
    </w:p>
    <w:p w14:paraId="735E2C10"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2A45522E" w14:textId="03EE4EF8" w:rsidR="00622297" w:rsidRDefault="00E30B5A"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r w:rsidR="003830DB" w:rsidRPr="00C323EE">
        <w:rPr>
          <w:rFonts w:asciiTheme="minorHAnsi" w:hAnsiTheme="minorHAnsi"/>
          <w:iCs/>
        </w:rPr>
        <w:br/>
      </w:r>
    </w:p>
    <w:p w14:paraId="47DD2FB8" w14:textId="6699830C"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Brian Headd, Economist</w:t>
      </w:r>
    </w:p>
    <w:p w14:paraId="0B7C7BF1"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41AB74B6" w14:textId="77777777" w:rsidR="003830DB" w:rsidRPr="00C323EE"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69A951BE" w14:textId="7B5A1BF4" w:rsidR="003830DB" w:rsidRDefault="003830DB"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4AEF5414" w14:textId="2A7D2459" w:rsidR="00E30B5A" w:rsidRDefault="00E30B5A" w:rsidP="0002635B">
      <w:pPr>
        <w:shd w:val="clear" w:color="auto" w:fill="FFFFFF"/>
        <w:spacing w:after="0" w:line="240" w:lineRule="auto"/>
        <w:ind w:left="360"/>
        <w:rPr>
          <w:rFonts w:asciiTheme="minorHAnsi" w:eastAsia="Times New Roman" w:hAnsiTheme="minorHAnsi"/>
        </w:rPr>
      </w:pPr>
    </w:p>
    <w:p w14:paraId="1DE82587" w14:textId="58215164" w:rsidR="00E30B5A"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Patrick Delehanty</w:t>
      </w:r>
      <w:r w:rsidR="00E40177">
        <w:rPr>
          <w:rFonts w:asciiTheme="minorHAnsi" w:eastAsia="Times New Roman" w:hAnsiTheme="minorHAnsi"/>
        </w:rPr>
        <w:t>, Acting Director of Economic Research</w:t>
      </w:r>
    </w:p>
    <w:p w14:paraId="4B395911"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721AB70A"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45CE301F" w14:textId="2C1EB75B" w:rsidR="00F36ED1" w:rsidRDefault="00E30B5A" w:rsidP="0002635B">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3F1263C1" w14:textId="77777777" w:rsidR="00F36ED1" w:rsidRDefault="00F36ED1" w:rsidP="0002635B">
      <w:pPr>
        <w:shd w:val="clear" w:color="auto" w:fill="FFFFFF"/>
        <w:spacing w:after="0" w:line="240" w:lineRule="auto"/>
        <w:ind w:left="360"/>
        <w:rPr>
          <w:rFonts w:asciiTheme="minorHAnsi" w:eastAsia="Times New Roman" w:hAnsiTheme="minorHAnsi"/>
        </w:rPr>
      </w:pPr>
    </w:p>
    <w:p w14:paraId="584D9D96" w14:textId="5E9CC3DA" w:rsidR="00E30B5A" w:rsidRDefault="00E30B5A"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Joseph S</w:t>
      </w:r>
      <w:r w:rsidR="00E40177">
        <w:rPr>
          <w:rFonts w:asciiTheme="minorHAnsi" w:eastAsia="Times New Roman" w:hAnsiTheme="minorHAnsi"/>
        </w:rPr>
        <w:t>o</w:t>
      </w:r>
      <w:r>
        <w:rPr>
          <w:rFonts w:asciiTheme="minorHAnsi" w:eastAsia="Times New Roman" w:hAnsiTheme="minorHAnsi"/>
        </w:rPr>
        <w:t>bota</w:t>
      </w:r>
      <w:r w:rsidR="00E40177">
        <w:rPr>
          <w:rFonts w:asciiTheme="minorHAnsi" w:eastAsia="Times New Roman" w:hAnsiTheme="minorHAnsi"/>
        </w:rPr>
        <w:t>, Assistant Chief Counsel</w:t>
      </w:r>
    </w:p>
    <w:p w14:paraId="3F525B0E"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Small Business Administration</w:t>
      </w:r>
    </w:p>
    <w:p w14:paraId="557BF8A2" w14:textId="77777777" w:rsidR="00E30B5A" w:rsidRPr="00C323EE"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eastAsia="Times New Roman" w:hAnsiTheme="minorHAnsi"/>
        </w:rPr>
        <w:t xml:space="preserve">Office of Advocacy </w:t>
      </w:r>
    </w:p>
    <w:p w14:paraId="0FFE42CF" w14:textId="77777777" w:rsidR="00E30B5A" w:rsidRDefault="00E30B5A" w:rsidP="00E30B5A">
      <w:pPr>
        <w:shd w:val="clear" w:color="auto" w:fill="FFFFFF"/>
        <w:spacing w:after="0" w:line="240" w:lineRule="auto"/>
        <w:ind w:left="360"/>
        <w:rPr>
          <w:rFonts w:asciiTheme="minorHAnsi" w:eastAsia="Times New Roman"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asciiTheme="minorHAnsi" w:eastAsia="Times New Roman" w:hAnsiTheme="minorHAnsi"/>
        </w:rPr>
        <w:t xml:space="preserve"> </w:t>
      </w:r>
    </w:p>
    <w:p w14:paraId="2E935FAD" w14:textId="77777777" w:rsidR="00E30B5A" w:rsidRPr="00C323EE" w:rsidRDefault="00E30B5A" w:rsidP="0002635B">
      <w:pPr>
        <w:shd w:val="clear" w:color="auto" w:fill="FFFFFF"/>
        <w:spacing w:after="0" w:line="240" w:lineRule="auto"/>
        <w:ind w:left="360"/>
        <w:rPr>
          <w:rFonts w:asciiTheme="minorHAnsi" w:eastAsia="Times New Roman" w:hAnsiTheme="minorHAnsi"/>
        </w:rPr>
      </w:pPr>
    </w:p>
    <w:p w14:paraId="1FB1C7E2" w14:textId="6E32F748" w:rsidR="003830DB"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Ester Morales, Executive Director</w:t>
      </w:r>
    </w:p>
    <w:p w14:paraId="34457147" w14:textId="25F353DA"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National Women’s Business Council</w:t>
      </w:r>
    </w:p>
    <w:p w14:paraId="02E4AC0A" w14:textId="14978FB8"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409 Third Street, SW, 5</w:t>
      </w:r>
      <w:r w:rsidRPr="00483258">
        <w:rPr>
          <w:rFonts w:asciiTheme="minorHAnsi" w:eastAsia="Times New Roman" w:hAnsiTheme="minorHAnsi"/>
          <w:vertAlign w:val="superscript"/>
        </w:rPr>
        <w:t>th</w:t>
      </w:r>
      <w:r>
        <w:rPr>
          <w:rFonts w:asciiTheme="minorHAnsi" w:eastAsia="Times New Roman" w:hAnsiTheme="minorHAnsi"/>
        </w:rPr>
        <w:t xml:space="preserve"> Floor</w:t>
      </w:r>
    </w:p>
    <w:p w14:paraId="157152DF" w14:textId="230009C1"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Washington, DC 20416</w:t>
      </w:r>
    </w:p>
    <w:p w14:paraId="03B1BFFC" w14:textId="1EA716D0" w:rsidR="00687073"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Delores Rowen, Research Manager</w:t>
      </w:r>
    </w:p>
    <w:p w14:paraId="0B22F4DE" w14:textId="53938727" w:rsidR="00687073" w:rsidRPr="00C323EE" w:rsidRDefault="00687073" w:rsidP="0002635B">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National Women’s Business Council</w:t>
      </w:r>
    </w:p>
    <w:p w14:paraId="34D0CDB0" w14:textId="3561E3F5" w:rsidR="00687073" w:rsidRDefault="00EA4BFB" w:rsidP="00687073">
      <w:pPr>
        <w:shd w:val="clear" w:color="auto" w:fill="FFFFFF"/>
        <w:spacing w:after="0" w:line="240" w:lineRule="auto"/>
        <w:ind w:left="360"/>
        <w:rPr>
          <w:rFonts w:asciiTheme="minorHAnsi" w:eastAsia="Times New Roman" w:hAnsiTheme="minorHAnsi"/>
        </w:rPr>
      </w:pPr>
      <w:r w:rsidRPr="00C323EE" w:rsidDel="00EA4BFB">
        <w:rPr>
          <w:rFonts w:asciiTheme="minorHAnsi" w:hAnsiTheme="minorHAnsi"/>
          <w:lang w:val="en"/>
        </w:rPr>
        <w:t xml:space="preserve"> </w:t>
      </w:r>
      <w:r w:rsidR="00687073">
        <w:rPr>
          <w:rFonts w:asciiTheme="minorHAnsi" w:eastAsia="Times New Roman" w:hAnsiTheme="minorHAnsi"/>
        </w:rPr>
        <w:t>409 Third Street, SW, 5</w:t>
      </w:r>
      <w:r w:rsidR="00687073" w:rsidRPr="00BD77FA">
        <w:rPr>
          <w:rFonts w:asciiTheme="minorHAnsi" w:eastAsia="Times New Roman" w:hAnsiTheme="minorHAnsi"/>
          <w:vertAlign w:val="superscript"/>
        </w:rPr>
        <w:t>th</w:t>
      </w:r>
      <w:r w:rsidR="00687073">
        <w:rPr>
          <w:rFonts w:asciiTheme="minorHAnsi" w:eastAsia="Times New Roman" w:hAnsiTheme="minorHAnsi"/>
        </w:rPr>
        <w:t xml:space="preserve"> Floor</w:t>
      </w:r>
    </w:p>
    <w:p w14:paraId="496FAC55" w14:textId="3897AC3E" w:rsidR="00687073" w:rsidRDefault="0068707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Washington, DC 20416</w:t>
      </w:r>
    </w:p>
    <w:p w14:paraId="2DB79E1E" w14:textId="18A049CD" w:rsidR="00687073" w:rsidRDefault="00687073" w:rsidP="00687073">
      <w:pPr>
        <w:shd w:val="clear" w:color="auto" w:fill="FFFFFF"/>
        <w:spacing w:after="0" w:line="240" w:lineRule="auto"/>
        <w:ind w:left="360"/>
        <w:rPr>
          <w:rFonts w:asciiTheme="minorHAnsi" w:eastAsia="Times New Roman" w:hAnsiTheme="minorHAnsi"/>
        </w:rPr>
      </w:pPr>
    </w:p>
    <w:p w14:paraId="583C0CE6" w14:textId="07C0E95B" w:rsidR="00687073" w:rsidRDefault="0068707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Patricia Tomczyszyn</w:t>
      </w:r>
      <w:r w:rsidR="00276A13">
        <w:rPr>
          <w:rFonts w:asciiTheme="minorHAnsi" w:eastAsia="Times New Roman" w:hAnsiTheme="minorHAnsi"/>
        </w:rPr>
        <w:t>, Public Affairs Specialist</w:t>
      </w:r>
    </w:p>
    <w:p w14:paraId="0EC4EB34" w14:textId="0F8724D3" w:rsidR="00276A13" w:rsidRDefault="00276A13" w:rsidP="00687073">
      <w:pPr>
        <w:shd w:val="clear" w:color="auto" w:fill="FFFFFF"/>
        <w:spacing w:after="0" w:line="240" w:lineRule="auto"/>
        <w:ind w:left="360"/>
        <w:rPr>
          <w:rFonts w:asciiTheme="minorHAnsi" w:eastAsia="Times New Roman" w:hAnsiTheme="minorHAnsi"/>
        </w:rPr>
      </w:pPr>
      <w:r>
        <w:rPr>
          <w:rFonts w:asciiTheme="minorHAnsi" w:eastAsia="Times New Roman" w:hAnsiTheme="minorHAnsi"/>
        </w:rPr>
        <w:t>Minority Business Development Agency</w:t>
      </w:r>
    </w:p>
    <w:p w14:paraId="09371662" w14:textId="2F7103B3" w:rsidR="003830DB" w:rsidRDefault="00276A13" w:rsidP="00622297">
      <w:pPr>
        <w:shd w:val="clear" w:color="auto" w:fill="FFFFFF"/>
        <w:spacing w:after="0" w:line="240" w:lineRule="auto"/>
        <w:ind w:left="360"/>
        <w:rPr>
          <w:rFonts w:asciiTheme="minorHAnsi" w:eastAsia="Times New Roman"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14:paraId="1DA7AB38" w14:textId="779C1F3E" w:rsidR="00622297" w:rsidRDefault="00622297" w:rsidP="00622297">
      <w:pPr>
        <w:shd w:val="clear" w:color="auto" w:fill="FFFFFF"/>
        <w:spacing w:after="0" w:line="240" w:lineRule="auto"/>
        <w:ind w:left="360"/>
        <w:rPr>
          <w:rFonts w:asciiTheme="minorHAnsi" w:eastAsia="Times New Roman" w:hAnsiTheme="minorHAnsi"/>
        </w:rPr>
      </w:pPr>
    </w:p>
    <w:p w14:paraId="7F734AEF" w14:textId="77777777" w:rsidR="00622297" w:rsidRDefault="00622297" w:rsidP="00622297">
      <w:pPr>
        <w:shd w:val="clear" w:color="auto" w:fill="FFFFFF"/>
        <w:spacing w:after="0" w:line="240" w:lineRule="auto"/>
        <w:ind w:left="360"/>
        <w:rPr>
          <w:rFonts w:asciiTheme="minorHAnsi" w:eastAsia="Times New Roman" w:hAnsiTheme="minorHAnsi"/>
        </w:rPr>
        <w:sectPr w:rsidR="00622297" w:rsidSect="00F641A3">
          <w:type w:val="continuous"/>
          <w:pgSz w:w="12240" w:h="15840"/>
          <w:pgMar w:top="1440" w:right="1440" w:bottom="1440" w:left="1440" w:header="720" w:footer="720" w:gutter="0"/>
          <w:cols w:num="2" w:space="720"/>
          <w:docGrid w:linePitch="360"/>
        </w:sectPr>
      </w:pPr>
    </w:p>
    <w:p w14:paraId="3B679465" w14:textId="31DCD20F" w:rsidR="00622297" w:rsidRDefault="00622297" w:rsidP="00622297">
      <w:pPr>
        <w:shd w:val="clear" w:color="auto" w:fill="FFFFFF"/>
        <w:spacing w:after="0" w:line="240" w:lineRule="auto"/>
        <w:ind w:left="360"/>
        <w:rPr>
          <w:rFonts w:asciiTheme="minorHAnsi" w:eastAsia="Times New Roman" w:hAnsiTheme="minorHAnsi"/>
        </w:rPr>
      </w:pPr>
    </w:p>
    <w:p w14:paraId="2AEFE928" w14:textId="54628314" w:rsidR="00622297" w:rsidRDefault="00622297" w:rsidP="00622297">
      <w:pPr>
        <w:shd w:val="clear" w:color="auto" w:fill="FFFFFF"/>
        <w:spacing w:after="0" w:line="240" w:lineRule="auto"/>
        <w:ind w:left="360"/>
        <w:rPr>
          <w:rFonts w:asciiTheme="minorHAnsi" w:eastAsia="Times New Roman" w:hAnsiTheme="minorHAnsi"/>
        </w:rPr>
      </w:pPr>
    </w:p>
    <w:p w14:paraId="5CF51A8F" w14:textId="0E5DADCA" w:rsidR="00B23B77" w:rsidRDefault="00B23B77" w:rsidP="0002635B">
      <w:pPr>
        <w:pStyle w:val="NormalWeb"/>
        <w:spacing w:before="0" w:beforeAutospacing="0" w:after="0" w:afterAutospacing="0"/>
        <w:ind w:left="360"/>
        <w:rPr>
          <w:rStyle w:val="Strong"/>
          <w:rFonts w:asciiTheme="minorHAnsi" w:hAnsiTheme="minorHAnsi"/>
          <w:b w:val="0"/>
          <w:color w:val="auto"/>
          <w:sz w:val="22"/>
          <w:szCs w:val="22"/>
        </w:rPr>
        <w:sectPr w:rsidR="00B23B77" w:rsidSect="00F641A3">
          <w:type w:val="continuous"/>
          <w:pgSz w:w="12240" w:h="15840"/>
          <w:pgMar w:top="1440" w:right="1440" w:bottom="1440" w:left="1440" w:header="720" w:footer="720" w:gutter="0"/>
          <w:cols w:num="2" w:space="720"/>
          <w:docGrid w:linePitch="360"/>
        </w:sectPr>
      </w:pPr>
    </w:p>
    <w:p w14:paraId="4566172E" w14:textId="5EC701FF" w:rsidR="003A7838" w:rsidRDefault="00260C7D" w:rsidP="00483258">
      <w:pPr>
        <w:ind w:left="360"/>
        <w:rPr>
          <w:rFonts w:asciiTheme="minorHAnsi" w:hAnsiTheme="minorHAnsi"/>
        </w:rPr>
      </w:pPr>
      <w:r w:rsidRPr="00C323EE">
        <w:rPr>
          <w:rFonts w:asciiTheme="minorHAnsi" w:hAnsiTheme="minorHAnsi"/>
        </w:rPr>
        <w:t xml:space="preserve">A </w:t>
      </w:r>
      <w:r w:rsidRPr="00546A24">
        <w:rPr>
          <w:rFonts w:asciiTheme="minorHAnsi" w:hAnsiTheme="minorHAnsi"/>
        </w:rPr>
        <w:t xml:space="preserve">presubmission notice was published in the </w:t>
      </w:r>
      <w:r w:rsidRPr="00546A24">
        <w:rPr>
          <w:rFonts w:asciiTheme="minorHAnsi" w:hAnsiTheme="minorHAnsi"/>
          <w:u w:val="single"/>
        </w:rPr>
        <w:t>Federal Register</w:t>
      </w:r>
      <w:r w:rsidRPr="00546A24">
        <w:rPr>
          <w:rFonts w:asciiTheme="minorHAnsi" w:hAnsiTheme="minorHAnsi"/>
        </w:rPr>
        <w:t xml:space="preserve">, Vol. </w:t>
      </w:r>
      <w:r w:rsidR="00B70B26">
        <w:rPr>
          <w:rFonts w:asciiTheme="minorHAnsi" w:hAnsiTheme="minorHAnsi"/>
        </w:rPr>
        <w:t>82</w:t>
      </w:r>
      <w:r w:rsidRPr="00546A24">
        <w:rPr>
          <w:rFonts w:asciiTheme="minorHAnsi" w:hAnsiTheme="minorHAnsi"/>
        </w:rPr>
        <w:t xml:space="preserve">, No. </w:t>
      </w:r>
      <w:r w:rsidR="00B70B26">
        <w:rPr>
          <w:rFonts w:asciiTheme="minorHAnsi" w:hAnsiTheme="minorHAnsi"/>
        </w:rPr>
        <w:t>150</w:t>
      </w:r>
      <w:r w:rsidRPr="00546A24">
        <w:rPr>
          <w:rFonts w:asciiTheme="minorHAnsi" w:hAnsiTheme="minorHAnsi"/>
        </w:rPr>
        <w:t xml:space="preserve">, </w:t>
      </w:r>
      <w:r w:rsidR="00B70B26">
        <w:rPr>
          <w:rFonts w:asciiTheme="minorHAnsi" w:hAnsiTheme="minorHAnsi"/>
        </w:rPr>
        <w:t>August 7</w:t>
      </w:r>
      <w:r w:rsidR="00B70B26" w:rsidRPr="00B70B26">
        <w:rPr>
          <w:rFonts w:asciiTheme="minorHAnsi" w:hAnsiTheme="minorHAnsi"/>
          <w:vertAlign w:val="superscript"/>
        </w:rPr>
        <w:t>th</w:t>
      </w:r>
      <w:r w:rsidR="00B70B26">
        <w:rPr>
          <w:rFonts w:asciiTheme="minorHAnsi" w:hAnsiTheme="minorHAnsi"/>
        </w:rPr>
        <w:t>, 2017</w:t>
      </w:r>
      <w:r w:rsidRPr="00546A24">
        <w:rPr>
          <w:rFonts w:asciiTheme="minorHAnsi" w:hAnsiTheme="minorHAnsi"/>
        </w:rPr>
        <w:t xml:space="preserve">, pages </w:t>
      </w:r>
      <w:r w:rsidR="00B70B26">
        <w:rPr>
          <w:rFonts w:asciiTheme="minorHAnsi" w:hAnsiTheme="minorHAnsi"/>
        </w:rPr>
        <w:t>36728-36730</w:t>
      </w:r>
      <w:r w:rsidRPr="00546A24">
        <w:rPr>
          <w:rFonts w:asciiTheme="minorHAnsi" w:hAnsiTheme="minorHAnsi"/>
        </w:rPr>
        <w:t xml:space="preserve">, inviting public comments on our plans to submit this request.  </w:t>
      </w:r>
      <w:r w:rsidR="008D5729" w:rsidRPr="008D5729">
        <w:rPr>
          <w:rFonts w:asciiTheme="minorHAnsi" w:hAnsiTheme="minorHAnsi"/>
        </w:rPr>
        <w:t xml:space="preserve">The </w:t>
      </w:r>
      <w:r w:rsidR="00B70B26">
        <w:rPr>
          <w:rFonts w:asciiTheme="minorHAnsi" w:hAnsiTheme="minorHAnsi"/>
        </w:rPr>
        <w:t>presubmission notice generated</w:t>
      </w:r>
      <w:r w:rsidR="008D5729" w:rsidRPr="008D5729">
        <w:rPr>
          <w:rFonts w:asciiTheme="minorHAnsi" w:hAnsiTheme="minorHAnsi"/>
        </w:rPr>
        <w:t xml:space="preserve"> </w:t>
      </w:r>
      <w:r w:rsidR="00AA59FE">
        <w:rPr>
          <w:rFonts w:asciiTheme="minorHAnsi" w:hAnsiTheme="minorHAnsi"/>
        </w:rPr>
        <w:t xml:space="preserve">three comments, including </w:t>
      </w:r>
      <w:r w:rsidR="00BD6CA7">
        <w:rPr>
          <w:rFonts w:asciiTheme="minorHAnsi" w:hAnsiTheme="minorHAnsi"/>
        </w:rPr>
        <w:t>one</w:t>
      </w:r>
      <w:r w:rsidR="00B70B26">
        <w:rPr>
          <w:rFonts w:asciiTheme="minorHAnsi" w:hAnsiTheme="minorHAnsi"/>
        </w:rPr>
        <w:t xml:space="preserve"> request for </w:t>
      </w:r>
      <w:r w:rsidR="00C93B90">
        <w:rPr>
          <w:rFonts w:asciiTheme="minorHAnsi" w:hAnsiTheme="minorHAnsi"/>
        </w:rPr>
        <w:t>additional supporting materials</w:t>
      </w:r>
      <w:r w:rsidR="00B70B26">
        <w:rPr>
          <w:rFonts w:asciiTheme="minorHAnsi" w:hAnsiTheme="minorHAnsi"/>
        </w:rPr>
        <w:t>.</w:t>
      </w:r>
      <w:r w:rsidR="008D5729" w:rsidRPr="008D5729">
        <w:rPr>
          <w:rFonts w:asciiTheme="minorHAnsi" w:hAnsiTheme="minorHAnsi"/>
        </w:rPr>
        <w:t xml:space="preserve"> </w:t>
      </w:r>
      <w:r w:rsidR="00C93B90">
        <w:rPr>
          <w:rFonts w:asciiTheme="minorHAnsi" w:hAnsiTheme="minorHAnsi"/>
        </w:rPr>
        <w:t>The Census Bureau responded to the request.</w:t>
      </w:r>
      <w:r w:rsidR="00AA59FE">
        <w:rPr>
          <w:rFonts w:asciiTheme="minorHAnsi" w:hAnsiTheme="minorHAnsi"/>
        </w:rPr>
        <w:t xml:space="preserve"> </w:t>
      </w:r>
      <w:r w:rsidR="00DC5DB4">
        <w:rPr>
          <w:rFonts w:asciiTheme="minorHAnsi" w:hAnsiTheme="minorHAnsi"/>
        </w:rPr>
        <w:t>Additionally</w:t>
      </w:r>
      <w:r w:rsidR="00BD6CA7">
        <w:rPr>
          <w:rFonts w:asciiTheme="minorHAnsi" w:hAnsiTheme="minorHAnsi"/>
        </w:rPr>
        <w:t xml:space="preserve">, </w:t>
      </w:r>
      <w:r w:rsidR="00DC5DB4">
        <w:rPr>
          <w:rFonts w:asciiTheme="minorHAnsi" w:hAnsiTheme="minorHAnsi"/>
        </w:rPr>
        <w:t xml:space="preserve">two </w:t>
      </w:r>
      <w:r w:rsidR="00BD6CA7">
        <w:rPr>
          <w:rFonts w:asciiTheme="minorHAnsi" w:hAnsiTheme="minorHAnsi"/>
        </w:rPr>
        <w:t>comments</w:t>
      </w:r>
      <w:r w:rsidR="00DC5DB4">
        <w:rPr>
          <w:rFonts w:asciiTheme="minorHAnsi" w:hAnsiTheme="minorHAnsi"/>
        </w:rPr>
        <w:t xml:space="preserve"> were received re</w:t>
      </w:r>
      <w:r w:rsidR="007F3855">
        <w:rPr>
          <w:rFonts w:asciiTheme="minorHAnsi" w:hAnsiTheme="minorHAnsi"/>
        </w:rPr>
        <w:t>garding</w:t>
      </w:r>
      <w:r w:rsidR="00DC5DB4">
        <w:rPr>
          <w:rFonts w:asciiTheme="minorHAnsi" w:hAnsiTheme="minorHAnsi"/>
        </w:rPr>
        <w:t xml:space="preserve"> the exclusion of nonemployer businesses from th</w:t>
      </w:r>
      <w:r w:rsidR="007F3855">
        <w:rPr>
          <w:rFonts w:asciiTheme="minorHAnsi" w:hAnsiTheme="minorHAnsi"/>
        </w:rPr>
        <w:t>e ABS</w:t>
      </w:r>
      <w:r w:rsidR="00DC5DB4">
        <w:rPr>
          <w:rFonts w:asciiTheme="minorHAnsi" w:hAnsiTheme="minorHAnsi"/>
        </w:rPr>
        <w:t xml:space="preserve"> collection instrument.  </w:t>
      </w:r>
      <w:r w:rsidR="00B915A4">
        <w:rPr>
          <w:rFonts w:asciiTheme="minorHAnsi" w:hAnsiTheme="minorHAnsi"/>
        </w:rPr>
        <w:t xml:space="preserve">These comments were previously provided to OMB and are part of the public record for this collection.  </w:t>
      </w:r>
      <w:r w:rsidR="00DC5DB4">
        <w:rPr>
          <w:rFonts w:asciiTheme="minorHAnsi" w:hAnsiTheme="minorHAnsi"/>
        </w:rPr>
        <w:t>N</w:t>
      </w:r>
      <w:r w:rsidR="00DC5DB4" w:rsidRPr="00DC5DB4">
        <w:rPr>
          <w:rFonts w:asciiTheme="minorHAnsi" w:hAnsiTheme="minorHAnsi"/>
        </w:rPr>
        <w:t>onemployer businesses are not in scope for the ABS</w:t>
      </w:r>
      <w:r w:rsidR="00DC5DB4">
        <w:rPr>
          <w:rFonts w:asciiTheme="minorHAnsi" w:hAnsiTheme="minorHAnsi"/>
        </w:rPr>
        <w:t xml:space="preserve">.  </w:t>
      </w:r>
      <w:r w:rsidR="00CE73B8">
        <w:rPr>
          <w:rFonts w:asciiTheme="minorHAnsi" w:hAnsiTheme="minorHAnsi"/>
        </w:rPr>
        <w:t>However</w:t>
      </w:r>
      <w:r w:rsidR="00DC5DB4">
        <w:rPr>
          <w:rFonts w:asciiTheme="minorHAnsi" w:hAnsiTheme="minorHAnsi"/>
        </w:rPr>
        <w:t xml:space="preserve">, the Census </w:t>
      </w:r>
      <w:r w:rsidR="007F3855">
        <w:rPr>
          <w:rFonts w:asciiTheme="minorHAnsi" w:hAnsiTheme="minorHAnsi"/>
        </w:rPr>
        <w:t>Bureau</w:t>
      </w:r>
      <w:r w:rsidR="00DC5DB4">
        <w:rPr>
          <w:rFonts w:asciiTheme="minorHAnsi" w:hAnsiTheme="minorHAnsi"/>
        </w:rPr>
        <w:t xml:space="preserve"> is </w:t>
      </w:r>
      <w:r w:rsidR="00CE73B8">
        <w:rPr>
          <w:rFonts w:asciiTheme="minorHAnsi" w:hAnsiTheme="minorHAnsi"/>
        </w:rPr>
        <w:t xml:space="preserve">using administrative data </w:t>
      </w:r>
      <w:r w:rsidR="00DC5DB4">
        <w:rPr>
          <w:rFonts w:asciiTheme="minorHAnsi" w:hAnsiTheme="minorHAnsi"/>
        </w:rPr>
        <w:t xml:space="preserve">to </w:t>
      </w:r>
      <w:r w:rsidR="007F3855">
        <w:rPr>
          <w:rFonts w:asciiTheme="minorHAnsi" w:hAnsiTheme="minorHAnsi"/>
        </w:rPr>
        <w:t>produce</w:t>
      </w:r>
      <w:r w:rsidR="0002389C">
        <w:rPr>
          <w:rFonts w:asciiTheme="minorHAnsi" w:hAnsiTheme="minorHAnsi"/>
        </w:rPr>
        <w:t xml:space="preserve"> similar</w:t>
      </w:r>
      <w:r w:rsidR="007F3855">
        <w:rPr>
          <w:rFonts w:asciiTheme="minorHAnsi" w:hAnsiTheme="minorHAnsi"/>
        </w:rPr>
        <w:t xml:space="preserve"> estimates on</w:t>
      </w:r>
      <w:r w:rsidR="00430BEF">
        <w:rPr>
          <w:rFonts w:asciiTheme="minorHAnsi" w:hAnsiTheme="minorHAnsi"/>
        </w:rPr>
        <w:t xml:space="preserve"> the sex,</w:t>
      </w:r>
      <w:r w:rsidR="007F3855">
        <w:rPr>
          <w:rFonts w:asciiTheme="minorHAnsi" w:hAnsiTheme="minorHAnsi"/>
        </w:rPr>
        <w:t xml:space="preserve"> ethnicity,</w:t>
      </w:r>
      <w:r w:rsidR="00430BEF">
        <w:rPr>
          <w:rFonts w:asciiTheme="minorHAnsi" w:hAnsiTheme="minorHAnsi"/>
        </w:rPr>
        <w:t xml:space="preserve"> race,</w:t>
      </w:r>
      <w:r w:rsidR="007F3855">
        <w:rPr>
          <w:rFonts w:asciiTheme="minorHAnsi" w:hAnsiTheme="minorHAnsi"/>
        </w:rPr>
        <w:t xml:space="preserve"> and veteran status for </w:t>
      </w:r>
      <w:r w:rsidR="0002389C">
        <w:rPr>
          <w:rFonts w:asciiTheme="minorHAnsi" w:hAnsiTheme="minorHAnsi"/>
        </w:rPr>
        <w:t xml:space="preserve">nonemployer </w:t>
      </w:r>
      <w:r w:rsidR="007F3855">
        <w:rPr>
          <w:rFonts w:asciiTheme="minorHAnsi" w:hAnsiTheme="minorHAnsi"/>
        </w:rPr>
        <w:t>businesses</w:t>
      </w:r>
      <w:r w:rsidR="00DC5DB4" w:rsidRPr="00DC5DB4">
        <w:rPr>
          <w:rFonts w:asciiTheme="minorHAnsi" w:hAnsiTheme="minorHAnsi"/>
        </w:rPr>
        <w:t xml:space="preserve">.  </w:t>
      </w:r>
      <w:r w:rsidR="00CE73B8">
        <w:rPr>
          <w:rFonts w:asciiTheme="minorHAnsi" w:hAnsiTheme="minorHAnsi"/>
        </w:rPr>
        <w:t>Details of the development of nonemployer demographics have been provided to OMB for review</w:t>
      </w:r>
      <w:r w:rsidR="00715A6D">
        <w:rPr>
          <w:rFonts w:asciiTheme="minorHAnsi" w:hAnsiTheme="minorHAnsi"/>
        </w:rPr>
        <w:t xml:space="preserve"> (see Attachment G)</w:t>
      </w:r>
      <w:r w:rsidR="00CE73B8">
        <w:rPr>
          <w:rFonts w:asciiTheme="minorHAnsi" w:hAnsiTheme="minorHAnsi"/>
        </w:rPr>
        <w:t>.</w:t>
      </w:r>
    </w:p>
    <w:p w14:paraId="78941799" w14:textId="70DBF4D1" w:rsidR="00E22ACA" w:rsidRPr="00076AC4" w:rsidRDefault="0059300A" w:rsidP="004361F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Paying Respondents</w:t>
      </w:r>
    </w:p>
    <w:p w14:paraId="645A4B41" w14:textId="3D0D43DC" w:rsidR="0059300A" w:rsidRPr="00DC1289" w:rsidRDefault="0059300A" w:rsidP="0059300A">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009151CF" w:rsidRPr="000B1FB7">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008C1375" w:rsidRPr="000B1FB7">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008C1375" w:rsidRPr="00DC1289">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14:paraId="7705F46C" w14:textId="77777777" w:rsidR="0059300A" w:rsidRPr="00937D19" w:rsidRDefault="0059300A"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Pr="00F736EE">
        <w:rPr>
          <w:rStyle w:val="Strong"/>
          <w:rFonts w:asciiTheme="minorHAnsi" w:hAnsiTheme="minorHAnsi"/>
          <w:color w:val="auto"/>
          <w:sz w:val="22"/>
          <w:szCs w:val="22"/>
          <w:u w:val="single"/>
        </w:rPr>
        <w:t>Assurance of Confidentiality</w:t>
      </w:r>
    </w:p>
    <w:p w14:paraId="07BACF59" w14:textId="517B61F7" w:rsidR="00295D12" w:rsidRPr="00546A24" w:rsidRDefault="004143B2" w:rsidP="00F641A3">
      <w:pPr>
        <w:pStyle w:val="NormalWeb"/>
        <w:ind w:left="360"/>
        <w:rPr>
          <w:rFonts w:asciiTheme="minorHAnsi" w:hAnsiTheme="minorHAnsi" w:cs="UniversLT55"/>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Sec</w:t>
      </w:r>
      <w:r w:rsidRPr="007715DC">
        <w:rPr>
          <w:rStyle w:val="Strong"/>
          <w:rFonts w:asciiTheme="minorHAnsi" w:hAnsiTheme="minorHAnsi"/>
          <w:b w:val="0"/>
          <w:sz w:val="22"/>
          <w:szCs w:val="22"/>
        </w:rPr>
        <w:t>tion 9. Title 13, United States Code, Sections 224 and 225</w:t>
      </w:r>
      <w:r w:rsidR="0099299F" w:rsidRPr="00546A24">
        <w:rPr>
          <w:rStyle w:val="Strong"/>
          <w:rFonts w:asciiTheme="minorHAnsi" w:hAnsiTheme="minorHAnsi"/>
          <w:b w:val="0"/>
          <w:color w:val="auto"/>
          <w:sz w:val="22"/>
          <w:szCs w:val="22"/>
        </w:rPr>
        <w:t xml:space="preserve"> </w:t>
      </w:r>
      <w:r w:rsidR="00BC62A1" w:rsidRPr="00546A24">
        <w:rPr>
          <w:rStyle w:val="Strong"/>
          <w:rFonts w:asciiTheme="minorHAnsi" w:hAnsiTheme="minorHAnsi"/>
          <w:b w:val="0"/>
          <w:color w:val="auto"/>
          <w:sz w:val="22"/>
          <w:szCs w:val="22"/>
        </w:rPr>
        <w:t>require businesses to report.</w:t>
      </w:r>
      <w:r w:rsidRPr="00546A24">
        <w:rPr>
          <w:rStyle w:val="Strong"/>
          <w:rFonts w:asciiTheme="minorHAnsi" w:hAnsiTheme="minorHAnsi"/>
          <w:b w:val="0"/>
          <w:sz w:val="22"/>
          <w:szCs w:val="22"/>
        </w:rPr>
        <w:t xml:space="preserve">  Respondents are informed </w:t>
      </w:r>
      <w:r w:rsidR="00BC62A1" w:rsidRPr="00546A24">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that responses are confidential and their response is mandatory.  This information is</w:t>
      </w:r>
      <w:r w:rsidR="00DE288F" w:rsidRPr="00546A24">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00BC62A1" w:rsidRPr="00546A24">
        <w:rPr>
          <w:rStyle w:val="Strong"/>
          <w:rFonts w:asciiTheme="minorHAnsi" w:hAnsiTheme="minorHAnsi"/>
          <w:b w:val="0"/>
          <w:color w:val="auto"/>
          <w:sz w:val="22"/>
          <w:szCs w:val="22"/>
        </w:rPr>
        <w:t>available from the</w:t>
      </w:r>
      <w:r w:rsidR="002A7F05" w:rsidRPr="00546A24">
        <w:rPr>
          <w:rStyle w:val="Strong"/>
          <w:rFonts w:asciiTheme="minorHAnsi" w:hAnsiTheme="minorHAnsi"/>
          <w:b w:val="0"/>
          <w:sz w:val="22"/>
          <w:szCs w:val="22"/>
        </w:rPr>
        <w:t xml:space="preserve"> </w:t>
      </w:r>
      <w:r w:rsidR="005432FA" w:rsidRPr="00546A24">
        <w:rPr>
          <w:rStyle w:val="Strong"/>
          <w:rFonts w:asciiTheme="minorHAnsi" w:hAnsiTheme="minorHAnsi"/>
          <w:b w:val="0"/>
          <w:sz w:val="22"/>
          <w:szCs w:val="22"/>
        </w:rPr>
        <w:t>electronic reporting instrument</w:t>
      </w:r>
      <w:r w:rsidR="00BC62A1" w:rsidRPr="00546A24">
        <w:rPr>
          <w:rStyle w:val="Strong"/>
          <w:rFonts w:asciiTheme="minorHAnsi" w:hAnsiTheme="minorHAnsi"/>
          <w:b w:val="0"/>
          <w:sz w:val="22"/>
          <w:szCs w:val="22"/>
        </w:rPr>
        <w:t xml:space="preserve"> as shown in </w:t>
      </w:r>
      <w:r w:rsidR="00B71DB7" w:rsidRPr="00546A24">
        <w:rPr>
          <w:rStyle w:val="Strong"/>
          <w:rFonts w:asciiTheme="minorHAnsi" w:hAnsiTheme="minorHAnsi"/>
          <w:b w:val="0"/>
          <w:sz w:val="22"/>
          <w:szCs w:val="22"/>
        </w:rPr>
        <w:t>A</w:t>
      </w:r>
      <w:r w:rsidR="00BC62A1" w:rsidRPr="00546A24">
        <w:rPr>
          <w:rStyle w:val="Strong"/>
          <w:rFonts w:asciiTheme="minorHAnsi" w:hAnsiTheme="minorHAnsi"/>
          <w:b w:val="0"/>
          <w:sz w:val="22"/>
          <w:szCs w:val="22"/>
        </w:rPr>
        <w:t>ttachment</w:t>
      </w:r>
      <w:r w:rsidR="00982868" w:rsidRPr="00546A24">
        <w:rPr>
          <w:rStyle w:val="Strong"/>
          <w:rFonts w:asciiTheme="minorHAnsi" w:hAnsiTheme="minorHAnsi"/>
          <w:b w:val="0"/>
          <w:sz w:val="22"/>
          <w:szCs w:val="22"/>
        </w:rPr>
        <w:t xml:space="preserve"> </w:t>
      </w:r>
      <w:r w:rsidR="00B0661F">
        <w:rPr>
          <w:rStyle w:val="Strong"/>
          <w:rFonts w:asciiTheme="minorHAnsi" w:hAnsiTheme="minorHAnsi"/>
          <w:b w:val="0"/>
          <w:sz w:val="22"/>
          <w:szCs w:val="22"/>
        </w:rPr>
        <w:t>D</w:t>
      </w:r>
      <w:r w:rsidR="00982868" w:rsidRPr="00546A24">
        <w:rPr>
          <w:rStyle w:val="Strong"/>
          <w:rFonts w:asciiTheme="minorHAnsi" w:hAnsiTheme="minorHAnsi"/>
          <w:b w:val="0"/>
          <w:sz w:val="22"/>
          <w:szCs w:val="22"/>
        </w:rPr>
        <w:t>.</w:t>
      </w:r>
      <w:r w:rsidR="005432FA" w:rsidRPr="00546A24">
        <w:rPr>
          <w:rStyle w:val="Strong"/>
          <w:rFonts w:asciiTheme="minorHAnsi" w:hAnsiTheme="minorHAnsi"/>
          <w:b w:val="0"/>
          <w:sz w:val="22"/>
          <w:szCs w:val="22"/>
        </w:rPr>
        <w:t xml:space="preserve"> </w:t>
      </w:r>
    </w:p>
    <w:p w14:paraId="45BE66C8" w14:textId="7EC111FE" w:rsidR="0059300A" w:rsidRPr="00483258" w:rsidRDefault="001427B9" w:rsidP="007553C6">
      <w:pPr>
        <w:pStyle w:val="NormalWeb"/>
        <w:numPr>
          <w:ilvl w:val="0"/>
          <w:numId w:val="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  </w:t>
      </w:r>
      <w:r w:rsidRPr="00E40177">
        <w:rPr>
          <w:rStyle w:val="Strong"/>
          <w:rFonts w:asciiTheme="minorHAnsi" w:hAnsiTheme="minorHAnsi"/>
          <w:color w:val="auto"/>
          <w:sz w:val="22"/>
          <w:szCs w:val="22"/>
          <w:u w:val="single"/>
        </w:rPr>
        <w:t>Justification for Sensitive Questions</w:t>
      </w:r>
    </w:p>
    <w:p w14:paraId="3479D961" w14:textId="0FBE25B7" w:rsidR="001427B9" w:rsidRPr="00546A24" w:rsidRDefault="004143B2">
      <w:pPr>
        <w:pStyle w:val="NormalWeb"/>
        <w:ind w:left="360"/>
        <w:rPr>
          <w:rStyle w:val="Strong"/>
          <w:rFonts w:asciiTheme="minorHAnsi" w:eastAsia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00E40177">
        <w:rPr>
          <w:rStyle w:val="Strong"/>
          <w:rFonts w:asciiTheme="minorHAnsi" w:hAnsiTheme="minorHAnsi"/>
          <w:b w:val="0"/>
          <w:color w:val="auto"/>
          <w:sz w:val="22"/>
          <w:szCs w:val="22"/>
        </w:rPr>
        <w:t>does not ask sensitive questions.</w:t>
      </w:r>
    </w:p>
    <w:p w14:paraId="574D12D1" w14:textId="77777777" w:rsidR="001427B9" w:rsidRPr="00546A24" w:rsidRDefault="00CB542E"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Hour Burden</w:t>
      </w:r>
    </w:p>
    <w:p w14:paraId="10405701" w14:textId="221B2994" w:rsidR="00A41588" w:rsidRPr="00483258" w:rsidRDefault="001F1F80" w:rsidP="00CB542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The 201</w:t>
      </w:r>
      <w:r w:rsidR="00E42CD2">
        <w:rPr>
          <w:rStyle w:val="Strong"/>
          <w:rFonts w:asciiTheme="minorHAnsi" w:hAnsiTheme="minorHAnsi"/>
          <w:b w:val="0"/>
          <w:color w:val="auto"/>
          <w:sz w:val="22"/>
          <w:szCs w:val="22"/>
        </w:rPr>
        <w:t>9</w:t>
      </w:r>
      <w:r>
        <w:rPr>
          <w:rStyle w:val="Strong"/>
          <w:rFonts w:asciiTheme="minorHAnsi" w:hAnsiTheme="minorHAnsi"/>
          <w:b w:val="0"/>
          <w:color w:val="auto"/>
          <w:sz w:val="22"/>
          <w:szCs w:val="22"/>
        </w:rPr>
        <w:t xml:space="preserve"> ABS will be mailed in fiscal year 201</w:t>
      </w:r>
      <w:r w:rsidR="003405D0">
        <w:rPr>
          <w:rStyle w:val="Strong"/>
          <w:rFonts w:asciiTheme="minorHAnsi" w:hAnsiTheme="minorHAnsi"/>
          <w:b w:val="0"/>
          <w:color w:val="auto"/>
          <w:sz w:val="22"/>
          <w:szCs w:val="22"/>
        </w:rPr>
        <w:t>9</w:t>
      </w:r>
      <w:r>
        <w:rPr>
          <w:rStyle w:val="Strong"/>
          <w:rFonts w:asciiTheme="minorHAnsi" w:hAnsiTheme="minorHAnsi"/>
          <w:b w:val="0"/>
          <w:color w:val="auto"/>
          <w:sz w:val="22"/>
          <w:szCs w:val="22"/>
        </w:rPr>
        <w:t xml:space="preserve"> to approximately </w:t>
      </w:r>
      <w:r w:rsidR="003405D0">
        <w:rPr>
          <w:rStyle w:val="Strong"/>
          <w:rFonts w:asciiTheme="minorHAnsi" w:hAnsiTheme="minorHAnsi"/>
          <w:b w:val="0"/>
          <w:color w:val="auto"/>
          <w:sz w:val="22"/>
          <w:szCs w:val="22"/>
        </w:rPr>
        <w:t>30</w:t>
      </w:r>
      <w:r>
        <w:rPr>
          <w:rStyle w:val="Strong"/>
          <w:rFonts w:asciiTheme="minorHAnsi" w:hAnsiTheme="minorHAnsi"/>
          <w:b w:val="0"/>
          <w:color w:val="auto"/>
          <w:sz w:val="22"/>
          <w:szCs w:val="22"/>
        </w:rPr>
        <w:t>0,000 respondents.  Th</w:t>
      </w:r>
      <w:r w:rsidR="00B915A4">
        <w:rPr>
          <w:rStyle w:val="Strong"/>
          <w:rFonts w:asciiTheme="minorHAnsi" w:hAnsiTheme="minorHAnsi"/>
          <w:b w:val="0"/>
          <w:color w:val="auto"/>
          <w:sz w:val="22"/>
          <w:szCs w:val="22"/>
        </w:rPr>
        <w:t>is</w:t>
      </w:r>
      <w:r>
        <w:rPr>
          <w:rStyle w:val="Strong"/>
          <w:rFonts w:asciiTheme="minorHAnsi" w:hAnsiTheme="minorHAnsi"/>
          <w:b w:val="0"/>
          <w:color w:val="auto"/>
          <w:sz w:val="22"/>
          <w:szCs w:val="22"/>
        </w:rPr>
        <w:t xml:space="preserve"> sample size is needed to provide </w:t>
      </w:r>
      <w:r w:rsidR="00430BEF">
        <w:rPr>
          <w:rStyle w:val="Strong"/>
          <w:rFonts w:asciiTheme="minorHAnsi" w:hAnsiTheme="minorHAnsi"/>
          <w:b w:val="0"/>
          <w:color w:val="auto"/>
          <w:sz w:val="22"/>
          <w:szCs w:val="22"/>
        </w:rPr>
        <w:t>summary-level</w:t>
      </w:r>
      <w:r>
        <w:rPr>
          <w:rStyle w:val="Strong"/>
          <w:rFonts w:asciiTheme="minorHAnsi" w:hAnsiTheme="minorHAnsi"/>
          <w:b w:val="0"/>
          <w:color w:val="auto"/>
          <w:sz w:val="22"/>
          <w:szCs w:val="22"/>
        </w:rPr>
        <w:t xml:space="preserve"> estimates for women-, minority-, and veteran-owned businesses </w:t>
      </w:r>
      <w:r w:rsidR="00DA1B10">
        <w:rPr>
          <w:rStyle w:val="Strong"/>
          <w:rFonts w:asciiTheme="minorHAnsi" w:hAnsiTheme="minorHAnsi"/>
          <w:b w:val="0"/>
          <w:color w:val="auto"/>
          <w:sz w:val="22"/>
          <w:szCs w:val="22"/>
        </w:rPr>
        <w:t xml:space="preserve">at </w:t>
      </w:r>
      <w:r>
        <w:rPr>
          <w:rStyle w:val="Strong"/>
          <w:rFonts w:asciiTheme="minorHAnsi" w:hAnsiTheme="minorHAnsi"/>
          <w:b w:val="0"/>
          <w:color w:val="auto"/>
          <w:sz w:val="22"/>
          <w:szCs w:val="22"/>
        </w:rPr>
        <w:t xml:space="preserve">a </w:t>
      </w:r>
      <w:r w:rsidR="00DA1B10">
        <w:rPr>
          <w:rStyle w:val="Strong"/>
          <w:rFonts w:asciiTheme="minorHAnsi" w:hAnsiTheme="minorHAnsi"/>
          <w:b w:val="0"/>
          <w:color w:val="auto"/>
          <w:sz w:val="22"/>
          <w:szCs w:val="22"/>
        </w:rPr>
        <w:t xml:space="preserve">summary </w:t>
      </w:r>
      <w:r>
        <w:rPr>
          <w:rStyle w:val="Strong"/>
          <w:rFonts w:asciiTheme="minorHAnsi" w:hAnsiTheme="minorHAnsi"/>
          <w:b w:val="0"/>
          <w:color w:val="auto"/>
          <w:sz w:val="22"/>
          <w:szCs w:val="22"/>
        </w:rPr>
        <w:t>geography</w:t>
      </w:r>
      <w:r w:rsidR="00DA1B10">
        <w:rPr>
          <w:rStyle w:val="Strong"/>
          <w:rFonts w:asciiTheme="minorHAnsi" w:hAnsiTheme="minorHAnsi"/>
          <w:b w:val="0"/>
          <w:color w:val="auto"/>
          <w:sz w:val="22"/>
          <w:szCs w:val="22"/>
        </w:rPr>
        <w:t xml:space="preserve"> and NAICS</w:t>
      </w:r>
      <w:r>
        <w:rPr>
          <w:rStyle w:val="Strong"/>
          <w:rFonts w:asciiTheme="minorHAnsi" w:hAnsiTheme="minorHAnsi"/>
          <w:b w:val="0"/>
          <w:color w:val="auto"/>
          <w:sz w:val="22"/>
          <w:szCs w:val="22"/>
        </w:rPr>
        <w:t xml:space="preserve"> level.</w:t>
      </w:r>
      <w:r w:rsidR="003405D0">
        <w:rPr>
          <w:rStyle w:val="Strong"/>
          <w:rFonts w:asciiTheme="minorHAnsi" w:hAnsiTheme="minorHAnsi"/>
          <w:b w:val="0"/>
          <w:color w:val="auto"/>
          <w:sz w:val="22"/>
          <w:szCs w:val="22"/>
        </w:rPr>
        <w:t xml:space="preserve"> Survey years 20</w:t>
      </w:r>
      <w:r w:rsidR="00E42CD2">
        <w:rPr>
          <w:rStyle w:val="Strong"/>
          <w:rFonts w:asciiTheme="minorHAnsi" w:hAnsiTheme="minorHAnsi"/>
          <w:b w:val="0"/>
          <w:color w:val="auto"/>
          <w:sz w:val="22"/>
          <w:szCs w:val="22"/>
        </w:rPr>
        <w:t>20</w:t>
      </w:r>
      <w:r w:rsidR="003405D0">
        <w:rPr>
          <w:rStyle w:val="Strong"/>
          <w:rFonts w:asciiTheme="minorHAnsi" w:hAnsiTheme="minorHAnsi"/>
          <w:b w:val="0"/>
          <w:color w:val="auto"/>
          <w:sz w:val="22"/>
          <w:szCs w:val="22"/>
        </w:rPr>
        <w:t>-202</w:t>
      </w:r>
      <w:r w:rsidR="00E42CD2">
        <w:rPr>
          <w:rStyle w:val="Strong"/>
          <w:rFonts w:asciiTheme="minorHAnsi" w:hAnsiTheme="minorHAnsi"/>
          <w:b w:val="0"/>
          <w:color w:val="auto"/>
          <w:sz w:val="22"/>
          <w:szCs w:val="22"/>
        </w:rPr>
        <w:t>2</w:t>
      </w:r>
      <w:r w:rsidR="003405D0">
        <w:rPr>
          <w:rStyle w:val="Strong"/>
          <w:rFonts w:asciiTheme="minorHAnsi" w:hAnsiTheme="minorHAnsi"/>
          <w:b w:val="0"/>
          <w:color w:val="auto"/>
          <w:sz w:val="22"/>
          <w:szCs w:val="22"/>
        </w:rPr>
        <w:t xml:space="preserve"> will also have a sample size of approximately 300,000.</w:t>
      </w:r>
      <w:r>
        <w:rPr>
          <w:rStyle w:val="Strong"/>
          <w:rFonts w:asciiTheme="minorHAnsi" w:hAnsiTheme="minorHAnsi"/>
          <w:b w:val="0"/>
          <w:color w:val="auto"/>
          <w:sz w:val="22"/>
          <w:szCs w:val="22"/>
        </w:rPr>
        <w:t xml:space="preserve">  </w:t>
      </w:r>
      <w:r w:rsidR="0006184E">
        <w:rPr>
          <w:rStyle w:val="Strong"/>
          <w:rFonts w:asciiTheme="minorHAnsi" w:hAnsiTheme="minorHAnsi"/>
          <w:b w:val="0"/>
          <w:color w:val="auto"/>
          <w:sz w:val="22"/>
          <w:szCs w:val="22"/>
        </w:rPr>
        <w:t xml:space="preserve">The sample size was reduced from 850,000 for the 2017 ABS. </w:t>
      </w:r>
      <w:r w:rsidR="00715A6D">
        <w:rPr>
          <w:rStyle w:val="Strong"/>
          <w:rFonts w:asciiTheme="minorHAnsi" w:hAnsiTheme="minorHAnsi"/>
          <w:b w:val="0"/>
          <w:color w:val="auto"/>
          <w:sz w:val="22"/>
          <w:szCs w:val="22"/>
        </w:rPr>
        <w:t xml:space="preserve">The 2017 survey year collection (the initial year for this survey) required a larger sample size to provide detailed comprehensive estimates for women-, minority-, and veteran-owned businesses to a detailed geography level (US, state, msa, county, and economic place).  </w:t>
      </w:r>
      <w:r>
        <w:rPr>
          <w:rStyle w:val="Strong"/>
          <w:rFonts w:asciiTheme="minorHAnsi" w:hAnsiTheme="minorHAnsi"/>
          <w:b w:val="0"/>
          <w:color w:val="auto"/>
          <w:sz w:val="22"/>
          <w:szCs w:val="22"/>
        </w:rPr>
        <w:t>The smaller sample size reduce</w:t>
      </w:r>
      <w:r w:rsidR="00B969C9">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B969C9">
        <w:rPr>
          <w:rStyle w:val="Strong"/>
          <w:rFonts w:asciiTheme="minorHAnsi" w:hAnsiTheme="minorHAnsi"/>
          <w:b w:val="0"/>
          <w:color w:val="auto"/>
          <w:sz w:val="22"/>
          <w:szCs w:val="22"/>
        </w:rPr>
        <w:t>respondent</w:t>
      </w:r>
      <w:r>
        <w:rPr>
          <w:rStyle w:val="Strong"/>
          <w:rFonts w:asciiTheme="minorHAnsi" w:hAnsiTheme="minorHAnsi"/>
          <w:b w:val="0"/>
          <w:color w:val="auto"/>
          <w:sz w:val="22"/>
          <w:szCs w:val="22"/>
        </w:rPr>
        <w:t xml:space="preserve"> burden </w:t>
      </w:r>
      <w:r w:rsidR="00B969C9">
        <w:rPr>
          <w:rStyle w:val="Strong"/>
          <w:rFonts w:asciiTheme="minorHAnsi" w:hAnsiTheme="minorHAnsi"/>
          <w:b w:val="0"/>
          <w:color w:val="auto"/>
          <w:sz w:val="22"/>
          <w:szCs w:val="22"/>
        </w:rPr>
        <w:t>and</w:t>
      </w:r>
      <w:r>
        <w:rPr>
          <w:rStyle w:val="Strong"/>
          <w:rFonts w:asciiTheme="minorHAnsi" w:hAnsiTheme="minorHAnsi"/>
          <w:b w:val="0"/>
          <w:color w:val="auto"/>
          <w:sz w:val="22"/>
          <w:szCs w:val="22"/>
        </w:rPr>
        <w:t xml:space="preserve"> will also </w:t>
      </w:r>
      <w:r w:rsidR="00B969C9">
        <w:rPr>
          <w:rStyle w:val="Strong"/>
          <w:rFonts w:asciiTheme="minorHAnsi" w:hAnsiTheme="minorHAnsi"/>
          <w:b w:val="0"/>
          <w:color w:val="auto"/>
          <w:sz w:val="22"/>
          <w:szCs w:val="22"/>
        </w:rPr>
        <w:t>provide quality estimates for women-, minority-, and veteran-owned businesses at less detailed geography</w:t>
      </w:r>
      <w:r w:rsidR="00DA1B10">
        <w:rPr>
          <w:rStyle w:val="Strong"/>
          <w:rFonts w:asciiTheme="minorHAnsi" w:hAnsiTheme="minorHAnsi"/>
          <w:b w:val="0"/>
          <w:color w:val="auto"/>
          <w:sz w:val="22"/>
          <w:szCs w:val="22"/>
        </w:rPr>
        <w:t xml:space="preserve"> (US, state, select msa)</w:t>
      </w:r>
      <w:r w:rsidR="00B969C9">
        <w:rPr>
          <w:rStyle w:val="Strong"/>
          <w:rFonts w:asciiTheme="minorHAnsi" w:hAnsiTheme="minorHAnsi"/>
          <w:b w:val="0"/>
          <w:color w:val="auto"/>
          <w:sz w:val="22"/>
          <w:szCs w:val="22"/>
        </w:rPr>
        <w:t xml:space="preserve"> </w:t>
      </w:r>
      <w:r w:rsidR="00430BEF">
        <w:rPr>
          <w:rStyle w:val="Strong"/>
          <w:rFonts w:asciiTheme="minorHAnsi" w:hAnsiTheme="minorHAnsi"/>
          <w:b w:val="0"/>
          <w:color w:val="auto"/>
          <w:sz w:val="22"/>
          <w:szCs w:val="22"/>
        </w:rPr>
        <w:t xml:space="preserve">and industry </w:t>
      </w:r>
      <w:r w:rsidR="00B969C9">
        <w:rPr>
          <w:rStyle w:val="Strong"/>
          <w:rFonts w:asciiTheme="minorHAnsi" w:hAnsiTheme="minorHAnsi"/>
          <w:b w:val="0"/>
          <w:color w:val="auto"/>
          <w:sz w:val="22"/>
          <w:szCs w:val="22"/>
        </w:rPr>
        <w:t>level</w:t>
      </w:r>
      <w:r w:rsidR="00430BEF">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C954CE" w:rsidRPr="00483258">
        <w:rPr>
          <w:rStyle w:val="Strong"/>
          <w:rFonts w:asciiTheme="minorHAnsi" w:hAnsiTheme="minorHAnsi"/>
          <w:b w:val="0"/>
          <w:color w:val="auto"/>
          <w:sz w:val="22"/>
          <w:szCs w:val="22"/>
        </w:rPr>
        <w:t>Response times will vary for selected respondents</w:t>
      </w:r>
      <w:r w:rsidR="00455B8F">
        <w:rPr>
          <w:rStyle w:val="Strong"/>
          <w:rFonts w:asciiTheme="minorHAnsi" w:hAnsiTheme="minorHAnsi"/>
          <w:b w:val="0"/>
          <w:color w:val="auto"/>
          <w:sz w:val="22"/>
          <w:szCs w:val="22"/>
        </w:rPr>
        <w:t xml:space="preserve">. </w:t>
      </w:r>
      <w:r w:rsidR="00A41588" w:rsidRPr="00483258">
        <w:rPr>
          <w:rStyle w:val="Strong"/>
          <w:rFonts w:asciiTheme="minorHAnsi" w:hAnsiTheme="minorHAnsi"/>
          <w:b w:val="0"/>
          <w:color w:val="auto"/>
          <w:sz w:val="22"/>
          <w:szCs w:val="22"/>
        </w:rPr>
        <w:t>For fiscal years</w:t>
      </w:r>
      <w:r w:rsidR="00DF5395" w:rsidRPr="00483258">
        <w:rPr>
          <w:rStyle w:val="Strong"/>
          <w:rFonts w:asciiTheme="minorHAnsi" w:hAnsiTheme="minorHAnsi"/>
          <w:b w:val="0"/>
          <w:color w:val="auto"/>
          <w:sz w:val="22"/>
          <w:szCs w:val="22"/>
        </w:rPr>
        <w:t xml:space="preserve"> 2019 – 202</w:t>
      </w:r>
      <w:r w:rsidR="006E3197" w:rsidRPr="00483258">
        <w:rPr>
          <w:rStyle w:val="Strong"/>
          <w:rFonts w:asciiTheme="minorHAnsi" w:hAnsiTheme="minorHAnsi"/>
          <w:b w:val="0"/>
          <w:color w:val="auto"/>
          <w:sz w:val="22"/>
          <w:szCs w:val="22"/>
        </w:rPr>
        <w:t>2</w:t>
      </w:r>
      <w:r w:rsidR="00DF5395" w:rsidRPr="00483258">
        <w:rPr>
          <w:rStyle w:val="Strong"/>
          <w:rFonts w:asciiTheme="minorHAnsi" w:hAnsiTheme="minorHAnsi"/>
          <w:b w:val="0"/>
          <w:color w:val="auto"/>
          <w:sz w:val="22"/>
          <w:szCs w:val="22"/>
        </w:rPr>
        <w:t xml:space="preserve">, the </w:t>
      </w:r>
      <w:r w:rsidR="00D4549A" w:rsidRPr="00483258">
        <w:rPr>
          <w:rStyle w:val="Strong"/>
          <w:rFonts w:asciiTheme="minorHAnsi" w:hAnsiTheme="minorHAnsi"/>
          <w:b w:val="0"/>
          <w:color w:val="auto"/>
          <w:sz w:val="22"/>
          <w:szCs w:val="22"/>
        </w:rPr>
        <w:t>estimated average</w:t>
      </w:r>
      <w:r w:rsidR="00BC45EF">
        <w:rPr>
          <w:rStyle w:val="Strong"/>
          <w:rFonts w:asciiTheme="minorHAnsi" w:hAnsiTheme="minorHAnsi"/>
          <w:b w:val="0"/>
          <w:color w:val="auto"/>
          <w:sz w:val="22"/>
          <w:szCs w:val="22"/>
        </w:rPr>
        <w:t xml:space="preserve"> time </w:t>
      </w:r>
      <w:r w:rsidR="00D4549A" w:rsidRPr="00483258">
        <w:rPr>
          <w:rStyle w:val="Strong"/>
          <w:rFonts w:asciiTheme="minorHAnsi" w:hAnsiTheme="minorHAnsi"/>
          <w:b w:val="0"/>
          <w:color w:val="auto"/>
          <w:sz w:val="22"/>
          <w:szCs w:val="22"/>
        </w:rPr>
        <w:t xml:space="preserve">for respondents to complete the survey is </w:t>
      </w:r>
      <w:r w:rsidR="00415D6D">
        <w:rPr>
          <w:rStyle w:val="Strong"/>
          <w:rFonts w:asciiTheme="minorHAnsi" w:hAnsiTheme="minorHAnsi"/>
          <w:b w:val="0"/>
          <w:color w:val="auto"/>
          <w:sz w:val="22"/>
          <w:szCs w:val="22"/>
        </w:rPr>
        <w:t>52</w:t>
      </w:r>
      <w:r w:rsidR="00415D6D" w:rsidRPr="00483258">
        <w:rPr>
          <w:rStyle w:val="Strong"/>
          <w:rFonts w:asciiTheme="minorHAnsi" w:hAnsiTheme="minorHAnsi"/>
          <w:b w:val="0"/>
          <w:color w:val="auto"/>
          <w:sz w:val="22"/>
          <w:szCs w:val="22"/>
        </w:rPr>
        <w:t xml:space="preserve"> </w:t>
      </w:r>
      <w:r w:rsidR="00D4549A" w:rsidRPr="00483258">
        <w:rPr>
          <w:rStyle w:val="Strong"/>
          <w:rFonts w:asciiTheme="minorHAnsi" w:hAnsiTheme="minorHAnsi"/>
          <w:b w:val="0"/>
          <w:color w:val="auto"/>
          <w:sz w:val="22"/>
          <w:szCs w:val="22"/>
        </w:rPr>
        <w:t>minutes and e</w:t>
      </w:r>
      <w:r w:rsidR="00DF5395" w:rsidRPr="00483258">
        <w:rPr>
          <w:rStyle w:val="Strong"/>
          <w:rFonts w:asciiTheme="minorHAnsi" w:hAnsiTheme="minorHAnsi"/>
          <w:b w:val="0"/>
          <w:color w:val="auto"/>
          <w:sz w:val="22"/>
          <w:szCs w:val="22"/>
        </w:rPr>
        <w:t>stimated</w:t>
      </w:r>
      <w:r w:rsidR="00A41588" w:rsidRPr="00483258">
        <w:rPr>
          <w:rStyle w:val="Strong"/>
          <w:rFonts w:asciiTheme="minorHAnsi" w:hAnsiTheme="minorHAnsi"/>
          <w:b w:val="0"/>
          <w:color w:val="auto"/>
          <w:sz w:val="22"/>
          <w:szCs w:val="22"/>
        </w:rPr>
        <w:t xml:space="preserve"> total response burden is </w:t>
      </w:r>
      <w:r w:rsidR="00DE36C5">
        <w:rPr>
          <w:rStyle w:val="Strong"/>
          <w:rFonts w:asciiTheme="minorHAnsi" w:hAnsiTheme="minorHAnsi"/>
          <w:b w:val="0"/>
          <w:color w:val="auto"/>
          <w:sz w:val="22"/>
          <w:szCs w:val="22"/>
        </w:rPr>
        <w:t>260,000</w:t>
      </w:r>
      <w:r w:rsidR="00A41588" w:rsidRPr="00483258">
        <w:rPr>
          <w:rStyle w:val="Strong"/>
          <w:rFonts w:asciiTheme="minorHAnsi" w:hAnsiTheme="minorHAnsi"/>
          <w:b w:val="0"/>
          <w:color w:val="auto"/>
          <w:sz w:val="22"/>
          <w:szCs w:val="22"/>
        </w:rPr>
        <w:t xml:space="preserve"> hours.  </w:t>
      </w:r>
    </w:p>
    <w:p w14:paraId="1043B69A" w14:textId="6B14D4A0" w:rsidR="002821D1" w:rsidRPr="00D4549A" w:rsidRDefault="00480CF6" w:rsidP="00CB542E">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presubmission notice </w:t>
      </w:r>
      <w:r w:rsidRPr="00480CF6">
        <w:rPr>
          <w:rStyle w:val="Strong"/>
          <w:rFonts w:asciiTheme="minorHAnsi" w:hAnsiTheme="minorHAnsi"/>
          <w:b w:val="0"/>
          <w:color w:val="auto"/>
          <w:sz w:val="22"/>
          <w:szCs w:val="22"/>
        </w:rPr>
        <w:t>published in the Federal Register, Vol. 82, No. 150, August 7th, 2017, pages 36728-36730</w:t>
      </w:r>
      <w:r>
        <w:rPr>
          <w:rStyle w:val="Strong"/>
          <w:rFonts w:asciiTheme="minorHAnsi" w:hAnsiTheme="minorHAnsi"/>
          <w:b w:val="0"/>
          <w:color w:val="auto"/>
          <w:sz w:val="22"/>
          <w:szCs w:val="22"/>
        </w:rPr>
        <w:t xml:space="preserve">, estimated the response burden to be 35 minutes.  However, the estimate was updated </w:t>
      </w:r>
      <w:r w:rsidR="006F49D2" w:rsidRPr="00D4549A">
        <w:rPr>
          <w:rStyle w:val="Strong"/>
          <w:rFonts w:asciiTheme="minorHAnsi" w:hAnsiTheme="minorHAnsi"/>
          <w:b w:val="0"/>
          <w:color w:val="auto"/>
          <w:sz w:val="22"/>
          <w:szCs w:val="22"/>
        </w:rPr>
        <w:t>using paradata obtained from the collection instrument</w:t>
      </w:r>
      <w:r w:rsidR="00A41588" w:rsidRPr="00D4549A">
        <w:rPr>
          <w:rStyle w:val="Strong"/>
          <w:rFonts w:asciiTheme="minorHAnsi" w:hAnsiTheme="minorHAnsi"/>
          <w:b w:val="0"/>
          <w:color w:val="auto"/>
          <w:sz w:val="22"/>
          <w:szCs w:val="22"/>
        </w:rPr>
        <w:t>s</w:t>
      </w:r>
      <w:r w:rsidR="006F49D2" w:rsidRPr="00D4549A">
        <w:rPr>
          <w:rStyle w:val="Strong"/>
          <w:rFonts w:asciiTheme="minorHAnsi" w:hAnsiTheme="minorHAnsi"/>
          <w:b w:val="0"/>
          <w:color w:val="auto"/>
          <w:sz w:val="22"/>
          <w:szCs w:val="22"/>
        </w:rPr>
        <w:t xml:space="preserve"> for </w:t>
      </w:r>
      <w:r w:rsidR="002A7F05" w:rsidRPr="00D4549A">
        <w:rPr>
          <w:rStyle w:val="Strong"/>
          <w:rFonts w:asciiTheme="minorHAnsi" w:hAnsiTheme="minorHAnsi"/>
          <w:b w:val="0"/>
          <w:color w:val="auto"/>
          <w:sz w:val="22"/>
          <w:szCs w:val="22"/>
        </w:rPr>
        <w:t>previous SBO</w:t>
      </w:r>
      <w:r w:rsidR="00075A74" w:rsidRPr="00D4549A">
        <w:rPr>
          <w:rStyle w:val="Strong"/>
          <w:rFonts w:asciiTheme="minorHAnsi" w:hAnsiTheme="minorHAnsi"/>
          <w:b w:val="0"/>
          <w:color w:val="auto"/>
          <w:sz w:val="22"/>
          <w:szCs w:val="22"/>
        </w:rPr>
        <w:t xml:space="preserve">, </w:t>
      </w:r>
      <w:r w:rsidR="00174FC7" w:rsidRPr="00D4549A">
        <w:rPr>
          <w:rStyle w:val="Strong"/>
          <w:rFonts w:asciiTheme="minorHAnsi" w:hAnsiTheme="minorHAnsi"/>
          <w:b w:val="0"/>
          <w:color w:val="auto"/>
          <w:sz w:val="22"/>
          <w:szCs w:val="22"/>
        </w:rPr>
        <w:t>ASE</w:t>
      </w:r>
      <w:r w:rsidR="00075A74" w:rsidRPr="00D4549A">
        <w:rPr>
          <w:rStyle w:val="Strong"/>
          <w:rFonts w:asciiTheme="minorHAnsi" w:hAnsiTheme="minorHAnsi"/>
          <w:b w:val="0"/>
          <w:color w:val="auto"/>
          <w:sz w:val="22"/>
          <w:szCs w:val="22"/>
        </w:rPr>
        <w:t xml:space="preserve"> &amp; BRDI-M</w:t>
      </w:r>
      <w:r w:rsidR="003C65A7" w:rsidRPr="00D4549A">
        <w:rPr>
          <w:rStyle w:val="Strong"/>
          <w:rFonts w:asciiTheme="minorHAnsi" w:hAnsiTheme="minorHAnsi"/>
          <w:b w:val="0"/>
          <w:color w:val="auto"/>
          <w:sz w:val="22"/>
          <w:szCs w:val="22"/>
        </w:rPr>
        <w:t xml:space="preserve"> collections</w:t>
      </w:r>
      <w:r w:rsidR="007F3855">
        <w:rPr>
          <w:rStyle w:val="Strong"/>
          <w:rFonts w:asciiTheme="minorHAnsi" w:hAnsiTheme="minorHAnsi"/>
          <w:b w:val="0"/>
          <w:color w:val="auto"/>
          <w:sz w:val="22"/>
          <w:szCs w:val="22"/>
        </w:rPr>
        <w:t>,</w:t>
      </w:r>
      <w:r w:rsidR="00881AA4" w:rsidRPr="00D4549A">
        <w:rPr>
          <w:rStyle w:val="Strong"/>
          <w:rFonts w:asciiTheme="minorHAnsi" w:hAnsiTheme="minorHAnsi"/>
          <w:b w:val="0"/>
          <w:color w:val="auto"/>
          <w:sz w:val="22"/>
          <w:szCs w:val="22"/>
        </w:rPr>
        <w:t xml:space="preserve"> </w:t>
      </w:r>
      <w:r w:rsidR="006F49D2" w:rsidRPr="00D4549A">
        <w:rPr>
          <w:rStyle w:val="Strong"/>
          <w:rFonts w:asciiTheme="minorHAnsi" w:hAnsiTheme="minorHAnsi"/>
          <w:b w:val="0"/>
          <w:color w:val="auto"/>
          <w:sz w:val="22"/>
          <w:szCs w:val="22"/>
        </w:rPr>
        <w:t xml:space="preserve">as well </w:t>
      </w:r>
      <w:r w:rsidR="00095A40" w:rsidRPr="00D4549A">
        <w:rPr>
          <w:rStyle w:val="Strong"/>
          <w:rFonts w:asciiTheme="minorHAnsi" w:hAnsiTheme="minorHAnsi"/>
          <w:b w:val="0"/>
          <w:color w:val="auto"/>
          <w:sz w:val="22"/>
          <w:szCs w:val="22"/>
        </w:rPr>
        <w:t>as results</w:t>
      </w:r>
      <w:r w:rsidR="00881AA4" w:rsidRPr="00D4549A">
        <w:rPr>
          <w:rStyle w:val="Strong"/>
          <w:rFonts w:asciiTheme="minorHAnsi" w:hAnsiTheme="minorHAnsi"/>
          <w:b w:val="0"/>
          <w:color w:val="auto"/>
          <w:sz w:val="22"/>
          <w:szCs w:val="22"/>
        </w:rPr>
        <w:t xml:space="preserve"> of cognitive interviews conducted </w:t>
      </w:r>
      <w:r w:rsidR="006F49D2" w:rsidRPr="00D4549A">
        <w:rPr>
          <w:rStyle w:val="Strong"/>
          <w:rFonts w:asciiTheme="minorHAnsi" w:hAnsiTheme="minorHAnsi"/>
          <w:b w:val="0"/>
          <w:color w:val="auto"/>
          <w:sz w:val="22"/>
          <w:szCs w:val="22"/>
        </w:rPr>
        <w:t>for new ABS content.</w:t>
      </w:r>
      <w:r w:rsidR="00881AA4" w:rsidRPr="00D4549A">
        <w:rPr>
          <w:rStyle w:val="Strong"/>
          <w:rFonts w:asciiTheme="minorHAnsi" w:hAnsiTheme="minorHAnsi"/>
          <w:b w:val="0"/>
          <w:color w:val="auto"/>
          <w:sz w:val="22"/>
          <w:szCs w:val="22"/>
        </w:rPr>
        <w:t xml:space="preserve">  </w:t>
      </w:r>
      <w:r w:rsidR="005F1FDB">
        <w:rPr>
          <w:rStyle w:val="Strong"/>
          <w:rFonts w:asciiTheme="minorHAnsi" w:hAnsiTheme="minorHAnsi"/>
          <w:b w:val="0"/>
          <w:color w:val="auto"/>
          <w:sz w:val="22"/>
          <w:szCs w:val="22"/>
        </w:rPr>
        <w:t xml:space="preserve">Additionally, the notice included a much higher number of respondents and total annual reporting burden for the collection.  </w:t>
      </w:r>
    </w:p>
    <w:p w14:paraId="0F976BB2" w14:textId="4A09ECB5" w:rsidR="007122FA" w:rsidRPr="00483258" w:rsidRDefault="005D7A15" w:rsidP="007122FA">
      <w:pPr>
        <w:pStyle w:val="NormalWeb"/>
        <w:ind w:left="360"/>
        <w:rPr>
          <w:rStyle w:val="Strong"/>
          <w:rFonts w:asciiTheme="minorHAnsi" w:hAnsiTheme="minorHAnsi"/>
          <w:sz w:val="22"/>
          <w:szCs w:val="22"/>
        </w:rPr>
      </w:pPr>
      <w:r w:rsidRPr="00D4549A">
        <w:rPr>
          <w:rStyle w:val="Strong"/>
          <w:rFonts w:asciiTheme="minorHAnsi" w:hAnsiTheme="minorHAnsi"/>
          <w:b w:val="0"/>
          <w:sz w:val="22"/>
          <w:szCs w:val="22"/>
        </w:rPr>
        <w:t>According to the May 201</w:t>
      </w:r>
      <w:r w:rsidR="00DE36C5">
        <w:rPr>
          <w:rStyle w:val="Strong"/>
          <w:rFonts w:asciiTheme="minorHAnsi" w:hAnsiTheme="minorHAnsi"/>
          <w:b w:val="0"/>
          <w:sz w:val="22"/>
          <w:szCs w:val="22"/>
        </w:rPr>
        <w:t>7</w:t>
      </w:r>
      <w:r w:rsidRPr="00D4549A">
        <w:rPr>
          <w:rStyle w:val="Strong"/>
          <w:rFonts w:asciiTheme="minorHAnsi" w:hAnsiTheme="minorHAnsi"/>
          <w:b w:val="0"/>
          <w:sz w:val="22"/>
          <w:szCs w:val="22"/>
        </w:rPr>
        <w:t xml:space="preserve"> </w:t>
      </w:r>
      <w:r w:rsidR="00EA4F04" w:rsidRPr="00D4549A">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00EA4F04" w:rsidRPr="00D4549A">
        <w:rPr>
          <w:rStyle w:val="Strong"/>
          <w:rFonts w:asciiTheme="minorHAnsi" w:hAnsiTheme="minorHAnsi"/>
          <w:b w:val="0"/>
          <w:sz w:val="22"/>
          <w:szCs w:val="22"/>
        </w:rPr>
        <w:t xml:space="preserve">, the </w:t>
      </w:r>
      <w:r w:rsidR="00075A74" w:rsidRPr="00D4549A">
        <w:rPr>
          <w:rStyle w:val="Strong"/>
          <w:rFonts w:asciiTheme="minorHAnsi" w:hAnsiTheme="minorHAnsi"/>
          <w:b w:val="0"/>
          <w:sz w:val="22"/>
          <w:szCs w:val="22"/>
        </w:rPr>
        <w:t>mean</w:t>
      </w:r>
      <w:r w:rsidR="00700D16" w:rsidRPr="00D4549A">
        <w:rPr>
          <w:rStyle w:val="Strong"/>
          <w:rFonts w:asciiTheme="minorHAnsi" w:hAnsiTheme="minorHAnsi"/>
          <w:b w:val="0"/>
          <w:sz w:val="22"/>
          <w:szCs w:val="22"/>
        </w:rPr>
        <w:t xml:space="preserve"> </w:t>
      </w:r>
      <w:r w:rsidR="00EA4F04" w:rsidRPr="00D4549A">
        <w:rPr>
          <w:rStyle w:val="Strong"/>
          <w:rFonts w:asciiTheme="minorHAnsi" w:hAnsiTheme="minorHAnsi"/>
          <w:b w:val="0"/>
          <w:sz w:val="22"/>
          <w:szCs w:val="22"/>
        </w:rPr>
        <w:t>hourly wage for accountants</w:t>
      </w:r>
      <w:r w:rsidR="00075A74" w:rsidRPr="00D4549A">
        <w:rPr>
          <w:rStyle w:val="Strong"/>
          <w:rFonts w:asciiTheme="minorHAnsi" w:hAnsiTheme="minorHAnsi"/>
          <w:b w:val="0"/>
          <w:sz w:val="22"/>
          <w:szCs w:val="22"/>
        </w:rPr>
        <w:t xml:space="preserve"> (13-2011 Accountants &amp; Auditors)</w:t>
      </w:r>
      <w:r w:rsidR="00EA4F04" w:rsidRPr="00D4549A">
        <w:rPr>
          <w:rStyle w:val="Strong"/>
          <w:rFonts w:asciiTheme="minorHAnsi" w:hAnsiTheme="minorHAnsi"/>
          <w:b w:val="0"/>
          <w:sz w:val="22"/>
          <w:szCs w:val="22"/>
        </w:rPr>
        <w:t xml:space="preserve"> was $</w:t>
      </w:r>
      <w:r w:rsidR="00DE36C5">
        <w:rPr>
          <w:rStyle w:val="Strong"/>
          <w:rFonts w:asciiTheme="minorHAnsi" w:hAnsiTheme="minorHAnsi"/>
          <w:b w:val="0"/>
          <w:sz w:val="22"/>
          <w:szCs w:val="22"/>
        </w:rPr>
        <w:t>37.46</w:t>
      </w:r>
      <w:r w:rsidR="00EA4F04" w:rsidRPr="00D4549A">
        <w:rPr>
          <w:rStyle w:val="Strong"/>
          <w:rFonts w:asciiTheme="minorHAnsi" w:hAnsiTheme="minorHAnsi"/>
          <w:b w:val="0"/>
          <w:sz w:val="22"/>
          <w:szCs w:val="22"/>
        </w:rPr>
        <w:t xml:space="preserve">.  </w:t>
      </w:r>
      <w:r w:rsidR="007D31A6" w:rsidRPr="00483258">
        <w:rPr>
          <w:rStyle w:val="Strong"/>
          <w:rFonts w:asciiTheme="minorHAnsi" w:hAnsiTheme="minorHAnsi"/>
          <w:b w:val="0"/>
          <w:color w:val="auto"/>
          <w:sz w:val="22"/>
          <w:szCs w:val="22"/>
        </w:rPr>
        <w:t>T</w:t>
      </w:r>
      <w:r w:rsidR="00700D16" w:rsidRPr="00483258">
        <w:rPr>
          <w:rStyle w:val="Strong"/>
          <w:rFonts w:asciiTheme="minorHAnsi" w:hAnsiTheme="minorHAnsi"/>
          <w:b w:val="0"/>
          <w:sz w:val="22"/>
          <w:szCs w:val="22"/>
        </w:rPr>
        <w:t>he total</w:t>
      </w:r>
      <w:r w:rsidR="001122F1" w:rsidRPr="00483258">
        <w:rPr>
          <w:rStyle w:val="Strong"/>
          <w:rFonts w:asciiTheme="minorHAnsi" w:hAnsiTheme="minorHAnsi"/>
          <w:b w:val="0"/>
          <w:sz w:val="22"/>
          <w:szCs w:val="22"/>
        </w:rPr>
        <w:t xml:space="preserve"> annual</w:t>
      </w:r>
      <w:r w:rsidR="00EA4F04" w:rsidRPr="00483258">
        <w:rPr>
          <w:rStyle w:val="Strong"/>
          <w:rFonts w:asciiTheme="minorHAnsi" w:hAnsiTheme="minorHAnsi"/>
          <w:b w:val="0"/>
          <w:sz w:val="22"/>
          <w:szCs w:val="22"/>
        </w:rPr>
        <w:t xml:space="preserve"> cost to respondents for their time to respond</w:t>
      </w:r>
      <w:r w:rsidR="00D4549A" w:rsidRPr="00483258">
        <w:rPr>
          <w:rStyle w:val="Strong"/>
          <w:rFonts w:asciiTheme="minorHAnsi" w:hAnsiTheme="minorHAnsi"/>
          <w:b w:val="0"/>
          <w:sz w:val="22"/>
          <w:szCs w:val="22"/>
        </w:rPr>
        <w:t xml:space="preserve"> for fiscal year </w:t>
      </w:r>
      <w:r w:rsidR="00DE36C5" w:rsidRPr="00483258">
        <w:rPr>
          <w:rStyle w:val="Strong"/>
          <w:rFonts w:asciiTheme="minorHAnsi" w:hAnsiTheme="minorHAnsi"/>
          <w:b w:val="0"/>
          <w:sz w:val="22"/>
          <w:szCs w:val="22"/>
        </w:rPr>
        <w:t>201</w:t>
      </w:r>
      <w:r w:rsidR="00DE36C5">
        <w:rPr>
          <w:rStyle w:val="Strong"/>
          <w:rFonts w:asciiTheme="minorHAnsi" w:hAnsiTheme="minorHAnsi"/>
          <w:b w:val="0"/>
          <w:sz w:val="22"/>
          <w:szCs w:val="22"/>
        </w:rPr>
        <w:t>9</w:t>
      </w:r>
      <w:r w:rsidR="00DE36C5" w:rsidRPr="00483258">
        <w:rPr>
          <w:rStyle w:val="Strong"/>
          <w:rFonts w:asciiTheme="minorHAnsi" w:hAnsiTheme="minorHAnsi"/>
          <w:b w:val="0"/>
          <w:sz w:val="22"/>
          <w:szCs w:val="22"/>
        </w:rPr>
        <w:t xml:space="preserve"> </w:t>
      </w:r>
      <w:r w:rsidR="00EA4F04" w:rsidRPr="00483258">
        <w:rPr>
          <w:rStyle w:val="Strong"/>
          <w:rFonts w:asciiTheme="minorHAnsi" w:hAnsiTheme="minorHAnsi"/>
          <w:b w:val="0"/>
          <w:sz w:val="22"/>
          <w:szCs w:val="22"/>
        </w:rPr>
        <w:t>is estimated to be</w:t>
      </w:r>
      <w:r w:rsidR="00555D2C" w:rsidRPr="00483258">
        <w:rPr>
          <w:rStyle w:val="Strong"/>
          <w:rFonts w:asciiTheme="minorHAnsi" w:hAnsiTheme="minorHAnsi"/>
          <w:b w:val="0"/>
          <w:sz w:val="22"/>
          <w:szCs w:val="22"/>
        </w:rPr>
        <w:t xml:space="preserve"> $</w:t>
      </w:r>
      <w:r w:rsidR="00DE36C5">
        <w:rPr>
          <w:rStyle w:val="Strong"/>
          <w:rFonts w:asciiTheme="minorHAnsi" w:hAnsiTheme="minorHAnsi"/>
          <w:b w:val="0"/>
          <w:sz w:val="22"/>
          <w:szCs w:val="22"/>
        </w:rPr>
        <w:t>9,739,600</w:t>
      </w:r>
      <w:r w:rsidR="001122F1" w:rsidRPr="00483258">
        <w:rPr>
          <w:rStyle w:val="Strong"/>
          <w:rFonts w:asciiTheme="minorHAnsi" w:hAnsiTheme="minorHAnsi"/>
          <w:b w:val="0"/>
          <w:sz w:val="22"/>
          <w:szCs w:val="22"/>
        </w:rPr>
        <w:t>.</w:t>
      </w:r>
      <w:r w:rsidR="001122F1" w:rsidRPr="00D4549A">
        <w:rPr>
          <w:rStyle w:val="Strong"/>
          <w:rFonts w:asciiTheme="minorHAnsi" w:hAnsiTheme="minorHAnsi"/>
          <w:b w:val="0"/>
          <w:sz w:val="22"/>
          <w:szCs w:val="22"/>
        </w:rPr>
        <w:t xml:space="preserve">  </w:t>
      </w:r>
      <w:r w:rsidR="00CA43AB" w:rsidRPr="00D4549A">
        <w:rPr>
          <w:rStyle w:val="Strong"/>
          <w:rFonts w:asciiTheme="minorHAnsi" w:hAnsiTheme="minorHAnsi"/>
          <w:b w:val="0"/>
          <w:sz w:val="22"/>
          <w:szCs w:val="22"/>
        </w:rPr>
        <w:t xml:space="preserve">  </w:t>
      </w:r>
    </w:p>
    <w:p w14:paraId="7FE59D20" w14:textId="77777777" w:rsidR="00CB542E"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Cost Burden</w:t>
      </w:r>
    </w:p>
    <w:p w14:paraId="26C9D594" w14:textId="77777777" w:rsidR="00EA4F04" w:rsidRPr="00546A24" w:rsidRDefault="00EA4F04" w:rsidP="00EA4F04">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28135979" w14:textId="77777777" w:rsidR="00EA4F04" w:rsidRPr="00546A24" w:rsidRDefault="00EA4F04"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Cost to Federal Government</w:t>
      </w:r>
    </w:p>
    <w:p w14:paraId="095C2E1C" w14:textId="32DB7C6A" w:rsidR="005E7563" w:rsidRPr="00546A24" w:rsidRDefault="00FD2802" w:rsidP="005E7563">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00CA5E97" w:rsidRPr="00546A24">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Census Bureau</w:t>
      </w:r>
      <w:r w:rsidR="00F978CC" w:rsidRPr="00546A24">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 xml:space="preserve">and </w:t>
      </w:r>
      <w:r w:rsidR="0001364B">
        <w:rPr>
          <w:rFonts w:asciiTheme="minorHAnsi" w:hAnsiTheme="minorHAnsi"/>
          <w:sz w:val="22"/>
          <w:szCs w:val="22"/>
        </w:rPr>
        <w:t>NCSES within the</w:t>
      </w:r>
      <w:r w:rsidR="0001364B" w:rsidRPr="005D7D25">
        <w:rPr>
          <w:rFonts w:asciiTheme="minorHAnsi" w:hAnsiTheme="minorHAnsi"/>
          <w:sz w:val="22"/>
          <w:szCs w:val="22"/>
        </w:rPr>
        <w:t xml:space="preserve"> NSF</w:t>
      </w:r>
      <w:r w:rsidR="00CA5E97" w:rsidRPr="00546A24">
        <w:rPr>
          <w:rStyle w:val="Strong"/>
          <w:rFonts w:asciiTheme="minorHAnsi" w:hAnsiTheme="minorHAnsi"/>
          <w:b w:val="0"/>
          <w:color w:val="auto"/>
          <w:sz w:val="22"/>
          <w:szCs w:val="22"/>
        </w:rPr>
        <w:t xml:space="preserve">.  </w:t>
      </w:r>
      <w:r w:rsidR="005E7563" w:rsidRPr="00546A24">
        <w:rPr>
          <w:rStyle w:val="Strong"/>
          <w:rFonts w:asciiTheme="minorHAnsi" w:hAnsiTheme="minorHAnsi"/>
          <w:b w:val="0"/>
          <w:color w:val="auto"/>
          <w:sz w:val="22"/>
          <w:szCs w:val="22"/>
        </w:rPr>
        <w:t>The</w:t>
      </w:r>
      <w:r w:rsidR="00CA5E97" w:rsidRPr="00546A24">
        <w:rPr>
          <w:rStyle w:val="Strong"/>
          <w:rFonts w:asciiTheme="minorHAnsi" w:hAnsiTheme="minorHAnsi"/>
          <w:b w:val="0"/>
          <w:color w:val="auto"/>
          <w:sz w:val="22"/>
          <w:szCs w:val="22"/>
        </w:rPr>
        <w:t xml:space="preserve"> estimated</w:t>
      </w:r>
      <w:r w:rsidR="005E7563" w:rsidRPr="00546A24">
        <w:rPr>
          <w:rStyle w:val="Strong"/>
          <w:rFonts w:asciiTheme="minorHAnsi" w:hAnsiTheme="minorHAnsi"/>
          <w:b w:val="0"/>
          <w:color w:val="auto"/>
          <w:sz w:val="22"/>
          <w:szCs w:val="22"/>
        </w:rPr>
        <w:t xml:space="preserve"> cost to the</w:t>
      </w:r>
      <w:r w:rsidR="00E9672F">
        <w:rPr>
          <w:rStyle w:val="Strong"/>
          <w:rFonts w:asciiTheme="minorHAnsi" w:hAnsiTheme="minorHAnsi"/>
          <w:b w:val="0"/>
          <w:color w:val="auto"/>
          <w:sz w:val="22"/>
          <w:szCs w:val="22"/>
        </w:rPr>
        <w:t xml:space="preserve"> Federal Government to conduct this survey for 5 reference years is $36.5 million</w:t>
      </w:r>
      <w:r w:rsidR="005E7563" w:rsidRPr="00546A24">
        <w:rPr>
          <w:rStyle w:val="Strong"/>
          <w:rFonts w:asciiTheme="minorHAnsi" w:hAnsiTheme="minorHAnsi"/>
          <w:b w:val="0"/>
          <w:color w:val="auto"/>
          <w:sz w:val="22"/>
          <w:szCs w:val="22"/>
        </w:rPr>
        <w:t>.  The Census Bureau has planned and allocated resources for the effective and efficient management of this information collection.</w:t>
      </w:r>
    </w:p>
    <w:p w14:paraId="30618FA9" w14:textId="77777777" w:rsidR="003552DC" w:rsidRPr="00546A24" w:rsidRDefault="005E7563" w:rsidP="003552DC">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Reason for Change in Burden</w:t>
      </w:r>
    </w:p>
    <w:p w14:paraId="4419761E" w14:textId="7AD6B2D3" w:rsidR="001E5DDB" w:rsidRDefault="00944052" w:rsidP="00483258">
      <w:pPr>
        <w:pStyle w:val="NormalWeb"/>
        <w:ind w:left="360"/>
        <w:rPr>
          <w:rFonts w:asciiTheme="minorHAnsi" w:hAnsiTheme="minorHAnsi"/>
          <w:color w:val="auto"/>
          <w:sz w:val="22"/>
          <w:szCs w:val="22"/>
        </w:rPr>
      </w:pPr>
      <w:r>
        <w:rPr>
          <w:rFonts w:asciiTheme="minorHAnsi" w:hAnsiTheme="minorHAnsi"/>
          <w:color w:val="auto"/>
          <w:sz w:val="22"/>
          <w:szCs w:val="22"/>
        </w:rPr>
        <w:t>The sample size for the 201</w:t>
      </w:r>
      <w:r w:rsidR="00E42CD2">
        <w:rPr>
          <w:rFonts w:asciiTheme="minorHAnsi" w:hAnsiTheme="minorHAnsi"/>
          <w:color w:val="auto"/>
          <w:sz w:val="22"/>
          <w:szCs w:val="22"/>
        </w:rPr>
        <w:t>9</w:t>
      </w:r>
      <w:r>
        <w:rPr>
          <w:rFonts w:asciiTheme="minorHAnsi" w:hAnsiTheme="minorHAnsi"/>
          <w:color w:val="auto"/>
          <w:sz w:val="22"/>
          <w:szCs w:val="22"/>
        </w:rPr>
        <w:t xml:space="preserve"> ABS is reduced to approximately 300,000 employer businesses resulting in a fewer total burden hours.</w:t>
      </w:r>
      <w:r w:rsidR="0001364B">
        <w:rPr>
          <w:rFonts w:asciiTheme="minorHAnsi" w:hAnsiTheme="minorHAnsi"/>
          <w:color w:val="auto"/>
          <w:sz w:val="22"/>
          <w:szCs w:val="22"/>
        </w:rPr>
        <w:t xml:space="preserve"> </w:t>
      </w:r>
    </w:p>
    <w:p w14:paraId="18DD902F" w14:textId="77859FD5" w:rsidR="009762F6" w:rsidRPr="000B1FB7" w:rsidRDefault="009762F6"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483258">
        <w:rPr>
          <w:rStyle w:val="Strong"/>
          <w:rFonts w:asciiTheme="minorHAnsi" w:hAnsiTheme="minorHAnsi"/>
          <w:color w:val="auto"/>
          <w:sz w:val="22"/>
          <w:szCs w:val="22"/>
          <w:u w:val="single"/>
        </w:rPr>
        <w:t>Project Milestones</w:t>
      </w:r>
    </w:p>
    <w:tbl>
      <w:tblPr>
        <w:tblStyle w:val="LightShading"/>
        <w:tblW w:w="10080" w:type="dxa"/>
        <w:tblLayout w:type="fixed"/>
        <w:tblLook w:val="04A0" w:firstRow="1" w:lastRow="0" w:firstColumn="1" w:lastColumn="0" w:noHBand="0" w:noVBand="1"/>
      </w:tblPr>
      <w:tblGrid>
        <w:gridCol w:w="2250"/>
        <w:gridCol w:w="1566"/>
        <w:gridCol w:w="1566"/>
        <w:gridCol w:w="1566"/>
        <w:gridCol w:w="1566"/>
        <w:gridCol w:w="1566"/>
      </w:tblGrid>
      <w:tr w:rsidR="00C26F4E" w:rsidRPr="00C26F4E" w14:paraId="3B7418BE" w14:textId="0430EDC4" w:rsidTr="00C26F4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50" w:type="dxa"/>
            <w:hideMark/>
          </w:tcPr>
          <w:p w14:paraId="06F124A8" w14:textId="77777777" w:rsidR="00C26F4E" w:rsidRPr="00C26F4E" w:rsidRDefault="00C26F4E" w:rsidP="00EC30B6">
            <w:pPr>
              <w:rPr>
                <w:rFonts w:asciiTheme="majorHAnsi" w:eastAsia="Times New Roman" w:hAnsiTheme="majorHAnsi"/>
                <w:sz w:val="18"/>
                <w:szCs w:val="18"/>
              </w:rPr>
            </w:pPr>
            <w:r w:rsidRPr="00C26F4E">
              <w:rPr>
                <w:rFonts w:asciiTheme="majorHAnsi" w:eastAsia="Times New Roman" w:hAnsiTheme="majorHAnsi"/>
                <w:sz w:val="18"/>
                <w:szCs w:val="18"/>
              </w:rPr>
              <w:t>Milestone</w:t>
            </w:r>
          </w:p>
        </w:tc>
        <w:tc>
          <w:tcPr>
            <w:tcW w:w="1566" w:type="dxa"/>
            <w:hideMark/>
          </w:tcPr>
          <w:p w14:paraId="6C1802BE" w14:textId="71E3C6D8" w:rsidR="00C26F4E" w:rsidRPr="00C26F4E" w:rsidRDefault="00C26F4E" w:rsidP="00682C01">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 xml:space="preserve">2017 Reference Year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c>
          <w:tcPr>
            <w:tcW w:w="1566" w:type="dxa"/>
            <w:hideMark/>
          </w:tcPr>
          <w:p w14:paraId="702E1853" w14:textId="7049AD9F" w:rsidR="00C26F4E" w:rsidRPr="00C26F4E" w:rsidRDefault="00C26F4E" w:rsidP="00E42CD2">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201</w:t>
            </w:r>
            <w:r w:rsidR="00E42CD2">
              <w:rPr>
                <w:rFonts w:asciiTheme="majorHAnsi" w:eastAsia="Times New Roman" w:hAnsiTheme="majorHAnsi"/>
                <w:sz w:val="18"/>
                <w:szCs w:val="18"/>
              </w:rPr>
              <w:t>9</w:t>
            </w:r>
            <w:r w:rsidRPr="00C26F4E">
              <w:rPr>
                <w:rFonts w:asciiTheme="majorHAnsi" w:eastAsia="Times New Roman" w:hAnsiTheme="majorHAnsi"/>
                <w:sz w:val="18"/>
                <w:szCs w:val="18"/>
              </w:rPr>
              <w:t xml:space="preserve"> </w:t>
            </w:r>
            <w:r w:rsidR="00E42CD2">
              <w:rPr>
                <w:rFonts w:asciiTheme="majorHAnsi" w:eastAsia="Times New Roman" w:hAnsiTheme="majorHAnsi"/>
                <w:sz w:val="18"/>
                <w:szCs w:val="18"/>
              </w:rPr>
              <w:t>Collection</w:t>
            </w:r>
            <w:r w:rsidRPr="00C26F4E">
              <w:rPr>
                <w:rFonts w:asciiTheme="majorHAnsi" w:eastAsia="Times New Roman" w:hAnsiTheme="majorHAnsi"/>
                <w:sz w:val="18"/>
                <w:szCs w:val="18"/>
              </w:rPr>
              <w:t xml:space="preserve"> Planned Completion Date</w:t>
            </w:r>
          </w:p>
        </w:tc>
        <w:tc>
          <w:tcPr>
            <w:tcW w:w="1566" w:type="dxa"/>
            <w:hideMark/>
          </w:tcPr>
          <w:p w14:paraId="3368182C" w14:textId="719CE290" w:rsidR="00C26F4E" w:rsidRPr="00C26F4E" w:rsidRDefault="00C26F4E" w:rsidP="00E42CD2">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sidRPr="00C26F4E">
              <w:rPr>
                <w:rFonts w:asciiTheme="majorHAnsi" w:eastAsia="Times New Roman" w:hAnsiTheme="majorHAnsi"/>
                <w:sz w:val="18"/>
                <w:szCs w:val="18"/>
              </w:rPr>
              <w:t>20</w:t>
            </w:r>
            <w:r w:rsidR="00E42CD2">
              <w:rPr>
                <w:rFonts w:asciiTheme="majorHAnsi" w:eastAsia="Times New Roman" w:hAnsiTheme="majorHAnsi"/>
                <w:sz w:val="18"/>
                <w:szCs w:val="18"/>
              </w:rPr>
              <w:t>20</w:t>
            </w:r>
            <w:r w:rsidRPr="00C26F4E">
              <w:rPr>
                <w:rFonts w:asciiTheme="majorHAnsi" w:eastAsia="Times New Roman" w:hAnsiTheme="majorHAnsi"/>
                <w:sz w:val="18"/>
                <w:szCs w:val="18"/>
              </w:rPr>
              <w:t xml:space="preserve"> </w:t>
            </w:r>
            <w:r w:rsidR="00E42CD2">
              <w:rPr>
                <w:rFonts w:asciiTheme="majorHAnsi" w:eastAsia="Times New Roman" w:hAnsiTheme="majorHAnsi"/>
                <w:sz w:val="18"/>
                <w:szCs w:val="18"/>
              </w:rPr>
              <w:t>Collection</w:t>
            </w:r>
            <w:r w:rsidRPr="00C26F4E">
              <w:rPr>
                <w:rFonts w:asciiTheme="majorHAnsi" w:eastAsia="Times New Roman" w:hAnsiTheme="majorHAnsi"/>
                <w:sz w:val="18"/>
                <w:szCs w:val="18"/>
              </w:rPr>
              <w:t xml:space="preserve"> Planned Completion Date</w:t>
            </w:r>
          </w:p>
        </w:tc>
        <w:tc>
          <w:tcPr>
            <w:tcW w:w="1566" w:type="dxa"/>
          </w:tcPr>
          <w:p w14:paraId="09A1C432" w14:textId="2C2106C3" w:rsidR="00C26F4E" w:rsidRPr="00C26F4E" w:rsidRDefault="00C26F4E" w:rsidP="00E42CD2">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202</w:t>
            </w:r>
            <w:r w:rsidR="00E42CD2">
              <w:rPr>
                <w:rFonts w:asciiTheme="majorHAnsi" w:eastAsia="Times New Roman" w:hAnsiTheme="majorHAnsi"/>
                <w:sz w:val="18"/>
                <w:szCs w:val="18"/>
              </w:rPr>
              <w:t>1</w:t>
            </w:r>
            <w:r>
              <w:rPr>
                <w:rFonts w:asciiTheme="majorHAnsi" w:eastAsia="Times New Roman" w:hAnsiTheme="majorHAnsi"/>
                <w:sz w:val="18"/>
                <w:szCs w:val="18"/>
              </w:rPr>
              <w:t xml:space="preserve"> </w:t>
            </w:r>
            <w:r w:rsidR="00E42CD2">
              <w:rPr>
                <w:rFonts w:asciiTheme="majorHAnsi" w:eastAsia="Times New Roman" w:hAnsiTheme="majorHAnsi"/>
                <w:sz w:val="18"/>
                <w:szCs w:val="18"/>
              </w:rPr>
              <w:t>Collection</w:t>
            </w:r>
            <w:r w:rsidRPr="00C26F4E">
              <w:rPr>
                <w:rFonts w:asciiTheme="majorHAnsi" w:eastAsia="Times New Roman" w:hAnsiTheme="majorHAnsi"/>
                <w:sz w:val="18"/>
                <w:szCs w:val="18"/>
              </w:rPr>
              <w:t xml:space="preserve">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c>
          <w:tcPr>
            <w:tcW w:w="1566" w:type="dxa"/>
          </w:tcPr>
          <w:p w14:paraId="696B785B" w14:textId="59D8ADE5" w:rsidR="00C26F4E" w:rsidRPr="00C26F4E" w:rsidRDefault="00C26F4E" w:rsidP="00E42CD2">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202</w:t>
            </w:r>
            <w:r w:rsidR="00E42CD2">
              <w:rPr>
                <w:rFonts w:asciiTheme="majorHAnsi" w:eastAsia="Times New Roman" w:hAnsiTheme="majorHAnsi"/>
                <w:sz w:val="18"/>
                <w:szCs w:val="18"/>
              </w:rPr>
              <w:t>2</w:t>
            </w:r>
            <w:r>
              <w:rPr>
                <w:rFonts w:asciiTheme="majorHAnsi" w:eastAsia="Times New Roman" w:hAnsiTheme="majorHAnsi"/>
                <w:sz w:val="18"/>
                <w:szCs w:val="18"/>
              </w:rPr>
              <w:t xml:space="preserve"> </w:t>
            </w:r>
            <w:r w:rsidR="00E42CD2">
              <w:rPr>
                <w:rFonts w:asciiTheme="majorHAnsi" w:eastAsia="Times New Roman" w:hAnsiTheme="majorHAnsi"/>
                <w:sz w:val="18"/>
                <w:szCs w:val="18"/>
              </w:rPr>
              <w:t>Collection</w:t>
            </w:r>
            <w:r w:rsidRPr="00C26F4E">
              <w:rPr>
                <w:rFonts w:asciiTheme="majorHAnsi" w:eastAsia="Times New Roman" w:hAnsiTheme="majorHAnsi"/>
                <w:sz w:val="18"/>
                <w:szCs w:val="18"/>
              </w:rPr>
              <w:t xml:space="preserve"> </w:t>
            </w:r>
            <w:r w:rsidR="008D30F7">
              <w:rPr>
                <w:rFonts w:asciiTheme="majorHAnsi" w:eastAsia="Times New Roman" w:hAnsiTheme="majorHAnsi"/>
                <w:sz w:val="18"/>
                <w:szCs w:val="18"/>
              </w:rPr>
              <w:t xml:space="preserve">Planned </w:t>
            </w:r>
            <w:r w:rsidRPr="00C26F4E">
              <w:rPr>
                <w:rFonts w:asciiTheme="majorHAnsi" w:eastAsia="Times New Roman" w:hAnsiTheme="majorHAnsi"/>
                <w:sz w:val="18"/>
                <w:szCs w:val="18"/>
              </w:rPr>
              <w:t>Completion Date</w:t>
            </w:r>
          </w:p>
        </w:tc>
      </w:tr>
      <w:tr w:rsidR="00982B2A" w:rsidRPr="00C26F4E" w14:paraId="2A3A7491" w14:textId="74CF0042"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6FE5F2CF"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Content Drafted for Cognitive Testing</w:t>
            </w:r>
          </w:p>
        </w:tc>
        <w:tc>
          <w:tcPr>
            <w:tcW w:w="1566" w:type="dxa"/>
            <w:hideMark/>
          </w:tcPr>
          <w:p w14:paraId="63A0DB78" w14:textId="06EDF17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2017</w:t>
            </w:r>
          </w:p>
        </w:tc>
        <w:tc>
          <w:tcPr>
            <w:tcW w:w="1566" w:type="dxa"/>
            <w:hideMark/>
          </w:tcPr>
          <w:p w14:paraId="2D107691" w14:textId="364ADF1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w:t>
            </w:r>
            <w:r w:rsidR="008F396F">
              <w:rPr>
                <w:rFonts w:asciiTheme="majorHAnsi" w:eastAsia="Times New Roman" w:hAnsiTheme="majorHAnsi"/>
                <w:sz w:val="18"/>
                <w:szCs w:val="18"/>
              </w:rPr>
              <w:t>ly</w:t>
            </w:r>
            <w:r>
              <w:rPr>
                <w:rFonts w:asciiTheme="majorHAnsi" w:eastAsia="Times New Roman" w:hAnsiTheme="majorHAnsi"/>
                <w:sz w:val="18"/>
                <w:szCs w:val="18"/>
              </w:rPr>
              <w:t xml:space="preserve"> 2018</w:t>
            </w:r>
          </w:p>
        </w:tc>
        <w:tc>
          <w:tcPr>
            <w:tcW w:w="1566" w:type="dxa"/>
            <w:hideMark/>
          </w:tcPr>
          <w:p w14:paraId="6BA168B2" w14:textId="2A8EA214"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2019</w:t>
            </w:r>
          </w:p>
        </w:tc>
        <w:tc>
          <w:tcPr>
            <w:tcW w:w="1566" w:type="dxa"/>
          </w:tcPr>
          <w:p w14:paraId="297B21A2" w14:textId="3C1783C5"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2020</w:t>
            </w:r>
          </w:p>
        </w:tc>
        <w:tc>
          <w:tcPr>
            <w:tcW w:w="1566" w:type="dxa"/>
          </w:tcPr>
          <w:p w14:paraId="09B37043" w14:textId="0DDBCDA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 2021</w:t>
            </w:r>
          </w:p>
        </w:tc>
      </w:tr>
      <w:tr w:rsidR="00982B2A" w:rsidRPr="00C26F4E" w14:paraId="153BDA38" w14:textId="61A6CBC0"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1F96BAE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Cognitive Testing Complete</w:t>
            </w:r>
          </w:p>
        </w:tc>
        <w:tc>
          <w:tcPr>
            <w:tcW w:w="1566" w:type="dxa"/>
            <w:hideMark/>
          </w:tcPr>
          <w:p w14:paraId="748D6D7C" w14:textId="6CCBF36B"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7</w:t>
            </w:r>
          </w:p>
        </w:tc>
        <w:tc>
          <w:tcPr>
            <w:tcW w:w="1566" w:type="dxa"/>
            <w:hideMark/>
          </w:tcPr>
          <w:p w14:paraId="70AE1D03" w14:textId="79CAC3D3" w:rsidR="00982B2A" w:rsidRPr="00C26F4E" w:rsidRDefault="001E5DDB"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008F396F"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8</w:t>
            </w:r>
          </w:p>
        </w:tc>
        <w:tc>
          <w:tcPr>
            <w:tcW w:w="1566" w:type="dxa"/>
            <w:hideMark/>
          </w:tcPr>
          <w:p w14:paraId="629BFCBD" w14:textId="0BBA9943"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19</w:t>
            </w:r>
          </w:p>
        </w:tc>
        <w:tc>
          <w:tcPr>
            <w:tcW w:w="1566" w:type="dxa"/>
          </w:tcPr>
          <w:p w14:paraId="0F37C5F7" w14:textId="10C729EA"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79A28182" w14:textId="019B41AF"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21</w:t>
            </w:r>
          </w:p>
        </w:tc>
      </w:tr>
      <w:tr w:rsidR="00982B2A" w:rsidRPr="00C26F4E" w14:paraId="0BE55F68" w14:textId="6D17E85C"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342F5DF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Content Final/Centurion Requirements Final</w:t>
            </w:r>
          </w:p>
        </w:tc>
        <w:tc>
          <w:tcPr>
            <w:tcW w:w="1566" w:type="dxa"/>
            <w:hideMark/>
          </w:tcPr>
          <w:p w14:paraId="18350C2D" w14:textId="185F61CC"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2017</w:t>
            </w:r>
          </w:p>
        </w:tc>
        <w:tc>
          <w:tcPr>
            <w:tcW w:w="1566" w:type="dxa"/>
            <w:hideMark/>
          </w:tcPr>
          <w:p w14:paraId="4620D158" w14:textId="07596B8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2018</w:t>
            </w:r>
          </w:p>
        </w:tc>
        <w:tc>
          <w:tcPr>
            <w:tcW w:w="1566" w:type="dxa"/>
            <w:hideMark/>
          </w:tcPr>
          <w:p w14:paraId="740C033E" w14:textId="1D0B0D5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2019</w:t>
            </w:r>
          </w:p>
        </w:tc>
        <w:tc>
          <w:tcPr>
            <w:tcW w:w="1566" w:type="dxa"/>
          </w:tcPr>
          <w:p w14:paraId="75DF7E10" w14:textId="05D2DAB3"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2020</w:t>
            </w:r>
          </w:p>
        </w:tc>
        <w:tc>
          <w:tcPr>
            <w:tcW w:w="1566" w:type="dxa"/>
          </w:tcPr>
          <w:p w14:paraId="0167C10E" w14:textId="4E775B8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2021</w:t>
            </w:r>
          </w:p>
        </w:tc>
      </w:tr>
      <w:tr w:rsidR="00982B2A" w:rsidRPr="00C26F4E" w14:paraId="1312BFE2" w14:textId="513C360B"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7989D240"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Presubmission Notice Published in Federal Register</w:t>
            </w:r>
          </w:p>
        </w:tc>
        <w:tc>
          <w:tcPr>
            <w:tcW w:w="1566" w:type="dxa"/>
            <w:hideMark/>
          </w:tcPr>
          <w:p w14:paraId="3753C74E" w14:textId="08FDA0D5"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2017</w:t>
            </w:r>
          </w:p>
        </w:tc>
        <w:tc>
          <w:tcPr>
            <w:tcW w:w="1566" w:type="dxa"/>
            <w:hideMark/>
          </w:tcPr>
          <w:p w14:paraId="2411BE19" w14:textId="550DAFDA" w:rsidR="00982B2A" w:rsidRPr="00C26F4E" w:rsidRDefault="008F396F"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N/A</w:t>
            </w:r>
          </w:p>
        </w:tc>
        <w:tc>
          <w:tcPr>
            <w:tcW w:w="1566" w:type="dxa"/>
            <w:hideMark/>
          </w:tcPr>
          <w:p w14:paraId="57B698DA" w14:textId="09201950" w:rsidR="00982B2A" w:rsidRPr="00C26F4E" w:rsidRDefault="00944052"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N/A</w:t>
            </w:r>
          </w:p>
        </w:tc>
        <w:tc>
          <w:tcPr>
            <w:tcW w:w="1566" w:type="dxa"/>
          </w:tcPr>
          <w:p w14:paraId="46A2AEB3" w14:textId="0EB664AC"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2020</w:t>
            </w:r>
          </w:p>
        </w:tc>
        <w:tc>
          <w:tcPr>
            <w:tcW w:w="1566" w:type="dxa"/>
          </w:tcPr>
          <w:p w14:paraId="567B96F0" w14:textId="2806914E"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 2021</w:t>
            </w:r>
          </w:p>
        </w:tc>
      </w:tr>
      <w:tr w:rsidR="00982B2A" w:rsidRPr="00C26F4E" w14:paraId="4CD380C8" w14:textId="1F6EE9E3"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51580F07"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Approval Request Submitted to OMB</w:t>
            </w:r>
          </w:p>
        </w:tc>
        <w:tc>
          <w:tcPr>
            <w:tcW w:w="1566" w:type="dxa"/>
            <w:hideMark/>
          </w:tcPr>
          <w:p w14:paraId="3A4555C9" w14:textId="26EB0CA6"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7</w:t>
            </w:r>
          </w:p>
        </w:tc>
        <w:tc>
          <w:tcPr>
            <w:tcW w:w="1566" w:type="dxa"/>
            <w:hideMark/>
          </w:tcPr>
          <w:p w14:paraId="10F8DC7C" w14:textId="0A110F3A" w:rsidR="00982B2A" w:rsidRPr="00C26F4E" w:rsidRDefault="0094405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March</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Pr>
                <w:rFonts w:asciiTheme="majorHAnsi" w:eastAsia="Times New Roman" w:hAnsiTheme="majorHAnsi"/>
                <w:sz w:val="18"/>
                <w:szCs w:val="18"/>
              </w:rPr>
              <w:t>9</w:t>
            </w:r>
          </w:p>
        </w:tc>
        <w:tc>
          <w:tcPr>
            <w:tcW w:w="1566" w:type="dxa"/>
            <w:hideMark/>
          </w:tcPr>
          <w:p w14:paraId="362F3A11" w14:textId="788A73BF" w:rsidR="00982B2A" w:rsidRPr="00C26F4E" w:rsidRDefault="0094405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March</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Pr>
                <w:rFonts w:asciiTheme="majorHAnsi" w:eastAsia="Times New Roman" w:hAnsiTheme="majorHAnsi"/>
                <w:sz w:val="18"/>
                <w:szCs w:val="18"/>
              </w:rPr>
              <w:t>20</w:t>
            </w:r>
          </w:p>
        </w:tc>
        <w:tc>
          <w:tcPr>
            <w:tcW w:w="1566" w:type="dxa"/>
          </w:tcPr>
          <w:p w14:paraId="409D75CF" w14:textId="12225ED2"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tcPr>
          <w:p w14:paraId="4D40E905" w14:textId="4A18B9EC"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r>
      <w:tr w:rsidR="00982B2A" w:rsidRPr="00C26F4E" w14:paraId="76B994C2" w14:textId="5330A6EB"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690053FE"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Usability Testing</w:t>
            </w:r>
          </w:p>
        </w:tc>
        <w:tc>
          <w:tcPr>
            <w:tcW w:w="1566" w:type="dxa"/>
            <w:hideMark/>
          </w:tcPr>
          <w:p w14:paraId="4CA32139" w14:textId="31A1715F"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2018</w:t>
            </w:r>
          </w:p>
        </w:tc>
        <w:tc>
          <w:tcPr>
            <w:tcW w:w="1566" w:type="dxa"/>
            <w:hideMark/>
          </w:tcPr>
          <w:p w14:paraId="293E5B67" w14:textId="19870CCD"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2019</w:t>
            </w:r>
          </w:p>
        </w:tc>
        <w:tc>
          <w:tcPr>
            <w:tcW w:w="1566" w:type="dxa"/>
            <w:hideMark/>
          </w:tcPr>
          <w:p w14:paraId="58455423" w14:textId="6D02CC4B"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2020</w:t>
            </w:r>
          </w:p>
        </w:tc>
        <w:tc>
          <w:tcPr>
            <w:tcW w:w="1566" w:type="dxa"/>
          </w:tcPr>
          <w:p w14:paraId="42E95381" w14:textId="1F643F73"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2021</w:t>
            </w:r>
          </w:p>
        </w:tc>
        <w:tc>
          <w:tcPr>
            <w:tcW w:w="1566" w:type="dxa"/>
          </w:tcPr>
          <w:p w14:paraId="6188C504" w14:textId="63E2EF53" w:rsidR="00982B2A" w:rsidRPr="00C26F4E" w:rsidRDefault="008D30F7"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May 2022</w:t>
            </w:r>
          </w:p>
        </w:tc>
      </w:tr>
      <w:tr w:rsidR="00982B2A" w:rsidRPr="00C26F4E" w14:paraId="29BB9E9A" w14:textId="34896403"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488CD2B5" w14:textId="2429DCD0"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Initial Mail</w:t>
            </w:r>
          </w:p>
        </w:tc>
        <w:tc>
          <w:tcPr>
            <w:tcW w:w="1566" w:type="dxa"/>
            <w:hideMark/>
          </w:tcPr>
          <w:p w14:paraId="5D7C49E3" w14:textId="2DE2DBE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8</w:t>
            </w:r>
          </w:p>
        </w:tc>
        <w:tc>
          <w:tcPr>
            <w:tcW w:w="1566" w:type="dxa"/>
            <w:hideMark/>
          </w:tcPr>
          <w:p w14:paraId="042B6508" w14:textId="728768D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w:t>
            </w:r>
            <w:r w:rsidR="008F396F">
              <w:rPr>
                <w:rFonts w:asciiTheme="majorHAnsi" w:eastAsia="Times New Roman" w:hAnsiTheme="majorHAnsi"/>
                <w:sz w:val="18"/>
                <w:szCs w:val="18"/>
              </w:rPr>
              <w:t>ly</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9</w:t>
            </w:r>
          </w:p>
        </w:tc>
        <w:tc>
          <w:tcPr>
            <w:tcW w:w="1566" w:type="dxa"/>
            <w:hideMark/>
          </w:tcPr>
          <w:p w14:paraId="0FCF9609" w14:textId="191F71C2"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74177837" w14:textId="07C5CBCA"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21</w:t>
            </w:r>
          </w:p>
        </w:tc>
        <w:tc>
          <w:tcPr>
            <w:tcW w:w="1566" w:type="dxa"/>
          </w:tcPr>
          <w:p w14:paraId="7ABA768E" w14:textId="40759FF8"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June</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22</w:t>
            </w:r>
          </w:p>
        </w:tc>
      </w:tr>
      <w:tr w:rsidR="00982B2A" w:rsidRPr="00C26F4E" w14:paraId="788FCDE7" w14:textId="33A754A2"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1DC050CA"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1</w:t>
            </w:r>
            <w:r w:rsidRPr="00C26F4E">
              <w:rPr>
                <w:rFonts w:asciiTheme="majorHAnsi" w:eastAsia="Times New Roman" w:hAnsiTheme="majorHAnsi"/>
                <w:sz w:val="18"/>
                <w:szCs w:val="18"/>
                <w:vertAlign w:val="superscript"/>
              </w:rPr>
              <w:t>st</w:t>
            </w:r>
            <w:r w:rsidRPr="00C26F4E">
              <w:rPr>
                <w:rFonts w:asciiTheme="majorHAnsi" w:eastAsia="Times New Roman" w:hAnsiTheme="majorHAnsi"/>
                <w:sz w:val="18"/>
                <w:szCs w:val="18"/>
              </w:rPr>
              <w:t xml:space="preserve"> Follow-up</w:t>
            </w:r>
          </w:p>
        </w:tc>
        <w:tc>
          <w:tcPr>
            <w:tcW w:w="1566" w:type="dxa"/>
            <w:hideMark/>
          </w:tcPr>
          <w:p w14:paraId="75E81CDD" w14:textId="52A40FC4"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8</w:t>
            </w:r>
          </w:p>
        </w:tc>
        <w:tc>
          <w:tcPr>
            <w:tcW w:w="1566" w:type="dxa"/>
            <w:hideMark/>
          </w:tcPr>
          <w:p w14:paraId="64A82F10" w14:textId="1AD42CA0"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201</w:t>
            </w:r>
            <w:r>
              <w:rPr>
                <w:rFonts w:asciiTheme="majorHAnsi" w:eastAsia="Times New Roman" w:hAnsiTheme="majorHAnsi"/>
                <w:sz w:val="18"/>
                <w:szCs w:val="18"/>
              </w:rPr>
              <w:t>9</w:t>
            </w:r>
          </w:p>
        </w:tc>
        <w:tc>
          <w:tcPr>
            <w:tcW w:w="1566" w:type="dxa"/>
            <w:hideMark/>
          </w:tcPr>
          <w:p w14:paraId="23225E7E" w14:textId="0AB643C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20</w:t>
            </w:r>
          </w:p>
        </w:tc>
        <w:tc>
          <w:tcPr>
            <w:tcW w:w="1566" w:type="dxa"/>
          </w:tcPr>
          <w:p w14:paraId="1B831522" w14:textId="1E021679"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 2021</w:t>
            </w:r>
          </w:p>
        </w:tc>
        <w:tc>
          <w:tcPr>
            <w:tcW w:w="1566" w:type="dxa"/>
          </w:tcPr>
          <w:p w14:paraId="1D7F5E9E" w14:textId="3DB7ECC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20</w:t>
            </w:r>
            <w:r>
              <w:rPr>
                <w:rFonts w:asciiTheme="majorHAnsi" w:eastAsia="Times New Roman" w:hAnsiTheme="majorHAnsi"/>
                <w:sz w:val="18"/>
                <w:szCs w:val="18"/>
              </w:rPr>
              <w:t>22</w:t>
            </w:r>
          </w:p>
        </w:tc>
      </w:tr>
      <w:tr w:rsidR="00982B2A" w:rsidRPr="00C26F4E" w14:paraId="7C32B328" w14:textId="3C647C02"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3FDB17B8" w14:textId="7FFFABDB"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2</w:t>
            </w:r>
            <w:r w:rsidRPr="00C26F4E">
              <w:rPr>
                <w:rFonts w:asciiTheme="majorHAnsi" w:eastAsia="Times New Roman" w:hAnsiTheme="majorHAnsi"/>
                <w:sz w:val="18"/>
                <w:szCs w:val="18"/>
                <w:vertAlign w:val="superscript"/>
              </w:rPr>
              <w:t>nd</w:t>
            </w:r>
            <w:r w:rsidRPr="00C26F4E">
              <w:rPr>
                <w:rFonts w:asciiTheme="majorHAnsi" w:eastAsia="Times New Roman" w:hAnsiTheme="majorHAnsi"/>
                <w:sz w:val="18"/>
                <w:szCs w:val="18"/>
              </w:rPr>
              <w:t xml:space="preserve"> Follow-up</w:t>
            </w:r>
            <w:r w:rsidR="008F396F">
              <w:rPr>
                <w:rFonts w:asciiTheme="majorHAnsi" w:eastAsia="Times New Roman" w:hAnsiTheme="majorHAnsi"/>
                <w:sz w:val="18"/>
                <w:szCs w:val="18"/>
              </w:rPr>
              <w:t>/Email reminder</w:t>
            </w:r>
          </w:p>
        </w:tc>
        <w:tc>
          <w:tcPr>
            <w:tcW w:w="1566" w:type="dxa"/>
            <w:hideMark/>
          </w:tcPr>
          <w:p w14:paraId="5329D0F9" w14:textId="4FCDBCB9" w:rsidR="00982B2A" w:rsidRPr="00C26F4E" w:rsidRDefault="008F396F"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October </w:t>
            </w:r>
            <w:r w:rsidR="00982B2A">
              <w:rPr>
                <w:rFonts w:asciiTheme="majorHAnsi" w:eastAsia="Times New Roman" w:hAnsiTheme="majorHAnsi"/>
                <w:sz w:val="18"/>
                <w:szCs w:val="18"/>
              </w:rPr>
              <w:t>2018</w:t>
            </w:r>
          </w:p>
        </w:tc>
        <w:tc>
          <w:tcPr>
            <w:tcW w:w="1566" w:type="dxa"/>
            <w:hideMark/>
          </w:tcPr>
          <w:p w14:paraId="0642C637" w14:textId="22CDDD1A" w:rsidR="00982B2A" w:rsidRPr="00C26F4E" w:rsidRDefault="0094405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2019</w:t>
            </w:r>
          </w:p>
        </w:tc>
        <w:tc>
          <w:tcPr>
            <w:tcW w:w="1566" w:type="dxa"/>
            <w:hideMark/>
          </w:tcPr>
          <w:p w14:paraId="4ABAD2B8" w14:textId="21CCD156"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2020</w:t>
            </w:r>
          </w:p>
        </w:tc>
        <w:tc>
          <w:tcPr>
            <w:tcW w:w="1566" w:type="dxa"/>
          </w:tcPr>
          <w:p w14:paraId="22BE5555" w14:textId="64A7A851"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2021</w:t>
            </w:r>
          </w:p>
        </w:tc>
        <w:tc>
          <w:tcPr>
            <w:tcW w:w="1566" w:type="dxa"/>
          </w:tcPr>
          <w:p w14:paraId="31E3A759" w14:textId="5571CE98"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 2022</w:t>
            </w:r>
          </w:p>
        </w:tc>
      </w:tr>
      <w:tr w:rsidR="008F396F" w:rsidRPr="00C26F4E" w14:paraId="0E53B8A8" w14:textId="77777777" w:rsidTr="00C26F4E">
        <w:tc>
          <w:tcPr>
            <w:cnfStyle w:val="001000000000" w:firstRow="0" w:lastRow="0" w:firstColumn="1" w:lastColumn="0" w:oddVBand="0" w:evenVBand="0" w:oddHBand="0" w:evenHBand="0" w:firstRowFirstColumn="0" w:firstRowLastColumn="0" w:lastRowFirstColumn="0" w:lastRowLastColumn="0"/>
            <w:tcW w:w="2250" w:type="dxa"/>
          </w:tcPr>
          <w:p w14:paraId="4B948534" w14:textId="48DF11AD" w:rsidR="008F396F" w:rsidRPr="00C26F4E" w:rsidRDefault="008F396F"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Pr>
                <w:rFonts w:asciiTheme="majorHAnsi" w:eastAsia="Times New Roman" w:hAnsiTheme="majorHAnsi"/>
                <w:sz w:val="18"/>
                <w:szCs w:val="18"/>
              </w:rPr>
              <w:t>]Possible] 3</w:t>
            </w:r>
            <w:r w:rsidRPr="001C1E31">
              <w:rPr>
                <w:rFonts w:asciiTheme="majorHAnsi" w:eastAsia="Times New Roman" w:hAnsiTheme="majorHAnsi"/>
                <w:sz w:val="18"/>
                <w:szCs w:val="18"/>
                <w:vertAlign w:val="superscript"/>
              </w:rPr>
              <w:t>rd</w:t>
            </w:r>
            <w:r>
              <w:rPr>
                <w:rFonts w:asciiTheme="majorHAnsi" w:eastAsia="Times New Roman" w:hAnsiTheme="majorHAnsi"/>
                <w:sz w:val="18"/>
                <w:szCs w:val="18"/>
              </w:rPr>
              <w:t xml:space="preserve"> Follow-Up</w:t>
            </w:r>
          </w:p>
        </w:tc>
        <w:tc>
          <w:tcPr>
            <w:tcW w:w="1566" w:type="dxa"/>
          </w:tcPr>
          <w:p w14:paraId="1BC6F3B6" w14:textId="170472ED" w:rsidR="008F396F" w:rsidRDefault="008F396F"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2018</w:t>
            </w:r>
          </w:p>
        </w:tc>
        <w:tc>
          <w:tcPr>
            <w:tcW w:w="1566" w:type="dxa"/>
          </w:tcPr>
          <w:p w14:paraId="3A803C19" w14:textId="4EA7E465" w:rsidR="008F396F" w:rsidRDefault="00C703B3"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008F396F">
              <w:rPr>
                <w:rFonts w:asciiTheme="majorHAnsi" w:eastAsia="Times New Roman" w:hAnsiTheme="majorHAnsi"/>
                <w:sz w:val="18"/>
                <w:szCs w:val="18"/>
              </w:rPr>
              <w:t xml:space="preserve"> 2019</w:t>
            </w:r>
          </w:p>
        </w:tc>
        <w:tc>
          <w:tcPr>
            <w:tcW w:w="1566" w:type="dxa"/>
          </w:tcPr>
          <w:p w14:paraId="648E60A6" w14:textId="4CBB0AEE" w:rsidR="008F396F" w:rsidRDefault="008F396F"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2019</w:t>
            </w:r>
          </w:p>
        </w:tc>
        <w:tc>
          <w:tcPr>
            <w:tcW w:w="1566" w:type="dxa"/>
          </w:tcPr>
          <w:p w14:paraId="451EAAC7" w14:textId="4600AB28" w:rsidR="008F396F" w:rsidRDefault="008F396F"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2019</w:t>
            </w:r>
          </w:p>
        </w:tc>
        <w:tc>
          <w:tcPr>
            <w:tcW w:w="1566" w:type="dxa"/>
          </w:tcPr>
          <w:p w14:paraId="448A7267" w14:textId="480ECEEE" w:rsidR="008F396F" w:rsidRDefault="008F396F"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 2019</w:t>
            </w:r>
          </w:p>
        </w:tc>
      </w:tr>
      <w:tr w:rsidR="00982B2A" w:rsidRPr="00C26F4E" w14:paraId="68EFA09D" w14:textId="02C4E1EB"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40100F53"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Closeout</w:t>
            </w:r>
          </w:p>
        </w:tc>
        <w:tc>
          <w:tcPr>
            <w:tcW w:w="1566" w:type="dxa"/>
            <w:hideMark/>
          </w:tcPr>
          <w:p w14:paraId="4328BE7D" w14:textId="5CD2DF57" w:rsidR="00982B2A" w:rsidRPr="00C26F4E" w:rsidRDefault="00982B2A"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 2018</w:t>
            </w:r>
          </w:p>
        </w:tc>
        <w:tc>
          <w:tcPr>
            <w:tcW w:w="1566" w:type="dxa"/>
            <w:hideMark/>
          </w:tcPr>
          <w:p w14:paraId="0D20AB5D" w14:textId="19F1C824" w:rsidR="00982B2A" w:rsidRPr="00C26F4E" w:rsidRDefault="00C703B3"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December </w:t>
            </w:r>
            <w:r w:rsidR="00982B2A">
              <w:rPr>
                <w:rFonts w:asciiTheme="majorHAnsi" w:eastAsia="Times New Roman" w:hAnsiTheme="majorHAnsi"/>
                <w:sz w:val="18"/>
                <w:szCs w:val="18"/>
              </w:rPr>
              <w:t>2019</w:t>
            </w:r>
          </w:p>
        </w:tc>
        <w:tc>
          <w:tcPr>
            <w:tcW w:w="1566" w:type="dxa"/>
            <w:hideMark/>
          </w:tcPr>
          <w:p w14:paraId="395ABC1E" w14:textId="551AAD8B"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2020</w:t>
            </w:r>
          </w:p>
        </w:tc>
        <w:tc>
          <w:tcPr>
            <w:tcW w:w="1566" w:type="dxa"/>
          </w:tcPr>
          <w:p w14:paraId="74A219C4" w14:textId="7B8087EE"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2021</w:t>
            </w:r>
          </w:p>
        </w:tc>
        <w:tc>
          <w:tcPr>
            <w:tcW w:w="1566" w:type="dxa"/>
          </w:tcPr>
          <w:p w14:paraId="2D5B5D2F" w14:textId="0CEBBEE2"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 xml:space="preserve">November </w:t>
            </w:r>
            <w:r w:rsidR="00982B2A">
              <w:rPr>
                <w:rFonts w:asciiTheme="majorHAnsi" w:eastAsia="Times New Roman" w:hAnsiTheme="majorHAnsi"/>
                <w:sz w:val="18"/>
                <w:szCs w:val="18"/>
              </w:rPr>
              <w:t>2022</w:t>
            </w:r>
          </w:p>
        </w:tc>
      </w:tr>
      <w:tr w:rsidR="00982B2A" w:rsidRPr="00C26F4E" w14:paraId="67AFE41F" w14:textId="7E1A0078"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4BF19F72"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Micro Data Review Complete</w:t>
            </w:r>
          </w:p>
        </w:tc>
        <w:tc>
          <w:tcPr>
            <w:tcW w:w="1566" w:type="dxa"/>
            <w:hideMark/>
          </w:tcPr>
          <w:p w14:paraId="0F7EAE49" w14:textId="57B551A4"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March</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09F0E025" w14:textId="32FB1F48"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78D392B3" w14:textId="7F88BEA8"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292A98FB" w14:textId="786B3764"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5733EC5D" w14:textId="555AF229"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February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6620DB55" w14:textId="418904C2"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61CF6648"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Production Processing</w:t>
            </w:r>
          </w:p>
        </w:tc>
        <w:tc>
          <w:tcPr>
            <w:tcW w:w="1566" w:type="dxa"/>
            <w:hideMark/>
          </w:tcPr>
          <w:p w14:paraId="6C93BD02" w14:textId="7998E8AE" w:rsidR="00982B2A" w:rsidRPr="00C26F4E" w:rsidRDefault="00F36FF8"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August</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7AC6E24B" w14:textId="3ADE1304"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00F36FF8"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3AE45F17" w14:textId="44ECDDE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22ED9670" w14:textId="5086296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4DD30703" w14:textId="6CB2B5CC"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July</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5896D523" w14:textId="4A6DFA66"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158B2DE3"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Macro Data Review Complete</w:t>
            </w:r>
          </w:p>
        </w:tc>
        <w:tc>
          <w:tcPr>
            <w:tcW w:w="1566" w:type="dxa"/>
            <w:hideMark/>
          </w:tcPr>
          <w:p w14:paraId="176C276C" w14:textId="1EF555B6"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2B31186D" w14:textId="44E5F1AC"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1582DE4C" w14:textId="4475230F"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1490C263" w14:textId="5CCECC8A"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0AE5F795" w14:textId="0489BF06"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September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76F5EF35" w14:textId="4BA08CDE" w:rsidTr="00C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14:paraId="2D7B7D27" w14:textId="77777777" w:rsidR="00982B2A" w:rsidRPr="00C26F4E" w:rsidRDefault="00982B2A" w:rsidP="00982B2A">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sidRPr="00C26F4E">
              <w:rPr>
                <w:rFonts w:asciiTheme="majorHAnsi" w:eastAsia="Times New Roman" w:hAnsiTheme="majorHAnsi"/>
                <w:sz w:val="18"/>
                <w:szCs w:val="18"/>
              </w:rPr>
              <w:t>Dissemination Processing</w:t>
            </w:r>
          </w:p>
        </w:tc>
        <w:tc>
          <w:tcPr>
            <w:tcW w:w="1566" w:type="dxa"/>
            <w:hideMark/>
          </w:tcPr>
          <w:p w14:paraId="757D080C" w14:textId="33720A71"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58AAAE1E" w14:textId="390772E8"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00567592"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26E6952F" w14:textId="6DD010A9"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509B5217" w14:textId="621C1030"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4789D4B9" w14:textId="69A5F7BF"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October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r w:rsidR="00982B2A" w:rsidRPr="00C26F4E" w14:paraId="6CC66630" w14:textId="3208C4B3" w:rsidTr="00C26F4E">
        <w:tc>
          <w:tcPr>
            <w:cnfStyle w:val="001000000000" w:firstRow="0" w:lastRow="0" w:firstColumn="1" w:lastColumn="0" w:oddVBand="0" w:evenVBand="0" w:oddHBand="0" w:evenHBand="0" w:firstRowFirstColumn="0" w:firstRowLastColumn="0" w:lastRowFirstColumn="0" w:lastRowLastColumn="0"/>
            <w:tcW w:w="2250" w:type="dxa"/>
            <w:hideMark/>
          </w:tcPr>
          <w:p w14:paraId="53E6BADD" w14:textId="6E860909" w:rsidR="00982B2A" w:rsidRPr="00C26F4E" w:rsidRDefault="008D30F7">
            <w:pPr>
              <w:keepNext/>
              <w:keepLines/>
              <w:tabs>
                <w:tab w:val="left" w:pos="360"/>
                <w:tab w:val="left" w:pos="720"/>
                <w:tab w:val="left" w:pos="1080"/>
                <w:tab w:val="left" w:pos="1440"/>
                <w:tab w:val="left" w:pos="1800"/>
                <w:tab w:val="left" w:pos="2160"/>
              </w:tabs>
              <w:spacing w:before="60" w:after="60"/>
              <w:rPr>
                <w:rFonts w:asciiTheme="majorHAnsi" w:eastAsia="Times New Roman" w:hAnsiTheme="majorHAnsi"/>
                <w:sz w:val="18"/>
                <w:szCs w:val="18"/>
              </w:rPr>
            </w:pPr>
            <w:r>
              <w:rPr>
                <w:rFonts w:asciiTheme="majorHAnsi" w:eastAsia="Times New Roman" w:hAnsiTheme="majorHAnsi"/>
                <w:sz w:val="18"/>
                <w:szCs w:val="18"/>
              </w:rPr>
              <w:t>Data</w:t>
            </w:r>
            <w:r w:rsidRPr="00C26F4E">
              <w:rPr>
                <w:rFonts w:asciiTheme="majorHAnsi" w:eastAsia="Times New Roman" w:hAnsiTheme="majorHAnsi"/>
                <w:sz w:val="18"/>
                <w:szCs w:val="18"/>
              </w:rPr>
              <w:t xml:space="preserve"> </w:t>
            </w:r>
            <w:r>
              <w:rPr>
                <w:rFonts w:asciiTheme="majorHAnsi" w:eastAsia="Times New Roman" w:hAnsiTheme="majorHAnsi"/>
                <w:sz w:val="18"/>
                <w:szCs w:val="18"/>
              </w:rPr>
              <w:t>Tables</w:t>
            </w:r>
            <w:r w:rsidRPr="00C26F4E">
              <w:rPr>
                <w:rFonts w:asciiTheme="majorHAnsi" w:eastAsia="Times New Roman" w:hAnsiTheme="majorHAnsi"/>
                <w:sz w:val="18"/>
                <w:szCs w:val="18"/>
              </w:rPr>
              <w:t xml:space="preserve"> </w:t>
            </w:r>
            <w:r>
              <w:rPr>
                <w:rFonts w:asciiTheme="majorHAnsi" w:eastAsia="Times New Roman" w:hAnsiTheme="majorHAnsi"/>
                <w:sz w:val="18"/>
                <w:szCs w:val="18"/>
              </w:rPr>
              <w:t>Published</w:t>
            </w:r>
          </w:p>
        </w:tc>
        <w:tc>
          <w:tcPr>
            <w:tcW w:w="1566" w:type="dxa"/>
            <w:hideMark/>
          </w:tcPr>
          <w:p w14:paraId="559B9ECE" w14:textId="271594E2" w:rsidR="00982B2A" w:rsidRPr="00C26F4E" w:rsidRDefault="00567592"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December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201</w:t>
            </w:r>
            <w:r w:rsidR="00982B2A">
              <w:rPr>
                <w:rFonts w:asciiTheme="majorHAnsi" w:eastAsia="Times New Roman" w:hAnsiTheme="majorHAnsi"/>
                <w:sz w:val="18"/>
                <w:szCs w:val="18"/>
              </w:rPr>
              <w:t>9</w:t>
            </w:r>
          </w:p>
        </w:tc>
        <w:tc>
          <w:tcPr>
            <w:tcW w:w="1566" w:type="dxa"/>
            <w:hideMark/>
          </w:tcPr>
          <w:p w14:paraId="4E281B9A" w14:textId="01FD6A43"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00567592"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20</w:t>
            </w:r>
          </w:p>
        </w:tc>
        <w:tc>
          <w:tcPr>
            <w:tcW w:w="1566" w:type="dxa"/>
            <w:hideMark/>
          </w:tcPr>
          <w:p w14:paraId="73B7C9D2" w14:textId="71E23CBE"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21</w:t>
            </w:r>
          </w:p>
        </w:tc>
        <w:tc>
          <w:tcPr>
            <w:tcW w:w="1566" w:type="dxa"/>
          </w:tcPr>
          <w:p w14:paraId="7D35BFCF" w14:textId="0F412BE8"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22</w:t>
            </w:r>
          </w:p>
        </w:tc>
        <w:tc>
          <w:tcPr>
            <w:tcW w:w="1566" w:type="dxa"/>
          </w:tcPr>
          <w:p w14:paraId="18B26984" w14:textId="523E1675" w:rsidR="00982B2A" w:rsidRPr="00C26F4E" w:rsidRDefault="00435A1E" w:rsidP="00982B2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18"/>
                <w:szCs w:val="18"/>
              </w:rPr>
            </w:pPr>
            <w:r>
              <w:rPr>
                <w:rFonts w:asciiTheme="majorHAnsi" w:eastAsia="Times New Roman" w:hAnsiTheme="majorHAnsi"/>
                <w:sz w:val="18"/>
                <w:szCs w:val="18"/>
              </w:rPr>
              <w:t>November</w:t>
            </w:r>
            <w:r w:rsidRPr="00C26F4E">
              <w:rPr>
                <w:rFonts w:asciiTheme="majorHAnsi" w:eastAsia="Times New Roman" w:hAnsiTheme="majorHAnsi"/>
                <w:sz w:val="18"/>
                <w:szCs w:val="18"/>
              </w:rPr>
              <w:t xml:space="preserve"> </w:t>
            </w:r>
            <w:r w:rsidR="00982B2A" w:rsidRPr="00C26F4E">
              <w:rPr>
                <w:rFonts w:asciiTheme="majorHAnsi" w:eastAsia="Times New Roman" w:hAnsiTheme="majorHAnsi"/>
                <w:sz w:val="18"/>
                <w:szCs w:val="18"/>
              </w:rPr>
              <w:t>20</w:t>
            </w:r>
            <w:r w:rsidR="00982B2A">
              <w:rPr>
                <w:rFonts w:asciiTheme="majorHAnsi" w:eastAsia="Times New Roman" w:hAnsiTheme="majorHAnsi"/>
                <w:sz w:val="18"/>
                <w:szCs w:val="18"/>
              </w:rPr>
              <w:t>23</w:t>
            </w:r>
          </w:p>
        </w:tc>
      </w:tr>
    </w:tbl>
    <w:p w14:paraId="15C995B3" w14:textId="77777777" w:rsidR="00EF43A7" w:rsidRPr="000B1FB7" w:rsidRDefault="00EF43A7" w:rsidP="007553C6">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076AC4">
        <w:rPr>
          <w:rStyle w:val="Strong"/>
          <w:rFonts w:asciiTheme="minorHAnsi" w:hAnsiTheme="minorHAnsi"/>
          <w:color w:val="auto"/>
          <w:sz w:val="22"/>
          <w:szCs w:val="22"/>
          <w:u w:val="single"/>
        </w:rPr>
        <w:t>Request Not to Display Expiration Date</w:t>
      </w:r>
    </w:p>
    <w:p w14:paraId="7180B044" w14:textId="48DA8A53" w:rsidR="00EF43A7" w:rsidRPr="00F736EE" w:rsidRDefault="00EF43A7" w:rsidP="009237E0">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00CA5E97" w:rsidRPr="00DC1289">
        <w:rPr>
          <w:rStyle w:val="Strong"/>
          <w:rFonts w:asciiTheme="minorHAnsi" w:hAnsiTheme="minorHAnsi"/>
          <w:b w:val="0"/>
          <w:color w:val="auto"/>
          <w:sz w:val="22"/>
          <w:szCs w:val="22"/>
        </w:rPr>
        <w:t xml:space="preserve">included </w:t>
      </w:r>
      <w:r w:rsidR="005956A6" w:rsidRPr="00F736EE">
        <w:rPr>
          <w:rStyle w:val="Strong"/>
          <w:rFonts w:asciiTheme="minorHAnsi" w:hAnsiTheme="minorHAnsi"/>
          <w:b w:val="0"/>
          <w:color w:val="auto"/>
          <w:sz w:val="22"/>
          <w:szCs w:val="22"/>
        </w:rPr>
        <w:t xml:space="preserve">on </w:t>
      </w:r>
      <w:r w:rsidR="00CA5E97" w:rsidRPr="00F736EE">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14:paraId="70F72267" w14:textId="77777777" w:rsidR="00DF5F7D" w:rsidRPr="00F736EE" w:rsidRDefault="00EF43A7" w:rsidP="007553C6">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00DF5F7D" w:rsidRPr="00F736EE">
        <w:rPr>
          <w:rStyle w:val="Strong"/>
          <w:rFonts w:asciiTheme="minorHAnsi" w:hAnsiTheme="minorHAnsi"/>
          <w:color w:val="auto"/>
          <w:sz w:val="22"/>
          <w:szCs w:val="22"/>
          <w:u w:val="single"/>
        </w:rPr>
        <w:t>Exceptions to the Certification</w:t>
      </w:r>
    </w:p>
    <w:p w14:paraId="2DC3D0CA" w14:textId="32F062AB" w:rsidR="005E06A8" w:rsidRPr="00C323EE" w:rsidRDefault="00DF5F7D" w:rsidP="00F641A3">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t>There are no exceptions to the certification.</w:t>
      </w:r>
    </w:p>
    <w:p w14:paraId="34B614C8" w14:textId="77777777" w:rsidR="00230D18" w:rsidRPr="00C323EE" w:rsidRDefault="00230D18" w:rsidP="00B91F59">
      <w:pPr>
        <w:rPr>
          <w:rFonts w:asciiTheme="minorHAnsi" w:hAnsiTheme="minorHAnsi"/>
        </w:rPr>
      </w:pPr>
    </w:p>
    <w:sectPr w:rsidR="00230D18" w:rsidRPr="00C323EE" w:rsidSect="008410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B768E" w14:textId="77777777" w:rsidR="00E16A6D" w:rsidRDefault="00E16A6D" w:rsidP="0009734B">
      <w:pPr>
        <w:spacing w:after="0" w:line="240" w:lineRule="auto"/>
      </w:pPr>
      <w:r>
        <w:separator/>
      </w:r>
    </w:p>
  </w:endnote>
  <w:endnote w:type="continuationSeparator" w:id="0">
    <w:p w14:paraId="130B67A5" w14:textId="77777777" w:rsidR="00E16A6D" w:rsidRDefault="00E16A6D"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5400"/>
      <w:docPartObj>
        <w:docPartGallery w:val="Page Numbers (Bottom of Page)"/>
        <w:docPartUnique/>
      </w:docPartObj>
    </w:sdtPr>
    <w:sdtEndPr>
      <w:rPr>
        <w:noProof/>
      </w:rPr>
    </w:sdtEndPr>
    <w:sdtContent>
      <w:p w14:paraId="41072E55" w14:textId="048AA961" w:rsidR="00E16A6D" w:rsidRDefault="00E16A6D">
        <w:pPr>
          <w:pStyle w:val="Footer"/>
          <w:jc w:val="right"/>
        </w:pPr>
        <w:r>
          <w:fldChar w:fldCharType="begin"/>
        </w:r>
        <w:r>
          <w:instrText xml:space="preserve"> PAGE   \* MERGEFORMAT </w:instrText>
        </w:r>
        <w:r>
          <w:fldChar w:fldCharType="separate"/>
        </w:r>
        <w:r w:rsidR="000D7B26">
          <w:rPr>
            <w:noProof/>
          </w:rPr>
          <w:t>1</w:t>
        </w:r>
        <w:r>
          <w:rPr>
            <w:noProof/>
          </w:rPr>
          <w:fldChar w:fldCharType="end"/>
        </w:r>
      </w:p>
    </w:sdtContent>
  </w:sdt>
  <w:p w14:paraId="4B894945" w14:textId="77777777" w:rsidR="00E16A6D" w:rsidRDefault="00E1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F143" w14:textId="77777777" w:rsidR="00E16A6D" w:rsidRDefault="00E16A6D" w:rsidP="0009734B">
      <w:pPr>
        <w:spacing w:after="0" w:line="240" w:lineRule="auto"/>
      </w:pPr>
      <w:r>
        <w:separator/>
      </w:r>
    </w:p>
  </w:footnote>
  <w:footnote w:type="continuationSeparator" w:id="0">
    <w:p w14:paraId="352E8A5E" w14:textId="77777777" w:rsidR="00E16A6D" w:rsidRDefault="00E16A6D" w:rsidP="0009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26546"/>
    <w:multiLevelType w:val="hybridMultilevel"/>
    <w:tmpl w:val="F71A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8C2D23"/>
    <w:multiLevelType w:val="hybridMultilevel"/>
    <w:tmpl w:val="98C8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5461C9"/>
    <w:multiLevelType w:val="hybridMultilevel"/>
    <w:tmpl w:val="C07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51208"/>
    <w:multiLevelType w:val="hybridMultilevel"/>
    <w:tmpl w:val="2AF8D5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93AFF"/>
    <w:multiLevelType w:val="hybridMultilevel"/>
    <w:tmpl w:val="825CA9A2"/>
    <w:lvl w:ilvl="0" w:tplc="B9E05F4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7"/>
  </w:num>
  <w:num w:numId="5">
    <w:abstractNumId w:val="18"/>
  </w:num>
  <w:num w:numId="6">
    <w:abstractNumId w:val="0"/>
  </w:num>
  <w:num w:numId="7">
    <w:abstractNumId w:val="2"/>
  </w:num>
  <w:num w:numId="8">
    <w:abstractNumId w:val="10"/>
  </w:num>
  <w:num w:numId="9">
    <w:abstractNumId w:val="22"/>
  </w:num>
  <w:num w:numId="10">
    <w:abstractNumId w:val="1"/>
  </w:num>
  <w:num w:numId="11">
    <w:abstractNumId w:val="21"/>
  </w:num>
  <w:num w:numId="12">
    <w:abstractNumId w:val="20"/>
  </w:num>
  <w:num w:numId="13">
    <w:abstractNumId w:val="12"/>
  </w:num>
  <w:num w:numId="14">
    <w:abstractNumId w:val="3"/>
  </w:num>
  <w:num w:numId="15">
    <w:abstractNumId w:val="11"/>
  </w:num>
  <w:num w:numId="16">
    <w:abstractNumId w:val="8"/>
  </w:num>
  <w:num w:numId="17">
    <w:abstractNumId w:val="5"/>
  </w:num>
  <w:num w:numId="18">
    <w:abstractNumId w:val="4"/>
  </w:num>
  <w:num w:numId="19">
    <w:abstractNumId w:val="9"/>
  </w:num>
  <w:num w:numId="20">
    <w:abstractNumId w:val="14"/>
  </w:num>
  <w:num w:numId="21">
    <w:abstractNumId w:val="17"/>
  </w:num>
  <w:num w:numId="22">
    <w:abstractNumId w:val="1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865B47"/>
    <w:rsid w:val="00005303"/>
    <w:rsid w:val="000069D9"/>
    <w:rsid w:val="00006C4D"/>
    <w:rsid w:val="0001364B"/>
    <w:rsid w:val="00014225"/>
    <w:rsid w:val="00017C8D"/>
    <w:rsid w:val="00020857"/>
    <w:rsid w:val="00022DAD"/>
    <w:rsid w:val="0002389C"/>
    <w:rsid w:val="00024904"/>
    <w:rsid w:val="000253CF"/>
    <w:rsid w:val="0002635B"/>
    <w:rsid w:val="00031BFD"/>
    <w:rsid w:val="000328E3"/>
    <w:rsid w:val="00035309"/>
    <w:rsid w:val="0003609D"/>
    <w:rsid w:val="000363FC"/>
    <w:rsid w:val="00040A8F"/>
    <w:rsid w:val="0004176B"/>
    <w:rsid w:val="00043ED5"/>
    <w:rsid w:val="000450F1"/>
    <w:rsid w:val="00053B88"/>
    <w:rsid w:val="00054FE4"/>
    <w:rsid w:val="00055735"/>
    <w:rsid w:val="0006184E"/>
    <w:rsid w:val="00061B14"/>
    <w:rsid w:val="00067E27"/>
    <w:rsid w:val="00075A74"/>
    <w:rsid w:val="00076AC4"/>
    <w:rsid w:val="0008529E"/>
    <w:rsid w:val="00086CED"/>
    <w:rsid w:val="00090ABC"/>
    <w:rsid w:val="000913AE"/>
    <w:rsid w:val="00095A40"/>
    <w:rsid w:val="00095E1E"/>
    <w:rsid w:val="0009734B"/>
    <w:rsid w:val="000A6721"/>
    <w:rsid w:val="000B1FB7"/>
    <w:rsid w:val="000C2DD2"/>
    <w:rsid w:val="000C32AB"/>
    <w:rsid w:val="000C4DEB"/>
    <w:rsid w:val="000C5EE2"/>
    <w:rsid w:val="000C7A8E"/>
    <w:rsid w:val="000D0ADD"/>
    <w:rsid w:val="000D7B26"/>
    <w:rsid w:val="000E0834"/>
    <w:rsid w:val="000F0A77"/>
    <w:rsid w:val="000F0C20"/>
    <w:rsid w:val="000F2A9A"/>
    <w:rsid w:val="000F6B22"/>
    <w:rsid w:val="001017FE"/>
    <w:rsid w:val="00106658"/>
    <w:rsid w:val="001122F1"/>
    <w:rsid w:val="00112476"/>
    <w:rsid w:val="00117B09"/>
    <w:rsid w:val="00127F8A"/>
    <w:rsid w:val="001333BE"/>
    <w:rsid w:val="001427B9"/>
    <w:rsid w:val="00143204"/>
    <w:rsid w:val="00146500"/>
    <w:rsid w:val="00152606"/>
    <w:rsid w:val="0015422A"/>
    <w:rsid w:val="00157894"/>
    <w:rsid w:val="00166E27"/>
    <w:rsid w:val="00167854"/>
    <w:rsid w:val="001708F9"/>
    <w:rsid w:val="00174FC7"/>
    <w:rsid w:val="00186033"/>
    <w:rsid w:val="00187C27"/>
    <w:rsid w:val="00191D6B"/>
    <w:rsid w:val="00192B96"/>
    <w:rsid w:val="001939D9"/>
    <w:rsid w:val="00194D64"/>
    <w:rsid w:val="001A751B"/>
    <w:rsid w:val="001B177F"/>
    <w:rsid w:val="001B1A94"/>
    <w:rsid w:val="001B2FFE"/>
    <w:rsid w:val="001B62B2"/>
    <w:rsid w:val="001C1E31"/>
    <w:rsid w:val="001C4D18"/>
    <w:rsid w:val="001C686E"/>
    <w:rsid w:val="001E0B18"/>
    <w:rsid w:val="001E5DDB"/>
    <w:rsid w:val="001E680A"/>
    <w:rsid w:val="001F1F80"/>
    <w:rsid w:val="001F482B"/>
    <w:rsid w:val="001F4EC1"/>
    <w:rsid w:val="00200427"/>
    <w:rsid w:val="00207704"/>
    <w:rsid w:val="00213189"/>
    <w:rsid w:val="002202FA"/>
    <w:rsid w:val="002223C6"/>
    <w:rsid w:val="002274E2"/>
    <w:rsid w:val="00230D18"/>
    <w:rsid w:val="00246812"/>
    <w:rsid w:val="00251042"/>
    <w:rsid w:val="002526AD"/>
    <w:rsid w:val="0025386C"/>
    <w:rsid w:val="00255332"/>
    <w:rsid w:val="002573E1"/>
    <w:rsid w:val="00260C7D"/>
    <w:rsid w:val="002670D5"/>
    <w:rsid w:val="0026778E"/>
    <w:rsid w:val="00271C5C"/>
    <w:rsid w:val="00274C37"/>
    <w:rsid w:val="00276A13"/>
    <w:rsid w:val="0027753A"/>
    <w:rsid w:val="002821D1"/>
    <w:rsid w:val="00285009"/>
    <w:rsid w:val="00295D12"/>
    <w:rsid w:val="002A19D4"/>
    <w:rsid w:val="002A2E0F"/>
    <w:rsid w:val="002A7F05"/>
    <w:rsid w:val="002B0019"/>
    <w:rsid w:val="002B2858"/>
    <w:rsid w:val="002B4028"/>
    <w:rsid w:val="002B4CA3"/>
    <w:rsid w:val="002B6745"/>
    <w:rsid w:val="002C2619"/>
    <w:rsid w:val="002C291A"/>
    <w:rsid w:val="002C3D78"/>
    <w:rsid w:val="002D765F"/>
    <w:rsid w:val="002E433C"/>
    <w:rsid w:val="002E45D1"/>
    <w:rsid w:val="002E7C1D"/>
    <w:rsid w:val="002F06FE"/>
    <w:rsid w:val="002F2404"/>
    <w:rsid w:val="00300E42"/>
    <w:rsid w:val="00311C0F"/>
    <w:rsid w:val="00313328"/>
    <w:rsid w:val="00314997"/>
    <w:rsid w:val="00316EE3"/>
    <w:rsid w:val="0031750A"/>
    <w:rsid w:val="003216E8"/>
    <w:rsid w:val="003246B5"/>
    <w:rsid w:val="003247D8"/>
    <w:rsid w:val="00325E74"/>
    <w:rsid w:val="00325F02"/>
    <w:rsid w:val="00326F52"/>
    <w:rsid w:val="00327735"/>
    <w:rsid w:val="003368EB"/>
    <w:rsid w:val="003373F0"/>
    <w:rsid w:val="003405D0"/>
    <w:rsid w:val="00342CF7"/>
    <w:rsid w:val="00345CE5"/>
    <w:rsid w:val="003552DC"/>
    <w:rsid w:val="003627FC"/>
    <w:rsid w:val="00362F21"/>
    <w:rsid w:val="00363365"/>
    <w:rsid w:val="00372B89"/>
    <w:rsid w:val="00377AAD"/>
    <w:rsid w:val="00380E29"/>
    <w:rsid w:val="003830DB"/>
    <w:rsid w:val="00386983"/>
    <w:rsid w:val="00387F95"/>
    <w:rsid w:val="003A0A1B"/>
    <w:rsid w:val="003A3155"/>
    <w:rsid w:val="003A4B3A"/>
    <w:rsid w:val="003A7838"/>
    <w:rsid w:val="003B2A05"/>
    <w:rsid w:val="003C2B71"/>
    <w:rsid w:val="003C3DF9"/>
    <w:rsid w:val="003C494D"/>
    <w:rsid w:val="003C65A7"/>
    <w:rsid w:val="003D281D"/>
    <w:rsid w:val="003D35F4"/>
    <w:rsid w:val="003D76D5"/>
    <w:rsid w:val="003E4EDB"/>
    <w:rsid w:val="00404F0A"/>
    <w:rsid w:val="0041282D"/>
    <w:rsid w:val="0041289D"/>
    <w:rsid w:val="004143B2"/>
    <w:rsid w:val="00415D6D"/>
    <w:rsid w:val="00415E9D"/>
    <w:rsid w:val="0041730F"/>
    <w:rsid w:val="004240B6"/>
    <w:rsid w:val="004263CD"/>
    <w:rsid w:val="00426F06"/>
    <w:rsid w:val="00430BEF"/>
    <w:rsid w:val="00433691"/>
    <w:rsid w:val="00433889"/>
    <w:rsid w:val="00434421"/>
    <w:rsid w:val="00435A1E"/>
    <w:rsid w:val="004361FB"/>
    <w:rsid w:val="00436F91"/>
    <w:rsid w:val="00455B8F"/>
    <w:rsid w:val="00467175"/>
    <w:rsid w:val="004673DF"/>
    <w:rsid w:val="00472CB5"/>
    <w:rsid w:val="00473322"/>
    <w:rsid w:val="00476E10"/>
    <w:rsid w:val="00477AF6"/>
    <w:rsid w:val="00480928"/>
    <w:rsid w:val="00480CF6"/>
    <w:rsid w:val="00483258"/>
    <w:rsid w:val="004872D0"/>
    <w:rsid w:val="0049251C"/>
    <w:rsid w:val="0049549A"/>
    <w:rsid w:val="004B3BB1"/>
    <w:rsid w:val="004B5C10"/>
    <w:rsid w:val="004C43B1"/>
    <w:rsid w:val="004E1B9B"/>
    <w:rsid w:val="004E1FA1"/>
    <w:rsid w:val="004E431C"/>
    <w:rsid w:val="004E6272"/>
    <w:rsid w:val="004F215A"/>
    <w:rsid w:val="004F3412"/>
    <w:rsid w:val="004F42A6"/>
    <w:rsid w:val="004F5C61"/>
    <w:rsid w:val="004F742C"/>
    <w:rsid w:val="00500855"/>
    <w:rsid w:val="005024F0"/>
    <w:rsid w:val="00502C18"/>
    <w:rsid w:val="0051549A"/>
    <w:rsid w:val="00516399"/>
    <w:rsid w:val="00516FFB"/>
    <w:rsid w:val="00523AB3"/>
    <w:rsid w:val="00524A2A"/>
    <w:rsid w:val="00537CF5"/>
    <w:rsid w:val="00541D75"/>
    <w:rsid w:val="005432FA"/>
    <w:rsid w:val="00546A24"/>
    <w:rsid w:val="00555B11"/>
    <w:rsid w:val="00555D2C"/>
    <w:rsid w:val="00560405"/>
    <w:rsid w:val="00561948"/>
    <w:rsid w:val="00563BE4"/>
    <w:rsid w:val="005651A5"/>
    <w:rsid w:val="00567592"/>
    <w:rsid w:val="00572E3A"/>
    <w:rsid w:val="00573ABC"/>
    <w:rsid w:val="00580BB6"/>
    <w:rsid w:val="005853B2"/>
    <w:rsid w:val="00586B1E"/>
    <w:rsid w:val="005906F1"/>
    <w:rsid w:val="0059300A"/>
    <w:rsid w:val="00593AFB"/>
    <w:rsid w:val="005956A6"/>
    <w:rsid w:val="00595CC9"/>
    <w:rsid w:val="005972F3"/>
    <w:rsid w:val="005A3AD5"/>
    <w:rsid w:val="005A647A"/>
    <w:rsid w:val="005A7910"/>
    <w:rsid w:val="005B55EB"/>
    <w:rsid w:val="005C7777"/>
    <w:rsid w:val="005D7A15"/>
    <w:rsid w:val="005D7B50"/>
    <w:rsid w:val="005D7D25"/>
    <w:rsid w:val="005E06A8"/>
    <w:rsid w:val="005E7563"/>
    <w:rsid w:val="005F1FDB"/>
    <w:rsid w:val="005F4978"/>
    <w:rsid w:val="006049FE"/>
    <w:rsid w:val="00611A73"/>
    <w:rsid w:val="00614735"/>
    <w:rsid w:val="00615FA1"/>
    <w:rsid w:val="0061681B"/>
    <w:rsid w:val="006218F4"/>
    <w:rsid w:val="00622297"/>
    <w:rsid w:val="0062740C"/>
    <w:rsid w:val="00627B1A"/>
    <w:rsid w:val="00630474"/>
    <w:rsid w:val="006305D7"/>
    <w:rsid w:val="00633180"/>
    <w:rsid w:val="006371AE"/>
    <w:rsid w:val="00640A1F"/>
    <w:rsid w:val="00650D1D"/>
    <w:rsid w:val="00651D30"/>
    <w:rsid w:val="00656F74"/>
    <w:rsid w:val="00662401"/>
    <w:rsid w:val="00664D3A"/>
    <w:rsid w:val="00664FAC"/>
    <w:rsid w:val="00670133"/>
    <w:rsid w:val="00670153"/>
    <w:rsid w:val="0067110C"/>
    <w:rsid w:val="0067655C"/>
    <w:rsid w:val="00677F67"/>
    <w:rsid w:val="00682C01"/>
    <w:rsid w:val="00683620"/>
    <w:rsid w:val="00683B94"/>
    <w:rsid w:val="00684EAF"/>
    <w:rsid w:val="00687073"/>
    <w:rsid w:val="006B1EC8"/>
    <w:rsid w:val="006B682A"/>
    <w:rsid w:val="006B6E84"/>
    <w:rsid w:val="006B7958"/>
    <w:rsid w:val="006C067A"/>
    <w:rsid w:val="006C1DE8"/>
    <w:rsid w:val="006C3987"/>
    <w:rsid w:val="006C4FC1"/>
    <w:rsid w:val="006E3197"/>
    <w:rsid w:val="006E47F3"/>
    <w:rsid w:val="006F237F"/>
    <w:rsid w:val="006F49D2"/>
    <w:rsid w:val="00700003"/>
    <w:rsid w:val="00700D16"/>
    <w:rsid w:val="00707B29"/>
    <w:rsid w:val="00711507"/>
    <w:rsid w:val="007122FA"/>
    <w:rsid w:val="00715A6D"/>
    <w:rsid w:val="007166AE"/>
    <w:rsid w:val="00741221"/>
    <w:rsid w:val="00742537"/>
    <w:rsid w:val="007448E3"/>
    <w:rsid w:val="007468CE"/>
    <w:rsid w:val="007553C6"/>
    <w:rsid w:val="007662EB"/>
    <w:rsid w:val="007715DC"/>
    <w:rsid w:val="00772857"/>
    <w:rsid w:val="007744EC"/>
    <w:rsid w:val="00776D36"/>
    <w:rsid w:val="007771DD"/>
    <w:rsid w:val="0077798D"/>
    <w:rsid w:val="00781456"/>
    <w:rsid w:val="00782FF1"/>
    <w:rsid w:val="00785F95"/>
    <w:rsid w:val="007A175B"/>
    <w:rsid w:val="007A2046"/>
    <w:rsid w:val="007A5C18"/>
    <w:rsid w:val="007A7EED"/>
    <w:rsid w:val="007B3524"/>
    <w:rsid w:val="007B5DD2"/>
    <w:rsid w:val="007C13DA"/>
    <w:rsid w:val="007D31A6"/>
    <w:rsid w:val="007D3B50"/>
    <w:rsid w:val="007D5A4F"/>
    <w:rsid w:val="007E0B3E"/>
    <w:rsid w:val="007E2C71"/>
    <w:rsid w:val="007F14DB"/>
    <w:rsid w:val="007F3855"/>
    <w:rsid w:val="007F4F0F"/>
    <w:rsid w:val="007F656B"/>
    <w:rsid w:val="008049F7"/>
    <w:rsid w:val="008118B9"/>
    <w:rsid w:val="0081784F"/>
    <w:rsid w:val="00820286"/>
    <w:rsid w:val="00830B56"/>
    <w:rsid w:val="008323A1"/>
    <w:rsid w:val="00840CAF"/>
    <w:rsid w:val="0084103E"/>
    <w:rsid w:val="00845EFD"/>
    <w:rsid w:val="008461B0"/>
    <w:rsid w:val="00847ABA"/>
    <w:rsid w:val="00850B82"/>
    <w:rsid w:val="00851A90"/>
    <w:rsid w:val="00852FC5"/>
    <w:rsid w:val="00860BCF"/>
    <w:rsid w:val="00865B47"/>
    <w:rsid w:val="00870F44"/>
    <w:rsid w:val="00873F1C"/>
    <w:rsid w:val="00874C63"/>
    <w:rsid w:val="00876A99"/>
    <w:rsid w:val="00881AA4"/>
    <w:rsid w:val="00882AF6"/>
    <w:rsid w:val="00884E8C"/>
    <w:rsid w:val="008860BC"/>
    <w:rsid w:val="008951D1"/>
    <w:rsid w:val="00897109"/>
    <w:rsid w:val="008A7BE4"/>
    <w:rsid w:val="008B1EA4"/>
    <w:rsid w:val="008B654A"/>
    <w:rsid w:val="008C1375"/>
    <w:rsid w:val="008C466E"/>
    <w:rsid w:val="008D0FF9"/>
    <w:rsid w:val="008D28FC"/>
    <w:rsid w:val="008D30F7"/>
    <w:rsid w:val="008D5729"/>
    <w:rsid w:val="008D7714"/>
    <w:rsid w:val="008E47F6"/>
    <w:rsid w:val="008F15E8"/>
    <w:rsid w:val="008F1C0A"/>
    <w:rsid w:val="008F396F"/>
    <w:rsid w:val="00907876"/>
    <w:rsid w:val="00911560"/>
    <w:rsid w:val="009151CF"/>
    <w:rsid w:val="009204BF"/>
    <w:rsid w:val="009237E0"/>
    <w:rsid w:val="00931A41"/>
    <w:rsid w:val="00935D1A"/>
    <w:rsid w:val="00936F9C"/>
    <w:rsid w:val="009375B5"/>
    <w:rsid w:val="00937D19"/>
    <w:rsid w:val="0094080A"/>
    <w:rsid w:val="00944052"/>
    <w:rsid w:val="009452DC"/>
    <w:rsid w:val="00945D6E"/>
    <w:rsid w:val="0095076B"/>
    <w:rsid w:val="009555CA"/>
    <w:rsid w:val="009558EB"/>
    <w:rsid w:val="00956199"/>
    <w:rsid w:val="00960991"/>
    <w:rsid w:val="00967C8A"/>
    <w:rsid w:val="009743FB"/>
    <w:rsid w:val="009762F6"/>
    <w:rsid w:val="00977E39"/>
    <w:rsid w:val="00982868"/>
    <w:rsid w:val="00982B2A"/>
    <w:rsid w:val="0098532B"/>
    <w:rsid w:val="00986250"/>
    <w:rsid w:val="0099299F"/>
    <w:rsid w:val="00995CA9"/>
    <w:rsid w:val="00997A53"/>
    <w:rsid w:val="009A04FA"/>
    <w:rsid w:val="009A0754"/>
    <w:rsid w:val="009A152D"/>
    <w:rsid w:val="009B2FE5"/>
    <w:rsid w:val="009B3702"/>
    <w:rsid w:val="009B42AC"/>
    <w:rsid w:val="009B43CE"/>
    <w:rsid w:val="009B66BA"/>
    <w:rsid w:val="009C276B"/>
    <w:rsid w:val="009C514A"/>
    <w:rsid w:val="009D0B96"/>
    <w:rsid w:val="009D4BA5"/>
    <w:rsid w:val="009D5208"/>
    <w:rsid w:val="009E0800"/>
    <w:rsid w:val="009E6EC2"/>
    <w:rsid w:val="009F7A0F"/>
    <w:rsid w:val="00A04E12"/>
    <w:rsid w:val="00A0574E"/>
    <w:rsid w:val="00A200B9"/>
    <w:rsid w:val="00A21F2C"/>
    <w:rsid w:val="00A315ED"/>
    <w:rsid w:val="00A32108"/>
    <w:rsid w:val="00A368B5"/>
    <w:rsid w:val="00A40032"/>
    <w:rsid w:val="00A41588"/>
    <w:rsid w:val="00A43444"/>
    <w:rsid w:val="00A451F5"/>
    <w:rsid w:val="00A540DF"/>
    <w:rsid w:val="00A57F15"/>
    <w:rsid w:val="00A613E9"/>
    <w:rsid w:val="00A66968"/>
    <w:rsid w:val="00A706F9"/>
    <w:rsid w:val="00A73061"/>
    <w:rsid w:val="00A83C73"/>
    <w:rsid w:val="00A8572F"/>
    <w:rsid w:val="00A86BA9"/>
    <w:rsid w:val="00A92BF4"/>
    <w:rsid w:val="00A94033"/>
    <w:rsid w:val="00A96174"/>
    <w:rsid w:val="00AA4DDF"/>
    <w:rsid w:val="00AA59FE"/>
    <w:rsid w:val="00AA6F58"/>
    <w:rsid w:val="00AB1668"/>
    <w:rsid w:val="00AB423A"/>
    <w:rsid w:val="00AB5773"/>
    <w:rsid w:val="00AC01B2"/>
    <w:rsid w:val="00AC0DAF"/>
    <w:rsid w:val="00AC4C59"/>
    <w:rsid w:val="00AD0583"/>
    <w:rsid w:val="00AD0B3D"/>
    <w:rsid w:val="00AD7E8B"/>
    <w:rsid w:val="00AE066F"/>
    <w:rsid w:val="00AE4F30"/>
    <w:rsid w:val="00AF33C5"/>
    <w:rsid w:val="00AF79A3"/>
    <w:rsid w:val="00B01AFB"/>
    <w:rsid w:val="00B02323"/>
    <w:rsid w:val="00B0630E"/>
    <w:rsid w:val="00B0661F"/>
    <w:rsid w:val="00B07C7E"/>
    <w:rsid w:val="00B10F0C"/>
    <w:rsid w:val="00B13B2E"/>
    <w:rsid w:val="00B17224"/>
    <w:rsid w:val="00B203B9"/>
    <w:rsid w:val="00B23B77"/>
    <w:rsid w:val="00B569A6"/>
    <w:rsid w:val="00B64D8E"/>
    <w:rsid w:val="00B70B26"/>
    <w:rsid w:val="00B71DB7"/>
    <w:rsid w:val="00B7710D"/>
    <w:rsid w:val="00B81359"/>
    <w:rsid w:val="00B87BDE"/>
    <w:rsid w:val="00B915A4"/>
    <w:rsid w:val="00B91F59"/>
    <w:rsid w:val="00B924ED"/>
    <w:rsid w:val="00B957DB"/>
    <w:rsid w:val="00B95C80"/>
    <w:rsid w:val="00B969C9"/>
    <w:rsid w:val="00BA4D9F"/>
    <w:rsid w:val="00BB11BF"/>
    <w:rsid w:val="00BB7982"/>
    <w:rsid w:val="00BC2A35"/>
    <w:rsid w:val="00BC45EF"/>
    <w:rsid w:val="00BC62A1"/>
    <w:rsid w:val="00BD1BDB"/>
    <w:rsid w:val="00BD2127"/>
    <w:rsid w:val="00BD6CA7"/>
    <w:rsid w:val="00BD6D5C"/>
    <w:rsid w:val="00BD7AF3"/>
    <w:rsid w:val="00BE692F"/>
    <w:rsid w:val="00BE7632"/>
    <w:rsid w:val="00BF0962"/>
    <w:rsid w:val="00BF474C"/>
    <w:rsid w:val="00BF560A"/>
    <w:rsid w:val="00BF6DEB"/>
    <w:rsid w:val="00BF79E6"/>
    <w:rsid w:val="00C03001"/>
    <w:rsid w:val="00C03FDA"/>
    <w:rsid w:val="00C041B3"/>
    <w:rsid w:val="00C04971"/>
    <w:rsid w:val="00C071EE"/>
    <w:rsid w:val="00C11788"/>
    <w:rsid w:val="00C15C93"/>
    <w:rsid w:val="00C20056"/>
    <w:rsid w:val="00C20A2E"/>
    <w:rsid w:val="00C216C1"/>
    <w:rsid w:val="00C251BA"/>
    <w:rsid w:val="00C26F4E"/>
    <w:rsid w:val="00C323EE"/>
    <w:rsid w:val="00C43187"/>
    <w:rsid w:val="00C50D36"/>
    <w:rsid w:val="00C62D1B"/>
    <w:rsid w:val="00C64E73"/>
    <w:rsid w:val="00C654BA"/>
    <w:rsid w:val="00C65D8D"/>
    <w:rsid w:val="00C663CD"/>
    <w:rsid w:val="00C6794B"/>
    <w:rsid w:val="00C703B3"/>
    <w:rsid w:val="00C713D5"/>
    <w:rsid w:val="00C7321B"/>
    <w:rsid w:val="00C733E3"/>
    <w:rsid w:val="00C76F5D"/>
    <w:rsid w:val="00C77440"/>
    <w:rsid w:val="00C832A3"/>
    <w:rsid w:val="00C93B90"/>
    <w:rsid w:val="00C954CE"/>
    <w:rsid w:val="00C96BB9"/>
    <w:rsid w:val="00CA0A8E"/>
    <w:rsid w:val="00CA2B9B"/>
    <w:rsid w:val="00CA43AB"/>
    <w:rsid w:val="00CA5E97"/>
    <w:rsid w:val="00CA70DD"/>
    <w:rsid w:val="00CB1A15"/>
    <w:rsid w:val="00CB542E"/>
    <w:rsid w:val="00CB569F"/>
    <w:rsid w:val="00CB6234"/>
    <w:rsid w:val="00CB79C1"/>
    <w:rsid w:val="00CC5587"/>
    <w:rsid w:val="00CC640D"/>
    <w:rsid w:val="00CE73B8"/>
    <w:rsid w:val="00CF0C42"/>
    <w:rsid w:val="00CF192A"/>
    <w:rsid w:val="00CF3AAF"/>
    <w:rsid w:val="00CF4104"/>
    <w:rsid w:val="00D004D5"/>
    <w:rsid w:val="00D022EC"/>
    <w:rsid w:val="00D07003"/>
    <w:rsid w:val="00D12A6D"/>
    <w:rsid w:val="00D24397"/>
    <w:rsid w:val="00D24EF1"/>
    <w:rsid w:val="00D26617"/>
    <w:rsid w:val="00D3241E"/>
    <w:rsid w:val="00D34BD6"/>
    <w:rsid w:val="00D355DD"/>
    <w:rsid w:val="00D37006"/>
    <w:rsid w:val="00D4120A"/>
    <w:rsid w:val="00D4549A"/>
    <w:rsid w:val="00D5148F"/>
    <w:rsid w:val="00D5190A"/>
    <w:rsid w:val="00D57A30"/>
    <w:rsid w:val="00D73BD9"/>
    <w:rsid w:val="00D81A33"/>
    <w:rsid w:val="00D82313"/>
    <w:rsid w:val="00D82937"/>
    <w:rsid w:val="00D86013"/>
    <w:rsid w:val="00D866C7"/>
    <w:rsid w:val="00D933C9"/>
    <w:rsid w:val="00D93A75"/>
    <w:rsid w:val="00D970EF"/>
    <w:rsid w:val="00DA1B10"/>
    <w:rsid w:val="00DA2071"/>
    <w:rsid w:val="00DA4EAD"/>
    <w:rsid w:val="00DA69B2"/>
    <w:rsid w:val="00DB4185"/>
    <w:rsid w:val="00DB7E5C"/>
    <w:rsid w:val="00DC1289"/>
    <w:rsid w:val="00DC5DB4"/>
    <w:rsid w:val="00DD26EE"/>
    <w:rsid w:val="00DD60F8"/>
    <w:rsid w:val="00DD7CB7"/>
    <w:rsid w:val="00DE288F"/>
    <w:rsid w:val="00DE2D61"/>
    <w:rsid w:val="00DE36C5"/>
    <w:rsid w:val="00DE5F8C"/>
    <w:rsid w:val="00DE67C2"/>
    <w:rsid w:val="00DF5395"/>
    <w:rsid w:val="00DF5F7D"/>
    <w:rsid w:val="00E011A0"/>
    <w:rsid w:val="00E16A6D"/>
    <w:rsid w:val="00E210C8"/>
    <w:rsid w:val="00E22ACA"/>
    <w:rsid w:val="00E26933"/>
    <w:rsid w:val="00E27B1F"/>
    <w:rsid w:val="00E30B5A"/>
    <w:rsid w:val="00E40177"/>
    <w:rsid w:val="00E42CD2"/>
    <w:rsid w:val="00E43349"/>
    <w:rsid w:val="00E45F82"/>
    <w:rsid w:val="00E50E37"/>
    <w:rsid w:val="00E62393"/>
    <w:rsid w:val="00E65C49"/>
    <w:rsid w:val="00E667DB"/>
    <w:rsid w:val="00E67360"/>
    <w:rsid w:val="00E8227B"/>
    <w:rsid w:val="00E825DC"/>
    <w:rsid w:val="00E9193D"/>
    <w:rsid w:val="00E943C6"/>
    <w:rsid w:val="00E9672F"/>
    <w:rsid w:val="00E96F07"/>
    <w:rsid w:val="00EA20A2"/>
    <w:rsid w:val="00EA31FF"/>
    <w:rsid w:val="00EA4BFB"/>
    <w:rsid w:val="00EA4F04"/>
    <w:rsid w:val="00EA6A19"/>
    <w:rsid w:val="00EC30B6"/>
    <w:rsid w:val="00ED1857"/>
    <w:rsid w:val="00EE1EB2"/>
    <w:rsid w:val="00EE5A7D"/>
    <w:rsid w:val="00EF43A7"/>
    <w:rsid w:val="00EF78B4"/>
    <w:rsid w:val="00EF7C79"/>
    <w:rsid w:val="00F03E19"/>
    <w:rsid w:val="00F070A3"/>
    <w:rsid w:val="00F203C5"/>
    <w:rsid w:val="00F21765"/>
    <w:rsid w:val="00F241E6"/>
    <w:rsid w:val="00F24D30"/>
    <w:rsid w:val="00F262F7"/>
    <w:rsid w:val="00F316B6"/>
    <w:rsid w:val="00F36ED1"/>
    <w:rsid w:val="00F36FF8"/>
    <w:rsid w:val="00F46A6C"/>
    <w:rsid w:val="00F479D9"/>
    <w:rsid w:val="00F479F7"/>
    <w:rsid w:val="00F55F42"/>
    <w:rsid w:val="00F5714C"/>
    <w:rsid w:val="00F5750D"/>
    <w:rsid w:val="00F641A3"/>
    <w:rsid w:val="00F66EDF"/>
    <w:rsid w:val="00F728EC"/>
    <w:rsid w:val="00F733D5"/>
    <w:rsid w:val="00F736EE"/>
    <w:rsid w:val="00F7630F"/>
    <w:rsid w:val="00F80500"/>
    <w:rsid w:val="00F850C8"/>
    <w:rsid w:val="00F853CC"/>
    <w:rsid w:val="00F9014E"/>
    <w:rsid w:val="00F96DC2"/>
    <w:rsid w:val="00F978CC"/>
    <w:rsid w:val="00FA3F64"/>
    <w:rsid w:val="00FA4A62"/>
    <w:rsid w:val="00FA5E66"/>
    <w:rsid w:val="00FB3B7F"/>
    <w:rsid w:val="00FC0EE3"/>
    <w:rsid w:val="00FC1EDD"/>
    <w:rsid w:val="00FC2BD6"/>
    <w:rsid w:val="00FC2F08"/>
    <w:rsid w:val="00FC6D1E"/>
    <w:rsid w:val="00FD05FD"/>
    <w:rsid w:val="00FD2802"/>
    <w:rsid w:val="00FD6928"/>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591894462">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nsus.gov/quality/guideli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FFFE-F3DE-47CA-A54C-86F38F66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russe334</dc:creator>
  <cp:lastModifiedBy>SYSTEM</cp:lastModifiedBy>
  <cp:revision>2</cp:revision>
  <cp:lastPrinted>2017-11-21T14:35:00Z</cp:lastPrinted>
  <dcterms:created xsi:type="dcterms:W3CDTF">2019-03-28T19:01:00Z</dcterms:created>
  <dcterms:modified xsi:type="dcterms:W3CDTF">2019-03-28T19:01:00Z</dcterms:modified>
</cp:coreProperties>
</file>