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BBFDF" w14:textId="5150459D" w:rsidR="00463BC5" w:rsidRPr="00A60C73" w:rsidRDefault="000C24DE" w:rsidP="004F2DAE">
      <w:pPr>
        <w:pStyle w:val="Heading1"/>
      </w:pPr>
      <w:bookmarkStart w:id="0" w:name="_GoBack"/>
      <w:bookmarkEnd w:id="0"/>
      <w:r w:rsidRPr="00A60C73">
        <w:t>Data Collection: A</w:t>
      </w:r>
      <w:r w:rsidR="00E77C8A" w:rsidRPr="00A60C73">
        <w:t xml:space="preserve"> </w:t>
      </w:r>
      <w:r w:rsidR="00FC031B" w:rsidRPr="00A60C73">
        <w:t>Needs Assessment</w:t>
      </w:r>
      <w:r w:rsidR="00E77C8A" w:rsidRPr="00A60C73">
        <w:t xml:space="preserve"> </w:t>
      </w:r>
      <w:r w:rsidRPr="00A60C73">
        <w:t xml:space="preserve">of Programs, Services, and Operations of Tribal Archives, </w:t>
      </w:r>
      <w:r w:rsidR="2E345924" w:rsidRPr="00A60C73">
        <w:t>Libraries</w:t>
      </w:r>
      <w:r w:rsidRPr="00A60C73">
        <w:t xml:space="preserve">, and </w:t>
      </w:r>
      <w:r w:rsidR="2E345924" w:rsidRPr="00A60C73">
        <w:t>Mu</w:t>
      </w:r>
      <w:r w:rsidRPr="00A60C73">
        <w:t>s</w:t>
      </w:r>
      <w:r w:rsidR="2E345924" w:rsidRPr="00A60C73">
        <w:t>eums</w:t>
      </w:r>
    </w:p>
    <w:p w14:paraId="3C6C920C" w14:textId="77777777" w:rsidR="00F73E94" w:rsidRPr="00A60C73" w:rsidRDefault="00F73E94" w:rsidP="00E65A3C"/>
    <w:p w14:paraId="2C2BAD81" w14:textId="145E4E87" w:rsidR="00463BC5" w:rsidRPr="00A60C73" w:rsidRDefault="00463BC5" w:rsidP="007511E5">
      <w:pPr>
        <w:pStyle w:val="Heading1"/>
      </w:pPr>
      <w:r w:rsidRPr="00A60C73">
        <w:t>Supporting Statement for PRA Submission</w:t>
      </w:r>
    </w:p>
    <w:p w14:paraId="22ABEADB" w14:textId="77777777" w:rsidR="00463BC5" w:rsidRPr="00A60C73" w:rsidRDefault="00463BC5" w:rsidP="00E65A3C"/>
    <w:tbl>
      <w:tblPr>
        <w:tblStyle w:val="TableGrid"/>
        <w:tblW w:w="0" w:type="auto"/>
        <w:tblLook w:val="04A0" w:firstRow="1" w:lastRow="0" w:firstColumn="1" w:lastColumn="0" w:noHBand="0" w:noVBand="1"/>
      </w:tblPr>
      <w:tblGrid>
        <w:gridCol w:w="1368"/>
        <w:gridCol w:w="8208"/>
      </w:tblGrid>
      <w:tr w:rsidR="00463BC5" w:rsidRPr="00A60C73" w14:paraId="3D25640D" w14:textId="77777777" w:rsidTr="00E77C8A">
        <w:trPr>
          <w:trHeight w:val="720"/>
        </w:trPr>
        <w:tc>
          <w:tcPr>
            <w:tcW w:w="1368" w:type="dxa"/>
            <w:tcBorders>
              <w:top w:val="nil"/>
              <w:left w:val="nil"/>
              <w:bottom w:val="nil"/>
              <w:right w:val="nil"/>
            </w:tcBorders>
            <w:shd w:val="clear" w:color="auto" w:fill="9BBB59" w:themeFill="accent3"/>
            <w:vAlign w:val="center"/>
          </w:tcPr>
          <w:p w14:paraId="385DA7DB" w14:textId="77777777" w:rsidR="00463BC5" w:rsidRPr="00A60C73" w:rsidRDefault="00463BC5" w:rsidP="004F2DAE">
            <w:pPr>
              <w:pStyle w:val="Heading2"/>
            </w:pPr>
            <w:r w:rsidRPr="00A60C73">
              <w:br w:type="page"/>
              <w:t>A</w:t>
            </w:r>
          </w:p>
        </w:tc>
        <w:tc>
          <w:tcPr>
            <w:tcW w:w="8208" w:type="dxa"/>
            <w:tcBorders>
              <w:top w:val="nil"/>
              <w:left w:val="nil"/>
              <w:bottom w:val="nil"/>
              <w:right w:val="nil"/>
            </w:tcBorders>
            <w:vAlign w:val="center"/>
          </w:tcPr>
          <w:p w14:paraId="7BFD3D4B" w14:textId="77777777" w:rsidR="00463BC5" w:rsidRPr="00A60C73" w:rsidRDefault="00463BC5" w:rsidP="004F2DAE">
            <w:pPr>
              <w:pStyle w:val="Heading2"/>
            </w:pPr>
            <w:r w:rsidRPr="00A60C73">
              <w:t>Justification</w:t>
            </w:r>
          </w:p>
        </w:tc>
      </w:tr>
    </w:tbl>
    <w:p w14:paraId="5E7C1FA9" w14:textId="77777777" w:rsidR="00D55958" w:rsidRPr="00A60C73" w:rsidRDefault="00D55958" w:rsidP="00E65A3C"/>
    <w:p w14:paraId="5AD78789" w14:textId="77777777" w:rsidR="00D55958" w:rsidRPr="00FF463C" w:rsidRDefault="00DC18EA" w:rsidP="00FF463C">
      <w:pPr>
        <w:pStyle w:val="Heading3"/>
      </w:pPr>
      <w:r w:rsidRPr="00FF463C">
        <w:t>A</w:t>
      </w:r>
      <w:r w:rsidR="00024EF4" w:rsidRPr="00FF463C">
        <w:t>.</w:t>
      </w:r>
      <w:r w:rsidR="00D55958" w:rsidRPr="00FF463C">
        <w:t xml:space="preserve">1. </w:t>
      </w:r>
      <w:r w:rsidR="00024EF4" w:rsidRPr="00FF463C">
        <w:tab/>
        <w:t>Circumstances Making the Collection of Information Necessary</w:t>
      </w:r>
      <w:r w:rsidR="00D55958" w:rsidRPr="00FF463C">
        <w:t xml:space="preserve"> </w:t>
      </w:r>
    </w:p>
    <w:p w14:paraId="19777740" w14:textId="77777777" w:rsidR="00024EF4" w:rsidRPr="00A60C73" w:rsidRDefault="00024EF4" w:rsidP="00E65A3C"/>
    <w:p w14:paraId="17269BFB" w14:textId="77777777" w:rsidR="00024EF4" w:rsidRPr="00FF463C" w:rsidRDefault="00024EF4" w:rsidP="00E65A3C">
      <w:r w:rsidRPr="00FF463C">
        <w:t xml:space="preserve">A.1.a. </w:t>
      </w:r>
      <w:r w:rsidRPr="00FF463C">
        <w:tab/>
        <w:t>Purpose of the Submission</w:t>
      </w:r>
    </w:p>
    <w:p w14:paraId="3F3ABBD5" w14:textId="77777777" w:rsidR="00D55958" w:rsidRPr="00A60C73" w:rsidRDefault="00D55958" w:rsidP="00E65A3C"/>
    <w:p w14:paraId="4B44B771" w14:textId="0FBA74D0" w:rsidR="00937192" w:rsidRPr="00A60C73" w:rsidRDefault="64245F67" w:rsidP="64245F67">
      <w:r>
        <w:t xml:space="preserve">Approval is requested for the Association of Tribal Archives, Libraries, and Museums (ATALM) to conduct an information collection, “A Needs Assessment of Programs, Services, and Operations of Tribal Archives, Libraries, and Museums.” This needs assessment is a </w:t>
      </w:r>
    </w:p>
    <w:p w14:paraId="3B6F2E24" w14:textId="2CDCE642" w:rsidR="00B01F0F" w:rsidRPr="00A60C73" w:rsidRDefault="00EC36B1" w:rsidP="00E65A3C">
      <w:r w:rsidRPr="00A60C73">
        <w:t xml:space="preserve">cooperative effort </w:t>
      </w:r>
      <w:r w:rsidR="00C9597E" w:rsidRPr="00A60C73">
        <w:t>with</w:t>
      </w:r>
      <w:r w:rsidRPr="00A60C73">
        <w:t xml:space="preserve"> the Institute of Muse</w:t>
      </w:r>
      <w:r w:rsidR="00E77C8A" w:rsidRPr="00A60C73">
        <w:t>um and Library Services (IMLS)</w:t>
      </w:r>
      <w:r w:rsidR="00840E24" w:rsidRPr="00A60C73">
        <w:t xml:space="preserve">. </w:t>
      </w:r>
      <w:r w:rsidRPr="00A60C73">
        <w:t>The</w:t>
      </w:r>
      <w:r w:rsidR="00FC031B" w:rsidRPr="00A60C73">
        <w:t xml:space="preserve"> assessment </w:t>
      </w:r>
      <w:r w:rsidR="00937192" w:rsidRPr="00A60C73">
        <w:t>includes</w:t>
      </w:r>
      <w:r w:rsidR="00FC031B" w:rsidRPr="00A60C73">
        <w:t xml:space="preserve"> a</w:t>
      </w:r>
      <w:r w:rsidRPr="00A60C73">
        <w:t xml:space="preserve"> </w:t>
      </w:r>
      <w:r w:rsidR="00462F22" w:rsidRPr="00A60C73">
        <w:t>survey</w:t>
      </w:r>
      <w:r w:rsidR="00FC031B" w:rsidRPr="00A60C73">
        <w:t xml:space="preserve"> </w:t>
      </w:r>
      <w:r w:rsidR="004F2DAE" w:rsidRPr="00A60C73">
        <w:t>that will collect</w:t>
      </w:r>
      <w:r w:rsidRPr="00A60C73">
        <w:t xml:space="preserve"> descriptive data about </w:t>
      </w:r>
      <w:r w:rsidR="004C294B" w:rsidRPr="00A60C73">
        <w:t xml:space="preserve">United States-based </w:t>
      </w:r>
      <w:r w:rsidR="00DE1A92" w:rsidRPr="00A60C73">
        <w:t>tribal</w:t>
      </w:r>
      <w:r w:rsidR="009D5C3A" w:rsidRPr="00A60C73">
        <w:rPr>
          <w:rStyle w:val="FootnoteReference"/>
        </w:rPr>
        <w:footnoteReference w:id="2"/>
      </w:r>
      <w:r w:rsidR="00DE1A92" w:rsidRPr="00A60C73">
        <w:t xml:space="preserve"> cultural organization</w:t>
      </w:r>
      <w:r w:rsidR="004C294B" w:rsidRPr="00A60C73">
        <w:t xml:space="preserve">s (including archives, libraries, museums, </w:t>
      </w:r>
      <w:r w:rsidR="00906EAF" w:rsidRPr="00A60C73">
        <w:t xml:space="preserve">and </w:t>
      </w:r>
      <w:r w:rsidR="004C294B" w:rsidRPr="00A60C73">
        <w:t>cultural centers)</w:t>
      </w:r>
      <w:r w:rsidR="00B01F0F" w:rsidRPr="00A60C73">
        <w:t xml:space="preserve">. </w:t>
      </w:r>
      <w:r w:rsidR="00FC031B" w:rsidRPr="00A60C73">
        <w:t xml:space="preserve">Data collected through the survey will inform a formal report on the activities and needs of </w:t>
      </w:r>
      <w:r w:rsidR="00BE38F5">
        <w:t>tribal</w:t>
      </w:r>
      <w:r w:rsidR="00FC031B" w:rsidRPr="00A60C73">
        <w:t xml:space="preserve"> cultural </w:t>
      </w:r>
      <w:r w:rsidR="00DE1A92" w:rsidRPr="00A60C73">
        <w:t>organization</w:t>
      </w:r>
      <w:r w:rsidR="00FC031B" w:rsidRPr="00A60C73">
        <w:t>s and address</w:t>
      </w:r>
      <w:r w:rsidR="00213A66" w:rsidRPr="00A60C73">
        <w:t xml:space="preserve"> the lack of data </w:t>
      </w:r>
      <w:r w:rsidR="000C24DE" w:rsidRPr="00A60C73">
        <w:t xml:space="preserve">about tribal </w:t>
      </w:r>
      <w:r w:rsidR="00131755">
        <w:t>archives, libraries, and museums</w:t>
      </w:r>
      <w:r w:rsidR="000C24DE" w:rsidRPr="00A60C73">
        <w:t xml:space="preserve"> </w:t>
      </w:r>
      <w:r w:rsidR="00213A66" w:rsidRPr="00A60C73">
        <w:t>currently collected by other surveys</w:t>
      </w:r>
      <w:r w:rsidR="00840E24" w:rsidRPr="00A60C73">
        <w:t xml:space="preserve">. </w:t>
      </w:r>
    </w:p>
    <w:p w14:paraId="3349F96A" w14:textId="77777777" w:rsidR="00FC031B" w:rsidRPr="00A60C73" w:rsidRDefault="00FC031B" w:rsidP="00E65A3C"/>
    <w:p w14:paraId="37F22549" w14:textId="57B3063B" w:rsidR="000706B1" w:rsidRPr="00A60C73" w:rsidRDefault="000C24DE" w:rsidP="00E65A3C">
      <w:r w:rsidRPr="00A60C73">
        <w:t>ATALM has budgeted $68,000 for the</w:t>
      </w:r>
      <w:r w:rsidR="000706B1" w:rsidRPr="00A60C73">
        <w:t xml:space="preserve"> proposed survey and resulting report</w:t>
      </w:r>
      <w:r w:rsidRPr="00A60C73">
        <w:t xml:space="preserve">, which includes a </w:t>
      </w:r>
      <w:r w:rsidR="00B01F0F" w:rsidRPr="00A60C73">
        <w:t>contract</w:t>
      </w:r>
      <w:r w:rsidR="000706B1" w:rsidRPr="00A60C73">
        <w:t xml:space="preserve"> with the Native Nations Institute at the University of Arizon</w:t>
      </w:r>
      <w:r w:rsidR="00820342" w:rsidRPr="00A60C73">
        <w:t xml:space="preserve">a to analyze the data </w:t>
      </w:r>
      <w:r w:rsidR="000706B1" w:rsidRPr="00A60C73">
        <w:t>and produce the report</w:t>
      </w:r>
      <w:r w:rsidR="00840E24" w:rsidRPr="00A60C73">
        <w:t xml:space="preserve">. </w:t>
      </w:r>
    </w:p>
    <w:p w14:paraId="5F8D29D3" w14:textId="77777777" w:rsidR="000706B1" w:rsidRPr="00A60C73" w:rsidRDefault="000706B1" w:rsidP="00E65A3C"/>
    <w:p w14:paraId="11C25113" w14:textId="31E59A89" w:rsidR="000706B1" w:rsidRPr="00A60C73" w:rsidRDefault="020B8354" w:rsidP="020B8354">
      <w:pPr>
        <w:rPr>
          <w:lang w:bidi="ar-SA"/>
        </w:rPr>
      </w:pPr>
      <w:r w:rsidRPr="020B8354">
        <w:rPr>
          <w:lang w:bidi="ar-SA"/>
        </w:rPr>
        <w:t xml:space="preserve">ATALM is a non-profit membership organization incorporated in 2010 for the purpose of providing culturally relevant programming and services, supporting collaboration among tribal and nontribal cultural organizations and identifying and addressing contemporary issues related to sustaining the cultural sovereignty of Native Nations. ATALM has both a Native-led board and an advisory council composed of representatives from many tribal nations. Board members represent a broad range of library, museum, and archival experiences. At the core of ATALM’s support for indigenous cultural organizations are annual continuing education programs that help ensure a well-trained workforce for indigenous </w:t>
      </w:r>
      <w:r w:rsidRPr="020B8354">
        <w:rPr>
          <w:lang w:bidi="ar-SA"/>
        </w:rPr>
        <w:lastRenderedPageBreak/>
        <w:t xml:space="preserve">knowledge management. ATALM also compiles reports drawing on original research, including surveys and interviews with tribal memory organizations. ATALM has 1,200 founding members. Its work is primarily supported through a Cooperative Agreement </w:t>
      </w:r>
      <w:r w:rsidR="006C63AA">
        <w:rPr>
          <w:lang w:bidi="ar-SA"/>
        </w:rPr>
        <w:t xml:space="preserve">with </w:t>
      </w:r>
      <w:r w:rsidRPr="020B8354">
        <w:rPr>
          <w:lang w:bidi="ar-SA"/>
        </w:rPr>
        <w:t>IMLS.</w:t>
      </w:r>
    </w:p>
    <w:p w14:paraId="66ACF016" w14:textId="1CC6C586" w:rsidR="00024EF4" w:rsidRPr="00A60C73" w:rsidRDefault="00024EF4" w:rsidP="00E65A3C">
      <w:pPr>
        <w:rPr>
          <w:rFonts w:eastAsia="Calibri"/>
          <w:lang w:bidi="ar-SA"/>
        </w:rPr>
      </w:pPr>
    </w:p>
    <w:p w14:paraId="2001963E" w14:textId="77777777" w:rsidR="00937192" w:rsidRPr="00A60C73" w:rsidRDefault="00937192" w:rsidP="00E65A3C"/>
    <w:p w14:paraId="6D02F747" w14:textId="77777777" w:rsidR="00937192" w:rsidRPr="00A60C73" w:rsidRDefault="00937192" w:rsidP="00E65A3C"/>
    <w:p w14:paraId="13835FF3" w14:textId="77777777" w:rsidR="00024EF4" w:rsidRPr="00A60C73" w:rsidRDefault="00024EF4" w:rsidP="00E65A3C">
      <w:r w:rsidRPr="00A60C73">
        <w:t xml:space="preserve">A.1.b. </w:t>
      </w:r>
      <w:r w:rsidRPr="00A60C73">
        <w:tab/>
        <w:t>Legislative Authorization</w:t>
      </w:r>
    </w:p>
    <w:p w14:paraId="7AC2FF32" w14:textId="42032ACB" w:rsidR="004F2DAE" w:rsidRPr="00A60C73" w:rsidRDefault="020B8354" w:rsidP="004F2DAE">
      <w:r>
        <w:t xml:space="preserve">IMLS is the primary source of federal support for the nation's libraries and museums. We advance, support, and empower America’s museums, libraries, and related organizations through grant making, research, and policy development. Our vision is a nation where museums and libraries work together to transform the lives of individuals and communities. To learn more, visit </w:t>
      </w:r>
      <w:hyperlink r:id="rId13">
        <w:r w:rsidRPr="020B8354">
          <w:rPr>
            <w:rStyle w:val="Hyperlink"/>
            <w:rFonts w:cs="Arial"/>
          </w:rPr>
          <w:t>www.imls.gov</w:t>
        </w:r>
      </w:hyperlink>
      <w:r>
        <w:t xml:space="preserve">. </w:t>
      </w:r>
    </w:p>
    <w:p w14:paraId="3204AC98" w14:textId="77777777" w:rsidR="00024EF4" w:rsidRPr="00A60C73" w:rsidRDefault="00024EF4" w:rsidP="00E65A3C"/>
    <w:p w14:paraId="785E0959" w14:textId="3837F61A" w:rsidR="00463BC5" w:rsidRPr="00A60C73" w:rsidRDefault="0B7E8244" w:rsidP="00E65A3C">
      <w:r>
        <w:t>IMLS is responsible for identifying national needs for and trends in museum, library, and information services. IMLS must also measure and report on the impact and effectiveness of museum, library, and information services throughout the United States, including the impact of programs conducted with funds made available by IMLS. IMLS must identify the best practices of such programs and disseminate the results of its policy research, analysis, and data collection. This data collection is authorized by 20 U.S.C. § 9108 (Policy research, analysis, data collection, and dissemination).</w:t>
      </w:r>
    </w:p>
    <w:p w14:paraId="788C6790" w14:textId="77777777" w:rsidR="00024EF4" w:rsidRPr="00A60C73" w:rsidRDefault="00024EF4" w:rsidP="00E65A3C"/>
    <w:p w14:paraId="3D6E067C" w14:textId="77777777" w:rsidR="00024EF4" w:rsidRPr="00A60C73" w:rsidRDefault="00024EF4" w:rsidP="00E65A3C">
      <w:r w:rsidRPr="00A60C73">
        <w:t xml:space="preserve">A.1.c. </w:t>
      </w:r>
      <w:r w:rsidRPr="00A60C73">
        <w:tab/>
        <w:t>Prior Related Studies</w:t>
      </w:r>
    </w:p>
    <w:p w14:paraId="40FB9099" w14:textId="77777777" w:rsidR="00024EF4" w:rsidRPr="00A60C73" w:rsidRDefault="00024EF4" w:rsidP="00E65A3C"/>
    <w:p w14:paraId="15D77E58" w14:textId="051B832F" w:rsidR="000C24DE" w:rsidRPr="00A60C73" w:rsidRDefault="4C1EBA69" w:rsidP="4C1EBA69">
      <w:pPr>
        <w:rPr>
          <w:rStyle w:val="Hyperlink"/>
          <w:color w:val="auto"/>
          <w:u w:val="none"/>
        </w:rPr>
      </w:pPr>
      <w:r>
        <w:t>ATALM completed an earlier survey on which the proposed survey is based in 2012. This earlier work reported data on 176 respondents who operated tribal cultural organizations at the time of the survey. The resulting report, “</w:t>
      </w:r>
      <w:hyperlink r:id="rId14">
        <w:r w:rsidRPr="4C1EBA69">
          <w:rPr>
            <w:rStyle w:val="Hyperlink"/>
          </w:rPr>
          <w:t>Sustaining Indigenous Culture: The Structure, Activities and Needs of Tribal Archives, Libraries, and Museums</w:t>
        </w:r>
      </w:hyperlink>
      <w:r w:rsidRPr="4C1EBA69">
        <w:rPr>
          <w:rStyle w:val="Hyperlink"/>
          <w:color w:val="auto"/>
          <w:u w:val="none"/>
        </w:rPr>
        <w:t>,” is a unique source of data on tribal cultural organizations referenced by researchers, program planners, policy makers, grant seekers, and the media.</w:t>
      </w:r>
      <w:r w:rsidR="00BE38F5">
        <w:rPr>
          <w:rStyle w:val="Hyperlink"/>
          <w:color w:val="auto"/>
          <w:u w:val="none"/>
        </w:rPr>
        <w:t xml:space="preserve"> While the 2012 study was an important contribution to the field, staffing and collections changes along with the on-going evolution of technology use at tribal cultural institutions suggest a need to update the 2012 results. </w:t>
      </w:r>
    </w:p>
    <w:p w14:paraId="0C7AA010" w14:textId="77777777" w:rsidR="000C24DE" w:rsidRPr="00A60C73" w:rsidRDefault="000C24DE" w:rsidP="00E65A3C">
      <w:pPr>
        <w:rPr>
          <w:rStyle w:val="Hyperlink"/>
          <w:bCs/>
          <w:color w:val="auto"/>
          <w:u w:val="none"/>
        </w:rPr>
      </w:pPr>
    </w:p>
    <w:p w14:paraId="394670DC" w14:textId="77777777" w:rsidR="00937192" w:rsidRPr="00A60C73" w:rsidRDefault="00840E24" w:rsidP="00E65A3C">
      <w:pPr>
        <w:rPr>
          <w:rStyle w:val="Hyperlink"/>
          <w:bCs/>
          <w:color w:val="auto"/>
          <w:u w:val="none"/>
        </w:rPr>
      </w:pPr>
      <w:r w:rsidRPr="00A60C73">
        <w:rPr>
          <w:rStyle w:val="Hyperlink"/>
          <w:bCs/>
          <w:color w:val="auto"/>
          <w:u w:val="none"/>
        </w:rPr>
        <w:t>Earlier, a</w:t>
      </w:r>
      <w:r w:rsidR="005F5736" w:rsidRPr="00A60C73">
        <w:rPr>
          <w:rStyle w:val="Hyperlink"/>
          <w:bCs/>
          <w:color w:val="auto"/>
          <w:u w:val="none"/>
        </w:rPr>
        <w:t xml:space="preserve"> </w:t>
      </w:r>
      <w:hyperlink r:id="rId15" w:history="1">
        <w:r w:rsidR="005F5736" w:rsidRPr="00A60C73">
          <w:rPr>
            <w:rStyle w:val="Hyperlink"/>
            <w:bCs/>
          </w:rPr>
          <w:t>2002 survey of 74 tribal museums</w:t>
        </w:r>
      </w:hyperlink>
      <w:r w:rsidR="005F5736" w:rsidRPr="00A60C73">
        <w:rPr>
          <w:rStyle w:val="Hyperlink"/>
          <w:bCs/>
          <w:color w:val="auto"/>
          <w:u w:val="none"/>
        </w:rPr>
        <w:t xml:space="preserve"> was conducted by the American Association of State and Local History (funded by IMLS)</w:t>
      </w:r>
      <w:r w:rsidRPr="00A60C73">
        <w:rPr>
          <w:rStyle w:val="Hyperlink"/>
          <w:bCs/>
          <w:color w:val="auto"/>
          <w:u w:val="none"/>
        </w:rPr>
        <w:t>. This 2002 survey</w:t>
      </w:r>
      <w:r w:rsidR="005F5736" w:rsidRPr="00A60C73">
        <w:rPr>
          <w:rStyle w:val="Hyperlink"/>
          <w:bCs/>
          <w:color w:val="auto"/>
          <w:u w:val="none"/>
        </w:rPr>
        <w:t xml:space="preserve"> found that tribal museums faced financing and staff training as two key challenges. A student thesis in 2012 included a survey of five new tribal museums (Lee 2012) to articulate the challenges American Indian museum directors faced in establishing their organizations. </w:t>
      </w:r>
    </w:p>
    <w:p w14:paraId="15D7E142" w14:textId="77777777" w:rsidR="00937192" w:rsidRPr="00A60C73" w:rsidRDefault="00937192" w:rsidP="00E65A3C">
      <w:pPr>
        <w:rPr>
          <w:rStyle w:val="Hyperlink"/>
          <w:bCs/>
          <w:color w:val="auto"/>
          <w:u w:val="none"/>
        </w:rPr>
      </w:pPr>
    </w:p>
    <w:p w14:paraId="523C3B7D" w14:textId="471A12FA" w:rsidR="00EB188F" w:rsidRPr="00A60C73" w:rsidRDefault="00EB188F" w:rsidP="00E65A3C">
      <w:pPr>
        <w:rPr>
          <w:rStyle w:val="Hyperlink"/>
          <w:bCs/>
          <w:color w:val="auto"/>
          <w:u w:val="none"/>
        </w:rPr>
      </w:pPr>
      <w:r w:rsidRPr="00A60C73">
        <w:rPr>
          <w:rStyle w:val="Hyperlink"/>
          <w:bCs/>
          <w:color w:val="auto"/>
          <w:u w:val="none"/>
        </w:rPr>
        <w:t xml:space="preserve">Most </w:t>
      </w:r>
      <w:r w:rsidR="00937192" w:rsidRPr="00A60C73">
        <w:rPr>
          <w:rStyle w:val="Hyperlink"/>
          <w:bCs/>
          <w:color w:val="auto"/>
          <w:u w:val="none"/>
        </w:rPr>
        <w:t xml:space="preserve">general </w:t>
      </w:r>
      <w:r w:rsidRPr="00A60C73">
        <w:rPr>
          <w:rStyle w:val="Hyperlink"/>
          <w:bCs/>
          <w:color w:val="auto"/>
          <w:u w:val="none"/>
        </w:rPr>
        <w:t xml:space="preserve">studies of museums, </w:t>
      </w:r>
      <w:r w:rsidR="00937192" w:rsidRPr="00A60C73">
        <w:rPr>
          <w:rStyle w:val="Hyperlink"/>
          <w:bCs/>
          <w:color w:val="auto"/>
          <w:u w:val="none"/>
        </w:rPr>
        <w:t xml:space="preserve">however, </w:t>
      </w:r>
      <w:r w:rsidRPr="00A60C73">
        <w:rPr>
          <w:rStyle w:val="Hyperlink"/>
          <w:bCs/>
          <w:color w:val="auto"/>
          <w:u w:val="none"/>
        </w:rPr>
        <w:t xml:space="preserve">include too few tribal </w:t>
      </w:r>
      <w:r w:rsidR="00DE1A92" w:rsidRPr="00A60C73">
        <w:rPr>
          <w:rStyle w:val="Hyperlink"/>
          <w:bCs/>
          <w:color w:val="auto"/>
          <w:u w:val="none"/>
        </w:rPr>
        <w:t>organization</w:t>
      </w:r>
      <w:r w:rsidRPr="00A60C73">
        <w:rPr>
          <w:rStyle w:val="Hyperlink"/>
          <w:bCs/>
          <w:color w:val="auto"/>
          <w:u w:val="none"/>
        </w:rPr>
        <w:t xml:space="preserve">s to enable meaningful analyses. </w:t>
      </w:r>
      <w:r w:rsidR="00937192" w:rsidRPr="00A60C73">
        <w:rPr>
          <w:rStyle w:val="Hyperlink"/>
          <w:bCs/>
          <w:color w:val="auto"/>
          <w:u w:val="none"/>
        </w:rPr>
        <w:t>For example, a</w:t>
      </w:r>
      <w:r w:rsidRPr="00A60C73">
        <w:rPr>
          <w:rStyle w:val="Hyperlink"/>
          <w:bCs/>
          <w:color w:val="auto"/>
          <w:u w:val="none"/>
        </w:rPr>
        <w:t xml:space="preserve">nother IMLS-funded study in 2014 in collaboration with Heritage Preservation and RMC Research Corporation sought to understand the preservation needs of U.S. collecting </w:t>
      </w:r>
      <w:r w:rsidR="00DE1A92" w:rsidRPr="00A60C73">
        <w:rPr>
          <w:rStyle w:val="Hyperlink"/>
          <w:bCs/>
          <w:color w:val="auto"/>
          <w:u w:val="none"/>
        </w:rPr>
        <w:t>organization</w:t>
      </w:r>
      <w:r w:rsidRPr="00A60C73">
        <w:rPr>
          <w:rStyle w:val="Hyperlink"/>
          <w:bCs/>
          <w:color w:val="auto"/>
          <w:u w:val="none"/>
        </w:rPr>
        <w:t xml:space="preserve">s. However, too few (&lt;5) </w:t>
      </w:r>
      <w:r w:rsidR="00DE1A92" w:rsidRPr="00A60C73">
        <w:rPr>
          <w:rStyle w:val="Hyperlink"/>
          <w:bCs/>
          <w:color w:val="auto"/>
          <w:u w:val="none"/>
        </w:rPr>
        <w:t>tribal cultural organization</w:t>
      </w:r>
      <w:r w:rsidRPr="00A60C73">
        <w:rPr>
          <w:rStyle w:val="Hyperlink"/>
          <w:bCs/>
          <w:color w:val="auto"/>
          <w:u w:val="none"/>
        </w:rPr>
        <w:t>s were among the respondents to permit a specific focus on these organizations.</w:t>
      </w:r>
    </w:p>
    <w:p w14:paraId="37834F03" w14:textId="77777777" w:rsidR="00EB188F" w:rsidRPr="00A60C73" w:rsidRDefault="00EB188F" w:rsidP="00E65A3C">
      <w:pPr>
        <w:rPr>
          <w:rStyle w:val="Hyperlink"/>
          <w:bCs/>
          <w:color w:val="auto"/>
          <w:u w:val="none"/>
        </w:rPr>
      </w:pPr>
    </w:p>
    <w:p w14:paraId="341F237E" w14:textId="2FB024C8" w:rsidR="00AC5A81" w:rsidRPr="00A60C73" w:rsidRDefault="009E5A29">
      <w:pPr>
        <w:rPr>
          <w:rStyle w:val="Hyperlink"/>
          <w:color w:val="auto"/>
          <w:u w:val="none"/>
        </w:rPr>
      </w:pPr>
      <w:r w:rsidRPr="00A60C73">
        <w:rPr>
          <w:rStyle w:val="Hyperlink"/>
          <w:color w:val="auto"/>
          <w:u w:val="none"/>
        </w:rPr>
        <w:t>T</w:t>
      </w:r>
      <w:r w:rsidR="00EA6DFA" w:rsidRPr="00A60C73">
        <w:rPr>
          <w:rStyle w:val="Hyperlink"/>
          <w:color w:val="auto"/>
          <w:u w:val="none"/>
        </w:rPr>
        <w:t xml:space="preserve">he secondary literature has provided inadequate coverage on </w:t>
      </w:r>
      <w:r w:rsidR="005F5736" w:rsidRPr="00A60C73">
        <w:rPr>
          <w:rStyle w:val="Hyperlink"/>
          <w:color w:val="auto"/>
          <w:u w:val="none"/>
        </w:rPr>
        <w:t>archives, libraries and museums</w:t>
      </w:r>
      <w:r w:rsidR="00AE23D7" w:rsidRPr="00A60C73">
        <w:rPr>
          <w:rStyle w:val="Hyperlink"/>
          <w:color w:val="auto"/>
          <w:u w:val="none"/>
        </w:rPr>
        <w:t xml:space="preserve">. For example, </w:t>
      </w:r>
      <w:r w:rsidR="00EA6DFA" w:rsidRPr="00A60C73">
        <w:rPr>
          <w:rStyle w:val="Hyperlink"/>
          <w:color w:val="auto"/>
          <w:u w:val="none"/>
        </w:rPr>
        <w:t xml:space="preserve">perhaps the most significant publication over the past decade was </w:t>
      </w:r>
      <w:r w:rsidR="00AE23D7" w:rsidRPr="00A60C73">
        <w:rPr>
          <w:rStyle w:val="Hyperlink"/>
          <w:color w:val="auto"/>
          <w:u w:val="none"/>
        </w:rPr>
        <w:t>a 2011 book titled “Tribal Archives, Libraries, and Museums: Preserving Our Language, Memory, and Lifeways</w:t>
      </w:r>
      <w:r w:rsidR="00EA6DFA" w:rsidRPr="00A60C73">
        <w:rPr>
          <w:rStyle w:val="Hyperlink"/>
          <w:color w:val="auto"/>
          <w:u w:val="none"/>
        </w:rPr>
        <w:t>,</w:t>
      </w:r>
      <w:r w:rsidR="00AE23D7" w:rsidRPr="00A60C73">
        <w:rPr>
          <w:rStyle w:val="Hyperlink"/>
          <w:color w:val="auto"/>
          <w:u w:val="none"/>
        </w:rPr>
        <w:t>”</w:t>
      </w:r>
      <w:r w:rsidR="00EA6DFA" w:rsidRPr="00A60C73">
        <w:rPr>
          <w:rStyle w:val="Hyperlink"/>
          <w:color w:val="auto"/>
          <w:u w:val="none"/>
        </w:rPr>
        <w:t xml:space="preserve"> but it</w:t>
      </w:r>
      <w:r w:rsidR="00AE23D7" w:rsidRPr="00A60C73">
        <w:rPr>
          <w:rStyle w:val="Hyperlink"/>
          <w:color w:val="auto"/>
          <w:u w:val="none"/>
        </w:rPr>
        <w:t xml:space="preserve"> overwhelmingly </w:t>
      </w:r>
      <w:r w:rsidR="00EA6DFA" w:rsidRPr="00A60C73">
        <w:rPr>
          <w:rStyle w:val="Hyperlink"/>
          <w:color w:val="auto"/>
          <w:u w:val="none"/>
        </w:rPr>
        <w:t>focused on tri</w:t>
      </w:r>
      <w:r w:rsidR="003830D0" w:rsidRPr="00A60C73">
        <w:rPr>
          <w:rStyle w:val="Hyperlink"/>
          <w:color w:val="auto"/>
          <w:u w:val="none"/>
        </w:rPr>
        <w:t>b</w:t>
      </w:r>
      <w:r w:rsidR="00EA6DFA" w:rsidRPr="00A60C73">
        <w:rPr>
          <w:rStyle w:val="Hyperlink"/>
          <w:color w:val="auto"/>
          <w:u w:val="none"/>
        </w:rPr>
        <w:t>al</w:t>
      </w:r>
      <w:r w:rsidR="00AE23D7" w:rsidRPr="00A60C73">
        <w:rPr>
          <w:rStyle w:val="Hyperlink"/>
          <w:color w:val="auto"/>
          <w:u w:val="none"/>
        </w:rPr>
        <w:t xml:space="preserve"> libraries, with just one chapter about museums and three about archives among the 25 chapters in the edited volume. </w:t>
      </w:r>
      <w:r w:rsidR="00840E24" w:rsidRPr="00A60C73">
        <w:rPr>
          <w:rStyle w:val="Hyperlink"/>
          <w:color w:val="auto"/>
          <w:u w:val="none"/>
        </w:rPr>
        <w:t xml:space="preserve">Hence, a survey that looks at all three types of </w:t>
      </w:r>
      <w:r w:rsidR="00DE1A92" w:rsidRPr="00A60C73">
        <w:rPr>
          <w:rStyle w:val="Hyperlink"/>
          <w:color w:val="auto"/>
          <w:u w:val="none"/>
        </w:rPr>
        <w:t>tribal cultural organization</w:t>
      </w:r>
      <w:r w:rsidR="00840E24" w:rsidRPr="00A60C73">
        <w:rPr>
          <w:rStyle w:val="Hyperlink"/>
          <w:color w:val="auto"/>
          <w:u w:val="none"/>
        </w:rPr>
        <w:t>s—</w:t>
      </w:r>
      <w:r w:rsidR="00131755">
        <w:rPr>
          <w:rStyle w:val="Hyperlink"/>
          <w:color w:val="auto"/>
          <w:u w:val="none"/>
        </w:rPr>
        <w:t>archives, libraries, and museums</w:t>
      </w:r>
      <w:r w:rsidR="00840E24" w:rsidRPr="00A60C73">
        <w:rPr>
          <w:rStyle w:val="Hyperlink"/>
          <w:color w:val="auto"/>
          <w:u w:val="none"/>
        </w:rPr>
        <w:t xml:space="preserve">—is </w:t>
      </w:r>
      <w:r w:rsidR="00937192" w:rsidRPr="00A60C73">
        <w:rPr>
          <w:rStyle w:val="Hyperlink"/>
          <w:color w:val="auto"/>
          <w:u w:val="none"/>
        </w:rPr>
        <w:t xml:space="preserve">expected </w:t>
      </w:r>
      <w:r w:rsidR="00840E24" w:rsidRPr="00A60C73">
        <w:rPr>
          <w:rStyle w:val="Hyperlink"/>
          <w:color w:val="auto"/>
          <w:u w:val="none"/>
        </w:rPr>
        <w:t>to be valuable to the field</w:t>
      </w:r>
      <w:r w:rsidR="00A33C6D">
        <w:rPr>
          <w:rStyle w:val="Hyperlink"/>
          <w:color w:val="auto"/>
          <w:u w:val="none"/>
        </w:rPr>
        <w:t>, as described in the Section A2, below</w:t>
      </w:r>
      <w:r w:rsidR="00840E24" w:rsidRPr="00A60C73">
        <w:rPr>
          <w:rStyle w:val="Hyperlink"/>
          <w:color w:val="auto"/>
          <w:u w:val="none"/>
        </w:rPr>
        <w:t xml:space="preserve">. </w:t>
      </w:r>
    </w:p>
    <w:p w14:paraId="1692892F" w14:textId="77777777" w:rsidR="00937192" w:rsidRPr="00A60C73" w:rsidRDefault="00937192" w:rsidP="00E65A3C">
      <w:pPr>
        <w:rPr>
          <w:rStyle w:val="Hyperlink"/>
          <w:bCs/>
          <w:color w:val="auto"/>
          <w:u w:val="none"/>
        </w:rPr>
      </w:pPr>
    </w:p>
    <w:p w14:paraId="03DE42C9" w14:textId="77777777" w:rsidR="00D55958" w:rsidRPr="00A60C73" w:rsidRDefault="00DC18EA" w:rsidP="00FF463C">
      <w:pPr>
        <w:pStyle w:val="Heading3"/>
      </w:pPr>
      <w:r w:rsidRPr="00A60C73">
        <w:t>A</w:t>
      </w:r>
      <w:r w:rsidR="00024EF4" w:rsidRPr="00A60C73">
        <w:t>.2.</w:t>
      </w:r>
      <w:r w:rsidR="00024EF4" w:rsidRPr="00A60C73">
        <w:tab/>
        <w:t>Purposes and Uses of the Data</w:t>
      </w:r>
      <w:r w:rsidR="00D55958" w:rsidRPr="00A60C73">
        <w:t xml:space="preserve"> </w:t>
      </w:r>
    </w:p>
    <w:p w14:paraId="00B4C083" w14:textId="77777777" w:rsidR="0015626A" w:rsidRPr="00A60C73" w:rsidRDefault="0015626A" w:rsidP="00E65A3C"/>
    <w:p w14:paraId="68EA58DA" w14:textId="7890353D" w:rsidR="00064F3B" w:rsidRPr="00A60C73" w:rsidRDefault="00064F3B" w:rsidP="3CEA5530">
      <w:r w:rsidRPr="00A60C73">
        <w:t xml:space="preserve">Data will be collected from </w:t>
      </w:r>
      <w:r w:rsidR="00DE1A92" w:rsidRPr="00A60C73">
        <w:t>tribal cultural organization</w:t>
      </w:r>
      <w:r w:rsidRPr="00A60C73">
        <w:t>s that implement one or more of the functions associated with libraries</w:t>
      </w:r>
      <w:r w:rsidRPr="00A60C73">
        <w:rPr>
          <w:rStyle w:val="FootnoteReference"/>
        </w:rPr>
        <w:footnoteReference w:id="3"/>
      </w:r>
      <w:r w:rsidRPr="00A60C73">
        <w:t xml:space="preserve"> and/or museums. The </w:t>
      </w:r>
      <w:r w:rsidR="00DE1A92" w:rsidRPr="00A60C73">
        <w:t>organization</w:t>
      </w:r>
      <w:r w:rsidRPr="00A60C73">
        <w:t xml:space="preserve">s that carry out these functions are often complex. For example, not all federally-recognized </w:t>
      </w:r>
      <w:r w:rsidR="00BE38F5">
        <w:t>tribal</w:t>
      </w:r>
      <w:r w:rsidRPr="00A60C73">
        <w:t xml:space="preserve"> entities have cultural </w:t>
      </w:r>
      <w:r w:rsidR="00DE1A92" w:rsidRPr="00A60C73">
        <w:t>organization</w:t>
      </w:r>
      <w:r w:rsidRPr="00A60C73">
        <w:t xml:space="preserve">s specifically named “library” or “museum.” </w:t>
      </w:r>
      <w:r w:rsidR="003A584B">
        <w:t>Some</w:t>
      </w:r>
      <w:r w:rsidRPr="00A60C73">
        <w:t xml:space="preserve"> </w:t>
      </w:r>
      <w:r w:rsidR="00BE38F5">
        <w:t>tribal</w:t>
      </w:r>
      <w:r w:rsidRPr="00A60C73">
        <w:t xml:space="preserve"> entities operate cultural centers that provide library and/or museum services under one umbrella organization. The complexity of these </w:t>
      </w:r>
      <w:r w:rsidR="00DE1A92" w:rsidRPr="00A60C73">
        <w:t>organization</w:t>
      </w:r>
      <w:r w:rsidRPr="00A60C73">
        <w:t xml:space="preserve">s and their location within sovereign tribal nations present challenges for gathering data about these cultural </w:t>
      </w:r>
      <w:r w:rsidR="00DE1A92" w:rsidRPr="00A60C73">
        <w:t>organization</w:t>
      </w:r>
      <w:r w:rsidRPr="00A60C73">
        <w:t xml:space="preserve">s’ challenges, needs, and roles in their communities. </w:t>
      </w:r>
      <w:r w:rsidR="006C074B" w:rsidRPr="00A60C73">
        <w:t>No other survey</w:t>
      </w:r>
      <w:r w:rsidR="00BE38F5">
        <w:t xml:space="preserve">, besides the 2012 ATALM survey referenced above, </w:t>
      </w:r>
      <w:r w:rsidR="006C074B" w:rsidRPr="00A60C73">
        <w:t>has collected this information</w:t>
      </w:r>
      <w:r w:rsidR="00BE38F5">
        <w:t xml:space="preserve">. </w:t>
      </w:r>
      <w:r w:rsidR="00BE38F5">
        <w:rPr>
          <w:rStyle w:val="Hyperlink"/>
          <w:color w:val="auto"/>
          <w:u w:val="none"/>
        </w:rPr>
        <w:t>Additionally, by surveying IMLS tribal awardees, the proposed study will also reach tribes that are not currently active with ATALM. The proposed survey seeks to address this</w:t>
      </w:r>
      <w:r w:rsidR="006C074B" w:rsidRPr="00A60C73">
        <w:t xml:space="preserve"> gap in our knowledge about U.S. cultural </w:t>
      </w:r>
      <w:r w:rsidR="00DE1A92" w:rsidRPr="00A60C73">
        <w:t>organization</w:t>
      </w:r>
      <w:r w:rsidR="006C074B" w:rsidRPr="00A60C73">
        <w:t>s.</w:t>
      </w:r>
    </w:p>
    <w:p w14:paraId="662C2100" w14:textId="77777777" w:rsidR="00064F3B" w:rsidRPr="00A60C73" w:rsidRDefault="00064F3B" w:rsidP="00064F3B"/>
    <w:p w14:paraId="314A0A80" w14:textId="37676E2B" w:rsidR="00D12B8C" w:rsidRPr="00A60C73" w:rsidRDefault="00064F3B" w:rsidP="00064F3B">
      <w:r w:rsidRPr="00A60C73">
        <w:t>As such, t</w:t>
      </w:r>
      <w:r w:rsidR="00771998" w:rsidRPr="00A60C73">
        <w:t>he</w:t>
      </w:r>
      <w:r w:rsidR="00B01F0F" w:rsidRPr="00A60C73">
        <w:t xml:space="preserve"> </w:t>
      </w:r>
      <w:r w:rsidRPr="00A60C73">
        <w:t xml:space="preserve">proposed </w:t>
      </w:r>
      <w:r w:rsidR="00126161" w:rsidRPr="00A60C73">
        <w:t xml:space="preserve">survey and resulting report </w:t>
      </w:r>
      <w:r w:rsidRPr="00A60C73">
        <w:t xml:space="preserve">with joint support by IMLS and ATALM as organizations that have historically worked with the potential respondents, provides an opportunity to </w:t>
      </w:r>
      <w:r w:rsidR="00126161" w:rsidRPr="00A60C73">
        <w:t>collect, analyz</w:t>
      </w:r>
      <w:r w:rsidRPr="00A60C73">
        <w:t>e</w:t>
      </w:r>
      <w:r w:rsidR="00126161" w:rsidRPr="00A60C73">
        <w:t xml:space="preserve">, and report </w:t>
      </w:r>
      <w:r w:rsidR="00771998" w:rsidRPr="00A60C73">
        <w:t xml:space="preserve">data </w:t>
      </w:r>
      <w:r w:rsidR="00A95510" w:rsidRPr="00A60C73">
        <w:t xml:space="preserve">on </w:t>
      </w:r>
      <w:r w:rsidR="00B01F0F" w:rsidRPr="00A60C73">
        <w:t>needs of</w:t>
      </w:r>
      <w:r w:rsidR="00771998" w:rsidRPr="00A60C73">
        <w:t xml:space="preserve"> </w:t>
      </w:r>
      <w:r w:rsidR="00DE1A92" w:rsidRPr="00A60C73">
        <w:t>tribal cultural organization</w:t>
      </w:r>
      <w:r w:rsidR="00395001" w:rsidRPr="00A60C73">
        <w:t>s that serve their communities via</w:t>
      </w:r>
      <w:r w:rsidR="00771998" w:rsidRPr="00A60C73">
        <w:t xml:space="preserve"> librar</w:t>
      </w:r>
      <w:r w:rsidR="00395001" w:rsidRPr="00A60C73">
        <w:t>y</w:t>
      </w:r>
      <w:r w:rsidR="00771998" w:rsidRPr="00A60C73">
        <w:t xml:space="preserve"> and</w:t>
      </w:r>
      <w:r w:rsidR="00395001" w:rsidRPr="00A60C73">
        <w:t>/or</w:t>
      </w:r>
      <w:r w:rsidR="00771998" w:rsidRPr="00A60C73">
        <w:t xml:space="preserve"> museum</w:t>
      </w:r>
      <w:r w:rsidR="00395001" w:rsidRPr="00A60C73">
        <w:t xml:space="preserve"> functions</w:t>
      </w:r>
      <w:r w:rsidR="00771998" w:rsidRPr="00A60C73">
        <w:t>.</w:t>
      </w:r>
      <w:r w:rsidR="00B01F0F" w:rsidRPr="00A60C73">
        <w:t xml:space="preserve"> The </w:t>
      </w:r>
      <w:r w:rsidRPr="00A60C73">
        <w:t xml:space="preserve">questionnaire will </w:t>
      </w:r>
      <w:r w:rsidR="00B01F0F" w:rsidRPr="00A60C73">
        <w:t xml:space="preserve">collect data on visitors, services and programs, collections, </w:t>
      </w:r>
      <w:r w:rsidR="00D12B8C" w:rsidRPr="00A60C73">
        <w:t>finances, and needs</w:t>
      </w:r>
      <w:r w:rsidR="00B01F0F" w:rsidRPr="00A60C73">
        <w:t xml:space="preserve">. </w:t>
      </w:r>
      <w:r w:rsidRPr="00A60C73">
        <w:t xml:space="preserve">By including questionnaire items from a previous survey by ATALM (2012) as well as ones from other IMLS instruments (e.g., the Public Libraries Survey and the Heritage Health Information Survey), the results will provide a way for </w:t>
      </w:r>
      <w:r w:rsidR="00DE1A92" w:rsidRPr="00A60C73">
        <w:t>tribal cultural organization</w:t>
      </w:r>
      <w:r w:rsidRPr="00A60C73">
        <w:t xml:space="preserve"> stakeholders to benchmark with national level results about programs and needs. </w:t>
      </w:r>
    </w:p>
    <w:p w14:paraId="0081B117" w14:textId="77777777" w:rsidR="00D12B8C" w:rsidRPr="00A60C73" w:rsidRDefault="00D12B8C" w:rsidP="00E65A3C"/>
    <w:p w14:paraId="6B12ED7C" w14:textId="55E91CFC" w:rsidR="00395001" w:rsidRPr="00A60C73" w:rsidRDefault="00D12B8C" w:rsidP="00E65A3C">
      <w:r w:rsidRPr="00A60C73">
        <w:t xml:space="preserve">The data </w:t>
      </w:r>
      <w:r w:rsidR="004576EA" w:rsidRPr="00A60C73">
        <w:t>will be</w:t>
      </w:r>
      <w:r w:rsidRPr="00A60C73">
        <w:t xml:space="preserve"> analyzed and compiled into </w:t>
      </w:r>
      <w:r w:rsidR="00A96ABB" w:rsidRPr="00A60C73">
        <w:t>a report</w:t>
      </w:r>
      <w:r w:rsidR="00B01F0F" w:rsidRPr="00A60C73">
        <w:t xml:space="preserve"> </w:t>
      </w:r>
      <w:r w:rsidR="00A96ABB" w:rsidRPr="00A60C73">
        <w:t>that will</w:t>
      </w:r>
      <w:r w:rsidR="00921EDD">
        <w:t xml:space="preserve"> provide</w:t>
      </w:r>
      <w:r w:rsidR="00B01F0F" w:rsidRPr="00A60C73">
        <w:t xml:space="preserve"> a</w:t>
      </w:r>
      <w:r w:rsidR="004576EA" w:rsidRPr="00A60C73">
        <w:t>n updated</w:t>
      </w:r>
      <w:r w:rsidR="00B01F0F" w:rsidRPr="00A60C73">
        <w:t xml:space="preserve"> national picture of the condition and needs of </w:t>
      </w:r>
      <w:r w:rsidR="00DE1A92" w:rsidRPr="00A60C73">
        <w:t>tribal cultural organization</w:t>
      </w:r>
      <w:r w:rsidR="00B01F0F" w:rsidRPr="00A60C73">
        <w:t>s</w:t>
      </w:r>
      <w:r w:rsidR="00A96ABB" w:rsidRPr="00A60C73">
        <w:t xml:space="preserve"> (as compared to the 2012 ATALM study report, cited above)</w:t>
      </w:r>
      <w:r w:rsidR="00B01F0F" w:rsidRPr="00A60C73">
        <w:t>.</w:t>
      </w:r>
      <w:r w:rsidRPr="00A60C73">
        <w:t xml:space="preserve"> The report</w:t>
      </w:r>
      <w:r w:rsidR="00771998" w:rsidRPr="00A60C73">
        <w:t xml:space="preserve"> </w:t>
      </w:r>
      <w:r w:rsidR="00A96ABB" w:rsidRPr="00A60C73">
        <w:t xml:space="preserve">will </w:t>
      </w:r>
      <w:r w:rsidR="00126161" w:rsidRPr="00A60C73">
        <w:t xml:space="preserve">help guide decision-makers and funders in developing and supporting programs for </w:t>
      </w:r>
      <w:r w:rsidR="00DE1A92" w:rsidRPr="00A60C73">
        <w:t>tribal cultural organization</w:t>
      </w:r>
      <w:r w:rsidRPr="00A60C73">
        <w:t xml:space="preserve">s </w:t>
      </w:r>
      <w:r w:rsidR="00395001" w:rsidRPr="00A60C73">
        <w:t>that:</w:t>
      </w:r>
    </w:p>
    <w:p w14:paraId="737CF751" w14:textId="71213465" w:rsidR="00395001" w:rsidRPr="00A60C73" w:rsidRDefault="00395001" w:rsidP="00395001">
      <w:pPr>
        <w:pStyle w:val="ListParagraph"/>
        <w:numPr>
          <w:ilvl w:val="0"/>
          <w:numId w:val="3"/>
        </w:numPr>
      </w:pPr>
      <w:r w:rsidRPr="00A60C73">
        <w:t xml:space="preserve">Enables </w:t>
      </w:r>
      <w:r w:rsidR="00DE1A92" w:rsidRPr="00A60C73">
        <w:t>tribal cultural organization</w:t>
      </w:r>
      <w:r w:rsidR="00126161" w:rsidRPr="00A60C73">
        <w:t>s to view their programs and needs in the context of those of their peers</w:t>
      </w:r>
      <w:r w:rsidRPr="00A60C73">
        <w:t>;</w:t>
      </w:r>
      <w:r w:rsidR="00126161" w:rsidRPr="00A60C73">
        <w:t xml:space="preserve"> </w:t>
      </w:r>
    </w:p>
    <w:p w14:paraId="373CF676" w14:textId="5AF2BF8E" w:rsidR="00395001" w:rsidRPr="00A60C73" w:rsidRDefault="00395001" w:rsidP="00395001">
      <w:pPr>
        <w:pStyle w:val="ListParagraph"/>
        <w:numPr>
          <w:ilvl w:val="0"/>
          <w:numId w:val="3"/>
        </w:numPr>
      </w:pPr>
      <w:r w:rsidRPr="00A60C73">
        <w:t xml:space="preserve">Raises </w:t>
      </w:r>
      <w:r w:rsidR="00DE1A92" w:rsidRPr="00A60C73">
        <w:t>organization</w:t>
      </w:r>
      <w:r w:rsidR="00126161" w:rsidRPr="00A60C73">
        <w:t>al and community awareness</w:t>
      </w:r>
      <w:r w:rsidRPr="00A60C73">
        <w:t xml:space="preserve"> of the museum and library needs of tribal communities;</w:t>
      </w:r>
      <w:r w:rsidR="00D12B8C" w:rsidRPr="00A60C73">
        <w:t xml:space="preserve"> </w:t>
      </w:r>
      <w:r w:rsidR="00126161" w:rsidRPr="00A60C73">
        <w:t xml:space="preserve">and </w:t>
      </w:r>
    </w:p>
    <w:p w14:paraId="678B4344" w14:textId="2ADC4FA0" w:rsidR="00B01F0F" w:rsidRPr="00A60C73" w:rsidRDefault="00395001" w:rsidP="00395001">
      <w:pPr>
        <w:pStyle w:val="ListParagraph"/>
        <w:numPr>
          <w:ilvl w:val="0"/>
          <w:numId w:val="3"/>
        </w:numPr>
      </w:pPr>
      <w:r w:rsidRPr="00A60C73">
        <w:t>Allows r</w:t>
      </w:r>
      <w:r w:rsidR="00126161" w:rsidRPr="00A60C73">
        <w:t>esearche</w:t>
      </w:r>
      <w:r w:rsidR="00D83B76" w:rsidRPr="00A60C73">
        <w:t>r</w:t>
      </w:r>
      <w:r w:rsidR="00126161" w:rsidRPr="00A60C73">
        <w:t xml:space="preserve">s </w:t>
      </w:r>
      <w:r w:rsidRPr="00A60C73">
        <w:t xml:space="preserve">to </w:t>
      </w:r>
      <w:r w:rsidR="00126161" w:rsidRPr="00A60C73">
        <w:t xml:space="preserve">develop a broad picture of </w:t>
      </w:r>
      <w:r w:rsidR="0026710D" w:rsidRPr="00A60C73">
        <w:t xml:space="preserve">tribal </w:t>
      </w:r>
      <w:r w:rsidRPr="00A60C73">
        <w:t xml:space="preserve">archive, </w:t>
      </w:r>
      <w:r w:rsidR="0026710D" w:rsidRPr="00A60C73">
        <w:t>library</w:t>
      </w:r>
      <w:r w:rsidRPr="00A60C73">
        <w:t>,</w:t>
      </w:r>
      <w:r w:rsidR="0026710D" w:rsidRPr="00A60C73">
        <w:t xml:space="preserve"> and museum </w:t>
      </w:r>
      <w:r w:rsidR="00126161" w:rsidRPr="00A60C73">
        <w:t>services and programs.</w:t>
      </w:r>
      <w:r w:rsidR="00D0431A" w:rsidRPr="00A60C73">
        <w:t xml:space="preserve"> </w:t>
      </w:r>
    </w:p>
    <w:p w14:paraId="64A06B35" w14:textId="77777777" w:rsidR="00D83B76" w:rsidRPr="00A60C73" w:rsidRDefault="00D83B76" w:rsidP="00E65A3C"/>
    <w:p w14:paraId="4EF51DE8" w14:textId="6DCCDA9A" w:rsidR="00371C59" w:rsidRPr="00A60C73" w:rsidRDefault="00562767" w:rsidP="00E65A3C">
      <w:r>
        <w:t>Due to l</w:t>
      </w:r>
      <w:r w:rsidRPr="00562767">
        <w:t>imited resources available to tribal libraries, archives, and museums, there are few opportunities for professionals in these organizations to network with one another and learn about current challenges to daily practice. This survey and the related report would help practitioners learn about the state of the field in a way that is</w:t>
      </w:r>
      <w:r>
        <w:t xml:space="preserve"> </w:t>
      </w:r>
      <w:r w:rsidRPr="00562767">
        <w:t>n</w:t>
      </w:r>
      <w:r>
        <w:t>o</w:t>
      </w:r>
      <w:r w:rsidRPr="00562767">
        <w:t xml:space="preserve">t </w:t>
      </w:r>
      <w:r w:rsidR="00B84DBB">
        <w:t xml:space="preserve">currently </w:t>
      </w:r>
      <w:r w:rsidRPr="00562767">
        <w:t>available.</w:t>
      </w:r>
      <w:r>
        <w:t xml:space="preserve"> </w:t>
      </w:r>
      <w:r w:rsidR="00AC74EE">
        <w:t>From an agency perspective, lack</w:t>
      </w:r>
      <w:r w:rsidR="00B84DBB">
        <w:t xml:space="preserve"> of</w:t>
      </w:r>
      <w:r w:rsidR="00AC74EE">
        <w:t xml:space="preserve"> an appropriate landscape study </w:t>
      </w:r>
      <w:r w:rsidR="00B84DBB">
        <w:t>with</w:t>
      </w:r>
      <w:r w:rsidR="00AC74EE">
        <w:t xml:space="preserve"> valid and reliable data about </w:t>
      </w:r>
      <w:r w:rsidR="00420A14">
        <w:t xml:space="preserve">staff training needs (for example) is a barrier to IMLS providing robust, focused technical assistance </w:t>
      </w:r>
      <w:r w:rsidR="005B27DC">
        <w:t xml:space="preserve">to tribal cultural organizations. </w:t>
      </w:r>
    </w:p>
    <w:p w14:paraId="57B1E49F" w14:textId="4B229A74" w:rsidR="00286AC0" w:rsidRPr="00A60C73" w:rsidRDefault="00286AC0" w:rsidP="00E65A3C">
      <w:pPr>
        <w:rPr>
          <w:noProof/>
          <w:lang w:bidi="ar-SA"/>
        </w:rPr>
      </w:pPr>
    </w:p>
    <w:p w14:paraId="42160D81" w14:textId="424FE4B6" w:rsidR="00286AC0" w:rsidRPr="00A60C73" w:rsidRDefault="00A96ABB" w:rsidP="00E65A3C">
      <w:pPr>
        <w:rPr>
          <w:lang w:bidi="ar-SA"/>
        </w:rPr>
      </w:pPr>
      <w:r w:rsidRPr="00A60C73">
        <w:rPr>
          <w:rFonts w:eastAsia="Calibri"/>
          <w:lang w:bidi="ar-SA"/>
        </w:rPr>
        <w:t>The</w:t>
      </w:r>
      <w:r w:rsidR="00286AC0" w:rsidRPr="00A60C73">
        <w:rPr>
          <w:rFonts w:eastAsia="Calibri"/>
          <w:lang w:bidi="ar-SA"/>
        </w:rPr>
        <w:t xml:space="preserve"> </w:t>
      </w:r>
      <w:r w:rsidR="00222C44" w:rsidRPr="00A60C73">
        <w:rPr>
          <w:rFonts w:eastAsia="Calibri"/>
          <w:lang w:bidi="ar-SA"/>
        </w:rPr>
        <w:t xml:space="preserve">planned </w:t>
      </w:r>
      <w:r w:rsidR="00286AC0" w:rsidRPr="00A60C73">
        <w:rPr>
          <w:rFonts w:eastAsia="Calibri"/>
          <w:lang w:bidi="ar-SA"/>
        </w:rPr>
        <w:t xml:space="preserve">final report </w:t>
      </w:r>
      <w:r w:rsidR="00286AC0" w:rsidRPr="00A60C73">
        <w:rPr>
          <w:lang w:bidi="ar-SA"/>
        </w:rPr>
        <w:t>will include the following sections: executive summary; introduction; methodology; summary of findings; recommendations; appendices; and a list of participating organizations</w:t>
      </w:r>
      <w:r w:rsidR="00222C44" w:rsidRPr="00A60C73">
        <w:rPr>
          <w:lang w:bidi="ar-SA"/>
        </w:rPr>
        <w:t xml:space="preserve"> that have indicated consent to being included in this list</w:t>
      </w:r>
      <w:r w:rsidR="00286AC0" w:rsidRPr="00A60C73">
        <w:rPr>
          <w:lang w:bidi="ar-SA"/>
        </w:rPr>
        <w:t xml:space="preserve">. </w:t>
      </w:r>
      <w:r w:rsidR="009E118C">
        <w:rPr>
          <w:lang w:bidi="ar-SA"/>
        </w:rPr>
        <w:t xml:space="preserve">The executive summary will be a useful stand-alone document, which can be shared with other Federal agencies that are interested in </w:t>
      </w:r>
      <w:r w:rsidR="00A33C6D">
        <w:rPr>
          <w:lang w:bidi="ar-SA"/>
        </w:rPr>
        <w:t xml:space="preserve">tribal issues. </w:t>
      </w:r>
    </w:p>
    <w:p w14:paraId="6310E8C0" w14:textId="77777777" w:rsidR="00076CB4" w:rsidRPr="00A60C73" w:rsidRDefault="00076CB4" w:rsidP="00E65A3C"/>
    <w:p w14:paraId="1ABDF441" w14:textId="77777777" w:rsidR="00D55958" w:rsidRPr="00A60C73" w:rsidRDefault="00DC18EA" w:rsidP="00FF463C">
      <w:pPr>
        <w:pStyle w:val="Heading3"/>
      </w:pPr>
      <w:r w:rsidRPr="00A60C73">
        <w:t>A</w:t>
      </w:r>
      <w:r w:rsidR="00024EF4" w:rsidRPr="00A60C73">
        <w:t>.3.</w:t>
      </w:r>
      <w:r w:rsidR="00024EF4" w:rsidRPr="00A60C73">
        <w:tab/>
        <w:t>Use of Improved Information Technology</w:t>
      </w:r>
      <w:r w:rsidR="00D55958" w:rsidRPr="00A60C73">
        <w:t xml:space="preserve"> </w:t>
      </w:r>
    </w:p>
    <w:p w14:paraId="045027AD" w14:textId="77777777" w:rsidR="00C6026C" w:rsidRPr="00A60C73" w:rsidRDefault="00C6026C" w:rsidP="00E65A3C"/>
    <w:p w14:paraId="2E43E7AA" w14:textId="7E6CA315" w:rsidR="0095203E" w:rsidRPr="00A60C73" w:rsidRDefault="00D0431A" w:rsidP="00E65A3C">
      <w:r w:rsidRPr="00A60C73">
        <w:t xml:space="preserve">The </w:t>
      </w:r>
      <w:r w:rsidR="00E77C8A" w:rsidRPr="00A60C73">
        <w:t>ATALM</w:t>
      </w:r>
      <w:r w:rsidRPr="00A60C73">
        <w:t xml:space="preserve"> </w:t>
      </w:r>
      <w:r w:rsidR="00AB2F57" w:rsidRPr="00A60C73">
        <w:t xml:space="preserve">survey </w:t>
      </w:r>
      <w:r w:rsidRPr="00A60C73">
        <w:t xml:space="preserve">data </w:t>
      </w:r>
      <w:r w:rsidR="00C9597E" w:rsidRPr="00A60C73">
        <w:t>will be</w:t>
      </w:r>
      <w:r w:rsidRPr="00A60C73">
        <w:t xml:space="preserve"> co</w:t>
      </w:r>
      <w:r w:rsidR="00DE4F79" w:rsidRPr="00A60C73">
        <w:t>llected over the Internet via SurveyMonkey</w:t>
      </w:r>
      <w:r w:rsidR="00840E24" w:rsidRPr="00A60C73">
        <w:t xml:space="preserve">. </w:t>
      </w:r>
      <w:r w:rsidRPr="00A60C73">
        <w:t xml:space="preserve">The </w:t>
      </w:r>
      <w:r w:rsidR="00691374" w:rsidRPr="00A60C73">
        <w:t>survey instrument</w:t>
      </w:r>
      <w:r w:rsidRPr="00A60C73">
        <w:t xml:space="preserve"> includes </w:t>
      </w:r>
      <w:r w:rsidR="00691374" w:rsidRPr="00A60C73">
        <w:t xml:space="preserve">instructions, </w:t>
      </w:r>
      <w:r w:rsidRPr="00A60C73">
        <w:t xml:space="preserve">the </w:t>
      </w:r>
      <w:r w:rsidR="003830D0" w:rsidRPr="00A60C73">
        <w:t>questionnaire</w:t>
      </w:r>
      <w:r w:rsidRPr="00A60C73">
        <w:t>,</w:t>
      </w:r>
      <w:r w:rsidR="00691374" w:rsidRPr="00A60C73">
        <w:t xml:space="preserve"> and contact information in the event a respondent requires assistance</w:t>
      </w:r>
      <w:r w:rsidR="00840E24" w:rsidRPr="00A60C73">
        <w:t xml:space="preserve">. </w:t>
      </w:r>
      <w:r w:rsidR="0095203E" w:rsidRPr="00A60C73">
        <w:t xml:space="preserve">A separate glossary will be provided to address questions respondents may have about definitions of key terminology with notations on the survey to indicate terms respondents can find in the glossary. </w:t>
      </w:r>
      <w:r w:rsidR="00C57240">
        <w:t>The survey and associated glossary are shown in Appendix A.</w:t>
      </w:r>
    </w:p>
    <w:p w14:paraId="738E4429" w14:textId="77777777" w:rsidR="0095203E" w:rsidRPr="00A60C73" w:rsidRDefault="0095203E" w:rsidP="00E65A3C"/>
    <w:p w14:paraId="120EC4F5" w14:textId="296D4FCF" w:rsidR="00D0431A" w:rsidRPr="00A60C73" w:rsidRDefault="0B7E8244" w:rsidP="0B7E8244">
      <w:r>
        <w:t xml:space="preserve">The web survey is designed to minimize respondent burden, to improve the timeliness and quality of the data, and to require minimal follow-up for data problems. The questionnaire uses skip logic, a feature that changes what question a respondent sees next based on their answer to the current question, to reduce respondent burden and increase data reliability. </w:t>
      </w:r>
      <w:r w:rsidR="00BE38F5">
        <w:t>In Appendix A, instructions associated with skipping are shown on the survey</w:t>
      </w:r>
      <w:r w:rsidR="00036418">
        <w:t xml:space="preserve">. </w:t>
      </w:r>
      <w:r>
        <w:t xml:space="preserve">Many items will be answered by means of drop-down responses, which also reduces burden on respondents. Other items that ask for similar types of assessments have been grouped into matrices, to permit respondents to select radio buttons within appropriate response categories. </w:t>
      </w:r>
    </w:p>
    <w:p w14:paraId="12689A69" w14:textId="3CF550B0" w:rsidR="00756A1C" w:rsidRDefault="00756A1C" w:rsidP="00756A1C">
      <w:pPr>
        <w:pStyle w:val="ListParagraph"/>
        <w:numPr>
          <w:ilvl w:val="0"/>
          <w:numId w:val="4"/>
        </w:numPr>
      </w:pPr>
      <w:r w:rsidRPr="00A60C73">
        <w:t xml:space="preserve">There are </w:t>
      </w:r>
      <w:r w:rsidR="00FD0EB9" w:rsidRPr="00A60C73">
        <w:t>110</w:t>
      </w:r>
      <w:r w:rsidRPr="00A60C73">
        <w:t xml:space="preserve"> separate fixed-choice items (i.e. respondent will click a radio button or make a s</w:t>
      </w:r>
      <w:r w:rsidR="004D7294" w:rsidRPr="00A60C73">
        <w:t>election form a drop-down menu);</w:t>
      </w:r>
    </w:p>
    <w:p w14:paraId="40729E3D" w14:textId="1383CE1B" w:rsidR="00C748DB" w:rsidRPr="00A60C73" w:rsidRDefault="00744A8E" w:rsidP="00756A1C">
      <w:pPr>
        <w:pStyle w:val="ListParagraph"/>
        <w:numPr>
          <w:ilvl w:val="0"/>
          <w:numId w:val="4"/>
        </w:numPr>
      </w:pPr>
      <w:r>
        <w:t>There are seven additional items that are contingent on prior answer</w:t>
      </w:r>
      <w:r w:rsidR="00A1280F">
        <w:t xml:space="preserve"> plus </w:t>
      </w:r>
      <w:r w:rsidR="00A1280F" w:rsidRPr="00A60C73">
        <w:t>additional fixed-choice items for libraries only and one additional fixed-choice item for museums only;</w:t>
      </w:r>
    </w:p>
    <w:p w14:paraId="034EA461" w14:textId="309D7CA5" w:rsidR="004D7294" w:rsidRPr="00A60C73" w:rsidRDefault="00A1280F" w:rsidP="00756A1C">
      <w:pPr>
        <w:pStyle w:val="ListParagraph"/>
        <w:numPr>
          <w:ilvl w:val="0"/>
          <w:numId w:val="4"/>
        </w:numPr>
      </w:pPr>
      <w:r>
        <w:t>Six</w:t>
      </w:r>
      <w:r w:rsidR="004D7294" w:rsidRPr="00A60C73">
        <w:t xml:space="preserve"> items include an option for “Other” </w:t>
      </w:r>
      <w:r w:rsidR="00FD0EB9" w:rsidRPr="00A60C73">
        <w:t xml:space="preserve">with space for </w:t>
      </w:r>
      <w:r w:rsidR="004D7294" w:rsidRPr="00A60C73">
        <w:t>additional detail;</w:t>
      </w:r>
    </w:p>
    <w:p w14:paraId="3F64AE3E" w14:textId="431ABDC2" w:rsidR="004D7294" w:rsidRPr="00A60C73" w:rsidRDefault="004D7294" w:rsidP="00756A1C">
      <w:pPr>
        <w:pStyle w:val="ListParagraph"/>
        <w:numPr>
          <w:ilvl w:val="0"/>
          <w:numId w:val="4"/>
        </w:numPr>
      </w:pPr>
      <w:r w:rsidRPr="00A60C73">
        <w:t>T</w:t>
      </w:r>
      <w:r w:rsidR="3CEA5530" w:rsidRPr="00A60C73">
        <w:t xml:space="preserve">wo </w:t>
      </w:r>
      <w:r w:rsidRPr="00A60C73">
        <w:t>written response</w:t>
      </w:r>
      <w:r w:rsidR="00BE13C4" w:rsidRPr="00A60C73">
        <w:t xml:space="preserve"> boxes</w:t>
      </w:r>
      <w:r w:rsidR="00921EDD">
        <w:t xml:space="preserve"> are</w:t>
      </w:r>
      <w:r w:rsidRPr="00A60C73">
        <w:t xml:space="preserve"> </w:t>
      </w:r>
      <w:r w:rsidR="00BE13C4" w:rsidRPr="00A60C73">
        <w:t>provided</w:t>
      </w:r>
      <w:r w:rsidRPr="00A60C73">
        <w:t xml:space="preserve"> near the conclusion of the survey</w:t>
      </w:r>
      <w:r w:rsidR="00A1280F">
        <w:t xml:space="preserve"> – one short, the other about a paragraph</w:t>
      </w:r>
      <w:r w:rsidRPr="00A60C73">
        <w:t>;</w:t>
      </w:r>
    </w:p>
    <w:p w14:paraId="5A91B220" w14:textId="19F0B18E" w:rsidR="00756A1C" w:rsidRPr="00A60C73" w:rsidRDefault="0396A09B">
      <w:pPr>
        <w:pStyle w:val="ListParagraph"/>
        <w:numPr>
          <w:ilvl w:val="0"/>
          <w:numId w:val="4"/>
        </w:numPr>
      </w:pPr>
      <w:r w:rsidRPr="00A60C73">
        <w:t xml:space="preserve">Respondents </w:t>
      </w:r>
      <w:r w:rsidR="00921EDD">
        <w:t>are</w:t>
      </w:r>
      <w:r w:rsidRPr="00A60C73">
        <w:t xml:space="preserve"> asked to provide contact information at the end of the survey </w:t>
      </w:r>
      <w:r w:rsidR="00A1280F">
        <w:t xml:space="preserve">(nine separate pieces of information) </w:t>
      </w:r>
      <w:r w:rsidRPr="00A60C73">
        <w:t xml:space="preserve">to facilitate </w:t>
      </w:r>
      <w:r w:rsidR="0CA4853B" w:rsidRPr="00A60C73">
        <w:t xml:space="preserve">any necessary </w:t>
      </w:r>
      <w:r w:rsidRPr="00A60C73">
        <w:t xml:space="preserve">follow-up </w:t>
      </w:r>
      <w:r w:rsidR="0CA4853B" w:rsidRPr="00A60C73">
        <w:t xml:space="preserve">and to which a link to the final </w:t>
      </w:r>
      <w:r w:rsidR="56A24A7C" w:rsidRPr="00A60C73">
        <w:t xml:space="preserve">report can be sent. </w:t>
      </w:r>
    </w:p>
    <w:p w14:paraId="333A4C26" w14:textId="77777777" w:rsidR="00A1280F" w:rsidRDefault="00756A1C" w:rsidP="00756A1C">
      <w:pPr>
        <w:pStyle w:val="ListParagraph"/>
        <w:numPr>
          <w:ilvl w:val="0"/>
          <w:numId w:val="4"/>
        </w:numPr>
      </w:pPr>
      <w:r w:rsidRPr="00A60C73">
        <w:t xml:space="preserve">Questions asking potentially sensitive information </w:t>
      </w:r>
      <w:r w:rsidR="00490721" w:rsidRPr="00A60C73">
        <w:t>included</w:t>
      </w:r>
      <w:r w:rsidRPr="00A60C73">
        <w:t xml:space="preserve"> "prefer not to answer" </w:t>
      </w:r>
      <w:r w:rsidR="00490721" w:rsidRPr="00A60C73">
        <w:t>as a response category</w:t>
      </w:r>
      <w:r w:rsidR="00A1280F">
        <w:t>.</w:t>
      </w:r>
    </w:p>
    <w:p w14:paraId="42750F09" w14:textId="4430B799" w:rsidR="00756A1C" w:rsidRPr="00A60C73" w:rsidRDefault="00A1280F" w:rsidP="00756A1C">
      <w:pPr>
        <w:pStyle w:val="ListParagraph"/>
        <w:numPr>
          <w:ilvl w:val="0"/>
          <w:numId w:val="4"/>
        </w:numPr>
      </w:pPr>
      <w:r>
        <w:t>A</w:t>
      </w:r>
      <w:r w:rsidR="00490721" w:rsidRPr="00A60C73">
        <w:t xml:space="preserve"> </w:t>
      </w:r>
      <w:r w:rsidR="00756A1C" w:rsidRPr="00A60C73">
        <w:t xml:space="preserve">"Don't know" </w:t>
      </w:r>
      <w:r w:rsidR="00490721" w:rsidRPr="00A60C73">
        <w:t xml:space="preserve">response category </w:t>
      </w:r>
      <w:r w:rsidR="00921EDD">
        <w:t>i</w:t>
      </w:r>
      <w:r w:rsidR="00490721" w:rsidRPr="00A60C73">
        <w:t xml:space="preserve">s included to permit rapid skipping for items that might not be easily answered by respondents. </w:t>
      </w:r>
    </w:p>
    <w:p w14:paraId="5BA6ABD1" w14:textId="77777777" w:rsidR="00F43FC8" w:rsidRPr="00A60C73" w:rsidRDefault="00F43FC8" w:rsidP="00E65A3C"/>
    <w:p w14:paraId="23D35556" w14:textId="3843CA7B" w:rsidR="005029B9" w:rsidRPr="00A60C73" w:rsidRDefault="00F43FC8" w:rsidP="00E65A3C">
      <w:r w:rsidRPr="00A60C73">
        <w:t xml:space="preserve">Survey responses </w:t>
      </w:r>
      <w:r w:rsidR="002E2E0A" w:rsidRPr="00A60C73">
        <w:t xml:space="preserve">will be </w:t>
      </w:r>
      <w:r w:rsidRPr="00A60C73">
        <w:t xml:space="preserve">collected </w:t>
      </w:r>
      <w:r w:rsidR="00EA076B" w:rsidRPr="00A60C73">
        <w:t>using SurveyMonkey</w:t>
      </w:r>
      <w:r w:rsidR="009E538C" w:rsidRPr="00A60C73">
        <w:t xml:space="preserve">, with links sent via e-mail from an ATALM address with </w:t>
      </w:r>
      <w:r w:rsidR="00FD0EB9" w:rsidRPr="00A60C73">
        <w:t>a unique identifier provided to each respondent</w:t>
      </w:r>
      <w:r w:rsidR="00EA076B" w:rsidRPr="00A60C73">
        <w:t xml:space="preserve"> to</w:t>
      </w:r>
      <w:r w:rsidRPr="00A60C73">
        <w:t xml:space="preserve"> </w:t>
      </w:r>
      <w:r w:rsidR="00FD0EB9" w:rsidRPr="00A60C73">
        <w:t xml:space="preserve">permit </w:t>
      </w:r>
      <w:r w:rsidRPr="00A60C73">
        <w:t>track</w:t>
      </w:r>
      <w:r w:rsidR="00FD0EB9" w:rsidRPr="00A60C73">
        <w:t>ing</w:t>
      </w:r>
      <w:r w:rsidRPr="00A60C73">
        <w:t xml:space="preserve"> </w:t>
      </w:r>
      <w:r w:rsidR="009E538C" w:rsidRPr="00A60C73">
        <w:t xml:space="preserve">to </w:t>
      </w:r>
      <w:r w:rsidR="00B64AC7" w:rsidRPr="00A60C73">
        <w:t xml:space="preserve">facilitate </w:t>
      </w:r>
      <w:r w:rsidR="00EA076B" w:rsidRPr="00A60C73">
        <w:t xml:space="preserve">focused </w:t>
      </w:r>
      <w:r w:rsidR="00B64AC7" w:rsidRPr="00A60C73">
        <w:t>follow-up</w:t>
      </w:r>
      <w:r w:rsidR="00703376">
        <w:t xml:space="preserve"> associated with either non-response or other data entry questions</w:t>
      </w:r>
      <w:r w:rsidR="00B64AC7" w:rsidRPr="00A60C73">
        <w:t>. Collector</w:t>
      </w:r>
      <w:r w:rsidRPr="00A60C73">
        <w:t xml:space="preserve"> options will limit access to the pre-determined list of </w:t>
      </w:r>
      <w:r w:rsidR="00921EDD">
        <w:t xml:space="preserve">project </w:t>
      </w:r>
      <w:r w:rsidRPr="00A60C73">
        <w:t>directors/lead staff of identified tribal archives, libraries, and museums</w:t>
      </w:r>
      <w:r w:rsidR="00840E24" w:rsidRPr="00A60C73">
        <w:t xml:space="preserve">. </w:t>
      </w:r>
    </w:p>
    <w:p w14:paraId="24D05890" w14:textId="77777777" w:rsidR="009B7D74" w:rsidRPr="00A60C73" w:rsidRDefault="009B7D74" w:rsidP="00E65A3C"/>
    <w:p w14:paraId="1A29693D" w14:textId="7665A7D1" w:rsidR="00FD0EB9" w:rsidRPr="00A60C73" w:rsidRDefault="00FD0EB9" w:rsidP="00E65A3C">
      <w:r w:rsidRPr="00A60C73">
        <w:t xml:space="preserve">The e-mail conveying the SurveyMonkey link and unique identifier, will also include a glossary of terms </w:t>
      </w:r>
      <w:r w:rsidR="001D7998" w:rsidRPr="00A60C73">
        <w:t>and</w:t>
      </w:r>
      <w:r w:rsidRPr="00A60C73">
        <w:t xml:space="preserve"> a PDF version of the survey (as shown in Appendix A)</w:t>
      </w:r>
      <w:r w:rsidR="001C786C" w:rsidRPr="00A60C73">
        <w:t xml:space="preserve"> to facilitate respondents’ </w:t>
      </w:r>
      <w:r w:rsidR="00A97598" w:rsidRPr="00A60C73">
        <w:t>completion</w:t>
      </w:r>
      <w:r w:rsidRPr="00A60C73">
        <w:t xml:space="preserve">. For those </w:t>
      </w:r>
      <w:r w:rsidR="007A7A5E" w:rsidRPr="00A60C73">
        <w:t>respondents who prefer to do so</w:t>
      </w:r>
      <w:r w:rsidRPr="00A60C73">
        <w:t xml:space="preserve">, the option of sending in a survey completed by hand will be available. </w:t>
      </w:r>
    </w:p>
    <w:p w14:paraId="77FD5AB3" w14:textId="1BE66C93" w:rsidR="00D0431A" w:rsidRPr="00A60C73" w:rsidRDefault="00D0431A" w:rsidP="00E65A3C"/>
    <w:p w14:paraId="4D8D757F" w14:textId="610CD813" w:rsidR="00C344E0" w:rsidRPr="00A60C73" w:rsidRDefault="0B7E8244" w:rsidP="00E65A3C">
      <w:r>
        <w:t xml:space="preserve">The final report will be released in digital format on the ATALM website and distributed electronically to ATALM members, survey participants, and IMLS. </w:t>
      </w:r>
    </w:p>
    <w:p w14:paraId="46E15557" w14:textId="6E4BD1AC" w:rsidR="00FB22F0" w:rsidRPr="00A60C73" w:rsidRDefault="00FB22F0" w:rsidP="00E65A3C"/>
    <w:p w14:paraId="4D93BA07" w14:textId="77777777" w:rsidR="00D55958" w:rsidRPr="00A60C73" w:rsidRDefault="00DC18EA" w:rsidP="00FF463C">
      <w:pPr>
        <w:pStyle w:val="Heading3"/>
      </w:pPr>
      <w:r w:rsidRPr="00A60C73">
        <w:t>A</w:t>
      </w:r>
      <w:r w:rsidR="00024EF4" w:rsidRPr="00A60C73">
        <w:t>.</w:t>
      </w:r>
      <w:r w:rsidR="00D55958" w:rsidRPr="00A60C73">
        <w:t>4.</w:t>
      </w:r>
      <w:r w:rsidR="00024EF4" w:rsidRPr="00A60C73">
        <w:tab/>
        <w:t>Efforts to Identify Duplication</w:t>
      </w:r>
    </w:p>
    <w:p w14:paraId="37548D10" w14:textId="51C19CB4" w:rsidR="00D55958" w:rsidRPr="00A60C73" w:rsidRDefault="00D55958" w:rsidP="00E65A3C"/>
    <w:p w14:paraId="6B1992E9" w14:textId="63CE0B91" w:rsidR="005F5736" w:rsidRPr="00A60C73" w:rsidRDefault="005466AC" w:rsidP="00AE23D7">
      <w:r w:rsidRPr="00A60C73">
        <w:t xml:space="preserve">ATALM is </w:t>
      </w:r>
      <w:r w:rsidR="00277CB6" w:rsidRPr="00A60C73">
        <w:t xml:space="preserve">one of </w:t>
      </w:r>
      <w:r w:rsidR="00BE13C4" w:rsidRPr="00A60C73">
        <w:t xml:space="preserve">the </w:t>
      </w:r>
      <w:r w:rsidRPr="00A60C73">
        <w:t>only</w:t>
      </w:r>
      <w:r w:rsidR="00277CB6" w:rsidRPr="00A60C73">
        <w:t xml:space="preserve"> </w:t>
      </w:r>
      <w:r w:rsidR="0028698B" w:rsidRPr="00A60C73">
        <w:t>organizations</w:t>
      </w:r>
      <w:r w:rsidRPr="00A60C73">
        <w:t xml:space="preserve"> </w:t>
      </w:r>
      <w:r w:rsidR="00BE13C4" w:rsidRPr="00A60C73">
        <w:t xml:space="preserve">that </w:t>
      </w:r>
      <w:r w:rsidRPr="00A60C73">
        <w:t>collect</w:t>
      </w:r>
      <w:r w:rsidR="00BE13C4" w:rsidRPr="00A60C73">
        <w:t>s</w:t>
      </w:r>
      <w:r w:rsidRPr="00A60C73">
        <w:t xml:space="preserve"> data on the activities and needs of U</w:t>
      </w:r>
      <w:r w:rsidR="005C7846" w:rsidRPr="00A60C73">
        <w:t>.</w:t>
      </w:r>
      <w:r w:rsidRPr="00A60C73">
        <w:t>S</w:t>
      </w:r>
      <w:r w:rsidR="005C7846" w:rsidRPr="00A60C73">
        <w:t>.</w:t>
      </w:r>
      <w:r w:rsidRPr="00A60C73">
        <w:t xml:space="preserve">-based </w:t>
      </w:r>
      <w:r w:rsidR="00BE38F5">
        <w:t>tribal</w:t>
      </w:r>
      <w:r w:rsidRPr="00A60C73">
        <w:t xml:space="preserve"> cultural </w:t>
      </w:r>
      <w:r w:rsidR="00DE1A92" w:rsidRPr="00A60C73">
        <w:t>organization</w:t>
      </w:r>
      <w:r w:rsidRPr="00A60C73">
        <w:t>s</w:t>
      </w:r>
      <w:r w:rsidR="0028698B" w:rsidRPr="00A60C73">
        <w:t xml:space="preserve"> of various types</w:t>
      </w:r>
      <w:r w:rsidRPr="00A60C73">
        <w:t xml:space="preserve">. </w:t>
      </w:r>
      <w:r w:rsidR="00AE23D7" w:rsidRPr="00A60C73">
        <w:t>As noted in section A1</w:t>
      </w:r>
      <w:r w:rsidR="00EB188F" w:rsidRPr="00A60C73">
        <w:t>c</w:t>
      </w:r>
      <w:r w:rsidR="00AE23D7" w:rsidRPr="00A60C73">
        <w:t xml:space="preserve"> above, in many cases</w:t>
      </w:r>
      <w:r w:rsidR="005029B9" w:rsidRPr="00A60C73">
        <w:t>,</w:t>
      </w:r>
      <w:r w:rsidR="00AE23D7" w:rsidRPr="00A60C73">
        <w:t xml:space="preserve"> </w:t>
      </w:r>
      <w:r w:rsidR="00DE1A92" w:rsidRPr="00A60C73">
        <w:t>tribal cultural organization</w:t>
      </w:r>
      <w:r w:rsidR="00AE23D7" w:rsidRPr="00A60C73">
        <w:t xml:space="preserve">s may </w:t>
      </w:r>
      <w:r w:rsidR="005029B9" w:rsidRPr="00A60C73">
        <w:t xml:space="preserve">have </w:t>
      </w:r>
      <w:r w:rsidR="00AE23D7" w:rsidRPr="00A60C73">
        <w:t>be</w:t>
      </w:r>
      <w:r w:rsidR="005029B9" w:rsidRPr="00A60C73">
        <w:t>en</w:t>
      </w:r>
      <w:r w:rsidR="00AE23D7" w:rsidRPr="00A60C73">
        <w:t xml:space="preserve"> included in other studies, but the relatively small number of </w:t>
      </w:r>
      <w:r w:rsidR="005029B9" w:rsidRPr="00A60C73">
        <w:t xml:space="preserve">respondents </w:t>
      </w:r>
      <w:r w:rsidR="00FD0EB9" w:rsidRPr="00A60C73">
        <w:t xml:space="preserve">does not permit robust </w:t>
      </w:r>
      <w:r w:rsidR="00AE23D7" w:rsidRPr="00A60C73">
        <w:t xml:space="preserve">analyses. </w:t>
      </w:r>
    </w:p>
    <w:p w14:paraId="7A0D2A2B" w14:textId="77777777" w:rsidR="005F5736" w:rsidRPr="00A60C73" w:rsidRDefault="005F5736" w:rsidP="00AE23D7"/>
    <w:p w14:paraId="21029F28" w14:textId="6904D94A" w:rsidR="00AE23D7" w:rsidRPr="00A60C73" w:rsidRDefault="0B7E8244" w:rsidP="00AE23D7">
      <w:r>
        <w:t xml:space="preserve">At the federal level, the IMLS annual Public Libraries Survey (PLS) includes data for tribally-controlled libraries in just six of the 50 U.S. states that report PLS data, representing a limited geographic frame for tribal public libraries. The 2016-2017 Academic Libraries Survey component of the Integrated Postsecondary Education Data System (IPEDS) includes data for 34 tribal institutions and is another federal data collection that focuses exclusively on libraries.  However, it does not include data on tribal museums or archives. PLS and IPEDS combined provide data for about 100 tribal libraries. However, an analysis of IMLS awarded grants found that well over </w:t>
      </w:r>
      <w:r w:rsidR="00703376">
        <w:t>300</w:t>
      </w:r>
      <w:r>
        <w:t xml:space="preserve"> tribes operate libraries, suggesting that the coverage on these other two federal data collections is highly limited.  Furthermore, the proposed survey includes many items that are not included on these other Federal collections, especially about the unique challenges, needs, and operations of tribal cultural organizations.  </w:t>
      </w:r>
    </w:p>
    <w:p w14:paraId="7CA098AB" w14:textId="77777777" w:rsidR="00AE23D7" w:rsidRPr="00A60C73" w:rsidRDefault="00AE23D7" w:rsidP="00E65A3C"/>
    <w:p w14:paraId="7A9646C5" w14:textId="5C6127DB" w:rsidR="000E4EAF" w:rsidRDefault="00BE13C4" w:rsidP="0B7E8244">
      <w:pPr>
        <w:rPr>
          <w:rStyle w:val="Hyperlink"/>
          <w:color w:val="auto"/>
          <w:u w:val="none"/>
        </w:rPr>
      </w:pPr>
      <w:r w:rsidRPr="00A60C73">
        <w:t xml:space="preserve">In addition to </w:t>
      </w:r>
      <w:r w:rsidR="005F5736" w:rsidRPr="00A60C73">
        <w:t xml:space="preserve">these </w:t>
      </w:r>
      <w:r w:rsidRPr="00A60C73">
        <w:t xml:space="preserve">federal efforts, </w:t>
      </w:r>
      <w:r w:rsidR="0028698B" w:rsidRPr="00A60C73">
        <w:rPr>
          <w:rStyle w:val="Hyperlink"/>
          <w:color w:val="auto"/>
          <w:u w:val="none"/>
        </w:rPr>
        <w:t xml:space="preserve">two other recent surveys were fielded to </w:t>
      </w:r>
      <w:r w:rsidR="00DE1A92" w:rsidRPr="00A60C73">
        <w:rPr>
          <w:rStyle w:val="Hyperlink"/>
          <w:color w:val="auto"/>
          <w:u w:val="none"/>
        </w:rPr>
        <w:t>tribal cultural organization</w:t>
      </w:r>
      <w:r w:rsidR="0028698B" w:rsidRPr="00A60C73">
        <w:rPr>
          <w:rStyle w:val="Hyperlink"/>
          <w:color w:val="auto"/>
          <w:u w:val="none"/>
        </w:rPr>
        <w:t>s. First,</w:t>
      </w:r>
      <w:r w:rsidR="005029B9" w:rsidRPr="00A60C73">
        <w:rPr>
          <w:rStyle w:val="Hyperlink"/>
          <w:color w:val="auto"/>
          <w:u w:val="none"/>
        </w:rPr>
        <w:t xml:space="preserve"> </w:t>
      </w:r>
      <w:r w:rsidR="0028698B" w:rsidRPr="00A60C73">
        <w:rPr>
          <w:rStyle w:val="Hyperlink"/>
          <w:color w:val="auto"/>
          <w:u w:val="none"/>
        </w:rPr>
        <w:t xml:space="preserve">the American Indian Library Association emailed </w:t>
      </w:r>
      <w:r w:rsidR="00EB188F" w:rsidRPr="00A60C73">
        <w:rPr>
          <w:rStyle w:val="Hyperlink"/>
          <w:color w:val="auto"/>
          <w:u w:val="none"/>
        </w:rPr>
        <w:t xml:space="preserve">surveys </w:t>
      </w:r>
      <w:r w:rsidR="0028698B" w:rsidRPr="00A60C73">
        <w:rPr>
          <w:rStyle w:val="Hyperlink"/>
          <w:color w:val="auto"/>
          <w:u w:val="none"/>
        </w:rPr>
        <w:t xml:space="preserve">to potential respondents in September 2018 </w:t>
      </w:r>
      <w:r w:rsidR="002E4603" w:rsidRPr="00A60C73">
        <w:rPr>
          <w:rStyle w:val="Hyperlink"/>
          <w:color w:val="auto"/>
          <w:u w:val="none"/>
        </w:rPr>
        <w:t xml:space="preserve">in order </w:t>
      </w:r>
      <w:r w:rsidR="0028698B" w:rsidRPr="00A60C73">
        <w:rPr>
          <w:rStyle w:val="Hyperlink"/>
          <w:color w:val="auto"/>
          <w:u w:val="none"/>
        </w:rPr>
        <w:t>to assemble a directory of tribal libraries. (</w:t>
      </w:r>
      <w:hyperlink r:id="rId16" w:history="1">
        <w:r w:rsidR="0028698B" w:rsidRPr="00A60C73">
          <w:rPr>
            <w:rStyle w:val="Hyperlink"/>
          </w:rPr>
          <w:t>https://ailanet.org</w:t>
        </w:r>
      </w:hyperlink>
      <w:r w:rsidR="0028698B" w:rsidRPr="00A60C73">
        <w:rPr>
          <w:rStyle w:val="Hyperlink"/>
          <w:color w:val="auto"/>
          <w:u w:val="none"/>
        </w:rPr>
        <w:t xml:space="preserve">). Second, </w:t>
      </w:r>
      <w:r w:rsidR="00EB188F" w:rsidRPr="00A60C73">
        <w:rPr>
          <w:rStyle w:val="Hyperlink"/>
          <w:color w:val="auto"/>
          <w:u w:val="none"/>
        </w:rPr>
        <w:t>ATALM</w:t>
      </w:r>
      <w:r w:rsidR="0069551B" w:rsidRPr="00A60C73">
        <w:rPr>
          <w:rStyle w:val="FootnoteReference"/>
        </w:rPr>
        <w:footnoteReference w:id="4"/>
      </w:r>
      <w:r w:rsidR="00EB188F" w:rsidRPr="00A60C73">
        <w:rPr>
          <w:rStyle w:val="Hyperlink"/>
          <w:color w:val="auto"/>
          <w:u w:val="none"/>
        </w:rPr>
        <w:t xml:space="preserve"> administered a survey in </w:t>
      </w:r>
      <w:r w:rsidR="0028698B" w:rsidRPr="00A60C73">
        <w:rPr>
          <w:rStyle w:val="Hyperlink"/>
          <w:color w:val="auto"/>
          <w:u w:val="none"/>
        </w:rPr>
        <w:t>November-December 2018 to its members titled “Cultural Facilities in Native Communities: Present &amp; Future.” Data analysis and reporting are in progress with these data.</w:t>
      </w:r>
      <w:r w:rsidR="009B7D74" w:rsidRPr="00A60C73">
        <w:rPr>
          <w:rStyle w:val="Hyperlink"/>
          <w:color w:val="auto"/>
          <w:u w:val="none"/>
        </w:rPr>
        <w:t xml:space="preserve"> </w:t>
      </w:r>
      <w:r w:rsidR="0021549F" w:rsidRPr="00A60C73">
        <w:rPr>
          <w:rStyle w:val="Hyperlink"/>
          <w:color w:val="auto"/>
          <w:u w:val="none"/>
        </w:rPr>
        <w:t xml:space="preserve">This recent ATALM survey was focused exclusively on facilities, and none of its substantive questions are repeated in the proposed questionnaire. </w:t>
      </w:r>
    </w:p>
    <w:p w14:paraId="35B7D64C" w14:textId="77777777" w:rsidR="000E4EAF" w:rsidRDefault="000E4EAF" w:rsidP="2D0F1141">
      <w:pPr>
        <w:rPr>
          <w:rStyle w:val="Hyperlink"/>
          <w:color w:val="auto"/>
          <w:u w:val="none"/>
        </w:rPr>
      </w:pPr>
    </w:p>
    <w:p w14:paraId="39F17BFF" w14:textId="045DD43E" w:rsidR="00EB188F" w:rsidRPr="00A60C73" w:rsidRDefault="009B7D74" w:rsidP="2D0F1141">
      <w:pPr>
        <w:rPr>
          <w:bCs/>
        </w:rPr>
      </w:pPr>
      <w:r w:rsidRPr="00A60C73">
        <w:rPr>
          <w:rStyle w:val="Hyperlink"/>
          <w:color w:val="auto"/>
          <w:u w:val="none"/>
        </w:rPr>
        <w:t xml:space="preserve">The proposed survey covers a number of important dimensions of interest to ATALM, IMLS, and </w:t>
      </w:r>
      <w:r w:rsidR="00DE1A92" w:rsidRPr="00A60C73">
        <w:rPr>
          <w:rStyle w:val="Hyperlink"/>
          <w:color w:val="auto"/>
          <w:u w:val="none"/>
        </w:rPr>
        <w:t>tribal cultural organization</w:t>
      </w:r>
      <w:r w:rsidRPr="00A60C73">
        <w:rPr>
          <w:rStyle w:val="Hyperlink"/>
          <w:color w:val="auto"/>
          <w:u w:val="none"/>
        </w:rPr>
        <w:t xml:space="preserve"> stakeholders about how they interact with their communities, their needs</w:t>
      </w:r>
      <w:r w:rsidR="005A11FD">
        <w:rPr>
          <w:rStyle w:val="Hyperlink"/>
          <w:color w:val="auto"/>
          <w:u w:val="none"/>
        </w:rPr>
        <w:t>,</w:t>
      </w:r>
      <w:r w:rsidRPr="00A60C73">
        <w:rPr>
          <w:rStyle w:val="Hyperlink"/>
          <w:color w:val="auto"/>
          <w:u w:val="none"/>
        </w:rPr>
        <w:t xml:space="preserve"> and challenges. Additionally, the proposed survey</w:t>
      </w:r>
      <w:r w:rsidR="001C0238" w:rsidRPr="00A60C73">
        <w:rPr>
          <w:rStyle w:val="Hyperlink"/>
          <w:color w:val="auto"/>
          <w:u w:val="none"/>
        </w:rPr>
        <w:t xml:space="preserve"> </w:t>
      </w:r>
      <w:r w:rsidRPr="00A60C73">
        <w:rPr>
          <w:rStyle w:val="Hyperlink"/>
          <w:color w:val="auto"/>
          <w:u w:val="none"/>
        </w:rPr>
        <w:t xml:space="preserve">will </w:t>
      </w:r>
      <w:r w:rsidR="001C0238" w:rsidRPr="00A60C73">
        <w:rPr>
          <w:rStyle w:val="Hyperlink"/>
          <w:color w:val="auto"/>
          <w:u w:val="none"/>
        </w:rPr>
        <w:t xml:space="preserve">permit analyses of </w:t>
      </w:r>
      <w:r w:rsidRPr="00A60C73">
        <w:rPr>
          <w:rStyle w:val="Hyperlink"/>
          <w:color w:val="auto"/>
          <w:u w:val="none"/>
        </w:rPr>
        <w:t xml:space="preserve">similarities and differences across </w:t>
      </w:r>
      <w:r w:rsidR="00DE1A92" w:rsidRPr="00A60C73">
        <w:rPr>
          <w:rStyle w:val="Hyperlink"/>
          <w:color w:val="auto"/>
          <w:u w:val="none"/>
        </w:rPr>
        <w:t>tribal cultural organization</w:t>
      </w:r>
      <w:r w:rsidRPr="00A60C73">
        <w:rPr>
          <w:rStyle w:val="Hyperlink"/>
          <w:color w:val="auto"/>
          <w:u w:val="none"/>
        </w:rPr>
        <w:t xml:space="preserve">s based on key factors such as (but not limited to) budget level, geographic location, types of collections and services provided to their communities. </w:t>
      </w:r>
      <w:r w:rsidR="0069551B" w:rsidRPr="00A60C73">
        <w:rPr>
          <w:rStyle w:val="Hyperlink"/>
          <w:color w:val="auto"/>
          <w:u w:val="none"/>
        </w:rPr>
        <w:t xml:space="preserve"> </w:t>
      </w:r>
    </w:p>
    <w:p w14:paraId="0A2B9473" w14:textId="77777777" w:rsidR="00B91628" w:rsidRPr="00A60C73" w:rsidRDefault="00B91628" w:rsidP="00E65A3C"/>
    <w:p w14:paraId="44EABA39" w14:textId="77777777" w:rsidR="00D55958" w:rsidRPr="00A60C73" w:rsidRDefault="00024EF4" w:rsidP="00FF463C">
      <w:pPr>
        <w:pStyle w:val="Heading3"/>
      </w:pPr>
      <w:r w:rsidRPr="00A60C73">
        <w:t>A.5.</w:t>
      </w:r>
      <w:r w:rsidRPr="00A60C73">
        <w:tab/>
        <w:t>Method Used to Minimize Burden on Small Businesses</w:t>
      </w:r>
    </w:p>
    <w:p w14:paraId="7BF6EA41" w14:textId="77777777" w:rsidR="00D55958" w:rsidRPr="00A60C73" w:rsidRDefault="00D55958" w:rsidP="00E65A3C"/>
    <w:p w14:paraId="4A85BFBE" w14:textId="528DD024" w:rsidR="00E14898" w:rsidRPr="00A60C73" w:rsidRDefault="00E14898" w:rsidP="00E65A3C">
      <w:r w:rsidRPr="00A60C73">
        <w:t xml:space="preserve">There will be no impact on small businesses or other small entities. The collection of information involves </w:t>
      </w:r>
      <w:r w:rsidR="00D0431A" w:rsidRPr="00A60C73">
        <w:t xml:space="preserve">only </w:t>
      </w:r>
      <w:r w:rsidR="00B81C1B" w:rsidRPr="00A60C73">
        <w:t xml:space="preserve">tribally-affiliated cultural </w:t>
      </w:r>
      <w:r w:rsidR="00DE1A92" w:rsidRPr="00A60C73">
        <w:t>organization</w:t>
      </w:r>
      <w:r w:rsidR="00B81C1B" w:rsidRPr="00A60C73">
        <w:t>s.</w:t>
      </w:r>
    </w:p>
    <w:p w14:paraId="0819A6E1" w14:textId="77777777" w:rsidR="00FB22F0" w:rsidRPr="00A60C73" w:rsidRDefault="00FB22F0" w:rsidP="00E65A3C"/>
    <w:p w14:paraId="5B23CAD2" w14:textId="77777777" w:rsidR="00024EF4" w:rsidRPr="00A60C73" w:rsidRDefault="00DC18EA" w:rsidP="00FF463C">
      <w:pPr>
        <w:pStyle w:val="Heading3"/>
      </w:pPr>
      <w:r w:rsidRPr="00A60C73">
        <w:t>A</w:t>
      </w:r>
      <w:r w:rsidR="00024EF4" w:rsidRPr="00A60C73">
        <w:t>.</w:t>
      </w:r>
      <w:r w:rsidR="00D55958" w:rsidRPr="00A60C73">
        <w:t>6.</w:t>
      </w:r>
      <w:r w:rsidR="00024EF4" w:rsidRPr="00A60C73">
        <w:tab/>
        <w:t>Frequency of Data Collection</w:t>
      </w:r>
    </w:p>
    <w:p w14:paraId="0728C644" w14:textId="77777777" w:rsidR="00AE3147" w:rsidRPr="00A60C73" w:rsidRDefault="00AE3147" w:rsidP="00E65A3C"/>
    <w:p w14:paraId="424AC85D" w14:textId="58D04BD8" w:rsidR="007A7711" w:rsidRPr="00A60C73" w:rsidRDefault="00AE3147" w:rsidP="00E65A3C">
      <w:r w:rsidRPr="00A60C73">
        <w:t>The 2012 surv</w:t>
      </w:r>
      <w:r w:rsidR="00871212" w:rsidRPr="00A60C73">
        <w:t xml:space="preserve">ey </w:t>
      </w:r>
      <w:r w:rsidRPr="00A60C73">
        <w:t>collect</w:t>
      </w:r>
      <w:r w:rsidR="00871212" w:rsidRPr="00A60C73">
        <w:t>ed</w:t>
      </w:r>
      <w:r w:rsidRPr="00A60C73">
        <w:t xml:space="preserve"> benchmark data on the ac</w:t>
      </w:r>
      <w:r w:rsidR="00CF4F91" w:rsidRPr="00A60C73">
        <w:t xml:space="preserve">tivities and </w:t>
      </w:r>
      <w:r w:rsidR="003E40E3" w:rsidRPr="00A60C73">
        <w:t>needs of in</w:t>
      </w:r>
      <w:r w:rsidR="00CF4F91" w:rsidRPr="00A60C73">
        <w:t xml:space="preserve">digenous cultural </w:t>
      </w:r>
      <w:r w:rsidR="00DE1A92" w:rsidRPr="00A60C73">
        <w:t>organization</w:t>
      </w:r>
      <w:r w:rsidR="00CF4F91" w:rsidRPr="00A60C73">
        <w:t xml:space="preserve">s. The </w:t>
      </w:r>
      <w:r w:rsidR="00456051" w:rsidRPr="00A60C73">
        <w:t>2019</w:t>
      </w:r>
      <w:r w:rsidR="00CF4F91" w:rsidRPr="00A60C73">
        <w:t xml:space="preserve"> survey incorporates many questions</w:t>
      </w:r>
      <w:r w:rsidR="00871212" w:rsidRPr="00A60C73">
        <w:t xml:space="preserve"> </w:t>
      </w:r>
      <w:r w:rsidR="00EA076B" w:rsidRPr="00A60C73">
        <w:t xml:space="preserve">that were asked of </w:t>
      </w:r>
      <w:r w:rsidR="00DE1A92" w:rsidRPr="00A60C73">
        <w:t>tribal cultural organization</w:t>
      </w:r>
      <w:r w:rsidR="00EA076B" w:rsidRPr="00A60C73">
        <w:t xml:space="preserve">s by ATALM, so </w:t>
      </w:r>
      <w:r w:rsidR="00871212" w:rsidRPr="00A60C73">
        <w:t xml:space="preserve">comparative analysis </w:t>
      </w:r>
      <w:r w:rsidR="00EA076B" w:rsidRPr="00A60C73">
        <w:t xml:space="preserve">with previous data will provide insights to </w:t>
      </w:r>
      <w:r w:rsidR="00DE1A92" w:rsidRPr="00A60C73">
        <w:t>tribal cultural organization</w:t>
      </w:r>
      <w:r w:rsidR="00EA076B" w:rsidRPr="00A60C73">
        <w:t xml:space="preserve"> stakeholders about recent trends.</w:t>
      </w:r>
      <w:r w:rsidR="00CF4F91" w:rsidRPr="00A60C73">
        <w:t xml:space="preserve"> </w:t>
      </w:r>
      <w:r w:rsidR="00EA076B" w:rsidRPr="00A60C73">
        <w:t xml:space="preserve">The </w:t>
      </w:r>
      <w:r w:rsidR="00456051" w:rsidRPr="00A60C73">
        <w:t>2019</w:t>
      </w:r>
      <w:r w:rsidR="00EA076B" w:rsidRPr="00A60C73">
        <w:t xml:space="preserve"> survey will then be used to plan for future surveys, with such planning taking into consideration the possible burden on respondents and value of information to inform the decision about the appropriate frequency of data collection. </w:t>
      </w:r>
    </w:p>
    <w:p w14:paraId="49F57153" w14:textId="77777777" w:rsidR="000726F3" w:rsidRPr="00A60C73" w:rsidRDefault="000726F3" w:rsidP="00E65A3C"/>
    <w:p w14:paraId="68095950" w14:textId="77777777" w:rsidR="00D55958" w:rsidRPr="00A60C73" w:rsidRDefault="00024EF4" w:rsidP="00FF463C">
      <w:pPr>
        <w:pStyle w:val="Heading3"/>
      </w:pPr>
      <w:r w:rsidRPr="00A60C73">
        <w:t>A.7.</w:t>
      </w:r>
      <w:r w:rsidRPr="00A60C73">
        <w:tab/>
        <w:t>Special Circumstances of Data Collection</w:t>
      </w:r>
    </w:p>
    <w:p w14:paraId="49B43BF0" w14:textId="77777777" w:rsidR="00D55958" w:rsidRPr="00A60C73" w:rsidRDefault="00D55958" w:rsidP="00E65A3C"/>
    <w:p w14:paraId="226C32EB" w14:textId="77777777" w:rsidR="00C344E0" w:rsidRPr="00A60C73" w:rsidRDefault="00DC18EA" w:rsidP="00E65A3C">
      <w:r w:rsidRPr="00A60C73">
        <w:t>No special circumstances require the collection to be conducted in a manner inconsistent with the guidelines in 5 CFR 1320.6.</w:t>
      </w:r>
    </w:p>
    <w:p w14:paraId="2BEA14D9" w14:textId="77777777" w:rsidR="00FB22F0" w:rsidRDefault="00FB22F0" w:rsidP="00E65A3C"/>
    <w:p w14:paraId="4E139B9A" w14:textId="77777777" w:rsidR="000E4EAF" w:rsidRPr="00A60C73" w:rsidRDefault="000E4EAF" w:rsidP="00E65A3C"/>
    <w:p w14:paraId="4E2E9A81" w14:textId="77777777" w:rsidR="00D55958" w:rsidRPr="00A60C73" w:rsidRDefault="00C74C0E" w:rsidP="00FF463C">
      <w:pPr>
        <w:pStyle w:val="Heading3"/>
      </w:pPr>
      <w:r w:rsidRPr="00A60C73">
        <w:t>A.8.</w:t>
      </w:r>
      <w:r w:rsidRPr="00A60C73">
        <w:tab/>
        <w:t>Consultation and Feedback from Outside the Agency</w:t>
      </w:r>
    </w:p>
    <w:p w14:paraId="6CEA2040" w14:textId="77777777" w:rsidR="00C74C0E" w:rsidRPr="00A60C73" w:rsidRDefault="00C74C0E" w:rsidP="00E65A3C"/>
    <w:p w14:paraId="6CE42BD6" w14:textId="77777777" w:rsidR="00C74C0E" w:rsidRPr="00A60C73" w:rsidRDefault="00C74C0E" w:rsidP="00E65A3C">
      <w:r w:rsidRPr="00A60C73">
        <w:t>A.8.1.</w:t>
      </w:r>
      <w:r w:rsidRPr="00A60C73">
        <w:tab/>
        <w:t xml:space="preserve">Public comments solicited through </w:t>
      </w:r>
      <w:r w:rsidRPr="00A60C73">
        <w:rPr>
          <w:i/>
        </w:rPr>
        <w:t>Federal Register</w:t>
      </w:r>
    </w:p>
    <w:p w14:paraId="0872A2DD" w14:textId="77777777" w:rsidR="009F4E6B" w:rsidRPr="00A60C73" w:rsidRDefault="009F4E6B" w:rsidP="00E65A3C"/>
    <w:p w14:paraId="30DE9DFA" w14:textId="7681EB70" w:rsidR="009F4E6B" w:rsidRPr="00A60C73" w:rsidRDefault="009F4E6B" w:rsidP="00E65A3C">
      <w:r w:rsidRPr="00A60C73">
        <w:t xml:space="preserve">IMLS published a notice in the </w:t>
      </w:r>
      <w:r w:rsidRPr="00A60C73">
        <w:rPr>
          <w:i/>
          <w:iCs/>
        </w:rPr>
        <w:t>Federal Register</w:t>
      </w:r>
      <w:r w:rsidRPr="00A60C73">
        <w:t xml:space="preserve"> with a 60-day public comment period to announce this proposed information collection on </w:t>
      </w:r>
      <w:r w:rsidR="007F2074" w:rsidRPr="00A60C73">
        <w:t>July 7, 2017</w:t>
      </w:r>
      <w:r w:rsidR="00A46A15" w:rsidRPr="00A60C73">
        <w:t xml:space="preserve"> (</w:t>
      </w:r>
      <w:r w:rsidR="00C21AFA" w:rsidRPr="00A60C73">
        <w:t>81</w:t>
      </w:r>
      <w:r w:rsidR="00A46A15" w:rsidRPr="00A60C73">
        <w:t xml:space="preserve"> FR</w:t>
      </w:r>
      <w:r w:rsidRPr="00A60C73">
        <w:t xml:space="preserve"> </w:t>
      </w:r>
      <w:r w:rsidR="00D0431A" w:rsidRPr="00A60C73">
        <w:t>3</w:t>
      </w:r>
      <w:r w:rsidR="007F2074" w:rsidRPr="00A60C73">
        <w:t>1637</w:t>
      </w:r>
      <w:r w:rsidR="00A46A15" w:rsidRPr="00A60C73">
        <w:t>)</w:t>
      </w:r>
      <w:r w:rsidRPr="00A60C73">
        <w:t xml:space="preserve">. </w:t>
      </w:r>
      <w:r w:rsidR="006478BA">
        <w:t>The 30-day Federal Register notice was published on December 28, 2018 (83 FR 67364).</w:t>
      </w:r>
      <w:r w:rsidR="00840E24" w:rsidRPr="00A60C73">
        <w:t xml:space="preserve"> </w:t>
      </w:r>
      <w:r w:rsidRPr="00A60C73">
        <w:t>No comments were submitted.</w:t>
      </w:r>
    </w:p>
    <w:p w14:paraId="675F414E" w14:textId="77777777" w:rsidR="00D55958" w:rsidRPr="00A60C73" w:rsidRDefault="00797B50" w:rsidP="00E65A3C">
      <w:r w:rsidRPr="00A60C73">
        <w:tab/>
      </w:r>
    </w:p>
    <w:p w14:paraId="4C594419" w14:textId="79FF14A5" w:rsidR="00C74C0E" w:rsidRPr="00A60C73" w:rsidRDefault="00C74C0E" w:rsidP="00E65A3C">
      <w:r w:rsidRPr="00A60C73">
        <w:t>A.8.2.</w:t>
      </w:r>
      <w:r w:rsidRPr="00A60C73">
        <w:tab/>
        <w:t xml:space="preserve">Consultants </w:t>
      </w:r>
      <w:r w:rsidR="001B5318">
        <w:t>o</w:t>
      </w:r>
      <w:r w:rsidRPr="00A60C73">
        <w:t>utside the Agency</w:t>
      </w:r>
    </w:p>
    <w:p w14:paraId="1796491A" w14:textId="77777777" w:rsidR="00C74C0E" w:rsidRPr="00A60C73" w:rsidRDefault="00C74C0E" w:rsidP="00E65A3C"/>
    <w:p w14:paraId="7B7F3200" w14:textId="489F60A8" w:rsidR="00D0431A" w:rsidRPr="00A60C73" w:rsidRDefault="007F2074" w:rsidP="00E65A3C">
      <w:r w:rsidRPr="00A60C73">
        <w:t xml:space="preserve">The ATALM Survey Advisory Council includes representatives from the </w:t>
      </w:r>
      <w:r w:rsidR="0026710D" w:rsidRPr="00A60C73">
        <w:t>ATALM</w:t>
      </w:r>
      <w:r w:rsidRPr="00A60C73">
        <w:t xml:space="preserve">, the National Museum of the American Indian, Washington State University/Sustainable Heritage Network, Harvard Project on American Indian Economic Development, Cherokee Heritage Center, Institute of American Indian Arts, First Archivists Circle, University of Oregon, American Indian Language Development Institute, Administration for Native Americans, Digital Inclusion Corps, Oklahoma Department of Libraries, United Keetoowah Band of Cherokee Indians, </w:t>
      </w:r>
      <w:r w:rsidR="006A260C" w:rsidRPr="00A60C73">
        <w:t xml:space="preserve">and </w:t>
      </w:r>
      <w:r w:rsidR="00EE2E79" w:rsidRPr="00A60C73">
        <w:t>Wolf Consulting</w:t>
      </w:r>
      <w:r w:rsidR="00840E24" w:rsidRPr="00A60C73">
        <w:t xml:space="preserve">. </w:t>
      </w:r>
      <w:r w:rsidR="00C21AFA" w:rsidRPr="00A60C73">
        <w:t>The</w:t>
      </w:r>
      <w:r w:rsidRPr="00A60C73">
        <w:t>y reviewed the FY 2012</w:t>
      </w:r>
      <w:r w:rsidR="00C21AFA" w:rsidRPr="00A60C73">
        <w:t xml:space="preserve"> questionnaire and deliberated on </w:t>
      </w:r>
      <w:r w:rsidRPr="00A60C73">
        <w:t>th</w:t>
      </w:r>
      <w:r w:rsidR="002E4603" w:rsidRPr="00A60C73">
        <w:t>is</w:t>
      </w:r>
      <w:r w:rsidRPr="00A60C73">
        <w:t xml:space="preserve"> </w:t>
      </w:r>
      <w:r w:rsidR="006A260C" w:rsidRPr="00A60C73">
        <w:t>proposed</w:t>
      </w:r>
      <w:r w:rsidR="00C21AFA" w:rsidRPr="00A60C73">
        <w:t xml:space="preserve"> </w:t>
      </w:r>
      <w:r w:rsidR="006A260C" w:rsidRPr="00A60C73">
        <w:t>survey</w:t>
      </w:r>
      <w:r w:rsidR="002E4603" w:rsidRPr="00A60C73">
        <w:t xml:space="preserve"> instrument</w:t>
      </w:r>
      <w:r w:rsidR="00840E24" w:rsidRPr="00A60C73">
        <w:t xml:space="preserve">. </w:t>
      </w:r>
    </w:p>
    <w:p w14:paraId="59AE15BF" w14:textId="77777777" w:rsidR="00FB22F0" w:rsidRPr="00A60C73" w:rsidRDefault="00FB22F0" w:rsidP="00E65A3C"/>
    <w:p w14:paraId="06852206" w14:textId="77777777" w:rsidR="00D55958" w:rsidRPr="00A60C73" w:rsidRDefault="00C74C0E" w:rsidP="00FF463C">
      <w:pPr>
        <w:pStyle w:val="Heading3"/>
      </w:pPr>
      <w:r w:rsidRPr="00A60C73">
        <w:t>A.9.</w:t>
      </w:r>
      <w:r w:rsidRPr="00A60C73">
        <w:tab/>
        <w:t>Provision of Payments or Gifts to Respondents</w:t>
      </w:r>
    </w:p>
    <w:p w14:paraId="3C76E74B" w14:textId="77777777" w:rsidR="00D55958" w:rsidRPr="00A60C73" w:rsidRDefault="00D55958" w:rsidP="00E65A3C"/>
    <w:p w14:paraId="3893FB0B" w14:textId="77777777" w:rsidR="00600ABD" w:rsidRPr="00A60C73" w:rsidRDefault="00600ABD" w:rsidP="00E65A3C">
      <w:r w:rsidRPr="00A60C73">
        <w:t>There are no payments or gifts to respondents.</w:t>
      </w:r>
    </w:p>
    <w:p w14:paraId="42479599" w14:textId="4873EDCD" w:rsidR="0069551B" w:rsidRPr="00A60C73" w:rsidRDefault="0069551B" w:rsidP="00E65A3C">
      <w:pPr>
        <w:rPr>
          <w:b/>
        </w:rPr>
      </w:pPr>
    </w:p>
    <w:p w14:paraId="06238C6E" w14:textId="77777777" w:rsidR="00D55958" w:rsidRPr="00A60C73" w:rsidRDefault="00C74C0E" w:rsidP="00FF463C">
      <w:pPr>
        <w:pStyle w:val="Heading3"/>
      </w:pPr>
      <w:r w:rsidRPr="00A60C73">
        <w:t>A.10.</w:t>
      </w:r>
      <w:r w:rsidRPr="00A60C73">
        <w:tab/>
        <w:t>Assurance of Confidentiality</w:t>
      </w:r>
    </w:p>
    <w:p w14:paraId="1CCF02F9" w14:textId="77777777" w:rsidR="003E3E0A" w:rsidRPr="00A60C73" w:rsidRDefault="003E3E0A" w:rsidP="00E65A3C"/>
    <w:p w14:paraId="3A368BBD" w14:textId="0AD22F8C" w:rsidR="0069551B" w:rsidRPr="00A60C73" w:rsidRDefault="0B7E8244" w:rsidP="0B7E8244">
      <w:pPr>
        <w:rPr>
          <w:lang w:bidi="ar-SA"/>
        </w:rPr>
      </w:pPr>
      <w:r w:rsidRPr="0B7E8244">
        <w:rPr>
          <w:lang w:bidi="ar-SA"/>
        </w:rPr>
        <w:t xml:space="preserve">Any personally identifiable information (PII) collected (e.g., the name and other personal information of the individual responding on behalf of the tribal cultural organization) will be kept secure during data collection, securely stored, and accessed only by authorized ATALM staff and the data analysis contractor. No personal data will be published (i.e., included in the final report) unless expressly approved by the respondent. Assurances of security of PII will be conveyed at the beginning of the survey instrument. </w:t>
      </w:r>
    </w:p>
    <w:p w14:paraId="415A5E57" w14:textId="77777777" w:rsidR="0069551B" w:rsidRPr="00A60C73" w:rsidRDefault="0069551B" w:rsidP="00E65A3C">
      <w:pPr>
        <w:rPr>
          <w:lang w:bidi="ar-SA"/>
        </w:rPr>
      </w:pPr>
    </w:p>
    <w:p w14:paraId="4CB1C7F9" w14:textId="2FD2F347" w:rsidR="00C344E0" w:rsidRDefault="0069551B" w:rsidP="00E65A3C">
      <w:pPr>
        <w:rPr>
          <w:lang w:bidi="ar-SA"/>
        </w:rPr>
      </w:pPr>
      <w:r w:rsidRPr="00A60C73">
        <w:rPr>
          <w:lang w:bidi="ar-SA"/>
        </w:rPr>
        <w:t xml:space="preserve">Prior ATALM survey reports included a list of participating organizations as an appendix. The proposed survey includes two concluding questions (Questions 31 and 32) to permit respondents to opt in for inclusion in such a list. However, no specific responses will be associated with specific respondents. </w:t>
      </w:r>
    </w:p>
    <w:p w14:paraId="36DB0C78" w14:textId="77777777" w:rsidR="000E4EAF" w:rsidRDefault="000E4EAF" w:rsidP="00E65A3C">
      <w:pPr>
        <w:rPr>
          <w:lang w:bidi="ar-SA"/>
        </w:rPr>
      </w:pPr>
    </w:p>
    <w:p w14:paraId="33597C33" w14:textId="77777777" w:rsidR="00606CFE" w:rsidRPr="00A60C73" w:rsidRDefault="00606CFE" w:rsidP="00E65A3C">
      <w:pPr>
        <w:rPr>
          <w:color w:val="1F497D"/>
          <w:sz w:val="20"/>
          <w:szCs w:val="20"/>
          <w:lang w:bidi="ar-SA"/>
        </w:rPr>
      </w:pPr>
    </w:p>
    <w:p w14:paraId="5B517A2A" w14:textId="77777777" w:rsidR="00D55958" w:rsidRPr="00A60C73" w:rsidRDefault="00C74C0E" w:rsidP="00FF463C">
      <w:pPr>
        <w:pStyle w:val="Heading3"/>
      </w:pPr>
      <w:r w:rsidRPr="00A60C73">
        <w:t>A.11.</w:t>
      </w:r>
      <w:r w:rsidRPr="00A60C73">
        <w:tab/>
        <w:t>Sensitive Questions</w:t>
      </w:r>
    </w:p>
    <w:p w14:paraId="5FC88DE0" w14:textId="77777777" w:rsidR="00C96696" w:rsidRPr="00A60C73" w:rsidRDefault="00C96696" w:rsidP="00E65A3C"/>
    <w:p w14:paraId="2BF7A471" w14:textId="12492AC8" w:rsidR="00600ABD" w:rsidRPr="00A60C73" w:rsidRDefault="00606CFE" w:rsidP="00E65A3C">
      <w:r w:rsidRPr="00A60C73">
        <w:t xml:space="preserve">Question sensitivity </w:t>
      </w:r>
      <w:r w:rsidR="00456051" w:rsidRPr="00A60C73">
        <w:t>was</w:t>
      </w:r>
      <w:r w:rsidRPr="00A60C73">
        <w:t xml:space="preserve"> considered when developing the survey instrument. </w:t>
      </w:r>
      <w:r w:rsidR="00456051" w:rsidRPr="00A60C73">
        <w:t>While previous surveys by ATALM and IMLS were used as a guide, question</w:t>
      </w:r>
      <w:r w:rsidR="002E4603" w:rsidRPr="00A60C73">
        <w:t>-</w:t>
      </w:r>
      <w:r w:rsidR="00456051" w:rsidRPr="00A60C73">
        <w:t xml:space="preserve">sensitivity issues are of paramount importance within the context of </w:t>
      </w:r>
      <w:r w:rsidR="00DE1A92" w:rsidRPr="00A60C73">
        <w:t>tribal cultural organization</w:t>
      </w:r>
      <w:r w:rsidR="00456051" w:rsidRPr="00A60C73">
        <w:t>s. Therefore, t</w:t>
      </w:r>
      <w:r w:rsidRPr="00A60C73">
        <w:t xml:space="preserve">he </w:t>
      </w:r>
      <w:r w:rsidR="00366F2A" w:rsidRPr="00A60C73">
        <w:t xml:space="preserve">response </w:t>
      </w:r>
      <w:r w:rsidRPr="00A60C73">
        <w:t xml:space="preserve">choice “Prefer not to answer” </w:t>
      </w:r>
      <w:r w:rsidR="00366F2A" w:rsidRPr="00A60C73">
        <w:t>was</w:t>
      </w:r>
      <w:r w:rsidRPr="00A60C73">
        <w:t xml:space="preserve"> included</w:t>
      </w:r>
      <w:r w:rsidR="00366F2A" w:rsidRPr="00A60C73">
        <w:t xml:space="preserve"> for many questionnaire items</w:t>
      </w:r>
      <w:r w:rsidRPr="00A60C73">
        <w:t xml:space="preserve">. Such responses (i.e., “prefer not to answer”) will be a valuable tool in future survey planning for leaders of </w:t>
      </w:r>
      <w:r w:rsidR="00DE1A92" w:rsidRPr="00A60C73">
        <w:t>tribal cultural organization</w:t>
      </w:r>
      <w:r w:rsidRPr="00A60C73">
        <w:t>s.</w:t>
      </w:r>
    </w:p>
    <w:p w14:paraId="566C4343" w14:textId="77777777" w:rsidR="003E3E0A" w:rsidRPr="00A60C73" w:rsidRDefault="003E3E0A" w:rsidP="00E65A3C"/>
    <w:p w14:paraId="125D54BC" w14:textId="33FEF79C" w:rsidR="00D55958" w:rsidRPr="00A60C73" w:rsidRDefault="00C74C0E" w:rsidP="00FF463C">
      <w:pPr>
        <w:pStyle w:val="Heading3"/>
      </w:pPr>
      <w:r w:rsidRPr="00A60C73">
        <w:t>A.12.</w:t>
      </w:r>
      <w:r w:rsidRPr="00A60C73">
        <w:tab/>
        <w:t>Estimated Response Burden</w:t>
      </w:r>
    </w:p>
    <w:p w14:paraId="21885949" w14:textId="77777777" w:rsidR="00D55958" w:rsidRPr="00A60C73" w:rsidRDefault="00D55958" w:rsidP="00E65A3C"/>
    <w:tbl>
      <w:tblPr>
        <w:tblW w:w="9120" w:type="dxa"/>
        <w:tblLook w:val="04A0" w:firstRow="1" w:lastRow="0" w:firstColumn="1" w:lastColumn="0" w:noHBand="0" w:noVBand="1"/>
      </w:tblPr>
      <w:tblGrid>
        <w:gridCol w:w="2553"/>
        <w:gridCol w:w="1022"/>
        <w:gridCol w:w="1605"/>
        <w:gridCol w:w="1320"/>
        <w:gridCol w:w="1120"/>
        <w:gridCol w:w="1500"/>
      </w:tblGrid>
      <w:tr w:rsidR="001E3F09" w:rsidRPr="001E3F09" w14:paraId="4B4A3AF2" w14:textId="77777777" w:rsidTr="00853721">
        <w:trPr>
          <w:trHeight w:val="270"/>
        </w:trPr>
        <w:tc>
          <w:tcPr>
            <w:tcW w:w="9120" w:type="dxa"/>
            <w:gridSpan w:val="6"/>
            <w:tcBorders>
              <w:top w:val="nil"/>
              <w:left w:val="nil"/>
              <w:bottom w:val="single" w:sz="8" w:space="0" w:color="auto"/>
              <w:right w:val="nil"/>
            </w:tcBorders>
            <w:shd w:val="clear" w:color="auto" w:fill="auto"/>
            <w:noWrap/>
            <w:hideMark/>
          </w:tcPr>
          <w:p w14:paraId="1192E43A" w14:textId="77777777" w:rsidR="001E3F09" w:rsidRPr="001E3F09" w:rsidRDefault="001E3F09" w:rsidP="001E3F09">
            <w:pPr>
              <w:tabs>
                <w:tab w:val="clear" w:pos="1069"/>
              </w:tabs>
              <w:spacing w:line="240" w:lineRule="auto"/>
              <w:rPr>
                <w:rFonts w:cs="Calibri"/>
                <w:b/>
                <w:bCs/>
                <w:color w:val="000000"/>
                <w:lang w:bidi="ar-SA"/>
              </w:rPr>
            </w:pPr>
            <w:r w:rsidRPr="001E3F09">
              <w:rPr>
                <w:rFonts w:cs="Calibri"/>
                <w:b/>
                <w:bCs/>
                <w:color w:val="000000"/>
                <w:lang w:bidi="ar-SA"/>
              </w:rPr>
              <w:t>Table 1. Estimated Response Burden for Each Type of Respondent</w:t>
            </w:r>
            <w:r w:rsidRPr="001E3F09">
              <w:rPr>
                <w:rFonts w:cs="Calibri"/>
                <w:color w:val="000000"/>
                <w:sz w:val="16"/>
                <w:szCs w:val="16"/>
                <w:lang w:bidi="ar-SA"/>
              </w:rPr>
              <w:t> </w:t>
            </w:r>
          </w:p>
        </w:tc>
      </w:tr>
      <w:tr w:rsidR="001E3F09" w:rsidRPr="001E3F09" w14:paraId="0C5CCA01" w14:textId="77777777" w:rsidTr="001E3F09">
        <w:trPr>
          <w:trHeight w:val="825"/>
        </w:trPr>
        <w:tc>
          <w:tcPr>
            <w:tcW w:w="2680" w:type="dxa"/>
            <w:tcBorders>
              <w:top w:val="nil"/>
              <w:left w:val="single" w:sz="8" w:space="0" w:color="auto"/>
              <w:bottom w:val="single" w:sz="8" w:space="0" w:color="auto"/>
              <w:right w:val="single" w:sz="8" w:space="0" w:color="auto"/>
            </w:tcBorders>
            <w:shd w:val="clear" w:color="000000" w:fill="9BBB59"/>
            <w:vAlign w:val="center"/>
            <w:hideMark/>
          </w:tcPr>
          <w:p w14:paraId="79C42064"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Participant group</w:t>
            </w:r>
          </w:p>
        </w:tc>
        <w:tc>
          <w:tcPr>
            <w:tcW w:w="960" w:type="dxa"/>
            <w:tcBorders>
              <w:top w:val="nil"/>
              <w:left w:val="nil"/>
              <w:bottom w:val="single" w:sz="8" w:space="0" w:color="auto"/>
              <w:right w:val="single" w:sz="8" w:space="0" w:color="auto"/>
            </w:tcBorders>
            <w:shd w:val="clear" w:color="000000" w:fill="9BBB59"/>
            <w:vAlign w:val="center"/>
            <w:hideMark/>
          </w:tcPr>
          <w:p w14:paraId="741B8B4B"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Universe</w:t>
            </w:r>
          </w:p>
        </w:tc>
        <w:tc>
          <w:tcPr>
            <w:tcW w:w="1540" w:type="dxa"/>
            <w:tcBorders>
              <w:top w:val="nil"/>
              <w:left w:val="nil"/>
              <w:bottom w:val="single" w:sz="8" w:space="0" w:color="auto"/>
              <w:right w:val="single" w:sz="8" w:space="0" w:color="auto"/>
            </w:tcBorders>
            <w:shd w:val="clear" w:color="000000" w:fill="9BBB59"/>
            <w:vAlign w:val="center"/>
            <w:hideMark/>
          </w:tcPr>
          <w:p w14:paraId="5FBBBCE5"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Expected # of Respondents</w:t>
            </w:r>
            <w:r w:rsidRPr="001E3F09">
              <w:rPr>
                <w:rFonts w:cs="Calibri"/>
                <w:color w:val="000000"/>
                <w:sz w:val="22"/>
                <w:szCs w:val="22"/>
                <w:vertAlign w:val="superscript"/>
                <w:lang w:bidi="ar-SA"/>
              </w:rPr>
              <w:t>(1)</w:t>
            </w:r>
          </w:p>
        </w:tc>
        <w:tc>
          <w:tcPr>
            <w:tcW w:w="1320" w:type="dxa"/>
            <w:tcBorders>
              <w:top w:val="nil"/>
              <w:left w:val="nil"/>
              <w:bottom w:val="single" w:sz="8" w:space="0" w:color="auto"/>
              <w:right w:val="single" w:sz="8" w:space="0" w:color="auto"/>
            </w:tcBorders>
            <w:shd w:val="clear" w:color="000000" w:fill="9BBB59"/>
            <w:vAlign w:val="center"/>
            <w:hideMark/>
          </w:tcPr>
          <w:p w14:paraId="404A98C0"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Hours per Response</w:t>
            </w:r>
          </w:p>
        </w:tc>
        <w:tc>
          <w:tcPr>
            <w:tcW w:w="1120" w:type="dxa"/>
            <w:tcBorders>
              <w:top w:val="nil"/>
              <w:left w:val="nil"/>
              <w:bottom w:val="single" w:sz="8" w:space="0" w:color="auto"/>
              <w:right w:val="single" w:sz="8" w:space="0" w:color="auto"/>
            </w:tcBorders>
            <w:shd w:val="clear" w:color="000000" w:fill="9BBB59"/>
            <w:vAlign w:val="center"/>
            <w:hideMark/>
          </w:tcPr>
          <w:p w14:paraId="08D2C563"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Total Hours</w:t>
            </w:r>
          </w:p>
        </w:tc>
        <w:tc>
          <w:tcPr>
            <w:tcW w:w="1500" w:type="dxa"/>
            <w:tcBorders>
              <w:top w:val="nil"/>
              <w:left w:val="nil"/>
              <w:bottom w:val="single" w:sz="8" w:space="0" w:color="auto"/>
              <w:right w:val="single" w:sz="8" w:space="0" w:color="auto"/>
            </w:tcBorders>
            <w:shd w:val="clear" w:color="000000" w:fill="9BBB59"/>
            <w:vAlign w:val="center"/>
            <w:hideMark/>
          </w:tcPr>
          <w:p w14:paraId="18EB0CF5"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Cost per group</w:t>
            </w:r>
            <w:r w:rsidRPr="001E3F09">
              <w:rPr>
                <w:rFonts w:cs="Calibri"/>
                <w:color w:val="000000"/>
                <w:sz w:val="22"/>
                <w:szCs w:val="22"/>
                <w:vertAlign w:val="superscript"/>
                <w:lang w:bidi="ar-SA"/>
              </w:rPr>
              <w:t>(2)</w:t>
            </w:r>
          </w:p>
        </w:tc>
      </w:tr>
      <w:tr w:rsidR="001E3F09" w:rsidRPr="001E3F09" w14:paraId="372D29E2" w14:textId="77777777" w:rsidTr="001E3F09">
        <w:trPr>
          <w:trHeight w:val="510"/>
        </w:trPr>
        <w:tc>
          <w:tcPr>
            <w:tcW w:w="2680" w:type="dxa"/>
            <w:vMerge w:val="restart"/>
            <w:tcBorders>
              <w:top w:val="nil"/>
              <w:left w:val="single" w:sz="8" w:space="0" w:color="auto"/>
              <w:bottom w:val="single" w:sz="8" w:space="0" w:color="000000"/>
              <w:right w:val="single" w:sz="8" w:space="0" w:color="auto"/>
            </w:tcBorders>
            <w:shd w:val="clear" w:color="auto" w:fill="auto"/>
            <w:vAlign w:val="center"/>
            <w:hideMark/>
          </w:tcPr>
          <w:p w14:paraId="5EBE4847"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Organizations with archive or museum functions only (fewest applicable questions)</w:t>
            </w:r>
          </w:p>
        </w:tc>
        <w:tc>
          <w:tcPr>
            <w:tcW w:w="960" w:type="dxa"/>
            <w:tcBorders>
              <w:top w:val="nil"/>
              <w:left w:val="nil"/>
              <w:bottom w:val="nil"/>
              <w:right w:val="single" w:sz="8" w:space="0" w:color="auto"/>
            </w:tcBorders>
            <w:shd w:val="clear" w:color="auto" w:fill="auto"/>
            <w:vAlign w:val="center"/>
            <w:hideMark/>
          </w:tcPr>
          <w:p w14:paraId="44E7A34F"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150</w:t>
            </w:r>
          </w:p>
        </w:tc>
        <w:tc>
          <w:tcPr>
            <w:tcW w:w="1540" w:type="dxa"/>
            <w:tcBorders>
              <w:top w:val="nil"/>
              <w:left w:val="nil"/>
              <w:bottom w:val="nil"/>
              <w:right w:val="single" w:sz="8" w:space="0" w:color="auto"/>
            </w:tcBorders>
            <w:shd w:val="clear" w:color="auto" w:fill="auto"/>
            <w:vAlign w:val="center"/>
            <w:hideMark/>
          </w:tcPr>
          <w:p w14:paraId="0570ED89"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60</w:t>
            </w:r>
          </w:p>
        </w:tc>
        <w:tc>
          <w:tcPr>
            <w:tcW w:w="1320" w:type="dxa"/>
            <w:tcBorders>
              <w:top w:val="nil"/>
              <w:left w:val="nil"/>
              <w:bottom w:val="nil"/>
              <w:right w:val="single" w:sz="8" w:space="0" w:color="auto"/>
            </w:tcBorders>
            <w:shd w:val="clear" w:color="auto" w:fill="auto"/>
            <w:vAlign w:val="center"/>
            <w:hideMark/>
          </w:tcPr>
          <w:p w14:paraId="58556075"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0.5</w:t>
            </w:r>
          </w:p>
        </w:tc>
        <w:tc>
          <w:tcPr>
            <w:tcW w:w="1120" w:type="dxa"/>
            <w:tcBorders>
              <w:top w:val="nil"/>
              <w:left w:val="nil"/>
              <w:bottom w:val="nil"/>
              <w:right w:val="single" w:sz="8" w:space="0" w:color="auto"/>
            </w:tcBorders>
            <w:shd w:val="clear" w:color="auto" w:fill="auto"/>
            <w:vAlign w:val="center"/>
            <w:hideMark/>
          </w:tcPr>
          <w:p w14:paraId="5E62517A"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30</w:t>
            </w:r>
          </w:p>
        </w:tc>
        <w:tc>
          <w:tcPr>
            <w:tcW w:w="1500" w:type="dxa"/>
            <w:tcBorders>
              <w:top w:val="nil"/>
              <w:left w:val="nil"/>
              <w:bottom w:val="nil"/>
              <w:right w:val="single" w:sz="8" w:space="0" w:color="auto"/>
            </w:tcBorders>
            <w:shd w:val="clear" w:color="auto" w:fill="auto"/>
            <w:vAlign w:val="center"/>
            <w:hideMark/>
          </w:tcPr>
          <w:p w14:paraId="7CDCA183"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 xml:space="preserve">$836.10 </w:t>
            </w:r>
          </w:p>
        </w:tc>
      </w:tr>
      <w:tr w:rsidR="001E3F09" w:rsidRPr="001E3F09" w14:paraId="15CBF1C8" w14:textId="77777777" w:rsidTr="001E3F09">
        <w:trPr>
          <w:trHeight w:val="885"/>
        </w:trPr>
        <w:tc>
          <w:tcPr>
            <w:tcW w:w="2680" w:type="dxa"/>
            <w:vMerge/>
            <w:tcBorders>
              <w:top w:val="nil"/>
              <w:left w:val="single" w:sz="8" w:space="0" w:color="auto"/>
              <w:bottom w:val="single" w:sz="8" w:space="0" w:color="000000"/>
              <w:right w:val="single" w:sz="8" w:space="0" w:color="auto"/>
            </w:tcBorders>
            <w:vAlign w:val="center"/>
            <w:hideMark/>
          </w:tcPr>
          <w:p w14:paraId="5AAC905A" w14:textId="77777777" w:rsidR="001E3F09" w:rsidRPr="001E3F09" w:rsidRDefault="001E3F09" w:rsidP="001E3F09">
            <w:pPr>
              <w:tabs>
                <w:tab w:val="clear" w:pos="1069"/>
              </w:tabs>
              <w:spacing w:line="240" w:lineRule="auto"/>
              <w:rPr>
                <w:rFonts w:cs="Calibri"/>
                <w:color w:val="000000"/>
                <w:sz w:val="22"/>
                <w:szCs w:val="22"/>
                <w:lang w:bidi="ar-SA"/>
              </w:rPr>
            </w:pPr>
          </w:p>
        </w:tc>
        <w:tc>
          <w:tcPr>
            <w:tcW w:w="960" w:type="dxa"/>
            <w:tcBorders>
              <w:top w:val="nil"/>
              <w:left w:val="nil"/>
              <w:bottom w:val="single" w:sz="8" w:space="0" w:color="auto"/>
              <w:right w:val="single" w:sz="8" w:space="0" w:color="auto"/>
            </w:tcBorders>
            <w:shd w:val="clear" w:color="auto" w:fill="auto"/>
            <w:vAlign w:val="center"/>
            <w:hideMark/>
          </w:tcPr>
          <w:p w14:paraId="292AB0F3"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 </w:t>
            </w:r>
          </w:p>
        </w:tc>
        <w:tc>
          <w:tcPr>
            <w:tcW w:w="1540" w:type="dxa"/>
            <w:tcBorders>
              <w:top w:val="nil"/>
              <w:left w:val="nil"/>
              <w:bottom w:val="single" w:sz="8" w:space="0" w:color="auto"/>
              <w:right w:val="single" w:sz="8" w:space="0" w:color="auto"/>
            </w:tcBorders>
            <w:shd w:val="clear" w:color="auto" w:fill="auto"/>
            <w:vAlign w:val="center"/>
            <w:hideMark/>
          </w:tcPr>
          <w:p w14:paraId="65D33577"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 </w:t>
            </w:r>
          </w:p>
        </w:tc>
        <w:tc>
          <w:tcPr>
            <w:tcW w:w="1320" w:type="dxa"/>
            <w:tcBorders>
              <w:top w:val="nil"/>
              <w:left w:val="nil"/>
              <w:bottom w:val="single" w:sz="8" w:space="0" w:color="auto"/>
              <w:right w:val="single" w:sz="8" w:space="0" w:color="auto"/>
            </w:tcBorders>
            <w:shd w:val="clear" w:color="auto" w:fill="auto"/>
            <w:hideMark/>
          </w:tcPr>
          <w:p w14:paraId="72B6F23D" w14:textId="4522DBEB" w:rsidR="001E3F09" w:rsidRPr="001E3F09" w:rsidRDefault="005A11FD"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H</w:t>
            </w:r>
            <w:r w:rsidR="001E3F09" w:rsidRPr="001E3F09">
              <w:rPr>
                <w:rFonts w:cs="Calibri"/>
                <w:color w:val="000000"/>
                <w:sz w:val="22"/>
                <w:szCs w:val="22"/>
                <w:lang w:bidi="ar-SA"/>
              </w:rPr>
              <w:t>our</w:t>
            </w:r>
          </w:p>
        </w:tc>
        <w:tc>
          <w:tcPr>
            <w:tcW w:w="1120" w:type="dxa"/>
            <w:tcBorders>
              <w:top w:val="nil"/>
              <w:left w:val="nil"/>
              <w:bottom w:val="single" w:sz="8" w:space="0" w:color="auto"/>
              <w:right w:val="single" w:sz="8" w:space="0" w:color="auto"/>
            </w:tcBorders>
            <w:shd w:val="clear" w:color="auto" w:fill="auto"/>
            <w:hideMark/>
          </w:tcPr>
          <w:p w14:paraId="6F781075"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hours</w:t>
            </w:r>
          </w:p>
        </w:tc>
        <w:tc>
          <w:tcPr>
            <w:tcW w:w="1500" w:type="dxa"/>
            <w:tcBorders>
              <w:top w:val="nil"/>
              <w:left w:val="nil"/>
              <w:bottom w:val="single" w:sz="8" w:space="0" w:color="auto"/>
              <w:right w:val="single" w:sz="8" w:space="0" w:color="auto"/>
            </w:tcBorders>
            <w:shd w:val="clear" w:color="auto" w:fill="auto"/>
            <w:vAlign w:val="center"/>
            <w:hideMark/>
          </w:tcPr>
          <w:p w14:paraId="6C1C53E9"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 </w:t>
            </w:r>
          </w:p>
        </w:tc>
      </w:tr>
      <w:tr w:rsidR="001E3F09" w:rsidRPr="001E3F09" w14:paraId="47922025" w14:textId="77777777" w:rsidTr="001E3F09">
        <w:trPr>
          <w:trHeight w:val="525"/>
        </w:trPr>
        <w:tc>
          <w:tcPr>
            <w:tcW w:w="2680" w:type="dxa"/>
            <w:vMerge w:val="restart"/>
            <w:tcBorders>
              <w:top w:val="nil"/>
              <w:left w:val="single" w:sz="8" w:space="0" w:color="auto"/>
              <w:bottom w:val="single" w:sz="8" w:space="0" w:color="000000"/>
              <w:right w:val="single" w:sz="8" w:space="0" w:color="auto"/>
            </w:tcBorders>
            <w:shd w:val="clear" w:color="auto" w:fill="auto"/>
            <w:vAlign w:val="center"/>
            <w:hideMark/>
          </w:tcPr>
          <w:p w14:paraId="4C073AEE"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Library functions only (most applicable questions)</w:t>
            </w:r>
          </w:p>
        </w:tc>
        <w:tc>
          <w:tcPr>
            <w:tcW w:w="960" w:type="dxa"/>
            <w:tcBorders>
              <w:top w:val="nil"/>
              <w:left w:val="nil"/>
              <w:bottom w:val="nil"/>
              <w:right w:val="single" w:sz="8" w:space="0" w:color="auto"/>
            </w:tcBorders>
            <w:shd w:val="clear" w:color="auto" w:fill="auto"/>
            <w:vAlign w:val="center"/>
            <w:hideMark/>
          </w:tcPr>
          <w:p w14:paraId="4C6C9BEB"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270</w:t>
            </w:r>
          </w:p>
        </w:tc>
        <w:tc>
          <w:tcPr>
            <w:tcW w:w="1540" w:type="dxa"/>
            <w:tcBorders>
              <w:top w:val="nil"/>
              <w:left w:val="nil"/>
              <w:bottom w:val="nil"/>
              <w:right w:val="single" w:sz="8" w:space="0" w:color="auto"/>
            </w:tcBorders>
            <w:shd w:val="clear" w:color="auto" w:fill="auto"/>
            <w:vAlign w:val="center"/>
            <w:hideMark/>
          </w:tcPr>
          <w:p w14:paraId="7DA66FF1"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108</w:t>
            </w:r>
          </w:p>
        </w:tc>
        <w:tc>
          <w:tcPr>
            <w:tcW w:w="1320" w:type="dxa"/>
            <w:tcBorders>
              <w:top w:val="nil"/>
              <w:left w:val="nil"/>
              <w:bottom w:val="nil"/>
              <w:right w:val="single" w:sz="8" w:space="0" w:color="auto"/>
            </w:tcBorders>
            <w:shd w:val="clear" w:color="auto" w:fill="auto"/>
            <w:vAlign w:val="center"/>
            <w:hideMark/>
          </w:tcPr>
          <w:p w14:paraId="75216E21"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0.6</w:t>
            </w:r>
          </w:p>
        </w:tc>
        <w:tc>
          <w:tcPr>
            <w:tcW w:w="1120" w:type="dxa"/>
            <w:tcBorders>
              <w:top w:val="nil"/>
              <w:left w:val="nil"/>
              <w:bottom w:val="nil"/>
              <w:right w:val="single" w:sz="8" w:space="0" w:color="auto"/>
            </w:tcBorders>
            <w:shd w:val="clear" w:color="auto" w:fill="auto"/>
            <w:vAlign w:val="center"/>
            <w:hideMark/>
          </w:tcPr>
          <w:p w14:paraId="1E8AD250"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64.8</w:t>
            </w:r>
          </w:p>
        </w:tc>
        <w:tc>
          <w:tcPr>
            <w:tcW w:w="1500" w:type="dxa"/>
            <w:tcBorders>
              <w:top w:val="nil"/>
              <w:left w:val="nil"/>
              <w:bottom w:val="nil"/>
              <w:right w:val="single" w:sz="8" w:space="0" w:color="auto"/>
            </w:tcBorders>
            <w:shd w:val="clear" w:color="auto" w:fill="auto"/>
            <w:vAlign w:val="center"/>
            <w:hideMark/>
          </w:tcPr>
          <w:p w14:paraId="4EB3174F"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 xml:space="preserve">$1,805.98 </w:t>
            </w:r>
          </w:p>
        </w:tc>
      </w:tr>
      <w:tr w:rsidR="001E3F09" w:rsidRPr="001E3F09" w14:paraId="4B517794" w14:textId="77777777" w:rsidTr="001E3F09">
        <w:trPr>
          <w:trHeight w:val="435"/>
        </w:trPr>
        <w:tc>
          <w:tcPr>
            <w:tcW w:w="2680" w:type="dxa"/>
            <w:vMerge/>
            <w:tcBorders>
              <w:top w:val="nil"/>
              <w:left w:val="single" w:sz="8" w:space="0" w:color="auto"/>
              <w:bottom w:val="single" w:sz="8" w:space="0" w:color="000000"/>
              <w:right w:val="single" w:sz="8" w:space="0" w:color="auto"/>
            </w:tcBorders>
            <w:vAlign w:val="center"/>
            <w:hideMark/>
          </w:tcPr>
          <w:p w14:paraId="4BE7FB3D" w14:textId="77777777" w:rsidR="001E3F09" w:rsidRPr="001E3F09" w:rsidRDefault="001E3F09" w:rsidP="001E3F09">
            <w:pPr>
              <w:tabs>
                <w:tab w:val="clear" w:pos="1069"/>
              </w:tabs>
              <w:spacing w:line="240" w:lineRule="auto"/>
              <w:rPr>
                <w:rFonts w:cs="Calibri"/>
                <w:color w:val="000000"/>
                <w:sz w:val="22"/>
                <w:szCs w:val="22"/>
                <w:lang w:bidi="ar-SA"/>
              </w:rPr>
            </w:pPr>
          </w:p>
        </w:tc>
        <w:tc>
          <w:tcPr>
            <w:tcW w:w="960" w:type="dxa"/>
            <w:tcBorders>
              <w:top w:val="nil"/>
              <w:left w:val="nil"/>
              <w:bottom w:val="single" w:sz="8" w:space="0" w:color="auto"/>
              <w:right w:val="single" w:sz="8" w:space="0" w:color="auto"/>
            </w:tcBorders>
            <w:shd w:val="clear" w:color="auto" w:fill="auto"/>
            <w:vAlign w:val="center"/>
            <w:hideMark/>
          </w:tcPr>
          <w:p w14:paraId="1D9E3E29"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 </w:t>
            </w:r>
          </w:p>
        </w:tc>
        <w:tc>
          <w:tcPr>
            <w:tcW w:w="1540" w:type="dxa"/>
            <w:tcBorders>
              <w:top w:val="nil"/>
              <w:left w:val="nil"/>
              <w:bottom w:val="single" w:sz="8" w:space="0" w:color="auto"/>
              <w:right w:val="single" w:sz="8" w:space="0" w:color="auto"/>
            </w:tcBorders>
            <w:shd w:val="clear" w:color="auto" w:fill="auto"/>
            <w:vAlign w:val="center"/>
            <w:hideMark/>
          </w:tcPr>
          <w:p w14:paraId="5AC36D0E"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 </w:t>
            </w:r>
          </w:p>
        </w:tc>
        <w:tc>
          <w:tcPr>
            <w:tcW w:w="1320" w:type="dxa"/>
            <w:tcBorders>
              <w:top w:val="nil"/>
              <w:left w:val="nil"/>
              <w:bottom w:val="single" w:sz="8" w:space="0" w:color="auto"/>
              <w:right w:val="single" w:sz="8" w:space="0" w:color="auto"/>
            </w:tcBorders>
            <w:shd w:val="clear" w:color="auto" w:fill="auto"/>
            <w:vAlign w:val="center"/>
            <w:hideMark/>
          </w:tcPr>
          <w:p w14:paraId="163B9AD7" w14:textId="2D87E82D" w:rsidR="001E3F09" w:rsidRPr="001E3F09" w:rsidRDefault="005A11FD"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H</w:t>
            </w:r>
            <w:r w:rsidR="001E3F09" w:rsidRPr="001E3F09">
              <w:rPr>
                <w:rFonts w:cs="Calibri"/>
                <w:color w:val="000000"/>
                <w:sz w:val="22"/>
                <w:szCs w:val="22"/>
                <w:lang w:bidi="ar-SA"/>
              </w:rPr>
              <w:t>our</w:t>
            </w:r>
          </w:p>
        </w:tc>
        <w:tc>
          <w:tcPr>
            <w:tcW w:w="1120" w:type="dxa"/>
            <w:tcBorders>
              <w:top w:val="nil"/>
              <w:left w:val="nil"/>
              <w:bottom w:val="single" w:sz="8" w:space="0" w:color="auto"/>
              <w:right w:val="single" w:sz="8" w:space="0" w:color="auto"/>
            </w:tcBorders>
            <w:shd w:val="clear" w:color="auto" w:fill="auto"/>
            <w:vAlign w:val="center"/>
            <w:hideMark/>
          </w:tcPr>
          <w:p w14:paraId="07AFDB0A"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hours</w:t>
            </w:r>
          </w:p>
        </w:tc>
        <w:tc>
          <w:tcPr>
            <w:tcW w:w="1500" w:type="dxa"/>
            <w:tcBorders>
              <w:top w:val="nil"/>
              <w:left w:val="nil"/>
              <w:bottom w:val="single" w:sz="8" w:space="0" w:color="auto"/>
              <w:right w:val="single" w:sz="8" w:space="0" w:color="auto"/>
            </w:tcBorders>
            <w:shd w:val="clear" w:color="auto" w:fill="auto"/>
            <w:vAlign w:val="center"/>
            <w:hideMark/>
          </w:tcPr>
          <w:p w14:paraId="0072B334"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 </w:t>
            </w:r>
          </w:p>
        </w:tc>
      </w:tr>
      <w:tr w:rsidR="001E3F09" w:rsidRPr="001E3F09" w14:paraId="3EA1D2F4" w14:textId="77777777" w:rsidTr="001E3F09">
        <w:trPr>
          <w:trHeight w:val="315"/>
        </w:trPr>
        <w:tc>
          <w:tcPr>
            <w:tcW w:w="2680" w:type="dxa"/>
            <w:tcBorders>
              <w:top w:val="nil"/>
              <w:left w:val="single" w:sz="8" w:space="0" w:color="auto"/>
              <w:bottom w:val="nil"/>
              <w:right w:val="nil"/>
            </w:tcBorders>
            <w:shd w:val="clear" w:color="auto" w:fill="auto"/>
            <w:vAlign w:val="center"/>
            <w:hideMark/>
          </w:tcPr>
          <w:p w14:paraId="0F65509F"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Total</w:t>
            </w:r>
          </w:p>
        </w:tc>
        <w:tc>
          <w:tcPr>
            <w:tcW w:w="960" w:type="dxa"/>
            <w:tcBorders>
              <w:top w:val="nil"/>
              <w:left w:val="nil"/>
              <w:bottom w:val="nil"/>
              <w:right w:val="nil"/>
            </w:tcBorders>
            <w:shd w:val="clear" w:color="auto" w:fill="auto"/>
            <w:vAlign w:val="center"/>
            <w:hideMark/>
          </w:tcPr>
          <w:p w14:paraId="3CD29943"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420</w:t>
            </w:r>
          </w:p>
        </w:tc>
        <w:tc>
          <w:tcPr>
            <w:tcW w:w="1540" w:type="dxa"/>
            <w:tcBorders>
              <w:top w:val="nil"/>
              <w:left w:val="nil"/>
              <w:bottom w:val="nil"/>
              <w:right w:val="nil"/>
            </w:tcBorders>
            <w:shd w:val="clear" w:color="auto" w:fill="auto"/>
            <w:vAlign w:val="center"/>
            <w:hideMark/>
          </w:tcPr>
          <w:p w14:paraId="764E6D56"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168</w:t>
            </w:r>
          </w:p>
        </w:tc>
        <w:tc>
          <w:tcPr>
            <w:tcW w:w="1320" w:type="dxa"/>
            <w:tcBorders>
              <w:top w:val="nil"/>
              <w:left w:val="nil"/>
              <w:bottom w:val="nil"/>
              <w:right w:val="nil"/>
            </w:tcBorders>
            <w:shd w:val="clear" w:color="auto" w:fill="auto"/>
            <w:vAlign w:val="center"/>
            <w:hideMark/>
          </w:tcPr>
          <w:p w14:paraId="39C57FD1"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 </w:t>
            </w:r>
          </w:p>
        </w:tc>
        <w:tc>
          <w:tcPr>
            <w:tcW w:w="1120" w:type="dxa"/>
            <w:tcBorders>
              <w:top w:val="nil"/>
              <w:left w:val="nil"/>
              <w:bottom w:val="nil"/>
              <w:right w:val="nil"/>
            </w:tcBorders>
            <w:shd w:val="clear" w:color="auto" w:fill="auto"/>
            <w:vAlign w:val="center"/>
            <w:hideMark/>
          </w:tcPr>
          <w:p w14:paraId="68C54D44"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94.8</w:t>
            </w:r>
          </w:p>
        </w:tc>
        <w:tc>
          <w:tcPr>
            <w:tcW w:w="1500" w:type="dxa"/>
            <w:tcBorders>
              <w:top w:val="nil"/>
              <w:left w:val="nil"/>
              <w:bottom w:val="nil"/>
              <w:right w:val="single" w:sz="8" w:space="0" w:color="auto"/>
            </w:tcBorders>
            <w:shd w:val="clear" w:color="auto" w:fill="auto"/>
            <w:vAlign w:val="center"/>
            <w:hideMark/>
          </w:tcPr>
          <w:p w14:paraId="74320975"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 xml:space="preserve">$2,642.08 </w:t>
            </w:r>
          </w:p>
        </w:tc>
      </w:tr>
      <w:tr w:rsidR="001E3F09" w:rsidRPr="001E3F09" w14:paraId="448EF106" w14:textId="77777777" w:rsidTr="001E3F09">
        <w:trPr>
          <w:trHeight w:val="330"/>
        </w:trPr>
        <w:tc>
          <w:tcPr>
            <w:tcW w:w="2680" w:type="dxa"/>
            <w:tcBorders>
              <w:top w:val="nil"/>
              <w:left w:val="single" w:sz="8" w:space="0" w:color="auto"/>
              <w:bottom w:val="single" w:sz="8" w:space="0" w:color="auto"/>
              <w:right w:val="nil"/>
            </w:tcBorders>
            <w:shd w:val="clear" w:color="auto" w:fill="auto"/>
            <w:vAlign w:val="bottom"/>
            <w:hideMark/>
          </w:tcPr>
          <w:p w14:paraId="6126A172"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 </w:t>
            </w:r>
          </w:p>
        </w:tc>
        <w:tc>
          <w:tcPr>
            <w:tcW w:w="960" w:type="dxa"/>
            <w:tcBorders>
              <w:top w:val="nil"/>
              <w:left w:val="nil"/>
              <w:bottom w:val="single" w:sz="8" w:space="0" w:color="auto"/>
              <w:right w:val="nil"/>
            </w:tcBorders>
            <w:shd w:val="clear" w:color="auto" w:fill="auto"/>
            <w:noWrap/>
            <w:vAlign w:val="bottom"/>
            <w:hideMark/>
          </w:tcPr>
          <w:p w14:paraId="220C8535"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 </w:t>
            </w:r>
          </w:p>
        </w:tc>
        <w:tc>
          <w:tcPr>
            <w:tcW w:w="1540" w:type="dxa"/>
            <w:tcBorders>
              <w:top w:val="nil"/>
              <w:left w:val="nil"/>
              <w:bottom w:val="single" w:sz="8" w:space="0" w:color="auto"/>
              <w:right w:val="nil"/>
            </w:tcBorders>
            <w:shd w:val="clear" w:color="auto" w:fill="auto"/>
            <w:noWrap/>
            <w:vAlign w:val="bottom"/>
            <w:hideMark/>
          </w:tcPr>
          <w:p w14:paraId="555F0038"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 </w:t>
            </w:r>
          </w:p>
        </w:tc>
        <w:tc>
          <w:tcPr>
            <w:tcW w:w="1320" w:type="dxa"/>
            <w:tcBorders>
              <w:top w:val="nil"/>
              <w:left w:val="nil"/>
              <w:bottom w:val="single" w:sz="8" w:space="0" w:color="auto"/>
              <w:right w:val="nil"/>
            </w:tcBorders>
            <w:shd w:val="clear" w:color="auto" w:fill="auto"/>
            <w:noWrap/>
            <w:vAlign w:val="bottom"/>
            <w:hideMark/>
          </w:tcPr>
          <w:p w14:paraId="38984680"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 </w:t>
            </w:r>
          </w:p>
        </w:tc>
        <w:tc>
          <w:tcPr>
            <w:tcW w:w="1120" w:type="dxa"/>
            <w:tcBorders>
              <w:top w:val="nil"/>
              <w:left w:val="nil"/>
              <w:bottom w:val="single" w:sz="8" w:space="0" w:color="auto"/>
              <w:right w:val="nil"/>
            </w:tcBorders>
            <w:shd w:val="clear" w:color="auto" w:fill="auto"/>
            <w:noWrap/>
            <w:vAlign w:val="bottom"/>
            <w:hideMark/>
          </w:tcPr>
          <w:p w14:paraId="44D57464"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hours</w:t>
            </w:r>
          </w:p>
        </w:tc>
        <w:tc>
          <w:tcPr>
            <w:tcW w:w="1500" w:type="dxa"/>
            <w:tcBorders>
              <w:top w:val="nil"/>
              <w:left w:val="nil"/>
              <w:bottom w:val="single" w:sz="8" w:space="0" w:color="auto"/>
              <w:right w:val="single" w:sz="8" w:space="0" w:color="auto"/>
            </w:tcBorders>
            <w:shd w:val="clear" w:color="auto" w:fill="auto"/>
            <w:noWrap/>
            <w:vAlign w:val="bottom"/>
            <w:hideMark/>
          </w:tcPr>
          <w:p w14:paraId="4BDEFCA4"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 </w:t>
            </w:r>
          </w:p>
        </w:tc>
      </w:tr>
      <w:tr w:rsidR="001E3F09" w:rsidRPr="001E3F09" w14:paraId="1A4700CC" w14:textId="77777777" w:rsidTr="001E3F09">
        <w:trPr>
          <w:trHeight w:val="315"/>
        </w:trPr>
        <w:tc>
          <w:tcPr>
            <w:tcW w:w="2680" w:type="dxa"/>
            <w:tcBorders>
              <w:top w:val="nil"/>
              <w:left w:val="nil"/>
              <w:bottom w:val="nil"/>
              <w:right w:val="nil"/>
            </w:tcBorders>
            <w:shd w:val="clear" w:color="auto" w:fill="auto"/>
            <w:vAlign w:val="bottom"/>
            <w:hideMark/>
          </w:tcPr>
          <w:p w14:paraId="3AC15E07" w14:textId="77777777" w:rsidR="001E3F09" w:rsidRPr="001E3F09" w:rsidRDefault="001E3F09" w:rsidP="001E3F09">
            <w:pPr>
              <w:tabs>
                <w:tab w:val="clear" w:pos="1069"/>
              </w:tabs>
              <w:spacing w:line="240" w:lineRule="auto"/>
              <w:rPr>
                <w:rFonts w:cs="Calibri"/>
                <w:color w:val="000000"/>
                <w:sz w:val="18"/>
                <w:szCs w:val="18"/>
                <w:u w:val="single"/>
                <w:lang w:bidi="ar-SA"/>
              </w:rPr>
            </w:pPr>
            <w:r w:rsidRPr="001E3F09">
              <w:rPr>
                <w:rFonts w:cs="Calibri"/>
                <w:color w:val="000000"/>
                <w:sz w:val="18"/>
                <w:szCs w:val="18"/>
                <w:u w:val="single"/>
                <w:lang w:bidi="ar-SA"/>
              </w:rPr>
              <w:t>Notes:</w:t>
            </w:r>
          </w:p>
        </w:tc>
        <w:tc>
          <w:tcPr>
            <w:tcW w:w="960" w:type="dxa"/>
            <w:tcBorders>
              <w:top w:val="nil"/>
              <w:left w:val="nil"/>
              <w:bottom w:val="nil"/>
              <w:right w:val="nil"/>
            </w:tcBorders>
            <w:shd w:val="clear" w:color="auto" w:fill="auto"/>
            <w:noWrap/>
            <w:vAlign w:val="bottom"/>
            <w:hideMark/>
          </w:tcPr>
          <w:p w14:paraId="27410D22"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 </w:t>
            </w:r>
          </w:p>
        </w:tc>
        <w:tc>
          <w:tcPr>
            <w:tcW w:w="1540" w:type="dxa"/>
            <w:tcBorders>
              <w:top w:val="nil"/>
              <w:left w:val="nil"/>
              <w:bottom w:val="nil"/>
              <w:right w:val="nil"/>
            </w:tcBorders>
            <w:shd w:val="clear" w:color="auto" w:fill="auto"/>
            <w:noWrap/>
            <w:vAlign w:val="bottom"/>
            <w:hideMark/>
          </w:tcPr>
          <w:p w14:paraId="05A19BFC"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 </w:t>
            </w:r>
          </w:p>
        </w:tc>
        <w:tc>
          <w:tcPr>
            <w:tcW w:w="1320" w:type="dxa"/>
            <w:tcBorders>
              <w:top w:val="nil"/>
              <w:left w:val="nil"/>
              <w:bottom w:val="nil"/>
              <w:right w:val="nil"/>
            </w:tcBorders>
            <w:shd w:val="clear" w:color="auto" w:fill="auto"/>
            <w:noWrap/>
            <w:vAlign w:val="bottom"/>
            <w:hideMark/>
          </w:tcPr>
          <w:p w14:paraId="23E9C2BA"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 </w:t>
            </w:r>
          </w:p>
        </w:tc>
        <w:tc>
          <w:tcPr>
            <w:tcW w:w="1120" w:type="dxa"/>
            <w:tcBorders>
              <w:top w:val="nil"/>
              <w:left w:val="nil"/>
              <w:bottom w:val="nil"/>
              <w:right w:val="nil"/>
            </w:tcBorders>
            <w:shd w:val="clear" w:color="auto" w:fill="auto"/>
            <w:noWrap/>
            <w:vAlign w:val="bottom"/>
            <w:hideMark/>
          </w:tcPr>
          <w:p w14:paraId="59E02B8A" w14:textId="77777777" w:rsidR="001E3F09" w:rsidRPr="001E3F09" w:rsidRDefault="001E3F09" w:rsidP="001E3F09">
            <w:pPr>
              <w:tabs>
                <w:tab w:val="clear" w:pos="1069"/>
              </w:tabs>
              <w:spacing w:line="240" w:lineRule="auto"/>
              <w:jc w:val="right"/>
              <w:rPr>
                <w:rFonts w:cs="Calibri"/>
                <w:color w:val="000000"/>
                <w:sz w:val="22"/>
                <w:szCs w:val="22"/>
                <w:lang w:bidi="ar-SA"/>
              </w:rPr>
            </w:pPr>
            <w:r w:rsidRPr="001E3F09">
              <w:rPr>
                <w:rFonts w:cs="Calibri"/>
                <w:color w:val="000000"/>
                <w:sz w:val="22"/>
                <w:szCs w:val="22"/>
                <w:lang w:bidi="ar-SA"/>
              </w:rPr>
              <w:t> </w:t>
            </w:r>
          </w:p>
        </w:tc>
        <w:tc>
          <w:tcPr>
            <w:tcW w:w="1500" w:type="dxa"/>
            <w:tcBorders>
              <w:top w:val="nil"/>
              <w:left w:val="nil"/>
              <w:bottom w:val="nil"/>
              <w:right w:val="nil"/>
            </w:tcBorders>
            <w:shd w:val="clear" w:color="auto" w:fill="auto"/>
            <w:noWrap/>
            <w:vAlign w:val="bottom"/>
            <w:hideMark/>
          </w:tcPr>
          <w:p w14:paraId="07F34266" w14:textId="77777777" w:rsidR="001E3F09" w:rsidRPr="001E3F09" w:rsidRDefault="001E3F09" w:rsidP="001E3F09">
            <w:pPr>
              <w:tabs>
                <w:tab w:val="clear" w:pos="1069"/>
              </w:tabs>
              <w:spacing w:line="240" w:lineRule="auto"/>
              <w:rPr>
                <w:rFonts w:cs="Calibri"/>
                <w:color w:val="000000"/>
                <w:sz w:val="22"/>
                <w:szCs w:val="22"/>
                <w:lang w:bidi="ar-SA"/>
              </w:rPr>
            </w:pPr>
            <w:r w:rsidRPr="001E3F09">
              <w:rPr>
                <w:rFonts w:cs="Calibri"/>
                <w:color w:val="000000"/>
                <w:sz w:val="22"/>
                <w:szCs w:val="22"/>
                <w:lang w:bidi="ar-SA"/>
              </w:rPr>
              <w:t> </w:t>
            </w:r>
          </w:p>
        </w:tc>
      </w:tr>
      <w:tr w:rsidR="001E3F09" w:rsidRPr="001E3F09" w14:paraId="76B530AC" w14:textId="77777777" w:rsidTr="00853721">
        <w:trPr>
          <w:trHeight w:val="828"/>
        </w:trPr>
        <w:tc>
          <w:tcPr>
            <w:tcW w:w="9120" w:type="dxa"/>
            <w:gridSpan w:val="6"/>
            <w:tcBorders>
              <w:top w:val="nil"/>
              <w:left w:val="nil"/>
              <w:bottom w:val="nil"/>
              <w:right w:val="nil"/>
            </w:tcBorders>
            <w:shd w:val="clear" w:color="auto" w:fill="auto"/>
            <w:hideMark/>
          </w:tcPr>
          <w:p w14:paraId="30F65F5D" w14:textId="77777777" w:rsidR="001E3F09" w:rsidRPr="001E3F09" w:rsidRDefault="001E3F09" w:rsidP="001E3F09">
            <w:pPr>
              <w:tabs>
                <w:tab w:val="clear" w:pos="1069"/>
              </w:tabs>
              <w:spacing w:line="240" w:lineRule="auto"/>
              <w:rPr>
                <w:rFonts w:cs="Calibri"/>
                <w:i/>
                <w:iCs/>
                <w:color w:val="000000"/>
                <w:sz w:val="18"/>
                <w:szCs w:val="18"/>
                <w:lang w:bidi="ar-SA"/>
              </w:rPr>
            </w:pPr>
            <w:r w:rsidRPr="001E3F09">
              <w:rPr>
                <w:rFonts w:cs="Calibri"/>
                <w:i/>
                <w:iCs/>
                <w:color w:val="000000"/>
                <w:sz w:val="18"/>
                <w:szCs w:val="18"/>
                <w:lang w:bidi="ar-SA"/>
              </w:rPr>
              <w:t xml:space="preserve">(1) The earlier ATALM survey was administered to organizations that were already familiar with the organization and had a 32% response rate. The </w:t>
            </w:r>
            <w:r w:rsidRPr="001E3F09">
              <w:rPr>
                <w:rFonts w:cs="Calibri"/>
                <w:b/>
                <w:bCs/>
                <w:i/>
                <w:iCs/>
                <w:color w:val="000000"/>
                <w:sz w:val="18"/>
                <w:szCs w:val="18"/>
                <w:u w:val="single"/>
                <w:lang w:bidi="ar-SA"/>
              </w:rPr>
              <w:t>expectation of a 40% response rate</w:t>
            </w:r>
            <w:r w:rsidRPr="001E3F09">
              <w:rPr>
                <w:rFonts w:cs="Calibri"/>
                <w:i/>
                <w:iCs/>
                <w:color w:val="000000"/>
                <w:sz w:val="18"/>
                <w:szCs w:val="18"/>
                <w:lang w:bidi="ar-SA"/>
              </w:rPr>
              <w:t xml:space="preserve"> is based on the specific administration to prior grant recipients combined with the organizational support of ATALM. Though possibly optimistic in light of current trends of declining response rates, this permits a relatively liberal estimate of potential cost to respondents. </w:t>
            </w:r>
          </w:p>
        </w:tc>
      </w:tr>
      <w:tr w:rsidR="001E3F09" w:rsidRPr="001E3F09" w14:paraId="02878D5C" w14:textId="77777777" w:rsidTr="001E3F09">
        <w:trPr>
          <w:trHeight w:val="300"/>
        </w:trPr>
        <w:tc>
          <w:tcPr>
            <w:tcW w:w="9120" w:type="dxa"/>
            <w:gridSpan w:val="6"/>
            <w:tcBorders>
              <w:top w:val="nil"/>
              <w:left w:val="nil"/>
              <w:bottom w:val="nil"/>
              <w:right w:val="nil"/>
            </w:tcBorders>
            <w:shd w:val="clear" w:color="auto" w:fill="auto"/>
            <w:hideMark/>
          </w:tcPr>
          <w:p w14:paraId="2019380A" w14:textId="4E81CAB8" w:rsidR="001E3F09" w:rsidRPr="001E3F09" w:rsidRDefault="001E3F09" w:rsidP="001E3F09">
            <w:pPr>
              <w:tabs>
                <w:tab w:val="clear" w:pos="1069"/>
              </w:tabs>
              <w:spacing w:line="240" w:lineRule="auto"/>
              <w:rPr>
                <w:rFonts w:cs="Calibri"/>
                <w:i/>
                <w:iCs/>
                <w:color w:val="000000"/>
                <w:sz w:val="18"/>
                <w:szCs w:val="18"/>
                <w:lang w:bidi="ar-SA"/>
              </w:rPr>
            </w:pPr>
            <w:r w:rsidRPr="001E3F09">
              <w:rPr>
                <w:rFonts w:cs="Calibri"/>
                <w:i/>
                <w:iCs/>
                <w:color w:val="000000"/>
                <w:sz w:val="18"/>
                <w:szCs w:val="18"/>
                <w:lang w:bidi="ar-SA"/>
              </w:rPr>
              <w:t>(2) Cost is based on average of Museum and Library Professionals of $27.87/hour</w:t>
            </w:r>
            <w:r w:rsidR="00853721">
              <w:rPr>
                <w:rFonts w:cs="Calibri"/>
                <w:i/>
                <w:iCs/>
                <w:color w:val="000000"/>
                <w:sz w:val="18"/>
                <w:szCs w:val="18"/>
                <w:lang w:bidi="ar-SA"/>
              </w:rPr>
              <w:t>, IMLS 2017 OMB Generic Clearance.</w:t>
            </w:r>
          </w:p>
        </w:tc>
      </w:tr>
    </w:tbl>
    <w:p w14:paraId="18BCD9B8" w14:textId="77777777" w:rsidR="0026710D" w:rsidRPr="00A60C73" w:rsidRDefault="0026710D" w:rsidP="00E65A3C">
      <w:pPr>
        <w:rPr>
          <w:i/>
          <w:sz w:val="18"/>
          <w:szCs w:val="18"/>
        </w:rPr>
      </w:pPr>
    </w:p>
    <w:p w14:paraId="54EB1D3A" w14:textId="2E4B5208" w:rsidR="00FF463C" w:rsidRDefault="00FF463C" w:rsidP="00FF463C">
      <w:pPr>
        <w:pStyle w:val="Heading3"/>
      </w:pPr>
    </w:p>
    <w:p w14:paraId="6DFA16D8" w14:textId="77777777" w:rsidR="00FF463C" w:rsidRPr="00FF463C" w:rsidRDefault="00FF463C" w:rsidP="00FF463C"/>
    <w:p w14:paraId="74FA56FB" w14:textId="282F4AD5" w:rsidR="00D55958" w:rsidRPr="00A60C73" w:rsidRDefault="00E67ECC" w:rsidP="00FF463C">
      <w:pPr>
        <w:pStyle w:val="Heading3"/>
      </w:pPr>
      <w:r w:rsidRPr="00A60C73">
        <w:t>A.13.</w:t>
      </w:r>
      <w:r w:rsidRPr="00A60C73">
        <w:tab/>
        <w:t>Estimates of Cost</w:t>
      </w:r>
    </w:p>
    <w:p w14:paraId="42E7D7F0" w14:textId="77777777" w:rsidR="00D14C6B" w:rsidRPr="00A60C73" w:rsidRDefault="00D14C6B" w:rsidP="00E65A3C">
      <w:pPr>
        <w:rPr>
          <w:lang w:bidi="ar-SA"/>
        </w:rPr>
      </w:pPr>
    </w:p>
    <w:p w14:paraId="5353FCA9" w14:textId="6ADDACD9" w:rsidR="00740D86" w:rsidRPr="00A60C73" w:rsidRDefault="00740D86" w:rsidP="00E65A3C">
      <w:r w:rsidRPr="00A60C73">
        <w:rPr>
          <w:rFonts w:cs="Arial"/>
          <w:u w:val="single"/>
          <w:lang w:bidi="ar-SA"/>
        </w:rPr>
        <w:t>Staff time</w:t>
      </w:r>
      <w:r w:rsidRPr="00A60C73">
        <w:rPr>
          <w:rFonts w:cs="Arial"/>
          <w:lang w:bidi="ar-SA"/>
        </w:rPr>
        <w:t xml:space="preserve">:  </w:t>
      </w:r>
      <w:r w:rsidR="00853721">
        <w:rPr>
          <w:rFonts w:cs="Arial"/>
          <w:lang w:bidi="ar-SA"/>
        </w:rPr>
        <w:t xml:space="preserve">Approximately 94.8 staff hours will be spent completing the survey based on the estimates derived from the survey pre-tests. Using the average salary for Museum and Library Professionals </w:t>
      </w:r>
      <w:r w:rsidR="00692C3C">
        <w:rPr>
          <w:rFonts w:cs="Arial"/>
          <w:lang w:bidi="ar-SA"/>
        </w:rPr>
        <w:t xml:space="preserve">of $27.87 (based on the Bureau of Labor Statistics) </w:t>
      </w:r>
      <w:r w:rsidR="00FD481A" w:rsidRPr="00A60C73">
        <w:rPr>
          <w:rFonts w:cs="Arial"/>
          <w:lang w:bidi="ar-SA"/>
        </w:rPr>
        <w:t xml:space="preserve">the </w:t>
      </w:r>
      <w:r w:rsidR="0069551B" w:rsidRPr="00A60C73">
        <w:rPr>
          <w:rFonts w:cs="Arial"/>
          <w:lang w:bidi="ar-SA"/>
        </w:rPr>
        <w:t>94.8</w:t>
      </w:r>
      <w:r w:rsidR="00FD481A" w:rsidRPr="00A60C73">
        <w:rPr>
          <w:rFonts w:cs="Arial"/>
          <w:lang w:bidi="ar-SA"/>
        </w:rPr>
        <w:t xml:space="preserve"> hours of time is equivalent to $</w:t>
      </w:r>
      <w:r w:rsidR="00692C3C">
        <w:rPr>
          <w:rFonts w:cs="Arial"/>
          <w:lang w:bidi="ar-SA"/>
        </w:rPr>
        <w:t>2,642</w:t>
      </w:r>
      <w:r w:rsidR="00FD481A" w:rsidRPr="00A60C73">
        <w:rPr>
          <w:rFonts w:cs="Arial"/>
          <w:lang w:bidi="ar-SA"/>
        </w:rPr>
        <w:t xml:space="preserve"> (wages only, benefits and overhead not included). Additional ATALM and subcontractor staff time is estimated at $68,000 for survey preparation, administration, data analysis and report writing. </w:t>
      </w:r>
    </w:p>
    <w:p w14:paraId="5810BD81" w14:textId="77777777" w:rsidR="00740D86" w:rsidRPr="00A60C73" w:rsidRDefault="00740D86" w:rsidP="00E65A3C">
      <w:pPr>
        <w:rPr>
          <w:lang w:bidi="ar-SA"/>
        </w:rPr>
      </w:pPr>
    </w:p>
    <w:p w14:paraId="1542DD1A" w14:textId="77777777" w:rsidR="00D14C6B" w:rsidRPr="00A60C73" w:rsidRDefault="00740D86" w:rsidP="00E65A3C">
      <w:pPr>
        <w:rPr>
          <w:b/>
          <w:lang w:bidi="ar-SA"/>
        </w:rPr>
      </w:pPr>
      <w:r w:rsidRPr="00A60C73">
        <w:rPr>
          <w:u w:val="single"/>
          <w:lang w:bidi="ar-SA"/>
        </w:rPr>
        <w:t>Equipment, software or services</w:t>
      </w:r>
      <w:r w:rsidRPr="00A60C73">
        <w:rPr>
          <w:lang w:bidi="ar-SA"/>
        </w:rPr>
        <w:t xml:space="preserve">:  </w:t>
      </w:r>
      <w:r w:rsidR="00D14C6B" w:rsidRPr="00A60C73">
        <w:rPr>
          <w:lang w:bidi="ar-SA"/>
        </w:rPr>
        <w:t xml:space="preserve">This survey does not require respondents to purchase equipment, software, or services beyond those normally used in </w:t>
      </w:r>
      <w:r w:rsidRPr="00A60C73">
        <w:rPr>
          <w:lang w:bidi="ar-SA"/>
        </w:rPr>
        <w:t>cultural</w:t>
      </w:r>
      <w:r w:rsidR="00D14C6B" w:rsidRPr="00A60C73">
        <w:rPr>
          <w:lang w:bidi="ar-SA"/>
        </w:rPr>
        <w:t xml:space="preserve"> centers or as part of customary and usual business.</w:t>
      </w:r>
    </w:p>
    <w:p w14:paraId="4128DCC0" w14:textId="77777777" w:rsidR="00D14C6B" w:rsidRPr="00A60C73" w:rsidRDefault="00D14C6B" w:rsidP="00E65A3C"/>
    <w:p w14:paraId="57A99554" w14:textId="77777777" w:rsidR="00872124" w:rsidRPr="00A60C73" w:rsidRDefault="00740D86" w:rsidP="00E65A3C">
      <w:r w:rsidRPr="00A60C73">
        <w:rPr>
          <w:u w:val="single"/>
        </w:rPr>
        <w:t>Record keeping or reporting costs</w:t>
      </w:r>
      <w:r w:rsidRPr="00A60C73">
        <w:t xml:space="preserve">:  </w:t>
      </w:r>
      <w:r w:rsidR="009B62C6" w:rsidRPr="00A60C73">
        <w:t xml:space="preserve">There are no record keeping or reporting costs to the survey respondents. </w:t>
      </w:r>
    </w:p>
    <w:p w14:paraId="1FD2A0B8" w14:textId="77777777" w:rsidR="00740D86" w:rsidRDefault="00740D86" w:rsidP="00E65A3C"/>
    <w:p w14:paraId="1A96D699" w14:textId="77777777" w:rsidR="00FF463C" w:rsidRPr="00A60C73" w:rsidRDefault="00FF463C" w:rsidP="00E65A3C"/>
    <w:p w14:paraId="6E6C6737" w14:textId="77777777" w:rsidR="00D55958" w:rsidRPr="00A60C73" w:rsidRDefault="00E67ECC" w:rsidP="00FF463C">
      <w:pPr>
        <w:pStyle w:val="Heading3"/>
      </w:pPr>
      <w:r w:rsidRPr="00A60C73">
        <w:t>A.14.</w:t>
      </w:r>
      <w:r w:rsidRPr="00A60C73">
        <w:tab/>
        <w:t>Annualized Cost to the Federal Government</w:t>
      </w:r>
    </w:p>
    <w:p w14:paraId="4FC0A7E9" w14:textId="77777777" w:rsidR="00D55958" w:rsidRPr="00A60C73" w:rsidRDefault="00D55958" w:rsidP="00E65A3C"/>
    <w:p w14:paraId="2CF66419" w14:textId="62C28C54" w:rsidR="00C344E0" w:rsidRPr="00A60C73" w:rsidRDefault="25800DC5" w:rsidP="00E65A3C">
      <w:r>
        <w:t>The total cost to the federal government is $22,000 via a co</w:t>
      </w:r>
      <w:r w:rsidR="006478BA">
        <w:t xml:space="preserve">operative agreement with </w:t>
      </w:r>
      <w:r>
        <w:t xml:space="preserve">ATALM. Additionally, federal government staff cost for approximately 460 hours of labor is approximately $24,000 in wages (excluding overhead and benefits). </w:t>
      </w:r>
    </w:p>
    <w:p w14:paraId="036ACD61" w14:textId="77777777" w:rsidR="00312BF9" w:rsidRPr="00A60C73" w:rsidRDefault="00312BF9" w:rsidP="00E65A3C"/>
    <w:p w14:paraId="3355C1DA" w14:textId="77777777" w:rsidR="00D55958" w:rsidRPr="00A60C73" w:rsidRDefault="00E67ECC" w:rsidP="00FF463C">
      <w:pPr>
        <w:pStyle w:val="Heading3"/>
      </w:pPr>
      <w:r w:rsidRPr="00A60C73">
        <w:t>A.15.</w:t>
      </w:r>
      <w:r w:rsidRPr="00A60C73">
        <w:tab/>
        <w:t>Reasons for Changes in Response Burden and Costs</w:t>
      </w:r>
    </w:p>
    <w:p w14:paraId="7BFAAA33" w14:textId="77777777" w:rsidR="00D55958" w:rsidRPr="00A60C73" w:rsidRDefault="00D55958" w:rsidP="00E65A3C"/>
    <w:p w14:paraId="5A6056D8" w14:textId="683D624A" w:rsidR="00BB2F77" w:rsidRPr="00A60C73" w:rsidRDefault="00201CB4" w:rsidP="00E65A3C">
      <w:r w:rsidRPr="00A60C73">
        <w:t xml:space="preserve">Not applicable. </w:t>
      </w:r>
    </w:p>
    <w:p w14:paraId="3CF08119" w14:textId="77777777" w:rsidR="00FB22F0" w:rsidRPr="00A60C73" w:rsidRDefault="00FB22F0" w:rsidP="00E65A3C"/>
    <w:p w14:paraId="719573BF" w14:textId="77777777" w:rsidR="00D55958" w:rsidRPr="00A60C73" w:rsidRDefault="00E67ECC" w:rsidP="00FF463C">
      <w:pPr>
        <w:pStyle w:val="Heading3"/>
      </w:pPr>
      <w:r w:rsidRPr="00A60C73">
        <w:t>A.16.</w:t>
      </w:r>
      <w:r w:rsidRPr="00A60C73">
        <w:tab/>
        <w:t>Publication Plans and Time Schedule</w:t>
      </w:r>
      <w:r w:rsidR="00E4790B" w:rsidRPr="00A60C73">
        <w:t xml:space="preserve"> </w:t>
      </w:r>
    </w:p>
    <w:p w14:paraId="6CA095D4" w14:textId="77777777" w:rsidR="00F75267" w:rsidRPr="00A60C73" w:rsidRDefault="00F75267" w:rsidP="00F75267"/>
    <w:p w14:paraId="0D865429" w14:textId="3D79465D" w:rsidR="004F3856" w:rsidRPr="00A60C73" w:rsidRDefault="00840E24" w:rsidP="00E65A3C">
      <w:r w:rsidRPr="00A60C73">
        <w:t xml:space="preserve">Table 2 summarizes key milestones relative to the OMB approval date for the 2019 survey. </w:t>
      </w:r>
      <w:r w:rsidR="00456051" w:rsidRPr="00A60C73">
        <w:t xml:space="preserve">Once OMB approval has been secured, the survey notifications will be sent to </w:t>
      </w:r>
      <w:r w:rsidRPr="00A60C73">
        <w:t>leaders of each tribe followed by an email to the relevant point of contact for each unit in the universe. There will be a</w:t>
      </w:r>
      <w:r w:rsidR="00456051" w:rsidRPr="00A60C73">
        <w:t xml:space="preserve"> one-month response window for the questionnaire. Data preparation, cleaning and analysis will take almost a month, with a final report</w:t>
      </w:r>
      <w:r w:rsidR="00F75267" w:rsidRPr="00A60C73">
        <w:t xml:space="preserve"> published on the ATALM website</w:t>
      </w:r>
      <w:r w:rsidR="00456051" w:rsidRPr="00A60C73">
        <w:t xml:space="preserve"> within 4-5 months of OMB appro</w:t>
      </w:r>
      <w:r w:rsidRPr="00A60C73">
        <w:t>v</w:t>
      </w:r>
      <w:r w:rsidR="00456051" w:rsidRPr="00A60C73">
        <w:t>al</w:t>
      </w:r>
      <w:r w:rsidR="00F75267" w:rsidRPr="00A60C73">
        <w:t xml:space="preserve">. The proposed schedule is shown in Table </w:t>
      </w:r>
      <w:r w:rsidR="00456051" w:rsidRPr="00A60C73">
        <w:t>2</w:t>
      </w:r>
      <w:r w:rsidR="00F75267" w:rsidRPr="00A60C73">
        <w:t xml:space="preserve">. Dates are contingent upon OMB approval of this package. </w:t>
      </w:r>
    </w:p>
    <w:p w14:paraId="58108FFE" w14:textId="77777777" w:rsidR="0069551B" w:rsidRPr="00A60C73" w:rsidRDefault="0069551B" w:rsidP="00E65A3C"/>
    <w:p w14:paraId="46F5D91E" w14:textId="77777777" w:rsidR="00F75267" w:rsidRDefault="00F75267" w:rsidP="00E65A3C"/>
    <w:p w14:paraId="1FB904ED" w14:textId="77777777" w:rsidR="00FF463C" w:rsidRPr="00A60C73" w:rsidRDefault="00FF463C" w:rsidP="00E65A3C"/>
    <w:p w14:paraId="74F5623A" w14:textId="77777777" w:rsidR="00FF463C" w:rsidRDefault="00FF463C">
      <w:pPr>
        <w:tabs>
          <w:tab w:val="clear" w:pos="1069"/>
        </w:tabs>
        <w:spacing w:line="240" w:lineRule="auto"/>
        <w:rPr>
          <w:b/>
        </w:rPr>
      </w:pPr>
      <w:r>
        <w:br w:type="page"/>
      </w:r>
    </w:p>
    <w:p w14:paraId="7557606A" w14:textId="221AB097" w:rsidR="004F3856" w:rsidRPr="00A60C73" w:rsidRDefault="004F2DAE" w:rsidP="00F75267">
      <w:pPr>
        <w:pStyle w:val="Heading4"/>
      </w:pPr>
      <w:r w:rsidRPr="00A60C73">
        <w:t xml:space="preserve">Table </w:t>
      </w:r>
      <w:r w:rsidR="00456051" w:rsidRPr="00A60C73">
        <w:t>2</w:t>
      </w:r>
      <w:r w:rsidRPr="00A60C73">
        <w:t>. P</w:t>
      </w:r>
      <w:r w:rsidR="00E82D28" w:rsidRPr="00A60C73">
        <w:t>roposed</w:t>
      </w:r>
      <w:r w:rsidR="004F3856" w:rsidRPr="00A60C73">
        <w:t xml:space="preserve"> </w:t>
      </w:r>
      <w:r w:rsidRPr="00A60C73">
        <w:t>S</w:t>
      </w:r>
      <w:r w:rsidR="004F3856" w:rsidRPr="00A60C73">
        <w:t>chedule:</w:t>
      </w:r>
    </w:p>
    <w:tbl>
      <w:tblPr>
        <w:tblStyle w:val="TableGrid"/>
        <w:tblW w:w="0" w:type="auto"/>
        <w:tblLook w:val="04A0" w:firstRow="1" w:lastRow="0" w:firstColumn="1" w:lastColumn="0" w:noHBand="0" w:noVBand="1"/>
      </w:tblPr>
      <w:tblGrid>
        <w:gridCol w:w="4765"/>
        <w:gridCol w:w="3924"/>
      </w:tblGrid>
      <w:tr w:rsidR="009862AD" w:rsidRPr="00A60C73" w14:paraId="6E06C843" w14:textId="088336DA" w:rsidTr="0039658F">
        <w:trPr>
          <w:tblHeader/>
        </w:trPr>
        <w:tc>
          <w:tcPr>
            <w:tcW w:w="4765" w:type="dxa"/>
            <w:shd w:val="clear" w:color="auto" w:fill="DBE5F1" w:themeFill="accent1" w:themeFillTint="33"/>
          </w:tcPr>
          <w:p w14:paraId="3243224C" w14:textId="11BC3CC7" w:rsidR="009862AD" w:rsidRPr="00A60C73" w:rsidRDefault="009862AD" w:rsidP="00E65A3C">
            <w:r w:rsidRPr="00A60C73">
              <w:t>Survey Work</w:t>
            </w:r>
          </w:p>
        </w:tc>
        <w:tc>
          <w:tcPr>
            <w:tcW w:w="3924" w:type="dxa"/>
            <w:shd w:val="clear" w:color="auto" w:fill="DBE5F1" w:themeFill="accent1" w:themeFillTint="33"/>
          </w:tcPr>
          <w:p w14:paraId="3E647E66" w14:textId="77777777" w:rsidR="00840E24" w:rsidRPr="00A60C73" w:rsidRDefault="009862AD" w:rsidP="009862AD">
            <w:r w:rsidRPr="00A60C73">
              <w:t xml:space="preserve">Days after OMB approval </w:t>
            </w:r>
          </w:p>
          <w:p w14:paraId="54878504" w14:textId="3051ED51" w:rsidR="009862AD" w:rsidRPr="00A60C73" w:rsidRDefault="009862AD" w:rsidP="009862AD">
            <w:r w:rsidRPr="00A60C73">
              <w:rPr>
                <w:i/>
              </w:rPr>
              <w:t>(Activity duration)</w:t>
            </w:r>
          </w:p>
        </w:tc>
      </w:tr>
      <w:tr w:rsidR="009862AD" w:rsidRPr="00A60C73" w14:paraId="424A23AF" w14:textId="2905777F" w:rsidTr="0039658F">
        <w:tc>
          <w:tcPr>
            <w:tcW w:w="4765" w:type="dxa"/>
          </w:tcPr>
          <w:p w14:paraId="153D9C11" w14:textId="24FC9423" w:rsidR="009862AD" w:rsidRPr="00A60C73" w:rsidRDefault="009862AD" w:rsidP="00E65A3C">
            <w:r w:rsidRPr="00A60C73">
              <w:t>Survey announcement</w:t>
            </w:r>
            <w:r w:rsidR="0039658F" w:rsidRPr="00A60C73">
              <w:t xml:space="preserve"> and official request</w:t>
            </w:r>
          </w:p>
        </w:tc>
        <w:tc>
          <w:tcPr>
            <w:tcW w:w="3924" w:type="dxa"/>
          </w:tcPr>
          <w:p w14:paraId="7798F70A" w14:textId="4EDCBCFB" w:rsidR="009862AD" w:rsidRPr="00A60C73" w:rsidRDefault="009862AD" w:rsidP="00840E24">
            <w:pPr>
              <w:jc w:val="right"/>
            </w:pPr>
            <w:r w:rsidRPr="00A60C73">
              <w:t>15 days after OMB approval</w:t>
            </w:r>
          </w:p>
        </w:tc>
      </w:tr>
      <w:tr w:rsidR="009862AD" w:rsidRPr="00A60C73" w14:paraId="076996E9" w14:textId="3F7AE832" w:rsidTr="0039658F">
        <w:tc>
          <w:tcPr>
            <w:tcW w:w="4765" w:type="dxa"/>
          </w:tcPr>
          <w:p w14:paraId="3147BD87" w14:textId="4E1A3F5B" w:rsidR="009862AD" w:rsidRPr="00A60C73" w:rsidRDefault="009862AD" w:rsidP="00E65A3C">
            <w:r w:rsidRPr="00A60C73">
              <w:t>Survey distribution (first email)</w:t>
            </w:r>
          </w:p>
        </w:tc>
        <w:tc>
          <w:tcPr>
            <w:tcW w:w="3924" w:type="dxa"/>
          </w:tcPr>
          <w:p w14:paraId="283EAC6D" w14:textId="054ACD38" w:rsidR="009862AD" w:rsidRPr="00A60C73" w:rsidRDefault="009862AD" w:rsidP="00840E24">
            <w:pPr>
              <w:jc w:val="right"/>
            </w:pPr>
            <w:r w:rsidRPr="00A60C73">
              <w:t xml:space="preserve">22 days </w:t>
            </w:r>
          </w:p>
        </w:tc>
      </w:tr>
      <w:tr w:rsidR="009862AD" w:rsidRPr="00A60C73" w14:paraId="0ECF3D4F" w14:textId="155CDB7E" w:rsidTr="0039658F">
        <w:tc>
          <w:tcPr>
            <w:tcW w:w="4765" w:type="dxa"/>
          </w:tcPr>
          <w:p w14:paraId="78CF1CCB" w14:textId="364A68C1" w:rsidR="009862AD" w:rsidRPr="00A60C73" w:rsidRDefault="009862AD" w:rsidP="00E65A3C">
            <w:r w:rsidRPr="00A60C73">
              <w:t>Reminder (second email)</w:t>
            </w:r>
          </w:p>
        </w:tc>
        <w:tc>
          <w:tcPr>
            <w:tcW w:w="3924" w:type="dxa"/>
          </w:tcPr>
          <w:p w14:paraId="3C9081C5" w14:textId="4B7345D2" w:rsidR="009862AD" w:rsidRPr="00A60C73" w:rsidRDefault="009862AD" w:rsidP="00840E24">
            <w:pPr>
              <w:jc w:val="right"/>
            </w:pPr>
            <w:r w:rsidRPr="00A60C73">
              <w:t>29 days</w:t>
            </w:r>
          </w:p>
        </w:tc>
      </w:tr>
      <w:tr w:rsidR="009862AD" w:rsidRPr="00A60C73" w14:paraId="58B66C10" w14:textId="67063AA3" w:rsidTr="0039658F">
        <w:tc>
          <w:tcPr>
            <w:tcW w:w="4765" w:type="dxa"/>
          </w:tcPr>
          <w:p w14:paraId="3F6FB1E7" w14:textId="2AC50A92" w:rsidR="009862AD" w:rsidRPr="00A60C73" w:rsidRDefault="009862AD" w:rsidP="00E65A3C">
            <w:r w:rsidRPr="00A60C73">
              <w:t>Reminder (third email)</w:t>
            </w:r>
          </w:p>
        </w:tc>
        <w:tc>
          <w:tcPr>
            <w:tcW w:w="3924" w:type="dxa"/>
          </w:tcPr>
          <w:p w14:paraId="3B08B938" w14:textId="67D7D403" w:rsidR="009862AD" w:rsidRPr="00A60C73" w:rsidRDefault="009862AD" w:rsidP="00840E24">
            <w:pPr>
              <w:jc w:val="right"/>
            </w:pPr>
            <w:r w:rsidRPr="00A60C73">
              <w:t>36 days</w:t>
            </w:r>
          </w:p>
        </w:tc>
      </w:tr>
      <w:tr w:rsidR="009862AD" w:rsidRPr="00A60C73" w14:paraId="06257042" w14:textId="2E3A499D" w:rsidTr="0039658F">
        <w:tc>
          <w:tcPr>
            <w:tcW w:w="4765" w:type="dxa"/>
          </w:tcPr>
          <w:p w14:paraId="695C9008" w14:textId="08D2FBA2" w:rsidR="009862AD" w:rsidRPr="00A60C73" w:rsidRDefault="009862AD" w:rsidP="009862AD">
            <w:r w:rsidRPr="00A60C73">
              <w:t>Phone calls to non-respondents</w:t>
            </w:r>
          </w:p>
        </w:tc>
        <w:tc>
          <w:tcPr>
            <w:tcW w:w="3924" w:type="dxa"/>
          </w:tcPr>
          <w:p w14:paraId="1F0E642A" w14:textId="49CE1FB9" w:rsidR="009862AD" w:rsidRPr="00A60C73" w:rsidRDefault="009862AD" w:rsidP="00840E24">
            <w:pPr>
              <w:jc w:val="right"/>
            </w:pPr>
            <w:r w:rsidRPr="00A60C73">
              <w:t>37-45 days</w:t>
            </w:r>
            <w:r w:rsidR="00840E24" w:rsidRPr="00A60C73">
              <w:rPr>
                <w:i/>
              </w:rPr>
              <w:t xml:space="preserve"> (One week)</w:t>
            </w:r>
          </w:p>
        </w:tc>
      </w:tr>
      <w:tr w:rsidR="009862AD" w:rsidRPr="00A60C73" w14:paraId="31F2292A" w14:textId="08877B56" w:rsidTr="0039658F">
        <w:tc>
          <w:tcPr>
            <w:tcW w:w="4765" w:type="dxa"/>
          </w:tcPr>
          <w:p w14:paraId="65505503" w14:textId="68CE644E" w:rsidR="009862AD" w:rsidRPr="00A60C73" w:rsidRDefault="009862AD" w:rsidP="00E65A3C">
            <w:r w:rsidRPr="00A60C73">
              <w:t>Reminder (fourth/final email)</w:t>
            </w:r>
          </w:p>
        </w:tc>
        <w:tc>
          <w:tcPr>
            <w:tcW w:w="3924" w:type="dxa"/>
          </w:tcPr>
          <w:p w14:paraId="55DA4767" w14:textId="748B8907" w:rsidR="009862AD" w:rsidRPr="00A60C73" w:rsidRDefault="009862AD" w:rsidP="00840E24">
            <w:pPr>
              <w:jc w:val="right"/>
            </w:pPr>
            <w:r w:rsidRPr="00A60C73">
              <w:t>46 days</w:t>
            </w:r>
          </w:p>
        </w:tc>
      </w:tr>
      <w:tr w:rsidR="009862AD" w:rsidRPr="00A60C73" w14:paraId="524C9976" w14:textId="1C73D029" w:rsidTr="0039658F">
        <w:tc>
          <w:tcPr>
            <w:tcW w:w="4765" w:type="dxa"/>
          </w:tcPr>
          <w:p w14:paraId="3221F591" w14:textId="5957F7A5" w:rsidR="009862AD" w:rsidRPr="00A60C73" w:rsidRDefault="009862AD" w:rsidP="00E65A3C">
            <w:r w:rsidRPr="00A60C73">
              <w:t>Survey due date</w:t>
            </w:r>
          </w:p>
        </w:tc>
        <w:tc>
          <w:tcPr>
            <w:tcW w:w="3924" w:type="dxa"/>
          </w:tcPr>
          <w:p w14:paraId="5BD69630" w14:textId="57861E09" w:rsidR="009862AD" w:rsidRPr="00A60C73" w:rsidRDefault="009862AD" w:rsidP="00840E24">
            <w:pPr>
              <w:jc w:val="right"/>
            </w:pPr>
            <w:r w:rsidRPr="00A60C73">
              <w:t xml:space="preserve">47 days </w:t>
            </w:r>
            <w:r w:rsidRPr="00A60C73">
              <w:rPr>
                <w:i/>
              </w:rPr>
              <w:t>(Survey in field for 30 days)</w:t>
            </w:r>
          </w:p>
        </w:tc>
      </w:tr>
      <w:tr w:rsidR="009862AD" w:rsidRPr="00A60C73" w14:paraId="56A9E241" w14:textId="296F1C47" w:rsidTr="0039658F">
        <w:tc>
          <w:tcPr>
            <w:tcW w:w="4765" w:type="dxa"/>
          </w:tcPr>
          <w:p w14:paraId="181CF328" w14:textId="239F2C99" w:rsidR="009862AD" w:rsidRPr="00A60C73" w:rsidRDefault="009862AD" w:rsidP="00E65A3C">
            <w:r w:rsidRPr="00A60C73">
              <w:t>Data cleaning and preparation</w:t>
            </w:r>
          </w:p>
        </w:tc>
        <w:tc>
          <w:tcPr>
            <w:tcW w:w="3924" w:type="dxa"/>
          </w:tcPr>
          <w:p w14:paraId="29A9157B" w14:textId="4F3B1A02" w:rsidR="009862AD" w:rsidRPr="00A60C73" w:rsidRDefault="009862AD" w:rsidP="00840E24">
            <w:pPr>
              <w:jc w:val="right"/>
            </w:pPr>
            <w:r w:rsidRPr="00A60C73">
              <w:t>48 - 55 days</w:t>
            </w:r>
            <w:r w:rsidRPr="00A60C73">
              <w:rPr>
                <w:i/>
              </w:rPr>
              <w:t xml:space="preserve"> (One week)</w:t>
            </w:r>
          </w:p>
        </w:tc>
      </w:tr>
      <w:tr w:rsidR="009862AD" w:rsidRPr="00A60C73" w14:paraId="1EB5EB67" w14:textId="4765BA83" w:rsidTr="0039658F">
        <w:tc>
          <w:tcPr>
            <w:tcW w:w="4765" w:type="dxa"/>
          </w:tcPr>
          <w:p w14:paraId="20EEB777" w14:textId="2C7EB3B0" w:rsidR="009862AD" w:rsidRPr="00A60C73" w:rsidRDefault="009862AD" w:rsidP="00E65A3C">
            <w:r w:rsidRPr="00A60C73">
              <w:t>Data analysis</w:t>
            </w:r>
          </w:p>
        </w:tc>
        <w:tc>
          <w:tcPr>
            <w:tcW w:w="3924" w:type="dxa"/>
          </w:tcPr>
          <w:p w14:paraId="010101FD" w14:textId="2961974B" w:rsidR="009862AD" w:rsidRPr="00A60C73" w:rsidRDefault="009862AD" w:rsidP="00840E24">
            <w:pPr>
              <w:jc w:val="right"/>
            </w:pPr>
            <w:r w:rsidRPr="00A60C73">
              <w:t xml:space="preserve">56 – 70 days </w:t>
            </w:r>
            <w:r w:rsidRPr="00A60C73">
              <w:rPr>
                <w:i/>
              </w:rPr>
              <w:t>(Two weeks)</w:t>
            </w:r>
          </w:p>
        </w:tc>
      </w:tr>
      <w:tr w:rsidR="009862AD" w:rsidRPr="00A60C73" w14:paraId="5C04B5BA" w14:textId="0A184E4F" w:rsidTr="0039658F">
        <w:tc>
          <w:tcPr>
            <w:tcW w:w="4765" w:type="dxa"/>
          </w:tcPr>
          <w:p w14:paraId="23807D71" w14:textId="13C03311" w:rsidR="009862AD" w:rsidRPr="00A60C73" w:rsidRDefault="009862AD" w:rsidP="00E65A3C">
            <w:r w:rsidRPr="00A60C73">
              <w:t>Report writing and review</w:t>
            </w:r>
          </w:p>
        </w:tc>
        <w:tc>
          <w:tcPr>
            <w:tcW w:w="3924" w:type="dxa"/>
          </w:tcPr>
          <w:p w14:paraId="13591844" w14:textId="0EEF2E61" w:rsidR="009862AD" w:rsidRPr="00A60C73" w:rsidRDefault="009862AD" w:rsidP="00840E24">
            <w:pPr>
              <w:jc w:val="right"/>
            </w:pPr>
            <w:r w:rsidRPr="00A60C73">
              <w:t xml:space="preserve">71 days – 110 days </w:t>
            </w:r>
            <w:r w:rsidRPr="00A60C73">
              <w:rPr>
                <w:i/>
              </w:rPr>
              <w:t>(~5-6 weeks)</w:t>
            </w:r>
          </w:p>
        </w:tc>
      </w:tr>
      <w:tr w:rsidR="009862AD" w:rsidRPr="00A60C73" w14:paraId="23123D5C" w14:textId="6ACF25BB" w:rsidTr="0039658F">
        <w:tc>
          <w:tcPr>
            <w:tcW w:w="4765" w:type="dxa"/>
          </w:tcPr>
          <w:p w14:paraId="4801A261" w14:textId="7FE3EA55" w:rsidR="009862AD" w:rsidRPr="00A60C73" w:rsidRDefault="009862AD" w:rsidP="00E65A3C">
            <w:r w:rsidRPr="00A60C73">
              <w:t>Report released online</w:t>
            </w:r>
          </w:p>
        </w:tc>
        <w:tc>
          <w:tcPr>
            <w:tcW w:w="3924" w:type="dxa"/>
          </w:tcPr>
          <w:p w14:paraId="01BF4DA4" w14:textId="03A3CDA8" w:rsidR="009862AD" w:rsidRPr="00A60C73" w:rsidRDefault="009862AD" w:rsidP="00840E24">
            <w:pPr>
              <w:jc w:val="right"/>
            </w:pPr>
            <w:r w:rsidRPr="00A60C73">
              <w:t xml:space="preserve">145 days </w:t>
            </w:r>
          </w:p>
        </w:tc>
      </w:tr>
    </w:tbl>
    <w:p w14:paraId="341AB333" w14:textId="77777777" w:rsidR="004F3856" w:rsidRPr="00A60C73" w:rsidRDefault="004F3856" w:rsidP="00E65A3C"/>
    <w:p w14:paraId="57BE6493" w14:textId="77777777" w:rsidR="00D55958" w:rsidRPr="00A60C73" w:rsidRDefault="00E67ECC" w:rsidP="00FF463C">
      <w:pPr>
        <w:pStyle w:val="Heading3"/>
      </w:pPr>
      <w:r w:rsidRPr="00A60C73">
        <w:t>A.17.</w:t>
      </w:r>
      <w:r w:rsidRPr="00A60C73">
        <w:tab/>
        <w:t>Approval for Not Displaying the Expiration Date for OMB Approval</w:t>
      </w:r>
    </w:p>
    <w:p w14:paraId="3E254B58" w14:textId="77777777" w:rsidR="00D55958" w:rsidRPr="00A60C73" w:rsidRDefault="00D55958" w:rsidP="00E65A3C"/>
    <w:p w14:paraId="37C8570C" w14:textId="77777777" w:rsidR="00DC18EA" w:rsidRPr="00A60C73" w:rsidRDefault="00E67ECC" w:rsidP="00E65A3C">
      <w:r w:rsidRPr="00A60C73">
        <w:t xml:space="preserve">No exemption from the requirements to display the expiration date for OMB approval of the information collection is being requested for the </w:t>
      </w:r>
      <w:r w:rsidR="00E77C8A" w:rsidRPr="00A60C73">
        <w:t>ATALM</w:t>
      </w:r>
      <w:r w:rsidRPr="00A60C73">
        <w:t xml:space="preserve"> data collection. </w:t>
      </w:r>
      <w:r w:rsidR="00DC18EA" w:rsidRPr="00A60C73">
        <w:t xml:space="preserve">The OMB approval number and expiration date will be displayed </w:t>
      </w:r>
      <w:r w:rsidR="004F3856" w:rsidRPr="00A60C73">
        <w:t>at the top of the web survey instrument</w:t>
      </w:r>
      <w:r w:rsidR="00DC18EA" w:rsidRPr="00A60C73">
        <w:t>.</w:t>
      </w:r>
    </w:p>
    <w:p w14:paraId="1BC0264D" w14:textId="77777777" w:rsidR="00FB22F0" w:rsidRPr="00A60C73" w:rsidRDefault="00FB22F0" w:rsidP="00E65A3C"/>
    <w:p w14:paraId="358A21A1" w14:textId="77777777" w:rsidR="00D55958" w:rsidRPr="00A60C73" w:rsidRDefault="00E67ECC" w:rsidP="00FF463C">
      <w:pPr>
        <w:pStyle w:val="Heading3"/>
      </w:pPr>
      <w:r w:rsidRPr="00A60C73">
        <w:t>A.18.</w:t>
      </w:r>
      <w:r w:rsidRPr="00A60C73">
        <w:tab/>
        <w:t>Exceptions to the Certification Statement</w:t>
      </w:r>
    </w:p>
    <w:p w14:paraId="0F38E62C" w14:textId="77777777" w:rsidR="00DC18EA" w:rsidRPr="00A60C73" w:rsidRDefault="00DC18EA" w:rsidP="00E65A3C"/>
    <w:p w14:paraId="14E2E0CE" w14:textId="7CC39285" w:rsidR="00DC18EA" w:rsidRPr="00A60C73" w:rsidRDefault="00E67ECC" w:rsidP="00E65A3C">
      <w:r w:rsidRPr="00A60C73">
        <w:t>No exceptions to the certification statement identified in Item 19, “Certification for Paperwork Reduction Act Submissions,”</w:t>
      </w:r>
      <w:r w:rsidR="00792808" w:rsidRPr="00A60C73">
        <w:t xml:space="preserve"> </w:t>
      </w:r>
      <w:r w:rsidRPr="00A60C73">
        <w:t xml:space="preserve">apply to the </w:t>
      </w:r>
      <w:r w:rsidR="00E77C8A" w:rsidRPr="00A60C73">
        <w:t>ATALM</w:t>
      </w:r>
      <w:r w:rsidR="004F3856" w:rsidRPr="00A60C73">
        <w:t xml:space="preserve"> Survey</w:t>
      </w:r>
      <w:r w:rsidRPr="00A60C73">
        <w:t>.</w:t>
      </w:r>
    </w:p>
    <w:p w14:paraId="5ED708DD" w14:textId="77777777" w:rsidR="00E4790B" w:rsidRPr="00A60C73" w:rsidRDefault="00E4790B" w:rsidP="00E65A3C"/>
    <w:p w14:paraId="7A7BF1CE" w14:textId="77777777" w:rsidR="00247595" w:rsidRPr="00A60C73" w:rsidRDefault="00247595" w:rsidP="00E65A3C"/>
    <w:sectPr w:rsidR="00247595" w:rsidRPr="00A60C73" w:rsidSect="006A6B1F">
      <w:footerReference w:type="default" r:id="rId17"/>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642DCF61" w16cid:durableId="1FE2F75B"/>
  <w16cid:commentId w16cid:paraId="0B3FFF80" w16cid:durableId="05FC5AAE"/>
  <w16cid:commentId w16cid:paraId="3A9F7759" w16cid:durableId="1FE6F514"/>
  <w16cid:commentId w16cid:paraId="5574D034" w16cid:durableId="1FE6F856"/>
  <w16cid:commentId w16cid:paraId="5E8F9BFC" w16cid:durableId="1FE6F8BF"/>
  <w16cid:commentId w16cid:paraId="3F509E18" w16cid:durableId="1FE2FB4C"/>
  <w16cid:commentId w16cid:paraId="53B56589" w16cid:durableId="1C5D8BF6"/>
  <w16cid:commentId w16cid:paraId="54098DF2" w16cid:durableId="5A935FEE"/>
  <w16cid:commentId w16cid:paraId="1F634C55" w16cid:durableId="36307664"/>
  <w16cid:commentId w16cid:paraId="12113779" w16cid:durableId="31EE1308"/>
  <w16cid:commentId w16cid:paraId="4B19F915" w16cid:durableId="5D33BAC0"/>
  <w16cid:commentId w16cid:paraId="0BEB79CE" w16cid:durableId="0B623FE1"/>
  <w16cid:commentId w16cid:paraId="61642E5A" w16cid:durableId="08DF11CA"/>
  <w16cid:commentId w16cid:paraId="174756CC" w16cid:durableId="7A65889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9EAAE" w14:textId="77777777" w:rsidR="00F7377A" w:rsidRDefault="00F7377A" w:rsidP="00E65A3C">
      <w:r>
        <w:separator/>
      </w:r>
    </w:p>
  </w:endnote>
  <w:endnote w:type="continuationSeparator" w:id="0">
    <w:p w14:paraId="76A5DDCD" w14:textId="77777777" w:rsidR="00F7377A" w:rsidRDefault="00F7377A" w:rsidP="00E65A3C">
      <w:r>
        <w:continuationSeparator/>
      </w:r>
    </w:p>
  </w:endnote>
  <w:endnote w:type="continuationNotice" w:id="1">
    <w:p w14:paraId="761E02A1" w14:textId="77777777" w:rsidR="00F7377A" w:rsidRDefault="00F7377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C1D22" w14:textId="77777777" w:rsidR="005C7846" w:rsidRPr="007734F9" w:rsidRDefault="005C7846" w:rsidP="007734F9">
    <w:pPr>
      <w:pStyle w:val="Footer"/>
      <w:jc w:val="right"/>
      <w:rPr>
        <w:rFonts w:ascii="Franklin Gothic Book" w:hAnsi="Franklin Gothic Book"/>
      </w:rPr>
    </w:pPr>
    <w:r w:rsidRPr="007734F9">
      <w:rPr>
        <w:rStyle w:val="PageNumber"/>
        <w:rFonts w:ascii="Franklin Gothic Book" w:hAnsi="Franklin Gothic Book"/>
        <w:sz w:val="20"/>
        <w:szCs w:val="20"/>
      </w:rPr>
      <w:t xml:space="preserve">IMLS – ATALM: Supporting Statement A | </w:t>
    </w:r>
    <w:r w:rsidRPr="007734F9">
      <w:rPr>
        <w:rStyle w:val="PageNumber"/>
        <w:rFonts w:ascii="Franklin Gothic Book" w:hAnsi="Franklin Gothic Book"/>
        <w:sz w:val="20"/>
        <w:szCs w:val="20"/>
      </w:rPr>
      <w:fldChar w:fldCharType="begin"/>
    </w:r>
    <w:r w:rsidRPr="007734F9">
      <w:rPr>
        <w:rStyle w:val="PageNumber"/>
        <w:rFonts w:ascii="Franklin Gothic Book" w:hAnsi="Franklin Gothic Book"/>
        <w:sz w:val="20"/>
        <w:szCs w:val="20"/>
      </w:rPr>
      <w:instrText xml:space="preserve"> PAGE </w:instrText>
    </w:r>
    <w:r w:rsidRPr="007734F9">
      <w:rPr>
        <w:rStyle w:val="PageNumber"/>
        <w:rFonts w:ascii="Franklin Gothic Book" w:hAnsi="Franklin Gothic Book"/>
        <w:sz w:val="20"/>
        <w:szCs w:val="20"/>
      </w:rPr>
      <w:fldChar w:fldCharType="separate"/>
    </w:r>
    <w:r w:rsidR="00997DAB">
      <w:rPr>
        <w:rStyle w:val="PageNumber"/>
        <w:rFonts w:ascii="Franklin Gothic Book" w:hAnsi="Franklin Gothic Book"/>
        <w:noProof/>
        <w:sz w:val="20"/>
        <w:szCs w:val="20"/>
      </w:rPr>
      <w:t>1</w:t>
    </w:r>
    <w:r w:rsidRPr="007734F9">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F95E8" w14:textId="77777777" w:rsidR="00F7377A" w:rsidRDefault="00F7377A" w:rsidP="00E65A3C">
      <w:r>
        <w:separator/>
      </w:r>
    </w:p>
  </w:footnote>
  <w:footnote w:type="continuationSeparator" w:id="0">
    <w:p w14:paraId="64658C48" w14:textId="77777777" w:rsidR="00F7377A" w:rsidRDefault="00F7377A" w:rsidP="00E65A3C">
      <w:r>
        <w:continuationSeparator/>
      </w:r>
    </w:p>
  </w:footnote>
  <w:footnote w:type="continuationNotice" w:id="1">
    <w:p w14:paraId="3576C6C8" w14:textId="77777777" w:rsidR="00F7377A" w:rsidRDefault="00F7377A">
      <w:pPr>
        <w:spacing w:line="240" w:lineRule="auto"/>
      </w:pPr>
    </w:p>
  </w:footnote>
  <w:footnote w:id="2">
    <w:p w14:paraId="2DE935EA" w14:textId="717D1A5C" w:rsidR="009D5C3A" w:rsidRPr="00A60C73" w:rsidRDefault="009D5C3A" w:rsidP="64245F67">
      <w:pPr>
        <w:pStyle w:val="FootnoteText"/>
        <w:rPr>
          <w:rFonts w:ascii="Franklin Gothic Book" w:hAnsi="Franklin Gothic Book"/>
        </w:rPr>
      </w:pPr>
      <w:r w:rsidRPr="00A60C73">
        <w:rPr>
          <w:rStyle w:val="FootnoteReference"/>
          <w:rFonts w:ascii="Franklin Gothic Book" w:hAnsi="Franklin Gothic Book"/>
        </w:rPr>
        <w:footnoteRef/>
      </w:r>
      <w:r w:rsidRPr="00A60C73">
        <w:rPr>
          <w:rFonts w:ascii="Franklin Gothic Book" w:hAnsi="Franklin Gothic Book"/>
        </w:rPr>
        <w:t xml:space="preserve"> "Tribal" refers to any tribe, band, nation, or other organized group or community, including any Alaska native village, regional corporation, or village corporation (as defined in, or established pursuant to, the Alaska Native Claims Settlement Act (43 U.S.C. 1601 et seq.)), which is recognized by the Secretary of the Interior as eligible for the special programs and services provided by the United States to Indians because of their status as Indians.</w:t>
      </w:r>
    </w:p>
  </w:footnote>
  <w:footnote w:id="3">
    <w:p w14:paraId="015F9936" w14:textId="0E05F336" w:rsidR="00064F3B" w:rsidRPr="00BE13C4" w:rsidRDefault="00064F3B" w:rsidP="00064F3B">
      <w:pPr>
        <w:pStyle w:val="FootnoteText"/>
        <w:rPr>
          <w:rFonts w:ascii="Franklin Gothic Book" w:hAnsi="Franklin Gothic Book"/>
        </w:rPr>
      </w:pPr>
      <w:r w:rsidRPr="00BE13C4">
        <w:rPr>
          <w:rStyle w:val="FootnoteReference"/>
          <w:rFonts w:ascii="Franklin Gothic Book" w:hAnsi="Franklin Gothic Book"/>
        </w:rPr>
        <w:footnoteRef/>
      </w:r>
      <w:r w:rsidRPr="00BE13C4">
        <w:rPr>
          <w:rFonts w:ascii="Franklin Gothic Book" w:hAnsi="Franklin Gothic Book"/>
        </w:rPr>
        <w:t xml:space="preserve"> Archives, while not directly included in IMLS authorization, often are the site of library and/or museum services and programs for tribal communities. </w:t>
      </w:r>
    </w:p>
  </w:footnote>
  <w:footnote w:id="4">
    <w:p w14:paraId="3FB6401A" w14:textId="6672375E" w:rsidR="0069551B" w:rsidRPr="00035B58" w:rsidRDefault="0069551B">
      <w:pPr>
        <w:pStyle w:val="FootnoteText"/>
        <w:rPr>
          <w:rFonts w:ascii="Franklin Gothic Book" w:hAnsi="Franklin Gothic Book"/>
        </w:rPr>
      </w:pPr>
      <w:r w:rsidRPr="00035B58">
        <w:rPr>
          <w:rStyle w:val="FootnoteReference"/>
          <w:rFonts w:ascii="Franklin Gothic Book" w:hAnsi="Franklin Gothic Book"/>
        </w:rPr>
        <w:footnoteRef/>
      </w:r>
      <w:r w:rsidRPr="00035B58">
        <w:rPr>
          <w:rFonts w:ascii="Franklin Gothic Book" w:hAnsi="Franklin Gothic Book"/>
        </w:rPr>
        <w:t xml:space="preserve"> Additionally, in 2013 ATALM also administered a survey to tribal </w:t>
      </w:r>
      <w:r w:rsidR="00DE1A92" w:rsidRPr="00035B58">
        <w:rPr>
          <w:rFonts w:ascii="Franklin Gothic Book" w:hAnsi="Franklin Gothic Book"/>
        </w:rPr>
        <w:t>organization</w:t>
      </w:r>
      <w:r w:rsidRPr="00035B58">
        <w:rPr>
          <w:rFonts w:ascii="Franklin Gothic Book" w:hAnsi="Franklin Gothic Book"/>
        </w:rPr>
        <w:t xml:space="preserve">s about the FCC’s Schools and Libraries Universal Service Program (E-Rate). Two items in the proposed survey (Question 25 and its contingency item Question 25a) are based on ATALM’s prior research on E-Rate.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A73"/>
    <w:multiLevelType w:val="hybridMultilevel"/>
    <w:tmpl w:val="28B886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463D6396"/>
    <w:multiLevelType w:val="hybridMultilevel"/>
    <w:tmpl w:val="CE5424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EF67F4"/>
    <w:multiLevelType w:val="hybridMultilevel"/>
    <w:tmpl w:val="7570E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673025"/>
    <w:multiLevelType w:val="hybridMultilevel"/>
    <w:tmpl w:val="59E40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26B"/>
    <w:rsid w:val="000021CE"/>
    <w:rsid w:val="00002B95"/>
    <w:rsid w:val="00003028"/>
    <w:rsid w:val="0000356E"/>
    <w:rsid w:val="000060EF"/>
    <w:rsid w:val="00006C2A"/>
    <w:rsid w:val="00007ADF"/>
    <w:rsid w:val="00010A15"/>
    <w:rsid w:val="00012DC2"/>
    <w:rsid w:val="00021732"/>
    <w:rsid w:val="00024E13"/>
    <w:rsid w:val="00024EF4"/>
    <w:rsid w:val="000255A5"/>
    <w:rsid w:val="000259F5"/>
    <w:rsid w:val="00025EF9"/>
    <w:rsid w:val="000309CD"/>
    <w:rsid w:val="000337BA"/>
    <w:rsid w:val="00035B58"/>
    <w:rsid w:val="00035CF4"/>
    <w:rsid w:val="00036418"/>
    <w:rsid w:val="00037342"/>
    <w:rsid w:val="000414E9"/>
    <w:rsid w:val="0004160E"/>
    <w:rsid w:val="00043BB4"/>
    <w:rsid w:val="00047AF0"/>
    <w:rsid w:val="000510AD"/>
    <w:rsid w:val="00051A3D"/>
    <w:rsid w:val="00054874"/>
    <w:rsid w:val="00055042"/>
    <w:rsid w:val="000620CB"/>
    <w:rsid w:val="00064612"/>
    <w:rsid w:val="00064F3B"/>
    <w:rsid w:val="000706B1"/>
    <w:rsid w:val="00071437"/>
    <w:rsid w:val="0007240E"/>
    <w:rsid w:val="000726F3"/>
    <w:rsid w:val="00072C4B"/>
    <w:rsid w:val="00072F5D"/>
    <w:rsid w:val="00076CB4"/>
    <w:rsid w:val="00077663"/>
    <w:rsid w:val="000829C2"/>
    <w:rsid w:val="00084019"/>
    <w:rsid w:val="00087982"/>
    <w:rsid w:val="00092259"/>
    <w:rsid w:val="00092DB9"/>
    <w:rsid w:val="0009467E"/>
    <w:rsid w:val="000A1E1D"/>
    <w:rsid w:val="000A25F1"/>
    <w:rsid w:val="000A7D2D"/>
    <w:rsid w:val="000B1352"/>
    <w:rsid w:val="000B2435"/>
    <w:rsid w:val="000B2B59"/>
    <w:rsid w:val="000B6484"/>
    <w:rsid w:val="000B7EF9"/>
    <w:rsid w:val="000C0CB8"/>
    <w:rsid w:val="000C24DE"/>
    <w:rsid w:val="000C3091"/>
    <w:rsid w:val="000C30DA"/>
    <w:rsid w:val="000C3E8A"/>
    <w:rsid w:val="000C563C"/>
    <w:rsid w:val="000C7C6A"/>
    <w:rsid w:val="000D065A"/>
    <w:rsid w:val="000D2DC8"/>
    <w:rsid w:val="000D4563"/>
    <w:rsid w:val="000D4BB3"/>
    <w:rsid w:val="000D7037"/>
    <w:rsid w:val="000E0691"/>
    <w:rsid w:val="000E3A00"/>
    <w:rsid w:val="000E48AE"/>
    <w:rsid w:val="000E4EAF"/>
    <w:rsid w:val="000E6426"/>
    <w:rsid w:val="000E67D3"/>
    <w:rsid w:val="000F2F30"/>
    <w:rsid w:val="001002CB"/>
    <w:rsid w:val="0010091D"/>
    <w:rsid w:val="00101FFA"/>
    <w:rsid w:val="0010246E"/>
    <w:rsid w:val="00102B76"/>
    <w:rsid w:val="00104795"/>
    <w:rsid w:val="00106276"/>
    <w:rsid w:val="00106F56"/>
    <w:rsid w:val="001077FF"/>
    <w:rsid w:val="00110E6E"/>
    <w:rsid w:val="001127FC"/>
    <w:rsid w:val="00112C2A"/>
    <w:rsid w:val="00113D66"/>
    <w:rsid w:val="001214B3"/>
    <w:rsid w:val="00122B17"/>
    <w:rsid w:val="00122B26"/>
    <w:rsid w:val="0012335D"/>
    <w:rsid w:val="001242EE"/>
    <w:rsid w:val="00126161"/>
    <w:rsid w:val="00127DE2"/>
    <w:rsid w:val="001311CF"/>
    <w:rsid w:val="00131755"/>
    <w:rsid w:val="00135D57"/>
    <w:rsid w:val="001360E5"/>
    <w:rsid w:val="001374F1"/>
    <w:rsid w:val="00137FA4"/>
    <w:rsid w:val="00140BFF"/>
    <w:rsid w:val="00140DD2"/>
    <w:rsid w:val="00143C58"/>
    <w:rsid w:val="00144FDE"/>
    <w:rsid w:val="00145877"/>
    <w:rsid w:val="00146A17"/>
    <w:rsid w:val="00147633"/>
    <w:rsid w:val="001519E0"/>
    <w:rsid w:val="00151EED"/>
    <w:rsid w:val="00152BFB"/>
    <w:rsid w:val="001559BB"/>
    <w:rsid w:val="0015626A"/>
    <w:rsid w:val="00156943"/>
    <w:rsid w:val="00156C71"/>
    <w:rsid w:val="00163C70"/>
    <w:rsid w:val="00163D28"/>
    <w:rsid w:val="001646B9"/>
    <w:rsid w:val="001676BC"/>
    <w:rsid w:val="00170816"/>
    <w:rsid w:val="00171040"/>
    <w:rsid w:val="00174FD1"/>
    <w:rsid w:val="001750A0"/>
    <w:rsid w:val="00175187"/>
    <w:rsid w:val="00175E94"/>
    <w:rsid w:val="00177759"/>
    <w:rsid w:val="00180A53"/>
    <w:rsid w:val="00183196"/>
    <w:rsid w:val="001835E2"/>
    <w:rsid w:val="00191788"/>
    <w:rsid w:val="00192282"/>
    <w:rsid w:val="0019390B"/>
    <w:rsid w:val="00194232"/>
    <w:rsid w:val="00195114"/>
    <w:rsid w:val="00195447"/>
    <w:rsid w:val="001A08E9"/>
    <w:rsid w:val="001A506E"/>
    <w:rsid w:val="001B316A"/>
    <w:rsid w:val="001B3542"/>
    <w:rsid w:val="001B3ABE"/>
    <w:rsid w:val="001B5318"/>
    <w:rsid w:val="001B6B35"/>
    <w:rsid w:val="001C0238"/>
    <w:rsid w:val="001C21AA"/>
    <w:rsid w:val="001C4915"/>
    <w:rsid w:val="001C67BC"/>
    <w:rsid w:val="001C786C"/>
    <w:rsid w:val="001C78CC"/>
    <w:rsid w:val="001D1E88"/>
    <w:rsid w:val="001D2A7B"/>
    <w:rsid w:val="001D6BB5"/>
    <w:rsid w:val="001D7998"/>
    <w:rsid w:val="001E2199"/>
    <w:rsid w:val="001E2F5C"/>
    <w:rsid w:val="001E3F09"/>
    <w:rsid w:val="001E4ABD"/>
    <w:rsid w:val="001F071D"/>
    <w:rsid w:val="001F1BCD"/>
    <w:rsid w:val="001F1F18"/>
    <w:rsid w:val="001F3315"/>
    <w:rsid w:val="001F39E0"/>
    <w:rsid w:val="001F6219"/>
    <w:rsid w:val="00200435"/>
    <w:rsid w:val="002005C6"/>
    <w:rsid w:val="00201CB4"/>
    <w:rsid w:val="00202AD5"/>
    <w:rsid w:val="002066B0"/>
    <w:rsid w:val="00211456"/>
    <w:rsid w:val="00213A66"/>
    <w:rsid w:val="0021549F"/>
    <w:rsid w:val="00216254"/>
    <w:rsid w:val="002178AF"/>
    <w:rsid w:val="00217FD4"/>
    <w:rsid w:val="0022078E"/>
    <w:rsid w:val="00222C44"/>
    <w:rsid w:val="00232896"/>
    <w:rsid w:val="00232980"/>
    <w:rsid w:val="00245634"/>
    <w:rsid w:val="0024752A"/>
    <w:rsid w:val="00247595"/>
    <w:rsid w:val="00250435"/>
    <w:rsid w:val="00250FE1"/>
    <w:rsid w:val="002542DE"/>
    <w:rsid w:val="00257EB0"/>
    <w:rsid w:val="00265F71"/>
    <w:rsid w:val="0026710D"/>
    <w:rsid w:val="00270497"/>
    <w:rsid w:val="00271012"/>
    <w:rsid w:val="002743AB"/>
    <w:rsid w:val="0027455A"/>
    <w:rsid w:val="0027692E"/>
    <w:rsid w:val="00277CB6"/>
    <w:rsid w:val="0028079A"/>
    <w:rsid w:val="0028119F"/>
    <w:rsid w:val="00282EAC"/>
    <w:rsid w:val="002850F0"/>
    <w:rsid w:val="0028698B"/>
    <w:rsid w:val="00286AC0"/>
    <w:rsid w:val="002A13F0"/>
    <w:rsid w:val="002A28D9"/>
    <w:rsid w:val="002A2E99"/>
    <w:rsid w:val="002B0528"/>
    <w:rsid w:val="002B19DF"/>
    <w:rsid w:val="002B40C3"/>
    <w:rsid w:val="002B4AD6"/>
    <w:rsid w:val="002C0614"/>
    <w:rsid w:val="002C1797"/>
    <w:rsid w:val="002C2434"/>
    <w:rsid w:val="002C4DD2"/>
    <w:rsid w:val="002D0DEC"/>
    <w:rsid w:val="002D1670"/>
    <w:rsid w:val="002D2EF5"/>
    <w:rsid w:val="002D5B89"/>
    <w:rsid w:val="002D62C6"/>
    <w:rsid w:val="002D6AF9"/>
    <w:rsid w:val="002D72AF"/>
    <w:rsid w:val="002D766B"/>
    <w:rsid w:val="002D7FBA"/>
    <w:rsid w:val="002E09F0"/>
    <w:rsid w:val="002E2E0A"/>
    <w:rsid w:val="002E41D7"/>
    <w:rsid w:val="002E4603"/>
    <w:rsid w:val="002E4D9D"/>
    <w:rsid w:val="002E58A0"/>
    <w:rsid w:val="002E5A06"/>
    <w:rsid w:val="002E7A31"/>
    <w:rsid w:val="002F1F2D"/>
    <w:rsid w:val="002F49D9"/>
    <w:rsid w:val="002F4B07"/>
    <w:rsid w:val="002F5A39"/>
    <w:rsid w:val="002F64D5"/>
    <w:rsid w:val="002F7DCB"/>
    <w:rsid w:val="002F7E25"/>
    <w:rsid w:val="0030313B"/>
    <w:rsid w:val="00306318"/>
    <w:rsid w:val="00312BF9"/>
    <w:rsid w:val="003132E9"/>
    <w:rsid w:val="003137D4"/>
    <w:rsid w:val="0031614F"/>
    <w:rsid w:val="003163CA"/>
    <w:rsid w:val="00320124"/>
    <w:rsid w:val="00321B88"/>
    <w:rsid w:val="003232C8"/>
    <w:rsid w:val="003245EE"/>
    <w:rsid w:val="00325649"/>
    <w:rsid w:val="00326F5A"/>
    <w:rsid w:val="00330A56"/>
    <w:rsid w:val="00332034"/>
    <w:rsid w:val="00334A37"/>
    <w:rsid w:val="00340D3D"/>
    <w:rsid w:val="0034421B"/>
    <w:rsid w:val="00345799"/>
    <w:rsid w:val="00345AD0"/>
    <w:rsid w:val="003463A3"/>
    <w:rsid w:val="00347B90"/>
    <w:rsid w:val="003533DC"/>
    <w:rsid w:val="0035503A"/>
    <w:rsid w:val="0036354E"/>
    <w:rsid w:val="00366F2A"/>
    <w:rsid w:val="00367CCF"/>
    <w:rsid w:val="00370F55"/>
    <w:rsid w:val="00371C59"/>
    <w:rsid w:val="00373E18"/>
    <w:rsid w:val="00374F01"/>
    <w:rsid w:val="0037710B"/>
    <w:rsid w:val="00380AE4"/>
    <w:rsid w:val="003830D0"/>
    <w:rsid w:val="003924DA"/>
    <w:rsid w:val="00395001"/>
    <w:rsid w:val="0039658F"/>
    <w:rsid w:val="00396E3D"/>
    <w:rsid w:val="00397C51"/>
    <w:rsid w:val="003A1909"/>
    <w:rsid w:val="003A2A1D"/>
    <w:rsid w:val="003A584B"/>
    <w:rsid w:val="003A58F0"/>
    <w:rsid w:val="003A6F84"/>
    <w:rsid w:val="003A78F9"/>
    <w:rsid w:val="003B3B29"/>
    <w:rsid w:val="003B44C7"/>
    <w:rsid w:val="003B4DD7"/>
    <w:rsid w:val="003B6E0A"/>
    <w:rsid w:val="003B7769"/>
    <w:rsid w:val="003C16A3"/>
    <w:rsid w:val="003C29C2"/>
    <w:rsid w:val="003C3930"/>
    <w:rsid w:val="003C4884"/>
    <w:rsid w:val="003C4EA6"/>
    <w:rsid w:val="003D084C"/>
    <w:rsid w:val="003D1B75"/>
    <w:rsid w:val="003D2DF0"/>
    <w:rsid w:val="003D3D41"/>
    <w:rsid w:val="003D53E0"/>
    <w:rsid w:val="003D5503"/>
    <w:rsid w:val="003D5634"/>
    <w:rsid w:val="003E0720"/>
    <w:rsid w:val="003E1166"/>
    <w:rsid w:val="003E3E0A"/>
    <w:rsid w:val="003E40E3"/>
    <w:rsid w:val="003E54DC"/>
    <w:rsid w:val="003F2982"/>
    <w:rsid w:val="003F683D"/>
    <w:rsid w:val="003F6CF9"/>
    <w:rsid w:val="00400A60"/>
    <w:rsid w:val="00401728"/>
    <w:rsid w:val="00402E69"/>
    <w:rsid w:val="00404733"/>
    <w:rsid w:val="0041082A"/>
    <w:rsid w:val="00410D0C"/>
    <w:rsid w:val="004157AB"/>
    <w:rsid w:val="00417F24"/>
    <w:rsid w:val="00420A14"/>
    <w:rsid w:val="00422F86"/>
    <w:rsid w:val="00426885"/>
    <w:rsid w:val="00432E08"/>
    <w:rsid w:val="004367AC"/>
    <w:rsid w:val="00440157"/>
    <w:rsid w:val="00443150"/>
    <w:rsid w:val="00443BC5"/>
    <w:rsid w:val="00444802"/>
    <w:rsid w:val="00444B5C"/>
    <w:rsid w:val="00445760"/>
    <w:rsid w:val="00445963"/>
    <w:rsid w:val="00450251"/>
    <w:rsid w:val="00454C60"/>
    <w:rsid w:val="00456051"/>
    <w:rsid w:val="004576EA"/>
    <w:rsid w:val="00457756"/>
    <w:rsid w:val="00457B1E"/>
    <w:rsid w:val="00460BAF"/>
    <w:rsid w:val="00460DBD"/>
    <w:rsid w:val="004624E7"/>
    <w:rsid w:val="00462F22"/>
    <w:rsid w:val="00463BC5"/>
    <w:rsid w:val="00465F0D"/>
    <w:rsid w:val="00466A64"/>
    <w:rsid w:val="00472F64"/>
    <w:rsid w:val="00474AEB"/>
    <w:rsid w:val="00480ADD"/>
    <w:rsid w:val="004828FC"/>
    <w:rsid w:val="004846A6"/>
    <w:rsid w:val="00484BCF"/>
    <w:rsid w:val="00484BE7"/>
    <w:rsid w:val="00485966"/>
    <w:rsid w:val="0048634B"/>
    <w:rsid w:val="00487C61"/>
    <w:rsid w:val="00490721"/>
    <w:rsid w:val="0049144B"/>
    <w:rsid w:val="004919CB"/>
    <w:rsid w:val="004922B1"/>
    <w:rsid w:val="0049230B"/>
    <w:rsid w:val="004932A3"/>
    <w:rsid w:val="00494E45"/>
    <w:rsid w:val="00495E12"/>
    <w:rsid w:val="00497302"/>
    <w:rsid w:val="004978A6"/>
    <w:rsid w:val="004A21D8"/>
    <w:rsid w:val="004A604A"/>
    <w:rsid w:val="004B2A97"/>
    <w:rsid w:val="004C294B"/>
    <w:rsid w:val="004C3C1D"/>
    <w:rsid w:val="004D1DFD"/>
    <w:rsid w:val="004D1F15"/>
    <w:rsid w:val="004D2735"/>
    <w:rsid w:val="004D2E11"/>
    <w:rsid w:val="004D5609"/>
    <w:rsid w:val="004D7294"/>
    <w:rsid w:val="004D7632"/>
    <w:rsid w:val="004D7975"/>
    <w:rsid w:val="004E1C21"/>
    <w:rsid w:val="004E2A26"/>
    <w:rsid w:val="004E2A6F"/>
    <w:rsid w:val="004F006E"/>
    <w:rsid w:val="004F0C0A"/>
    <w:rsid w:val="004F2DAE"/>
    <w:rsid w:val="004F3856"/>
    <w:rsid w:val="004F4023"/>
    <w:rsid w:val="004F4C21"/>
    <w:rsid w:val="004F6FEC"/>
    <w:rsid w:val="004F7492"/>
    <w:rsid w:val="004F7975"/>
    <w:rsid w:val="00500727"/>
    <w:rsid w:val="00500DD7"/>
    <w:rsid w:val="00501A7A"/>
    <w:rsid w:val="005029B9"/>
    <w:rsid w:val="00504B24"/>
    <w:rsid w:val="005070F8"/>
    <w:rsid w:val="00510462"/>
    <w:rsid w:val="00512030"/>
    <w:rsid w:val="0051219A"/>
    <w:rsid w:val="00515E66"/>
    <w:rsid w:val="005161E9"/>
    <w:rsid w:val="00517EE7"/>
    <w:rsid w:val="00522B7F"/>
    <w:rsid w:val="0053089A"/>
    <w:rsid w:val="00534DDF"/>
    <w:rsid w:val="005357A7"/>
    <w:rsid w:val="00540A18"/>
    <w:rsid w:val="00540D12"/>
    <w:rsid w:val="005466AC"/>
    <w:rsid w:val="00546FAE"/>
    <w:rsid w:val="00547FD1"/>
    <w:rsid w:val="00552EF3"/>
    <w:rsid w:val="00562767"/>
    <w:rsid w:val="00563CE7"/>
    <w:rsid w:val="00566EA0"/>
    <w:rsid w:val="00571121"/>
    <w:rsid w:val="00576AF1"/>
    <w:rsid w:val="00576BFF"/>
    <w:rsid w:val="00577047"/>
    <w:rsid w:val="005858DA"/>
    <w:rsid w:val="00590982"/>
    <w:rsid w:val="00590A5C"/>
    <w:rsid w:val="005934A2"/>
    <w:rsid w:val="005966AA"/>
    <w:rsid w:val="00597079"/>
    <w:rsid w:val="005A11FD"/>
    <w:rsid w:val="005A3E56"/>
    <w:rsid w:val="005B27DC"/>
    <w:rsid w:val="005B4863"/>
    <w:rsid w:val="005B6189"/>
    <w:rsid w:val="005B66A3"/>
    <w:rsid w:val="005C45F4"/>
    <w:rsid w:val="005C59AC"/>
    <w:rsid w:val="005C6537"/>
    <w:rsid w:val="005C6B86"/>
    <w:rsid w:val="005C7007"/>
    <w:rsid w:val="005C7846"/>
    <w:rsid w:val="005D16EC"/>
    <w:rsid w:val="005D6D29"/>
    <w:rsid w:val="005E150F"/>
    <w:rsid w:val="005E1C35"/>
    <w:rsid w:val="005E2A74"/>
    <w:rsid w:val="005E393D"/>
    <w:rsid w:val="005E4446"/>
    <w:rsid w:val="005E4D03"/>
    <w:rsid w:val="005E529C"/>
    <w:rsid w:val="005E74A2"/>
    <w:rsid w:val="005E7F3E"/>
    <w:rsid w:val="005F0407"/>
    <w:rsid w:val="005F0676"/>
    <w:rsid w:val="005F099F"/>
    <w:rsid w:val="005F24B0"/>
    <w:rsid w:val="005F32D6"/>
    <w:rsid w:val="005F5736"/>
    <w:rsid w:val="005F590B"/>
    <w:rsid w:val="005F7CFD"/>
    <w:rsid w:val="005F7F1C"/>
    <w:rsid w:val="00600ABD"/>
    <w:rsid w:val="00602BF6"/>
    <w:rsid w:val="00605A0B"/>
    <w:rsid w:val="00606CFE"/>
    <w:rsid w:val="0060704B"/>
    <w:rsid w:val="0060748A"/>
    <w:rsid w:val="00610F4B"/>
    <w:rsid w:val="00613F84"/>
    <w:rsid w:val="0061784F"/>
    <w:rsid w:val="006226E6"/>
    <w:rsid w:val="00624828"/>
    <w:rsid w:val="00625196"/>
    <w:rsid w:val="00632DD9"/>
    <w:rsid w:val="0063381E"/>
    <w:rsid w:val="006400DF"/>
    <w:rsid w:val="00641514"/>
    <w:rsid w:val="006478BA"/>
    <w:rsid w:val="006478D8"/>
    <w:rsid w:val="00651809"/>
    <w:rsid w:val="00654D06"/>
    <w:rsid w:val="006550FD"/>
    <w:rsid w:val="00657270"/>
    <w:rsid w:val="00657AE8"/>
    <w:rsid w:val="006610B8"/>
    <w:rsid w:val="00667C65"/>
    <w:rsid w:val="00672610"/>
    <w:rsid w:val="00673141"/>
    <w:rsid w:val="006746EC"/>
    <w:rsid w:val="006753A3"/>
    <w:rsid w:val="00685ACC"/>
    <w:rsid w:val="00686070"/>
    <w:rsid w:val="0068760F"/>
    <w:rsid w:val="00691374"/>
    <w:rsid w:val="00692C1F"/>
    <w:rsid w:val="00692C3C"/>
    <w:rsid w:val="0069551B"/>
    <w:rsid w:val="00696CBD"/>
    <w:rsid w:val="00697880"/>
    <w:rsid w:val="00697B39"/>
    <w:rsid w:val="00697ED5"/>
    <w:rsid w:val="006A047A"/>
    <w:rsid w:val="006A06AC"/>
    <w:rsid w:val="006A260C"/>
    <w:rsid w:val="006A5BD3"/>
    <w:rsid w:val="006A6B1F"/>
    <w:rsid w:val="006B05A3"/>
    <w:rsid w:val="006B4C71"/>
    <w:rsid w:val="006B4C9C"/>
    <w:rsid w:val="006C074B"/>
    <w:rsid w:val="006C205A"/>
    <w:rsid w:val="006C3F3A"/>
    <w:rsid w:val="006C4A9F"/>
    <w:rsid w:val="006C63AA"/>
    <w:rsid w:val="006C74C6"/>
    <w:rsid w:val="006D099A"/>
    <w:rsid w:val="006D103E"/>
    <w:rsid w:val="006D15C5"/>
    <w:rsid w:val="006D5CD1"/>
    <w:rsid w:val="006D7249"/>
    <w:rsid w:val="006E5450"/>
    <w:rsid w:val="006E66E7"/>
    <w:rsid w:val="006E7C9B"/>
    <w:rsid w:val="006F0A68"/>
    <w:rsid w:val="006F0AA7"/>
    <w:rsid w:val="006F0D8C"/>
    <w:rsid w:val="006F3FD0"/>
    <w:rsid w:val="006F41AD"/>
    <w:rsid w:val="006F5F3A"/>
    <w:rsid w:val="007029B7"/>
    <w:rsid w:val="00703376"/>
    <w:rsid w:val="00705D59"/>
    <w:rsid w:val="00707B1F"/>
    <w:rsid w:val="00710395"/>
    <w:rsid w:val="00710ABB"/>
    <w:rsid w:val="00712230"/>
    <w:rsid w:val="007127E6"/>
    <w:rsid w:val="007161B8"/>
    <w:rsid w:val="00716BC6"/>
    <w:rsid w:val="00716EDE"/>
    <w:rsid w:val="0072167E"/>
    <w:rsid w:val="00723CAF"/>
    <w:rsid w:val="00725DDC"/>
    <w:rsid w:val="00732138"/>
    <w:rsid w:val="00736962"/>
    <w:rsid w:val="00737588"/>
    <w:rsid w:val="00740D86"/>
    <w:rsid w:val="007449CE"/>
    <w:rsid w:val="00744A8E"/>
    <w:rsid w:val="00744B69"/>
    <w:rsid w:val="00745A43"/>
    <w:rsid w:val="00746485"/>
    <w:rsid w:val="007511E5"/>
    <w:rsid w:val="007527CE"/>
    <w:rsid w:val="00752E24"/>
    <w:rsid w:val="007552D3"/>
    <w:rsid w:val="0075645C"/>
    <w:rsid w:val="00756A1C"/>
    <w:rsid w:val="00757511"/>
    <w:rsid w:val="00762D9A"/>
    <w:rsid w:val="00763902"/>
    <w:rsid w:val="0076469A"/>
    <w:rsid w:val="00771998"/>
    <w:rsid w:val="007734F9"/>
    <w:rsid w:val="007754EC"/>
    <w:rsid w:val="007772F6"/>
    <w:rsid w:val="00777E14"/>
    <w:rsid w:val="0078403D"/>
    <w:rsid w:val="007848FA"/>
    <w:rsid w:val="00785AB9"/>
    <w:rsid w:val="00787D8F"/>
    <w:rsid w:val="00792741"/>
    <w:rsid w:val="00792808"/>
    <w:rsid w:val="0079332F"/>
    <w:rsid w:val="007933E9"/>
    <w:rsid w:val="007937D7"/>
    <w:rsid w:val="00797B50"/>
    <w:rsid w:val="007A1B64"/>
    <w:rsid w:val="007A539A"/>
    <w:rsid w:val="007A5A8D"/>
    <w:rsid w:val="007A7711"/>
    <w:rsid w:val="007A7A5E"/>
    <w:rsid w:val="007B0F81"/>
    <w:rsid w:val="007B6268"/>
    <w:rsid w:val="007B6656"/>
    <w:rsid w:val="007B7336"/>
    <w:rsid w:val="007B75BB"/>
    <w:rsid w:val="007C0964"/>
    <w:rsid w:val="007C0A50"/>
    <w:rsid w:val="007C30DC"/>
    <w:rsid w:val="007C4B3A"/>
    <w:rsid w:val="007D1E95"/>
    <w:rsid w:val="007D345A"/>
    <w:rsid w:val="007D44B9"/>
    <w:rsid w:val="007D6485"/>
    <w:rsid w:val="007D64CB"/>
    <w:rsid w:val="007E3D37"/>
    <w:rsid w:val="007E4B97"/>
    <w:rsid w:val="007E57EB"/>
    <w:rsid w:val="007E5990"/>
    <w:rsid w:val="007F2074"/>
    <w:rsid w:val="007F34AD"/>
    <w:rsid w:val="007F3CD2"/>
    <w:rsid w:val="007F7089"/>
    <w:rsid w:val="00800C34"/>
    <w:rsid w:val="0080584B"/>
    <w:rsid w:val="00805D17"/>
    <w:rsid w:val="008127FA"/>
    <w:rsid w:val="00812DAD"/>
    <w:rsid w:val="00813FDD"/>
    <w:rsid w:val="0081626B"/>
    <w:rsid w:val="00820342"/>
    <w:rsid w:val="0083586D"/>
    <w:rsid w:val="00836892"/>
    <w:rsid w:val="00840083"/>
    <w:rsid w:val="00840648"/>
    <w:rsid w:val="00840E24"/>
    <w:rsid w:val="0084275A"/>
    <w:rsid w:val="0084284F"/>
    <w:rsid w:val="00842A19"/>
    <w:rsid w:val="0084334F"/>
    <w:rsid w:val="00843CB7"/>
    <w:rsid w:val="00850389"/>
    <w:rsid w:val="008535FC"/>
    <w:rsid w:val="00853721"/>
    <w:rsid w:val="0085518F"/>
    <w:rsid w:val="008551E3"/>
    <w:rsid w:val="00860E2A"/>
    <w:rsid w:val="00862F9B"/>
    <w:rsid w:val="00866FC3"/>
    <w:rsid w:val="00871212"/>
    <w:rsid w:val="0087127D"/>
    <w:rsid w:val="00871C93"/>
    <w:rsid w:val="00872124"/>
    <w:rsid w:val="00873EE4"/>
    <w:rsid w:val="00882CFF"/>
    <w:rsid w:val="008870FC"/>
    <w:rsid w:val="00890445"/>
    <w:rsid w:val="00890688"/>
    <w:rsid w:val="008908EB"/>
    <w:rsid w:val="008913D9"/>
    <w:rsid w:val="00893CAA"/>
    <w:rsid w:val="00896B0B"/>
    <w:rsid w:val="008A254F"/>
    <w:rsid w:val="008A50C9"/>
    <w:rsid w:val="008A50F5"/>
    <w:rsid w:val="008B0E39"/>
    <w:rsid w:val="008B599E"/>
    <w:rsid w:val="008C064F"/>
    <w:rsid w:val="008C4F82"/>
    <w:rsid w:val="008C52A5"/>
    <w:rsid w:val="008D17D4"/>
    <w:rsid w:val="008D3469"/>
    <w:rsid w:val="008D4BF5"/>
    <w:rsid w:val="008D590F"/>
    <w:rsid w:val="008D5AB2"/>
    <w:rsid w:val="008D7D09"/>
    <w:rsid w:val="008E0C21"/>
    <w:rsid w:val="008E1C3C"/>
    <w:rsid w:val="008E3704"/>
    <w:rsid w:val="008E3D61"/>
    <w:rsid w:val="008E4BB6"/>
    <w:rsid w:val="008E60D5"/>
    <w:rsid w:val="008F4DF0"/>
    <w:rsid w:val="008F5BE8"/>
    <w:rsid w:val="008F7D78"/>
    <w:rsid w:val="009030B1"/>
    <w:rsid w:val="009037A5"/>
    <w:rsid w:val="009045A3"/>
    <w:rsid w:val="00906976"/>
    <w:rsid w:val="00906EAF"/>
    <w:rsid w:val="00906EDC"/>
    <w:rsid w:val="009070A1"/>
    <w:rsid w:val="00911851"/>
    <w:rsid w:val="00912D7B"/>
    <w:rsid w:val="009142F2"/>
    <w:rsid w:val="00921E71"/>
    <w:rsid w:val="00921EDD"/>
    <w:rsid w:val="0092229E"/>
    <w:rsid w:val="00923B0B"/>
    <w:rsid w:val="009242F1"/>
    <w:rsid w:val="009332D9"/>
    <w:rsid w:val="00935E0C"/>
    <w:rsid w:val="00937095"/>
    <w:rsid w:val="00937192"/>
    <w:rsid w:val="00937AA7"/>
    <w:rsid w:val="00937AB1"/>
    <w:rsid w:val="00942BB5"/>
    <w:rsid w:val="00943DC2"/>
    <w:rsid w:val="009507FA"/>
    <w:rsid w:val="0095203E"/>
    <w:rsid w:val="00952856"/>
    <w:rsid w:val="00954263"/>
    <w:rsid w:val="009549E3"/>
    <w:rsid w:val="009559EB"/>
    <w:rsid w:val="00956F49"/>
    <w:rsid w:val="00960732"/>
    <w:rsid w:val="009616D0"/>
    <w:rsid w:val="0096591C"/>
    <w:rsid w:val="009663B2"/>
    <w:rsid w:val="009674C2"/>
    <w:rsid w:val="00970CC4"/>
    <w:rsid w:val="009718CD"/>
    <w:rsid w:val="0097489F"/>
    <w:rsid w:val="00975389"/>
    <w:rsid w:val="00975C49"/>
    <w:rsid w:val="00977EF6"/>
    <w:rsid w:val="0098580A"/>
    <w:rsid w:val="0098608F"/>
    <w:rsid w:val="009862AD"/>
    <w:rsid w:val="0098735D"/>
    <w:rsid w:val="00987795"/>
    <w:rsid w:val="0098797D"/>
    <w:rsid w:val="00990E4B"/>
    <w:rsid w:val="0099166D"/>
    <w:rsid w:val="00993224"/>
    <w:rsid w:val="00994395"/>
    <w:rsid w:val="00997DAB"/>
    <w:rsid w:val="009A4F2F"/>
    <w:rsid w:val="009A593D"/>
    <w:rsid w:val="009B3B74"/>
    <w:rsid w:val="009B62C6"/>
    <w:rsid w:val="009B6C51"/>
    <w:rsid w:val="009B7D74"/>
    <w:rsid w:val="009C197C"/>
    <w:rsid w:val="009C4C77"/>
    <w:rsid w:val="009C4E75"/>
    <w:rsid w:val="009C7C2E"/>
    <w:rsid w:val="009D12E4"/>
    <w:rsid w:val="009D1AC6"/>
    <w:rsid w:val="009D1C01"/>
    <w:rsid w:val="009D2B07"/>
    <w:rsid w:val="009D428E"/>
    <w:rsid w:val="009D493B"/>
    <w:rsid w:val="009D502B"/>
    <w:rsid w:val="009D5C3A"/>
    <w:rsid w:val="009D71A0"/>
    <w:rsid w:val="009E118C"/>
    <w:rsid w:val="009E403B"/>
    <w:rsid w:val="009E4DEE"/>
    <w:rsid w:val="009E538C"/>
    <w:rsid w:val="009E5A29"/>
    <w:rsid w:val="009F0471"/>
    <w:rsid w:val="009F04D1"/>
    <w:rsid w:val="009F4E6B"/>
    <w:rsid w:val="009F5357"/>
    <w:rsid w:val="009F7A6F"/>
    <w:rsid w:val="00A0524C"/>
    <w:rsid w:val="00A07A26"/>
    <w:rsid w:val="00A11109"/>
    <w:rsid w:val="00A1280F"/>
    <w:rsid w:val="00A128FE"/>
    <w:rsid w:val="00A2026F"/>
    <w:rsid w:val="00A21948"/>
    <w:rsid w:val="00A23287"/>
    <w:rsid w:val="00A24E51"/>
    <w:rsid w:val="00A25EB9"/>
    <w:rsid w:val="00A301C7"/>
    <w:rsid w:val="00A32F04"/>
    <w:rsid w:val="00A32F59"/>
    <w:rsid w:val="00A33C6D"/>
    <w:rsid w:val="00A36FC7"/>
    <w:rsid w:val="00A37FC1"/>
    <w:rsid w:val="00A41325"/>
    <w:rsid w:val="00A4517D"/>
    <w:rsid w:val="00A46A15"/>
    <w:rsid w:val="00A51401"/>
    <w:rsid w:val="00A554EC"/>
    <w:rsid w:val="00A60C73"/>
    <w:rsid w:val="00A60DEF"/>
    <w:rsid w:val="00A62F91"/>
    <w:rsid w:val="00A67C1B"/>
    <w:rsid w:val="00A74A11"/>
    <w:rsid w:val="00A75B37"/>
    <w:rsid w:val="00A75C67"/>
    <w:rsid w:val="00A809C8"/>
    <w:rsid w:val="00A80C6D"/>
    <w:rsid w:val="00A823EF"/>
    <w:rsid w:val="00A828B6"/>
    <w:rsid w:val="00A84378"/>
    <w:rsid w:val="00A84A64"/>
    <w:rsid w:val="00A84D98"/>
    <w:rsid w:val="00A861D2"/>
    <w:rsid w:val="00A927B5"/>
    <w:rsid w:val="00A92D2C"/>
    <w:rsid w:val="00A94F85"/>
    <w:rsid w:val="00A95510"/>
    <w:rsid w:val="00A95EE4"/>
    <w:rsid w:val="00A96282"/>
    <w:rsid w:val="00A96ABB"/>
    <w:rsid w:val="00A97598"/>
    <w:rsid w:val="00AA0261"/>
    <w:rsid w:val="00AA32B3"/>
    <w:rsid w:val="00AA3790"/>
    <w:rsid w:val="00AA415A"/>
    <w:rsid w:val="00AA636B"/>
    <w:rsid w:val="00AA6426"/>
    <w:rsid w:val="00AA686A"/>
    <w:rsid w:val="00AB0602"/>
    <w:rsid w:val="00AB0FE3"/>
    <w:rsid w:val="00AB1FD5"/>
    <w:rsid w:val="00AB2F57"/>
    <w:rsid w:val="00AB4014"/>
    <w:rsid w:val="00AC1017"/>
    <w:rsid w:val="00AC2333"/>
    <w:rsid w:val="00AC29B1"/>
    <w:rsid w:val="00AC5883"/>
    <w:rsid w:val="00AC5A81"/>
    <w:rsid w:val="00AC5DC8"/>
    <w:rsid w:val="00AC67E6"/>
    <w:rsid w:val="00AC74EE"/>
    <w:rsid w:val="00AD140B"/>
    <w:rsid w:val="00AD257C"/>
    <w:rsid w:val="00AD3A1D"/>
    <w:rsid w:val="00AD4CDA"/>
    <w:rsid w:val="00AD7352"/>
    <w:rsid w:val="00AE108B"/>
    <w:rsid w:val="00AE23D7"/>
    <w:rsid w:val="00AE28C6"/>
    <w:rsid w:val="00AE3147"/>
    <w:rsid w:val="00AE3EC5"/>
    <w:rsid w:val="00AE5E17"/>
    <w:rsid w:val="00AE7652"/>
    <w:rsid w:val="00AF0C18"/>
    <w:rsid w:val="00AF0FEB"/>
    <w:rsid w:val="00AF4472"/>
    <w:rsid w:val="00AF4C0F"/>
    <w:rsid w:val="00AF4DD4"/>
    <w:rsid w:val="00AF569E"/>
    <w:rsid w:val="00B013D3"/>
    <w:rsid w:val="00B01F0F"/>
    <w:rsid w:val="00B04356"/>
    <w:rsid w:val="00B062B9"/>
    <w:rsid w:val="00B068A6"/>
    <w:rsid w:val="00B06DAA"/>
    <w:rsid w:val="00B07350"/>
    <w:rsid w:val="00B15811"/>
    <w:rsid w:val="00B16271"/>
    <w:rsid w:val="00B17D48"/>
    <w:rsid w:val="00B217D1"/>
    <w:rsid w:val="00B22C09"/>
    <w:rsid w:val="00B23E19"/>
    <w:rsid w:val="00B2597C"/>
    <w:rsid w:val="00B26689"/>
    <w:rsid w:val="00B34471"/>
    <w:rsid w:val="00B355D7"/>
    <w:rsid w:val="00B36042"/>
    <w:rsid w:val="00B40C3D"/>
    <w:rsid w:val="00B40E1C"/>
    <w:rsid w:val="00B41720"/>
    <w:rsid w:val="00B43825"/>
    <w:rsid w:val="00B4678B"/>
    <w:rsid w:val="00B476B0"/>
    <w:rsid w:val="00B4776A"/>
    <w:rsid w:val="00B47F78"/>
    <w:rsid w:val="00B51CF7"/>
    <w:rsid w:val="00B51D6F"/>
    <w:rsid w:val="00B544FE"/>
    <w:rsid w:val="00B579D2"/>
    <w:rsid w:val="00B61B55"/>
    <w:rsid w:val="00B64AC7"/>
    <w:rsid w:val="00B64EB3"/>
    <w:rsid w:val="00B66C15"/>
    <w:rsid w:val="00B703A4"/>
    <w:rsid w:val="00B714F2"/>
    <w:rsid w:val="00B71CA5"/>
    <w:rsid w:val="00B7499D"/>
    <w:rsid w:val="00B75123"/>
    <w:rsid w:val="00B77967"/>
    <w:rsid w:val="00B803C1"/>
    <w:rsid w:val="00B81C1B"/>
    <w:rsid w:val="00B84324"/>
    <w:rsid w:val="00B84DBB"/>
    <w:rsid w:val="00B86E44"/>
    <w:rsid w:val="00B8785E"/>
    <w:rsid w:val="00B91628"/>
    <w:rsid w:val="00B920C0"/>
    <w:rsid w:val="00B9383A"/>
    <w:rsid w:val="00B940D2"/>
    <w:rsid w:val="00B951FE"/>
    <w:rsid w:val="00BA2EEE"/>
    <w:rsid w:val="00BA7579"/>
    <w:rsid w:val="00BA7709"/>
    <w:rsid w:val="00BB14AC"/>
    <w:rsid w:val="00BB26BE"/>
    <w:rsid w:val="00BB2F77"/>
    <w:rsid w:val="00BB546C"/>
    <w:rsid w:val="00BB6953"/>
    <w:rsid w:val="00BC3D1C"/>
    <w:rsid w:val="00BC5FEA"/>
    <w:rsid w:val="00BD17F3"/>
    <w:rsid w:val="00BD5290"/>
    <w:rsid w:val="00BE0DA4"/>
    <w:rsid w:val="00BE13C4"/>
    <w:rsid w:val="00BE2B82"/>
    <w:rsid w:val="00BE38F5"/>
    <w:rsid w:val="00BE5DA2"/>
    <w:rsid w:val="00BE754C"/>
    <w:rsid w:val="00BF354E"/>
    <w:rsid w:val="00BF4E66"/>
    <w:rsid w:val="00BF5C55"/>
    <w:rsid w:val="00BF6E5A"/>
    <w:rsid w:val="00C00A72"/>
    <w:rsid w:val="00C01DEF"/>
    <w:rsid w:val="00C07938"/>
    <w:rsid w:val="00C07A9D"/>
    <w:rsid w:val="00C109F3"/>
    <w:rsid w:val="00C21526"/>
    <w:rsid w:val="00C21AFA"/>
    <w:rsid w:val="00C24FC6"/>
    <w:rsid w:val="00C30491"/>
    <w:rsid w:val="00C3317E"/>
    <w:rsid w:val="00C344E0"/>
    <w:rsid w:val="00C359FD"/>
    <w:rsid w:val="00C36DD5"/>
    <w:rsid w:val="00C36FCB"/>
    <w:rsid w:val="00C40056"/>
    <w:rsid w:val="00C40070"/>
    <w:rsid w:val="00C42C2E"/>
    <w:rsid w:val="00C46AE7"/>
    <w:rsid w:val="00C47322"/>
    <w:rsid w:val="00C50F98"/>
    <w:rsid w:val="00C50FED"/>
    <w:rsid w:val="00C57240"/>
    <w:rsid w:val="00C6026C"/>
    <w:rsid w:val="00C65F32"/>
    <w:rsid w:val="00C71753"/>
    <w:rsid w:val="00C72FF2"/>
    <w:rsid w:val="00C748DB"/>
    <w:rsid w:val="00C74C0E"/>
    <w:rsid w:val="00C75900"/>
    <w:rsid w:val="00C773E6"/>
    <w:rsid w:val="00C7748C"/>
    <w:rsid w:val="00C803C3"/>
    <w:rsid w:val="00C80D88"/>
    <w:rsid w:val="00C81466"/>
    <w:rsid w:val="00C8280E"/>
    <w:rsid w:val="00C83891"/>
    <w:rsid w:val="00C84EAD"/>
    <w:rsid w:val="00C84EF3"/>
    <w:rsid w:val="00C87391"/>
    <w:rsid w:val="00C914A2"/>
    <w:rsid w:val="00C92554"/>
    <w:rsid w:val="00C9428B"/>
    <w:rsid w:val="00C9479B"/>
    <w:rsid w:val="00C9597E"/>
    <w:rsid w:val="00C96696"/>
    <w:rsid w:val="00CA2310"/>
    <w:rsid w:val="00CA2EFC"/>
    <w:rsid w:val="00CA3DC2"/>
    <w:rsid w:val="00CA6452"/>
    <w:rsid w:val="00CA7B2F"/>
    <w:rsid w:val="00CB157B"/>
    <w:rsid w:val="00CB1F40"/>
    <w:rsid w:val="00CB4D16"/>
    <w:rsid w:val="00CB4E9E"/>
    <w:rsid w:val="00CB606C"/>
    <w:rsid w:val="00CC1481"/>
    <w:rsid w:val="00CC4BBC"/>
    <w:rsid w:val="00CC60E0"/>
    <w:rsid w:val="00CC6D7B"/>
    <w:rsid w:val="00CD0C6E"/>
    <w:rsid w:val="00CD5CB2"/>
    <w:rsid w:val="00CD63A0"/>
    <w:rsid w:val="00CD7484"/>
    <w:rsid w:val="00CE456F"/>
    <w:rsid w:val="00CE4E20"/>
    <w:rsid w:val="00CE59ED"/>
    <w:rsid w:val="00CF0095"/>
    <w:rsid w:val="00CF01B4"/>
    <w:rsid w:val="00CF4A3E"/>
    <w:rsid w:val="00CF4F91"/>
    <w:rsid w:val="00D0241D"/>
    <w:rsid w:val="00D0431A"/>
    <w:rsid w:val="00D102FB"/>
    <w:rsid w:val="00D10F40"/>
    <w:rsid w:val="00D12B8C"/>
    <w:rsid w:val="00D14C6B"/>
    <w:rsid w:val="00D22B83"/>
    <w:rsid w:val="00D23718"/>
    <w:rsid w:val="00D23FD5"/>
    <w:rsid w:val="00D25214"/>
    <w:rsid w:val="00D3214A"/>
    <w:rsid w:val="00D32214"/>
    <w:rsid w:val="00D3230F"/>
    <w:rsid w:val="00D329D1"/>
    <w:rsid w:val="00D40A2C"/>
    <w:rsid w:val="00D42F04"/>
    <w:rsid w:val="00D457F9"/>
    <w:rsid w:val="00D52C88"/>
    <w:rsid w:val="00D535C7"/>
    <w:rsid w:val="00D54E54"/>
    <w:rsid w:val="00D551F3"/>
    <w:rsid w:val="00D5528C"/>
    <w:rsid w:val="00D5559D"/>
    <w:rsid w:val="00D55958"/>
    <w:rsid w:val="00D573D7"/>
    <w:rsid w:val="00D5766D"/>
    <w:rsid w:val="00D61A4B"/>
    <w:rsid w:val="00D6286A"/>
    <w:rsid w:val="00D638B7"/>
    <w:rsid w:val="00D6448B"/>
    <w:rsid w:val="00D70E2C"/>
    <w:rsid w:val="00D72294"/>
    <w:rsid w:val="00D7281E"/>
    <w:rsid w:val="00D813F1"/>
    <w:rsid w:val="00D818C6"/>
    <w:rsid w:val="00D82E48"/>
    <w:rsid w:val="00D83962"/>
    <w:rsid w:val="00D83B76"/>
    <w:rsid w:val="00D84D8F"/>
    <w:rsid w:val="00D85141"/>
    <w:rsid w:val="00D903CF"/>
    <w:rsid w:val="00D90831"/>
    <w:rsid w:val="00D918D0"/>
    <w:rsid w:val="00D936B3"/>
    <w:rsid w:val="00D95734"/>
    <w:rsid w:val="00D96BAE"/>
    <w:rsid w:val="00D97217"/>
    <w:rsid w:val="00D975A3"/>
    <w:rsid w:val="00DA1963"/>
    <w:rsid w:val="00DA4160"/>
    <w:rsid w:val="00DA4C60"/>
    <w:rsid w:val="00DA7271"/>
    <w:rsid w:val="00DB0F77"/>
    <w:rsid w:val="00DB4373"/>
    <w:rsid w:val="00DC0941"/>
    <w:rsid w:val="00DC18EA"/>
    <w:rsid w:val="00DC37D5"/>
    <w:rsid w:val="00DC3EEE"/>
    <w:rsid w:val="00DC7C80"/>
    <w:rsid w:val="00DD003A"/>
    <w:rsid w:val="00DD350F"/>
    <w:rsid w:val="00DE0367"/>
    <w:rsid w:val="00DE06E6"/>
    <w:rsid w:val="00DE06EE"/>
    <w:rsid w:val="00DE1A92"/>
    <w:rsid w:val="00DE47B0"/>
    <w:rsid w:val="00DE4F79"/>
    <w:rsid w:val="00DE6CAA"/>
    <w:rsid w:val="00DF0BCA"/>
    <w:rsid w:val="00DF6927"/>
    <w:rsid w:val="00E013D9"/>
    <w:rsid w:val="00E014F0"/>
    <w:rsid w:val="00E0252D"/>
    <w:rsid w:val="00E06CF2"/>
    <w:rsid w:val="00E07D44"/>
    <w:rsid w:val="00E10167"/>
    <w:rsid w:val="00E14898"/>
    <w:rsid w:val="00E16E54"/>
    <w:rsid w:val="00E17161"/>
    <w:rsid w:val="00E278CA"/>
    <w:rsid w:val="00E30EDE"/>
    <w:rsid w:val="00E321DE"/>
    <w:rsid w:val="00E32794"/>
    <w:rsid w:val="00E359CE"/>
    <w:rsid w:val="00E36A2F"/>
    <w:rsid w:val="00E36D8C"/>
    <w:rsid w:val="00E404A1"/>
    <w:rsid w:val="00E405DD"/>
    <w:rsid w:val="00E415A0"/>
    <w:rsid w:val="00E41911"/>
    <w:rsid w:val="00E42641"/>
    <w:rsid w:val="00E443C5"/>
    <w:rsid w:val="00E443D9"/>
    <w:rsid w:val="00E4790B"/>
    <w:rsid w:val="00E50220"/>
    <w:rsid w:val="00E533DE"/>
    <w:rsid w:val="00E541F8"/>
    <w:rsid w:val="00E55BA1"/>
    <w:rsid w:val="00E55BAD"/>
    <w:rsid w:val="00E56128"/>
    <w:rsid w:val="00E65417"/>
    <w:rsid w:val="00E656A4"/>
    <w:rsid w:val="00E658E2"/>
    <w:rsid w:val="00E65A3C"/>
    <w:rsid w:val="00E67ECC"/>
    <w:rsid w:val="00E745C4"/>
    <w:rsid w:val="00E77C8A"/>
    <w:rsid w:val="00E804C1"/>
    <w:rsid w:val="00E80B73"/>
    <w:rsid w:val="00E82D28"/>
    <w:rsid w:val="00E907AF"/>
    <w:rsid w:val="00E90AAF"/>
    <w:rsid w:val="00E93B37"/>
    <w:rsid w:val="00E944B6"/>
    <w:rsid w:val="00EA076B"/>
    <w:rsid w:val="00EA6DFA"/>
    <w:rsid w:val="00EB04B1"/>
    <w:rsid w:val="00EB127E"/>
    <w:rsid w:val="00EB188F"/>
    <w:rsid w:val="00EB2A6D"/>
    <w:rsid w:val="00EB3DE2"/>
    <w:rsid w:val="00EB5EBB"/>
    <w:rsid w:val="00EB65AA"/>
    <w:rsid w:val="00EB6A1E"/>
    <w:rsid w:val="00EC302D"/>
    <w:rsid w:val="00EC36B1"/>
    <w:rsid w:val="00EC5E6F"/>
    <w:rsid w:val="00EC60D9"/>
    <w:rsid w:val="00ED1618"/>
    <w:rsid w:val="00ED2F3C"/>
    <w:rsid w:val="00ED5578"/>
    <w:rsid w:val="00ED7AAA"/>
    <w:rsid w:val="00EE1B8E"/>
    <w:rsid w:val="00EE2E79"/>
    <w:rsid w:val="00EE5124"/>
    <w:rsid w:val="00EE639D"/>
    <w:rsid w:val="00EF12AC"/>
    <w:rsid w:val="00EF2FD6"/>
    <w:rsid w:val="00EF31D9"/>
    <w:rsid w:val="00EF6144"/>
    <w:rsid w:val="00F00CCB"/>
    <w:rsid w:val="00F044A0"/>
    <w:rsid w:val="00F1049B"/>
    <w:rsid w:val="00F1171F"/>
    <w:rsid w:val="00F13F44"/>
    <w:rsid w:val="00F14EFD"/>
    <w:rsid w:val="00F16FB0"/>
    <w:rsid w:val="00F170B9"/>
    <w:rsid w:val="00F22171"/>
    <w:rsid w:val="00F228A0"/>
    <w:rsid w:val="00F265CC"/>
    <w:rsid w:val="00F26CCB"/>
    <w:rsid w:val="00F271C2"/>
    <w:rsid w:val="00F325C1"/>
    <w:rsid w:val="00F3318E"/>
    <w:rsid w:val="00F33396"/>
    <w:rsid w:val="00F33F68"/>
    <w:rsid w:val="00F34CF1"/>
    <w:rsid w:val="00F34DF7"/>
    <w:rsid w:val="00F359B4"/>
    <w:rsid w:val="00F40B18"/>
    <w:rsid w:val="00F431DD"/>
    <w:rsid w:val="00F43FC8"/>
    <w:rsid w:val="00F459A4"/>
    <w:rsid w:val="00F46732"/>
    <w:rsid w:val="00F4786C"/>
    <w:rsid w:val="00F47D7C"/>
    <w:rsid w:val="00F511CB"/>
    <w:rsid w:val="00F51541"/>
    <w:rsid w:val="00F52448"/>
    <w:rsid w:val="00F60062"/>
    <w:rsid w:val="00F6419F"/>
    <w:rsid w:val="00F72786"/>
    <w:rsid w:val="00F7377A"/>
    <w:rsid w:val="00F73E94"/>
    <w:rsid w:val="00F74D67"/>
    <w:rsid w:val="00F75267"/>
    <w:rsid w:val="00F75EB7"/>
    <w:rsid w:val="00F77452"/>
    <w:rsid w:val="00F80B55"/>
    <w:rsid w:val="00F80B7F"/>
    <w:rsid w:val="00F838B0"/>
    <w:rsid w:val="00F961BF"/>
    <w:rsid w:val="00FA0E00"/>
    <w:rsid w:val="00FA1169"/>
    <w:rsid w:val="00FA1B11"/>
    <w:rsid w:val="00FA4E10"/>
    <w:rsid w:val="00FB22F0"/>
    <w:rsid w:val="00FB4491"/>
    <w:rsid w:val="00FB4CCD"/>
    <w:rsid w:val="00FB5301"/>
    <w:rsid w:val="00FB616D"/>
    <w:rsid w:val="00FC031B"/>
    <w:rsid w:val="00FC17B6"/>
    <w:rsid w:val="00FC43FE"/>
    <w:rsid w:val="00FC45F3"/>
    <w:rsid w:val="00FC5EA1"/>
    <w:rsid w:val="00FC6492"/>
    <w:rsid w:val="00FC742E"/>
    <w:rsid w:val="00FD0EB9"/>
    <w:rsid w:val="00FD481A"/>
    <w:rsid w:val="00FD6937"/>
    <w:rsid w:val="00FD7F45"/>
    <w:rsid w:val="00FE1983"/>
    <w:rsid w:val="00FF12E4"/>
    <w:rsid w:val="00FF3358"/>
    <w:rsid w:val="00FF463C"/>
    <w:rsid w:val="00FF69C1"/>
    <w:rsid w:val="020B8354"/>
    <w:rsid w:val="035802A0"/>
    <w:rsid w:val="0396A09B"/>
    <w:rsid w:val="0B7E8244"/>
    <w:rsid w:val="0CA4853B"/>
    <w:rsid w:val="10D8DFBC"/>
    <w:rsid w:val="22B0477C"/>
    <w:rsid w:val="25800DC5"/>
    <w:rsid w:val="25FD1F24"/>
    <w:rsid w:val="2799215B"/>
    <w:rsid w:val="2D0F1141"/>
    <w:rsid w:val="2E345924"/>
    <w:rsid w:val="2F9708A3"/>
    <w:rsid w:val="30FB9575"/>
    <w:rsid w:val="3B4F5A36"/>
    <w:rsid w:val="3CEA5530"/>
    <w:rsid w:val="4023C778"/>
    <w:rsid w:val="4C1EBA69"/>
    <w:rsid w:val="5140EBE2"/>
    <w:rsid w:val="518F311D"/>
    <w:rsid w:val="56A24A7C"/>
    <w:rsid w:val="64245F67"/>
    <w:rsid w:val="686E6614"/>
    <w:rsid w:val="6B585298"/>
    <w:rsid w:val="6E5BF15E"/>
    <w:rsid w:val="6FEF83A0"/>
    <w:rsid w:val="72165CC1"/>
    <w:rsid w:val="78CEA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C51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A3C"/>
    <w:pPr>
      <w:tabs>
        <w:tab w:val="left" w:pos="1069"/>
      </w:tabs>
      <w:spacing w:line="276" w:lineRule="auto"/>
    </w:pPr>
    <w:rPr>
      <w:rFonts w:ascii="Franklin Gothic Book" w:hAnsi="Franklin Gothic Book"/>
      <w:sz w:val="24"/>
      <w:szCs w:val="24"/>
      <w:lang w:bidi="en-US"/>
    </w:rPr>
  </w:style>
  <w:style w:type="paragraph" w:styleId="Heading1">
    <w:name w:val="heading 1"/>
    <w:basedOn w:val="Normal"/>
    <w:next w:val="Normal"/>
    <w:link w:val="Heading1Char"/>
    <w:uiPriority w:val="9"/>
    <w:qFormat/>
    <w:rsid w:val="004F2DAE"/>
    <w:pPr>
      <w:outlineLvl w:val="0"/>
    </w:pPr>
    <w:rPr>
      <w:b/>
      <w:sz w:val="28"/>
      <w:szCs w:val="28"/>
    </w:rPr>
  </w:style>
  <w:style w:type="paragraph" w:styleId="Heading2">
    <w:name w:val="heading 2"/>
    <w:basedOn w:val="Normal"/>
    <w:next w:val="Normal"/>
    <w:link w:val="Heading2Char"/>
    <w:uiPriority w:val="9"/>
    <w:qFormat/>
    <w:rsid w:val="004F2DAE"/>
    <w:pPr>
      <w:outlineLvl w:val="1"/>
    </w:pPr>
    <w:rPr>
      <w:b/>
    </w:rPr>
  </w:style>
  <w:style w:type="paragraph" w:styleId="Heading3">
    <w:name w:val="heading 3"/>
    <w:basedOn w:val="Normal"/>
    <w:next w:val="Normal"/>
    <w:link w:val="Heading3Char"/>
    <w:uiPriority w:val="9"/>
    <w:qFormat/>
    <w:rsid w:val="00FF463C"/>
    <w:pPr>
      <w:outlineLvl w:val="2"/>
    </w:pPr>
    <w:rPr>
      <w:b/>
    </w:rPr>
  </w:style>
  <w:style w:type="paragraph" w:styleId="Heading4">
    <w:name w:val="heading 4"/>
    <w:aliases w:val="Table titles"/>
    <w:basedOn w:val="Normal"/>
    <w:next w:val="Normal"/>
    <w:link w:val="Heading4Char"/>
    <w:uiPriority w:val="9"/>
    <w:qFormat/>
    <w:rsid w:val="004F2DAE"/>
    <w:pPr>
      <w:outlineLvl w:val="3"/>
    </w:pPr>
    <w:rPr>
      <w:b/>
    </w:rPr>
  </w:style>
  <w:style w:type="paragraph" w:styleId="Heading5">
    <w:name w:val="heading 5"/>
    <w:basedOn w:val="Normal"/>
    <w:next w:val="Normal"/>
    <w:link w:val="Heading5Char"/>
    <w:uiPriority w:val="9"/>
    <w:qFormat/>
    <w:rsid w:val="00FD7F45"/>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FD7F45"/>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FD7F45"/>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FD7F45"/>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FD7F45"/>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uiPriority w:val="9"/>
    <w:rsid w:val="00FD7F45"/>
    <w:rPr>
      <w:rFonts w:ascii="Cambria" w:eastAsia="Times New Roman" w:hAnsi="Cambria" w:cs="Times New Roman"/>
      <w:sz w:val="20"/>
      <w:szCs w:val="20"/>
    </w:rPr>
  </w:style>
  <w:style w:type="paragraph" w:styleId="FootnoteText">
    <w:name w:val="footnote text"/>
    <w:basedOn w:val="Normal"/>
    <w:link w:val="FootnoteTextChar"/>
    <w:semiHidden/>
    <w:rsid w:val="0081626B"/>
    <w:rPr>
      <w:rFonts w:ascii="Times New Roman" w:hAnsi="Times New Roman"/>
      <w:sz w:val="20"/>
      <w:szCs w:val="20"/>
      <w:lang w:bidi="ar-SA"/>
    </w:rPr>
  </w:style>
  <w:style w:type="character" w:customStyle="1" w:styleId="FootnoteTextChar">
    <w:name w:val="Footnote Text Char"/>
    <w:link w:val="FootnoteText"/>
    <w:rsid w:val="0081626B"/>
    <w:rPr>
      <w:rFonts w:ascii="Times New Roman" w:eastAsia="Times New Roman" w:hAnsi="Times New Roman" w:cs="Times New Roman"/>
      <w:sz w:val="20"/>
      <w:szCs w:val="20"/>
    </w:rPr>
  </w:style>
  <w:style w:type="character" w:styleId="FootnoteReference">
    <w:name w:val="footnote reference"/>
    <w:semiHidden/>
    <w:rsid w:val="0081626B"/>
    <w:rPr>
      <w:vertAlign w:val="superscript"/>
    </w:rPr>
  </w:style>
  <w:style w:type="paragraph" w:styleId="BodyTextIndent">
    <w:name w:val="Body Text Indent"/>
    <w:basedOn w:val="Normal"/>
    <w:link w:val="BodyTextIndentChar"/>
    <w:rsid w:val="0081626B"/>
    <w:pPr>
      <w:spacing w:after="240"/>
      <w:ind w:firstLine="720"/>
    </w:pPr>
    <w:rPr>
      <w:rFonts w:ascii="Times New Roman" w:hAnsi="Times New Roman"/>
      <w:lang w:bidi="ar-SA"/>
    </w:rPr>
  </w:style>
  <w:style w:type="character" w:customStyle="1" w:styleId="BodyTextIndentChar">
    <w:name w:val="Body Text Indent Char"/>
    <w:link w:val="BodyTextIndent"/>
    <w:rsid w:val="0081626B"/>
    <w:rPr>
      <w:rFonts w:ascii="Times New Roman" w:eastAsia="Times New Roman" w:hAnsi="Times New Roman" w:cs="Times New Roman"/>
      <w:sz w:val="24"/>
      <w:szCs w:val="24"/>
    </w:rPr>
  </w:style>
  <w:style w:type="character" w:styleId="Hyperlink">
    <w:name w:val="Hyperlink"/>
    <w:rsid w:val="0081626B"/>
    <w:rPr>
      <w:color w:val="0000FF"/>
      <w:u w:val="single"/>
    </w:rPr>
  </w:style>
  <w:style w:type="character" w:customStyle="1" w:styleId="head">
    <w:name w:val="head"/>
    <w:basedOn w:val="DefaultParagraphFont"/>
    <w:rsid w:val="0081626B"/>
  </w:style>
  <w:style w:type="paragraph" w:styleId="CommentText">
    <w:name w:val="annotation text"/>
    <w:basedOn w:val="Normal"/>
    <w:link w:val="CommentTextChar"/>
    <w:semiHidden/>
    <w:rsid w:val="0081626B"/>
    <w:rPr>
      <w:rFonts w:ascii="Times New Roman" w:hAnsi="Times New Roman"/>
      <w:sz w:val="20"/>
      <w:szCs w:val="20"/>
      <w:lang w:bidi="ar-SA"/>
    </w:rPr>
  </w:style>
  <w:style w:type="character" w:customStyle="1" w:styleId="CommentTextChar">
    <w:name w:val="Comment Text Char"/>
    <w:link w:val="CommentText"/>
    <w:semiHidden/>
    <w:rsid w:val="0081626B"/>
    <w:rPr>
      <w:rFonts w:ascii="Times New Roman" w:eastAsia="Times New Roman" w:hAnsi="Times New Roman" w:cs="Times New Roman"/>
      <w:sz w:val="20"/>
      <w:szCs w:val="20"/>
    </w:rPr>
  </w:style>
  <w:style w:type="paragraph" w:styleId="Footer">
    <w:name w:val="footer"/>
    <w:basedOn w:val="Normal"/>
    <w:link w:val="FooterChar"/>
    <w:rsid w:val="0081626B"/>
    <w:pPr>
      <w:tabs>
        <w:tab w:val="center" w:pos="4320"/>
        <w:tab w:val="right" w:pos="8640"/>
      </w:tabs>
    </w:pPr>
    <w:rPr>
      <w:rFonts w:ascii="Times New Roman" w:hAnsi="Times New Roman"/>
      <w:lang w:bidi="ar-SA"/>
    </w:rPr>
  </w:style>
  <w:style w:type="character" w:customStyle="1" w:styleId="FooterChar">
    <w:name w:val="Footer Char"/>
    <w:link w:val="Footer"/>
    <w:rsid w:val="0081626B"/>
    <w:rPr>
      <w:rFonts w:ascii="Times New Roman" w:eastAsia="Times New Roman" w:hAnsi="Times New Roman" w:cs="Times New Roman"/>
      <w:sz w:val="24"/>
      <w:szCs w:val="24"/>
    </w:rPr>
  </w:style>
  <w:style w:type="character" w:styleId="PageNumber">
    <w:name w:val="page number"/>
    <w:basedOn w:val="DefaultParagraphFont"/>
    <w:rsid w:val="0081626B"/>
  </w:style>
  <w:style w:type="paragraph" w:styleId="Header">
    <w:name w:val="header"/>
    <w:basedOn w:val="Normal"/>
    <w:link w:val="HeaderChar"/>
    <w:rsid w:val="0081626B"/>
    <w:pPr>
      <w:tabs>
        <w:tab w:val="center" w:pos="4320"/>
        <w:tab w:val="right" w:pos="8640"/>
      </w:tabs>
    </w:pPr>
    <w:rPr>
      <w:rFonts w:ascii="Times New Roman" w:hAnsi="Times New Roman"/>
      <w:lang w:bidi="ar-SA"/>
    </w:rPr>
  </w:style>
  <w:style w:type="character" w:customStyle="1" w:styleId="HeaderChar">
    <w:name w:val="Header Char"/>
    <w:link w:val="Header"/>
    <w:rsid w:val="0081626B"/>
    <w:rPr>
      <w:rFonts w:ascii="Times New Roman" w:eastAsia="Times New Roman" w:hAnsi="Times New Roman" w:cs="Times New Roman"/>
      <w:sz w:val="24"/>
      <w:szCs w:val="24"/>
    </w:rPr>
  </w:style>
  <w:style w:type="character" w:styleId="CommentReference">
    <w:name w:val="annotation reference"/>
    <w:rsid w:val="0081626B"/>
    <w:rPr>
      <w:sz w:val="16"/>
      <w:szCs w:val="16"/>
    </w:rPr>
  </w:style>
  <w:style w:type="paragraph" w:styleId="BalloonText">
    <w:name w:val="Balloon Text"/>
    <w:basedOn w:val="Normal"/>
    <w:link w:val="BalloonTextChar"/>
    <w:uiPriority w:val="99"/>
    <w:semiHidden/>
    <w:unhideWhenUsed/>
    <w:rsid w:val="0081626B"/>
    <w:rPr>
      <w:rFonts w:ascii="Tahoma" w:hAnsi="Tahoma"/>
      <w:sz w:val="16"/>
      <w:szCs w:val="16"/>
      <w:lang w:bidi="ar-SA"/>
    </w:rPr>
  </w:style>
  <w:style w:type="character" w:customStyle="1" w:styleId="BalloonTextChar">
    <w:name w:val="Balloon Text Char"/>
    <w:link w:val="BalloonText"/>
    <w:uiPriority w:val="99"/>
    <w:semiHidden/>
    <w:rsid w:val="0081626B"/>
    <w:rPr>
      <w:rFonts w:ascii="Tahoma" w:eastAsia="Times New Roman" w:hAnsi="Tahoma" w:cs="Tahoma"/>
      <w:sz w:val="16"/>
      <w:szCs w:val="16"/>
    </w:rPr>
  </w:style>
  <w:style w:type="paragraph" w:styleId="CommentSubject">
    <w:name w:val="annotation subject"/>
    <w:basedOn w:val="CommentText"/>
    <w:next w:val="CommentText"/>
    <w:semiHidden/>
    <w:rsid w:val="007127E6"/>
    <w:rPr>
      <w:b/>
      <w:bCs/>
    </w:rPr>
  </w:style>
  <w:style w:type="character" w:styleId="Strong">
    <w:name w:val="Strong"/>
    <w:uiPriority w:val="22"/>
    <w:qFormat/>
    <w:rsid w:val="00FD7F45"/>
    <w:rPr>
      <w:b/>
      <w:bCs/>
    </w:rPr>
  </w:style>
  <w:style w:type="character" w:styleId="FollowedHyperlink">
    <w:name w:val="FollowedHyperlink"/>
    <w:uiPriority w:val="99"/>
    <w:semiHidden/>
    <w:unhideWhenUsed/>
    <w:rsid w:val="00E278CA"/>
    <w:rPr>
      <w:color w:val="800080"/>
      <w:u w:val="single"/>
    </w:rPr>
  </w:style>
  <w:style w:type="character" w:customStyle="1" w:styleId="Heading1Char">
    <w:name w:val="Heading 1 Char"/>
    <w:link w:val="Heading1"/>
    <w:uiPriority w:val="9"/>
    <w:rsid w:val="004F2DAE"/>
    <w:rPr>
      <w:rFonts w:ascii="Franklin Gothic Book" w:hAnsi="Franklin Gothic Book"/>
      <w:b/>
      <w:sz w:val="28"/>
      <w:szCs w:val="28"/>
      <w:lang w:bidi="en-US"/>
    </w:rPr>
  </w:style>
  <w:style w:type="character" w:customStyle="1" w:styleId="Heading2Char">
    <w:name w:val="Heading 2 Char"/>
    <w:link w:val="Heading2"/>
    <w:uiPriority w:val="9"/>
    <w:rsid w:val="004F2DAE"/>
    <w:rPr>
      <w:rFonts w:ascii="Franklin Gothic Book" w:hAnsi="Franklin Gothic Book"/>
      <w:b/>
      <w:sz w:val="24"/>
      <w:szCs w:val="24"/>
      <w:lang w:bidi="en-US"/>
    </w:rPr>
  </w:style>
  <w:style w:type="character" w:customStyle="1" w:styleId="Heading3Char">
    <w:name w:val="Heading 3 Char"/>
    <w:link w:val="Heading3"/>
    <w:uiPriority w:val="9"/>
    <w:rsid w:val="00FF463C"/>
    <w:rPr>
      <w:rFonts w:ascii="Franklin Gothic Book" w:hAnsi="Franklin Gothic Book"/>
      <w:b/>
      <w:sz w:val="24"/>
      <w:szCs w:val="24"/>
      <w:lang w:bidi="en-US"/>
    </w:rPr>
  </w:style>
  <w:style w:type="character" w:customStyle="1" w:styleId="Heading4Char">
    <w:name w:val="Heading 4 Char"/>
    <w:aliases w:val="Table titles Char"/>
    <w:link w:val="Heading4"/>
    <w:uiPriority w:val="9"/>
    <w:rsid w:val="004F2DAE"/>
    <w:rPr>
      <w:rFonts w:ascii="Franklin Gothic Book" w:hAnsi="Franklin Gothic Book"/>
      <w:b/>
      <w:sz w:val="24"/>
      <w:szCs w:val="24"/>
      <w:lang w:bidi="en-US"/>
    </w:rPr>
  </w:style>
  <w:style w:type="character" w:customStyle="1" w:styleId="Heading5Char">
    <w:name w:val="Heading 5 Char"/>
    <w:link w:val="Heading5"/>
    <w:uiPriority w:val="9"/>
    <w:semiHidden/>
    <w:rsid w:val="00FD7F45"/>
    <w:rPr>
      <w:rFonts w:ascii="Cambria" w:eastAsia="Times New Roman" w:hAnsi="Cambria" w:cs="Times New Roman"/>
      <w:b/>
      <w:bCs/>
      <w:color w:val="7F7F7F"/>
    </w:rPr>
  </w:style>
  <w:style w:type="character" w:customStyle="1" w:styleId="Heading6Char">
    <w:name w:val="Heading 6 Char"/>
    <w:link w:val="Heading6"/>
    <w:uiPriority w:val="9"/>
    <w:semiHidden/>
    <w:rsid w:val="00FD7F45"/>
    <w:rPr>
      <w:rFonts w:ascii="Cambria" w:eastAsia="Times New Roman" w:hAnsi="Cambria" w:cs="Times New Roman"/>
      <w:b/>
      <w:bCs/>
      <w:i/>
      <w:iCs/>
      <w:color w:val="7F7F7F"/>
    </w:rPr>
  </w:style>
  <w:style w:type="character" w:customStyle="1" w:styleId="Heading7Char">
    <w:name w:val="Heading 7 Char"/>
    <w:link w:val="Heading7"/>
    <w:uiPriority w:val="9"/>
    <w:semiHidden/>
    <w:rsid w:val="00FD7F45"/>
    <w:rPr>
      <w:rFonts w:ascii="Cambria" w:eastAsia="Times New Roman" w:hAnsi="Cambria" w:cs="Times New Roman"/>
      <w:i/>
      <w:iCs/>
    </w:rPr>
  </w:style>
  <w:style w:type="character" w:customStyle="1" w:styleId="Heading9Char">
    <w:name w:val="Heading 9 Char"/>
    <w:link w:val="Heading9"/>
    <w:uiPriority w:val="9"/>
    <w:semiHidden/>
    <w:rsid w:val="00FD7F45"/>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D7F45"/>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link w:val="Title"/>
    <w:uiPriority w:val="10"/>
    <w:rsid w:val="00FD7F45"/>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D7F45"/>
    <w:pPr>
      <w:spacing w:after="600"/>
    </w:pPr>
    <w:rPr>
      <w:rFonts w:ascii="Cambria" w:hAnsi="Cambria"/>
      <w:i/>
      <w:iCs/>
      <w:spacing w:val="13"/>
      <w:lang w:bidi="ar-SA"/>
    </w:rPr>
  </w:style>
  <w:style w:type="character" w:customStyle="1" w:styleId="SubtitleChar">
    <w:name w:val="Subtitle Char"/>
    <w:link w:val="Subtitle"/>
    <w:uiPriority w:val="11"/>
    <w:rsid w:val="00FD7F45"/>
    <w:rPr>
      <w:rFonts w:ascii="Cambria" w:eastAsia="Times New Roman" w:hAnsi="Cambria" w:cs="Times New Roman"/>
      <w:i/>
      <w:iCs/>
      <w:spacing w:val="13"/>
      <w:sz w:val="24"/>
      <w:szCs w:val="24"/>
    </w:rPr>
  </w:style>
  <w:style w:type="character" w:styleId="Emphasis">
    <w:name w:val="Emphasis"/>
    <w:uiPriority w:val="20"/>
    <w:qFormat/>
    <w:rsid w:val="00FD7F45"/>
    <w:rPr>
      <w:b/>
      <w:bCs/>
      <w:i/>
      <w:iCs/>
      <w:spacing w:val="10"/>
      <w:bdr w:val="none" w:sz="0" w:space="0" w:color="auto"/>
      <w:shd w:val="clear" w:color="auto" w:fill="auto"/>
    </w:rPr>
  </w:style>
  <w:style w:type="paragraph" w:styleId="NoSpacing">
    <w:name w:val="No Spacing"/>
    <w:basedOn w:val="Normal"/>
    <w:uiPriority w:val="1"/>
    <w:qFormat/>
    <w:rsid w:val="00FD7F45"/>
    <w:pPr>
      <w:spacing w:line="240" w:lineRule="auto"/>
    </w:pPr>
  </w:style>
  <w:style w:type="paragraph" w:styleId="ListParagraph">
    <w:name w:val="List Paragraph"/>
    <w:basedOn w:val="Normal"/>
    <w:uiPriority w:val="34"/>
    <w:qFormat/>
    <w:rsid w:val="00FD7F45"/>
    <w:pPr>
      <w:ind w:left="720"/>
      <w:contextualSpacing/>
    </w:pPr>
  </w:style>
  <w:style w:type="paragraph" w:styleId="Quote">
    <w:name w:val="Quote"/>
    <w:basedOn w:val="Normal"/>
    <w:next w:val="Normal"/>
    <w:link w:val="QuoteChar"/>
    <w:uiPriority w:val="29"/>
    <w:qFormat/>
    <w:rsid w:val="00FD7F45"/>
    <w:pPr>
      <w:spacing w:before="200"/>
      <w:ind w:left="360" w:right="360"/>
    </w:pPr>
    <w:rPr>
      <w:i/>
      <w:iCs/>
      <w:sz w:val="20"/>
      <w:szCs w:val="20"/>
      <w:lang w:bidi="ar-SA"/>
    </w:rPr>
  </w:style>
  <w:style w:type="character" w:customStyle="1" w:styleId="QuoteChar">
    <w:name w:val="Quote Char"/>
    <w:link w:val="Quote"/>
    <w:uiPriority w:val="29"/>
    <w:rsid w:val="00FD7F45"/>
    <w:rPr>
      <w:i/>
      <w:iCs/>
    </w:rPr>
  </w:style>
  <w:style w:type="paragraph" w:styleId="IntenseQuote">
    <w:name w:val="Intense Quote"/>
    <w:basedOn w:val="Normal"/>
    <w:next w:val="Normal"/>
    <w:link w:val="IntenseQuoteChar"/>
    <w:uiPriority w:val="30"/>
    <w:qFormat/>
    <w:rsid w:val="00FD7F45"/>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link w:val="IntenseQuote"/>
    <w:uiPriority w:val="30"/>
    <w:rsid w:val="00FD7F45"/>
    <w:rPr>
      <w:b/>
      <w:bCs/>
      <w:i/>
      <w:iCs/>
    </w:rPr>
  </w:style>
  <w:style w:type="character" w:styleId="SubtleEmphasis">
    <w:name w:val="Subtle Emphasis"/>
    <w:uiPriority w:val="19"/>
    <w:qFormat/>
    <w:rsid w:val="00FD7F45"/>
    <w:rPr>
      <w:i/>
      <w:iCs/>
    </w:rPr>
  </w:style>
  <w:style w:type="character" w:styleId="IntenseEmphasis">
    <w:name w:val="Intense Emphasis"/>
    <w:uiPriority w:val="21"/>
    <w:qFormat/>
    <w:rsid w:val="00FD7F45"/>
    <w:rPr>
      <w:b/>
      <w:bCs/>
    </w:rPr>
  </w:style>
  <w:style w:type="character" w:styleId="SubtleReference">
    <w:name w:val="Subtle Reference"/>
    <w:uiPriority w:val="31"/>
    <w:qFormat/>
    <w:rsid w:val="00FD7F45"/>
    <w:rPr>
      <w:smallCaps/>
    </w:rPr>
  </w:style>
  <w:style w:type="character" w:styleId="IntenseReference">
    <w:name w:val="Intense Reference"/>
    <w:uiPriority w:val="32"/>
    <w:qFormat/>
    <w:rsid w:val="00FD7F45"/>
    <w:rPr>
      <w:smallCaps/>
      <w:spacing w:val="5"/>
      <w:u w:val="single"/>
    </w:rPr>
  </w:style>
  <w:style w:type="character" w:styleId="BookTitle">
    <w:name w:val="Book Title"/>
    <w:uiPriority w:val="33"/>
    <w:qFormat/>
    <w:rsid w:val="00FD7F45"/>
    <w:rPr>
      <w:i/>
      <w:iCs/>
      <w:smallCaps/>
      <w:spacing w:val="5"/>
    </w:rPr>
  </w:style>
  <w:style w:type="paragraph" w:styleId="TOCHeading">
    <w:name w:val="TOC Heading"/>
    <w:basedOn w:val="Heading1"/>
    <w:next w:val="Normal"/>
    <w:uiPriority w:val="39"/>
    <w:qFormat/>
    <w:rsid w:val="00FD7F45"/>
    <w:pPr>
      <w:outlineLvl w:val="9"/>
    </w:pPr>
  </w:style>
  <w:style w:type="paragraph" w:customStyle="1" w:styleId="boldred">
    <w:name w:val="bold red"/>
    <w:basedOn w:val="Normal"/>
    <w:link w:val="boldredChar"/>
    <w:qFormat/>
    <w:rsid w:val="00FD7F45"/>
    <w:pPr>
      <w:spacing w:before="100" w:beforeAutospacing="1" w:after="100" w:afterAutospacing="1"/>
    </w:pPr>
    <w:rPr>
      <w:b/>
      <w:color w:val="FF0000"/>
      <w:sz w:val="20"/>
      <w:szCs w:val="20"/>
      <w:lang w:bidi="ar-SA"/>
    </w:rPr>
  </w:style>
  <w:style w:type="paragraph" w:styleId="Caption">
    <w:name w:val="caption"/>
    <w:basedOn w:val="Normal"/>
    <w:next w:val="Normal"/>
    <w:uiPriority w:val="35"/>
    <w:qFormat/>
    <w:rsid w:val="000D4BB3"/>
    <w:rPr>
      <w:rFonts w:eastAsia="Calibri"/>
      <w:b/>
      <w:bCs/>
      <w:sz w:val="20"/>
      <w:szCs w:val="20"/>
      <w:lang w:bidi="ar-SA"/>
    </w:rPr>
  </w:style>
  <w:style w:type="character" w:customStyle="1" w:styleId="boldredChar">
    <w:name w:val="bold red Char"/>
    <w:link w:val="boldred"/>
    <w:rsid w:val="00FD7F45"/>
    <w:rPr>
      <w:b/>
      <w:color w:val="FF0000"/>
    </w:rPr>
  </w:style>
  <w:style w:type="table" w:styleId="TableGrid">
    <w:name w:val="Table Grid"/>
    <w:basedOn w:val="TableNormal"/>
    <w:uiPriority w:val="59"/>
    <w:rsid w:val="00F431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3D5634"/>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A6452"/>
    <w:pPr>
      <w:spacing w:line="240" w:lineRule="auto"/>
      <w:ind w:left="720"/>
    </w:pPr>
    <w:rPr>
      <w:rFonts w:ascii="Arial" w:hAnsi="Arial" w:cs="Arial"/>
      <w:lang w:bidi="ar-SA"/>
    </w:rPr>
  </w:style>
  <w:style w:type="paragraph" w:styleId="NormalWeb">
    <w:name w:val="Normal (Web)"/>
    <w:basedOn w:val="Normal"/>
    <w:rsid w:val="00EF31D9"/>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077663"/>
    <w:pPr>
      <w:spacing w:after="120"/>
    </w:pPr>
  </w:style>
  <w:style w:type="character" w:customStyle="1" w:styleId="BodyTextChar">
    <w:name w:val="Body Text Char"/>
    <w:link w:val="BodyText"/>
    <w:uiPriority w:val="99"/>
    <w:semiHidden/>
    <w:rsid w:val="00077663"/>
    <w:rPr>
      <w:sz w:val="22"/>
      <w:szCs w:val="22"/>
      <w:lang w:bidi="en-US"/>
    </w:rPr>
  </w:style>
  <w:style w:type="paragraph" w:customStyle="1" w:styleId="Default">
    <w:name w:val="Default"/>
    <w:basedOn w:val="Normal"/>
    <w:rsid w:val="00463BC5"/>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08798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87982"/>
    <w:rPr>
      <w:sz w:val="16"/>
      <w:szCs w:val="16"/>
      <w:lang w:bidi="en-US"/>
    </w:rPr>
  </w:style>
  <w:style w:type="paragraph" w:styleId="EndnoteText">
    <w:name w:val="endnote text"/>
    <w:basedOn w:val="Normal"/>
    <w:link w:val="EndnoteTextChar"/>
    <w:uiPriority w:val="99"/>
    <w:semiHidden/>
    <w:unhideWhenUsed/>
    <w:rsid w:val="00BE5DA2"/>
    <w:pPr>
      <w:spacing w:line="240" w:lineRule="auto"/>
    </w:pPr>
    <w:rPr>
      <w:sz w:val="20"/>
      <w:szCs w:val="20"/>
    </w:rPr>
  </w:style>
  <w:style w:type="character" w:customStyle="1" w:styleId="EndnoteTextChar">
    <w:name w:val="Endnote Text Char"/>
    <w:basedOn w:val="DefaultParagraphFont"/>
    <w:link w:val="EndnoteText"/>
    <w:uiPriority w:val="99"/>
    <w:semiHidden/>
    <w:rsid w:val="00BE5DA2"/>
    <w:rPr>
      <w:lang w:bidi="en-US"/>
    </w:rPr>
  </w:style>
  <w:style w:type="character" w:styleId="EndnoteReference">
    <w:name w:val="endnote reference"/>
    <w:basedOn w:val="DefaultParagraphFont"/>
    <w:uiPriority w:val="99"/>
    <w:semiHidden/>
    <w:unhideWhenUsed/>
    <w:rsid w:val="00BE5DA2"/>
    <w:rPr>
      <w:vertAlign w:val="superscript"/>
    </w:rPr>
  </w:style>
  <w:style w:type="table" w:customStyle="1" w:styleId="TableGrid1">
    <w:name w:val="Table Grid1"/>
    <w:basedOn w:val="TableNormal"/>
    <w:next w:val="TableGrid"/>
    <w:uiPriority w:val="59"/>
    <w:rsid w:val="006074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804C1"/>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9977">
      <w:bodyDiv w:val="1"/>
      <w:marLeft w:val="0"/>
      <w:marRight w:val="0"/>
      <w:marTop w:val="0"/>
      <w:marBottom w:val="0"/>
      <w:divBdr>
        <w:top w:val="none" w:sz="0" w:space="0" w:color="auto"/>
        <w:left w:val="none" w:sz="0" w:space="0" w:color="auto"/>
        <w:bottom w:val="none" w:sz="0" w:space="0" w:color="auto"/>
        <w:right w:val="none" w:sz="0" w:space="0" w:color="auto"/>
      </w:divBdr>
    </w:div>
    <w:div w:id="130094426">
      <w:bodyDiv w:val="1"/>
      <w:marLeft w:val="0"/>
      <w:marRight w:val="0"/>
      <w:marTop w:val="0"/>
      <w:marBottom w:val="0"/>
      <w:divBdr>
        <w:top w:val="none" w:sz="0" w:space="0" w:color="auto"/>
        <w:left w:val="none" w:sz="0" w:space="0" w:color="auto"/>
        <w:bottom w:val="none" w:sz="0" w:space="0" w:color="auto"/>
        <w:right w:val="none" w:sz="0" w:space="0" w:color="auto"/>
      </w:divBdr>
    </w:div>
    <w:div w:id="326135030">
      <w:bodyDiv w:val="1"/>
      <w:marLeft w:val="0"/>
      <w:marRight w:val="0"/>
      <w:marTop w:val="0"/>
      <w:marBottom w:val="0"/>
      <w:divBdr>
        <w:top w:val="none" w:sz="0" w:space="0" w:color="auto"/>
        <w:left w:val="none" w:sz="0" w:space="0" w:color="auto"/>
        <w:bottom w:val="none" w:sz="0" w:space="0" w:color="auto"/>
        <w:right w:val="none" w:sz="0" w:space="0" w:color="auto"/>
      </w:divBdr>
      <w:divsChild>
        <w:div w:id="636688856">
          <w:marLeft w:val="0"/>
          <w:marRight w:val="0"/>
          <w:marTop w:val="0"/>
          <w:marBottom w:val="0"/>
          <w:divBdr>
            <w:top w:val="none" w:sz="0" w:space="0" w:color="auto"/>
            <w:left w:val="none" w:sz="0" w:space="0" w:color="auto"/>
            <w:bottom w:val="none" w:sz="0" w:space="0" w:color="auto"/>
            <w:right w:val="none" w:sz="0" w:space="0" w:color="auto"/>
          </w:divBdr>
          <w:divsChild>
            <w:div w:id="834493484">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36755552">
      <w:bodyDiv w:val="1"/>
      <w:marLeft w:val="0"/>
      <w:marRight w:val="0"/>
      <w:marTop w:val="0"/>
      <w:marBottom w:val="0"/>
      <w:divBdr>
        <w:top w:val="none" w:sz="0" w:space="0" w:color="auto"/>
        <w:left w:val="none" w:sz="0" w:space="0" w:color="auto"/>
        <w:bottom w:val="none" w:sz="0" w:space="0" w:color="auto"/>
        <w:right w:val="none" w:sz="0" w:space="0" w:color="auto"/>
      </w:divBdr>
      <w:divsChild>
        <w:div w:id="2143770964">
          <w:marLeft w:val="0"/>
          <w:marRight w:val="0"/>
          <w:marTop w:val="0"/>
          <w:marBottom w:val="0"/>
          <w:divBdr>
            <w:top w:val="none" w:sz="0" w:space="0" w:color="auto"/>
            <w:left w:val="single" w:sz="6" w:space="0" w:color="999999"/>
            <w:bottom w:val="none" w:sz="0" w:space="0" w:color="auto"/>
            <w:right w:val="none" w:sz="0" w:space="0" w:color="auto"/>
          </w:divBdr>
          <w:divsChild>
            <w:div w:id="1225293156">
              <w:marLeft w:val="0"/>
              <w:marRight w:val="0"/>
              <w:marTop w:val="0"/>
              <w:marBottom w:val="0"/>
              <w:divBdr>
                <w:top w:val="single" w:sz="6" w:space="0" w:color="999999"/>
                <w:left w:val="none" w:sz="0" w:space="0" w:color="auto"/>
                <w:bottom w:val="none" w:sz="0" w:space="0" w:color="auto"/>
                <w:right w:val="single" w:sz="6" w:space="0" w:color="999999"/>
              </w:divBdr>
              <w:divsChild>
                <w:div w:id="1040589308">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460616093">
      <w:bodyDiv w:val="1"/>
      <w:marLeft w:val="0"/>
      <w:marRight w:val="0"/>
      <w:marTop w:val="0"/>
      <w:marBottom w:val="0"/>
      <w:divBdr>
        <w:top w:val="none" w:sz="0" w:space="0" w:color="auto"/>
        <w:left w:val="none" w:sz="0" w:space="0" w:color="auto"/>
        <w:bottom w:val="none" w:sz="0" w:space="0" w:color="auto"/>
        <w:right w:val="none" w:sz="0" w:space="0" w:color="auto"/>
      </w:divBdr>
      <w:divsChild>
        <w:div w:id="1866140326">
          <w:marLeft w:val="0"/>
          <w:marRight w:val="0"/>
          <w:marTop w:val="0"/>
          <w:marBottom w:val="0"/>
          <w:divBdr>
            <w:top w:val="none" w:sz="0" w:space="0" w:color="auto"/>
            <w:left w:val="none" w:sz="0" w:space="0" w:color="auto"/>
            <w:bottom w:val="none" w:sz="0" w:space="0" w:color="auto"/>
            <w:right w:val="none" w:sz="0" w:space="0" w:color="auto"/>
          </w:divBdr>
          <w:divsChild>
            <w:div w:id="54820439">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517502027">
      <w:bodyDiv w:val="1"/>
      <w:marLeft w:val="0"/>
      <w:marRight w:val="0"/>
      <w:marTop w:val="0"/>
      <w:marBottom w:val="0"/>
      <w:divBdr>
        <w:top w:val="none" w:sz="0" w:space="0" w:color="auto"/>
        <w:left w:val="none" w:sz="0" w:space="0" w:color="auto"/>
        <w:bottom w:val="none" w:sz="0" w:space="0" w:color="auto"/>
        <w:right w:val="none" w:sz="0" w:space="0" w:color="auto"/>
      </w:divBdr>
    </w:div>
    <w:div w:id="798109572">
      <w:bodyDiv w:val="1"/>
      <w:marLeft w:val="0"/>
      <w:marRight w:val="0"/>
      <w:marTop w:val="0"/>
      <w:marBottom w:val="0"/>
      <w:divBdr>
        <w:top w:val="none" w:sz="0" w:space="0" w:color="auto"/>
        <w:left w:val="none" w:sz="0" w:space="0" w:color="auto"/>
        <w:bottom w:val="none" w:sz="0" w:space="0" w:color="auto"/>
        <w:right w:val="none" w:sz="0" w:space="0" w:color="auto"/>
      </w:divBdr>
    </w:div>
    <w:div w:id="957876951">
      <w:bodyDiv w:val="1"/>
      <w:marLeft w:val="0"/>
      <w:marRight w:val="0"/>
      <w:marTop w:val="0"/>
      <w:marBottom w:val="0"/>
      <w:divBdr>
        <w:top w:val="none" w:sz="0" w:space="0" w:color="auto"/>
        <w:left w:val="none" w:sz="0" w:space="0" w:color="auto"/>
        <w:bottom w:val="none" w:sz="0" w:space="0" w:color="auto"/>
        <w:right w:val="none" w:sz="0" w:space="0" w:color="auto"/>
      </w:divBdr>
      <w:divsChild>
        <w:div w:id="649096087">
          <w:marLeft w:val="0"/>
          <w:marRight w:val="0"/>
          <w:marTop w:val="0"/>
          <w:marBottom w:val="0"/>
          <w:divBdr>
            <w:top w:val="none" w:sz="0" w:space="0" w:color="auto"/>
            <w:left w:val="none" w:sz="0" w:space="0" w:color="auto"/>
            <w:bottom w:val="none" w:sz="0" w:space="0" w:color="auto"/>
            <w:right w:val="none" w:sz="0" w:space="0" w:color="auto"/>
          </w:divBdr>
          <w:divsChild>
            <w:div w:id="216018721">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980306508">
      <w:bodyDiv w:val="1"/>
      <w:marLeft w:val="0"/>
      <w:marRight w:val="0"/>
      <w:marTop w:val="0"/>
      <w:marBottom w:val="0"/>
      <w:divBdr>
        <w:top w:val="none" w:sz="0" w:space="0" w:color="auto"/>
        <w:left w:val="none" w:sz="0" w:space="0" w:color="auto"/>
        <w:bottom w:val="none" w:sz="0" w:space="0" w:color="auto"/>
        <w:right w:val="none" w:sz="0" w:space="0" w:color="auto"/>
      </w:divBdr>
    </w:div>
    <w:div w:id="1007366739">
      <w:bodyDiv w:val="1"/>
      <w:marLeft w:val="0"/>
      <w:marRight w:val="0"/>
      <w:marTop w:val="0"/>
      <w:marBottom w:val="0"/>
      <w:divBdr>
        <w:top w:val="none" w:sz="0" w:space="0" w:color="auto"/>
        <w:left w:val="none" w:sz="0" w:space="0" w:color="auto"/>
        <w:bottom w:val="none" w:sz="0" w:space="0" w:color="auto"/>
        <w:right w:val="none" w:sz="0" w:space="0" w:color="auto"/>
      </w:divBdr>
    </w:div>
    <w:div w:id="1109814792">
      <w:bodyDiv w:val="1"/>
      <w:marLeft w:val="0"/>
      <w:marRight w:val="0"/>
      <w:marTop w:val="0"/>
      <w:marBottom w:val="0"/>
      <w:divBdr>
        <w:top w:val="none" w:sz="0" w:space="0" w:color="auto"/>
        <w:left w:val="none" w:sz="0" w:space="0" w:color="auto"/>
        <w:bottom w:val="none" w:sz="0" w:space="0" w:color="auto"/>
        <w:right w:val="none" w:sz="0" w:space="0" w:color="auto"/>
      </w:divBdr>
      <w:divsChild>
        <w:div w:id="1009286101">
          <w:marLeft w:val="0"/>
          <w:marRight w:val="0"/>
          <w:marTop w:val="0"/>
          <w:marBottom w:val="0"/>
          <w:divBdr>
            <w:top w:val="none" w:sz="0" w:space="0" w:color="auto"/>
            <w:left w:val="single" w:sz="6" w:space="0" w:color="999999"/>
            <w:bottom w:val="none" w:sz="0" w:space="0" w:color="auto"/>
            <w:right w:val="none" w:sz="0" w:space="0" w:color="auto"/>
          </w:divBdr>
          <w:divsChild>
            <w:div w:id="5864525">
              <w:marLeft w:val="0"/>
              <w:marRight w:val="0"/>
              <w:marTop w:val="0"/>
              <w:marBottom w:val="0"/>
              <w:divBdr>
                <w:top w:val="single" w:sz="6" w:space="0" w:color="999999"/>
                <w:left w:val="none" w:sz="0" w:space="0" w:color="auto"/>
                <w:bottom w:val="none" w:sz="0" w:space="0" w:color="auto"/>
                <w:right w:val="single" w:sz="6" w:space="0" w:color="999999"/>
              </w:divBdr>
              <w:divsChild>
                <w:div w:id="535970397">
                  <w:marLeft w:val="150"/>
                  <w:marRight w:val="150"/>
                  <w:marTop w:val="0"/>
                  <w:marBottom w:val="0"/>
                  <w:divBdr>
                    <w:top w:val="none" w:sz="0" w:space="0" w:color="auto"/>
                    <w:left w:val="none" w:sz="0" w:space="0" w:color="auto"/>
                    <w:bottom w:val="single" w:sz="6" w:space="6" w:color="BCBEBD"/>
                    <w:right w:val="none" w:sz="0" w:space="0" w:color="auto"/>
                  </w:divBdr>
                </w:div>
              </w:divsChild>
            </w:div>
          </w:divsChild>
        </w:div>
      </w:divsChild>
    </w:div>
    <w:div w:id="1358852848">
      <w:bodyDiv w:val="1"/>
      <w:marLeft w:val="0"/>
      <w:marRight w:val="0"/>
      <w:marTop w:val="0"/>
      <w:marBottom w:val="0"/>
      <w:divBdr>
        <w:top w:val="none" w:sz="0" w:space="0" w:color="auto"/>
        <w:left w:val="none" w:sz="0" w:space="0" w:color="auto"/>
        <w:bottom w:val="none" w:sz="0" w:space="0" w:color="auto"/>
        <w:right w:val="none" w:sz="0" w:space="0" w:color="auto"/>
      </w:divBdr>
    </w:div>
    <w:div w:id="1491484442">
      <w:bodyDiv w:val="1"/>
      <w:marLeft w:val="0"/>
      <w:marRight w:val="0"/>
      <w:marTop w:val="0"/>
      <w:marBottom w:val="0"/>
      <w:divBdr>
        <w:top w:val="none" w:sz="0" w:space="0" w:color="auto"/>
        <w:left w:val="none" w:sz="0" w:space="0" w:color="auto"/>
        <w:bottom w:val="none" w:sz="0" w:space="0" w:color="auto"/>
        <w:right w:val="none" w:sz="0" w:space="0" w:color="auto"/>
      </w:divBdr>
    </w:div>
    <w:div w:id="1884782005">
      <w:bodyDiv w:val="1"/>
      <w:marLeft w:val="0"/>
      <w:marRight w:val="0"/>
      <w:marTop w:val="0"/>
      <w:marBottom w:val="0"/>
      <w:divBdr>
        <w:top w:val="none" w:sz="0" w:space="0" w:color="auto"/>
        <w:left w:val="none" w:sz="0" w:space="0" w:color="auto"/>
        <w:bottom w:val="none" w:sz="0" w:space="0" w:color="auto"/>
        <w:right w:val="none" w:sz="0" w:space="0" w:color="auto"/>
      </w:divBdr>
    </w:div>
    <w:div w:id="1902792349">
      <w:bodyDiv w:val="1"/>
      <w:marLeft w:val="0"/>
      <w:marRight w:val="0"/>
      <w:marTop w:val="0"/>
      <w:marBottom w:val="0"/>
      <w:divBdr>
        <w:top w:val="none" w:sz="0" w:space="0" w:color="auto"/>
        <w:left w:val="none" w:sz="0" w:space="0" w:color="auto"/>
        <w:bottom w:val="none" w:sz="0" w:space="0" w:color="auto"/>
        <w:right w:val="none" w:sz="0" w:space="0" w:color="auto"/>
      </w:divBdr>
    </w:div>
    <w:div w:id="1907378793">
      <w:bodyDiv w:val="1"/>
      <w:marLeft w:val="0"/>
      <w:marRight w:val="0"/>
      <w:marTop w:val="0"/>
      <w:marBottom w:val="0"/>
      <w:divBdr>
        <w:top w:val="none" w:sz="0" w:space="0" w:color="auto"/>
        <w:left w:val="none" w:sz="0" w:space="0" w:color="auto"/>
        <w:bottom w:val="none" w:sz="0" w:space="0" w:color="auto"/>
        <w:right w:val="none" w:sz="0" w:space="0" w:color="auto"/>
      </w:divBdr>
    </w:div>
    <w:div w:id="193436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imls.gov"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ilanet.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atalm.org/sites/default/files/tribal_museums_in_america.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talm.org/sites/default/files/sustaining_indigenous_cultu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0" ma:contentTypeDescription="Create a new document." ma:contentTypeScope="" ma:versionID="bc1a723a1817f26ea451ffde3f13ad38">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9d23f11f92291f159b70513f1090c67a"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cd334-ef48-44ad-ba3d-dd607a2fcc1b">
      <UserInfo>
        <DisplayName>Matthew Birnbaum</DisplayName>
        <AccountId>14</AccountId>
        <AccountType/>
      </UserInfo>
      <UserInfo>
        <DisplayName>Sandra Toro</DisplayName>
        <AccountId>58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DB75F-454A-4F39-BE5F-E3128DC02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AF415-139A-4BA1-8AC6-62CF6321DB8B}">
  <ds:schemaRefs>
    <ds:schemaRef ds:uri="http://schemas.microsoft.com/sharepoint/v3/contenttype/forms"/>
  </ds:schemaRefs>
</ds:datastoreItem>
</file>

<file path=customXml/itemProps3.xml><?xml version="1.0" encoding="utf-8"?>
<ds:datastoreItem xmlns:ds="http://schemas.openxmlformats.org/officeDocument/2006/customXml" ds:itemID="{8DE87447-AD5A-4BA2-878A-E195083A1A53}">
  <ds:schemaRefs>
    <ds:schemaRef ds:uri="http://schemas.microsoft.com/office/2006/metadata/properties"/>
    <ds:schemaRef ds:uri="http://schemas.microsoft.com/office/infopath/2007/PartnerControls"/>
    <ds:schemaRef ds:uri="5b7cd334-ef48-44ad-ba3d-dd607a2fcc1b"/>
  </ds:schemaRefs>
</ds:datastoreItem>
</file>

<file path=customXml/itemProps4.xml><?xml version="1.0" encoding="utf-8"?>
<ds:datastoreItem xmlns:ds="http://schemas.openxmlformats.org/officeDocument/2006/customXml" ds:itemID="{53E6DD7F-CE1B-4624-94CD-D5F6ACC76E74}">
  <ds:schemaRefs>
    <ds:schemaRef ds:uri="http://schemas.openxmlformats.org/officeDocument/2006/bibliography"/>
  </ds:schemaRefs>
</ds:datastoreItem>
</file>

<file path=customXml/itemProps5.xml><?xml version="1.0" encoding="utf-8"?>
<ds:datastoreItem xmlns:ds="http://schemas.openxmlformats.org/officeDocument/2006/customXml" ds:itemID="{5B218273-D5D8-47C9-8701-5B7646639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3355</Words>
  <Characters>19128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2019-01-25T17:47:00Z</dcterms:created>
  <dcterms:modified xsi:type="dcterms:W3CDTF">2019-01-25T17:47:00Z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y fmtid="{D5CDD505-2E9C-101B-9397-08002B2CF9AE}" pid="3" name="AuthorIds_UIVersion_12288">
    <vt:lpwstr>16</vt:lpwstr>
  </property>
  <property fmtid="{D5CDD505-2E9C-101B-9397-08002B2CF9AE}" pid="4" name="AuthorIds_UIVersion_512">
    <vt:lpwstr>16</vt:lpwstr>
  </property>
  <property fmtid="{D5CDD505-2E9C-101B-9397-08002B2CF9AE}" pid="5" name="AuthorIds_UIVersion_3584">
    <vt:lpwstr>16</vt:lpwstr>
  </property>
</Properties>
</file>