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EA1767" w:rsidRDefault="00EA1767" w:rsidP="00FB0DE1">
      <w:pPr>
        <w:pStyle w:val="Header"/>
        <w:rPr>
          <w:rFonts w:ascii="Times New Roman" w:hAnsi="Times New Roman"/>
          <w:color w:val="FFFFFF" w:themeColor="background1"/>
          <w:sz w:val="20"/>
        </w:rPr>
      </w:pPr>
      <w:bookmarkStart w:id="0" w:name="_GoBack"/>
      <w:bookmarkEnd w:id="0"/>
      <w:r w:rsidRPr="00EA1767">
        <w:rPr>
          <w:rFonts w:ascii="Times New Roman" w:hAnsi="Times New Roman"/>
          <w:color w:val="FFFFFF" w:themeColor="background1"/>
          <w:sz w:val="20"/>
        </w:rPr>
        <w:t>Tracking and OMB Number: (XXXX) XXXX-XXXX</w:t>
      </w:r>
    </w:p>
    <w:p w14:paraId="1E6786AE" w14:textId="77777777" w:rsidR="00EA1767" w:rsidRPr="00EA1767" w:rsidRDefault="00EA1767" w:rsidP="00FB0DE1">
      <w:pPr>
        <w:pStyle w:val="Header"/>
        <w:rPr>
          <w:rFonts w:ascii="Times New Roman" w:hAnsi="Times New Roman"/>
          <w:color w:val="FFFFFF" w:themeColor="background1"/>
          <w:sz w:val="20"/>
        </w:rPr>
      </w:pPr>
      <w:r w:rsidRPr="00EA1767">
        <w:rPr>
          <w:rFonts w:ascii="Times New Roman" w:hAnsi="Times New Roman"/>
          <w:color w:val="FFFFFF" w:themeColor="background1"/>
          <w:sz w:val="20"/>
        </w:rPr>
        <w:t>Revised: XX/XX/XXXX</w:t>
      </w:r>
    </w:p>
    <w:p w14:paraId="04A670CB" w14:textId="77777777" w:rsidR="00EA1767" w:rsidRPr="00EA1767" w:rsidRDefault="00EA1767" w:rsidP="00FB0DE1">
      <w:pPr>
        <w:pStyle w:val="Header"/>
        <w:rPr>
          <w:rFonts w:ascii="Times New Roman" w:hAnsi="Times New Roman"/>
          <w:color w:val="FFFFFF" w:themeColor="background1"/>
          <w:sz w:val="20"/>
        </w:rPr>
      </w:pPr>
      <w:r w:rsidRPr="00EA1767">
        <w:rPr>
          <w:rFonts w:ascii="Times New Roman" w:hAnsi="Times New Roman"/>
          <w:color w:val="FFFFFF" w:themeColor="background1"/>
          <w:sz w:val="20"/>
        </w:rPr>
        <w:t>RIN Number: XXXX-XXXX (if applicable)</w:t>
      </w:r>
    </w:p>
    <w:p w14:paraId="03560D58" w14:textId="77777777" w:rsidR="00043C32" w:rsidRPr="00905951" w:rsidRDefault="00043C32" w:rsidP="00FB0DE1">
      <w:pPr>
        <w:pStyle w:val="Heading1"/>
      </w:pPr>
      <w:r w:rsidRPr="00905951">
        <w:t>SUPPORTING STATEMENT</w:t>
      </w:r>
    </w:p>
    <w:p w14:paraId="03560D59" w14:textId="77777777" w:rsidR="00043C32" w:rsidRPr="00905951" w:rsidRDefault="00043C32" w:rsidP="00FB0DE1">
      <w:pPr>
        <w:pStyle w:val="Heading1"/>
      </w:pPr>
      <w:r w:rsidRPr="00905951">
        <w:t>FOR PAPERWORK REDUCTION ACT SUBMISSION</w:t>
      </w:r>
    </w:p>
    <w:p w14:paraId="03560D5A" w14:textId="77777777" w:rsidR="00043C32" w:rsidRPr="00EF7FF5" w:rsidRDefault="00043C32" w:rsidP="00FB0DE1">
      <w:pPr>
        <w:tabs>
          <w:tab w:val="left" w:pos="0"/>
        </w:tabs>
        <w:suppressAutoHyphens/>
        <w:rPr>
          <w:rFonts w:ascii="Times New Roman" w:hAnsi="Times New Roman"/>
          <w:szCs w:val="24"/>
        </w:rPr>
      </w:pPr>
    </w:p>
    <w:p w14:paraId="77AF21B2" w14:textId="77777777" w:rsidR="00EA1767" w:rsidRPr="00FB0DE1" w:rsidRDefault="00043C32" w:rsidP="00FB0DE1">
      <w:pPr>
        <w:pStyle w:val="ListParagraph"/>
        <w:numPr>
          <w:ilvl w:val="0"/>
          <w:numId w:val="4"/>
        </w:numPr>
        <w:suppressAutoHyphens/>
        <w:contextualSpacing w:val="0"/>
        <w:rPr>
          <w:rFonts w:ascii="Times New Roman" w:hAnsi="Times New Roman"/>
          <w:b/>
          <w:szCs w:val="24"/>
        </w:rPr>
      </w:pPr>
      <w:r w:rsidRPr="00FB0DE1">
        <w:rPr>
          <w:rStyle w:val="Heading2Char"/>
          <w:rFonts w:ascii="Times New Roman" w:hAnsi="Times New Roman"/>
          <w:color w:val="auto"/>
          <w:sz w:val="24"/>
          <w:szCs w:val="24"/>
        </w:rPr>
        <w:t>Explain the circumstances</w:t>
      </w:r>
      <w:r w:rsidRPr="00FB0DE1">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B0DE1">
        <w:rPr>
          <w:rStyle w:val="FootnoteReference"/>
          <w:rFonts w:ascii="Times New Roman" w:hAnsi="Times New Roman"/>
          <w:b/>
          <w:szCs w:val="24"/>
        </w:rPr>
        <w:footnoteReference w:id="1"/>
      </w:r>
      <w:r w:rsidRPr="00FB0DE1">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79030C3" w14:textId="77777777" w:rsidR="00FB0DE1" w:rsidRDefault="00FB0DE1" w:rsidP="00FB0DE1">
      <w:pPr>
        <w:pStyle w:val="BodyText"/>
        <w:spacing w:after="0" w:line="240" w:lineRule="auto"/>
      </w:pPr>
    </w:p>
    <w:p w14:paraId="3111ECE9" w14:textId="11AB62B0" w:rsidR="00FB0DE1" w:rsidRDefault="00FB0DE1" w:rsidP="00FB0DE1">
      <w:pPr>
        <w:pStyle w:val="BodyText"/>
        <w:spacing w:after="0" w:line="240" w:lineRule="auto"/>
      </w:pPr>
      <w:r w:rsidRPr="00BF575A">
        <w:t>Implemented under the No Child Left Behind Act of 2001, Title II, Part B, the Mathematics and Science Partnerships (MSP) program is a formula</w:t>
      </w:r>
      <w:r>
        <w:t xml:space="preserve"> </w:t>
      </w:r>
      <w:r w:rsidRPr="00BF575A">
        <w:t>grant program strategically designed to improve the content knowledge of teachers and the academic performance of students in mathematics and science.</w:t>
      </w:r>
      <w:r>
        <w:t xml:space="preserve"> By f</w:t>
      </w:r>
      <w:r w:rsidRPr="00BF575A">
        <w:t>und</w:t>
      </w:r>
      <w:r>
        <w:t>ing</w:t>
      </w:r>
      <w:r w:rsidRPr="00BF575A">
        <w:t xml:space="preserve"> collaborative partnerships between science, technology, engineering, and mathematics (STEM) departments at institutions of higher education (IHEs),</w:t>
      </w:r>
      <w:r>
        <w:t xml:space="preserve"> and high-need school districts, the MSP program enables the delivery of </w:t>
      </w:r>
      <w:r w:rsidRPr="00BF575A">
        <w:t xml:space="preserve">intensive, content-rich professional development </w:t>
      </w:r>
      <w:r>
        <w:t>intended to improve</w:t>
      </w:r>
      <w:r w:rsidRPr="00BF575A">
        <w:t xml:space="preserve"> classr</w:t>
      </w:r>
      <w:r>
        <w:t>oom instruction and, ultimately, to raise</w:t>
      </w:r>
      <w:r w:rsidRPr="00BF575A">
        <w:t xml:space="preserve"> student achievement in math and science.</w:t>
      </w:r>
    </w:p>
    <w:p w14:paraId="76F5B61A" w14:textId="77777777" w:rsidR="00FB0DE1" w:rsidRPr="00BF575A" w:rsidRDefault="00FB0DE1" w:rsidP="00FB0DE1">
      <w:pPr>
        <w:pStyle w:val="BodyText"/>
        <w:spacing w:after="0" w:line="240" w:lineRule="auto"/>
      </w:pPr>
    </w:p>
    <w:p w14:paraId="17BA8129" w14:textId="77777777" w:rsidR="00FB0DE1" w:rsidRDefault="00FB0DE1" w:rsidP="00FB0DE1">
      <w:pPr>
        <w:pStyle w:val="BodyText"/>
        <w:spacing w:after="0" w:line="240" w:lineRule="auto"/>
      </w:pPr>
      <w:r>
        <w:t>Because MSP is a formula grant program, the size of</w:t>
      </w:r>
      <w:r w:rsidRPr="00BF575A">
        <w:t xml:space="preserve"> individual state awards</w:t>
      </w:r>
      <w:r>
        <w:t xml:space="preserve"> is</w:t>
      </w:r>
      <w:r w:rsidRPr="00BF575A">
        <w:t xml:space="preserve"> based on studen</w:t>
      </w:r>
      <w:r>
        <w:t>t population and poverty rates, with no state receiving</w:t>
      </w:r>
      <w:r w:rsidRPr="00BF575A">
        <w:t xml:space="preserve"> less than one half of one percent of the total ap</w:t>
      </w:r>
      <w:r>
        <w:t>propriation. E</w:t>
      </w:r>
      <w:r w:rsidRPr="00BF575A">
        <w:t xml:space="preserve">ach </w:t>
      </w:r>
      <w:r>
        <w:t>s</w:t>
      </w:r>
      <w:r w:rsidRPr="00BF575A">
        <w:t xml:space="preserve">tate is </w:t>
      </w:r>
      <w:r>
        <w:t xml:space="preserve">then </w:t>
      </w:r>
      <w:r w:rsidRPr="00BF575A">
        <w:t>responsible for administering a competitive grant</w:t>
      </w:r>
      <w:r>
        <w:t xml:space="preserve"> making process to determine the distribution of funds across proposed MSP projects. </w:t>
      </w:r>
    </w:p>
    <w:p w14:paraId="4B57FE2D" w14:textId="77777777" w:rsidR="00FB0DE1" w:rsidRDefault="00FB0DE1" w:rsidP="00FB0DE1">
      <w:pPr>
        <w:pStyle w:val="BodyText"/>
        <w:spacing w:after="0" w:line="240" w:lineRule="auto"/>
      </w:pPr>
    </w:p>
    <w:p w14:paraId="3235EC8F" w14:textId="2709DAE9" w:rsidR="00FB0DE1" w:rsidRPr="00FB0DE1" w:rsidRDefault="00FB0DE1" w:rsidP="00FB0DE1">
      <w:pPr>
        <w:pStyle w:val="BodyText"/>
        <w:spacing w:after="0" w:line="240" w:lineRule="auto"/>
      </w:pPr>
      <w:r w:rsidRPr="00FB0DE1">
        <w:t>The program office is seeking to re</w:t>
      </w:r>
      <w:r w:rsidR="00E16525">
        <w:t xml:space="preserve">instate </w:t>
      </w:r>
      <w:r w:rsidRPr="00FB0DE1">
        <w:t>this collection to allow it to continue to collect Annual Performance Reports from those grantees that will need to seek a no cost extension.</w:t>
      </w:r>
    </w:p>
    <w:p w14:paraId="09BEF26C" w14:textId="77777777" w:rsidR="00FB0DE1" w:rsidRPr="00161099" w:rsidRDefault="00FB0DE1" w:rsidP="00FB0DE1">
      <w:pPr>
        <w:pStyle w:val="BodyText"/>
        <w:spacing w:after="0" w:line="240" w:lineRule="auto"/>
      </w:pPr>
    </w:p>
    <w:p w14:paraId="645A910E" w14:textId="77777777" w:rsidR="00FB0DE1" w:rsidRPr="00FB0DE1" w:rsidRDefault="00FB0DE1" w:rsidP="00FB0DE1">
      <w:pPr>
        <w:suppressAutoHyphens/>
        <w:ind w:left="360"/>
        <w:rPr>
          <w:rFonts w:ascii="Times New Roman" w:hAnsi="Times New Roman"/>
          <w:szCs w:val="24"/>
        </w:rPr>
      </w:pPr>
    </w:p>
    <w:p w14:paraId="03560D5D" w14:textId="14AC9198" w:rsidR="00043C32" w:rsidRPr="00FB0DE1" w:rsidRDefault="00043C32" w:rsidP="00FB0DE1">
      <w:pPr>
        <w:pStyle w:val="ListParagraph"/>
        <w:numPr>
          <w:ilvl w:val="0"/>
          <w:numId w:val="4"/>
        </w:numPr>
        <w:suppressAutoHyphens/>
        <w:contextualSpacing w:val="0"/>
        <w:rPr>
          <w:rFonts w:ascii="Times New Roman" w:hAnsi="Times New Roman"/>
          <w:b/>
          <w:szCs w:val="24"/>
        </w:rPr>
      </w:pPr>
      <w:r w:rsidRPr="00FB0DE1">
        <w:rPr>
          <w:rFonts w:ascii="Times New Roman" w:hAnsi="Times New Roman"/>
          <w:b/>
          <w:szCs w:val="24"/>
        </w:rPr>
        <w:t xml:space="preserve">Indicate how, by whom, and for what purpose the information is to be used.  Except for a new collection, indicate the actual use the agency has made of the information received from the current collection. </w:t>
      </w:r>
    </w:p>
    <w:p w14:paraId="5C45535B" w14:textId="3063CAD4" w:rsidR="00FB0DE1" w:rsidRDefault="00FB0DE1" w:rsidP="00FB0DE1">
      <w:pPr>
        <w:suppressAutoHyphens/>
      </w:pPr>
    </w:p>
    <w:p w14:paraId="0D203340" w14:textId="77777777" w:rsidR="00FB0DE1" w:rsidRDefault="00FB0DE1" w:rsidP="00FB0DE1">
      <w:pPr>
        <w:pStyle w:val="BodyText"/>
      </w:pPr>
      <w:r>
        <w:t xml:space="preserve">MSP program data are collected to measure the program’s impact on </w:t>
      </w:r>
      <w:r w:rsidRPr="00BF575A">
        <w:t>improv</w:t>
      </w:r>
      <w:r>
        <w:t xml:space="preserve">ing math and science teachers’ content knowledge and improving </w:t>
      </w:r>
      <w:r w:rsidRPr="00BF575A">
        <w:t>the academic performance of students</w:t>
      </w:r>
      <w:r>
        <w:t>, as well as to describe the MSP projects across the country</w:t>
      </w:r>
      <w:r w:rsidRPr="00161099">
        <w:t xml:space="preserve">. </w:t>
      </w:r>
      <w:r>
        <w:t>Reporting is structured to require</w:t>
      </w:r>
      <w:r w:rsidRPr="00161099">
        <w:t xml:space="preserve"> MSP</w:t>
      </w:r>
      <w:r>
        <w:t xml:space="preserve"> project</w:t>
      </w:r>
      <w:r w:rsidRPr="00161099">
        <w:t xml:space="preserve">s to provide standardized data, </w:t>
      </w:r>
      <w:r>
        <w:t xml:space="preserve">allowing </w:t>
      </w:r>
      <w:r w:rsidRPr="00161099">
        <w:t>th</w:t>
      </w:r>
      <w:r>
        <w:t xml:space="preserve">e program office </w:t>
      </w:r>
      <w:r w:rsidRPr="00161099">
        <w:t>to examine outc</w:t>
      </w:r>
      <w:r>
        <w:t>omes at the project, state, and national levels.</w:t>
      </w:r>
    </w:p>
    <w:p w14:paraId="275ACB35" w14:textId="4C366E6C" w:rsidR="00FB0DE1" w:rsidRDefault="00E16525" w:rsidP="00FB0DE1">
      <w:pPr>
        <w:pStyle w:val="BodyText"/>
      </w:pPr>
      <w:r>
        <w:t>Once approved, t</w:t>
      </w:r>
      <w:r w:rsidR="00FB0DE1" w:rsidRPr="00161099">
        <w:t>he 20</w:t>
      </w:r>
      <w:r w:rsidR="00FB0DE1">
        <w:t>1</w:t>
      </w:r>
      <w:r w:rsidR="00ED6834">
        <w:t>5</w:t>
      </w:r>
      <w:r w:rsidR="00FB0DE1" w:rsidRPr="00161099">
        <w:t xml:space="preserve"> </w:t>
      </w:r>
      <w:r w:rsidR="00FB0DE1">
        <w:t xml:space="preserve">APR </w:t>
      </w:r>
      <w:r w:rsidR="00FB0DE1" w:rsidRPr="00161099">
        <w:t>online data collection tool provides funded projects with the opportunity to describe</w:t>
      </w:r>
      <w:r w:rsidR="00FB0DE1">
        <w:t xml:space="preserve"> the structure and scope of each</w:t>
      </w:r>
      <w:r w:rsidR="00FB0DE1" w:rsidRPr="00161099">
        <w:t xml:space="preserve"> partnership,</w:t>
      </w:r>
      <w:r w:rsidR="00FB0DE1">
        <w:t xml:space="preserve"> document impact on</w:t>
      </w:r>
      <w:r w:rsidR="00FB0DE1" w:rsidRPr="00161099">
        <w:t xml:space="preserve"> te</w:t>
      </w:r>
      <w:r w:rsidR="00FB0DE1">
        <w:t>achers and students</w:t>
      </w:r>
      <w:r w:rsidR="00FB0DE1" w:rsidRPr="00161099">
        <w:t>, and share pr</w:t>
      </w:r>
      <w:r w:rsidR="00FB0DE1">
        <w:t>ofessional development models.  Information collected is sent directly to the project’s</w:t>
      </w:r>
      <w:r w:rsidR="00FB0DE1" w:rsidRPr="000B5821">
        <w:t xml:space="preserve"> State C</w:t>
      </w:r>
      <w:r w:rsidR="00FB0DE1">
        <w:t xml:space="preserve">oordinator for review before final submission. </w:t>
      </w:r>
    </w:p>
    <w:p w14:paraId="6132897E" w14:textId="77777777" w:rsidR="00FB0DE1" w:rsidRPr="00161099" w:rsidRDefault="00FB0DE1" w:rsidP="00FB0DE1">
      <w:pPr>
        <w:pStyle w:val="BodyText"/>
      </w:pPr>
      <w:r>
        <w:lastRenderedPageBreak/>
        <w:t>Additionally, the APR</w:t>
      </w:r>
      <w:r w:rsidRPr="00161099">
        <w:t xml:space="preserve"> provides a streamlined process to collect </w:t>
      </w:r>
      <w:r>
        <w:t>and aggregate program information, allowing</w:t>
      </w:r>
      <w:r w:rsidRPr="00161099">
        <w:t xml:space="preserve"> </w:t>
      </w:r>
      <w:r>
        <w:t>for more effective</w:t>
      </w:r>
      <w:r w:rsidRPr="00161099">
        <w:t xml:space="preserve"> analysis of the </w:t>
      </w:r>
      <w:r>
        <w:t xml:space="preserve">range of </w:t>
      </w:r>
      <w:r w:rsidRPr="00161099">
        <w:t>program activit</w:t>
      </w:r>
      <w:r>
        <w:t xml:space="preserve">ies across all MSP projects. The APR collects both </w:t>
      </w:r>
      <w:r w:rsidRPr="00EA1CA0">
        <w:t>quantitative and narrative data</w:t>
      </w:r>
      <w:r>
        <w:t xml:space="preserve"> which are used</w:t>
      </w:r>
      <w:r w:rsidRPr="00EA1CA0">
        <w:t xml:space="preserve"> to report </w:t>
      </w:r>
      <w:r>
        <w:t xml:space="preserve">regularly </w:t>
      </w:r>
      <w:r w:rsidRPr="00EA1CA0">
        <w:t>on the implementation and impacts of the MSP program</w:t>
      </w:r>
      <w:r>
        <w:t>.</w:t>
      </w:r>
    </w:p>
    <w:p w14:paraId="6AD18D6C" w14:textId="1ECA0F73" w:rsidR="00FB0DE1" w:rsidRDefault="00ED6834" w:rsidP="00FB0DE1">
      <w:pPr>
        <w:pStyle w:val="BodyText"/>
        <w:rPr>
          <w:b/>
          <w:bCs/>
        </w:rPr>
      </w:pPr>
      <w:r>
        <w:t>As stated in Question 1, t</w:t>
      </w:r>
      <w:r w:rsidRPr="00ED6834">
        <w:t>he program office is seeking to renew this collection to allow it to continue to collect Annual Performance Reports from those grantees that will need to seek a no cost extension.</w:t>
      </w:r>
      <w:r>
        <w:t xml:space="preserve"> </w:t>
      </w:r>
      <w:r w:rsidR="00FB0DE1">
        <w:t>MSP program staff</w:t>
      </w:r>
      <w:r w:rsidR="00FB0DE1" w:rsidRPr="00C3472C">
        <w:t xml:space="preserve"> utilize both the quantitative and narrative data provided in the APR to report on the implementation and impacts of the MSP program.</w:t>
      </w:r>
      <w:r w:rsidR="00FB0DE1">
        <w:t xml:space="preserve"> A</w:t>
      </w:r>
      <w:r w:rsidR="00FB0DE1" w:rsidRPr="00C3472C">
        <w:t>ggregate</w:t>
      </w:r>
      <w:r w:rsidR="00FB0DE1">
        <w:t>d</w:t>
      </w:r>
      <w:r w:rsidR="00FB0DE1" w:rsidRPr="00C3472C">
        <w:t xml:space="preserve"> APR dat</w:t>
      </w:r>
      <w:r w:rsidR="00FB0DE1">
        <w:t xml:space="preserve">a are analyzed </w:t>
      </w:r>
      <w:r w:rsidR="00FB0DE1" w:rsidRPr="00C3472C">
        <w:t>to provide descriptive statistics (e.g., frequencies and means) on the characteristics of MSP projects and participants</w:t>
      </w:r>
      <w:r w:rsidR="00FB0DE1">
        <w:t xml:space="preserve">, </w:t>
      </w:r>
      <w:r w:rsidR="00FB0DE1" w:rsidRPr="00C3472C">
        <w:t>provid</w:t>
      </w:r>
      <w:r w:rsidR="00FB0DE1">
        <w:t>ing</w:t>
      </w:r>
      <w:r w:rsidR="00FB0DE1" w:rsidRPr="00C3472C">
        <w:t xml:space="preserve"> a complete picture of the MS</w:t>
      </w:r>
      <w:r w:rsidR="00FB0DE1">
        <w:t>P program at the national level. Selected dimensions include</w:t>
      </w:r>
      <w:r w:rsidR="00FB0DE1" w:rsidRPr="00C3472C">
        <w:t xml:space="preserve"> the number of teachers served and students taught by those teachers, the amount of funding of the MSP program, methods of professional development delivery, and teacher and student achievement results.</w:t>
      </w:r>
    </w:p>
    <w:p w14:paraId="589A3EB0" w14:textId="0F722C86" w:rsidR="00FB0DE1" w:rsidRDefault="00FB0DE1" w:rsidP="00FB0DE1">
      <w:pPr>
        <w:pStyle w:val="BodyText"/>
      </w:pPr>
      <w:r w:rsidRPr="00891FE1">
        <w:t>Where possible, trend data</w:t>
      </w:r>
      <w:r>
        <w:t xml:space="preserve"> is also provided</w:t>
      </w:r>
      <w:r w:rsidRPr="00891FE1">
        <w:t xml:space="preserve">, comparing data from the current performance period to data from previous periods. Narrative data further enhance our understanding of the MSP projects. </w:t>
      </w:r>
    </w:p>
    <w:p w14:paraId="2802E4E1" w14:textId="77777777" w:rsidR="00FB0DE1" w:rsidRPr="00FB0DE1" w:rsidRDefault="00FB0DE1" w:rsidP="00FB0DE1">
      <w:pPr>
        <w:suppressAutoHyphens/>
        <w:rPr>
          <w:rFonts w:ascii="Times New Roman" w:hAnsi="Times New Roman"/>
          <w:szCs w:val="24"/>
        </w:rPr>
      </w:pPr>
    </w:p>
    <w:p w14:paraId="03560D5E" w14:textId="77777777" w:rsidR="00043C32" w:rsidRPr="00FB0DE1" w:rsidRDefault="00043C32" w:rsidP="00FB0DE1">
      <w:pPr>
        <w:pStyle w:val="ListParagraph"/>
        <w:numPr>
          <w:ilvl w:val="0"/>
          <w:numId w:val="4"/>
        </w:numPr>
        <w:tabs>
          <w:tab w:val="left" w:pos="-720"/>
        </w:tabs>
        <w:suppressAutoHyphens/>
        <w:contextualSpacing w:val="0"/>
        <w:rPr>
          <w:rFonts w:ascii="Times New Roman" w:hAnsi="Times New Roman"/>
          <w:b/>
          <w:szCs w:val="24"/>
        </w:rPr>
      </w:pPr>
      <w:r w:rsidRPr="00FB0DE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73242505" w14:textId="77777777" w:rsidR="00FB0DE1" w:rsidRDefault="00FB0DE1" w:rsidP="00FB0DE1">
      <w:pPr>
        <w:pStyle w:val="BodyText"/>
        <w:rPr>
          <w:rFonts w:eastAsia="Calibri"/>
          <w:b/>
          <w:bCs/>
        </w:rPr>
      </w:pPr>
      <w:r>
        <w:rPr>
          <w:rFonts w:eastAsia="Calibri"/>
        </w:rPr>
        <w:t xml:space="preserve">The MSP program employs </w:t>
      </w:r>
      <w:r w:rsidRPr="005B5F80">
        <w:rPr>
          <w:rFonts w:eastAsia="Calibri"/>
        </w:rPr>
        <w:t>information technolog</w:t>
      </w:r>
      <w:r>
        <w:rPr>
          <w:rFonts w:eastAsia="Calibri"/>
        </w:rPr>
        <w:t>y</w:t>
      </w:r>
      <w:r w:rsidRPr="005B5F80">
        <w:rPr>
          <w:rFonts w:eastAsia="Calibri"/>
        </w:rPr>
        <w:t xml:space="preserve"> to maximize the efficiency and completeness of the information gathered for this evaluation and to minimize the burden the da</w:t>
      </w:r>
      <w:r>
        <w:rPr>
          <w:rFonts w:eastAsia="Calibri"/>
        </w:rPr>
        <w:t>ta collection places on the MSP projects</w:t>
      </w:r>
      <w:r w:rsidRPr="005B5F80">
        <w:rPr>
          <w:rFonts w:eastAsia="Calibri"/>
        </w:rPr>
        <w:t xml:space="preserve">.  </w:t>
      </w:r>
    </w:p>
    <w:p w14:paraId="4CAD2B8C" w14:textId="77777777" w:rsidR="00FB0DE1" w:rsidRDefault="00FB0DE1" w:rsidP="00FB0DE1">
      <w:pPr>
        <w:pStyle w:val="BodyText"/>
        <w:rPr>
          <w:rFonts w:eastAsia="Calibri"/>
          <w:b/>
          <w:bCs/>
        </w:rPr>
      </w:pPr>
      <w:r>
        <w:rPr>
          <w:rFonts w:eastAsia="Calibri"/>
        </w:rPr>
        <w:t xml:space="preserve">MSP projects complete their reporting requirements through the online APR </w:t>
      </w:r>
      <w:r w:rsidRPr="005B5F80">
        <w:rPr>
          <w:rFonts w:eastAsia="Calibri"/>
        </w:rPr>
        <w:t>data collection system</w:t>
      </w:r>
      <w:r>
        <w:rPr>
          <w:rFonts w:eastAsia="Calibri"/>
        </w:rPr>
        <w:t>.  The online system enables</w:t>
      </w:r>
      <w:r w:rsidRPr="005B5F80">
        <w:rPr>
          <w:rFonts w:eastAsia="Calibri"/>
        </w:rPr>
        <w:t xml:space="preserve"> project staff and State MSP coordinators </w:t>
      </w:r>
      <w:r>
        <w:rPr>
          <w:rFonts w:eastAsia="Calibri"/>
        </w:rPr>
        <w:t xml:space="preserve">to </w:t>
      </w:r>
      <w:r w:rsidRPr="005B5F80">
        <w:rPr>
          <w:rFonts w:eastAsia="Calibri"/>
        </w:rPr>
        <w:t xml:space="preserve">track the data submissions as the MSPs fill in the forms.  </w:t>
      </w:r>
    </w:p>
    <w:p w14:paraId="2A6C87EE" w14:textId="77777777" w:rsidR="00FB0DE1" w:rsidRDefault="00FB0DE1" w:rsidP="00FB0DE1">
      <w:pPr>
        <w:pStyle w:val="BodyText"/>
        <w:rPr>
          <w:rFonts w:eastAsia="Calibri"/>
          <w:b/>
          <w:bCs/>
        </w:rPr>
      </w:pPr>
      <w:r>
        <w:rPr>
          <w:rFonts w:eastAsia="Calibri"/>
        </w:rPr>
        <w:t>Additionally</w:t>
      </w:r>
      <w:r w:rsidRPr="005B5F80">
        <w:rPr>
          <w:rFonts w:eastAsia="Calibri"/>
        </w:rPr>
        <w:t xml:space="preserve">, </w:t>
      </w:r>
      <w:r>
        <w:rPr>
          <w:rFonts w:eastAsia="Calibri"/>
        </w:rPr>
        <w:t>the online APR</w:t>
      </w:r>
      <w:r w:rsidRPr="005B5F80">
        <w:rPr>
          <w:rFonts w:eastAsia="Calibri"/>
        </w:rPr>
        <w:t xml:space="preserve"> forms </w:t>
      </w:r>
      <w:r>
        <w:rPr>
          <w:rFonts w:eastAsia="Calibri"/>
        </w:rPr>
        <w:t xml:space="preserve">are prepopulated </w:t>
      </w:r>
      <w:r w:rsidRPr="005B5F80">
        <w:rPr>
          <w:rFonts w:eastAsia="Calibri"/>
        </w:rPr>
        <w:t xml:space="preserve">with </w:t>
      </w:r>
      <w:r>
        <w:rPr>
          <w:rFonts w:eastAsia="Calibri"/>
        </w:rPr>
        <w:t>relevant</w:t>
      </w:r>
      <w:r w:rsidRPr="005B5F80">
        <w:rPr>
          <w:rFonts w:eastAsia="Calibri"/>
        </w:rPr>
        <w:t xml:space="preserve"> information from </w:t>
      </w:r>
      <w:r>
        <w:rPr>
          <w:rFonts w:eastAsia="Calibri"/>
        </w:rPr>
        <w:t xml:space="preserve">previous APRs, in order to reduce time burden on respondents. </w:t>
      </w:r>
      <w:r w:rsidRPr="00644B92">
        <w:rPr>
          <w:rFonts w:eastAsia="Calibri"/>
        </w:rPr>
        <w:t>When the users log onto the system, they will be allowed to update this information but will not need to provide it as part of their submission.</w:t>
      </w:r>
    </w:p>
    <w:p w14:paraId="2A22D936" w14:textId="77777777" w:rsidR="00FB0DE1" w:rsidRPr="00FB0DE1" w:rsidRDefault="00FB0DE1" w:rsidP="00FB0DE1">
      <w:pPr>
        <w:tabs>
          <w:tab w:val="left" w:pos="-720"/>
        </w:tabs>
        <w:suppressAutoHyphens/>
        <w:rPr>
          <w:rFonts w:ascii="Times New Roman" w:hAnsi="Times New Roman"/>
          <w:szCs w:val="24"/>
        </w:rPr>
      </w:pPr>
    </w:p>
    <w:p w14:paraId="03560D5F" w14:textId="77777777" w:rsidR="00043C32" w:rsidRPr="00FB0DE1" w:rsidRDefault="00043C32" w:rsidP="00FB0DE1">
      <w:pPr>
        <w:pStyle w:val="ListParagraph"/>
        <w:numPr>
          <w:ilvl w:val="0"/>
          <w:numId w:val="4"/>
        </w:numPr>
        <w:tabs>
          <w:tab w:val="left" w:pos="-720"/>
        </w:tabs>
        <w:suppressAutoHyphens/>
        <w:contextualSpacing w:val="0"/>
        <w:rPr>
          <w:rFonts w:ascii="Times New Roman" w:hAnsi="Times New Roman"/>
          <w:b/>
          <w:szCs w:val="24"/>
        </w:rPr>
      </w:pPr>
      <w:r w:rsidRPr="00FB0DE1">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5EFF2604" w14:textId="77777777" w:rsidR="00FB0DE1" w:rsidRPr="004359E9" w:rsidRDefault="00FB0DE1" w:rsidP="00FB0DE1">
      <w:pPr>
        <w:pStyle w:val="BodyText"/>
        <w:rPr>
          <w:szCs w:val="22"/>
        </w:rPr>
      </w:pPr>
      <w:r>
        <w:t xml:space="preserve">The OMB-approved APR online data collection system was customized for the MSPs and is the only federal data collection effort of the MSPs.   </w:t>
      </w:r>
    </w:p>
    <w:p w14:paraId="7B924953" w14:textId="77777777" w:rsidR="00FB0DE1" w:rsidRPr="00FB0DE1" w:rsidRDefault="00FB0DE1" w:rsidP="00FB0DE1">
      <w:pPr>
        <w:tabs>
          <w:tab w:val="left" w:pos="-720"/>
        </w:tabs>
        <w:suppressAutoHyphens/>
        <w:rPr>
          <w:rFonts w:ascii="Times New Roman" w:hAnsi="Times New Roman"/>
          <w:szCs w:val="24"/>
        </w:rPr>
      </w:pPr>
    </w:p>
    <w:p w14:paraId="03560D60" w14:textId="77777777" w:rsidR="00043C32" w:rsidRPr="00FB0DE1" w:rsidRDefault="00043C32" w:rsidP="00FB0DE1">
      <w:pPr>
        <w:pStyle w:val="ListParagraph"/>
        <w:numPr>
          <w:ilvl w:val="0"/>
          <w:numId w:val="4"/>
        </w:numPr>
        <w:contextualSpacing w:val="0"/>
        <w:rPr>
          <w:rFonts w:ascii="Times New Roman" w:hAnsi="Times New Roman"/>
          <w:b/>
          <w:szCs w:val="24"/>
        </w:rPr>
      </w:pPr>
      <w:r w:rsidRPr="00FB0DE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EA30116" w14:textId="77777777" w:rsidR="00FB0DE1" w:rsidRPr="00DC6D5C" w:rsidRDefault="00FB0DE1" w:rsidP="00FB0DE1">
      <w:pPr>
        <w:pStyle w:val="ListParagraph"/>
        <w:ind w:left="0"/>
        <w:rPr>
          <w:rFonts w:ascii="Times New Roman" w:hAnsi="Times New Roman"/>
        </w:rPr>
      </w:pPr>
      <w:r w:rsidRPr="00DC6D5C">
        <w:rPr>
          <w:rFonts w:ascii="Times New Roman" w:hAnsi="Times New Roman"/>
        </w:rPr>
        <w:t>This collection of information does not impact small businesses. Under EDGAR regulations, requirements for small entities are minimized.</w:t>
      </w:r>
    </w:p>
    <w:p w14:paraId="567C54CA" w14:textId="77777777" w:rsidR="00FB0DE1" w:rsidRPr="00FB0DE1" w:rsidRDefault="00FB0DE1" w:rsidP="00FB0DE1">
      <w:pPr>
        <w:rPr>
          <w:rFonts w:ascii="Times New Roman" w:hAnsi="Times New Roman"/>
          <w:szCs w:val="24"/>
        </w:rPr>
      </w:pPr>
    </w:p>
    <w:p w14:paraId="03560D61" w14:textId="77777777" w:rsidR="00043C32" w:rsidRPr="00FB0DE1" w:rsidRDefault="00043C32" w:rsidP="00FB0DE1">
      <w:pPr>
        <w:pStyle w:val="ListParagraph"/>
        <w:numPr>
          <w:ilvl w:val="0"/>
          <w:numId w:val="4"/>
        </w:numPr>
        <w:tabs>
          <w:tab w:val="left" w:pos="-720"/>
        </w:tabs>
        <w:suppressAutoHyphens/>
        <w:contextualSpacing w:val="0"/>
        <w:rPr>
          <w:rFonts w:ascii="Times New Roman" w:hAnsi="Times New Roman"/>
          <w:b/>
          <w:szCs w:val="24"/>
        </w:rPr>
      </w:pPr>
      <w:r w:rsidRPr="00FB0DE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57DEA4D7" w14:textId="77777777" w:rsidR="00FB0DE1" w:rsidRDefault="00FB0DE1" w:rsidP="00FB0DE1">
      <w:pPr>
        <w:pStyle w:val="BodyText"/>
      </w:pPr>
      <w:r>
        <w:t>Each eligible partnership receiving a grant or subgrant through the MSP Program is required to report annually to the Secretary regarding the eligible partnership's progress in meeting the objectives described in the accountability plan of the partnership (Title II, Part B, section 2202 (f) of ESEA).  If MSP projects did not report regularly through the APR system, it would effectively prevent ED from meeting this requirement. Additionally</w:t>
      </w:r>
      <w:r w:rsidRPr="00161099">
        <w:t>, this data collection standardizes the required reporting across all MSPs.  This greatly enhances the quality and comparability of the res</w:t>
      </w:r>
      <w:r>
        <w:t>ulting data.</w:t>
      </w:r>
    </w:p>
    <w:p w14:paraId="54A33DEE" w14:textId="77777777" w:rsidR="00FB0DE1" w:rsidRPr="00FB0DE1" w:rsidRDefault="00FB0DE1" w:rsidP="00FB0DE1">
      <w:pPr>
        <w:tabs>
          <w:tab w:val="left" w:pos="-720"/>
        </w:tabs>
        <w:suppressAutoHyphens/>
        <w:rPr>
          <w:rFonts w:ascii="Times New Roman" w:hAnsi="Times New Roman"/>
          <w:b/>
          <w:szCs w:val="24"/>
        </w:rPr>
      </w:pPr>
    </w:p>
    <w:p w14:paraId="03560D62" w14:textId="77777777" w:rsidR="00043C32" w:rsidRPr="00FB0DE1" w:rsidRDefault="00043C32" w:rsidP="00FB0DE1">
      <w:pPr>
        <w:pStyle w:val="ListParagraph"/>
        <w:numPr>
          <w:ilvl w:val="0"/>
          <w:numId w:val="4"/>
        </w:numPr>
        <w:tabs>
          <w:tab w:val="left" w:pos="-720"/>
        </w:tabs>
        <w:suppressAutoHyphens/>
        <w:rPr>
          <w:rFonts w:ascii="Times New Roman" w:hAnsi="Times New Roman"/>
          <w:b/>
          <w:szCs w:val="24"/>
        </w:rPr>
      </w:pPr>
      <w:r w:rsidRPr="00FB0DE1">
        <w:rPr>
          <w:rFonts w:ascii="Times New Roman" w:hAnsi="Times New Roman"/>
          <w:b/>
          <w:szCs w:val="24"/>
        </w:rPr>
        <w:t>Explain any special circumstances that would cause an information collection to be conducted in a manner:</w:t>
      </w:r>
    </w:p>
    <w:p w14:paraId="03560D63" w14:textId="77777777" w:rsidR="00043C32" w:rsidRPr="00FB0DE1" w:rsidRDefault="00043C32" w:rsidP="00FB0DE1">
      <w:pPr>
        <w:tabs>
          <w:tab w:val="left" w:pos="-720"/>
        </w:tabs>
        <w:suppressAutoHyphens/>
        <w:rPr>
          <w:rFonts w:ascii="Times New Roman" w:hAnsi="Times New Roman"/>
          <w:b/>
          <w:szCs w:val="24"/>
        </w:rPr>
      </w:pPr>
    </w:p>
    <w:p w14:paraId="03560D64"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respondents to report information to the agency more often than quarterly;</w:t>
      </w:r>
    </w:p>
    <w:p w14:paraId="03560D65" w14:textId="77777777" w:rsidR="00043C32" w:rsidRPr="00FB0DE1" w:rsidRDefault="00043C32" w:rsidP="00FB0DE1">
      <w:pPr>
        <w:numPr>
          <w:ilvl w:val="12"/>
          <w:numId w:val="0"/>
        </w:numPr>
        <w:tabs>
          <w:tab w:val="left" w:pos="-720"/>
        </w:tabs>
        <w:suppressAutoHyphens/>
        <w:ind w:left="340"/>
        <w:rPr>
          <w:rFonts w:ascii="Times New Roman" w:hAnsi="Times New Roman"/>
          <w:b/>
          <w:szCs w:val="24"/>
        </w:rPr>
      </w:pPr>
    </w:p>
    <w:p w14:paraId="03560D66"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respondents to prepare a written response to a collection of information in fewer than 30 days after receipt of it;</w:t>
      </w:r>
    </w:p>
    <w:p w14:paraId="03560D67"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68"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respondents to submit more than an original and two copies of any document;</w:t>
      </w:r>
    </w:p>
    <w:p w14:paraId="03560D69"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6A"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respondents to retain records, other than health, medical, government contract, grant-in-aid, or tax records for more than three years;</w:t>
      </w:r>
    </w:p>
    <w:p w14:paraId="03560D6B"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6C"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in connection with a statistical survey, that is not designed to produce valid and reliable results than can be generalized to the universe of study;</w:t>
      </w:r>
    </w:p>
    <w:p w14:paraId="03560D6D"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6E"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the use of a statistical data classification that has not been reviewed and approved by OMB;</w:t>
      </w:r>
    </w:p>
    <w:p w14:paraId="03560D6F"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70"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FB0DE1" w:rsidRDefault="00043C32" w:rsidP="00FB0DE1">
      <w:pPr>
        <w:numPr>
          <w:ilvl w:val="12"/>
          <w:numId w:val="0"/>
        </w:numPr>
        <w:tabs>
          <w:tab w:val="left" w:pos="-720"/>
        </w:tabs>
        <w:suppressAutoHyphens/>
        <w:rPr>
          <w:rFonts w:ascii="Times New Roman" w:hAnsi="Times New Roman"/>
          <w:b/>
          <w:szCs w:val="24"/>
        </w:rPr>
      </w:pPr>
    </w:p>
    <w:p w14:paraId="03560D72" w14:textId="77777777" w:rsidR="00043C32" w:rsidRPr="00FB0DE1" w:rsidRDefault="00043C32" w:rsidP="00FB0DE1">
      <w:pPr>
        <w:numPr>
          <w:ilvl w:val="0"/>
          <w:numId w:val="3"/>
        </w:numPr>
        <w:tabs>
          <w:tab w:val="clear" w:pos="1440"/>
          <w:tab w:val="left" w:pos="-720"/>
        </w:tabs>
        <w:suppressAutoHyphens/>
        <w:rPr>
          <w:rFonts w:ascii="Times New Roman" w:hAnsi="Times New Roman"/>
          <w:b/>
          <w:szCs w:val="24"/>
        </w:rPr>
      </w:pPr>
      <w:r w:rsidRPr="00FB0DE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0B71FE6" w14:textId="77777777" w:rsidR="00FB0DE1" w:rsidRDefault="00FB0DE1" w:rsidP="00FB0DE1">
      <w:pPr>
        <w:pStyle w:val="ListParagraph"/>
        <w:rPr>
          <w:rFonts w:ascii="Times New Roman" w:hAnsi="Times New Roman"/>
          <w:szCs w:val="24"/>
        </w:rPr>
      </w:pPr>
    </w:p>
    <w:p w14:paraId="0B5FA3E7" w14:textId="77777777" w:rsidR="00FB0DE1" w:rsidRPr="00FB0DE1" w:rsidRDefault="00FB0DE1" w:rsidP="00FB0DE1">
      <w:pPr>
        <w:pStyle w:val="ListParagraph"/>
        <w:rPr>
          <w:rFonts w:ascii="Times New Roman" w:hAnsi="Times New Roman"/>
          <w:szCs w:val="24"/>
        </w:rPr>
      </w:pPr>
      <w:r w:rsidRPr="00FB0DE1">
        <w:rPr>
          <w:rFonts w:ascii="Times New Roman" w:hAnsi="Times New Roman"/>
          <w:szCs w:val="24"/>
        </w:rPr>
        <w:t>There are no special circumstances associated with this data collection. The data collection will comply with 5 CFR 1320.6, which authorizes OMB to approve information collections.</w:t>
      </w:r>
    </w:p>
    <w:p w14:paraId="3A6F73B8" w14:textId="77777777" w:rsidR="00FB0DE1" w:rsidRPr="00EF7FF5" w:rsidRDefault="00FB0DE1" w:rsidP="00FB0DE1">
      <w:pPr>
        <w:tabs>
          <w:tab w:val="left" w:pos="-720"/>
        </w:tabs>
        <w:suppressAutoHyphens/>
        <w:rPr>
          <w:rFonts w:ascii="Times New Roman" w:hAnsi="Times New Roman"/>
          <w:szCs w:val="24"/>
        </w:rPr>
      </w:pPr>
    </w:p>
    <w:p w14:paraId="03560D73" w14:textId="77777777" w:rsidR="00043C32" w:rsidRPr="00FB0DE1" w:rsidRDefault="00043C32" w:rsidP="00FB0DE1">
      <w:pPr>
        <w:pStyle w:val="ListParagraph"/>
        <w:numPr>
          <w:ilvl w:val="0"/>
          <w:numId w:val="5"/>
        </w:numPr>
        <w:tabs>
          <w:tab w:val="left" w:pos="-720"/>
          <w:tab w:val="left" w:pos="375"/>
        </w:tabs>
        <w:suppressAutoHyphens/>
        <w:contextualSpacing w:val="0"/>
        <w:rPr>
          <w:rFonts w:ascii="Times New Roman" w:hAnsi="Times New Roman"/>
          <w:b/>
          <w:szCs w:val="24"/>
        </w:rPr>
      </w:pPr>
      <w:r w:rsidRPr="00FB0DE1">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FB0DE1" w:rsidRDefault="00043C32" w:rsidP="00FB0DE1">
      <w:pPr>
        <w:tabs>
          <w:tab w:val="left" w:pos="-720"/>
        </w:tabs>
        <w:suppressAutoHyphens/>
        <w:rPr>
          <w:rStyle w:val="a"/>
          <w:rFonts w:ascii="Times New Roman" w:hAnsi="Times New Roman"/>
          <w:b/>
          <w:szCs w:val="24"/>
        </w:rPr>
      </w:pPr>
    </w:p>
    <w:p w14:paraId="03560D75" w14:textId="77777777" w:rsidR="00043C32" w:rsidRPr="00FB0DE1" w:rsidRDefault="00043C32" w:rsidP="00FB0DE1">
      <w:pPr>
        <w:tabs>
          <w:tab w:val="left" w:pos="-720"/>
        </w:tabs>
        <w:suppressAutoHyphens/>
        <w:ind w:left="720"/>
        <w:rPr>
          <w:rStyle w:val="a"/>
          <w:rFonts w:ascii="Times New Roman" w:hAnsi="Times New Roman"/>
          <w:b/>
          <w:szCs w:val="24"/>
        </w:rPr>
      </w:pPr>
      <w:r w:rsidRPr="00FB0DE1">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FB0DE1" w:rsidRDefault="00043C32" w:rsidP="00FB0DE1">
      <w:pPr>
        <w:tabs>
          <w:tab w:val="left" w:pos="-720"/>
        </w:tabs>
        <w:suppressAutoHyphens/>
        <w:rPr>
          <w:rStyle w:val="a"/>
          <w:rFonts w:ascii="Times New Roman" w:hAnsi="Times New Roman"/>
          <w:b/>
          <w:szCs w:val="24"/>
        </w:rPr>
      </w:pPr>
    </w:p>
    <w:p w14:paraId="03560D77" w14:textId="77777777" w:rsidR="00043C32" w:rsidRPr="00FB0DE1" w:rsidRDefault="00043C32" w:rsidP="00FB0DE1">
      <w:pPr>
        <w:tabs>
          <w:tab w:val="left" w:pos="-720"/>
        </w:tabs>
        <w:suppressAutoHyphens/>
        <w:ind w:left="720"/>
        <w:rPr>
          <w:rStyle w:val="a"/>
          <w:rFonts w:ascii="Times New Roman" w:hAnsi="Times New Roman"/>
          <w:b/>
          <w:szCs w:val="24"/>
        </w:rPr>
      </w:pPr>
      <w:r w:rsidRPr="00FB0DE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994B8E7" w14:textId="762A16BE" w:rsidR="00FB0DE1" w:rsidRDefault="00FB0DE1" w:rsidP="00FB0DE1">
      <w:pPr>
        <w:tabs>
          <w:tab w:val="left" w:pos="-720"/>
        </w:tabs>
        <w:suppressAutoHyphens/>
        <w:rPr>
          <w:rFonts w:ascii="Times New Roman" w:hAnsi="Times New Roman"/>
          <w:szCs w:val="24"/>
        </w:rPr>
      </w:pPr>
      <w:r>
        <w:rPr>
          <w:rFonts w:ascii="Times New Roman" w:hAnsi="Times New Roman"/>
          <w:szCs w:val="24"/>
        </w:rPr>
        <w:t>The Department will publish</w:t>
      </w:r>
      <w:r w:rsidRPr="00FB0DE1">
        <w:rPr>
          <w:rFonts w:ascii="Times New Roman" w:hAnsi="Times New Roman"/>
          <w:szCs w:val="24"/>
        </w:rPr>
        <w:t xml:space="preserve"> the 60 and 30 Federal Register notices </w:t>
      </w:r>
      <w:r>
        <w:rPr>
          <w:rFonts w:ascii="Times New Roman" w:hAnsi="Times New Roman"/>
          <w:szCs w:val="24"/>
        </w:rPr>
        <w:t>required by 5 CFR 1320.8(d) to ensure that public feedback is solicited prior to submission to OMB.</w:t>
      </w:r>
      <w:r w:rsidR="0045720F">
        <w:rPr>
          <w:rFonts w:ascii="Times New Roman" w:hAnsi="Times New Roman"/>
          <w:szCs w:val="24"/>
        </w:rPr>
        <w:t xml:space="preserve"> There was only one non-substantive but positive comment regarding this collection. No response was necessary since it was non-substantive in nature.</w:t>
      </w:r>
    </w:p>
    <w:p w14:paraId="7860C3EA" w14:textId="77777777" w:rsidR="00FB0DE1" w:rsidRPr="00EF7FF5" w:rsidRDefault="00FB0DE1" w:rsidP="00FB0DE1">
      <w:pPr>
        <w:tabs>
          <w:tab w:val="left" w:pos="-720"/>
        </w:tabs>
        <w:suppressAutoHyphens/>
        <w:rPr>
          <w:rFonts w:ascii="Times New Roman" w:hAnsi="Times New Roman"/>
          <w:szCs w:val="24"/>
        </w:rPr>
      </w:pPr>
    </w:p>
    <w:p w14:paraId="03560D78" w14:textId="77777777" w:rsidR="00043C32" w:rsidRPr="00FB0DE1" w:rsidRDefault="00043C32" w:rsidP="00FB0DE1">
      <w:pPr>
        <w:pStyle w:val="ListParagraph"/>
        <w:numPr>
          <w:ilvl w:val="0"/>
          <w:numId w:val="5"/>
        </w:numPr>
        <w:tabs>
          <w:tab w:val="left" w:pos="-720"/>
        </w:tabs>
        <w:suppressAutoHyphens/>
        <w:contextualSpacing w:val="0"/>
        <w:rPr>
          <w:rStyle w:val="a"/>
          <w:rFonts w:ascii="Times New Roman" w:hAnsi="Times New Roman"/>
          <w:b/>
          <w:szCs w:val="24"/>
        </w:rPr>
      </w:pPr>
      <w:r w:rsidRPr="00FB0DE1">
        <w:rPr>
          <w:rStyle w:val="a"/>
          <w:rFonts w:ascii="Times New Roman" w:hAnsi="Times New Roman"/>
          <w:b/>
          <w:szCs w:val="24"/>
        </w:rPr>
        <w:t>Explain any decision to provide any payment or gift to respondents, other than remuneration of contractors or grantees with meaningful justification.</w:t>
      </w:r>
    </w:p>
    <w:p w14:paraId="5485B292" w14:textId="77777777" w:rsidR="00FB0DE1" w:rsidRDefault="00FB0DE1" w:rsidP="00FB0DE1">
      <w:pPr>
        <w:pStyle w:val="BodyText"/>
      </w:pPr>
      <w:r w:rsidRPr="004359E9">
        <w:t xml:space="preserve">No payment or gift </w:t>
      </w:r>
      <w:r w:rsidRPr="00FF4F5C">
        <w:t>will</w:t>
      </w:r>
      <w:r w:rsidRPr="004359E9">
        <w:t xml:space="preserve"> be provided to respondents.</w:t>
      </w:r>
    </w:p>
    <w:p w14:paraId="6CE15BC2" w14:textId="77777777" w:rsidR="00FB0DE1" w:rsidRPr="00FB0DE1" w:rsidRDefault="00FB0DE1" w:rsidP="00FB0DE1">
      <w:pPr>
        <w:tabs>
          <w:tab w:val="left" w:pos="-720"/>
        </w:tabs>
        <w:suppressAutoHyphens/>
        <w:rPr>
          <w:rFonts w:ascii="Times New Roman" w:hAnsi="Times New Roman"/>
          <w:szCs w:val="24"/>
        </w:rPr>
      </w:pPr>
    </w:p>
    <w:p w14:paraId="03560D79" w14:textId="77777777" w:rsidR="00043C32" w:rsidRPr="00FB0DE1" w:rsidRDefault="00043C32" w:rsidP="00FB0DE1">
      <w:pPr>
        <w:pStyle w:val="ListParagraph"/>
        <w:numPr>
          <w:ilvl w:val="0"/>
          <w:numId w:val="5"/>
        </w:numPr>
        <w:tabs>
          <w:tab w:val="left" w:pos="-720"/>
        </w:tabs>
        <w:suppressAutoHyphens/>
        <w:ind w:hanging="547"/>
        <w:contextualSpacing w:val="0"/>
        <w:rPr>
          <w:rFonts w:ascii="Times New Roman" w:hAnsi="Times New Roman"/>
          <w:b/>
          <w:szCs w:val="24"/>
        </w:rPr>
      </w:pPr>
      <w:r w:rsidRPr="00FB0DE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FB0DE1">
        <w:rPr>
          <w:rStyle w:val="FootnoteReference"/>
          <w:b/>
          <w:szCs w:val="24"/>
        </w:rPr>
        <w:footnoteReference w:id="2"/>
      </w:r>
      <w:r w:rsidRPr="00FB0DE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5281A32" w14:textId="77777777" w:rsidR="00FB0DE1" w:rsidRDefault="00FB0DE1" w:rsidP="00FB0DE1">
      <w:pPr>
        <w:pStyle w:val="BodyText"/>
      </w:pPr>
      <w:r w:rsidRPr="00161099">
        <w:t>There is no assurance of confidentiality.</w:t>
      </w:r>
    </w:p>
    <w:p w14:paraId="7B32EB44" w14:textId="77777777" w:rsidR="00FB0DE1" w:rsidRPr="00FB0DE1" w:rsidRDefault="00FB0DE1" w:rsidP="00FB0DE1">
      <w:pPr>
        <w:tabs>
          <w:tab w:val="left" w:pos="-720"/>
        </w:tabs>
        <w:suppressAutoHyphens/>
        <w:ind w:left="173"/>
        <w:rPr>
          <w:rFonts w:ascii="Times New Roman" w:hAnsi="Times New Roman"/>
          <w:szCs w:val="24"/>
        </w:rPr>
      </w:pPr>
    </w:p>
    <w:p w14:paraId="03560D7A" w14:textId="77777777" w:rsidR="00043C32" w:rsidRPr="00FB0DE1" w:rsidRDefault="00043C32" w:rsidP="00FB0DE1">
      <w:pPr>
        <w:pStyle w:val="ListParagraph"/>
        <w:numPr>
          <w:ilvl w:val="0"/>
          <w:numId w:val="5"/>
        </w:numPr>
        <w:tabs>
          <w:tab w:val="left" w:pos="-720"/>
        </w:tabs>
        <w:suppressAutoHyphens/>
        <w:ind w:hanging="540"/>
        <w:contextualSpacing w:val="0"/>
        <w:rPr>
          <w:rFonts w:ascii="Times New Roman" w:hAnsi="Times New Roman"/>
          <w:b/>
          <w:szCs w:val="24"/>
        </w:rPr>
      </w:pPr>
      <w:r w:rsidRPr="00FB0DE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6D019F1" w14:textId="77777777" w:rsidR="00FB0DE1" w:rsidRPr="00FF4F5C" w:rsidRDefault="00FB0DE1" w:rsidP="00FB0DE1">
      <w:pPr>
        <w:pStyle w:val="BodyText"/>
      </w:pPr>
      <w:r w:rsidRPr="00FF4F5C">
        <w:t>There are no questions of a sensitive nature.</w:t>
      </w:r>
    </w:p>
    <w:p w14:paraId="68C19FB9" w14:textId="77777777" w:rsidR="00FB0DE1" w:rsidRPr="00FB0DE1" w:rsidRDefault="00FB0DE1" w:rsidP="00FB0DE1">
      <w:pPr>
        <w:tabs>
          <w:tab w:val="left" w:pos="-720"/>
        </w:tabs>
        <w:suppressAutoHyphens/>
        <w:ind w:left="180"/>
        <w:rPr>
          <w:rFonts w:ascii="Times New Roman" w:hAnsi="Times New Roman"/>
          <w:szCs w:val="24"/>
        </w:rPr>
      </w:pPr>
    </w:p>
    <w:p w14:paraId="03560D7B" w14:textId="77777777" w:rsidR="00043C32" w:rsidRPr="00FB0DE1" w:rsidRDefault="00043C32" w:rsidP="00FB0DE1">
      <w:pPr>
        <w:pStyle w:val="ListParagraph"/>
        <w:numPr>
          <w:ilvl w:val="0"/>
          <w:numId w:val="5"/>
        </w:numPr>
        <w:tabs>
          <w:tab w:val="left" w:pos="-720"/>
        </w:tabs>
        <w:suppressAutoHyphens/>
        <w:ind w:hanging="540"/>
        <w:rPr>
          <w:rStyle w:val="a"/>
          <w:rFonts w:ascii="Times New Roman" w:hAnsi="Times New Roman"/>
          <w:b/>
          <w:szCs w:val="24"/>
        </w:rPr>
      </w:pPr>
      <w:r w:rsidRPr="00FB0DE1">
        <w:rPr>
          <w:rStyle w:val="a"/>
          <w:rFonts w:ascii="Times New Roman" w:hAnsi="Times New Roman"/>
          <w:b/>
          <w:szCs w:val="24"/>
        </w:rPr>
        <w:t>Provide estimates of the hour burden of the collection of information.  The statement should:</w:t>
      </w:r>
    </w:p>
    <w:p w14:paraId="03560D7C" w14:textId="77777777" w:rsidR="00043C32" w:rsidRPr="00FB0DE1" w:rsidRDefault="00043C32" w:rsidP="00FB0DE1">
      <w:pPr>
        <w:tabs>
          <w:tab w:val="left" w:pos="-720"/>
        </w:tabs>
        <w:suppressAutoHyphens/>
        <w:rPr>
          <w:rStyle w:val="a"/>
          <w:rFonts w:ascii="Times New Roman" w:hAnsi="Times New Roman"/>
          <w:b/>
          <w:szCs w:val="24"/>
        </w:rPr>
      </w:pPr>
    </w:p>
    <w:p w14:paraId="03560D7D" w14:textId="77777777" w:rsidR="00043C32" w:rsidRPr="00FB0DE1" w:rsidRDefault="00043C32" w:rsidP="00FB0DE1">
      <w:pPr>
        <w:numPr>
          <w:ilvl w:val="0"/>
          <w:numId w:val="2"/>
        </w:numPr>
        <w:tabs>
          <w:tab w:val="left" w:pos="-720"/>
          <w:tab w:val="left" w:pos="1247"/>
        </w:tabs>
        <w:suppressAutoHyphens/>
        <w:rPr>
          <w:rStyle w:val="a"/>
          <w:rFonts w:ascii="Times New Roman" w:hAnsi="Times New Roman"/>
          <w:b/>
          <w:szCs w:val="24"/>
        </w:rPr>
      </w:pPr>
      <w:r w:rsidRPr="00FB0DE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FB0DE1" w:rsidRDefault="00043C32" w:rsidP="00FB0DE1">
      <w:pPr>
        <w:tabs>
          <w:tab w:val="left" w:pos="-720"/>
          <w:tab w:val="left" w:pos="1247"/>
        </w:tabs>
        <w:suppressAutoHyphens/>
        <w:ind w:left="700"/>
        <w:rPr>
          <w:rStyle w:val="a"/>
          <w:rFonts w:ascii="Times New Roman" w:hAnsi="Times New Roman"/>
          <w:b/>
          <w:szCs w:val="24"/>
        </w:rPr>
      </w:pPr>
    </w:p>
    <w:p w14:paraId="03560D7F" w14:textId="77777777" w:rsidR="00043C32" w:rsidRPr="00FB0DE1" w:rsidRDefault="00043C32" w:rsidP="00FB0DE1">
      <w:pPr>
        <w:numPr>
          <w:ilvl w:val="0"/>
          <w:numId w:val="2"/>
        </w:numPr>
        <w:tabs>
          <w:tab w:val="left" w:pos="-720"/>
          <w:tab w:val="left" w:pos="1247"/>
        </w:tabs>
        <w:suppressAutoHyphens/>
        <w:rPr>
          <w:rStyle w:val="a"/>
          <w:rFonts w:ascii="Times New Roman" w:hAnsi="Times New Roman"/>
          <w:b/>
          <w:szCs w:val="24"/>
        </w:rPr>
      </w:pPr>
      <w:r w:rsidRPr="00FB0DE1">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FB0DE1" w:rsidRDefault="00043C32" w:rsidP="00FB0DE1">
      <w:pPr>
        <w:tabs>
          <w:tab w:val="left" w:pos="-720"/>
          <w:tab w:val="left" w:pos="1247"/>
        </w:tabs>
        <w:suppressAutoHyphens/>
        <w:ind w:left="700"/>
        <w:rPr>
          <w:rStyle w:val="a"/>
          <w:rFonts w:ascii="Times New Roman" w:hAnsi="Times New Roman"/>
          <w:b/>
          <w:szCs w:val="24"/>
        </w:rPr>
      </w:pPr>
    </w:p>
    <w:p w14:paraId="03560D81" w14:textId="77777777" w:rsidR="00043C32" w:rsidRPr="00FB0DE1" w:rsidRDefault="00043C32" w:rsidP="00FB0DE1">
      <w:pPr>
        <w:numPr>
          <w:ilvl w:val="0"/>
          <w:numId w:val="2"/>
        </w:numPr>
        <w:tabs>
          <w:tab w:val="left" w:pos="-720"/>
          <w:tab w:val="left" w:pos="1247"/>
        </w:tabs>
        <w:suppressAutoHyphens/>
        <w:ind w:left="1166"/>
        <w:rPr>
          <w:rStyle w:val="a"/>
          <w:rFonts w:ascii="Times New Roman" w:hAnsi="Times New Roman"/>
          <w:b/>
          <w:szCs w:val="24"/>
        </w:rPr>
      </w:pPr>
      <w:r w:rsidRPr="00FB0DE1">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5B035E5" w14:textId="77777777" w:rsidR="00FB0DE1" w:rsidRPr="00FB0DE1" w:rsidRDefault="00FB0DE1" w:rsidP="00FB0DE1">
      <w:pPr>
        <w:pStyle w:val="ListParagraph"/>
        <w:rPr>
          <w:rFonts w:ascii="Times New Roman" w:hAnsi="Times New Roman"/>
          <w:b/>
          <w:szCs w:val="24"/>
        </w:rPr>
      </w:pPr>
    </w:p>
    <w:p w14:paraId="06DFD7A6" w14:textId="371A36AD" w:rsid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 xml:space="preserve">Annually, all funded MSPs are asked to complete the APR online data collection instrument. We estimate, based on initial and ongoing feedback from respondents, that the APR takes an average of </w:t>
      </w:r>
      <w:r w:rsidRPr="00FB0DE1">
        <w:rPr>
          <w:rFonts w:ascii="Times New Roman" w:hAnsi="Times New Roman"/>
          <w:bCs/>
          <w:sz w:val="22"/>
          <w:szCs w:val="22"/>
        </w:rPr>
        <w:t>10</w:t>
      </w:r>
      <w:r w:rsidRPr="00FB0DE1">
        <w:rPr>
          <w:rFonts w:ascii="Times New Roman" w:hAnsi="Times New Roman"/>
          <w:color w:val="FF0000"/>
          <w:sz w:val="22"/>
          <w:szCs w:val="22"/>
        </w:rPr>
        <w:t xml:space="preserve"> </w:t>
      </w:r>
      <w:r w:rsidRPr="00FB0DE1">
        <w:rPr>
          <w:rFonts w:ascii="Times New Roman" w:hAnsi="Times New Roman"/>
          <w:sz w:val="22"/>
          <w:szCs w:val="22"/>
        </w:rPr>
        <w:t xml:space="preserve">hours for the project directors and/or evaluators to complete. The estimated total average burden for completing the APR form across the approximately 450 partnerships is 4,500 hours.  </w:t>
      </w:r>
    </w:p>
    <w:p w14:paraId="3EE37398" w14:textId="0F952644"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 xml:space="preserve">The cost to respondents is estimated to be </w:t>
      </w:r>
      <w:r w:rsidRPr="00FB0DE1">
        <w:rPr>
          <w:rFonts w:ascii="Times New Roman" w:hAnsi="Times New Roman"/>
          <w:bCs/>
          <w:sz w:val="22"/>
          <w:szCs w:val="22"/>
        </w:rPr>
        <w:t xml:space="preserve">44 dollars </w:t>
      </w:r>
      <w:r w:rsidRPr="00FB0DE1">
        <w:rPr>
          <w:rFonts w:ascii="Times New Roman" w:hAnsi="Times New Roman"/>
          <w:sz w:val="22"/>
          <w:szCs w:val="22"/>
        </w:rPr>
        <w:t xml:space="preserve">per hour, for a total estimated cost burden of approximately </w:t>
      </w:r>
      <w:r w:rsidRPr="00FB0DE1">
        <w:rPr>
          <w:rFonts w:ascii="Times New Roman" w:hAnsi="Times New Roman"/>
          <w:bCs/>
          <w:sz w:val="22"/>
          <w:szCs w:val="22"/>
        </w:rPr>
        <w:t>$</w:t>
      </w:r>
      <w:r w:rsidRPr="00FB0DE1">
        <w:rPr>
          <w:rFonts w:ascii="Times New Roman" w:hAnsi="Times New Roman"/>
          <w:sz w:val="22"/>
          <w:szCs w:val="22"/>
        </w:rPr>
        <w:t>198,000 across all respondents for each year of data collection.</w:t>
      </w:r>
    </w:p>
    <w:p w14:paraId="36D65CE5" w14:textId="77777777" w:rsidR="00FB0DE1" w:rsidRPr="00FB0DE1" w:rsidRDefault="00FB0DE1" w:rsidP="00FB0DE1">
      <w:pPr>
        <w:spacing w:after="180" w:line="264" w:lineRule="auto"/>
        <w:rPr>
          <w:rFonts w:ascii="Times New Roman" w:hAnsi="Times New Roman"/>
          <w:bCs/>
          <w:sz w:val="22"/>
          <w:szCs w:val="22"/>
        </w:rPr>
      </w:pPr>
      <w:r w:rsidRPr="00FB0DE1">
        <w:rPr>
          <w:rFonts w:ascii="Times New Roman" w:hAnsi="Times New Roman"/>
          <w:bCs/>
          <w:sz w:val="22"/>
          <w:szCs w:val="22"/>
        </w:rPr>
        <w:t>Exhibit 1:</w:t>
      </w:r>
      <w:r w:rsidRPr="00FB0DE1">
        <w:rPr>
          <w:rFonts w:ascii="Times New Roman" w:hAnsi="Times New Roman"/>
          <w:bCs/>
          <w:sz w:val="22"/>
          <w:szCs w:val="22"/>
        </w:rPr>
        <w:tab/>
        <w:t xml:space="preserve">Estimated Annualized Cost Burden to Respondents </w:t>
      </w:r>
    </w:p>
    <w:tbl>
      <w:tblPr>
        <w:tblW w:w="9000" w:type="dxa"/>
        <w:jc w:val="center"/>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Layout w:type="fixed"/>
        <w:tblCellMar>
          <w:top w:w="29" w:type="dxa"/>
          <w:left w:w="115" w:type="dxa"/>
          <w:bottom w:w="29" w:type="dxa"/>
          <w:right w:w="115" w:type="dxa"/>
        </w:tblCellMar>
        <w:tblLook w:val="04A0" w:firstRow="1" w:lastRow="0" w:firstColumn="1" w:lastColumn="0" w:noHBand="0" w:noVBand="1"/>
      </w:tblPr>
      <w:tblGrid>
        <w:gridCol w:w="1800"/>
        <w:gridCol w:w="1800"/>
        <w:gridCol w:w="1800"/>
        <w:gridCol w:w="1800"/>
        <w:gridCol w:w="1800"/>
      </w:tblGrid>
      <w:tr w:rsidR="00FB0DE1" w:rsidRPr="00FB0DE1" w14:paraId="0A4FD476" w14:textId="77777777" w:rsidTr="00D61C78">
        <w:trPr>
          <w:trHeight w:val="485"/>
          <w:jc w:val="center"/>
        </w:trPr>
        <w:tc>
          <w:tcPr>
            <w:tcW w:w="1310" w:type="dxa"/>
            <w:tcBorders>
              <w:top w:val="single" w:sz="8" w:space="0" w:color="000000"/>
              <w:left w:val="nil"/>
              <w:bottom w:val="single" w:sz="8" w:space="0" w:color="000000"/>
              <w:right w:val="nil"/>
            </w:tcBorders>
            <w:shd w:val="clear" w:color="auto" w:fill="C3C6A8"/>
            <w:vAlign w:val="bottom"/>
          </w:tcPr>
          <w:p w14:paraId="58B68C64" w14:textId="77777777"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Hourly Salary Estimate</w:t>
            </w:r>
          </w:p>
        </w:tc>
        <w:tc>
          <w:tcPr>
            <w:tcW w:w="1310" w:type="dxa"/>
            <w:tcBorders>
              <w:top w:val="single" w:sz="8" w:space="0" w:color="000000"/>
              <w:left w:val="nil"/>
              <w:bottom w:val="single" w:sz="8" w:space="0" w:color="000000"/>
              <w:right w:val="nil"/>
            </w:tcBorders>
            <w:shd w:val="clear" w:color="auto" w:fill="C3C6A8"/>
            <w:vAlign w:val="bottom"/>
          </w:tcPr>
          <w:p w14:paraId="6E34B1F1" w14:textId="77777777"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Time per Response (hours)</w:t>
            </w:r>
          </w:p>
        </w:tc>
        <w:tc>
          <w:tcPr>
            <w:tcW w:w="1310" w:type="dxa"/>
            <w:tcBorders>
              <w:top w:val="single" w:sz="8" w:space="0" w:color="000000"/>
              <w:left w:val="nil"/>
              <w:bottom w:val="single" w:sz="8" w:space="0" w:color="000000"/>
              <w:right w:val="nil"/>
            </w:tcBorders>
            <w:shd w:val="clear" w:color="auto" w:fill="C3C6A8"/>
            <w:vAlign w:val="bottom"/>
          </w:tcPr>
          <w:p w14:paraId="769B4DAE" w14:textId="77777777"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Estimated Cost per Respondent</w:t>
            </w:r>
          </w:p>
        </w:tc>
        <w:tc>
          <w:tcPr>
            <w:tcW w:w="1310" w:type="dxa"/>
            <w:tcBorders>
              <w:top w:val="single" w:sz="8" w:space="0" w:color="000000"/>
              <w:left w:val="nil"/>
              <w:bottom w:val="single" w:sz="8" w:space="0" w:color="000000"/>
              <w:right w:val="single" w:sz="4" w:space="0" w:color="auto"/>
            </w:tcBorders>
            <w:shd w:val="clear" w:color="auto" w:fill="C3C6A8"/>
            <w:vAlign w:val="bottom"/>
          </w:tcPr>
          <w:p w14:paraId="3EFFF20A" w14:textId="77777777"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Approximate Number of Respondents</w:t>
            </w:r>
          </w:p>
        </w:tc>
        <w:tc>
          <w:tcPr>
            <w:tcW w:w="1310" w:type="dxa"/>
            <w:tcBorders>
              <w:top w:val="single" w:sz="8" w:space="0" w:color="000000"/>
              <w:left w:val="single" w:sz="4" w:space="0" w:color="auto"/>
              <w:bottom w:val="single" w:sz="8" w:space="0" w:color="000000"/>
              <w:right w:val="nil"/>
            </w:tcBorders>
            <w:shd w:val="clear" w:color="auto" w:fill="C3C6A8"/>
            <w:vAlign w:val="bottom"/>
          </w:tcPr>
          <w:p w14:paraId="7BF53DC6" w14:textId="77777777" w:rsidR="00FB0DE1" w:rsidRPr="00FB0DE1" w:rsidRDefault="00FB0DE1" w:rsidP="00FB0DE1">
            <w:pPr>
              <w:spacing w:after="180" w:line="264" w:lineRule="auto"/>
              <w:rPr>
                <w:rFonts w:ascii="Times New Roman" w:hAnsi="Times New Roman"/>
                <w:sz w:val="22"/>
                <w:szCs w:val="22"/>
              </w:rPr>
            </w:pPr>
            <w:r w:rsidRPr="00FB0DE1">
              <w:rPr>
                <w:rFonts w:ascii="Times New Roman" w:hAnsi="Times New Roman"/>
                <w:sz w:val="22"/>
                <w:szCs w:val="22"/>
              </w:rPr>
              <w:t>Estimated Annual Cost Across All Respondents</w:t>
            </w:r>
          </w:p>
        </w:tc>
      </w:tr>
      <w:tr w:rsidR="00FB0DE1" w:rsidRPr="00FB0DE1" w14:paraId="09B9B72E" w14:textId="77777777" w:rsidTr="00D61C78">
        <w:trPr>
          <w:trHeight w:val="485"/>
          <w:jc w:val="center"/>
        </w:trPr>
        <w:tc>
          <w:tcPr>
            <w:tcW w:w="1310" w:type="dxa"/>
            <w:tcBorders>
              <w:top w:val="single" w:sz="8" w:space="0" w:color="000000"/>
              <w:left w:val="nil"/>
              <w:bottom w:val="single" w:sz="4" w:space="0" w:color="auto"/>
              <w:right w:val="nil"/>
            </w:tcBorders>
            <w:shd w:val="clear" w:color="auto" w:fill="auto"/>
            <w:vAlign w:val="center"/>
          </w:tcPr>
          <w:p w14:paraId="33966C30" w14:textId="77777777" w:rsidR="00FB0DE1" w:rsidRPr="00FB0DE1" w:rsidRDefault="00FB0DE1" w:rsidP="00FB0DE1">
            <w:pPr>
              <w:spacing w:after="180" w:line="264" w:lineRule="auto"/>
              <w:rPr>
                <w:rFonts w:ascii="Times New Roman" w:hAnsi="Times New Roman"/>
                <w:bCs/>
                <w:sz w:val="22"/>
                <w:szCs w:val="22"/>
                <w:vertAlign w:val="superscript"/>
              </w:rPr>
            </w:pPr>
            <w:r w:rsidRPr="00FB0DE1">
              <w:rPr>
                <w:rFonts w:ascii="Times New Roman" w:hAnsi="Times New Roman"/>
                <w:bCs/>
                <w:sz w:val="22"/>
                <w:szCs w:val="22"/>
              </w:rPr>
              <w:t>$44</w:t>
            </w:r>
          </w:p>
        </w:tc>
        <w:tc>
          <w:tcPr>
            <w:tcW w:w="1310" w:type="dxa"/>
            <w:tcBorders>
              <w:top w:val="single" w:sz="8" w:space="0" w:color="000000"/>
              <w:left w:val="nil"/>
              <w:bottom w:val="single" w:sz="4" w:space="0" w:color="auto"/>
              <w:right w:val="nil"/>
            </w:tcBorders>
            <w:shd w:val="clear" w:color="auto" w:fill="auto"/>
            <w:vAlign w:val="center"/>
          </w:tcPr>
          <w:p w14:paraId="2CC1458E" w14:textId="77777777" w:rsidR="00FB0DE1" w:rsidRPr="00FB0DE1" w:rsidRDefault="00FB0DE1" w:rsidP="00FB0DE1">
            <w:pPr>
              <w:spacing w:after="180" w:line="264" w:lineRule="auto"/>
              <w:rPr>
                <w:rFonts w:ascii="Times New Roman" w:hAnsi="Times New Roman"/>
                <w:bCs/>
                <w:sz w:val="22"/>
                <w:szCs w:val="22"/>
              </w:rPr>
            </w:pPr>
            <w:r w:rsidRPr="00FB0DE1">
              <w:rPr>
                <w:rFonts w:ascii="Times New Roman" w:hAnsi="Times New Roman"/>
                <w:bCs/>
                <w:sz w:val="22"/>
                <w:szCs w:val="22"/>
              </w:rPr>
              <w:t>10</w:t>
            </w:r>
          </w:p>
        </w:tc>
        <w:tc>
          <w:tcPr>
            <w:tcW w:w="1310" w:type="dxa"/>
            <w:tcBorders>
              <w:top w:val="single" w:sz="8" w:space="0" w:color="000000"/>
              <w:left w:val="nil"/>
              <w:bottom w:val="single" w:sz="4" w:space="0" w:color="auto"/>
              <w:right w:val="nil"/>
            </w:tcBorders>
            <w:shd w:val="clear" w:color="auto" w:fill="auto"/>
            <w:vAlign w:val="center"/>
          </w:tcPr>
          <w:p w14:paraId="0D962371" w14:textId="77777777" w:rsidR="00FB0DE1" w:rsidRPr="00FB0DE1" w:rsidRDefault="00FB0DE1" w:rsidP="00FB0DE1">
            <w:pPr>
              <w:spacing w:after="180" w:line="264" w:lineRule="auto"/>
              <w:rPr>
                <w:rFonts w:ascii="Times New Roman" w:hAnsi="Times New Roman"/>
                <w:bCs/>
                <w:sz w:val="22"/>
                <w:szCs w:val="22"/>
              </w:rPr>
            </w:pPr>
            <w:r w:rsidRPr="00FB0DE1">
              <w:rPr>
                <w:rFonts w:ascii="Times New Roman" w:hAnsi="Times New Roman"/>
                <w:bCs/>
                <w:sz w:val="22"/>
                <w:szCs w:val="22"/>
              </w:rPr>
              <w:t>$440</w:t>
            </w:r>
          </w:p>
        </w:tc>
        <w:tc>
          <w:tcPr>
            <w:tcW w:w="1310" w:type="dxa"/>
            <w:tcBorders>
              <w:top w:val="single" w:sz="8" w:space="0" w:color="000000"/>
              <w:left w:val="nil"/>
              <w:bottom w:val="single" w:sz="4" w:space="0" w:color="auto"/>
              <w:right w:val="single" w:sz="4" w:space="0" w:color="auto"/>
            </w:tcBorders>
            <w:vAlign w:val="center"/>
          </w:tcPr>
          <w:p w14:paraId="53DA6B22" w14:textId="77777777" w:rsidR="00FB0DE1" w:rsidRPr="00FB0DE1" w:rsidRDefault="00FB0DE1" w:rsidP="00FB0DE1">
            <w:pPr>
              <w:spacing w:after="180" w:line="264" w:lineRule="auto"/>
              <w:rPr>
                <w:rFonts w:ascii="Times New Roman" w:hAnsi="Times New Roman"/>
                <w:bCs/>
                <w:sz w:val="22"/>
                <w:szCs w:val="22"/>
              </w:rPr>
            </w:pPr>
            <w:r w:rsidRPr="00FB0DE1">
              <w:rPr>
                <w:rFonts w:ascii="Times New Roman" w:hAnsi="Times New Roman"/>
                <w:bCs/>
                <w:sz w:val="22"/>
                <w:szCs w:val="22"/>
              </w:rPr>
              <w:t>450</w:t>
            </w:r>
          </w:p>
        </w:tc>
        <w:tc>
          <w:tcPr>
            <w:tcW w:w="1310" w:type="dxa"/>
            <w:tcBorders>
              <w:top w:val="single" w:sz="8" w:space="0" w:color="000000"/>
              <w:left w:val="single" w:sz="4" w:space="0" w:color="auto"/>
              <w:bottom w:val="single" w:sz="4" w:space="0" w:color="auto"/>
              <w:right w:val="nil"/>
            </w:tcBorders>
            <w:shd w:val="clear" w:color="auto" w:fill="auto"/>
            <w:vAlign w:val="center"/>
          </w:tcPr>
          <w:p w14:paraId="7D4CE352" w14:textId="77777777" w:rsidR="00FB0DE1" w:rsidRPr="00FB0DE1" w:rsidRDefault="00FB0DE1" w:rsidP="00FB0DE1">
            <w:pPr>
              <w:spacing w:after="180" w:line="264" w:lineRule="auto"/>
              <w:rPr>
                <w:rFonts w:ascii="Times New Roman" w:hAnsi="Times New Roman"/>
                <w:bCs/>
                <w:sz w:val="22"/>
                <w:szCs w:val="22"/>
              </w:rPr>
            </w:pPr>
            <w:r w:rsidRPr="00FB0DE1">
              <w:rPr>
                <w:rFonts w:ascii="Times New Roman" w:hAnsi="Times New Roman"/>
                <w:bCs/>
                <w:sz w:val="22"/>
                <w:szCs w:val="22"/>
              </w:rPr>
              <w:t>$198,000</w:t>
            </w:r>
          </w:p>
        </w:tc>
      </w:tr>
    </w:tbl>
    <w:p w14:paraId="264571B6" w14:textId="77777777" w:rsidR="00FB0DE1" w:rsidRPr="00FB0DE1" w:rsidRDefault="00FB0DE1" w:rsidP="00FB0DE1">
      <w:pPr>
        <w:spacing w:after="180" w:line="264" w:lineRule="auto"/>
        <w:rPr>
          <w:rFonts w:ascii="Times New Roman" w:hAnsi="Times New Roman"/>
          <w:b/>
          <w:sz w:val="22"/>
          <w:szCs w:val="22"/>
        </w:rPr>
      </w:pPr>
    </w:p>
    <w:p w14:paraId="29A54E0E" w14:textId="77777777" w:rsidR="00FB0DE1" w:rsidRPr="00EF7FF5" w:rsidRDefault="00FB0DE1" w:rsidP="00FB0DE1">
      <w:pPr>
        <w:tabs>
          <w:tab w:val="left" w:pos="-720"/>
          <w:tab w:val="left" w:pos="1247"/>
        </w:tabs>
        <w:suppressAutoHyphens/>
        <w:rPr>
          <w:rFonts w:ascii="Times New Roman" w:hAnsi="Times New Roman"/>
          <w:szCs w:val="24"/>
        </w:rPr>
      </w:pPr>
    </w:p>
    <w:p w14:paraId="03560D82" w14:textId="77777777" w:rsidR="00043C32" w:rsidRPr="00FB0DE1" w:rsidRDefault="00043C32" w:rsidP="00FB0DE1">
      <w:pPr>
        <w:pStyle w:val="ListParagraph"/>
        <w:numPr>
          <w:ilvl w:val="0"/>
          <w:numId w:val="5"/>
        </w:numPr>
        <w:tabs>
          <w:tab w:val="left" w:pos="-720"/>
        </w:tabs>
        <w:suppressAutoHyphens/>
        <w:ind w:hanging="540"/>
        <w:rPr>
          <w:rFonts w:ascii="Times New Roman" w:hAnsi="Times New Roman"/>
          <w:b/>
          <w:szCs w:val="24"/>
        </w:rPr>
      </w:pPr>
      <w:r w:rsidRPr="00FB0DE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FB0DE1" w:rsidRDefault="00043C32" w:rsidP="00FB0DE1">
      <w:pPr>
        <w:tabs>
          <w:tab w:val="left" w:pos="-720"/>
        </w:tabs>
        <w:suppressAutoHyphens/>
        <w:rPr>
          <w:rFonts w:ascii="Times New Roman" w:hAnsi="Times New Roman"/>
          <w:b/>
          <w:szCs w:val="24"/>
        </w:rPr>
      </w:pPr>
    </w:p>
    <w:p w14:paraId="03560D84" w14:textId="77777777" w:rsidR="00043C32" w:rsidRPr="00FB0DE1" w:rsidRDefault="00043C32" w:rsidP="00FB0DE1">
      <w:pPr>
        <w:tabs>
          <w:tab w:val="left" w:pos="-720"/>
        </w:tabs>
        <w:suppressAutoHyphens/>
        <w:rPr>
          <w:rFonts w:ascii="Times New Roman" w:hAnsi="Times New Roman"/>
          <w:b/>
          <w:szCs w:val="24"/>
        </w:rPr>
      </w:pPr>
    </w:p>
    <w:p w14:paraId="03560D85" w14:textId="77777777" w:rsidR="00043C32" w:rsidRPr="00FB0DE1" w:rsidRDefault="00043C32" w:rsidP="00FB0DE1">
      <w:pPr>
        <w:numPr>
          <w:ilvl w:val="0"/>
          <w:numId w:val="1"/>
        </w:numPr>
        <w:tabs>
          <w:tab w:val="clear" w:pos="700"/>
          <w:tab w:val="left" w:pos="-720"/>
        </w:tabs>
        <w:suppressAutoHyphens/>
        <w:ind w:left="1350" w:hanging="450"/>
        <w:rPr>
          <w:rFonts w:ascii="Times New Roman" w:hAnsi="Times New Roman"/>
          <w:b/>
          <w:szCs w:val="24"/>
        </w:rPr>
      </w:pPr>
      <w:r w:rsidRPr="00FB0DE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FB0DE1" w:rsidRDefault="00043C32" w:rsidP="00FB0DE1">
      <w:pPr>
        <w:numPr>
          <w:ilvl w:val="12"/>
          <w:numId w:val="0"/>
        </w:numPr>
        <w:tabs>
          <w:tab w:val="left" w:pos="-720"/>
        </w:tabs>
        <w:suppressAutoHyphens/>
        <w:ind w:left="340"/>
        <w:rPr>
          <w:rFonts w:ascii="Times New Roman" w:hAnsi="Times New Roman"/>
          <w:b/>
          <w:szCs w:val="24"/>
        </w:rPr>
      </w:pPr>
    </w:p>
    <w:p w14:paraId="03560D87" w14:textId="77777777" w:rsidR="00043C32" w:rsidRPr="00FB0DE1" w:rsidRDefault="00043C32" w:rsidP="00FB0DE1">
      <w:pPr>
        <w:numPr>
          <w:ilvl w:val="0"/>
          <w:numId w:val="1"/>
        </w:numPr>
        <w:tabs>
          <w:tab w:val="clear" w:pos="700"/>
          <w:tab w:val="left" w:pos="-720"/>
          <w:tab w:val="left" w:pos="1247"/>
        </w:tabs>
        <w:suppressAutoHyphens/>
        <w:ind w:left="1260"/>
        <w:rPr>
          <w:rFonts w:ascii="Times New Roman" w:hAnsi="Times New Roman"/>
          <w:b/>
          <w:szCs w:val="24"/>
        </w:rPr>
      </w:pPr>
      <w:r w:rsidRPr="00FB0DE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FB0DE1" w:rsidRDefault="00043C32" w:rsidP="00FB0DE1">
      <w:pPr>
        <w:tabs>
          <w:tab w:val="left" w:pos="-720"/>
          <w:tab w:val="left" w:pos="1247"/>
        </w:tabs>
        <w:suppressAutoHyphens/>
        <w:ind w:left="340"/>
        <w:rPr>
          <w:rFonts w:ascii="Times New Roman" w:hAnsi="Times New Roman"/>
          <w:b/>
          <w:szCs w:val="24"/>
        </w:rPr>
      </w:pPr>
    </w:p>
    <w:p w14:paraId="03560D89" w14:textId="77777777" w:rsidR="00043C32" w:rsidRPr="00FB0DE1" w:rsidRDefault="00043C32" w:rsidP="00FB0DE1">
      <w:pPr>
        <w:numPr>
          <w:ilvl w:val="0"/>
          <w:numId w:val="1"/>
        </w:numPr>
        <w:tabs>
          <w:tab w:val="clear" w:pos="700"/>
          <w:tab w:val="left" w:pos="-720"/>
          <w:tab w:val="left" w:pos="1247"/>
        </w:tabs>
        <w:suppressAutoHyphens/>
        <w:ind w:left="1260"/>
        <w:rPr>
          <w:rFonts w:ascii="Times New Roman" w:hAnsi="Times New Roman"/>
          <w:b/>
          <w:szCs w:val="24"/>
        </w:rPr>
      </w:pPr>
      <w:r w:rsidRPr="00FB0DE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FB0DE1" w:rsidRDefault="00043C32" w:rsidP="00FB0DE1">
      <w:pPr>
        <w:tabs>
          <w:tab w:val="left" w:pos="-720"/>
        </w:tabs>
        <w:suppressAutoHyphens/>
        <w:rPr>
          <w:rFonts w:ascii="Times New Roman" w:hAnsi="Times New Roman"/>
          <w:b/>
          <w:szCs w:val="24"/>
        </w:rPr>
      </w:pPr>
    </w:p>
    <w:p w14:paraId="03560D8B" w14:textId="77777777" w:rsidR="00043C32" w:rsidRPr="00FB0DE1" w:rsidRDefault="00043C32" w:rsidP="00FB0DE1">
      <w:pPr>
        <w:tabs>
          <w:tab w:val="left" w:pos="-720"/>
        </w:tabs>
        <w:suppressAutoHyphens/>
        <w:rPr>
          <w:rFonts w:ascii="Times New Roman" w:hAnsi="Times New Roman"/>
          <w:b/>
          <w:szCs w:val="24"/>
        </w:rPr>
      </w:pPr>
      <w:r w:rsidRPr="00FB0DE1">
        <w:rPr>
          <w:rFonts w:ascii="Times New Roman" w:hAnsi="Times New Roman"/>
          <w:b/>
          <w:szCs w:val="24"/>
        </w:rPr>
        <w:tab/>
        <w:t>Total Annualized Capital/Startup Cost</w:t>
      </w:r>
      <w:r w:rsidRPr="00FB0DE1">
        <w:rPr>
          <w:rFonts w:ascii="Times New Roman" w:hAnsi="Times New Roman"/>
          <w:b/>
          <w:szCs w:val="24"/>
        </w:rPr>
        <w:tab/>
        <w:t>:</w:t>
      </w:r>
    </w:p>
    <w:p w14:paraId="03560D8C" w14:textId="77777777" w:rsidR="00043C32" w:rsidRPr="00FB0DE1" w:rsidRDefault="00043C32" w:rsidP="00FB0DE1">
      <w:pPr>
        <w:tabs>
          <w:tab w:val="left" w:pos="-720"/>
        </w:tabs>
        <w:suppressAutoHyphens/>
        <w:rPr>
          <w:rFonts w:ascii="Times New Roman" w:hAnsi="Times New Roman"/>
          <w:b/>
          <w:szCs w:val="24"/>
        </w:rPr>
      </w:pPr>
      <w:r w:rsidRPr="00FB0DE1">
        <w:rPr>
          <w:rFonts w:ascii="Times New Roman" w:hAnsi="Times New Roman"/>
          <w:b/>
          <w:szCs w:val="24"/>
        </w:rPr>
        <w:tab/>
        <w:t>Total Annual Costs (O&amp;M)</w:t>
      </w:r>
      <w:r w:rsidRPr="00FB0DE1">
        <w:rPr>
          <w:rFonts w:ascii="Times New Roman" w:hAnsi="Times New Roman"/>
          <w:b/>
          <w:szCs w:val="24"/>
        </w:rPr>
        <w:tab/>
      </w:r>
      <w:r w:rsidRPr="00FB0DE1">
        <w:rPr>
          <w:rFonts w:ascii="Times New Roman" w:hAnsi="Times New Roman"/>
          <w:b/>
          <w:szCs w:val="24"/>
        </w:rPr>
        <w:tab/>
        <w:t>:____________________</w:t>
      </w:r>
    </w:p>
    <w:p w14:paraId="03560D8D" w14:textId="77777777" w:rsidR="00043C32" w:rsidRPr="00FB0DE1" w:rsidRDefault="00043C32" w:rsidP="00FB0DE1">
      <w:pPr>
        <w:tabs>
          <w:tab w:val="left" w:pos="-720"/>
        </w:tabs>
        <w:suppressAutoHyphens/>
        <w:rPr>
          <w:rFonts w:ascii="Times New Roman" w:hAnsi="Times New Roman"/>
          <w:b/>
          <w:szCs w:val="24"/>
        </w:rPr>
      </w:pPr>
      <w:r w:rsidRPr="00FB0DE1">
        <w:rPr>
          <w:rFonts w:ascii="Times New Roman" w:hAnsi="Times New Roman"/>
          <w:b/>
          <w:szCs w:val="24"/>
        </w:rPr>
        <w:tab/>
        <w:t>Total Annualized Costs Requested</w:t>
      </w:r>
      <w:r w:rsidRPr="00FB0DE1">
        <w:rPr>
          <w:rFonts w:ascii="Times New Roman" w:hAnsi="Times New Roman"/>
          <w:b/>
          <w:szCs w:val="24"/>
        </w:rPr>
        <w:tab/>
        <w:t>:</w:t>
      </w:r>
    </w:p>
    <w:p w14:paraId="03560D8E" w14:textId="77777777" w:rsidR="00043C32" w:rsidRDefault="00043C32" w:rsidP="00FB0DE1">
      <w:pPr>
        <w:tabs>
          <w:tab w:val="left" w:pos="-720"/>
        </w:tabs>
        <w:suppressAutoHyphens/>
        <w:rPr>
          <w:rFonts w:ascii="Times New Roman" w:hAnsi="Times New Roman"/>
          <w:szCs w:val="24"/>
        </w:rPr>
      </w:pPr>
    </w:p>
    <w:p w14:paraId="67E9A883" w14:textId="46D815B4" w:rsidR="00FB0DE1" w:rsidRDefault="00FB0DE1" w:rsidP="00FB0DE1">
      <w:pPr>
        <w:tabs>
          <w:tab w:val="left" w:pos="-720"/>
        </w:tabs>
        <w:suppressAutoHyphens/>
        <w:rPr>
          <w:rFonts w:ascii="Times New Roman" w:hAnsi="Times New Roman"/>
          <w:szCs w:val="24"/>
        </w:rPr>
      </w:pPr>
      <w:r>
        <w:rPr>
          <w:rFonts w:ascii="Times New Roman" w:hAnsi="Times New Roman"/>
          <w:szCs w:val="24"/>
        </w:rPr>
        <w:t>There a</w:t>
      </w:r>
      <w:r w:rsidR="00E16525">
        <w:rPr>
          <w:rFonts w:ascii="Times New Roman" w:hAnsi="Times New Roman"/>
          <w:szCs w:val="24"/>
        </w:rPr>
        <w:t>re</w:t>
      </w:r>
      <w:r>
        <w:rPr>
          <w:rFonts w:ascii="Times New Roman" w:hAnsi="Times New Roman"/>
          <w:szCs w:val="24"/>
        </w:rPr>
        <w:t xml:space="preserve"> no annualized costs.</w:t>
      </w:r>
    </w:p>
    <w:p w14:paraId="4B673C57" w14:textId="77777777" w:rsidR="00FB0DE1" w:rsidRPr="00EF7FF5" w:rsidRDefault="00FB0DE1" w:rsidP="00FB0DE1">
      <w:pPr>
        <w:tabs>
          <w:tab w:val="left" w:pos="-720"/>
        </w:tabs>
        <w:suppressAutoHyphens/>
        <w:rPr>
          <w:rFonts w:ascii="Times New Roman" w:hAnsi="Times New Roman"/>
          <w:szCs w:val="24"/>
        </w:rPr>
      </w:pPr>
    </w:p>
    <w:p w14:paraId="03560D8F" w14:textId="77777777" w:rsidR="00043C32" w:rsidRPr="00FB0DE1" w:rsidRDefault="00043C32" w:rsidP="00FB0DE1">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FB0DE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2E4AE2C" w14:textId="77777777" w:rsidR="00FB0DE1" w:rsidRPr="009B351C" w:rsidRDefault="00FB0DE1" w:rsidP="00FB0DE1">
      <w:pPr>
        <w:pStyle w:val="BodyText"/>
        <w:rPr>
          <w:szCs w:val="22"/>
        </w:rPr>
      </w:pPr>
      <w:r w:rsidRPr="009B351C">
        <w:rPr>
          <w:szCs w:val="22"/>
        </w:rPr>
        <w:t xml:space="preserve">The total annualized cost to the federal government is fixed at </w:t>
      </w:r>
      <w:r w:rsidRPr="00802A75">
        <w:rPr>
          <w:szCs w:val="22"/>
        </w:rPr>
        <w:t>$3</w:t>
      </w:r>
      <w:r>
        <w:rPr>
          <w:szCs w:val="22"/>
        </w:rPr>
        <w:t>19</w:t>
      </w:r>
      <w:r w:rsidRPr="00802A75">
        <w:rPr>
          <w:szCs w:val="22"/>
        </w:rPr>
        <w:t>,</w:t>
      </w:r>
      <w:r>
        <w:rPr>
          <w:szCs w:val="22"/>
        </w:rPr>
        <w:t>206</w:t>
      </w:r>
      <w:r w:rsidRPr="009B351C">
        <w:rPr>
          <w:szCs w:val="22"/>
        </w:rPr>
        <w:t>.</w:t>
      </w:r>
      <w:r>
        <w:rPr>
          <w:szCs w:val="22"/>
        </w:rPr>
        <w:t xml:space="preserve">  This figure was derived from the Option-Year-4 costs in the ABT contract to maintain the online system and collect and analyze the online data.</w:t>
      </w:r>
    </w:p>
    <w:p w14:paraId="3C0F2FE9" w14:textId="77777777" w:rsidR="00FB0DE1" w:rsidRPr="00FB0DE1" w:rsidRDefault="00FB0DE1" w:rsidP="00FB0DE1">
      <w:pPr>
        <w:tabs>
          <w:tab w:val="left" w:pos="-720"/>
        </w:tabs>
        <w:suppressAutoHyphens/>
        <w:rPr>
          <w:rFonts w:ascii="Times New Roman" w:hAnsi="Times New Roman"/>
          <w:szCs w:val="24"/>
        </w:rPr>
      </w:pPr>
    </w:p>
    <w:p w14:paraId="03560D90" w14:textId="77777777" w:rsidR="00043C32" w:rsidRPr="00FB0DE1" w:rsidRDefault="00043C32" w:rsidP="00FB0DE1">
      <w:pPr>
        <w:pStyle w:val="ListParagraph"/>
        <w:numPr>
          <w:ilvl w:val="0"/>
          <w:numId w:val="5"/>
        </w:numPr>
        <w:tabs>
          <w:tab w:val="left" w:pos="-720"/>
        </w:tabs>
        <w:suppressAutoHyphens/>
        <w:ind w:left="907" w:hanging="547"/>
        <w:contextualSpacing w:val="0"/>
        <w:rPr>
          <w:rFonts w:ascii="Times New Roman" w:hAnsi="Times New Roman"/>
          <w:b/>
          <w:szCs w:val="24"/>
        </w:rPr>
      </w:pPr>
      <w:r w:rsidRPr="00FB0DE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1978EDE8" w14:textId="5EC3AAC2" w:rsidR="00FB0DE1" w:rsidRPr="009B351C" w:rsidRDefault="00E16525" w:rsidP="00FB0DE1">
      <w:pPr>
        <w:pStyle w:val="BodyText"/>
        <w:rPr>
          <w:szCs w:val="22"/>
        </w:rPr>
      </w:pPr>
      <w:r>
        <w:rPr>
          <w:szCs w:val="22"/>
        </w:rPr>
        <w:t xml:space="preserve">This is a reinstatement of hours since this collection officially expired. </w:t>
      </w:r>
      <w:r w:rsidR="007E0453">
        <w:rPr>
          <w:szCs w:val="22"/>
        </w:rPr>
        <w:t>There are no increases in burden hours</w:t>
      </w:r>
      <w:r>
        <w:rPr>
          <w:szCs w:val="22"/>
        </w:rPr>
        <w:t xml:space="preserve"> for the previous collection</w:t>
      </w:r>
      <w:r w:rsidR="007E0453">
        <w:rPr>
          <w:szCs w:val="22"/>
        </w:rPr>
        <w:t xml:space="preserve">. </w:t>
      </w:r>
      <w:r>
        <w:rPr>
          <w:szCs w:val="22"/>
        </w:rPr>
        <w:t>The</w:t>
      </w:r>
      <w:r w:rsidR="007E0453" w:rsidRPr="007E0453">
        <w:rPr>
          <w:szCs w:val="22"/>
        </w:rPr>
        <w:t xml:space="preserve"> program office is </w:t>
      </w:r>
      <w:r>
        <w:rPr>
          <w:szCs w:val="22"/>
        </w:rPr>
        <w:t>reinstating</w:t>
      </w:r>
      <w:r w:rsidR="007E0453" w:rsidRPr="007E0453">
        <w:rPr>
          <w:szCs w:val="22"/>
        </w:rPr>
        <w:t xml:space="preserve"> this collection to allow it to continue to collect Annual Performance Reports from those grantees that will need to seek a no cost extension.</w:t>
      </w:r>
    </w:p>
    <w:p w14:paraId="35465AB5" w14:textId="77777777" w:rsidR="00FB0DE1" w:rsidRPr="00FB0DE1" w:rsidRDefault="00FB0DE1" w:rsidP="00FB0DE1">
      <w:pPr>
        <w:tabs>
          <w:tab w:val="left" w:pos="-720"/>
        </w:tabs>
        <w:suppressAutoHyphens/>
        <w:rPr>
          <w:rFonts w:ascii="Times New Roman" w:hAnsi="Times New Roman"/>
          <w:szCs w:val="24"/>
        </w:rPr>
      </w:pPr>
    </w:p>
    <w:p w14:paraId="03560D91" w14:textId="77777777" w:rsidR="00043C32" w:rsidRPr="00FB0DE1" w:rsidRDefault="00043C32" w:rsidP="00FB0DE1">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FB0DE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455FF7" w14:textId="77777777" w:rsidR="00FB0DE1" w:rsidRPr="009B351C" w:rsidRDefault="00FB0DE1" w:rsidP="00FB0DE1">
      <w:pPr>
        <w:pStyle w:val="BodyText"/>
        <w:rPr>
          <w:szCs w:val="22"/>
        </w:rPr>
      </w:pPr>
      <w:r w:rsidRPr="009B351C">
        <w:rPr>
          <w:szCs w:val="22"/>
        </w:rPr>
        <w:t>There are no plans to formally publish the results of this data collection.  Rather, the data obtained through this data collection will be used by the Program Office to monitor the funded MSPs</w:t>
      </w:r>
      <w:r>
        <w:rPr>
          <w:szCs w:val="22"/>
        </w:rPr>
        <w:t>, to share the professional development work and findings across grantees,</w:t>
      </w:r>
      <w:r w:rsidRPr="009B351C">
        <w:rPr>
          <w:szCs w:val="22"/>
        </w:rPr>
        <w:t xml:space="preserve"> and to inform the Department’s Government</w:t>
      </w:r>
      <w:r>
        <w:rPr>
          <w:szCs w:val="22"/>
        </w:rPr>
        <w:t xml:space="preserve"> Performance Results Act (GPRA)</w:t>
      </w:r>
      <w:r w:rsidRPr="009B351C">
        <w:rPr>
          <w:szCs w:val="22"/>
        </w:rPr>
        <w:t xml:space="preserve"> indicators.</w:t>
      </w:r>
    </w:p>
    <w:p w14:paraId="6C7F7E63" w14:textId="77777777" w:rsidR="00FB0DE1" w:rsidRPr="009B351C" w:rsidRDefault="00FB0DE1" w:rsidP="00FB0DE1">
      <w:pPr>
        <w:pStyle w:val="BodyText"/>
        <w:rPr>
          <w:szCs w:val="22"/>
        </w:rPr>
      </w:pPr>
      <w:r w:rsidRPr="009B351C">
        <w:rPr>
          <w:szCs w:val="22"/>
        </w:rPr>
        <w:t xml:space="preserve">The information collected </w:t>
      </w:r>
      <w:r>
        <w:rPr>
          <w:szCs w:val="22"/>
        </w:rPr>
        <w:t xml:space="preserve">for GPRA reporting </w:t>
      </w:r>
      <w:r w:rsidRPr="009B351C">
        <w:rPr>
          <w:szCs w:val="22"/>
        </w:rPr>
        <w:t>includes the percentage of MSP teachers who significantly increase their content knowledge, as reflected in project-level pre- and post-assessments, and the percentage of students in classrooms of MSP teachers who score at the proficient level or above in State assessments of mathematics and science. Additionally, the APR collects information describing the MSP projects; the professional development participants; the professional development models, content, and processes; the evaluation plan; and lessons learned.</w:t>
      </w:r>
    </w:p>
    <w:p w14:paraId="72209F3D" w14:textId="77777777" w:rsidR="00FB0DE1" w:rsidRPr="009B351C" w:rsidRDefault="00FB0DE1" w:rsidP="00FB0DE1">
      <w:pPr>
        <w:pStyle w:val="BodyText"/>
        <w:rPr>
          <w:szCs w:val="22"/>
        </w:rPr>
      </w:pPr>
      <w:r w:rsidRPr="009B351C">
        <w:rPr>
          <w:szCs w:val="22"/>
        </w:rPr>
        <w:t>The MSP Annual Report</w:t>
      </w:r>
      <w:r>
        <w:rPr>
          <w:szCs w:val="22"/>
        </w:rPr>
        <w:t>, which includes aggregate information across grantees,</w:t>
      </w:r>
      <w:r w:rsidRPr="009B351C">
        <w:rPr>
          <w:szCs w:val="22"/>
        </w:rPr>
        <w:t xml:space="preserve"> is completed annually in late September and submitted to the Secretary. This report is also posted on the MSP public website. </w:t>
      </w:r>
    </w:p>
    <w:p w14:paraId="53224B00" w14:textId="77777777" w:rsidR="00FB0DE1" w:rsidRPr="00FB0DE1" w:rsidRDefault="00FB0DE1" w:rsidP="00FB0DE1">
      <w:pPr>
        <w:tabs>
          <w:tab w:val="left" w:pos="-720"/>
        </w:tabs>
        <w:suppressAutoHyphens/>
        <w:rPr>
          <w:rFonts w:ascii="Times New Roman" w:hAnsi="Times New Roman"/>
          <w:szCs w:val="24"/>
        </w:rPr>
      </w:pPr>
    </w:p>
    <w:p w14:paraId="03560D92" w14:textId="77777777" w:rsidR="00043C32" w:rsidRPr="00FB0DE1" w:rsidRDefault="00043C32" w:rsidP="00FB0DE1">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FB0DE1">
        <w:rPr>
          <w:rStyle w:val="a"/>
          <w:rFonts w:ascii="Times New Roman" w:hAnsi="Times New Roman"/>
          <w:b/>
          <w:szCs w:val="24"/>
        </w:rPr>
        <w:t>If seeking approval to not display the expiration date for OMB approval of the information collection, explain the reasons that display would be inappropriate.</w:t>
      </w:r>
    </w:p>
    <w:p w14:paraId="330E9DF0" w14:textId="77777777" w:rsidR="00FB0DE1" w:rsidRPr="009B351C" w:rsidRDefault="00FB0DE1" w:rsidP="00FB0DE1">
      <w:pPr>
        <w:pStyle w:val="BodyText"/>
        <w:rPr>
          <w:szCs w:val="22"/>
        </w:rPr>
      </w:pPr>
      <w:r w:rsidRPr="009B351C">
        <w:rPr>
          <w:szCs w:val="22"/>
        </w:rPr>
        <w:t>All data collection instruments will include the OMB expiration date.</w:t>
      </w:r>
    </w:p>
    <w:p w14:paraId="0D3736B1" w14:textId="77777777" w:rsidR="00FB0DE1" w:rsidRPr="00FB0DE1" w:rsidRDefault="00FB0DE1" w:rsidP="00FB0DE1">
      <w:pPr>
        <w:tabs>
          <w:tab w:val="left" w:pos="-720"/>
        </w:tabs>
        <w:suppressAutoHyphens/>
        <w:rPr>
          <w:rFonts w:ascii="Times New Roman" w:hAnsi="Times New Roman"/>
          <w:szCs w:val="24"/>
        </w:rPr>
      </w:pPr>
    </w:p>
    <w:p w14:paraId="03560D93" w14:textId="77777777" w:rsidR="00043C32" w:rsidRPr="00FB0DE1" w:rsidRDefault="00043C32" w:rsidP="00FB0DE1">
      <w:pPr>
        <w:pStyle w:val="ListParagraph"/>
        <w:numPr>
          <w:ilvl w:val="0"/>
          <w:numId w:val="5"/>
        </w:numPr>
        <w:tabs>
          <w:tab w:val="left" w:pos="-720"/>
        </w:tabs>
        <w:suppressAutoHyphens/>
        <w:ind w:left="900" w:hanging="540"/>
        <w:rPr>
          <w:rStyle w:val="a"/>
          <w:rFonts w:ascii="Times New Roman" w:hAnsi="Times New Roman"/>
          <w:b/>
          <w:szCs w:val="24"/>
        </w:rPr>
      </w:pPr>
      <w:r w:rsidRPr="00FB0DE1">
        <w:rPr>
          <w:rStyle w:val="a"/>
          <w:rFonts w:ascii="Times New Roman" w:hAnsi="Times New Roman"/>
          <w:b/>
          <w:szCs w:val="24"/>
        </w:rPr>
        <w:t>Explain each exception to the certification statement identified in the Certification of Paperwork Reduction Act.</w:t>
      </w:r>
    </w:p>
    <w:p w14:paraId="12A4E75E" w14:textId="77777777" w:rsidR="00FB0DE1" w:rsidRPr="009B351C" w:rsidRDefault="00FB0DE1" w:rsidP="00FB0DE1">
      <w:pPr>
        <w:pStyle w:val="BodyText"/>
        <w:rPr>
          <w:szCs w:val="22"/>
        </w:rPr>
      </w:pPr>
      <w:r w:rsidRPr="009B351C">
        <w:rPr>
          <w:szCs w:val="22"/>
        </w:rPr>
        <w:t>No exceptions are sought.</w:t>
      </w:r>
    </w:p>
    <w:p w14:paraId="21B1E4A8" w14:textId="77777777" w:rsidR="00FB0DE1" w:rsidRPr="00FB0DE1" w:rsidRDefault="00FB0DE1" w:rsidP="00FB0DE1">
      <w:pPr>
        <w:tabs>
          <w:tab w:val="left" w:pos="-720"/>
        </w:tabs>
        <w:suppressAutoHyphens/>
        <w:rPr>
          <w:rFonts w:ascii="Times New Roman" w:hAnsi="Times New Roman"/>
          <w:szCs w:val="24"/>
        </w:rPr>
      </w:pPr>
    </w:p>
    <w:p w14:paraId="03560D94" w14:textId="77777777" w:rsidR="001C73C0" w:rsidRDefault="001C73C0" w:rsidP="00FB0DE1"/>
    <w:sectPr w:rsidR="001C73C0"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8A29" w14:textId="77777777" w:rsidR="003E4AA3" w:rsidRDefault="003E4AA3" w:rsidP="00043C32">
      <w:r>
        <w:separator/>
      </w:r>
    </w:p>
  </w:endnote>
  <w:endnote w:type="continuationSeparator" w:id="0">
    <w:p w14:paraId="75DE67F1" w14:textId="77777777" w:rsidR="003E4AA3" w:rsidRDefault="003E4AA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6E13D9">
    <w:pPr>
      <w:spacing w:before="140" w:line="100" w:lineRule="exact"/>
      <w:rPr>
        <w:sz w:val="10"/>
      </w:rPr>
    </w:pPr>
  </w:p>
  <w:p w14:paraId="03560D9D" w14:textId="77777777" w:rsidR="00386054" w:rsidRDefault="006E13D9">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6E13D9">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6E13D9">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6B5B8" w14:textId="77777777" w:rsidR="003E4AA3" w:rsidRDefault="003E4AA3" w:rsidP="00043C32">
      <w:r>
        <w:separator/>
      </w:r>
    </w:p>
  </w:footnote>
  <w:footnote w:type="continuationSeparator" w:id="0">
    <w:p w14:paraId="1B7395E9" w14:textId="77777777" w:rsidR="003E4AA3" w:rsidRDefault="003E4AA3"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6D4CE527"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B07FE9">
      <w:rPr>
        <w:rFonts w:ascii="Times New Roman" w:hAnsi="Times New Roman"/>
        <w:sz w:val="20"/>
      </w:rPr>
      <w:t>1810-0669</w:t>
    </w:r>
  </w:p>
  <w:p w14:paraId="03560D9A" w14:textId="1609BAFA" w:rsidR="00386054" w:rsidRDefault="00093017">
    <w:pPr>
      <w:pStyle w:val="Header"/>
      <w:rPr>
        <w:rFonts w:ascii="Times New Roman" w:hAnsi="Times New Roman"/>
        <w:sz w:val="20"/>
      </w:rPr>
    </w:pPr>
    <w:r>
      <w:rPr>
        <w:rFonts w:ascii="Times New Roman" w:hAnsi="Times New Roman"/>
        <w:sz w:val="20"/>
      </w:rPr>
      <w:t xml:space="preserve">Revised: </w:t>
    </w:r>
    <w:r w:rsidR="00B07FE9">
      <w:rPr>
        <w:rFonts w:ascii="Times New Roman" w:hAnsi="Times New Roman"/>
        <w:sz w:val="20"/>
      </w:rPr>
      <w:t>12/13/2018</w:t>
    </w:r>
  </w:p>
  <w:p w14:paraId="03560D9B"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93017"/>
    <w:rsid w:val="000F2C35"/>
    <w:rsid w:val="001C73C0"/>
    <w:rsid w:val="002A1F35"/>
    <w:rsid w:val="0032078A"/>
    <w:rsid w:val="003E4AA3"/>
    <w:rsid w:val="0045720F"/>
    <w:rsid w:val="00546DF4"/>
    <w:rsid w:val="00682C55"/>
    <w:rsid w:val="006E13D9"/>
    <w:rsid w:val="007672DD"/>
    <w:rsid w:val="007E0453"/>
    <w:rsid w:val="008E5919"/>
    <w:rsid w:val="00905951"/>
    <w:rsid w:val="00934185"/>
    <w:rsid w:val="00963F11"/>
    <w:rsid w:val="00B017F9"/>
    <w:rsid w:val="00B07FE9"/>
    <w:rsid w:val="00B54167"/>
    <w:rsid w:val="00B9671B"/>
    <w:rsid w:val="00CA0B37"/>
    <w:rsid w:val="00E16525"/>
    <w:rsid w:val="00EA1767"/>
    <w:rsid w:val="00ED6834"/>
    <w:rsid w:val="00F40A7F"/>
    <w:rsid w:val="00FB0DE1"/>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BodyText">
    <w:name w:val="Body Text"/>
    <w:basedOn w:val="Normal"/>
    <w:link w:val="BodyTextChar"/>
    <w:rsid w:val="00FB0DE1"/>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FB0DE1"/>
    <w:rPr>
      <w:sz w:val="22"/>
    </w:rPr>
  </w:style>
  <w:style w:type="character" w:styleId="Hyperlink">
    <w:name w:val="Hyperlink"/>
    <w:basedOn w:val="DefaultParagraphFont"/>
    <w:rsid w:val="00FB0D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BodyText">
    <w:name w:val="Body Text"/>
    <w:basedOn w:val="Normal"/>
    <w:link w:val="BodyTextChar"/>
    <w:rsid w:val="00FB0DE1"/>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FB0DE1"/>
    <w:rPr>
      <w:sz w:val="22"/>
    </w:rPr>
  </w:style>
  <w:style w:type="character" w:styleId="Hyperlink">
    <w:name w:val="Hyperlink"/>
    <w:basedOn w:val="DefaultParagraphFont"/>
    <w:rsid w:val="00FB0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84752e7b3fdeaaf23f98ab038da19d2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42afd36e8df893cd03e766925eba6e8"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71B3013D-A897-4813-8159-F82FB6FE2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2019-04-02T13:50:00Z</dcterms:created>
  <dcterms:modified xsi:type="dcterms:W3CDTF">2019-04-02T13:50:00Z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04/27/2018 01:44:11</vt:lpwstr>
  </property>
  <property fmtid="{D5CDD505-2E9C-101B-9397-08002B2CF9AE}" pid="10" name="ContentOffice">
    <vt:lpwstr/>
  </property>
  <property fmtid="{D5CDD505-2E9C-101B-9397-08002B2CF9AE}" pid="11" name="hebfa55e97a440a4b0b631fde26adccc">
    <vt:lpwstr/>
  </property>
  <property fmtid="{D5CDD505-2E9C-101B-9397-08002B2CF9AE}" pid="12"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3" name="Order">
    <vt:r8>100</vt:r8>
  </property>
</Properties>
</file>