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78" w:rsidRDefault="003F0078">
      <w:pPr>
        <w:pStyle w:val="NormalWeb"/>
        <w:spacing w:before="0" w:beforeAutospacing="0" w:after="0" w:afterAutospacing="0"/>
        <w:jc w:val="center"/>
        <w:rPr>
          <w:b/>
        </w:rPr>
      </w:pPr>
      <w:bookmarkStart w:id="0" w:name="_GoBack"/>
      <w:bookmarkEnd w:id="0"/>
      <w:r>
        <w:rPr>
          <w:b/>
        </w:rPr>
        <w:t>Supporting Statement</w:t>
      </w:r>
    </w:p>
    <w:p w:rsidR="00E42393" w:rsidRDefault="00884EB0">
      <w:pPr>
        <w:pStyle w:val="NormalWeb"/>
        <w:spacing w:before="0" w:beforeAutospacing="0" w:after="0" w:afterAutospacing="0"/>
        <w:jc w:val="center"/>
        <w:rPr>
          <w:b/>
        </w:rPr>
      </w:pPr>
      <w:r>
        <w:rPr>
          <w:b/>
        </w:rPr>
        <w:t xml:space="preserve">Annual Stress Test </w:t>
      </w:r>
      <w:r w:rsidR="00155F17">
        <w:rPr>
          <w:b/>
        </w:rPr>
        <w:t>2019 Proposal</w:t>
      </w:r>
      <w:r>
        <w:rPr>
          <w:b/>
        </w:rPr>
        <w:t xml:space="preserve"> </w:t>
      </w:r>
    </w:p>
    <w:p w:rsidR="006F67E6" w:rsidRDefault="003F0078">
      <w:pPr>
        <w:pStyle w:val="NormalWeb"/>
        <w:spacing w:before="0" w:beforeAutospacing="0" w:after="0" w:afterAutospacing="0"/>
        <w:jc w:val="center"/>
        <w:rPr>
          <w:rStyle w:val="trigger"/>
          <w:b/>
        </w:rPr>
      </w:pPr>
      <w:r w:rsidRPr="003F0078">
        <w:rPr>
          <w:rStyle w:val="trigger"/>
          <w:b/>
        </w:rPr>
        <w:t xml:space="preserve">OMB Control No. </w:t>
      </w:r>
      <w:r w:rsidR="00884EB0" w:rsidRPr="003F0078">
        <w:rPr>
          <w:rStyle w:val="trigger"/>
          <w:b/>
        </w:rPr>
        <w:t>1557-</w:t>
      </w:r>
      <w:r w:rsidR="00155F17">
        <w:rPr>
          <w:rStyle w:val="trigger"/>
          <w:b/>
        </w:rPr>
        <w:t>NEW</w:t>
      </w:r>
    </w:p>
    <w:p w:rsidR="00155F17" w:rsidRDefault="00155F17">
      <w:pPr>
        <w:pStyle w:val="NormalWeb"/>
        <w:spacing w:before="0" w:beforeAutospacing="0" w:after="0" w:afterAutospacing="0"/>
        <w:jc w:val="center"/>
        <w:rPr>
          <w:rStyle w:val="trigger"/>
          <w:b/>
        </w:rPr>
      </w:pPr>
      <w:r>
        <w:rPr>
          <w:rStyle w:val="trigger"/>
          <w:b/>
        </w:rPr>
        <w:t>(Current Rule is Approved under OMB Control No. 1557-0311</w:t>
      </w:r>
    </w:p>
    <w:p w:rsidR="00155F17" w:rsidRPr="003F0078" w:rsidRDefault="00155F17">
      <w:pPr>
        <w:pStyle w:val="NormalWeb"/>
        <w:spacing w:before="0" w:beforeAutospacing="0" w:after="0" w:afterAutospacing="0"/>
        <w:jc w:val="center"/>
        <w:rPr>
          <w:rStyle w:val="trigger"/>
          <w:b/>
        </w:rPr>
      </w:pPr>
      <w:r>
        <w:rPr>
          <w:rStyle w:val="trigger"/>
          <w:b/>
        </w:rPr>
        <w:t>and is currently undergoing renewal)</w:t>
      </w:r>
    </w:p>
    <w:p w:rsidR="006F67E6" w:rsidRDefault="00884EB0">
      <w:pPr>
        <w:pStyle w:val="NormalWeb"/>
        <w:spacing w:before="0" w:beforeAutospacing="0" w:after="0" w:afterAutospacing="0"/>
        <w:jc w:val="center"/>
        <w:rPr>
          <w:bCs/>
        </w:rPr>
      </w:pPr>
      <w:r>
        <w:rPr>
          <w:bCs/>
        </w:rPr>
        <w:t xml:space="preserve"> </w:t>
      </w:r>
    </w:p>
    <w:p w:rsidR="006F67E6" w:rsidRDefault="00884EB0">
      <w:pPr>
        <w:pStyle w:val="NormalWeb"/>
        <w:spacing w:before="0" w:beforeAutospacing="0" w:after="0" w:afterAutospacing="0" w:line="480" w:lineRule="auto"/>
      </w:pPr>
      <w:r>
        <w:rPr>
          <w:b/>
          <w:bCs/>
        </w:rPr>
        <w:t>A. Justification</w:t>
      </w:r>
    </w:p>
    <w:p w:rsidR="006F67E6" w:rsidRPr="003F0078" w:rsidRDefault="003F0078">
      <w:pPr>
        <w:numPr>
          <w:ilvl w:val="0"/>
          <w:numId w:val="1"/>
        </w:numPr>
        <w:spacing w:line="480" w:lineRule="auto"/>
        <w:rPr>
          <w:u w:val="single"/>
        </w:rPr>
      </w:pPr>
      <w:r>
        <w:rPr>
          <w:b/>
          <w:i/>
        </w:rPr>
        <w:t xml:space="preserve">Circumstances </w:t>
      </w:r>
      <w:r w:rsidR="00725E9C">
        <w:rPr>
          <w:b/>
          <w:i/>
        </w:rPr>
        <w:t>that make</w:t>
      </w:r>
      <w:r w:rsidR="00884EB0" w:rsidRPr="003F0078">
        <w:rPr>
          <w:b/>
          <w:i/>
        </w:rPr>
        <w:t xml:space="preserve"> the </w:t>
      </w:r>
      <w:r>
        <w:rPr>
          <w:b/>
          <w:i/>
        </w:rPr>
        <w:t>c</w:t>
      </w:r>
      <w:r w:rsidR="00884EB0" w:rsidRPr="003F0078">
        <w:rPr>
          <w:b/>
          <w:i/>
        </w:rPr>
        <w:t xml:space="preserve">ollection of </w:t>
      </w:r>
      <w:r>
        <w:rPr>
          <w:b/>
          <w:i/>
        </w:rPr>
        <w:t>information n</w:t>
      </w:r>
      <w:r w:rsidR="00884EB0" w:rsidRPr="003F0078">
        <w:rPr>
          <w:b/>
          <w:i/>
        </w:rPr>
        <w:t>ecessar</w:t>
      </w:r>
      <w:r w:rsidR="00884EB0" w:rsidRPr="00725E9C">
        <w:rPr>
          <w:b/>
          <w:i/>
        </w:rPr>
        <w:t>y</w:t>
      </w:r>
      <w:r w:rsidRPr="00725E9C">
        <w:t>:</w:t>
      </w:r>
      <w:r w:rsidR="00884EB0" w:rsidRPr="003F0078">
        <w:rPr>
          <w:u w:val="single"/>
        </w:rPr>
        <w:t xml:space="preserve"> </w:t>
      </w:r>
    </w:p>
    <w:p w:rsidR="006F67E6" w:rsidRDefault="00884EB0">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w:t>
      </w:r>
      <w:r w:rsidR="00BC5FB6">
        <w:rPr>
          <w:rFonts w:ascii="Times New Roman" w:hAnsi="Times New Roman"/>
        </w:rPr>
        <w:t>ssets of more than $10 billion we</w:t>
      </w:r>
      <w:r>
        <w:rPr>
          <w:rFonts w:ascii="Times New Roman" w:hAnsi="Times New Roman"/>
        </w:rPr>
        <w:t>re required to conduct annual stress tests and comply with reporting and disclosure requirements under the rule. The reporting templates for institutions with total consolidated assets of over $50 billion were finalized in 2012.</w:t>
      </w:r>
      <w:r>
        <w:rPr>
          <w:rStyle w:val="FootnoteReference"/>
          <w:rFonts w:ascii="Times New Roman" w:hAnsi="Times New Roman"/>
        </w:rPr>
        <w:footnoteReference w:id="3"/>
      </w:r>
    </w:p>
    <w:p w:rsidR="006F67E6" w:rsidRDefault="006F67E6">
      <w:pPr>
        <w:rPr>
          <w:color w:val="FF0000"/>
        </w:rPr>
      </w:pPr>
    </w:p>
    <w:p w:rsidR="006F67E6" w:rsidRDefault="00884EB0">
      <w:pPr>
        <w:ind w:left="720"/>
        <w:rPr>
          <w:u w:val="single"/>
        </w:rPr>
      </w:pPr>
      <w:r>
        <w:t>Section 165(i)(2) of the Dodd-Frank Wall Street Reform and Consumer Protection Act  (Do</w:t>
      </w:r>
      <w:r w:rsidR="00BC5FB6">
        <w:t>dd-Frank Act) required</w:t>
      </w:r>
      <w:r>
        <w:t xml:space="preserve">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w:t>
      </w:r>
    </w:p>
    <w:p w:rsidR="006F67E6" w:rsidRDefault="006F67E6">
      <w:pPr>
        <w:ind w:left="720"/>
      </w:pPr>
    </w:p>
    <w:p w:rsidR="006F67E6" w:rsidRDefault="00884EB0">
      <w:pPr>
        <w:ind w:left="720"/>
      </w:pPr>
      <w:r>
        <w:t xml:space="preserve">Under section 165(i)(2), a covered institution </w:t>
      </w:r>
      <w:r w:rsidR="002C206A">
        <w:t>wa</w:t>
      </w:r>
      <w:r>
        <w:t>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0C128E" w:rsidRDefault="000C128E">
      <w:pPr>
        <w:ind w:left="720"/>
      </w:pPr>
    </w:p>
    <w:p w:rsidR="006F67E6" w:rsidRDefault="0000662A" w:rsidP="0000662A">
      <w:pPr>
        <w:ind w:left="720"/>
        <w:rPr>
          <w:color w:val="FF0000"/>
        </w:rPr>
      </w:pPr>
      <w:r>
        <w:t xml:space="preserve">The </w:t>
      </w:r>
      <w:r w:rsidRPr="00780A88">
        <w:t>Economic Growth, Regulatory Relief, and Consumer Protection Act</w:t>
      </w:r>
      <w:r>
        <w:t xml:space="preserve"> (EGRRCPA), enacted on May 24, 2018, amended certain aspects of the company-run stress testing requirement in section 165(i)(2) of the Dodd-Frank Act.</w:t>
      </w:r>
      <w:r>
        <w:rPr>
          <w:rStyle w:val="FootnoteReference"/>
        </w:rPr>
        <w:footnoteReference w:id="8"/>
      </w:r>
      <w:r>
        <w:t xml:space="preserve"> Specifically</w:t>
      </w:r>
      <w:r w:rsidRPr="00B4524D">
        <w:t xml:space="preserve">, </w:t>
      </w:r>
      <w:r>
        <w:t xml:space="preserve">section 401 of EGRRCPA raises </w:t>
      </w:r>
      <w:r w:rsidRPr="00B4524D">
        <w:t>the</w:t>
      </w:r>
      <w:r>
        <w:t xml:space="preserve"> minimum asset</w:t>
      </w:r>
      <w:r w:rsidRPr="00B4524D">
        <w:t xml:space="preserve"> threshold </w:t>
      </w:r>
      <w:r>
        <w:t>for financial companies covered by the company-run stress testing requirement</w:t>
      </w:r>
      <w:r>
        <w:rPr>
          <w:bCs/>
          <w:color w:val="000000"/>
        </w:rPr>
        <w:t xml:space="preserve"> </w:t>
      </w:r>
      <w:r>
        <w:t>from $10 billion to $250 billion in total consolidated assets;</w:t>
      </w:r>
      <w:r w:rsidRPr="00B4524D">
        <w:t xml:space="preserve"> </w:t>
      </w:r>
      <w:r>
        <w:t>revise the requirement for banks to conduct stress tests “</w:t>
      </w:r>
      <w:r w:rsidRPr="00B4524D">
        <w:t>annually</w:t>
      </w:r>
      <w:r>
        <w:t>” and instead require them to conduct stress tests “periodically”;</w:t>
      </w:r>
      <w:r w:rsidRPr="00B4524D">
        <w:t xml:space="preserve"> and </w:t>
      </w:r>
      <w:r>
        <w:t>no longer require the OCC to provide an</w:t>
      </w:r>
      <w:r w:rsidRPr="00B4524D">
        <w:t xml:space="preserve"> </w:t>
      </w:r>
      <w:r>
        <w:t xml:space="preserve">“adverse” stress-testing scenario, thus reducing the </w:t>
      </w:r>
      <w:r w:rsidRPr="00B4524D">
        <w:t xml:space="preserve">number of </w:t>
      </w:r>
      <w:r>
        <w:t xml:space="preserve">required </w:t>
      </w:r>
      <w:r w:rsidRPr="00B4524D">
        <w:t>stress test scenarios from three to two.</w:t>
      </w:r>
    </w:p>
    <w:p w:rsidR="0000662A" w:rsidRDefault="0000662A">
      <w:pPr>
        <w:rPr>
          <w:color w:val="FF0000"/>
        </w:rPr>
      </w:pPr>
    </w:p>
    <w:p w:rsidR="0000662A" w:rsidRDefault="0000662A">
      <w:pPr>
        <w:rPr>
          <w:color w:val="FF0000"/>
        </w:rPr>
      </w:pPr>
    </w:p>
    <w:p w:rsidR="0000662A" w:rsidRDefault="0000662A">
      <w:pPr>
        <w:rPr>
          <w:color w:val="FF0000"/>
        </w:rPr>
      </w:pPr>
    </w:p>
    <w:p w:rsidR="006F67E6" w:rsidRPr="003F0078" w:rsidRDefault="00884EB0">
      <w:pPr>
        <w:numPr>
          <w:ilvl w:val="0"/>
          <w:numId w:val="1"/>
        </w:numPr>
        <w:rPr>
          <w:b/>
          <w:i/>
        </w:rPr>
      </w:pPr>
      <w:r w:rsidRPr="003F0078">
        <w:rPr>
          <w:b/>
          <w:i/>
        </w:rPr>
        <w:t xml:space="preserve">Use of the </w:t>
      </w:r>
      <w:r w:rsidR="003F0078">
        <w:rPr>
          <w:b/>
          <w:i/>
        </w:rPr>
        <w:t>i</w:t>
      </w:r>
      <w:r w:rsidR="00725E9C">
        <w:rPr>
          <w:b/>
          <w:i/>
        </w:rPr>
        <w:t>nformation</w:t>
      </w:r>
      <w:r w:rsidR="003F0078">
        <w:rPr>
          <w:b/>
          <w:i/>
        </w:rPr>
        <w:t>:</w:t>
      </w:r>
      <w:r w:rsidRPr="003F0078">
        <w:rPr>
          <w:b/>
          <w:i/>
        </w:rPr>
        <w:t xml:space="preserve"> </w:t>
      </w:r>
    </w:p>
    <w:p w:rsidR="006F67E6" w:rsidRDefault="006F67E6">
      <w:pPr>
        <w:ind w:left="720"/>
      </w:pPr>
    </w:p>
    <w:p w:rsidR="00115791" w:rsidRDefault="00ED6A95">
      <w:pPr>
        <w:autoSpaceDE w:val="0"/>
        <w:autoSpaceDN w:val="0"/>
        <w:adjustRightInd w:val="0"/>
        <w:ind w:left="720" w:right="-14"/>
      </w:pPr>
      <w:r>
        <w:rPr>
          <w:rFonts w:ascii="Times" w:hAnsi="Times" w:cs="Times"/>
          <w:color w:val="000000"/>
        </w:rPr>
        <w:t>The OCC uses</w:t>
      </w:r>
      <w:r w:rsidR="00884EB0">
        <w:rPr>
          <w:rFonts w:ascii="Times" w:hAnsi="Times" w:cs="Times"/>
          <w:color w:val="000000"/>
        </w:rPr>
        <w:t xml:space="preserve"> the </w:t>
      </w:r>
      <w:r w:rsidR="00FF345F">
        <w:rPr>
          <w:rFonts w:ascii="Times" w:hAnsi="Times" w:cs="Times"/>
          <w:color w:val="000000"/>
        </w:rPr>
        <w:t>information</w:t>
      </w:r>
      <w:r w:rsidR="00884EB0">
        <w:rPr>
          <w:rFonts w:ascii="Times" w:hAnsi="Times" w:cs="Times"/>
          <w:color w:val="000000"/>
        </w:rPr>
        <w:t xml:space="preserve"> to</w:t>
      </w:r>
      <w:r w:rsidR="00884EB0">
        <w:rPr>
          <w:rFonts w:ascii="Times" w:eastAsia="Arial Unicode MS" w:hAnsi="Times" w:cs="Times"/>
          <w:color w:val="000000"/>
        </w:rPr>
        <w:t xml:space="preserve"> assess</w:t>
      </w:r>
      <w:r w:rsidR="00884EB0">
        <w:rPr>
          <w:rFonts w:ascii="Times" w:hAnsi="Times" w:cs="Times"/>
          <w:color w:val="000000"/>
        </w:rPr>
        <w:t xml:space="preserve"> the reasonableness of the stress test results</w:t>
      </w:r>
      <w:r w:rsidR="00884EB0">
        <w:rPr>
          <w:rFonts w:ascii="Times" w:eastAsia="Arial Unicode MS" w:hAnsi="Times" w:cs="Times"/>
          <w:color w:val="000000"/>
        </w:rPr>
        <w:t xml:space="preserve"> of covered institutions and to provide</w:t>
      </w:r>
      <w:r w:rsidR="00884EB0">
        <w:t xml:space="preserve"> forward-looking information to the OCC regarding a covered institution’s capital adequacy</w:t>
      </w:r>
      <w:r w:rsidR="00884EB0">
        <w:rPr>
          <w:rFonts w:ascii="Times" w:eastAsia="Arial Unicode MS" w:hAnsi="Times" w:cs="Times"/>
          <w:color w:val="000000"/>
        </w:rPr>
        <w:t xml:space="preserve">.  The </w:t>
      </w:r>
      <w:r w:rsidR="00884EB0">
        <w:t xml:space="preserve">OCC also may use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t>
      </w:r>
    </w:p>
    <w:p w:rsidR="006F67E6" w:rsidRDefault="00884EB0">
      <w:pPr>
        <w:autoSpaceDE w:val="0"/>
        <w:autoSpaceDN w:val="0"/>
        <w:adjustRightInd w:val="0"/>
        <w:ind w:left="720" w:right="-14"/>
      </w:pPr>
      <w:r>
        <w:t xml:space="preserve">with respect to its internal assessments of capital adequacy and overall capital planning.  </w:t>
      </w:r>
    </w:p>
    <w:p w:rsidR="00115791" w:rsidRDefault="00115791">
      <w:pPr>
        <w:autoSpaceDE w:val="0"/>
        <w:autoSpaceDN w:val="0"/>
        <w:adjustRightInd w:val="0"/>
        <w:ind w:left="720" w:right="-14"/>
      </w:pPr>
    </w:p>
    <w:p w:rsidR="00115791" w:rsidRDefault="00115791" w:rsidP="00115791">
      <w:pPr>
        <w:autoSpaceDE w:val="0"/>
        <w:autoSpaceDN w:val="0"/>
        <w:adjustRightInd w:val="0"/>
        <w:ind w:left="720"/>
      </w:pPr>
      <w:r>
        <w:t xml:space="preserve">Currently, § 46.6(c) requires that each covered institution establish and maintain a system of controls, oversight, and documentation, including policies and procedures, describing the covered institution’s stress test practices and methodologies, and processes for validating and updating the covered institution’s stress test practices.  The board of directors of the covered institution must approve and review these policies at least annually.  Section 46.7(a) requires each covered institution to report the results of their stress tests to the OCC annually.  Section 46.8(a) requires that a covered institution publish a summary of the results of its annual stress tests on its website or in any other forum that is reasonably accessible to the public.  </w:t>
      </w:r>
    </w:p>
    <w:p w:rsidR="00115791" w:rsidRDefault="00115791" w:rsidP="00115791">
      <w:pPr>
        <w:autoSpaceDE w:val="0"/>
        <w:autoSpaceDN w:val="0"/>
        <w:adjustRightInd w:val="0"/>
        <w:ind w:left="720"/>
      </w:pPr>
    </w:p>
    <w:p w:rsidR="00115791" w:rsidRDefault="00115791" w:rsidP="00115791">
      <w:pPr>
        <w:autoSpaceDE w:val="0"/>
        <w:autoSpaceDN w:val="0"/>
        <w:adjustRightInd w:val="0"/>
        <w:ind w:left="720"/>
      </w:pPr>
      <w:r>
        <w:t xml:space="preserve">Under the proposal, the increase in the applicability threshold for these requirements under the proposal would reduce the estimated number of respondents.  In addition the frequency of these reporting, recordkeeping, and disclosure requirements for some institutions would be decreased to biennial. </w:t>
      </w:r>
    </w:p>
    <w:p w:rsidR="00725E9C" w:rsidRDefault="00725E9C" w:rsidP="00FF345F">
      <w:pPr>
        <w:autoSpaceDE w:val="0"/>
        <w:autoSpaceDN w:val="0"/>
        <w:adjustRightInd w:val="0"/>
      </w:pPr>
    </w:p>
    <w:p w:rsidR="006F67E6" w:rsidRPr="003F0078" w:rsidRDefault="00725E9C">
      <w:pPr>
        <w:numPr>
          <w:ilvl w:val="0"/>
          <w:numId w:val="1"/>
        </w:numPr>
        <w:ind w:right="-1440"/>
        <w:rPr>
          <w:b/>
          <w:i/>
        </w:rPr>
      </w:pPr>
      <w:r>
        <w:rPr>
          <w:b/>
          <w:i/>
        </w:rPr>
        <w:t>Consideration of the use</w:t>
      </w:r>
      <w:r w:rsidR="00884EB0" w:rsidRPr="003F0078">
        <w:rPr>
          <w:b/>
          <w:i/>
        </w:rPr>
        <w:t xml:space="preserve"> of </w:t>
      </w:r>
      <w:r w:rsidR="003F0078">
        <w:rPr>
          <w:b/>
          <w:i/>
        </w:rPr>
        <w:t>i</w:t>
      </w:r>
      <w:r w:rsidR="00884EB0" w:rsidRPr="003F0078">
        <w:rPr>
          <w:b/>
          <w:i/>
        </w:rPr>
        <w:t>mproved</w:t>
      </w:r>
      <w:r w:rsidR="003F0078">
        <w:rPr>
          <w:b/>
          <w:i/>
        </w:rPr>
        <w:t xml:space="preserve"> i</w:t>
      </w:r>
      <w:r w:rsidR="00884EB0" w:rsidRPr="003F0078">
        <w:rPr>
          <w:b/>
          <w:i/>
        </w:rPr>
        <w:t xml:space="preserve">nformation </w:t>
      </w:r>
      <w:r w:rsidR="003F0078">
        <w:rPr>
          <w:b/>
          <w:i/>
        </w:rPr>
        <w:t>technology:</w:t>
      </w:r>
    </w:p>
    <w:p w:rsidR="006F67E6" w:rsidRDefault="006F67E6">
      <w:pPr>
        <w:pStyle w:val="ListParagraph"/>
      </w:pPr>
    </w:p>
    <w:p w:rsidR="006F67E6" w:rsidRDefault="00884EB0">
      <w:pPr>
        <w:ind w:left="720"/>
        <w:rPr>
          <w:u w:val="single"/>
        </w:rPr>
      </w:pPr>
      <w:r>
        <w:t>Respondents may use any method of improved technology that meets the requirements of the collection.</w:t>
      </w:r>
    </w:p>
    <w:p w:rsidR="002D77C7" w:rsidRDefault="00884EB0">
      <w:pPr>
        <w:pStyle w:val="HTMLPreformatted"/>
        <w:rPr>
          <w:rFonts w:ascii="Times New Roman" w:hAnsi="Times New Roman" w:cs="Times New Roman"/>
          <w:sz w:val="24"/>
          <w:szCs w:val="24"/>
        </w:rPr>
      </w:pPr>
      <w:r>
        <w:rPr>
          <w:rFonts w:ascii="Times New Roman" w:hAnsi="Times New Roman" w:cs="Times New Roman"/>
          <w:sz w:val="24"/>
          <w:szCs w:val="24"/>
        </w:rPr>
        <w:tab/>
      </w:r>
    </w:p>
    <w:p w:rsidR="006F67E6" w:rsidRPr="00725E9C" w:rsidRDefault="00884EB0">
      <w:pPr>
        <w:numPr>
          <w:ilvl w:val="0"/>
          <w:numId w:val="1"/>
        </w:numPr>
      </w:pPr>
      <w:r w:rsidRPr="00725E9C">
        <w:rPr>
          <w:b/>
          <w:i/>
        </w:rPr>
        <w:t xml:space="preserve">Efforts to </w:t>
      </w:r>
      <w:r w:rsidR="00725E9C">
        <w:rPr>
          <w:b/>
          <w:i/>
        </w:rPr>
        <w:t>i</w:t>
      </w:r>
      <w:r w:rsidRPr="00725E9C">
        <w:rPr>
          <w:b/>
          <w:i/>
        </w:rPr>
        <w:t xml:space="preserve">dentify </w:t>
      </w:r>
      <w:r w:rsidR="00725E9C">
        <w:rPr>
          <w:b/>
          <w:i/>
        </w:rPr>
        <w:t>d</w:t>
      </w:r>
      <w:r w:rsidRPr="00725E9C">
        <w:rPr>
          <w:b/>
          <w:i/>
        </w:rPr>
        <w:t>uplication</w:t>
      </w:r>
      <w:r w:rsidR="00725E9C">
        <w:t>:</w:t>
      </w:r>
      <w:r w:rsidRPr="00725E9C">
        <w:t xml:space="preserve"> </w:t>
      </w:r>
    </w:p>
    <w:p w:rsidR="006F67E6" w:rsidRDefault="006F67E6">
      <w:pPr>
        <w:ind w:left="720" w:right="893"/>
      </w:pPr>
    </w:p>
    <w:p w:rsidR="006F67E6" w:rsidRDefault="00884EB0">
      <w:pPr>
        <w:ind w:left="720" w:right="893"/>
      </w:pPr>
      <w:r>
        <w:t>The required information is unique and is not duplicative of any other information already collected.</w:t>
      </w:r>
    </w:p>
    <w:p w:rsidR="006F67E6" w:rsidRDefault="006F67E6"/>
    <w:p w:rsidR="006F67E6" w:rsidRPr="00725E9C" w:rsidRDefault="00884EB0">
      <w:pPr>
        <w:numPr>
          <w:ilvl w:val="0"/>
          <w:numId w:val="1"/>
        </w:numPr>
        <w:rPr>
          <w:b/>
          <w:i/>
        </w:rPr>
      </w:pPr>
      <w:r w:rsidRPr="00725E9C">
        <w:rPr>
          <w:b/>
          <w:i/>
        </w:rPr>
        <w:t xml:space="preserve">Methods used to Minimize burden if the collection has a significant impact on </w:t>
      </w:r>
      <w:r w:rsidR="002D77C7">
        <w:rPr>
          <w:b/>
          <w:i/>
        </w:rPr>
        <w:t>a substantial number of small e</w:t>
      </w:r>
      <w:r w:rsidRPr="00725E9C">
        <w:rPr>
          <w:b/>
          <w:i/>
        </w:rPr>
        <w:t>ntities</w:t>
      </w:r>
      <w:r w:rsidR="002D77C7">
        <w:rPr>
          <w:b/>
          <w:i/>
        </w:rPr>
        <w:t>:</w:t>
      </w:r>
    </w:p>
    <w:p w:rsidR="006F67E6" w:rsidRDefault="006F67E6">
      <w:pPr>
        <w:ind w:left="720" w:right="893"/>
      </w:pPr>
    </w:p>
    <w:p w:rsidR="006F67E6" w:rsidRDefault="00884EB0">
      <w:pPr>
        <w:ind w:left="720" w:right="893"/>
      </w:pPr>
      <w:r>
        <w:t>The information collection does not have a significant impact on a substantial number of small businesses or other small entities.</w:t>
      </w:r>
    </w:p>
    <w:p w:rsidR="006F67E6" w:rsidRDefault="006F67E6">
      <w:pPr>
        <w:ind w:firstLine="720"/>
      </w:pPr>
    </w:p>
    <w:p w:rsidR="006F67E6" w:rsidRPr="00725E9C" w:rsidRDefault="00884EB0">
      <w:pPr>
        <w:numPr>
          <w:ilvl w:val="0"/>
          <w:numId w:val="1"/>
        </w:numPr>
        <w:rPr>
          <w:b/>
          <w:i/>
        </w:rPr>
      </w:pPr>
      <w:r w:rsidRPr="00725E9C">
        <w:rPr>
          <w:b/>
          <w:i/>
        </w:rPr>
        <w:t xml:space="preserve">Consequences </w:t>
      </w:r>
      <w:r w:rsidR="002D77C7">
        <w:rPr>
          <w:b/>
          <w:i/>
        </w:rPr>
        <w:t>to the Federal program if the collection were conducted less frequently:</w:t>
      </w:r>
    </w:p>
    <w:p w:rsidR="006F67E6" w:rsidRDefault="006F67E6">
      <w:pPr>
        <w:ind w:left="720"/>
      </w:pPr>
    </w:p>
    <w:p w:rsidR="006F67E6" w:rsidRDefault="002C206A">
      <w:pPr>
        <w:ind w:left="720"/>
      </w:pPr>
      <w:r>
        <w:t>Conducting the collection less frequently would not meet statutory requirements.</w:t>
      </w:r>
    </w:p>
    <w:p w:rsidR="006F67E6" w:rsidRDefault="006F67E6">
      <w:pPr>
        <w:ind w:firstLine="720"/>
      </w:pPr>
    </w:p>
    <w:p w:rsidR="006F67E6" w:rsidRPr="00725E9C" w:rsidRDefault="00884EB0">
      <w:pPr>
        <w:numPr>
          <w:ilvl w:val="0"/>
          <w:numId w:val="1"/>
        </w:numPr>
        <w:rPr>
          <w:b/>
          <w:i/>
        </w:rPr>
      </w:pPr>
      <w:r w:rsidRPr="00725E9C">
        <w:rPr>
          <w:b/>
          <w:i/>
        </w:rPr>
        <w:t xml:space="preserve">Special </w:t>
      </w:r>
      <w:r w:rsidR="002D77C7">
        <w:rPr>
          <w:b/>
          <w:i/>
        </w:rPr>
        <w:t>c</w:t>
      </w:r>
      <w:r w:rsidRPr="00725E9C">
        <w:rPr>
          <w:b/>
          <w:i/>
        </w:rPr>
        <w:t xml:space="preserve">ircumstances </w:t>
      </w:r>
      <w:r w:rsidR="002D77C7">
        <w:rPr>
          <w:b/>
          <w:i/>
        </w:rPr>
        <w:t xml:space="preserve">that would cause an information collection to be conducted in a manner inconsistent with </w:t>
      </w:r>
      <w:r w:rsidRPr="00725E9C">
        <w:rPr>
          <w:b/>
          <w:i/>
        </w:rPr>
        <w:t xml:space="preserve">5 CFR </w:t>
      </w:r>
      <w:r w:rsidR="002D77C7">
        <w:rPr>
          <w:b/>
          <w:i/>
        </w:rPr>
        <w:t>part 1320:</w:t>
      </w:r>
    </w:p>
    <w:p w:rsidR="006F67E6" w:rsidRDefault="006F67E6">
      <w:pPr>
        <w:ind w:left="720" w:right="893"/>
      </w:pPr>
    </w:p>
    <w:p w:rsidR="006F67E6" w:rsidRDefault="002D77C7">
      <w:pPr>
        <w:ind w:left="720" w:right="893"/>
      </w:pPr>
      <w:r>
        <w:t>Not applicable.</w:t>
      </w:r>
    </w:p>
    <w:p w:rsidR="006F67E6" w:rsidRDefault="006F67E6">
      <w:pPr>
        <w:ind w:firstLine="720"/>
      </w:pPr>
    </w:p>
    <w:p w:rsidR="006F67E6" w:rsidRPr="00725E9C" w:rsidRDefault="002D77C7">
      <w:pPr>
        <w:numPr>
          <w:ilvl w:val="0"/>
          <w:numId w:val="1"/>
        </w:numPr>
        <w:rPr>
          <w:b/>
          <w:i/>
        </w:rPr>
      </w:pPr>
      <w:r>
        <w:rPr>
          <w:b/>
          <w:i/>
        </w:rPr>
        <w:t>Efforts to consult with persons outside the agency:</w:t>
      </w:r>
    </w:p>
    <w:p w:rsidR="006F67E6" w:rsidRDefault="006F67E6">
      <w:pPr>
        <w:ind w:left="720"/>
      </w:pPr>
    </w:p>
    <w:p w:rsidR="006F67E6" w:rsidRDefault="00E42393">
      <w:pPr>
        <w:ind w:left="720"/>
      </w:pPr>
      <w:r>
        <w:t>The information collection requirements were submitted to OMB in connection with the NPR.</w:t>
      </w:r>
    </w:p>
    <w:p w:rsidR="00E42393" w:rsidRDefault="00E42393">
      <w:pPr>
        <w:ind w:left="720"/>
      </w:pPr>
    </w:p>
    <w:p w:rsidR="006F67E6" w:rsidRPr="00725E9C" w:rsidRDefault="002D77C7">
      <w:pPr>
        <w:pStyle w:val="ListParagraph"/>
        <w:numPr>
          <w:ilvl w:val="0"/>
          <w:numId w:val="1"/>
        </w:numPr>
        <w:rPr>
          <w:b/>
          <w:i/>
        </w:rPr>
      </w:pPr>
      <w:r>
        <w:rPr>
          <w:b/>
          <w:i/>
        </w:rPr>
        <w:t>Payment or gift to respondents:</w:t>
      </w:r>
    </w:p>
    <w:p w:rsidR="006F67E6" w:rsidRDefault="006F67E6">
      <w:pPr>
        <w:ind w:left="720"/>
      </w:pPr>
    </w:p>
    <w:p w:rsidR="006F67E6" w:rsidRDefault="002D77C7">
      <w:pPr>
        <w:ind w:left="720"/>
      </w:pPr>
      <w:r>
        <w:t>None.</w:t>
      </w:r>
    </w:p>
    <w:p w:rsidR="00B9518B" w:rsidRDefault="00B9518B">
      <w:pPr>
        <w:ind w:firstLine="720"/>
      </w:pPr>
    </w:p>
    <w:p w:rsidR="006F67E6" w:rsidRPr="00725E9C" w:rsidRDefault="002D77C7">
      <w:pPr>
        <w:numPr>
          <w:ilvl w:val="0"/>
          <w:numId w:val="1"/>
        </w:numPr>
        <w:rPr>
          <w:b/>
          <w:i/>
        </w:rPr>
      </w:pPr>
      <w:r>
        <w:rPr>
          <w:b/>
          <w:i/>
        </w:rPr>
        <w:t>Any assurance of confidentiality:</w:t>
      </w:r>
    </w:p>
    <w:p w:rsidR="006F67E6" w:rsidRDefault="006F67E6">
      <w:pPr>
        <w:numPr>
          <w:ilvl w:val="12"/>
          <w:numId w:val="0"/>
        </w:numPr>
        <w:tabs>
          <w:tab w:val="left" w:pos="720"/>
        </w:tabs>
        <w:ind w:left="720"/>
      </w:pPr>
    </w:p>
    <w:p w:rsidR="006F67E6" w:rsidRDefault="00884EB0">
      <w:pPr>
        <w:ind w:left="720"/>
      </w:pPr>
      <w:r>
        <w:t xml:space="preserve">The information collection request will be kept </w:t>
      </w:r>
      <w:r w:rsidR="00F51A62">
        <w:t>confidential</w:t>
      </w:r>
      <w:r w:rsidR="002D77C7">
        <w:t xml:space="preserve"> to the extent permitted</w:t>
      </w:r>
      <w:r>
        <w:t xml:space="preserve"> by law.</w:t>
      </w:r>
    </w:p>
    <w:p w:rsidR="003F0078" w:rsidRDefault="003F0078">
      <w:pPr>
        <w:numPr>
          <w:ilvl w:val="12"/>
          <w:numId w:val="0"/>
        </w:numPr>
        <w:tabs>
          <w:tab w:val="left" w:pos="720"/>
        </w:tabs>
        <w:ind w:left="720"/>
      </w:pPr>
    </w:p>
    <w:p w:rsidR="006F67E6" w:rsidRPr="00725E9C" w:rsidRDefault="00884EB0">
      <w:pPr>
        <w:numPr>
          <w:ilvl w:val="0"/>
          <w:numId w:val="1"/>
        </w:numPr>
        <w:rPr>
          <w:b/>
          <w:i/>
        </w:rPr>
      </w:pPr>
      <w:r w:rsidRPr="00725E9C">
        <w:rPr>
          <w:b/>
          <w:i/>
        </w:rPr>
        <w:t xml:space="preserve">Justification for </w:t>
      </w:r>
      <w:r w:rsidR="002D77C7">
        <w:rPr>
          <w:b/>
          <w:i/>
        </w:rPr>
        <w:t>questions of a sensitive nature:</w:t>
      </w:r>
    </w:p>
    <w:p w:rsidR="006F67E6" w:rsidRDefault="006F67E6">
      <w:pPr>
        <w:ind w:firstLine="720"/>
      </w:pPr>
    </w:p>
    <w:p w:rsidR="006F67E6" w:rsidRDefault="00884EB0">
      <w:pPr>
        <w:ind w:firstLine="720"/>
      </w:pPr>
      <w:r>
        <w:t>There are no questions of a sensitive nature.</w:t>
      </w:r>
    </w:p>
    <w:p w:rsidR="006F67E6" w:rsidRDefault="006F67E6">
      <w:pPr>
        <w:ind w:firstLine="720"/>
      </w:pPr>
    </w:p>
    <w:p w:rsidR="006F67E6" w:rsidRDefault="002D77C7">
      <w:pPr>
        <w:numPr>
          <w:ilvl w:val="0"/>
          <w:numId w:val="1"/>
        </w:numPr>
        <w:rPr>
          <w:b/>
          <w:i/>
        </w:rPr>
      </w:pPr>
      <w:r>
        <w:rPr>
          <w:b/>
          <w:i/>
        </w:rPr>
        <w:t>Burden estimate:</w:t>
      </w:r>
    </w:p>
    <w:p w:rsidR="00861C9F" w:rsidRDefault="00861C9F" w:rsidP="00861C9F">
      <w:pPr>
        <w:ind w:left="720"/>
        <w:rPr>
          <w:b/>
          <w:i/>
        </w:rPr>
      </w:pPr>
    </w:p>
    <w:p w:rsidR="00861C9F" w:rsidRDefault="00861C9F" w:rsidP="00861C9F">
      <w:pPr>
        <w:pStyle w:val="ListParagraph"/>
        <w:autoSpaceDE w:val="0"/>
        <w:autoSpaceDN w:val="0"/>
        <w:adjustRightInd w:val="0"/>
      </w:pPr>
      <w:r>
        <w:t>Estimated number of respondents:  8 (biennial testing:  4; annual testing:  4)</w:t>
      </w:r>
    </w:p>
    <w:p w:rsidR="00861C9F" w:rsidRDefault="00861C9F" w:rsidP="00861C9F">
      <w:pPr>
        <w:pStyle w:val="ListParagraph"/>
        <w:autoSpaceDE w:val="0"/>
        <w:autoSpaceDN w:val="0"/>
        <w:adjustRightInd w:val="0"/>
      </w:pPr>
      <w:r>
        <w:t xml:space="preserve">Estimated burden per respondent:  </w:t>
      </w:r>
    </w:p>
    <w:p w:rsidR="00861C9F" w:rsidRDefault="00861C9F" w:rsidP="00354A6D">
      <w:pPr>
        <w:autoSpaceDE w:val="0"/>
        <w:autoSpaceDN w:val="0"/>
        <w:adjustRightInd w:val="0"/>
        <w:ind w:left="720"/>
      </w:pPr>
      <w:r>
        <w:t>Recordkeeping:  640 hours.</w:t>
      </w:r>
    </w:p>
    <w:p w:rsidR="00861C9F" w:rsidRDefault="00861C9F" w:rsidP="00354A6D">
      <w:pPr>
        <w:autoSpaceDE w:val="0"/>
        <w:autoSpaceDN w:val="0"/>
        <w:adjustRightInd w:val="0"/>
        <w:ind w:left="720"/>
      </w:pPr>
      <w:r>
        <w:t>Reporting:  240 hours.</w:t>
      </w:r>
    </w:p>
    <w:p w:rsidR="00861C9F" w:rsidRDefault="00861C9F" w:rsidP="00354A6D">
      <w:pPr>
        <w:autoSpaceDE w:val="0"/>
        <w:autoSpaceDN w:val="0"/>
        <w:adjustRightInd w:val="0"/>
        <w:ind w:left="720"/>
      </w:pPr>
      <w:r>
        <w:t>Disclosure:  160 hours.</w:t>
      </w:r>
    </w:p>
    <w:p w:rsidR="00354A6D" w:rsidRDefault="00861C9F" w:rsidP="00354A6D">
      <w:pPr>
        <w:autoSpaceDE w:val="0"/>
        <w:autoSpaceDN w:val="0"/>
        <w:adjustRightInd w:val="0"/>
        <w:ind w:left="720"/>
        <w:rPr>
          <w:b/>
        </w:rPr>
      </w:pPr>
      <w:r>
        <w:t>Estimated total annual burden:  6,240 hours.</w:t>
      </w:r>
      <w:bookmarkStart w:id="1" w:name="OLE_LINK1"/>
      <w:r w:rsidRPr="00354A6D">
        <w:rPr>
          <w:b/>
        </w:rPr>
        <w:t xml:space="preserve"> </w:t>
      </w:r>
    </w:p>
    <w:p w:rsidR="00354A6D" w:rsidRDefault="00354A6D" w:rsidP="00354A6D">
      <w:pPr>
        <w:autoSpaceDE w:val="0"/>
        <w:autoSpaceDN w:val="0"/>
        <w:adjustRightInd w:val="0"/>
        <w:rPr>
          <w:b/>
        </w:rPr>
      </w:pPr>
    </w:p>
    <w:p w:rsidR="00AD52B3" w:rsidRPr="00354A6D" w:rsidRDefault="00AD52B3" w:rsidP="00BF0024">
      <w:pPr>
        <w:autoSpaceDE w:val="0"/>
        <w:autoSpaceDN w:val="0"/>
        <w:adjustRightInd w:val="0"/>
        <w:ind w:left="810"/>
        <w:rPr>
          <w:b/>
        </w:rPr>
      </w:pPr>
      <w:r w:rsidRPr="00354A6D">
        <w:rPr>
          <w:b/>
        </w:rPr>
        <w:t>Cost of Hour Burden</w:t>
      </w:r>
    </w:p>
    <w:p w:rsidR="00AD52B3" w:rsidRDefault="00354A6D" w:rsidP="00BF0024">
      <w:pPr>
        <w:ind w:left="810"/>
        <w:rPr>
          <w:b/>
        </w:rPr>
      </w:pPr>
      <w:r>
        <w:rPr>
          <w:b/>
        </w:rPr>
        <w:t>6,240</w:t>
      </w:r>
      <w:r w:rsidR="008140AD">
        <w:rPr>
          <w:b/>
        </w:rPr>
        <w:t xml:space="preserve"> x $117 = $730,080</w:t>
      </w:r>
      <w:r w:rsidR="00BF0024">
        <w:rPr>
          <w:b/>
        </w:rPr>
        <w:t>.</w:t>
      </w:r>
    </w:p>
    <w:p w:rsidR="00AD52B3" w:rsidRPr="00AD52B3" w:rsidRDefault="00AD52B3" w:rsidP="00BF0024">
      <w:pPr>
        <w:ind w:left="810"/>
        <w:rPr>
          <w:b/>
        </w:rPr>
      </w:pPr>
    </w:p>
    <w:p w:rsidR="00BF0024" w:rsidRDefault="00BF0024" w:rsidP="00BF0024">
      <w:pPr>
        <w:ind w:left="810"/>
      </w:pPr>
      <w:r>
        <w:rPr>
          <w:color w:val="000000"/>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8F211B" w:rsidRDefault="008F211B" w:rsidP="00AD52B3"/>
    <w:p w:rsidR="00F20432" w:rsidRDefault="00F20432" w:rsidP="00AD52B3"/>
    <w:p w:rsidR="00F20432" w:rsidRDefault="00F20432" w:rsidP="00AD52B3"/>
    <w:bookmarkEnd w:id="1"/>
    <w:p w:rsidR="006F67E6" w:rsidRPr="00725E9C" w:rsidRDefault="00884EB0">
      <w:pPr>
        <w:numPr>
          <w:ilvl w:val="0"/>
          <w:numId w:val="1"/>
        </w:numPr>
        <w:rPr>
          <w:b/>
          <w:i/>
        </w:rPr>
      </w:pPr>
      <w:r w:rsidRPr="00725E9C">
        <w:rPr>
          <w:b/>
          <w:i/>
        </w:rPr>
        <w:t xml:space="preserve">Estimates of </w:t>
      </w:r>
      <w:r w:rsidR="000943E5">
        <w:rPr>
          <w:b/>
          <w:i/>
        </w:rPr>
        <w:t>total annual costs to respondents (excluding cost of hour burden in Item #12):</w:t>
      </w:r>
    </w:p>
    <w:p w:rsidR="006F67E6" w:rsidRDefault="006F67E6">
      <w:pPr>
        <w:ind w:left="720"/>
      </w:pPr>
    </w:p>
    <w:p w:rsidR="006F67E6" w:rsidRDefault="00884EB0"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725E9C">
        <w:t>None.</w:t>
      </w:r>
    </w:p>
    <w:p w:rsidR="00B9518B" w:rsidRDefault="00B9518B"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6F67E6" w:rsidRPr="00725E9C" w:rsidRDefault="00884EB0">
      <w:pPr>
        <w:pStyle w:val="ListParagraph"/>
        <w:numPr>
          <w:ilvl w:val="0"/>
          <w:numId w:val="1"/>
        </w:numPr>
        <w:rPr>
          <w:b/>
          <w:i/>
        </w:rPr>
      </w:pPr>
      <w:r w:rsidRPr="00725E9C">
        <w:rPr>
          <w:b/>
          <w:i/>
        </w:rPr>
        <w:t xml:space="preserve"> </w:t>
      </w:r>
      <w:r w:rsidR="000943E5">
        <w:rPr>
          <w:b/>
          <w:i/>
        </w:rPr>
        <w:t>Estimate of annualized costs to the Federal government:</w:t>
      </w:r>
    </w:p>
    <w:p w:rsidR="006F67E6" w:rsidRDefault="006F67E6">
      <w:pPr>
        <w:autoSpaceDE w:val="0"/>
        <w:autoSpaceDN w:val="0"/>
        <w:adjustRightInd w:val="0"/>
        <w:ind w:firstLine="720"/>
      </w:pPr>
    </w:p>
    <w:p w:rsidR="006F67E6" w:rsidRDefault="00884EB0">
      <w:pPr>
        <w:autoSpaceDE w:val="0"/>
        <w:autoSpaceDN w:val="0"/>
        <w:adjustRightInd w:val="0"/>
        <w:ind w:firstLine="720"/>
      </w:pPr>
      <w:r>
        <w:t>OCC estimates no annualized cost to the Federal government.</w:t>
      </w:r>
    </w:p>
    <w:p w:rsidR="00BD3AD2" w:rsidRDefault="00BD3AD2">
      <w:pPr>
        <w:autoSpaceDE w:val="0"/>
        <w:autoSpaceDN w:val="0"/>
        <w:adjustRightInd w:val="0"/>
        <w:ind w:firstLine="720"/>
      </w:pPr>
    </w:p>
    <w:p w:rsidR="006F67E6" w:rsidRPr="00725E9C" w:rsidRDefault="000943E5">
      <w:pPr>
        <w:numPr>
          <w:ilvl w:val="0"/>
          <w:numId w:val="1"/>
        </w:numPr>
        <w:rPr>
          <w:b/>
          <w:i/>
        </w:rPr>
      </w:pPr>
      <w:r>
        <w:rPr>
          <w:b/>
          <w:i/>
        </w:rPr>
        <w:t>Change in burden:</w:t>
      </w:r>
    </w:p>
    <w:p w:rsidR="006F67E6" w:rsidRDefault="006F67E6">
      <w:pPr>
        <w:ind w:firstLine="720"/>
      </w:pPr>
    </w:p>
    <w:p w:rsidR="006F67E6" w:rsidRDefault="008140AD" w:rsidP="00FE3640">
      <w:pPr>
        <w:ind w:left="720"/>
      </w:pPr>
      <w:r>
        <w:t>The increase in burden is due to the fact that this is a new collection.</w:t>
      </w:r>
    </w:p>
    <w:p w:rsidR="006F67E6" w:rsidRDefault="006F67E6">
      <w:pPr>
        <w:ind w:firstLine="720"/>
      </w:pPr>
    </w:p>
    <w:p w:rsidR="006F67E6" w:rsidRPr="00725E9C" w:rsidRDefault="000943E5">
      <w:pPr>
        <w:numPr>
          <w:ilvl w:val="0"/>
          <w:numId w:val="1"/>
        </w:numPr>
        <w:rPr>
          <w:b/>
          <w:i/>
        </w:rPr>
      </w:pPr>
      <w:r>
        <w:rPr>
          <w:b/>
          <w:i/>
        </w:rPr>
        <w:t>Information regarding collections whose results are to be published for statistical use:</w:t>
      </w:r>
    </w:p>
    <w:p w:rsidR="006F67E6" w:rsidRDefault="006F67E6">
      <w:pPr>
        <w:ind w:firstLine="720"/>
      </w:pPr>
    </w:p>
    <w:p w:rsidR="006F67E6" w:rsidRDefault="000943E5">
      <w:pPr>
        <w:ind w:firstLine="720"/>
      </w:pPr>
      <w:r>
        <w:t>Not applicable.</w:t>
      </w:r>
    </w:p>
    <w:p w:rsidR="006F67E6" w:rsidRDefault="006F67E6">
      <w:pPr>
        <w:ind w:firstLine="720"/>
      </w:pPr>
    </w:p>
    <w:p w:rsidR="006F67E6" w:rsidRPr="00725E9C" w:rsidRDefault="000943E5">
      <w:pPr>
        <w:numPr>
          <w:ilvl w:val="0"/>
          <w:numId w:val="1"/>
        </w:numPr>
        <w:rPr>
          <w:b/>
          <w:i/>
        </w:rPr>
      </w:pPr>
      <w:r>
        <w:rPr>
          <w:b/>
          <w:i/>
        </w:rPr>
        <w:t>Reasons for not displaying</w:t>
      </w:r>
      <w:r w:rsidR="00884EB0" w:rsidRPr="00725E9C">
        <w:rPr>
          <w:b/>
          <w:i/>
        </w:rPr>
        <w:t xml:space="preserve"> OMB </w:t>
      </w:r>
      <w:r>
        <w:rPr>
          <w:b/>
          <w:i/>
        </w:rPr>
        <w:t>approval expiration date:</w:t>
      </w:r>
    </w:p>
    <w:p w:rsidR="006F67E6" w:rsidRDefault="006F67E6">
      <w:pPr>
        <w:ind w:left="720"/>
      </w:pPr>
    </w:p>
    <w:p w:rsidR="006F67E6" w:rsidRDefault="000943E5">
      <w:pPr>
        <w:ind w:left="720"/>
      </w:pPr>
      <w:r>
        <w:t>Not applicable.</w:t>
      </w:r>
    </w:p>
    <w:p w:rsidR="006F67E6" w:rsidRDefault="006F67E6"/>
    <w:p w:rsidR="006F67E6" w:rsidRPr="000943E5" w:rsidRDefault="00884EB0">
      <w:pPr>
        <w:ind w:left="720" w:hanging="360"/>
        <w:rPr>
          <w:b/>
          <w:i/>
        </w:rPr>
      </w:pPr>
      <w:r w:rsidRPr="000943E5">
        <w:rPr>
          <w:b/>
          <w:i/>
        </w:rPr>
        <w:t xml:space="preserve">18. Exceptions to </w:t>
      </w:r>
      <w:r w:rsidR="000943E5">
        <w:rPr>
          <w:b/>
          <w:i/>
        </w:rPr>
        <w:t>the certification statement:</w:t>
      </w:r>
    </w:p>
    <w:p w:rsidR="006F67E6" w:rsidRDefault="006F67E6">
      <w:pPr>
        <w:ind w:firstLine="720"/>
      </w:pPr>
    </w:p>
    <w:p w:rsidR="006F67E6" w:rsidRDefault="00884EB0">
      <w:pPr>
        <w:ind w:firstLine="720"/>
      </w:pPr>
      <w:r>
        <w:t>There are no exceptions to the certification.</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Pr="000943E5" w:rsidRDefault="00884EB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25E9C">
        <w:rPr>
          <w:b/>
        </w:rPr>
        <w:t xml:space="preserve">B.  </w:t>
      </w:r>
      <w:r w:rsidR="000943E5">
        <w:rPr>
          <w:b/>
          <w:smallCaps/>
        </w:rPr>
        <w:t>C</w:t>
      </w:r>
      <w:r w:rsidR="000943E5">
        <w:rPr>
          <w:b/>
        </w:rPr>
        <w:t>ollections of Information Employing Statistical Methods.</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25647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006F67E6" w:rsidRDefault="006F67E6"/>
    <w:sectPr w:rsidR="006F67E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1D" w:rsidRDefault="00005C1D">
      <w:r>
        <w:separator/>
      </w:r>
    </w:p>
  </w:endnote>
  <w:endnote w:type="continuationSeparator" w:id="0">
    <w:p w:rsidR="00005C1D" w:rsidRDefault="0000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6F67E6" w:rsidRDefault="00884EB0">
        <w:pPr>
          <w:pStyle w:val="Footer"/>
          <w:jc w:val="center"/>
        </w:pPr>
        <w:r>
          <w:fldChar w:fldCharType="begin"/>
        </w:r>
        <w:r>
          <w:instrText xml:space="preserve"> PAGE   \* MERGEFORMAT </w:instrText>
        </w:r>
        <w:r>
          <w:fldChar w:fldCharType="separate"/>
        </w:r>
        <w:r w:rsidR="00C66E7B">
          <w:rPr>
            <w:noProof/>
          </w:rPr>
          <w:t>1</w:t>
        </w:r>
        <w:r>
          <w:rPr>
            <w:noProof/>
          </w:rPr>
          <w:fldChar w:fldCharType="end"/>
        </w:r>
      </w:p>
    </w:sdtContent>
  </w:sdt>
  <w:p w:rsidR="006F67E6" w:rsidRDefault="006F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1D" w:rsidRDefault="00005C1D">
      <w:r>
        <w:separator/>
      </w:r>
    </w:p>
  </w:footnote>
  <w:footnote w:type="continuationSeparator" w:id="0">
    <w:p w:rsidR="00005C1D" w:rsidRDefault="00005C1D">
      <w:r>
        <w:continuationSeparator/>
      </w:r>
    </w:p>
  </w:footnote>
  <w:footnote w:id="1">
    <w:p w:rsidR="006F67E6" w:rsidRDefault="00884EB0">
      <w:pPr>
        <w:pStyle w:val="FootnoteText"/>
      </w:pPr>
      <w:r>
        <w:rPr>
          <w:rStyle w:val="FootnoteReference"/>
        </w:rPr>
        <w:footnoteRef/>
      </w:r>
      <w:r>
        <w:t xml:space="preserve"> October 9, 2012 – Final Rule (77 FR 61238)</w:t>
      </w:r>
    </w:p>
  </w:footnote>
  <w:footnote w:id="2">
    <w:p w:rsidR="006F67E6" w:rsidRDefault="00884EB0">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L. No. 111-203, 124 Stat. 1376 (2010).</w:t>
      </w:r>
    </w:p>
  </w:footnote>
  <w:footnote w:id="3">
    <w:p w:rsidR="006F67E6" w:rsidRDefault="00884EB0">
      <w:pPr>
        <w:pStyle w:val="FootnoteText"/>
      </w:pPr>
      <w:r>
        <w:rPr>
          <w:rStyle w:val="FootnoteReference"/>
        </w:rPr>
        <w:footnoteRef/>
      </w:r>
      <w:r>
        <w:t xml:space="preserve"> 77 FR 49485 (August 16, 2012); 77 FR 66663 (November 6, 2012).</w:t>
      </w:r>
    </w:p>
  </w:footnote>
  <w:footnote w:id="4">
    <w:p w:rsidR="006F67E6" w:rsidRDefault="00884EB0">
      <w:pPr>
        <w:pStyle w:val="FootnoteText"/>
      </w:pPr>
      <w:r>
        <w:rPr>
          <w:rStyle w:val="FootnoteReference"/>
        </w:rPr>
        <w:footnoteRef/>
      </w:r>
      <w:r>
        <w:t xml:space="preserve"> 12 U.S.C. 5365(i)(2)(A).</w:t>
      </w:r>
    </w:p>
  </w:footnote>
  <w:footnote w:id="5">
    <w:p w:rsidR="006F67E6" w:rsidRDefault="00884EB0">
      <w:pPr>
        <w:pStyle w:val="FootnoteText"/>
      </w:pPr>
      <w:r>
        <w:rPr>
          <w:rStyle w:val="FootnoteReference"/>
        </w:rPr>
        <w:footnoteRef/>
      </w:r>
      <w:r>
        <w:t xml:space="preserve"> 12 U.S.C. 5301(12).</w:t>
      </w:r>
    </w:p>
  </w:footnote>
  <w:footnote w:id="6">
    <w:p w:rsidR="006F67E6" w:rsidRDefault="00884EB0">
      <w:pPr>
        <w:pStyle w:val="FootnoteText"/>
      </w:pPr>
      <w:r>
        <w:rPr>
          <w:rStyle w:val="FootnoteReference"/>
        </w:rPr>
        <w:footnoteRef/>
      </w:r>
      <w:r>
        <w:t xml:space="preserve"> 12 U.S.C. 5365(i)(2)(C).</w:t>
      </w:r>
    </w:p>
  </w:footnote>
  <w:footnote w:id="7">
    <w:p w:rsidR="006F67E6" w:rsidRDefault="00884EB0">
      <w:pPr>
        <w:pStyle w:val="FootnoteText"/>
      </w:pPr>
      <w:r>
        <w:rPr>
          <w:rStyle w:val="FootnoteReference"/>
        </w:rPr>
        <w:footnoteRef/>
      </w:r>
      <w:r>
        <w:t xml:space="preserve"> 12 U.S.C. 5365(i)(2)(B).</w:t>
      </w:r>
    </w:p>
  </w:footnote>
  <w:footnote w:id="8">
    <w:p w:rsidR="0000662A" w:rsidRDefault="0000662A" w:rsidP="0000662A">
      <w:pPr>
        <w:pStyle w:val="FootnoteText"/>
      </w:pPr>
      <w:r>
        <w:rPr>
          <w:rStyle w:val="FootnoteReference"/>
        </w:rPr>
        <w:footnoteRef/>
      </w:r>
      <w:r>
        <w:t xml:space="preserve"> </w:t>
      </w:r>
      <w:r w:rsidRPr="00A53AB5">
        <w:t>P</w:t>
      </w:r>
      <w:r>
        <w:t xml:space="preserve">ub. L. </w:t>
      </w:r>
      <w:r w:rsidRPr="00A53AB5">
        <w:t>115-174</w:t>
      </w:r>
      <w:r>
        <w:t>, 132</w:t>
      </w:r>
      <w:r w:rsidRPr="00AB777E">
        <w:t xml:space="preserve"> Stat. </w:t>
      </w:r>
      <w:r>
        <w:t>1296-1368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E6"/>
    <w:rsid w:val="00005C1D"/>
    <w:rsid w:val="0000662A"/>
    <w:rsid w:val="000943E5"/>
    <w:rsid w:val="000C128E"/>
    <w:rsid w:val="000D721A"/>
    <w:rsid w:val="00115791"/>
    <w:rsid w:val="00155F17"/>
    <w:rsid w:val="00164BDD"/>
    <w:rsid w:val="00256475"/>
    <w:rsid w:val="002C206A"/>
    <w:rsid w:val="002D77C7"/>
    <w:rsid w:val="00354A6D"/>
    <w:rsid w:val="003F0078"/>
    <w:rsid w:val="00407BB2"/>
    <w:rsid w:val="004210AD"/>
    <w:rsid w:val="004C45B4"/>
    <w:rsid w:val="0051094A"/>
    <w:rsid w:val="00561FA7"/>
    <w:rsid w:val="00574601"/>
    <w:rsid w:val="005E4443"/>
    <w:rsid w:val="006F39D0"/>
    <w:rsid w:val="006F67E6"/>
    <w:rsid w:val="00700B51"/>
    <w:rsid w:val="00725E9C"/>
    <w:rsid w:val="008140AD"/>
    <w:rsid w:val="00822806"/>
    <w:rsid w:val="00823A15"/>
    <w:rsid w:val="00861C9F"/>
    <w:rsid w:val="008731E7"/>
    <w:rsid w:val="00884EB0"/>
    <w:rsid w:val="008F211B"/>
    <w:rsid w:val="00A801A0"/>
    <w:rsid w:val="00AB04C1"/>
    <w:rsid w:val="00AC7CC6"/>
    <w:rsid w:val="00AD52B3"/>
    <w:rsid w:val="00AF57FB"/>
    <w:rsid w:val="00B53F28"/>
    <w:rsid w:val="00B7324F"/>
    <w:rsid w:val="00B9518B"/>
    <w:rsid w:val="00BC5FB6"/>
    <w:rsid w:val="00BD3AD2"/>
    <w:rsid w:val="00BE7675"/>
    <w:rsid w:val="00BF0024"/>
    <w:rsid w:val="00C002A1"/>
    <w:rsid w:val="00C66E7B"/>
    <w:rsid w:val="00D25D53"/>
    <w:rsid w:val="00E42393"/>
    <w:rsid w:val="00ED6A95"/>
    <w:rsid w:val="00EE7A37"/>
    <w:rsid w:val="00F15C80"/>
    <w:rsid w:val="00F20432"/>
    <w:rsid w:val="00F51A62"/>
    <w:rsid w:val="00FE3640"/>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Footnote Text Char1,C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Footnote Text Char1 Char,C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 w:type="character" w:styleId="CommentReference">
    <w:name w:val="annotation reference"/>
    <w:uiPriority w:val="99"/>
    <w:rsid w:val="0000662A"/>
    <w:rPr>
      <w:sz w:val="16"/>
      <w:szCs w:val="16"/>
    </w:rPr>
  </w:style>
  <w:style w:type="paragraph" w:styleId="CommentText">
    <w:name w:val="annotation text"/>
    <w:basedOn w:val="Normal"/>
    <w:link w:val="CommentTextChar"/>
    <w:uiPriority w:val="99"/>
    <w:rsid w:val="0000662A"/>
    <w:rPr>
      <w:sz w:val="20"/>
      <w:szCs w:val="20"/>
    </w:rPr>
  </w:style>
  <w:style w:type="character" w:customStyle="1" w:styleId="CommentTextChar">
    <w:name w:val="Comment Text Char"/>
    <w:basedOn w:val="DefaultParagraphFont"/>
    <w:link w:val="CommentText"/>
    <w:uiPriority w:val="99"/>
    <w:rsid w:val="00006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Footnote Text Char1,C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Footnote Text Char1 Char,C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 w:type="character" w:styleId="CommentReference">
    <w:name w:val="annotation reference"/>
    <w:uiPriority w:val="99"/>
    <w:rsid w:val="0000662A"/>
    <w:rPr>
      <w:sz w:val="16"/>
      <w:szCs w:val="16"/>
    </w:rPr>
  </w:style>
  <w:style w:type="paragraph" w:styleId="CommentText">
    <w:name w:val="annotation text"/>
    <w:basedOn w:val="Normal"/>
    <w:link w:val="CommentTextChar"/>
    <w:uiPriority w:val="99"/>
    <w:rsid w:val="0000662A"/>
    <w:rPr>
      <w:sz w:val="20"/>
      <w:szCs w:val="20"/>
    </w:rPr>
  </w:style>
  <w:style w:type="character" w:customStyle="1" w:styleId="CommentTextChar">
    <w:name w:val="Comment Text Char"/>
    <w:basedOn w:val="DefaultParagraphFont"/>
    <w:link w:val="CommentText"/>
    <w:uiPriority w:val="99"/>
    <w:rsid w:val="0000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9892-D3BA-49F2-B94A-50B6ED4A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2018-10-15T18:39:00Z</cp:lastPrinted>
  <dcterms:created xsi:type="dcterms:W3CDTF">2019-01-30T20:02:00Z</dcterms:created>
  <dcterms:modified xsi:type="dcterms:W3CDTF">2019-01-30T20:02:00Z</dcterms:modified>
</cp:coreProperties>
</file>