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FF2080" w14:textId="77777777" w:rsidR="00F95077" w:rsidRPr="00402158" w:rsidRDefault="00F95077" w:rsidP="00D040EB">
      <w:pPr>
        <w:spacing w:after="0" w:line="240" w:lineRule="auto"/>
        <w:rPr>
          <w:rFonts w:ascii="Times New Roman" w:hAnsi="Times New Roman" w:cs="Times New Roman"/>
          <w:b/>
          <w:sz w:val="24"/>
          <w:szCs w:val="24"/>
        </w:rPr>
      </w:pPr>
      <w:bookmarkStart w:id="0" w:name="_GoBack"/>
      <w:bookmarkEnd w:id="0"/>
      <w:r w:rsidRPr="00402158">
        <w:rPr>
          <w:rFonts w:ascii="Times New Roman" w:hAnsi="Times New Roman" w:cs="Times New Roman"/>
          <w:b/>
          <w:sz w:val="24"/>
          <w:szCs w:val="24"/>
        </w:rPr>
        <w:t>B.  Collections of Information Employing Statistical Methods</w:t>
      </w:r>
    </w:p>
    <w:p w14:paraId="1B8E7B29" w14:textId="77777777" w:rsidR="00F95077" w:rsidRPr="00402158" w:rsidRDefault="00F95077" w:rsidP="00D040EB">
      <w:pPr>
        <w:spacing w:after="0" w:line="240" w:lineRule="auto"/>
        <w:rPr>
          <w:rFonts w:ascii="Times New Roman" w:hAnsi="Times New Roman" w:cs="Times New Roman"/>
          <w:sz w:val="24"/>
          <w:szCs w:val="24"/>
        </w:rPr>
      </w:pPr>
    </w:p>
    <w:p w14:paraId="44179143" w14:textId="77777777" w:rsidR="00F95077" w:rsidRPr="00402158" w:rsidRDefault="00F95077" w:rsidP="00D040EB">
      <w:pPr>
        <w:pStyle w:val="ListParagraph"/>
        <w:numPr>
          <w:ilvl w:val="0"/>
          <w:numId w:val="1"/>
        </w:numPr>
        <w:spacing w:after="0" w:line="240" w:lineRule="auto"/>
        <w:contextualSpacing w:val="0"/>
        <w:rPr>
          <w:rFonts w:ascii="Times New Roman" w:hAnsi="Times New Roman" w:cs="Times New Roman"/>
          <w:sz w:val="24"/>
          <w:szCs w:val="24"/>
          <w:u w:val="single"/>
        </w:rPr>
      </w:pPr>
      <w:r w:rsidRPr="00402158">
        <w:rPr>
          <w:rFonts w:ascii="Times New Roman" w:hAnsi="Times New Roman" w:cs="Times New Roman"/>
          <w:sz w:val="24"/>
          <w:szCs w:val="24"/>
          <w:u w:val="single"/>
        </w:rPr>
        <w:t>Universe and Respondents Selection</w:t>
      </w:r>
    </w:p>
    <w:p w14:paraId="572C881D" w14:textId="77777777" w:rsidR="00F95077" w:rsidRPr="00402158" w:rsidRDefault="00F95077" w:rsidP="00D040EB">
      <w:pPr>
        <w:pStyle w:val="ListParagraph"/>
        <w:spacing w:after="0" w:line="240" w:lineRule="auto"/>
        <w:contextualSpacing w:val="0"/>
        <w:rPr>
          <w:rFonts w:ascii="Times New Roman" w:hAnsi="Times New Roman" w:cs="Times New Roman"/>
          <w:sz w:val="24"/>
          <w:szCs w:val="24"/>
        </w:rPr>
      </w:pPr>
    </w:p>
    <w:p w14:paraId="626E9308" w14:textId="15EC9FC1" w:rsidR="00F95077" w:rsidRPr="00402158" w:rsidRDefault="00F95077" w:rsidP="00D040EB">
      <w:pPr>
        <w:pStyle w:val="ListParagraph"/>
        <w:spacing w:after="0" w:line="240" w:lineRule="auto"/>
        <w:ind w:left="360"/>
        <w:contextualSpacing w:val="0"/>
        <w:rPr>
          <w:rFonts w:ascii="Times New Roman" w:hAnsi="Times New Roman" w:cs="Times New Roman"/>
          <w:sz w:val="24"/>
          <w:szCs w:val="24"/>
        </w:rPr>
      </w:pPr>
      <w:r w:rsidRPr="00402158">
        <w:rPr>
          <w:rFonts w:ascii="Times New Roman" w:hAnsi="Times New Roman" w:cs="Times New Roman"/>
          <w:sz w:val="24"/>
          <w:szCs w:val="24"/>
        </w:rPr>
        <w:t xml:space="preserve">The </w:t>
      </w:r>
      <w:r w:rsidR="001F0B83">
        <w:rPr>
          <w:rFonts w:ascii="Times New Roman" w:hAnsi="Times New Roman" w:cs="Times New Roman"/>
          <w:sz w:val="24"/>
          <w:szCs w:val="24"/>
        </w:rPr>
        <w:t>Mortality in Correctional Institutions (</w:t>
      </w:r>
      <w:r w:rsidRPr="00402158">
        <w:rPr>
          <w:rFonts w:ascii="Times New Roman" w:hAnsi="Times New Roman" w:cs="Times New Roman"/>
          <w:sz w:val="24"/>
          <w:szCs w:val="24"/>
        </w:rPr>
        <w:t>MCI</w:t>
      </w:r>
      <w:r w:rsidR="001F0B83">
        <w:rPr>
          <w:rFonts w:ascii="Times New Roman" w:hAnsi="Times New Roman" w:cs="Times New Roman"/>
          <w:sz w:val="24"/>
          <w:szCs w:val="24"/>
        </w:rPr>
        <w:t>)</w:t>
      </w:r>
      <w:r w:rsidRPr="00402158">
        <w:rPr>
          <w:rFonts w:ascii="Times New Roman" w:hAnsi="Times New Roman" w:cs="Times New Roman"/>
          <w:sz w:val="24"/>
          <w:szCs w:val="24"/>
        </w:rPr>
        <w:t xml:space="preserve"> is a full enumeration of deaths occurring in the custody of prisons and local jails, rather than a sample of deaths. Since death is a rare event, sampling is </w:t>
      </w:r>
      <w:r w:rsidR="001F0B83">
        <w:rPr>
          <w:rFonts w:ascii="Times New Roman" w:hAnsi="Times New Roman" w:cs="Times New Roman"/>
          <w:sz w:val="24"/>
          <w:szCs w:val="24"/>
        </w:rPr>
        <w:t>challenging</w:t>
      </w:r>
      <w:r w:rsidRPr="00402158">
        <w:rPr>
          <w:rFonts w:ascii="Times New Roman" w:hAnsi="Times New Roman" w:cs="Times New Roman"/>
          <w:sz w:val="24"/>
          <w:szCs w:val="24"/>
        </w:rPr>
        <w:t xml:space="preserve"> in this context. </w:t>
      </w:r>
      <w:r w:rsidR="001F0B83">
        <w:rPr>
          <w:rFonts w:ascii="Times New Roman" w:hAnsi="Times New Roman" w:cs="Times New Roman"/>
          <w:sz w:val="24"/>
          <w:szCs w:val="24"/>
        </w:rPr>
        <w:t>T</w:t>
      </w:r>
      <w:r w:rsidRPr="00402158">
        <w:rPr>
          <w:rFonts w:ascii="Times New Roman" w:hAnsi="Times New Roman" w:cs="Times New Roman"/>
          <w:sz w:val="24"/>
          <w:szCs w:val="24"/>
        </w:rPr>
        <w:t xml:space="preserve">he original legislation upon which MCI was </w:t>
      </w:r>
      <w:r w:rsidR="001F0B83">
        <w:rPr>
          <w:rFonts w:ascii="Times New Roman" w:hAnsi="Times New Roman" w:cs="Times New Roman"/>
          <w:sz w:val="24"/>
          <w:szCs w:val="24"/>
        </w:rPr>
        <w:t>initiated</w:t>
      </w:r>
      <w:r w:rsidR="001F0B83" w:rsidRPr="00402158">
        <w:rPr>
          <w:rFonts w:ascii="Times New Roman" w:hAnsi="Times New Roman" w:cs="Times New Roman"/>
          <w:sz w:val="24"/>
          <w:szCs w:val="24"/>
        </w:rPr>
        <w:t xml:space="preserve"> </w:t>
      </w:r>
      <w:r w:rsidRPr="00402158">
        <w:rPr>
          <w:rFonts w:ascii="Times New Roman" w:hAnsi="Times New Roman" w:cs="Times New Roman"/>
          <w:sz w:val="24"/>
          <w:szCs w:val="24"/>
        </w:rPr>
        <w:t>required a full enumeration of deaths in custody</w:t>
      </w:r>
      <w:r w:rsidR="001F0B83">
        <w:rPr>
          <w:rFonts w:ascii="Times New Roman" w:hAnsi="Times New Roman" w:cs="Times New Roman"/>
          <w:sz w:val="24"/>
          <w:szCs w:val="24"/>
        </w:rPr>
        <w:t xml:space="preserve">, and BJS has been collecting </w:t>
      </w:r>
      <w:r w:rsidR="00A646D6">
        <w:rPr>
          <w:rFonts w:ascii="Times New Roman" w:hAnsi="Times New Roman" w:cs="Times New Roman"/>
          <w:sz w:val="24"/>
          <w:szCs w:val="24"/>
        </w:rPr>
        <w:t>it t</w:t>
      </w:r>
      <w:r w:rsidR="001F0B83">
        <w:rPr>
          <w:rFonts w:ascii="Times New Roman" w:hAnsi="Times New Roman" w:cs="Times New Roman"/>
          <w:sz w:val="24"/>
          <w:szCs w:val="24"/>
        </w:rPr>
        <w:t>hat way since then</w:t>
      </w:r>
      <w:r w:rsidRPr="00402158">
        <w:rPr>
          <w:rFonts w:ascii="Times New Roman" w:hAnsi="Times New Roman" w:cs="Times New Roman"/>
          <w:sz w:val="24"/>
          <w:szCs w:val="24"/>
        </w:rPr>
        <w:t xml:space="preserve">. Sampling would unnecessarily complicate </w:t>
      </w:r>
      <w:r w:rsidR="00F75413" w:rsidRPr="00402158">
        <w:rPr>
          <w:rFonts w:ascii="Times New Roman" w:hAnsi="Times New Roman" w:cs="Times New Roman"/>
          <w:sz w:val="24"/>
          <w:szCs w:val="24"/>
        </w:rPr>
        <w:t>the analysis of trends in</w:t>
      </w:r>
      <w:r w:rsidRPr="00402158">
        <w:rPr>
          <w:rFonts w:ascii="Times New Roman" w:hAnsi="Times New Roman" w:cs="Times New Roman"/>
          <w:sz w:val="24"/>
          <w:szCs w:val="24"/>
        </w:rPr>
        <w:t xml:space="preserve"> causes of death and subpopulation analyses over time</w:t>
      </w:r>
      <w:r w:rsidR="00021EA0">
        <w:rPr>
          <w:rFonts w:ascii="Times New Roman" w:hAnsi="Times New Roman" w:cs="Times New Roman"/>
          <w:sz w:val="24"/>
          <w:szCs w:val="24"/>
        </w:rPr>
        <w:t>,</w:t>
      </w:r>
      <w:r w:rsidRPr="00402158">
        <w:rPr>
          <w:rFonts w:ascii="Times New Roman" w:hAnsi="Times New Roman" w:cs="Times New Roman"/>
          <w:sz w:val="24"/>
          <w:szCs w:val="24"/>
        </w:rPr>
        <w:t xml:space="preserve"> </w:t>
      </w:r>
      <w:r w:rsidR="00021EA0">
        <w:rPr>
          <w:rFonts w:ascii="Times New Roman" w:hAnsi="Times New Roman" w:cs="Times New Roman"/>
          <w:sz w:val="24"/>
          <w:szCs w:val="24"/>
        </w:rPr>
        <w:t xml:space="preserve">and </w:t>
      </w:r>
      <w:r w:rsidRPr="00402158">
        <w:rPr>
          <w:rFonts w:ascii="Times New Roman" w:hAnsi="Times New Roman" w:cs="Times New Roman"/>
          <w:sz w:val="24"/>
          <w:szCs w:val="24"/>
        </w:rPr>
        <w:t>greatly diminish the quality and utility of the data.</w:t>
      </w:r>
    </w:p>
    <w:p w14:paraId="470B7338" w14:textId="77777777" w:rsidR="00F95077" w:rsidRPr="00402158" w:rsidRDefault="00F95077" w:rsidP="00D040EB">
      <w:pPr>
        <w:pStyle w:val="ListParagraph"/>
        <w:spacing w:after="0" w:line="240" w:lineRule="auto"/>
        <w:ind w:left="360"/>
        <w:contextualSpacing w:val="0"/>
        <w:rPr>
          <w:rFonts w:ascii="Times New Roman" w:hAnsi="Times New Roman" w:cs="Times New Roman"/>
          <w:sz w:val="24"/>
          <w:szCs w:val="24"/>
        </w:rPr>
      </w:pPr>
      <w:r w:rsidRPr="00402158">
        <w:rPr>
          <w:rFonts w:ascii="Times New Roman" w:hAnsi="Times New Roman" w:cs="Times New Roman"/>
          <w:sz w:val="24"/>
          <w:szCs w:val="24"/>
        </w:rPr>
        <w:t xml:space="preserve"> </w:t>
      </w:r>
    </w:p>
    <w:p w14:paraId="1D5018F7" w14:textId="77777777" w:rsidR="00F95077" w:rsidRPr="00402158" w:rsidRDefault="00F95077" w:rsidP="00D040EB">
      <w:pPr>
        <w:pStyle w:val="ListParagraph"/>
        <w:spacing w:after="0" w:line="240" w:lineRule="auto"/>
        <w:ind w:left="360"/>
        <w:contextualSpacing w:val="0"/>
        <w:rPr>
          <w:rFonts w:ascii="Times New Roman" w:hAnsi="Times New Roman" w:cs="Times New Roman"/>
          <w:sz w:val="24"/>
          <w:szCs w:val="24"/>
        </w:rPr>
      </w:pPr>
      <w:r w:rsidRPr="00402158">
        <w:rPr>
          <w:rFonts w:ascii="Times New Roman" w:hAnsi="Times New Roman" w:cs="Times New Roman"/>
          <w:sz w:val="24"/>
          <w:szCs w:val="24"/>
        </w:rPr>
        <w:t xml:space="preserve">The potential respondent universe for the prison portion of the MCI consists of the 50 state departments of corrections (DOCs). BJS collects administrative data directly from each of the 50 state DOCs. Respondents are </w:t>
      </w:r>
      <w:r w:rsidR="00F75413" w:rsidRPr="00402158">
        <w:rPr>
          <w:rFonts w:ascii="Times New Roman" w:hAnsi="Times New Roman" w:cs="Times New Roman"/>
          <w:sz w:val="24"/>
          <w:szCs w:val="24"/>
        </w:rPr>
        <w:t>DOC staff from the state that has</w:t>
      </w:r>
      <w:r w:rsidRPr="00402158">
        <w:rPr>
          <w:rFonts w:ascii="Times New Roman" w:hAnsi="Times New Roman" w:cs="Times New Roman"/>
          <w:sz w:val="24"/>
          <w:szCs w:val="24"/>
        </w:rPr>
        <w:t xml:space="preserve"> custody of the decedents.</w:t>
      </w:r>
    </w:p>
    <w:p w14:paraId="24DA8B9B" w14:textId="77777777" w:rsidR="00F95077" w:rsidRPr="00402158" w:rsidRDefault="00F95077" w:rsidP="00D040EB">
      <w:pPr>
        <w:pStyle w:val="ListParagraph"/>
        <w:spacing w:after="0" w:line="240" w:lineRule="auto"/>
        <w:ind w:left="360"/>
        <w:contextualSpacing w:val="0"/>
        <w:rPr>
          <w:rFonts w:ascii="Times New Roman" w:hAnsi="Times New Roman" w:cs="Times New Roman"/>
          <w:sz w:val="24"/>
          <w:szCs w:val="24"/>
        </w:rPr>
      </w:pPr>
    </w:p>
    <w:p w14:paraId="6F2A84E9" w14:textId="77777777" w:rsidR="00F95077" w:rsidRPr="00402158" w:rsidRDefault="00F95077" w:rsidP="00D040EB">
      <w:pPr>
        <w:pStyle w:val="ListParagraph"/>
        <w:spacing w:after="0" w:line="240" w:lineRule="auto"/>
        <w:ind w:left="360"/>
        <w:contextualSpacing w:val="0"/>
        <w:rPr>
          <w:rFonts w:ascii="Times New Roman" w:hAnsi="Times New Roman" w:cs="Times New Roman"/>
          <w:sz w:val="24"/>
          <w:szCs w:val="24"/>
        </w:rPr>
      </w:pPr>
      <w:r w:rsidRPr="00402158">
        <w:rPr>
          <w:rFonts w:ascii="Times New Roman" w:hAnsi="Times New Roman" w:cs="Times New Roman"/>
          <w:sz w:val="24"/>
          <w:szCs w:val="24"/>
        </w:rPr>
        <w:t>The universe for MCI-Local Jails includes approximately 3,000 local jail reporting units nationwide. Local jails are accustomed to the collection and typically, can rely on their existing information systems to easily provide the data requested.</w:t>
      </w:r>
      <w:r w:rsidR="00F75413" w:rsidRPr="00402158">
        <w:rPr>
          <w:rFonts w:ascii="Times New Roman" w:hAnsi="Times New Roman" w:cs="Times New Roman"/>
          <w:sz w:val="24"/>
          <w:szCs w:val="24"/>
        </w:rPr>
        <w:t xml:space="preserve"> Respondents are local jail staff, including sheriffs, correctional officers, or administrative personnel.</w:t>
      </w:r>
    </w:p>
    <w:p w14:paraId="4D39C30C" w14:textId="77777777" w:rsidR="00F95077" w:rsidRPr="00402158" w:rsidRDefault="00F95077" w:rsidP="00D040EB">
      <w:pPr>
        <w:pStyle w:val="ListParagraph"/>
        <w:spacing w:after="0" w:line="240" w:lineRule="auto"/>
        <w:ind w:left="360"/>
        <w:contextualSpacing w:val="0"/>
        <w:rPr>
          <w:rFonts w:ascii="Times New Roman" w:hAnsi="Times New Roman" w:cs="Times New Roman"/>
          <w:sz w:val="24"/>
          <w:szCs w:val="24"/>
        </w:rPr>
      </w:pPr>
    </w:p>
    <w:p w14:paraId="62A644D1" w14:textId="77777777" w:rsidR="00F95077" w:rsidRDefault="00F95077" w:rsidP="00D040EB">
      <w:pPr>
        <w:pStyle w:val="ListParagraph"/>
        <w:numPr>
          <w:ilvl w:val="0"/>
          <w:numId w:val="1"/>
        </w:numPr>
        <w:spacing w:after="0" w:line="240" w:lineRule="auto"/>
        <w:contextualSpacing w:val="0"/>
        <w:rPr>
          <w:rFonts w:ascii="Times New Roman" w:hAnsi="Times New Roman" w:cs="Times New Roman"/>
          <w:sz w:val="24"/>
          <w:szCs w:val="24"/>
          <w:u w:val="single"/>
        </w:rPr>
      </w:pPr>
      <w:r w:rsidRPr="00402158">
        <w:rPr>
          <w:rFonts w:ascii="Times New Roman" w:hAnsi="Times New Roman" w:cs="Times New Roman"/>
          <w:sz w:val="24"/>
          <w:szCs w:val="24"/>
          <w:u w:val="single"/>
        </w:rPr>
        <w:t>Procedures for Information Collection</w:t>
      </w:r>
    </w:p>
    <w:p w14:paraId="5E0CB0C2" w14:textId="77777777" w:rsidR="00D040EB" w:rsidRPr="00402158" w:rsidRDefault="00D040EB" w:rsidP="00D040EB">
      <w:pPr>
        <w:pStyle w:val="ListParagraph"/>
        <w:spacing w:after="0" w:line="240" w:lineRule="auto"/>
        <w:contextualSpacing w:val="0"/>
        <w:rPr>
          <w:rFonts w:ascii="Times New Roman" w:hAnsi="Times New Roman" w:cs="Times New Roman"/>
          <w:sz w:val="24"/>
          <w:szCs w:val="24"/>
          <w:u w:val="single"/>
        </w:rPr>
      </w:pPr>
    </w:p>
    <w:p w14:paraId="1FAAE29D" w14:textId="77777777" w:rsidR="00F95077" w:rsidRDefault="00F95077" w:rsidP="00D040EB">
      <w:pPr>
        <w:spacing w:after="0" w:line="240" w:lineRule="auto"/>
        <w:ind w:left="360"/>
        <w:rPr>
          <w:rFonts w:ascii="Times New Roman" w:hAnsi="Times New Roman" w:cs="Times New Roman"/>
          <w:sz w:val="24"/>
          <w:szCs w:val="24"/>
        </w:rPr>
      </w:pPr>
      <w:r w:rsidRPr="00402158">
        <w:rPr>
          <w:rFonts w:ascii="Times New Roman" w:hAnsi="Times New Roman" w:cs="Times New Roman"/>
          <w:sz w:val="24"/>
          <w:szCs w:val="24"/>
        </w:rPr>
        <w:t xml:space="preserve">In November of the year prior to the upcoming calendar year collection, the MCI data </w:t>
      </w:r>
      <w:r w:rsidR="00F75413" w:rsidRPr="00402158">
        <w:rPr>
          <w:rFonts w:ascii="Times New Roman" w:hAnsi="Times New Roman" w:cs="Times New Roman"/>
          <w:sz w:val="24"/>
          <w:szCs w:val="24"/>
        </w:rPr>
        <w:t>c</w:t>
      </w:r>
      <w:r w:rsidRPr="00402158">
        <w:rPr>
          <w:rFonts w:ascii="Times New Roman" w:hAnsi="Times New Roman" w:cs="Times New Roman"/>
          <w:sz w:val="24"/>
          <w:szCs w:val="24"/>
        </w:rPr>
        <w:t>ollection agent conducts verification calls on behalf of BJS. Through the verification process, the data collection agent confirms that agency contact information is correct</w:t>
      </w:r>
      <w:r w:rsidR="00F75413" w:rsidRPr="00402158">
        <w:rPr>
          <w:rFonts w:ascii="Times New Roman" w:hAnsi="Times New Roman" w:cs="Times New Roman"/>
          <w:sz w:val="24"/>
          <w:szCs w:val="24"/>
        </w:rPr>
        <w:t>,</w:t>
      </w:r>
      <w:r w:rsidRPr="00402158">
        <w:rPr>
          <w:rFonts w:ascii="Times New Roman" w:hAnsi="Times New Roman" w:cs="Times New Roman"/>
          <w:sz w:val="24"/>
          <w:szCs w:val="24"/>
        </w:rPr>
        <w:t xml:space="preserve"> and ensures that jail reporting units meet the criteria for inclusion in the MCI. Changes in prison respondents are uncommon, </w:t>
      </w:r>
      <w:r w:rsidR="00F75413" w:rsidRPr="00402158">
        <w:rPr>
          <w:rFonts w:ascii="Times New Roman" w:hAnsi="Times New Roman" w:cs="Times New Roman"/>
          <w:sz w:val="24"/>
          <w:szCs w:val="24"/>
        </w:rPr>
        <w:t>but</w:t>
      </w:r>
      <w:r w:rsidRPr="00402158">
        <w:rPr>
          <w:rFonts w:ascii="Times New Roman" w:hAnsi="Times New Roman" w:cs="Times New Roman"/>
          <w:sz w:val="24"/>
          <w:szCs w:val="24"/>
        </w:rPr>
        <w:t xml:space="preserve"> there are numerous updates to the jail universe annually. </w:t>
      </w:r>
      <w:r w:rsidR="00F75413" w:rsidRPr="00402158">
        <w:rPr>
          <w:rFonts w:ascii="Times New Roman" w:hAnsi="Times New Roman" w:cs="Times New Roman"/>
          <w:sz w:val="24"/>
          <w:szCs w:val="24"/>
        </w:rPr>
        <w:t>To further reduce burden on respondents, the</w:t>
      </w:r>
      <w:r w:rsidRPr="00402158">
        <w:rPr>
          <w:rFonts w:ascii="Times New Roman" w:hAnsi="Times New Roman" w:cs="Times New Roman"/>
          <w:sz w:val="24"/>
          <w:szCs w:val="24"/>
        </w:rPr>
        <w:t xml:space="preserve"> updated list of eligible jail </w:t>
      </w:r>
      <w:r w:rsidR="00F75413" w:rsidRPr="00402158">
        <w:rPr>
          <w:rFonts w:ascii="Times New Roman" w:hAnsi="Times New Roman" w:cs="Times New Roman"/>
          <w:sz w:val="24"/>
          <w:szCs w:val="24"/>
        </w:rPr>
        <w:t xml:space="preserve">reporting units is used by </w:t>
      </w:r>
      <w:r w:rsidRPr="00402158">
        <w:rPr>
          <w:rFonts w:ascii="Times New Roman" w:hAnsi="Times New Roman" w:cs="Times New Roman"/>
          <w:sz w:val="24"/>
          <w:szCs w:val="24"/>
        </w:rPr>
        <w:t xml:space="preserve">MCI </w:t>
      </w:r>
      <w:r w:rsidR="00F75413" w:rsidRPr="00402158">
        <w:rPr>
          <w:rFonts w:ascii="Times New Roman" w:hAnsi="Times New Roman" w:cs="Times New Roman"/>
          <w:sz w:val="24"/>
          <w:szCs w:val="24"/>
        </w:rPr>
        <w:t>as well as other BJS jail collections, including the Annual Survey of Jails (ASJ) and the Census of Jails (COJ).</w:t>
      </w:r>
    </w:p>
    <w:p w14:paraId="62011197" w14:textId="77777777" w:rsidR="00D040EB" w:rsidRPr="00402158" w:rsidRDefault="00D040EB" w:rsidP="00D040EB">
      <w:pPr>
        <w:spacing w:after="0" w:line="240" w:lineRule="auto"/>
        <w:ind w:left="360"/>
        <w:rPr>
          <w:rFonts w:ascii="Times New Roman" w:hAnsi="Times New Roman" w:cs="Times New Roman"/>
          <w:sz w:val="24"/>
          <w:szCs w:val="24"/>
        </w:rPr>
      </w:pPr>
    </w:p>
    <w:p w14:paraId="79C46EF5" w14:textId="31B95E2B" w:rsidR="00F95077" w:rsidRDefault="00F95077" w:rsidP="00D040EB">
      <w:pPr>
        <w:spacing w:after="0" w:line="240" w:lineRule="auto"/>
        <w:ind w:left="360"/>
        <w:rPr>
          <w:rFonts w:ascii="Times New Roman" w:hAnsi="Times New Roman" w:cs="Times New Roman"/>
          <w:sz w:val="24"/>
          <w:szCs w:val="24"/>
        </w:rPr>
      </w:pPr>
      <w:r w:rsidRPr="00402158">
        <w:rPr>
          <w:rFonts w:ascii="Times New Roman" w:hAnsi="Times New Roman" w:cs="Times New Roman"/>
          <w:sz w:val="24"/>
          <w:szCs w:val="24"/>
        </w:rPr>
        <w:t xml:space="preserve">Using the contact information obtained from the verification calls, the MCI data collection agent sends each potential respondent, either by postal mail or email, an information packet announcing the start of the current year’s collection cycle (Appendix X), typically in mid-January. The mailings (or emails) include reporting instructions, a </w:t>
      </w:r>
      <w:r w:rsidR="00F75413" w:rsidRPr="00402158">
        <w:rPr>
          <w:rFonts w:ascii="Times New Roman" w:hAnsi="Times New Roman" w:cs="Times New Roman"/>
          <w:sz w:val="24"/>
          <w:szCs w:val="24"/>
        </w:rPr>
        <w:t xml:space="preserve">brief sheet consisting of a </w:t>
      </w:r>
      <w:r w:rsidRPr="00402158">
        <w:rPr>
          <w:rFonts w:ascii="Times New Roman" w:hAnsi="Times New Roman" w:cs="Times New Roman"/>
          <w:sz w:val="24"/>
          <w:szCs w:val="24"/>
        </w:rPr>
        <w:t>short quiz</w:t>
      </w:r>
      <w:r w:rsidR="00F75413" w:rsidRPr="00402158">
        <w:rPr>
          <w:rFonts w:ascii="Times New Roman" w:hAnsi="Times New Roman" w:cs="Times New Roman"/>
          <w:sz w:val="24"/>
          <w:szCs w:val="24"/>
        </w:rPr>
        <w:t xml:space="preserve"> for fun (no responses are collected)</w:t>
      </w:r>
      <w:r w:rsidR="00992D06">
        <w:rPr>
          <w:rFonts w:ascii="Times New Roman" w:hAnsi="Times New Roman" w:cs="Times New Roman"/>
          <w:sz w:val="24"/>
          <w:szCs w:val="24"/>
        </w:rPr>
        <w:t>,</w:t>
      </w:r>
      <w:r w:rsidR="00F75413" w:rsidRPr="00402158">
        <w:rPr>
          <w:rFonts w:ascii="Times New Roman" w:hAnsi="Times New Roman" w:cs="Times New Roman"/>
          <w:sz w:val="24"/>
          <w:szCs w:val="24"/>
        </w:rPr>
        <w:t xml:space="preserve"> MCI fact</w:t>
      </w:r>
      <w:r w:rsidR="00044858" w:rsidRPr="00402158">
        <w:rPr>
          <w:rFonts w:ascii="Times New Roman" w:hAnsi="Times New Roman" w:cs="Times New Roman"/>
          <w:sz w:val="24"/>
          <w:szCs w:val="24"/>
        </w:rPr>
        <w:t>s,</w:t>
      </w:r>
      <w:r w:rsidRPr="00402158">
        <w:rPr>
          <w:rFonts w:ascii="Times New Roman" w:hAnsi="Times New Roman" w:cs="Times New Roman"/>
          <w:sz w:val="24"/>
          <w:szCs w:val="24"/>
        </w:rPr>
        <w:t xml:space="preserve"> and login credentials for submitting data online through the MCI website. Respondents are reminded to submit an annual summary form, even if no deaths occurred in their agencies’ custody during the year, along with any outstanding death report forms from the preceding year. BJS requests that agencies submit their forms by February 28</w:t>
      </w:r>
      <w:r w:rsidR="00D86F26">
        <w:rPr>
          <w:rFonts w:ascii="Times New Roman" w:hAnsi="Times New Roman" w:cs="Times New Roman"/>
          <w:sz w:val="24"/>
          <w:szCs w:val="24"/>
        </w:rPr>
        <w:t xml:space="preserve"> of the year following the death</w:t>
      </w:r>
      <w:r w:rsidRPr="00402158">
        <w:rPr>
          <w:rFonts w:ascii="Times New Roman" w:hAnsi="Times New Roman" w:cs="Times New Roman"/>
          <w:sz w:val="24"/>
          <w:szCs w:val="24"/>
        </w:rPr>
        <w:t xml:space="preserve">. Most agencies submit their reports electronically through the MCI website, but some DOCs from larger states, such as California and Texas, submit encrypted bulk files. </w:t>
      </w:r>
    </w:p>
    <w:p w14:paraId="13489176" w14:textId="77777777" w:rsidR="00D040EB" w:rsidRPr="00402158" w:rsidRDefault="00D040EB" w:rsidP="00D040EB">
      <w:pPr>
        <w:spacing w:after="0" w:line="240" w:lineRule="auto"/>
        <w:ind w:left="360"/>
        <w:rPr>
          <w:rFonts w:ascii="Times New Roman" w:hAnsi="Times New Roman" w:cs="Times New Roman"/>
          <w:sz w:val="24"/>
          <w:szCs w:val="24"/>
        </w:rPr>
      </w:pPr>
    </w:p>
    <w:p w14:paraId="7FE1A99B" w14:textId="77777777" w:rsidR="00F95077" w:rsidRDefault="00F95077" w:rsidP="00D040EB">
      <w:pPr>
        <w:spacing w:after="0" w:line="240" w:lineRule="auto"/>
        <w:ind w:left="360"/>
        <w:rPr>
          <w:rFonts w:ascii="Times New Roman" w:hAnsi="Times New Roman" w:cs="Times New Roman"/>
          <w:sz w:val="24"/>
          <w:szCs w:val="24"/>
        </w:rPr>
      </w:pPr>
      <w:r w:rsidRPr="00402158">
        <w:rPr>
          <w:rFonts w:ascii="Times New Roman" w:hAnsi="Times New Roman" w:cs="Times New Roman"/>
          <w:sz w:val="24"/>
          <w:szCs w:val="24"/>
        </w:rPr>
        <w:lastRenderedPageBreak/>
        <w:t xml:space="preserve">Data quality follow-up </w:t>
      </w:r>
      <w:r w:rsidR="00044858" w:rsidRPr="00402158">
        <w:rPr>
          <w:rFonts w:ascii="Times New Roman" w:hAnsi="Times New Roman" w:cs="Times New Roman"/>
          <w:sz w:val="24"/>
          <w:szCs w:val="24"/>
        </w:rPr>
        <w:t xml:space="preserve">(DQFU) </w:t>
      </w:r>
      <w:r w:rsidRPr="00402158">
        <w:rPr>
          <w:rFonts w:ascii="Times New Roman" w:hAnsi="Times New Roman" w:cs="Times New Roman"/>
          <w:sz w:val="24"/>
          <w:szCs w:val="24"/>
        </w:rPr>
        <w:t xml:space="preserve">and reminders to submit data can begin as early as February. </w:t>
      </w:r>
      <w:r w:rsidR="00044858" w:rsidRPr="00402158">
        <w:rPr>
          <w:rFonts w:ascii="Times New Roman" w:hAnsi="Times New Roman" w:cs="Times New Roman"/>
          <w:sz w:val="24"/>
          <w:szCs w:val="24"/>
        </w:rPr>
        <w:t xml:space="preserve">Based on </w:t>
      </w:r>
      <w:r w:rsidRPr="00402158">
        <w:rPr>
          <w:rFonts w:ascii="Times New Roman" w:hAnsi="Times New Roman" w:cs="Times New Roman"/>
          <w:sz w:val="24"/>
          <w:szCs w:val="24"/>
        </w:rPr>
        <w:t xml:space="preserve">several years’ experience, the data collection agent has demonstrated that conducting data quality follow-up on a rolling basis, instead of waiting until a prescribed number of records have been received by a fixed date, yields the best response rates and most complete data. Reminders and data quality follow-up occur by phone, email, and postal mail. Project teams employed by the data collection agent manage the outreach activities and assign agency liaisons to handle correspondence with particular agencies. Agency liaisons (data collection staff) communicate with the largest agencies and those with special requirements. The majority of </w:t>
      </w:r>
      <w:r w:rsidR="00044858" w:rsidRPr="00402158">
        <w:rPr>
          <w:rFonts w:ascii="Times New Roman" w:hAnsi="Times New Roman" w:cs="Times New Roman"/>
          <w:sz w:val="24"/>
          <w:szCs w:val="24"/>
        </w:rPr>
        <w:t>DQFU</w:t>
      </w:r>
      <w:r w:rsidRPr="00402158">
        <w:rPr>
          <w:rFonts w:ascii="Times New Roman" w:hAnsi="Times New Roman" w:cs="Times New Roman"/>
          <w:sz w:val="24"/>
          <w:szCs w:val="24"/>
        </w:rPr>
        <w:t xml:space="preserve"> calls are made by call center staff, who are usually familiar with the MCI collection and are trained by the data collection agent.</w:t>
      </w:r>
    </w:p>
    <w:p w14:paraId="2167A0AB" w14:textId="77777777" w:rsidR="00D040EB" w:rsidRPr="00402158" w:rsidRDefault="00D040EB" w:rsidP="00D040EB">
      <w:pPr>
        <w:spacing w:after="0" w:line="240" w:lineRule="auto"/>
        <w:ind w:left="360"/>
        <w:rPr>
          <w:rFonts w:ascii="Times New Roman" w:hAnsi="Times New Roman" w:cs="Times New Roman"/>
          <w:sz w:val="24"/>
          <w:szCs w:val="24"/>
        </w:rPr>
      </w:pPr>
    </w:p>
    <w:p w14:paraId="0F34A236" w14:textId="77777777" w:rsidR="00F95077" w:rsidRPr="00402158" w:rsidRDefault="00F95077" w:rsidP="00D040EB">
      <w:pPr>
        <w:spacing w:after="0" w:line="240" w:lineRule="auto"/>
        <w:ind w:left="360"/>
        <w:rPr>
          <w:rFonts w:ascii="Times New Roman" w:hAnsi="Times New Roman" w:cs="Times New Roman"/>
          <w:sz w:val="24"/>
          <w:szCs w:val="24"/>
        </w:rPr>
      </w:pPr>
      <w:r w:rsidRPr="00402158">
        <w:rPr>
          <w:rFonts w:ascii="Times New Roman" w:hAnsi="Times New Roman" w:cs="Times New Roman"/>
          <w:sz w:val="24"/>
          <w:szCs w:val="24"/>
        </w:rPr>
        <w:t>The data collection agent monitors the MCI data and its respondents throughout the active data collection period, which includes tracking</w:t>
      </w:r>
      <w:r w:rsidR="00316E90">
        <w:rPr>
          <w:rFonts w:ascii="Times New Roman" w:hAnsi="Times New Roman" w:cs="Times New Roman"/>
          <w:sz w:val="24"/>
          <w:szCs w:val="24"/>
        </w:rPr>
        <w:t xml:space="preserve"> the</w:t>
      </w:r>
      <w:r w:rsidRPr="00402158">
        <w:rPr>
          <w:rFonts w:ascii="Times New Roman" w:hAnsi="Times New Roman" w:cs="Times New Roman"/>
          <w:sz w:val="24"/>
          <w:szCs w:val="24"/>
        </w:rPr>
        <w:t xml:space="preserve"> time to complete, number and nature of contacts made to each agency, and reports to BJS on the status and number of forms received from each agency to-date. Typically a data collection cycle ends in September, culminating in the delivery of data files to BJS</w:t>
      </w:r>
      <w:r w:rsidR="00124FAB" w:rsidRPr="00402158">
        <w:rPr>
          <w:rFonts w:ascii="Times New Roman" w:hAnsi="Times New Roman" w:cs="Times New Roman"/>
          <w:sz w:val="24"/>
          <w:szCs w:val="24"/>
        </w:rPr>
        <w:t xml:space="preserve"> by late September or early October</w:t>
      </w:r>
      <w:r w:rsidRPr="00402158">
        <w:rPr>
          <w:rFonts w:ascii="Times New Roman" w:hAnsi="Times New Roman" w:cs="Times New Roman"/>
          <w:sz w:val="24"/>
          <w:szCs w:val="24"/>
        </w:rPr>
        <w:t>.</w:t>
      </w:r>
    </w:p>
    <w:p w14:paraId="713FB1AE" w14:textId="77777777" w:rsidR="00F95077" w:rsidRPr="00402158" w:rsidRDefault="00F95077" w:rsidP="00D040EB">
      <w:pPr>
        <w:spacing w:after="0" w:line="240" w:lineRule="auto"/>
        <w:ind w:left="360"/>
        <w:rPr>
          <w:rFonts w:ascii="Times New Roman" w:hAnsi="Times New Roman" w:cs="Times New Roman"/>
          <w:sz w:val="24"/>
          <w:szCs w:val="24"/>
        </w:rPr>
      </w:pPr>
    </w:p>
    <w:p w14:paraId="339045AA" w14:textId="77777777" w:rsidR="00F95077" w:rsidRDefault="00F95077" w:rsidP="00D040EB">
      <w:pPr>
        <w:pStyle w:val="ListParagraph"/>
        <w:numPr>
          <w:ilvl w:val="0"/>
          <w:numId w:val="1"/>
        </w:numPr>
        <w:spacing w:after="0" w:line="240" w:lineRule="auto"/>
        <w:contextualSpacing w:val="0"/>
        <w:rPr>
          <w:rFonts w:ascii="Times New Roman" w:hAnsi="Times New Roman" w:cs="Times New Roman"/>
          <w:sz w:val="24"/>
          <w:szCs w:val="24"/>
          <w:u w:val="single"/>
        </w:rPr>
      </w:pPr>
      <w:r w:rsidRPr="00402158">
        <w:rPr>
          <w:rFonts w:ascii="Times New Roman" w:hAnsi="Times New Roman" w:cs="Times New Roman"/>
          <w:sz w:val="24"/>
          <w:szCs w:val="24"/>
          <w:u w:val="single"/>
        </w:rPr>
        <w:t>Methods to Maximize Response</w:t>
      </w:r>
    </w:p>
    <w:p w14:paraId="27E5F9B0" w14:textId="77777777" w:rsidR="00D040EB" w:rsidRPr="00402158" w:rsidRDefault="00D040EB" w:rsidP="00D040EB">
      <w:pPr>
        <w:pStyle w:val="ListParagraph"/>
        <w:spacing w:after="0" w:line="240" w:lineRule="auto"/>
        <w:contextualSpacing w:val="0"/>
        <w:rPr>
          <w:rFonts w:ascii="Times New Roman" w:hAnsi="Times New Roman" w:cs="Times New Roman"/>
          <w:sz w:val="24"/>
          <w:szCs w:val="24"/>
          <w:u w:val="single"/>
        </w:rPr>
      </w:pPr>
    </w:p>
    <w:p w14:paraId="40CD6280" w14:textId="2F5E7429" w:rsidR="00F95077" w:rsidRDefault="00F95077" w:rsidP="00D040EB">
      <w:pPr>
        <w:spacing w:after="0" w:line="240" w:lineRule="auto"/>
        <w:ind w:left="360"/>
        <w:rPr>
          <w:rFonts w:ascii="Times New Roman" w:hAnsi="Times New Roman" w:cs="Times New Roman"/>
          <w:sz w:val="24"/>
          <w:szCs w:val="24"/>
        </w:rPr>
      </w:pPr>
      <w:r w:rsidRPr="00402158">
        <w:rPr>
          <w:rFonts w:ascii="Times New Roman" w:hAnsi="Times New Roman" w:cs="Times New Roman"/>
          <w:sz w:val="24"/>
          <w:szCs w:val="24"/>
        </w:rPr>
        <w:t xml:space="preserve">BJS and </w:t>
      </w:r>
      <w:r w:rsidR="00124FAB" w:rsidRPr="00402158">
        <w:rPr>
          <w:rFonts w:ascii="Times New Roman" w:hAnsi="Times New Roman" w:cs="Times New Roman"/>
          <w:sz w:val="24"/>
          <w:szCs w:val="24"/>
        </w:rPr>
        <w:t>data collection agent</w:t>
      </w:r>
      <w:r w:rsidRPr="00402158">
        <w:rPr>
          <w:rFonts w:ascii="Times New Roman" w:hAnsi="Times New Roman" w:cs="Times New Roman"/>
          <w:sz w:val="24"/>
          <w:szCs w:val="24"/>
        </w:rPr>
        <w:t xml:space="preserve"> staff market the mortality data collections to generate interest among stakeholders and encourage participation. Typically BJS receives feedback through email</w:t>
      </w:r>
      <w:r w:rsidR="00D86F26">
        <w:rPr>
          <w:rFonts w:ascii="Times New Roman" w:hAnsi="Times New Roman" w:cs="Times New Roman"/>
          <w:sz w:val="24"/>
          <w:szCs w:val="24"/>
        </w:rPr>
        <w:t xml:space="preserve"> from jail administrators and DOC personnel</w:t>
      </w:r>
      <w:r w:rsidRPr="00402158">
        <w:rPr>
          <w:rFonts w:ascii="Times New Roman" w:hAnsi="Times New Roman" w:cs="Times New Roman"/>
          <w:sz w:val="24"/>
          <w:szCs w:val="24"/>
        </w:rPr>
        <w:t xml:space="preserve">, at healthcare-related or correctional conferences, and comments from respondents during data collection. BJS staff also present at conferences about the needs and uses of mortality data. Discussions with various stakeholders and respondents reveal general satisfaction with </w:t>
      </w:r>
      <w:r w:rsidR="00316E90">
        <w:rPr>
          <w:rFonts w:ascii="Times New Roman" w:hAnsi="Times New Roman" w:cs="Times New Roman"/>
          <w:sz w:val="24"/>
          <w:szCs w:val="24"/>
        </w:rPr>
        <w:t xml:space="preserve">the </w:t>
      </w:r>
      <w:r w:rsidRPr="00402158">
        <w:rPr>
          <w:rFonts w:ascii="Times New Roman" w:hAnsi="Times New Roman" w:cs="Times New Roman"/>
          <w:sz w:val="24"/>
          <w:szCs w:val="24"/>
        </w:rPr>
        <w:t>current questionnaires, including topic relevance and clarity of instructions.</w:t>
      </w:r>
    </w:p>
    <w:p w14:paraId="2E377A9D" w14:textId="77777777" w:rsidR="00D040EB" w:rsidRPr="00402158" w:rsidRDefault="00D040EB" w:rsidP="00D040EB">
      <w:pPr>
        <w:spacing w:after="0" w:line="240" w:lineRule="auto"/>
        <w:ind w:left="360"/>
        <w:rPr>
          <w:rFonts w:ascii="Times New Roman" w:hAnsi="Times New Roman" w:cs="Times New Roman"/>
          <w:sz w:val="24"/>
          <w:szCs w:val="24"/>
        </w:rPr>
      </w:pPr>
    </w:p>
    <w:p w14:paraId="224896E1" w14:textId="2C148C69" w:rsidR="00F95077" w:rsidRDefault="00F95077" w:rsidP="00D040EB">
      <w:pPr>
        <w:spacing w:after="0" w:line="240" w:lineRule="auto"/>
        <w:ind w:left="360"/>
        <w:rPr>
          <w:rFonts w:ascii="Times New Roman" w:hAnsi="Times New Roman" w:cs="Times New Roman"/>
          <w:sz w:val="24"/>
          <w:szCs w:val="24"/>
        </w:rPr>
      </w:pPr>
      <w:r w:rsidRPr="00402158">
        <w:rPr>
          <w:rFonts w:ascii="Times New Roman" w:hAnsi="Times New Roman" w:cs="Times New Roman"/>
          <w:sz w:val="24"/>
          <w:szCs w:val="24"/>
        </w:rPr>
        <w:t xml:space="preserve">BJS has consistently achieved high response rates for the state prison and local jail inmate mortality data collections. All 50 state DOCs have participated each year since the prison mortality data collection’s inception in 2001. Since BJS initiated the MCI-Local Jails collection in 2000, it had an average annual response rate of 98% from approximately 3,000 local jail jurisdictions. In 2013, the response rate decreased slightly to 92.6% </w:t>
      </w:r>
      <w:r w:rsidR="00EC269F" w:rsidRPr="00402158">
        <w:rPr>
          <w:rFonts w:ascii="Times New Roman" w:hAnsi="Times New Roman" w:cs="Times New Roman"/>
          <w:sz w:val="24"/>
          <w:szCs w:val="24"/>
        </w:rPr>
        <w:t xml:space="preserve">due to a single-year increase in questions about the jail facilities, </w:t>
      </w:r>
      <w:r w:rsidRPr="00402158">
        <w:rPr>
          <w:rFonts w:ascii="Times New Roman" w:hAnsi="Times New Roman" w:cs="Times New Roman"/>
          <w:sz w:val="24"/>
          <w:szCs w:val="24"/>
        </w:rPr>
        <w:t>but rebounded to 95.7% in 2014 (table 3). Given the historically high response rates</w:t>
      </w:r>
      <w:r w:rsidR="00D86F26">
        <w:rPr>
          <w:rFonts w:ascii="Times New Roman" w:hAnsi="Times New Roman" w:cs="Times New Roman"/>
          <w:sz w:val="24"/>
          <w:szCs w:val="24"/>
        </w:rPr>
        <w:t xml:space="preserve"> for most survey items</w:t>
      </w:r>
      <w:r w:rsidRPr="00402158">
        <w:rPr>
          <w:rFonts w:ascii="Times New Roman" w:hAnsi="Times New Roman" w:cs="Times New Roman"/>
          <w:sz w:val="24"/>
          <w:szCs w:val="24"/>
        </w:rPr>
        <w:t xml:space="preserve">, BJS typically </w:t>
      </w:r>
      <w:r w:rsidR="00D86F26">
        <w:rPr>
          <w:rFonts w:ascii="Times New Roman" w:hAnsi="Times New Roman" w:cs="Times New Roman"/>
          <w:sz w:val="24"/>
          <w:szCs w:val="24"/>
        </w:rPr>
        <w:t>does not report missing data in its statistical tables published annually to report on deaths in custody of prisons and jails</w:t>
      </w:r>
      <w:r w:rsidRPr="00402158">
        <w:rPr>
          <w:rFonts w:ascii="Times New Roman" w:hAnsi="Times New Roman" w:cs="Times New Roman"/>
          <w:sz w:val="24"/>
          <w:szCs w:val="24"/>
        </w:rPr>
        <w:t xml:space="preserve">. The only exception to </w:t>
      </w:r>
      <w:r w:rsidR="00D86F26">
        <w:rPr>
          <w:rFonts w:ascii="Times New Roman" w:hAnsi="Times New Roman" w:cs="Times New Roman"/>
          <w:sz w:val="24"/>
          <w:szCs w:val="24"/>
        </w:rPr>
        <w:t>this</w:t>
      </w:r>
      <w:r w:rsidRPr="00402158">
        <w:rPr>
          <w:rFonts w:ascii="Times New Roman" w:hAnsi="Times New Roman" w:cs="Times New Roman"/>
          <w:sz w:val="24"/>
          <w:szCs w:val="24"/>
        </w:rPr>
        <w:t xml:space="preserve"> </w:t>
      </w:r>
      <w:r w:rsidR="00D86F26">
        <w:rPr>
          <w:rFonts w:ascii="Times New Roman" w:hAnsi="Times New Roman" w:cs="Times New Roman"/>
          <w:sz w:val="24"/>
          <w:szCs w:val="24"/>
        </w:rPr>
        <w:t>practice</w:t>
      </w:r>
      <w:r w:rsidR="00D86F26" w:rsidRPr="00402158">
        <w:rPr>
          <w:rFonts w:ascii="Times New Roman" w:hAnsi="Times New Roman" w:cs="Times New Roman"/>
          <w:sz w:val="24"/>
          <w:szCs w:val="24"/>
        </w:rPr>
        <w:t xml:space="preserve"> </w:t>
      </w:r>
      <w:r w:rsidRPr="00402158">
        <w:rPr>
          <w:rFonts w:ascii="Times New Roman" w:hAnsi="Times New Roman" w:cs="Times New Roman"/>
          <w:sz w:val="24"/>
          <w:szCs w:val="24"/>
        </w:rPr>
        <w:t>is in reporting total number of deaths, where cases missing cause of death are included to ensure an accurate total</w:t>
      </w:r>
      <w:r w:rsidR="002B672E" w:rsidRPr="00402158">
        <w:rPr>
          <w:rFonts w:ascii="Times New Roman" w:hAnsi="Times New Roman" w:cs="Times New Roman"/>
          <w:sz w:val="24"/>
          <w:szCs w:val="24"/>
        </w:rPr>
        <w:t xml:space="preserve"> number of deaths</w:t>
      </w:r>
      <w:r w:rsidRPr="00402158">
        <w:rPr>
          <w:rFonts w:ascii="Times New Roman" w:hAnsi="Times New Roman" w:cs="Times New Roman"/>
          <w:sz w:val="24"/>
          <w:szCs w:val="24"/>
        </w:rPr>
        <w:t xml:space="preserve">. BJS does not impute missing values of individual death data elements. </w:t>
      </w:r>
    </w:p>
    <w:p w14:paraId="14174580" w14:textId="77777777" w:rsidR="00D86F26" w:rsidRDefault="00D86F26" w:rsidP="00D040EB">
      <w:pPr>
        <w:spacing w:after="0" w:line="240" w:lineRule="auto"/>
        <w:ind w:left="360"/>
        <w:rPr>
          <w:rFonts w:ascii="Times New Roman" w:hAnsi="Times New Roman" w:cs="Times New Roman"/>
          <w:sz w:val="24"/>
          <w:szCs w:val="24"/>
        </w:rPr>
      </w:pPr>
    </w:p>
    <w:p w14:paraId="55D0E910" w14:textId="77777777" w:rsidR="00F95077" w:rsidRPr="00402158" w:rsidRDefault="00402158" w:rsidP="00D040EB">
      <w:pPr>
        <w:spacing w:after="0" w:line="240" w:lineRule="auto"/>
        <w:ind w:firstLine="360"/>
        <w:rPr>
          <w:rFonts w:ascii="Times New Roman" w:hAnsi="Times New Roman" w:cs="Times New Roman"/>
          <w:b/>
          <w:sz w:val="24"/>
          <w:szCs w:val="24"/>
        </w:rPr>
      </w:pPr>
      <w:r w:rsidRPr="00402158">
        <w:rPr>
          <w:rFonts w:ascii="Times New Roman" w:hAnsi="Times New Roman" w:cs="Times New Roman"/>
          <w:b/>
          <w:sz w:val="24"/>
          <w:szCs w:val="24"/>
        </w:rPr>
        <w:t>Table 4</w:t>
      </w:r>
      <w:r w:rsidR="00F95077" w:rsidRPr="00402158">
        <w:rPr>
          <w:rFonts w:ascii="Times New Roman" w:hAnsi="Times New Roman" w:cs="Times New Roman"/>
          <w:b/>
          <w:sz w:val="24"/>
          <w:szCs w:val="24"/>
        </w:rPr>
        <w:t>. Response rates for eligible jail jurisdictions in the MCI frame, 2013-2017</w:t>
      </w:r>
    </w:p>
    <w:tbl>
      <w:tblPr>
        <w:tblStyle w:val="TableGrid"/>
        <w:tblW w:w="8704" w:type="dxa"/>
        <w:tblInd w:w="360" w:type="dxa"/>
        <w:tblLook w:val="04A0" w:firstRow="1" w:lastRow="0" w:firstColumn="1" w:lastColumn="0" w:noHBand="0" w:noVBand="1"/>
      </w:tblPr>
      <w:tblGrid>
        <w:gridCol w:w="4524"/>
        <w:gridCol w:w="836"/>
        <w:gridCol w:w="836"/>
        <w:gridCol w:w="836"/>
        <w:gridCol w:w="836"/>
        <w:gridCol w:w="836"/>
      </w:tblGrid>
      <w:tr w:rsidR="00F95077" w:rsidRPr="00402158" w14:paraId="1EB257F7" w14:textId="77777777" w:rsidTr="002B672E">
        <w:tc>
          <w:tcPr>
            <w:tcW w:w="4589" w:type="dxa"/>
          </w:tcPr>
          <w:p w14:paraId="4A89F4E9" w14:textId="77777777" w:rsidR="00F95077" w:rsidRPr="00402158" w:rsidRDefault="00F95077" w:rsidP="00D040EB">
            <w:pPr>
              <w:rPr>
                <w:rFonts w:ascii="Times New Roman" w:hAnsi="Times New Roman" w:cs="Times New Roman"/>
                <w:sz w:val="24"/>
                <w:szCs w:val="24"/>
              </w:rPr>
            </w:pPr>
          </w:p>
        </w:tc>
        <w:tc>
          <w:tcPr>
            <w:tcW w:w="823" w:type="dxa"/>
          </w:tcPr>
          <w:p w14:paraId="29857047" w14:textId="77777777" w:rsidR="00F95077" w:rsidRPr="00402158" w:rsidRDefault="00F95077" w:rsidP="00D040EB">
            <w:pPr>
              <w:jc w:val="center"/>
              <w:rPr>
                <w:rFonts w:ascii="Times New Roman" w:hAnsi="Times New Roman" w:cs="Times New Roman"/>
                <w:b/>
                <w:sz w:val="24"/>
                <w:szCs w:val="24"/>
              </w:rPr>
            </w:pPr>
            <w:r w:rsidRPr="00402158">
              <w:rPr>
                <w:rFonts w:ascii="Times New Roman" w:hAnsi="Times New Roman" w:cs="Times New Roman"/>
                <w:b/>
                <w:sz w:val="24"/>
                <w:szCs w:val="24"/>
              </w:rPr>
              <w:t>2013</w:t>
            </w:r>
          </w:p>
        </w:tc>
        <w:tc>
          <w:tcPr>
            <w:tcW w:w="823" w:type="dxa"/>
          </w:tcPr>
          <w:p w14:paraId="7F312144" w14:textId="77777777" w:rsidR="00F95077" w:rsidRPr="00402158" w:rsidRDefault="00F95077" w:rsidP="00D040EB">
            <w:pPr>
              <w:jc w:val="center"/>
              <w:rPr>
                <w:rFonts w:ascii="Times New Roman" w:hAnsi="Times New Roman" w:cs="Times New Roman"/>
                <w:b/>
                <w:sz w:val="24"/>
                <w:szCs w:val="24"/>
              </w:rPr>
            </w:pPr>
            <w:r w:rsidRPr="00402158">
              <w:rPr>
                <w:rFonts w:ascii="Times New Roman" w:hAnsi="Times New Roman" w:cs="Times New Roman"/>
                <w:b/>
                <w:sz w:val="24"/>
                <w:szCs w:val="24"/>
              </w:rPr>
              <w:t>2014</w:t>
            </w:r>
          </w:p>
        </w:tc>
        <w:tc>
          <w:tcPr>
            <w:tcW w:w="823" w:type="dxa"/>
          </w:tcPr>
          <w:p w14:paraId="1AD626DD" w14:textId="77777777" w:rsidR="00F95077" w:rsidRPr="00402158" w:rsidRDefault="00F95077" w:rsidP="00D040EB">
            <w:pPr>
              <w:jc w:val="center"/>
              <w:rPr>
                <w:rFonts w:ascii="Times New Roman" w:hAnsi="Times New Roman" w:cs="Times New Roman"/>
                <w:b/>
                <w:sz w:val="24"/>
                <w:szCs w:val="24"/>
              </w:rPr>
            </w:pPr>
            <w:r w:rsidRPr="00402158">
              <w:rPr>
                <w:rFonts w:ascii="Times New Roman" w:hAnsi="Times New Roman" w:cs="Times New Roman"/>
                <w:b/>
                <w:sz w:val="24"/>
                <w:szCs w:val="24"/>
              </w:rPr>
              <w:t>2015</w:t>
            </w:r>
          </w:p>
        </w:tc>
        <w:tc>
          <w:tcPr>
            <w:tcW w:w="823" w:type="dxa"/>
          </w:tcPr>
          <w:p w14:paraId="249DBB30" w14:textId="77777777" w:rsidR="00F95077" w:rsidRPr="00402158" w:rsidRDefault="00F95077" w:rsidP="00D040EB">
            <w:pPr>
              <w:jc w:val="center"/>
              <w:rPr>
                <w:rFonts w:ascii="Times New Roman" w:hAnsi="Times New Roman" w:cs="Times New Roman"/>
                <w:b/>
                <w:sz w:val="24"/>
                <w:szCs w:val="24"/>
              </w:rPr>
            </w:pPr>
            <w:r w:rsidRPr="00402158">
              <w:rPr>
                <w:rFonts w:ascii="Times New Roman" w:hAnsi="Times New Roman" w:cs="Times New Roman"/>
                <w:b/>
                <w:sz w:val="24"/>
                <w:szCs w:val="24"/>
              </w:rPr>
              <w:t>2016</w:t>
            </w:r>
          </w:p>
        </w:tc>
        <w:tc>
          <w:tcPr>
            <w:tcW w:w="823" w:type="dxa"/>
          </w:tcPr>
          <w:p w14:paraId="5222DE2D" w14:textId="77777777" w:rsidR="00F95077" w:rsidRPr="00402158" w:rsidRDefault="00F95077" w:rsidP="00D040EB">
            <w:pPr>
              <w:jc w:val="center"/>
              <w:rPr>
                <w:rFonts w:ascii="Times New Roman" w:hAnsi="Times New Roman" w:cs="Times New Roman"/>
                <w:b/>
                <w:sz w:val="24"/>
                <w:szCs w:val="24"/>
              </w:rPr>
            </w:pPr>
            <w:r w:rsidRPr="00402158">
              <w:rPr>
                <w:rFonts w:ascii="Times New Roman" w:hAnsi="Times New Roman" w:cs="Times New Roman"/>
                <w:b/>
                <w:sz w:val="24"/>
                <w:szCs w:val="24"/>
              </w:rPr>
              <w:t>2017</w:t>
            </w:r>
            <w:r w:rsidRPr="00402158">
              <w:rPr>
                <w:rFonts w:ascii="Times New Roman" w:hAnsi="Times New Roman" w:cs="Times New Roman"/>
                <w:b/>
                <w:sz w:val="24"/>
                <w:szCs w:val="24"/>
                <w:vertAlign w:val="superscript"/>
              </w:rPr>
              <w:t>1</w:t>
            </w:r>
          </w:p>
        </w:tc>
      </w:tr>
      <w:tr w:rsidR="00F95077" w:rsidRPr="00402158" w14:paraId="04D074F8" w14:textId="77777777" w:rsidTr="002B672E">
        <w:tc>
          <w:tcPr>
            <w:tcW w:w="4589" w:type="dxa"/>
          </w:tcPr>
          <w:p w14:paraId="3AE55C9F" w14:textId="77777777" w:rsidR="00F95077" w:rsidRPr="00402158" w:rsidRDefault="002B672E" w:rsidP="00D040EB">
            <w:pPr>
              <w:rPr>
                <w:rFonts w:ascii="Times New Roman" w:hAnsi="Times New Roman" w:cs="Times New Roman"/>
                <w:sz w:val="24"/>
                <w:szCs w:val="24"/>
              </w:rPr>
            </w:pPr>
            <w:r w:rsidRPr="00402158">
              <w:rPr>
                <w:rFonts w:ascii="Times New Roman" w:hAnsi="Times New Roman" w:cs="Times New Roman"/>
                <w:sz w:val="24"/>
                <w:szCs w:val="24"/>
              </w:rPr>
              <w:t>Number of</w:t>
            </w:r>
            <w:r w:rsidR="00F95077" w:rsidRPr="00402158">
              <w:rPr>
                <w:rFonts w:ascii="Times New Roman" w:hAnsi="Times New Roman" w:cs="Times New Roman"/>
                <w:sz w:val="24"/>
                <w:szCs w:val="24"/>
              </w:rPr>
              <w:t xml:space="preserve"> eligible jail jurisdictions in frame</w:t>
            </w:r>
          </w:p>
        </w:tc>
        <w:tc>
          <w:tcPr>
            <w:tcW w:w="823" w:type="dxa"/>
          </w:tcPr>
          <w:p w14:paraId="0C1F1AF4" w14:textId="77777777" w:rsidR="00F95077" w:rsidRPr="00402158" w:rsidRDefault="00F95077" w:rsidP="00D040EB">
            <w:pPr>
              <w:jc w:val="right"/>
              <w:rPr>
                <w:rFonts w:ascii="Times New Roman" w:hAnsi="Times New Roman" w:cs="Times New Roman"/>
                <w:sz w:val="24"/>
                <w:szCs w:val="24"/>
              </w:rPr>
            </w:pPr>
            <w:r w:rsidRPr="00402158">
              <w:rPr>
                <w:rFonts w:ascii="Times New Roman" w:hAnsi="Times New Roman" w:cs="Times New Roman"/>
                <w:sz w:val="24"/>
                <w:szCs w:val="24"/>
              </w:rPr>
              <w:t>2,949</w:t>
            </w:r>
          </w:p>
        </w:tc>
        <w:tc>
          <w:tcPr>
            <w:tcW w:w="823" w:type="dxa"/>
          </w:tcPr>
          <w:p w14:paraId="2059B84B" w14:textId="77777777" w:rsidR="00F95077" w:rsidRPr="00402158" w:rsidRDefault="00F95077" w:rsidP="00D040EB">
            <w:pPr>
              <w:jc w:val="right"/>
              <w:rPr>
                <w:rFonts w:ascii="Times New Roman" w:hAnsi="Times New Roman" w:cs="Times New Roman"/>
                <w:sz w:val="24"/>
                <w:szCs w:val="24"/>
              </w:rPr>
            </w:pPr>
            <w:r w:rsidRPr="00402158">
              <w:rPr>
                <w:rFonts w:ascii="Times New Roman" w:hAnsi="Times New Roman" w:cs="Times New Roman"/>
                <w:sz w:val="24"/>
                <w:szCs w:val="24"/>
              </w:rPr>
              <w:t>2,947</w:t>
            </w:r>
          </w:p>
        </w:tc>
        <w:tc>
          <w:tcPr>
            <w:tcW w:w="823" w:type="dxa"/>
          </w:tcPr>
          <w:p w14:paraId="2CFFCAD2" w14:textId="77777777" w:rsidR="00F95077" w:rsidRPr="00402158" w:rsidRDefault="00F95077" w:rsidP="00D040EB">
            <w:pPr>
              <w:jc w:val="right"/>
              <w:rPr>
                <w:rFonts w:ascii="Times New Roman" w:hAnsi="Times New Roman" w:cs="Times New Roman"/>
                <w:sz w:val="24"/>
                <w:szCs w:val="24"/>
              </w:rPr>
            </w:pPr>
            <w:r w:rsidRPr="00402158">
              <w:rPr>
                <w:rFonts w:ascii="Times New Roman" w:hAnsi="Times New Roman" w:cs="Times New Roman"/>
                <w:sz w:val="24"/>
                <w:szCs w:val="24"/>
              </w:rPr>
              <w:t>2,930</w:t>
            </w:r>
          </w:p>
        </w:tc>
        <w:tc>
          <w:tcPr>
            <w:tcW w:w="823" w:type="dxa"/>
          </w:tcPr>
          <w:p w14:paraId="6C14AF41" w14:textId="77777777" w:rsidR="00F95077" w:rsidRPr="00402158" w:rsidRDefault="00F95077" w:rsidP="00D040EB">
            <w:pPr>
              <w:jc w:val="right"/>
              <w:rPr>
                <w:rFonts w:ascii="Times New Roman" w:hAnsi="Times New Roman" w:cs="Times New Roman"/>
                <w:sz w:val="24"/>
                <w:szCs w:val="24"/>
              </w:rPr>
            </w:pPr>
            <w:r w:rsidRPr="00402158">
              <w:rPr>
                <w:rFonts w:ascii="Times New Roman" w:hAnsi="Times New Roman" w:cs="Times New Roman"/>
                <w:sz w:val="24"/>
                <w:szCs w:val="24"/>
              </w:rPr>
              <w:t>2,913</w:t>
            </w:r>
          </w:p>
        </w:tc>
        <w:tc>
          <w:tcPr>
            <w:tcW w:w="823" w:type="dxa"/>
          </w:tcPr>
          <w:p w14:paraId="70945010" w14:textId="77777777" w:rsidR="00F95077" w:rsidRPr="00402158" w:rsidRDefault="00F95077" w:rsidP="00D040EB">
            <w:pPr>
              <w:jc w:val="right"/>
              <w:rPr>
                <w:rFonts w:ascii="Times New Roman" w:hAnsi="Times New Roman" w:cs="Times New Roman"/>
                <w:sz w:val="24"/>
                <w:szCs w:val="24"/>
              </w:rPr>
            </w:pPr>
            <w:r w:rsidRPr="00402158">
              <w:rPr>
                <w:rFonts w:ascii="Times New Roman" w:hAnsi="Times New Roman" w:cs="Times New Roman"/>
                <w:sz w:val="24"/>
                <w:szCs w:val="24"/>
              </w:rPr>
              <w:t>2,993</w:t>
            </w:r>
          </w:p>
        </w:tc>
      </w:tr>
      <w:tr w:rsidR="00F95077" w:rsidRPr="00402158" w14:paraId="763B36BE" w14:textId="77777777" w:rsidTr="002B672E">
        <w:tc>
          <w:tcPr>
            <w:tcW w:w="4589" w:type="dxa"/>
          </w:tcPr>
          <w:p w14:paraId="4C240B03" w14:textId="77777777" w:rsidR="00F95077" w:rsidRPr="00402158" w:rsidRDefault="002B672E" w:rsidP="00D040EB">
            <w:pPr>
              <w:rPr>
                <w:rFonts w:ascii="Times New Roman" w:hAnsi="Times New Roman" w:cs="Times New Roman"/>
                <w:sz w:val="24"/>
                <w:szCs w:val="24"/>
              </w:rPr>
            </w:pPr>
            <w:r w:rsidRPr="00402158">
              <w:rPr>
                <w:rFonts w:ascii="Times New Roman" w:hAnsi="Times New Roman" w:cs="Times New Roman"/>
                <w:sz w:val="24"/>
                <w:szCs w:val="24"/>
              </w:rPr>
              <w:t>Number of</w:t>
            </w:r>
            <w:r w:rsidR="00F95077" w:rsidRPr="00402158">
              <w:rPr>
                <w:rFonts w:ascii="Times New Roman" w:hAnsi="Times New Roman" w:cs="Times New Roman"/>
                <w:sz w:val="24"/>
                <w:szCs w:val="24"/>
              </w:rPr>
              <w:t xml:space="preserve"> jail jurisdictions responding</w:t>
            </w:r>
          </w:p>
        </w:tc>
        <w:tc>
          <w:tcPr>
            <w:tcW w:w="823" w:type="dxa"/>
          </w:tcPr>
          <w:p w14:paraId="1DC73F6B" w14:textId="77777777" w:rsidR="00F95077" w:rsidRPr="00402158" w:rsidRDefault="00F95077" w:rsidP="00D040EB">
            <w:pPr>
              <w:jc w:val="right"/>
              <w:rPr>
                <w:rFonts w:ascii="Times New Roman" w:hAnsi="Times New Roman" w:cs="Times New Roman"/>
                <w:sz w:val="24"/>
                <w:szCs w:val="24"/>
              </w:rPr>
            </w:pPr>
            <w:r w:rsidRPr="00402158">
              <w:rPr>
                <w:rFonts w:ascii="Times New Roman" w:hAnsi="Times New Roman" w:cs="Times New Roman"/>
                <w:sz w:val="24"/>
                <w:szCs w:val="24"/>
              </w:rPr>
              <w:t>2,732</w:t>
            </w:r>
          </w:p>
        </w:tc>
        <w:tc>
          <w:tcPr>
            <w:tcW w:w="823" w:type="dxa"/>
          </w:tcPr>
          <w:p w14:paraId="7FD8B0BA" w14:textId="77777777" w:rsidR="00F95077" w:rsidRPr="00402158" w:rsidRDefault="00F95077" w:rsidP="00D040EB">
            <w:pPr>
              <w:jc w:val="right"/>
              <w:rPr>
                <w:rFonts w:ascii="Times New Roman" w:hAnsi="Times New Roman" w:cs="Times New Roman"/>
                <w:sz w:val="24"/>
                <w:szCs w:val="24"/>
              </w:rPr>
            </w:pPr>
            <w:r w:rsidRPr="00402158">
              <w:rPr>
                <w:rFonts w:ascii="Times New Roman" w:hAnsi="Times New Roman" w:cs="Times New Roman"/>
                <w:sz w:val="24"/>
                <w:szCs w:val="24"/>
              </w:rPr>
              <w:t>2,821</w:t>
            </w:r>
          </w:p>
        </w:tc>
        <w:tc>
          <w:tcPr>
            <w:tcW w:w="823" w:type="dxa"/>
          </w:tcPr>
          <w:p w14:paraId="3700CD00" w14:textId="77777777" w:rsidR="00F95077" w:rsidRPr="00402158" w:rsidRDefault="00F95077" w:rsidP="00D040EB">
            <w:pPr>
              <w:jc w:val="right"/>
              <w:rPr>
                <w:rFonts w:ascii="Times New Roman" w:hAnsi="Times New Roman" w:cs="Times New Roman"/>
                <w:sz w:val="24"/>
                <w:szCs w:val="24"/>
              </w:rPr>
            </w:pPr>
            <w:r w:rsidRPr="00402158">
              <w:rPr>
                <w:rFonts w:ascii="Times New Roman" w:hAnsi="Times New Roman" w:cs="Times New Roman"/>
                <w:sz w:val="24"/>
                <w:szCs w:val="24"/>
              </w:rPr>
              <w:t>2,850</w:t>
            </w:r>
          </w:p>
        </w:tc>
        <w:tc>
          <w:tcPr>
            <w:tcW w:w="823" w:type="dxa"/>
          </w:tcPr>
          <w:p w14:paraId="34C5558A" w14:textId="77777777" w:rsidR="00F95077" w:rsidRPr="00402158" w:rsidRDefault="00F95077" w:rsidP="00D040EB">
            <w:pPr>
              <w:jc w:val="right"/>
              <w:rPr>
                <w:rFonts w:ascii="Times New Roman" w:hAnsi="Times New Roman" w:cs="Times New Roman"/>
                <w:sz w:val="24"/>
                <w:szCs w:val="24"/>
              </w:rPr>
            </w:pPr>
            <w:r w:rsidRPr="00402158">
              <w:rPr>
                <w:rFonts w:ascii="Times New Roman" w:hAnsi="Times New Roman" w:cs="Times New Roman"/>
                <w:sz w:val="24"/>
                <w:szCs w:val="24"/>
              </w:rPr>
              <w:t>2,846</w:t>
            </w:r>
          </w:p>
        </w:tc>
        <w:tc>
          <w:tcPr>
            <w:tcW w:w="823" w:type="dxa"/>
          </w:tcPr>
          <w:p w14:paraId="116F4F20" w14:textId="77777777" w:rsidR="00F95077" w:rsidRPr="00402158" w:rsidRDefault="00F95077" w:rsidP="00D040EB">
            <w:pPr>
              <w:jc w:val="right"/>
              <w:rPr>
                <w:rFonts w:ascii="Times New Roman" w:hAnsi="Times New Roman" w:cs="Times New Roman"/>
                <w:sz w:val="24"/>
                <w:szCs w:val="24"/>
              </w:rPr>
            </w:pPr>
            <w:r w:rsidRPr="00402158">
              <w:rPr>
                <w:rFonts w:ascii="Times New Roman" w:hAnsi="Times New Roman" w:cs="Times New Roman"/>
                <w:sz w:val="24"/>
                <w:szCs w:val="24"/>
              </w:rPr>
              <w:t>2,920</w:t>
            </w:r>
          </w:p>
        </w:tc>
      </w:tr>
      <w:tr w:rsidR="00F95077" w:rsidRPr="00402158" w14:paraId="3CA5D141" w14:textId="77777777" w:rsidTr="002B672E">
        <w:tc>
          <w:tcPr>
            <w:tcW w:w="4589" w:type="dxa"/>
          </w:tcPr>
          <w:p w14:paraId="58B01919" w14:textId="77777777" w:rsidR="00F95077" w:rsidRPr="00402158" w:rsidRDefault="002B672E" w:rsidP="00D040EB">
            <w:pPr>
              <w:rPr>
                <w:rFonts w:ascii="Times New Roman" w:hAnsi="Times New Roman" w:cs="Times New Roman"/>
                <w:sz w:val="24"/>
                <w:szCs w:val="24"/>
              </w:rPr>
            </w:pPr>
            <w:r w:rsidRPr="00402158">
              <w:rPr>
                <w:rFonts w:ascii="Times New Roman" w:hAnsi="Times New Roman" w:cs="Times New Roman"/>
                <w:sz w:val="24"/>
                <w:szCs w:val="24"/>
              </w:rPr>
              <w:t>Percent</w:t>
            </w:r>
            <w:r w:rsidR="00F95077" w:rsidRPr="00402158">
              <w:rPr>
                <w:rFonts w:ascii="Times New Roman" w:hAnsi="Times New Roman" w:cs="Times New Roman"/>
                <w:sz w:val="24"/>
                <w:szCs w:val="24"/>
              </w:rPr>
              <w:t xml:space="preserve"> of jail jurisdictions responding</w:t>
            </w:r>
          </w:p>
        </w:tc>
        <w:tc>
          <w:tcPr>
            <w:tcW w:w="823" w:type="dxa"/>
          </w:tcPr>
          <w:p w14:paraId="76BFBA82" w14:textId="77777777" w:rsidR="00F95077" w:rsidRPr="00402158" w:rsidRDefault="00F95077" w:rsidP="00D040EB">
            <w:pPr>
              <w:jc w:val="right"/>
              <w:rPr>
                <w:rFonts w:ascii="Times New Roman" w:hAnsi="Times New Roman" w:cs="Times New Roman"/>
                <w:sz w:val="24"/>
                <w:szCs w:val="24"/>
              </w:rPr>
            </w:pPr>
            <w:r w:rsidRPr="00402158">
              <w:rPr>
                <w:rFonts w:ascii="Times New Roman" w:hAnsi="Times New Roman" w:cs="Times New Roman"/>
                <w:sz w:val="24"/>
                <w:szCs w:val="24"/>
              </w:rPr>
              <w:t>92.6%</w:t>
            </w:r>
          </w:p>
        </w:tc>
        <w:tc>
          <w:tcPr>
            <w:tcW w:w="823" w:type="dxa"/>
          </w:tcPr>
          <w:p w14:paraId="3462F2AE" w14:textId="77777777" w:rsidR="00F95077" w:rsidRPr="00402158" w:rsidRDefault="00F95077" w:rsidP="00D040EB">
            <w:pPr>
              <w:jc w:val="right"/>
              <w:rPr>
                <w:rFonts w:ascii="Times New Roman" w:hAnsi="Times New Roman" w:cs="Times New Roman"/>
                <w:sz w:val="24"/>
                <w:szCs w:val="24"/>
              </w:rPr>
            </w:pPr>
            <w:r w:rsidRPr="00402158">
              <w:rPr>
                <w:rFonts w:ascii="Times New Roman" w:hAnsi="Times New Roman" w:cs="Times New Roman"/>
                <w:sz w:val="24"/>
                <w:szCs w:val="24"/>
              </w:rPr>
              <w:t>95.7%</w:t>
            </w:r>
          </w:p>
        </w:tc>
        <w:tc>
          <w:tcPr>
            <w:tcW w:w="823" w:type="dxa"/>
          </w:tcPr>
          <w:p w14:paraId="5304D4F3" w14:textId="77777777" w:rsidR="00F95077" w:rsidRPr="00402158" w:rsidRDefault="00F95077" w:rsidP="00D040EB">
            <w:pPr>
              <w:jc w:val="right"/>
              <w:rPr>
                <w:rFonts w:ascii="Times New Roman" w:hAnsi="Times New Roman" w:cs="Times New Roman"/>
                <w:sz w:val="24"/>
                <w:szCs w:val="24"/>
              </w:rPr>
            </w:pPr>
            <w:r w:rsidRPr="00402158">
              <w:rPr>
                <w:rFonts w:ascii="Times New Roman" w:hAnsi="Times New Roman" w:cs="Times New Roman"/>
                <w:sz w:val="24"/>
                <w:szCs w:val="24"/>
              </w:rPr>
              <w:t>97.3%</w:t>
            </w:r>
          </w:p>
        </w:tc>
        <w:tc>
          <w:tcPr>
            <w:tcW w:w="823" w:type="dxa"/>
          </w:tcPr>
          <w:p w14:paraId="7B6A6303" w14:textId="77777777" w:rsidR="00F95077" w:rsidRPr="00402158" w:rsidRDefault="00F95077" w:rsidP="00D040EB">
            <w:pPr>
              <w:jc w:val="right"/>
              <w:rPr>
                <w:rFonts w:ascii="Times New Roman" w:hAnsi="Times New Roman" w:cs="Times New Roman"/>
                <w:sz w:val="24"/>
                <w:szCs w:val="24"/>
              </w:rPr>
            </w:pPr>
            <w:r w:rsidRPr="00402158">
              <w:rPr>
                <w:rFonts w:ascii="Times New Roman" w:hAnsi="Times New Roman" w:cs="Times New Roman"/>
                <w:sz w:val="24"/>
                <w:szCs w:val="24"/>
              </w:rPr>
              <w:t>97.7%</w:t>
            </w:r>
          </w:p>
        </w:tc>
        <w:tc>
          <w:tcPr>
            <w:tcW w:w="823" w:type="dxa"/>
          </w:tcPr>
          <w:p w14:paraId="3B656A25" w14:textId="77777777" w:rsidR="00F95077" w:rsidRPr="00402158" w:rsidRDefault="00F95077" w:rsidP="00D040EB">
            <w:pPr>
              <w:jc w:val="right"/>
              <w:rPr>
                <w:rFonts w:ascii="Times New Roman" w:hAnsi="Times New Roman" w:cs="Times New Roman"/>
                <w:sz w:val="24"/>
                <w:szCs w:val="24"/>
              </w:rPr>
            </w:pPr>
            <w:r w:rsidRPr="00402158">
              <w:rPr>
                <w:rFonts w:ascii="Times New Roman" w:hAnsi="Times New Roman" w:cs="Times New Roman"/>
                <w:sz w:val="24"/>
                <w:szCs w:val="24"/>
              </w:rPr>
              <w:t>97.6%</w:t>
            </w:r>
          </w:p>
        </w:tc>
      </w:tr>
    </w:tbl>
    <w:p w14:paraId="40596CDA" w14:textId="77777777" w:rsidR="00F95077" w:rsidRPr="00402158" w:rsidRDefault="00F95077" w:rsidP="00D040EB">
      <w:pPr>
        <w:spacing w:after="0" w:line="240" w:lineRule="auto"/>
        <w:ind w:left="360"/>
        <w:rPr>
          <w:rFonts w:ascii="Times New Roman" w:hAnsi="Times New Roman" w:cs="Times New Roman"/>
          <w:sz w:val="18"/>
          <w:szCs w:val="18"/>
        </w:rPr>
      </w:pPr>
      <w:r w:rsidRPr="00402158">
        <w:rPr>
          <w:rFonts w:ascii="Times New Roman" w:hAnsi="Times New Roman" w:cs="Times New Roman"/>
          <w:sz w:val="18"/>
          <w:szCs w:val="18"/>
          <w:vertAlign w:val="superscript"/>
        </w:rPr>
        <w:t>1</w:t>
      </w:r>
      <w:r w:rsidRPr="00402158">
        <w:rPr>
          <w:rFonts w:ascii="Times New Roman" w:hAnsi="Times New Roman" w:cs="Times New Roman"/>
          <w:sz w:val="18"/>
          <w:szCs w:val="18"/>
        </w:rPr>
        <w:t xml:space="preserve">2017 response rates are as of October 8, 2018. The final data will be delivered by the end of the month. Note: numbers represent </w:t>
      </w:r>
      <w:r w:rsidR="002B672E" w:rsidRPr="00402158">
        <w:rPr>
          <w:rFonts w:ascii="Times New Roman" w:hAnsi="Times New Roman" w:cs="Times New Roman"/>
          <w:sz w:val="18"/>
          <w:szCs w:val="18"/>
        </w:rPr>
        <w:t xml:space="preserve">the </w:t>
      </w:r>
      <w:r w:rsidRPr="00402158">
        <w:rPr>
          <w:rFonts w:ascii="Times New Roman" w:hAnsi="Times New Roman" w:cs="Times New Roman"/>
          <w:sz w:val="18"/>
          <w:szCs w:val="18"/>
        </w:rPr>
        <w:t xml:space="preserve">number of eligible jail jurisdictions and number reporting as of the end of each collection year. Data may have been revised from previously published statistics. </w:t>
      </w:r>
    </w:p>
    <w:p w14:paraId="41B1B08D" w14:textId="77777777" w:rsidR="00F95077" w:rsidRPr="00402158" w:rsidRDefault="00F95077" w:rsidP="00D040EB">
      <w:pPr>
        <w:spacing w:after="0" w:line="240" w:lineRule="auto"/>
        <w:ind w:left="360"/>
        <w:rPr>
          <w:rFonts w:ascii="Times New Roman" w:hAnsi="Times New Roman" w:cs="Times New Roman"/>
          <w:sz w:val="18"/>
          <w:szCs w:val="18"/>
        </w:rPr>
      </w:pPr>
    </w:p>
    <w:p w14:paraId="58CEE464" w14:textId="6AAA0AD3" w:rsidR="00F95077" w:rsidRPr="00402158" w:rsidRDefault="00F95077" w:rsidP="00D040EB">
      <w:pPr>
        <w:spacing w:after="0" w:line="240" w:lineRule="auto"/>
        <w:ind w:left="360"/>
        <w:rPr>
          <w:rFonts w:ascii="Times New Roman" w:hAnsi="Times New Roman" w:cs="Times New Roman"/>
          <w:sz w:val="24"/>
          <w:szCs w:val="24"/>
        </w:rPr>
      </w:pPr>
      <w:r w:rsidRPr="00402158">
        <w:rPr>
          <w:rFonts w:ascii="Times New Roman" w:hAnsi="Times New Roman" w:cs="Times New Roman"/>
          <w:sz w:val="24"/>
          <w:szCs w:val="24"/>
        </w:rPr>
        <w:t xml:space="preserve">Data collection staff follow up with emails and phone calls to </w:t>
      </w:r>
      <w:r w:rsidR="00374C26">
        <w:rPr>
          <w:rFonts w:ascii="Times New Roman" w:hAnsi="Times New Roman" w:cs="Times New Roman"/>
          <w:sz w:val="24"/>
          <w:szCs w:val="24"/>
        </w:rPr>
        <w:t>both</w:t>
      </w:r>
      <w:r w:rsidRPr="00402158">
        <w:rPr>
          <w:rFonts w:ascii="Times New Roman" w:hAnsi="Times New Roman" w:cs="Times New Roman"/>
          <w:sz w:val="24"/>
          <w:szCs w:val="24"/>
        </w:rPr>
        <w:t xml:space="preserve"> promote high response rates</w:t>
      </w:r>
      <w:r w:rsidR="00374C26">
        <w:rPr>
          <w:rFonts w:ascii="Times New Roman" w:hAnsi="Times New Roman" w:cs="Times New Roman"/>
          <w:sz w:val="24"/>
          <w:szCs w:val="24"/>
        </w:rPr>
        <w:t xml:space="preserve"> and</w:t>
      </w:r>
      <w:r w:rsidRPr="00402158">
        <w:rPr>
          <w:rFonts w:ascii="Times New Roman" w:hAnsi="Times New Roman" w:cs="Times New Roman"/>
          <w:sz w:val="24"/>
          <w:szCs w:val="24"/>
        </w:rPr>
        <w:t xml:space="preserve"> to verify any out-of-range values for critical items and improve data quality. These methods have been effective in attaining high unit response, minimizing item nonresponse, and ensuring data validity.</w:t>
      </w:r>
    </w:p>
    <w:p w14:paraId="141CC1FF" w14:textId="77777777" w:rsidR="00F95077" w:rsidRPr="00402158" w:rsidRDefault="00F95077" w:rsidP="00D040EB">
      <w:pPr>
        <w:spacing w:after="0" w:line="240" w:lineRule="auto"/>
        <w:ind w:left="360"/>
        <w:rPr>
          <w:rFonts w:ascii="Times New Roman" w:hAnsi="Times New Roman" w:cs="Times New Roman"/>
          <w:sz w:val="24"/>
          <w:szCs w:val="24"/>
        </w:rPr>
      </w:pPr>
    </w:p>
    <w:p w14:paraId="2E4B1C2B" w14:textId="77777777" w:rsidR="00F95077" w:rsidRPr="00402158" w:rsidRDefault="00F95077" w:rsidP="00D040EB">
      <w:pPr>
        <w:pStyle w:val="ListParagraph"/>
        <w:numPr>
          <w:ilvl w:val="0"/>
          <w:numId w:val="1"/>
        </w:numPr>
        <w:spacing w:after="0" w:line="240" w:lineRule="auto"/>
        <w:contextualSpacing w:val="0"/>
        <w:rPr>
          <w:rFonts w:ascii="Times New Roman" w:hAnsi="Times New Roman" w:cs="Times New Roman"/>
          <w:sz w:val="24"/>
          <w:szCs w:val="24"/>
          <w:u w:val="single"/>
        </w:rPr>
      </w:pPr>
      <w:r w:rsidRPr="00402158">
        <w:rPr>
          <w:rFonts w:ascii="Times New Roman" w:hAnsi="Times New Roman" w:cs="Times New Roman"/>
          <w:sz w:val="24"/>
          <w:szCs w:val="24"/>
          <w:u w:val="single"/>
        </w:rPr>
        <w:t>Test of Procedures or Methods</w:t>
      </w:r>
    </w:p>
    <w:p w14:paraId="128470DF" w14:textId="77777777" w:rsidR="00F95077" w:rsidRPr="00402158" w:rsidRDefault="00F95077" w:rsidP="00D040EB">
      <w:pPr>
        <w:pStyle w:val="ListParagraph"/>
        <w:spacing w:after="0" w:line="240" w:lineRule="auto"/>
        <w:contextualSpacing w:val="0"/>
        <w:rPr>
          <w:rFonts w:ascii="Times New Roman" w:hAnsi="Times New Roman" w:cs="Times New Roman"/>
          <w:sz w:val="24"/>
          <w:szCs w:val="24"/>
        </w:rPr>
      </w:pPr>
    </w:p>
    <w:p w14:paraId="7DEAC6EB" w14:textId="44D6395B" w:rsidR="00F95077" w:rsidRPr="00402158" w:rsidRDefault="00F95077" w:rsidP="00D040EB">
      <w:pPr>
        <w:pStyle w:val="ListParagraph"/>
        <w:spacing w:after="0" w:line="240" w:lineRule="auto"/>
        <w:ind w:left="360"/>
        <w:contextualSpacing w:val="0"/>
        <w:rPr>
          <w:rFonts w:ascii="Times New Roman" w:hAnsi="Times New Roman" w:cs="Times New Roman"/>
          <w:sz w:val="24"/>
          <w:szCs w:val="24"/>
        </w:rPr>
      </w:pPr>
      <w:r w:rsidRPr="00402158">
        <w:rPr>
          <w:rFonts w:ascii="Times New Roman" w:hAnsi="Times New Roman" w:cs="Times New Roman"/>
          <w:sz w:val="24"/>
          <w:szCs w:val="24"/>
        </w:rPr>
        <w:t xml:space="preserve">BJS obtains feedback from state DOCs and local jail jurisdictions before proposing significant changes to existing questionnaires. As discussed in Part A, in the next year, BJS will pursue obtaining more detailed cause of death information from the National Death Index (NDI), specifically </w:t>
      </w:r>
      <w:r w:rsidRPr="00402158">
        <w:rPr>
          <w:rFonts w:ascii="Times New Roman" w:hAnsi="Times New Roman" w:cs="Times New Roman"/>
          <w:i/>
          <w:sz w:val="24"/>
          <w:szCs w:val="24"/>
        </w:rPr>
        <w:t>underlying</w:t>
      </w:r>
      <w:r w:rsidRPr="00402158">
        <w:rPr>
          <w:rFonts w:ascii="Times New Roman" w:hAnsi="Times New Roman" w:cs="Times New Roman"/>
          <w:sz w:val="24"/>
          <w:szCs w:val="24"/>
        </w:rPr>
        <w:t xml:space="preserve"> causes of death, which are not captured on the current questionnaires. </w:t>
      </w:r>
    </w:p>
    <w:p w14:paraId="32DE1025" w14:textId="77777777" w:rsidR="00F95077" w:rsidRPr="00402158" w:rsidRDefault="00F95077" w:rsidP="00D040EB">
      <w:pPr>
        <w:pStyle w:val="ListParagraph"/>
        <w:spacing w:after="0" w:line="240" w:lineRule="auto"/>
        <w:ind w:left="360"/>
        <w:contextualSpacing w:val="0"/>
        <w:rPr>
          <w:rFonts w:ascii="Times New Roman" w:hAnsi="Times New Roman" w:cs="Times New Roman"/>
          <w:sz w:val="24"/>
          <w:szCs w:val="24"/>
        </w:rPr>
      </w:pPr>
    </w:p>
    <w:p w14:paraId="0C1E2F24" w14:textId="1D643765" w:rsidR="005C2FF5" w:rsidRPr="00402158" w:rsidRDefault="005C2FF5" w:rsidP="00D040EB">
      <w:pPr>
        <w:pStyle w:val="ListParagraph"/>
        <w:spacing w:after="0" w:line="240" w:lineRule="auto"/>
        <w:ind w:left="360"/>
        <w:contextualSpacing w:val="0"/>
        <w:rPr>
          <w:rFonts w:ascii="Times New Roman" w:hAnsi="Times New Roman" w:cs="Times New Roman"/>
          <w:sz w:val="24"/>
          <w:szCs w:val="24"/>
        </w:rPr>
      </w:pPr>
      <w:r w:rsidRPr="00402158">
        <w:rPr>
          <w:rFonts w:ascii="Times New Roman" w:hAnsi="Times New Roman" w:cs="Times New Roman"/>
          <w:sz w:val="24"/>
          <w:szCs w:val="24"/>
        </w:rPr>
        <w:t>BJS and its data collection agent continuously seek opportunities to innovate and adjust protocols</w:t>
      </w:r>
      <w:r w:rsidR="000A55BB" w:rsidRPr="00402158">
        <w:rPr>
          <w:rFonts w:ascii="Times New Roman" w:hAnsi="Times New Roman" w:cs="Times New Roman"/>
          <w:sz w:val="24"/>
          <w:szCs w:val="24"/>
        </w:rPr>
        <w:t xml:space="preserve"> </w:t>
      </w:r>
      <w:r w:rsidR="00AB37B9" w:rsidRPr="00402158">
        <w:rPr>
          <w:rFonts w:ascii="Times New Roman" w:hAnsi="Times New Roman" w:cs="Times New Roman"/>
          <w:sz w:val="24"/>
          <w:szCs w:val="24"/>
        </w:rPr>
        <w:t>that may</w:t>
      </w:r>
      <w:r w:rsidRPr="00402158">
        <w:rPr>
          <w:rFonts w:ascii="Times New Roman" w:hAnsi="Times New Roman" w:cs="Times New Roman"/>
          <w:sz w:val="24"/>
          <w:szCs w:val="24"/>
        </w:rPr>
        <w:t xml:space="preserve"> increase response rates </w:t>
      </w:r>
      <w:r w:rsidR="000A55BB" w:rsidRPr="00402158">
        <w:rPr>
          <w:rFonts w:ascii="Times New Roman" w:hAnsi="Times New Roman" w:cs="Times New Roman"/>
          <w:sz w:val="24"/>
          <w:szCs w:val="24"/>
        </w:rPr>
        <w:t>or</w:t>
      </w:r>
      <w:r w:rsidRPr="00402158">
        <w:rPr>
          <w:rFonts w:ascii="Times New Roman" w:hAnsi="Times New Roman" w:cs="Times New Roman"/>
          <w:sz w:val="24"/>
          <w:szCs w:val="24"/>
        </w:rPr>
        <w:t xml:space="preserve"> reduce respondent burden or costs. </w:t>
      </w:r>
      <w:r w:rsidR="004E2E8A" w:rsidRPr="00402158">
        <w:rPr>
          <w:rFonts w:ascii="Times New Roman" w:hAnsi="Times New Roman" w:cs="Times New Roman"/>
          <w:sz w:val="24"/>
          <w:szCs w:val="24"/>
        </w:rPr>
        <w:t xml:space="preserve">For instance, the annual verification calls that occur two months prior to data collection </w:t>
      </w:r>
      <w:r w:rsidR="000B498A" w:rsidRPr="00402158">
        <w:rPr>
          <w:rFonts w:ascii="Times New Roman" w:hAnsi="Times New Roman" w:cs="Times New Roman"/>
          <w:sz w:val="24"/>
          <w:szCs w:val="24"/>
        </w:rPr>
        <w:t xml:space="preserve">serve </w:t>
      </w:r>
      <w:r w:rsidR="004E2E8A" w:rsidRPr="00402158">
        <w:rPr>
          <w:rFonts w:ascii="Times New Roman" w:hAnsi="Times New Roman" w:cs="Times New Roman"/>
          <w:sz w:val="24"/>
          <w:szCs w:val="24"/>
        </w:rPr>
        <w:t xml:space="preserve">to confirm agency eligibility and contact information, </w:t>
      </w:r>
      <w:r w:rsidR="00374C26">
        <w:rPr>
          <w:rFonts w:ascii="Times New Roman" w:hAnsi="Times New Roman" w:cs="Times New Roman"/>
          <w:sz w:val="24"/>
          <w:szCs w:val="24"/>
        </w:rPr>
        <w:t>and</w:t>
      </w:r>
      <w:r w:rsidR="004E2E8A" w:rsidRPr="00402158">
        <w:rPr>
          <w:rFonts w:ascii="Times New Roman" w:hAnsi="Times New Roman" w:cs="Times New Roman"/>
          <w:sz w:val="24"/>
          <w:szCs w:val="24"/>
        </w:rPr>
        <w:t xml:space="preserve"> to pre-notify agencies of the upcoming data collection. </w:t>
      </w:r>
      <w:r w:rsidR="000A55BB" w:rsidRPr="00402158">
        <w:rPr>
          <w:rFonts w:ascii="Times New Roman" w:hAnsi="Times New Roman" w:cs="Times New Roman"/>
          <w:sz w:val="24"/>
          <w:szCs w:val="24"/>
        </w:rPr>
        <w:t xml:space="preserve">The data collection agent for MCI has successfully implemented experiments, testing and identifying participants’ responsiveness to reminders sent by email vs. a physical letter that includes hardcopy form(s). Results from these experiments are used to tailor correspondence to agencies based on their historical or expressed preference for email or physical mail. </w:t>
      </w:r>
      <w:r w:rsidR="00AB37B9" w:rsidRPr="00402158">
        <w:rPr>
          <w:rFonts w:ascii="Times New Roman" w:hAnsi="Times New Roman" w:cs="Times New Roman"/>
          <w:sz w:val="24"/>
          <w:szCs w:val="24"/>
        </w:rPr>
        <w:t>Offering</w:t>
      </w:r>
      <w:r w:rsidR="004E2E8A" w:rsidRPr="00402158">
        <w:rPr>
          <w:rFonts w:ascii="Times New Roman" w:hAnsi="Times New Roman" w:cs="Times New Roman"/>
          <w:sz w:val="24"/>
          <w:szCs w:val="24"/>
        </w:rPr>
        <w:t xml:space="preserve"> multi-mode data collection (online, mail, email, fax, phone</w:t>
      </w:r>
      <w:r w:rsidR="00AB37B9" w:rsidRPr="00402158">
        <w:rPr>
          <w:rFonts w:ascii="Times New Roman" w:hAnsi="Times New Roman" w:cs="Times New Roman"/>
          <w:sz w:val="24"/>
          <w:szCs w:val="24"/>
        </w:rPr>
        <w:t>, or bulk file transfer</w:t>
      </w:r>
      <w:r w:rsidR="004E2E8A" w:rsidRPr="00402158">
        <w:rPr>
          <w:rFonts w:ascii="Times New Roman" w:hAnsi="Times New Roman" w:cs="Times New Roman"/>
          <w:sz w:val="24"/>
          <w:szCs w:val="24"/>
        </w:rPr>
        <w:t>) also contribute</w:t>
      </w:r>
      <w:r w:rsidR="000A55BB" w:rsidRPr="00402158">
        <w:rPr>
          <w:rFonts w:ascii="Times New Roman" w:hAnsi="Times New Roman" w:cs="Times New Roman"/>
          <w:sz w:val="24"/>
          <w:szCs w:val="24"/>
        </w:rPr>
        <w:t>s</w:t>
      </w:r>
      <w:r w:rsidR="004E2E8A" w:rsidRPr="00402158">
        <w:rPr>
          <w:rFonts w:ascii="Times New Roman" w:hAnsi="Times New Roman" w:cs="Times New Roman"/>
          <w:sz w:val="24"/>
          <w:szCs w:val="24"/>
        </w:rPr>
        <w:t xml:space="preserve"> to better response rates. </w:t>
      </w:r>
    </w:p>
    <w:p w14:paraId="7D03276E" w14:textId="77777777" w:rsidR="005C2FF5" w:rsidRPr="00402158" w:rsidRDefault="005C2FF5" w:rsidP="00D040EB">
      <w:pPr>
        <w:pStyle w:val="ListParagraph"/>
        <w:spacing w:after="0" w:line="240" w:lineRule="auto"/>
        <w:ind w:left="360"/>
        <w:contextualSpacing w:val="0"/>
        <w:rPr>
          <w:rFonts w:ascii="Times New Roman" w:hAnsi="Times New Roman" w:cs="Times New Roman"/>
          <w:sz w:val="24"/>
          <w:szCs w:val="24"/>
        </w:rPr>
      </w:pPr>
    </w:p>
    <w:p w14:paraId="7D0C9F5E" w14:textId="77777777" w:rsidR="00AD1CB2" w:rsidRDefault="004E2E8A" w:rsidP="00D040EB">
      <w:pPr>
        <w:pStyle w:val="ListParagraph"/>
        <w:spacing w:after="0" w:line="240" w:lineRule="auto"/>
        <w:ind w:left="360"/>
        <w:contextualSpacing w:val="0"/>
        <w:rPr>
          <w:rFonts w:ascii="Times New Roman" w:hAnsi="Times New Roman" w:cs="Times New Roman"/>
          <w:sz w:val="24"/>
          <w:szCs w:val="24"/>
        </w:rPr>
      </w:pPr>
      <w:r w:rsidRPr="00402158">
        <w:rPr>
          <w:rFonts w:ascii="Times New Roman" w:hAnsi="Times New Roman" w:cs="Times New Roman"/>
          <w:sz w:val="24"/>
          <w:szCs w:val="24"/>
        </w:rPr>
        <w:t xml:space="preserve">Online submissions </w:t>
      </w:r>
      <w:r w:rsidR="00AB37B9" w:rsidRPr="00402158">
        <w:rPr>
          <w:rFonts w:ascii="Times New Roman" w:hAnsi="Times New Roman" w:cs="Times New Roman"/>
          <w:sz w:val="24"/>
          <w:szCs w:val="24"/>
        </w:rPr>
        <w:t xml:space="preserve">benefit from </w:t>
      </w:r>
      <w:r w:rsidR="000A55BB" w:rsidRPr="00402158">
        <w:rPr>
          <w:rFonts w:ascii="Times New Roman" w:hAnsi="Times New Roman" w:cs="Times New Roman"/>
          <w:sz w:val="24"/>
          <w:szCs w:val="24"/>
        </w:rPr>
        <w:t>automated</w:t>
      </w:r>
      <w:r w:rsidR="00AD1CB2" w:rsidRPr="00402158">
        <w:rPr>
          <w:rFonts w:ascii="Times New Roman" w:hAnsi="Times New Roman" w:cs="Times New Roman"/>
          <w:sz w:val="24"/>
          <w:szCs w:val="24"/>
        </w:rPr>
        <w:t xml:space="preserve"> validation checks</w:t>
      </w:r>
      <w:r w:rsidR="00AB37B9" w:rsidRPr="00402158">
        <w:rPr>
          <w:rFonts w:ascii="Times New Roman" w:hAnsi="Times New Roman" w:cs="Times New Roman"/>
          <w:sz w:val="24"/>
          <w:szCs w:val="24"/>
        </w:rPr>
        <w:t>.</w:t>
      </w:r>
      <w:r w:rsidR="000A55BB" w:rsidRPr="00402158">
        <w:rPr>
          <w:rFonts w:ascii="Times New Roman" w:hAnsi="Times New Roman" w:cs="Times New Roman"/>
          <w:sz w:val="24"/>
          <w:szCs w:val="24"/>
        </w:rPr>
        <w:t xml:space="preserve"> I</w:t>
      </w:r>
      <w:r w:rsidRPr="00402158">
        <w:rPr>
          <w:rFonts w:ascii="Times New Roman" w:hAnsi="Times New Roman" w:cs="Times New Roman"/>
          <w:sz w:val="24"/>
          <w:szCs w:val="24"/>
        </w:rPr>
        <w:t xml:space="preserve">f data entered appear to be out of bounds or inconsistent </w:t>
      </w:r>
      <w:r w:rsidR="00AD1CB2" w:rsidRPr="00402158">
        <w:rPr>
          <w:rFonts w:ascii="Times New Roman" w:hAnsi="Times New Roman" w:cs="Times New Roman"/>
          <w:sz w:val="24"/>
          <w:szCs w:val="24"/>
        </w:rPr>
        <w:t>with other responses</w:t>
      </w:r>
      <w:r w:rsidR="000A55BB" w:rsidRPr="00402158">
        <w:rPr>
          <w:rFonts w:ascii="Times New Roman" w:hAnsi="Times New Roman" w:cs="Times New Roman"/>
          <w:sz w:val="24"/>
          <w:szCs w:val="24"/>
        </w:rPr>
        <w:t xml:space="preserve">, </w:t>
      </w:r>
      <w:r w:rsidR="007D7E21" w:rsidRPr="00402158">
        <w:rPr>
          <w:rFonts w:ascii="Times New Roman" w:hAnsi="Times New Roman" w:cs="Times New Roman"/>
          <w:sz w:val="24"/>
          <w:szCs w:val="24"/>
        </w:rPr>
        <w:t>an alert will prompt the respondent, thus maximizing data quality</w:t>
      </w:r>
      <w:r w:rsidRPr="00402158">
        <w:rPr>
          <w:rFonts w:ascii="Times New Roman" w:hAnsi="Times New Roman" w:cs="Times New Roman"/>
          <w:sz w:val="24"/>
          <w:szCs w:val="24"/>
        </w:rPr>
        <w:t xml:space="preserve">. </w:t>
      </w:r>
      <w:r w:rsidR="007D7E21" w:rsidRPr="00402158">
        <w:rPr>
          <w:rFonts w:ascii="Times New Roman" w:hAnsi="Times New Roman" w:cs="Times New Roman"/>
          <w:sz w:val="24"/>
          <w:szCs w:val="24"/>
        </w:rPr>
        <w:t xml:space="preserve">During each data collection cycle, the </w:t>
      </w:r>
      <w:r w:rsidRPr="00402158">
        <w:rPr>
          <w:rFonts w:ascii="Times New Roman" w:hAnsi="Times New Roman" w:cs="Times New Roman"/>
          <w:sz w:val="24"/>
          <w:szCs w:val="24"/>
        </w:rPr>
        <w:t xml:space="preserve">data collection agent </w:t>
      </w:r>
      <w:r w:rsidR="000B498A" w:rsidRPr="00402158">
        <w:rPr>
          <w:rFonts w:ascii="Times New Roman" w:hAnsi="Times New Roman" w:cs="Times New Roman"/>
          <w:sz w:val="24"/>
          <w:szCs w:val="24"/>
        </w:rPr>
        <w:t>accounts for</w:t>
      </w:r>
      <w:r w:rsidRPr="00402158">
        <w:rPr>
          <w:rFonts w:ascii="Times New Roman" w:hAnsi="Times New Roman" w:cs="Times New Roman"/>
          <w:sz w:val="24"/>
          <w:szCs w:val="24"/>
        </w:rPr>
        <w:t xml:space="preserve"> factors that may </w:t>
      </w:r>
      <w:r w:rsidR="000B498A" w:rsidRPr="00402158">
        <w:rPr>
          <w:rFonts w:ascii="Times New Roman" w:hAnsi="Times New Roman" w:cs="Times New Roman"/>
          <w:sz w:val="24"/>
          <w:szCs w:val="24"/>
        </w:rPr>
        <w:t>affect</w:t>
      </w:r>
      <w:r w:rsidRPr="00402158">
        <w:rPr>
          <w:rFonts w:ascii="Times New Roman" w:hAnsi="Times New Roman" w:cs="Times New Roman"/>
          <w:sz w:val="24"/>
          <w:szCs w:val="24"/>
        </w:rPr>
        <w:t xml:space="preserve"> </w:t>
      </w:r>
      <w:r w:rsidR="000B498A" w:rsidRPr="00402158">
        <w:rPr>
          <w:rFonts w:ascii="Times New Roman" w:hAnsi="Times New Roman" w:cs="Times New Roman"/>
          <w:sz w:val="24"/>
          <w:szCs w:val="24"/>
        </w:rPr>
        <w:t xml:space="preserve">form completions and </w:t>
      </w:r>
      <w:r w:rsidR="00AD1CB2" w:rsidRPr="00402158">
        <w:rPr>
          <w:rFonts w:ascii="Times New Roman" w:hAnsi="Times New Roman" w:cs="Times New Roman"/>
          <w:sz w:val="24"/>
          <w:szCs w:val="24"/>
        </w:rPr>
        <w:t xml:space="preserve">impact </w:t>
      </w:r>
      <w:r w:rsidR="000B498A" w:rsidRPr="00402158">
        <w:rPr>
          <w:rFonts w:ascii="Times New Roman" w:hAnsi="Times New Roman" w:cs="Times New Roman"/>
          <w:sz w:val="24"/>
          <w:szCs w:val="24"/>
        </w:rPr>
        <w:t>the data collection timeline</w:t>
      </w:r>
      <w:r w:rsidRPr="00402158">
        <w:rPr>
          <w:rFonts w:ascii="Times New Roman" w:hAnsi="Times New Roman" w:cs="Times New Roman"/>
          <w:sz w:val="24"/>
          <w:szCs w:val="24"/>
        </w:rPr>
        <w:t xml:space="preserve">, such as competing agency priorities, deaths pending autopsy or further investigation, and </w:t>
      </w:r>
      <w:r w:rsidR="000B498A" w:rsidRPr="00402158">
        <w:rPr>
          <w:rFonts w:ascii="Times New Roman" w:hAnsi="Times New Roman" w:cs="Times New Roman"/>
          <w:sz w:val="24"/>
          <w:szCs w:val="24"/>
        </w:rPr>
        <w:t>recent</w:t>
      </w:r>
      <w:r w:rsidR="00AD1CB2" w:rsidRPr="00402158">
        <w:rPr>
          <w:rFonts w:ascii="Times New Roman" w:hAnsi="Times New Roman" w:cs="Times New Roman"/>
          <w:sz w:val="24"/>
          <w:szCs w:val="24"/>
        </w:rPr>
        <w:t xml:space="preserve"> election of officials, which may result in changes to POCs and their willingness to participate.</w:t>
      </w:r>
    </w:p>
    <w:p w14:paraId="684AD574" w14:textId="77777777" w:rsidR="00374C26" w:rsidRDefault="00374C26" w:rsidP="00D040EB">
      <w:pPr>
        <w:pStyle w:val="ListParagraph"/>
        <w:spacing w:after="0" w:line="240" w:lineRule="auto"/>
        <w:ind w:left="360"/>
        <w:contextualSpacing w:val="0"/>
        <w:rPr>
          <w:rFonts w:ascii="Times New Roman" w:hAnsi="Times New Roman" w:cs="Times New Roman"/>
          <w:sz w:val="24"/>
          <w:szCs w:val="24"/>
        </w:rPr>
      </w:pPr>
    </w:p>
    <w:p w14:paraId="19EBAA2B" w14:textId="77777777" w:rsidR="00374C26" w:rsidRPr="00402158" w:rsidRDefault="00374C26" w:rsidP="00D040EB">
      <w:pPr>
        <w:pStyle w:val="ListParagraph"/>
        <w:spacing w:after="0" w:line="240" w:lineRule="auto"/>
        <w:ind w:left="360"/>
        <w:contextualSpacing w:val="0"/>
        <w:rPr>
          <w:rFonts w:ascii="Times New Roman" w:hAnsi="Times New Roman" w:cs="Times New Roman"/>
          <w:sz w:val="24"/>
          <w:szCs w:val="24"/>
        </w:rPr>
      </w:pPr>
      <w:r w:rsidRPr="00402158">
        <w:rPr>
          <w:rFonts w:ascii="Times New Roman" w:hAnsi="Times New Roman" w:cs="Times New Roman"/>
          <w:sz w:val="24"/>
          <w:szCs w:val="24"/>
        </w:rPr>
        <w:t>As BJA develops its new mortality information collection Death in Custody Reporting Act Collection (OMB Number 1140–0101), in compliance with legislation passed in 2014, BJS will assess items that should be removed from the BJS MCI collection to avoid redundancy and minimize burden. Once the BJA mortality collection is firmly established, BJS will submit proposed revisions to the MCI collection to OMB for approval. Presently, however, items previously approved for collection will not change.</w:t>
      </w:r>
    </w:p>
    <w:p w14:paraId="00EC0419" w14:textId="77777777" w:rsidR="00F95077" w:rsidRPr="00402158" w:rsidRDefault="00F95077" w:rsidP="00D040EB">
      <w:pPr>
        <w:pStyle w:val="ListParagraph"/>
        <w:spacing w:after="0" w:line="240" w:lineRule="auto"/>
        <w:ind w:left="360"/>
        <w:contextualSpacing w:val="0"/>
        <w:rPr>
          <w:rFonts w:ascii="Times New Roman" w:hAnsi="Times New Roman" w:cs="Times New Roman"/>
          <w:sz w:val="24"/>
          <w:szCs w:val="24"/>
        </w:rPr>
      </w:pPr>
    </w:p>
    <w:p w14:paraId="7965E9B4" w14:textId="77777777" w:rsidR="00F95077" w:rsidRDefault="00F95077" w:rsidP="00D040EB">
      <w:pPr>
        <w:pStyle w:val="ListParagraph"/>
        <w:numPr>
          <w:ilvl w:val="0"/>
          <w:numId w:val="1"/>
        </w:numPr>
        <w:spacing w:after="0" w:line="240" w:lineRule="auto"/>
        <w:contextualSpacing w:val="0"/>
        <w:rPr>
          <w:rFonts w:ascii="Times New Roman" w:hAnsi="Times New Roman" w:cs="Times New Roman"/>
          <w:sz w:val="24"/>
          <w:szCs w:val="24"/>
          <w:u w:val="single"/>
        </w:rPr>
      </w:pPr>
      <w:r w:rsidRPr="00402158">
        <w:rPr>
          <w:rFonts w:ascii="Times New Roman" w:hAnsi="Times New Roman" w:cs="Times New Roman"/>
          <w:sz w:val="24"/>
          <w:szCs w:val="24"/>
          <w:u w:val="single"/>
        </w:rPr>
        <w:t>Contact Information</w:t>
      </w:r>
    </w:p>
    <w:p w14:paraId="3CA8AE67" w14:textId="77777777" w:rsidR="00D040EB" w:rsidRPr="00402158" w:rsidRDefault="00D040EB" w:rsidP="00D040EB">
      <w:pPr>
        <w:pStyle w:val="ListParagraph"/>
        <w:spacing w:after="0" w:line="240" w:lineRule="auto"/>
        <w:contextualSpacing w:val="0"/>
        <w:rPr>
          <w:rFonts w:ascii="Times New Roman" w:hAnsi="Times New Roman" w:cs="Times New Roman"/>
          <w:sz w:val="24"/>
          <w:szCs w:val="24"/>
          <w:u w:val="single"/>
        </w:rPr>
      </w:pPr>
    </w:p>
    <w:p w14:paraId="55C38831" w14:textId="77777777" w:rsidR="00F95077" w:rsidRDefault="00F95077" w:rsidP="00D040EB">
      <w:pPr>
        <w:spacing w:after="0" w:line="240" w:lineRule="auto"/>
        <w:ind w:left="360"/>
        <w:rPr>
          <w:rFonts w:ascii="Times New Roman" w:hAnsi="Times New Roman" w:cs="Times New Roman"/>
          <w:sz w:val="24"/>
          <w:szCs w:val="24"/>
        </w:rPr>
      </w:pPr>
      <w:r w:rsidRPr="00402158">
        <w:rPr>
          <w:rFonts w:ascii="Times New Roman" w:hAnsi="Times New Roman" w:cs="Times New Roman"/>
          <w:sz w:val="24"/>
          <w:szCs w:val="24"/>
        </w:rPr>
        <w:t>The BJS Corrections Unit has overall responsibility for the design and management of activities related to the MCI collection. BJS oversees data collection, development of definitions and criteria for inclusion in the study, data analysis and dissemination. The primary BJS contact for the MCI is:</w:t>
      </w:r>
    </w:p>
    <w:p w14:paraId="6A22C0DE" w14:textId="77777777" w:rsidR="00D040EB" w:rsidRPr="00402158" w:rsidRDefault="00D040EB" w:rsidP="00D040EB">
      <w:pPr>
        <w:spacing w:after="0" w:line="240" w:lineRule="auto"/>
        <w:ind w:left="360"/>
        <w:rPr>
          <w:rFonts w:ascii="Times New Roman" w:hAnsi="Times New Roman" w:cs="Times New Roman"/>
          <w:sz w:val="24"/>
          <w:szCs w:val="24"/>
        </w:rPr>
      </w:pPr>
    </w:p>
    <w:p w14:paraId="494C9119" w14:textId="77777777" w:rsidR="00F95077" w:rsidRPr="00402158" w:rsidRDefault="00F95077" w:rsidP="00D040EB">
      <w:pPr>
        <w:pStyle w:val="NoSpacing"/>
        <w:ind w:firstLine="360"/>
        <w:rPr>
          <w:rFonts w:ascii="Times New Roman" w:hAnsi="Times New Roman" w:cs="Times New Roman"/>
          <w:sz w:val="24"/>
          <w:szCs w:val="24"/>
        </w:rPr>
      </w:pPr>
      <w:r w:rsidRPr="00402158">
        <w:rPr>
          <w:rFonts w:ascii="Times New Roman" w:hAnsi="Times New Roman" w:cs="Times New Roman"/>
          <w:sz w:val="24"/>
          <w:szCs w:val="24"/>
        </w:rPr>
        <w:t>Elizabeth Ann Carson, Ph.D.</w:t>
      </w:r>
    </w:p>
    <w:p w14:paraId="196748FF" w14:textId="77777777" w:rsidR="00F95077" w:rsidRPr="00402158" w:rsidRDefault="00F95077" w:rsidP="00D040EB">
      <w:pPr>
        <w:pStyle w:val="NoSpacing"/>
        <w:ind w:firstLine="360"/>
        <w:rPr>
          <w:rFonts w:ascii="Times New Roman" w:hAnsi="Times New Roman" w:cs="Times New Roman"/>
          <w:sz w:val="24"/>
          <w:szCs w:val="24"/>
        </w:rPr>
      </w:pPr>
      <w:r w:rsidRPr="00402158">
        <w:rPr>
          <w:rFonts w:ascii="Times New Roman" w:hAnsi="Times New Roman" w:cs="Times New Roman"/>
          <w:sz w:val="24"/>
          <w:szCs w:val="24"/>
        </w:rPr>
        <w:t>Statistician and Acting Chief, Corrections Unit</w:t>
      </w:r>
    </w:p>
    <w:p w14:paraId="2A681B1B" w14:textId="77777777" w:rsidR="00F95077" w:rsidRPr="00402158" w:rsidRDefault="00F95077" w:rsidP="00D040EB">
      <w:pPr>
        <w:pStyle w:val="NoSpacing"/>
        <w:ind w:firstLine="360"/>
        <w:rPr>
          <w:rFonts w:ascii="Times New Roman" w:hAnsi="Times New Roman" w:cs="Times New Roman"/>
          <w:sz w:val="24"/>
          <w:szCs w:val="24"/>
        </w:rPr>
      </w:pPr>
      <w:r w:rsidRPr="00402158">
        <w:rPr>
          <w:rFonts w:ascii="Times New Roman" w:hAnsi="Times New Roman" w:cs="Times New Roman"/>
          <w:sz w:val="24"/>
          <w:szCs w:val="24"/>
        </w:rPr>
        <w:t>Bureau of Justice Statistics</w:t>
      </w:r>
    </w:p>
    <w:p w14:paraId="76E4A4AF" w14:textId="77777777" w:rsidR="00F95077" w:rsidRPr="00402158" w:rsidRDefault="00F95077" w:rsidP="00D040EB">
      <w:pPr>
        <w:pStyle w:val="NoSpacing"/>
        <w:ind w:firstLine="360"/>
        <w:rPr>
          <w:rFonts w:ascii="Times New Roman" w:hAnsi="Times New Roman" w:cs="Times New Roman"/>
          <w:sz w:val="24"/>
          <w:szCs w:val="24"/>
        </w:rPr>
      </w:pPr>
      <w:r w:rsidRPr="00402158">
        <w:rPr>
          <w:rFonts w:ascii="Times New Roman" w:hAnsi="Times New Roman" w:cs="Times New Roman"/>
          <w:sz w:val="24"/>
          <w:szCs w:val="24"/>
        </w:rPr>
        <w:t>810 Seventh Street NW</w:t>
      </w:r>
    </w:p>
    <w:p w14:paraId="3C8ED186" w14:textId="77777777" w:rsidR="00F95077" w:rsidRPr="00402158" w:rsidRDefault="00F95077" w:rsidP="00D040EB">
      <w:pPr>
        <w:pStyle w:val="NoSpacing"/>
        <w:ind w:firstLine="360"/>
        <w:rPr>
          <w:rFonts w:ascii="Times New Roman" w:hAnsi="Times New Roman" w:cs="Times New Roman"/>
          <w:sz w:val="24"/>
          <w:szCs w:val="24"/>
        </w:rPr>
      </w:pPr>
      <w:r w:rsidRPr="00402158">
        <w:rPr>
          <w:rFonts w:ascii="Times New Roman" w:hAnsi="Times New Roman" w:cs="Times New Roman"/>
          <w:sz w:val="24"/>
          <w:szCs w:val="24"/>
        </w:rPr>
        <w:t>Washington, DC 20531</w:t>
      </w:r>
    </w:p>
    <w:p w14:paraId="4E08D693" w14:textId="77777777" w:rsidR="00F95077" w:rsidRPr="00402158" w:rsidRDefault="00F95077" w:rsidP="00D040EB">
      <w:pPr>
        <w:pStyle w:val="NoSpacing"/>
        <w:ind w:firstLine="360"/>
        <w:rPr>
          <w:rFonts w:ascii="Times New Roman" w:hAnsi="Times New Roman" w:cs="Times New Roman"/>
          <w:sz w:val="24"/>
          <w:szCs w:val="24"/>
        </w:rPr>
      </w:pPr>
      <w:r w:rsidRPr="00402158">
        <w:rPr>
          <w:rFonts w:ascii="Times New Roman" w:hAnsi="Times New Roman" w:cs="Times New Roman"/>
          <w:sz w:val="24"/>
          <w:szCs w:val="24"/>
        </w:rPr>
        <w:t>(202) 616-3496</w:t>
      </w:r>
    </w:p>
    <w:p w14:paraId="18CBBFD1" w14:textId="524DF1F8" w:rsidR="00F75413" w:rsidRPr="00D040EB" w:rsidRDefault="00F95077" w:rsidP="00D040EB">
      <w:pPr>
        <w:pStyle w:val="NoSpacing"/>
        <w:ind w:firstLine="360"/>
        <w:rPr>
          <w:rFonts w:ascii="Times New Roman" w:hAnsi="Times New Roman" w:cs="Times New Roman"/>
          <w:sz w:val="24"/>
          <w:szCs w:val="24"/>
        </w:rPr>
      </w:pPr>
      <w:r w:rsidRPr="00402158">
        <w:rPr>
          <w:rFonts w:ascii="Times New Roman" w:hAnsi="Times New Roman" w:cs="Times New Roman"/>
          <w:sz w:val="24"/>
          <w:szCs w:val="24"/>
        </w:rPr>
        <w:t>Elizabeth.Carson@usdoj.gov</w:t>
      </w:r>
    </w:p>
    <w:sectPr w:rsidR="00F75413" w:rsidRPr="00D040E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01CACF" w14:textId="77777777" w:rsidR="00127AF9" w:rsidRDefault="00127AF9">
      <w:pPr>
        <w:spacing w:after="0" w:line="240" w:lineRule="auto"/>
      </w:pPr>
      <w:r>
        <w:separator/>
      </w:r>
    </w:p>
  </w:endnote>
  <w:endnote w:type="continuationSeparator" w:id="0">
    <w:p w14:paraId="13CA5802" w14:textId="77777777" w:rsidR="00127AF9" w:rsidRDefault="00127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6015155"/>
      <w:docPartObj>
        <w:docPartGallery w:val="Page Numbers (Bottom of Page)"/>
        <w:docPartUnique/>
      </w:docPartObj>
    </w:sdtPr>
    <w:sdtEndPr>
      <w:rPr>
        <w:noProof/>
      </w:rPr>
    </w:sdtEndPr>
    <w:sdtContent>
      <w:p w14:paraId="2F41C43B" w14:textId="77777777" w:rsidR="00AB37B9" w:rsidRDefault="00AB37B9">
        <w:pPr>
          <w:pStyle w:val="Footer"/>
          <w:jc w:val="right"/>
        </w:pPr>
        <w:r>
          <w:fldChar w:fldCharType="begin"/>
        </w:r>
        <w:r>
          <w:instrText xml:space="preserve"> PAGE   \* MERGEFORMAT </w:instrText>
        </w:r>
        <w:r>
          <w:fldChar w:fldCharType="separate"/>
        </w:r>
        <w:r w:rsidR="00DC68E5">
          <w:rPr>
            <w:noProof/>
          </w:rPr>
          <w:t>1</w:t>
        </w:r>
        <w:r>
          <w:rPr>
            <w:noProof/>
          </w:rPr>
          <w:fldChar w:fldCharType="end"/>
        </w:r>
      </w:p>
    </w:sdtContent>
  </w:sdt>
  <w:p w14:paraId="0911E6DA" w14:textId="77777777" w:rsidR="00AB37B9" w:rsidRDefault="00AB37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DB62DD" w14:textId="77777777" w:rsidR="00127AF9" w:rsidRDefault="00127AF9">
      <w:pPr>
        <w:spacing w:after="0" w:line="240" w:lineRule="auto"/>
      </w:pPr>
      <w:r>
        <w:separator/>
      </w:r>
    </w:p>
  </w:footnote>
  <w:footnote w:type="continuationSeparator" w:id="0">
    <w:p w14:paraId="04DCCEEB" w14:textId="77777777" w:rsidR="00127AF9" w:rsidRDefault="00127A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6F14C8"/>
    <w:multiLevelType w:val="hybridMultilevel"/>
    <w:tmpl w:val="7B70E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077"/>
    <w:rsid w:val="00021EA0"/>
    <w:rsid w:val="00044858"/>
    <w:rsid w:val="000A55BB"/>
    <w:rsid w:val="000B498A"/>
    <w:rsid w:val="00124FAB"/>
    <w:rsid w:val="00127AF9"/>
    <w:rsid w:val="00145F76"/>
    <w:rsid w:val="001F0B83"/>
    <w:rsid w:val="002B672E"/>
    <w:rsid w:val="00316E90"/>
    <w:rsid w:val="00374C26"/>
    <w:rsid w:val="00402158"/>
    <w:rsid w:val="004E2E8A"/>
    <w:rsid w:val="005C2FF5"/>
    <w:rsid w:val="00605043"/>
    <w:rsid w:val="007A6F06"/>
    <w:rsid w:val="007D1D4C"/>
    <w:rsid w:val="007D7E21"/>
    <w:rsid w:val="00837CA3"/>
    <w:rsid w:val="008E0CC0"/>
    <w:rsid w:val="00992D06"/>
    <w:rsid w:val="00A646D6"/>
    <w:rsid w:val="00AB37B9"/>
    <w:rsid w:val="00AD1CB2"/>
    <w:rsid w:val="00CA3F42"/>
    <w:rsid w:val="00D040EB"/>
    <w:rsid w:val="00D628A4"/>
    <w:rsid w:val="00D86F26"/>
    <w:rsid w:val="00DA19A3"/>
    <w:rsid w:val="00DC68E5"/>
    <w:rsid w:val="00E454DD"/>
    <w:rsid w:val="00EC269F"/>
    <w:rsid w:val="00F469D3"/>
    <w:rsid w:val="00F75413"/>
    <w:rsid w:val="00F95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15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0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077"/>
    <w:pPr>
      <w:ind w:left="720"/>
      <w:contextualSpacing/>
    </w:pPr>
  </w:style>
  <w:style w:type="table" w:styleId="TableGrid">
    <w:name w:val="Table Grid"/>
    <w:basedOn w:val="TableNormal"/>
    <w:uiPriority w:val="39"/>
    <w:rsid w:val="00F95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5077"/>
    <w:pPr>
      <w:spacing w:after="0" w:line="240" w:lineRule="auto"/>
    </w:pPr>
  </w:style>
  <w:style w:type="paragraph" w:styleId="Footer">
    <w:name w:val="footer"/>
    <w:basedOn w:val="Normal"/>
    <w:link w:val="FooterChar"/>
    <w:uiPriority w:val="99"/>
    <w:unhideWhenUsed/>
    <w:rsid w:val="00F950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077"/>
  </w:style>
  <w:style w:type="character" w:styleId="CommentReference">
    <w:name w:val="annotation reference"/>
    <w:basedOn w:val="DefaultParagraphFont"/>
    <w:uiPriority w:val="99"/>
    <w:semiHidden/>
    <w:unhideWhenUsed/>
    <w:rsid w:val="007D1D4C"/>
    <w:rPr>
      <w:sz w:val="16"/>
      <w:szCs w:val="16"/>
    </w:rPr>
  </w:style>
  <w:style w:type="paragraph" w:styleId="CommentText">
    <w:name w:val="annotation text"/>
    <w:basedOn w:val="Normal"/>
    <w:link w:val="CommentTextChar"/>
    <w:uiPriority w:val="99"/>
    <w:semiHidden/>
    <w:unhideWhenUsed/>
    <w:rsid w:val="007D1D4C"/>
    <w:pPr>
      <w:spacing w:line="240" w:lineRule="auto"/>
    </w:pPr>
    <w:rPr>
      <w:sz w:val="20"/>
      <w:szCs w:val="20"/>
    </w:rPr>
  </w:style>
  <w:style w:type="character" w:customStyle="1" w:styleId="CommentTextChar">
    <w:name w:val="Comment Text Char"/>
    <w:basedOn w:val="DefaultParagraphFont"/>
    <w:link w:val="CommentText"/>
    <w:uiPriority w:val="99"/>
    <w:semiHidden/>
    <w:rsid w:val="007D1D4C"/>
    <w:rPr>
      <w:sz w:val="20"/>
      <w:szCs w:val="20"/>
    </w:rPr>
  </w:style>
  <w:style w:type="paragraph" w:styleId="CommentSubject">
    <w:name w:val="annotation subject"/>
    <w:basedOn w:val="CommentText"/>
    <w:next w:val="CommentText"/>
    <w:link w:val="CommentSubjectChar"/>
    <w:uiPriority w:val="99"/>
    <w:semiHidden/>
    <w:unhideWhenUsed/>
    <w:rsid w:val="007D1D4C"/>
    <w:rPr>
      <w:b/>
      <w:bCs/>
    </w:rPr>
  </w:style>
  <w:style w:type="character" w:customStyle="1" w:styleId="CommentSubjectChar">
    <w:name w:val="Comment Subject Char"/>
    <w:basedOn w:val="CommentTextChar"/>
    <w:link w:val="CommentSubject"/>
    <w:uiPriority w:val="99"/>
    <w:semiHidden/>
    <w:rsid w:val="007D1D4C"/>
    <w:rPr>
      <w:b/>
      <w:bCs/>
      <w:sz w:val="20"/>
      <w:szCs w:val="20"/>
    </w:rPr>
  </w:style>
  <w:style w:type="paragraph" w:styleId="BalloonText">
    <w:name w:val="Balloon Text"/>
    <w:basedOn w:val="Normal"/>
    <w:link w:val="BalloonTextChar"/>
    <w:uiPriority w:val="99"/>
    <w:semiHidden/>
    <w:unhideWhenUsed/>
    <w:rsid w:val="007D1D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D4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0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077"/>
    <w:pPr>
      <w:ind w:left="720"/>
      <w:contextualSpacing/>
    </w:pPr>
  </w:style>
  <w:style w:type="table" w:styleId="TableGrid">
    <w:name w:val="Table Grid"/>
    <w:basedOn w:val="TableNormal"/>
    <w:uiPriority w:val="39"/>
    <w:rsid w:val="00F95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5077"/>
    <w:pPr>
      <w:spacing w:after="0" w:line="240" w:lineRule="auto"/>
    </w:pPr>
  </w:style>
  <w:style w:type="paragraph" w:styleId="Footer">
    <w:name w:val="footer"/>
    <w:basedOn w:val="Normal"/>
    <w:link w:val="FooterChar"/>
    <w:uiPriority w:val="99"/>
    <w:unhideWhenUsed/>
    <w:rsid w:val="00F950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077"/>
  </w:style>
  <w:style w:type="character" w:styleId="CommentReference">
    <w:name w:val="annotation reference"/>
    <w:basedOn w:val="DefaultParagraphFont"/>
    <w:uiPriority w:val="99"/>
    <w:semiHidden/>
    <w:unhideWhenUsed/>
    <w:rsid w:val="007D1D4C"/>
    <w:rPr>
      <w:sz w:val="16"/>
      <w:szCs w:val="16"/>
    </w:rPr>
  </w:style>
  <w:style w:type="paragraph" w:styleId="CommentText">
    <w:name w:val="annotation text"/>
    <w:basedOn w:val="Normal"/>
    <w:link w:val="CommentTextChar"/>
    <w:uiPriority w:val="99"/>
    <w:semiHidden/>
    <w:unhideWhenUsed/>
    <w:rsid w:val="007D1D4C"/>
    <w:pPr>
      <w:spacing w:line="240" w:lineRule="auto"/>
    </w:pPr>
    <w:rPr>
      <w:sz w:val="20"/>
      <w:szCs w:val="20"/>
    </w:rPr>
  </w:style>
  <w:style w:type="character" w:customStyle="1" w:styleId="CommentTextChar">
    <w:name w:val="Comment Text Char"/>
    <w:basedOn w:val="DefaultParagraphFont"/>
    <w:link w:val="CommentText"/>
    <w:uiPriority w:val="99"/>
    <w:semiHidden/>
    <w:rsid w:val="007D1D4C"/>
    <w:rPr>
      <w:sz w:val="20"/>
      <w:szCs w:val="20"/>
    </w:rPr>
  </w:style>
  <w:style w:type="paragraph" w:styleId="CommentSubject">
    <w:name w:val="annotation subject"/>
    <w:basedOn w:val="CommentText"/>
    <w:next w:val="CommentText"/>
    <w:link w:val="CommentSubjectChar"/>
    <w:uiPriority w:val="99"/>
    <w:semiHidden/>
    <w:unhideWhenUsed/>
    <w:rsid w:val="007D1D4C"/>
    <w:rPr>
      <w:b/>
      <w:bCs/>
    </w:rPr>
  </w:style>
  <w:style w:type="character" w:customStyle="1" w:styleId="CommentSubjectChar">
    <w:name w:val="Comment Subject Char"/>
    <w:basedOn w:val="CommentTextChar"/>
    <w:link w:val="CommentSubject"/>
    <w:uiPriority w:val="99"/>
    <w:semiHidden/>
    <w:rsid w:val="007D1D4C"/>
    <w:rPr>
      <w:b/>
      <w:bCs/>
      <w:sz w:val="20"/>
      <w:szCs w:val="20"/>
    </w:rPr>
  </w:style>
  <w:style w:type="paragraph" w:styleId="BalloonText">
    <w:name w:val="Balloon Text"/>
    <w:basedOn w:val="Normal"/>
    <w:link w:val="BalloonTextChar"/>
    <w:uiPriority w:val="99"/>
    <w:semiHidden/>
    <w:unhideWhenUsed/>
    <w:rsid w:val="007D1D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D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1450</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9702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Cowhig, Mary</dc:creator>
  <cp:keywords/>
  <dc:description/>
  <cp:lastModifiedBy>SYSTEM</cp:lastModifiedBy>
  <cp:revision>2</cp:revision>
  <dcterms:created xsi:type="dcterms:W3CDTF">2019-02-04T13:08:00Z</dcterms:created>
  <dcterms:modified xsi:type="dcterms:W3CDTF">2019-02-04T13:08:00Z</dcterms:modified>
</cp:coreProperties>
</file>