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E86" w:rsidRPr="00FE1882" w:rsidRDefault="00EE2E86" w:rsidP="00EE2E86">
      <w:pPr>
        <w:pStyle w:val="Title"/>
        <w:spacing w:before="0" w:after="0"/>
        <w:contextualSpacing/>
        <w:rPr>
          <w:color w:val="000000" w:themeColor="text1"/>
        </w:rPr>
      </w:pPr>
      <w:bookmarkStart w:id="0" w:name="_GoBack"/>
      <w:bookmarkEnd w:id="0"/>
      <w:r w:rsidRPr="00FE1882">
        <w:rPr>
          <w:color w:val="000000" w:themeColor="text1"/>
        </w:rPr>
        <w:t>SUPPORTING STATEMENT</w:t>
      </w:r>
    </w:p>
    <w:p w:rsidR="00EE2E86" w:rsidRPr="00FE1882" w:rsidRDefault="00EE2E86" w:rsidP="00EE2E86">
      <w:pPr>
        <w:pStyle w:val="Title"/>
        <w:spacing w:before="0" w:after="0"/>
        <w:contextualSpacing/>
        <w:rPr>
          <w:color w:val="000000" w:themeColor="text1"/>
        </w:rPr>
      </w:pPr>
      <w:r w:rsidRPr="00FE1882">
        <w:rPr>
          <w:color w:val="000000" w:themeColor="text1"/>
        </w:rPr>
        <w:t>FOR PAPERWORK REDUCTION ACT SUBMISSION</w:t>
      </w:r>
    </w:p>
    <w:p w:rsidR="00EE2E86" w:rsidRPr="00FE1882" w:rsidRDefault="00EE2E86" w:rsidP="00EE2E86">
      <w:pPr>
        <w:spacing w:after="0"/>
        <w:contextualSpacing/>
        <w:jc w:val="center"/>
        <w:rPr>
          <w:b/>
          <w:color w:val="000000" w:themeColor="text1"/>
        </w:rPr>
      </w:pPr>
      <w:r w:rsidRPr="00FE1882">
        <w:rPr>
          <w:b/>
          <w:color w:val="000000" w:themeColor="text1"/>
        </w:rPr>
        <w:t>Centers for Independent Living Program Performance Report</w:t>
      </w:r>
    </w:p>
    <w:p w:rsidR="00EE2E86" w:rsidRPr="00FE1882" w:rsidRDefault="00EE2E86" w:rsidP="00EE2E86">
      <w:pPr>
        <w:spacing w:after="0"/>
        <w:contextualSpacing/>
        <w:jc w:val="center"/>
        <w:rPr>
          <w:b/>
          <w:color w:val="000000" w:themeColor="text1"/>
        </w:rPr>
      </w:pPr>
      <w:r w:rsidRPr="00FE1882">
        <w:rPr>
          <w:b/>
          <w:color w:val="000000" w:themeColor="text1"/>
        </w:rPr>
        <w:t>OMB Number: 0985-NEW</w:t>
      </w:r>
    </w:p>
    <w:p w:rsidR="00EE2E86" w:rsidRPr="00FE1882" w:rsidRDefault="00EE2E86" w:rsidP="00EE2E86">
      <w:pPr>
        <w:spacing w:after="0"/>
        <w:contextualSpacing/>
        <w:jc w:val="center"/>
        <w:rPr>
          <w:color w:val="000000" w:themeColor="text1"/>
        </w:rPr>
      </w:pPr>
    </w:p>
    <w:p w:rsidR="00EE2E86" w:rsidRPr="00FE1882" w:rsidRDefault="00EE2E86" w:rsidP="00EE2E86">
      <w:pPr>
        <w:pStyle w:val="Heading1"/>
        <w:numPr>
          <w:ilvl w:val="0"/>
          <w:numId w:val="2"/>
        </w:numPr>
        <w:spacing w:after="0"/>
        <w:contextualSpacing/>
        <w:rPr>
          <w:rFonts w:cs="Times New Roman"/>
          <w:color w:val="000000" w:themeColor="text1"/>
          <w:sz w:val="24"/>
          <w:szCs w:val="24"/>
        </w:rPr>
      </w:pPr>
      <w:r w:rsidRPr="00FE1882">
        <w:rPr>
          <w:rFonts w:cs="Times New Roman"/>
          <w:color w:val="000000" w:themeColor="text1"/>
          <w:sz w:val="24"/>
          <w:szCs w:val="24"/>
        </w:rPr>
        <w:t>Justification</w:t>
      </w:r>
    </w:p>
    <w:p w:rsidR="00EE2E86" w:rsidRPr="00FE1882" w:rsidRDefault="00EE2E86" w:rsidP="00EE2E86">
      <w:pPr>
        <w:pStyle w:val="Heading1"/>
        <w:numPr>
          <w:ilvl w:val="0"/>
          <w:numId w:val="0"/>
        </w:numPr>
        <w:spacing w:after="0"/>
        <w:contextualSpacing/>
        <w:rPr>
          <w:rFonts w:cs="Times New Roman"/>
          <w:color w:val="000000" w:themeColor="text1"/>
          <w:sz w:val="24"/>
          <w:szCs w:val="24"/>
        </w:rPr>
      </w:pPr>
      <w:r w:rsidRPr="00FE1882">
        <w:rPr>
          <w:rFonts w:cs="Times New Roman"/>
          <w:color w:val="000000" w:themeColor="text1"/>
          <w:sz w:val="24"/>
          <w:szCs w:val="24"/>
        </w:rPr>
        <w:t xml:space="preserve"> </w:t>
      </w:r>
    </w:p>
    <w:p w:rsidR="00EE2E86" w:rsidRPr="00FE1882" w:rsidRDefault="00EE2E86" w:rsidP="00EE2E86">
      <w:pPr>
        <w:pStyle w:val="ListParagraph"/>
        <w:numPr>
          <w:ilvl w:val="0"/>
          <w:numId w:val="1"/>
        </w:numPr>
        <w:spacing w:before="0" w:after="0"/>
        <w:ind w:left="0"/>
        <w:contextualSpacing/>
        <w:rPr>
          <w:b/>
          <w:color w:val="000000" w:themeColor="text1"/>
        </w:rPr>
      </w:pPr>
      <w:r w:rsidRPr="00FE1882">
        <w:rPr>
          <w:b/>
          <w:color w:val="000000" w:themeColor="text1"/>
        </w:rPr>
        <w:t xml:space="preserve">Circumstances Making the Collection of Information Necessary </w:t>
      </w:r>
    </w:p>
    <w:p w:rsidR="00EE2E86" w:rsidRPr="00FE1882" w:rsidRDefault="00EE2E86" w:rsidP="00EE2E86">
      <w:pPr>
        <w:pStyle w:val="ListParagraph"/>
        <w:spacing w:before="0" w:after="0"/>
        <w:ind w:left="0"/>
        <w:contextualSpacing/>
        <w:rPr>
          <w:b/>
          <w:color w:val="000000" w:themeColor="text1"/>
        </w:rPr>
      </w:pPr>
    </w:p>
    <w:p w:rsidR="00EE2E86" w:rsidRPr="00FE1882" w:rsidRDefault="00EE2E86" w:rsidP="00EE2E86">
      <w:pPr>
        <w:pStyle w:val="ListParagraph"/>
        <w:spacing w:before="0" w:after="0"/>
        <w:ind w:left="0"/>
        <w:contextualSpacing/>
        <w:rPr>
          <w:color w:val="000000" w:themeColor="text1"/>
        </w:rPr>
      </w:pPr>
      <w:r w:rsidRPr="00FE1882">
        <w:rPr>
          <w:color w:val="000000" w:themeColor="text1"/>
        </w:rPr>
        <w:t xml:space="preserve">In compliance with 44 U.S.C. § 3507, ACL has submitted the following proposed collection of information to OMB for review and clearance. The Act of 1973 requires three Independent Living program reports: (1) State Plan for Independent Living, (2) Independent Living Services </w:t>
      </w:r>
      <w:r>
        <w:rPr>
          <w:color w:val="000000" w:themeColor="text1"/>
        </w:rPr>
        <w:t xml:space="preserve">(ILS) </w:t>
      </w:r>
      <w:r w:rsidRPr="00FE1882">
        <w:rPr>
          <w:color w:val="000000" w:themeColor="text1"/>
        </w:rPr>
        <w:t xml:space="preserve">Program Performance Report (PPR), and (3) Centers for Independent Living (CILs) PPR. The ILS PPR and CIL PPR were previously combined into one submission. However, for the purposes of this data collection, the ILS PPR and CIL PPR are being submitted separately because they are separate collections of different information from different </w:t>
      </w:r>
      <w:r>
        <w:rPr>
          <w:color w:val="000000" w:themeColor="text1"/>
        </w:rPr>
        <w:t>respondents</w:t>
      </w:r>
      <w:r w:rsidRPr="00FE1882">
        <w:rPr>
          <w:color w:val="000000" w:themeColor="text1"/>
        </w:rPr>
        <w:t>. Separating these PRA processes reduces confusion and increases the Independent Living Administration’s (ILA) ability to identify issues specific to designated state entities (DSEs) and Statewide Independent Living Councils. This request is for the CIL PPR, which is submitted annually by every CIL that receives Rehabilitation Act Title VII, Subchapter C funding. The CIL PPR serves as the main way for CILs to fulfill the requirement to “[submit] an approvable annual performance report demonstrating that the Center meets the indicators of minimum compliance.” 29 U.S.C. § 725(c)(8)</w:t>
      </w:r>
      <w:r w:rsidR="00362EE7">
        <w:rPr>
          <w:color w:val="000000" w:themeColor="text1"/>
        </w:rPr>
        <w:t xml:space="preserve"> (2015)</w:t>
      </w:r>
      <w:r w:rsidRPr="00FE1882">
        <w:rPr>
          <w:color w:val="000000" w:themeColor="text1"/>
        </w:rPr>
        <w:t>; 45 CFR 1329.21(a)(2).</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spacing w:before="0" w:after="0"/>
        <w:ind w:left="0"/>
        <w:contextualSpacing/>
        <w:rPr>
          <w:color w:val="000000" w:themeColor="text1"/>
        </w:rPr>
      </w:pPr>
      <w:r w:rsidRPr="00FE1882">
        <w:rPr>
          <w:color w:val="000000" w:themeColor="text1"/>
        </w:rPr>
        <w:t xml:space="preserve">This collection of information is </w:t>
      </w:r>
      <w:r w:rsidR="006F7F10">
        <w:rPr>
          <w:color w:val="000000" w:themeColor="text1"/>
        </w:rPr>
        <w:t>new. This new collection</w:t>
      </w:r>
      <w:r w:rsidRPr="00FE1882">
        <w:rPr>
          <w:color w:val="000000" w:themeColor="text1"/>
        </w:rPr>
        <w:t xml:space="preserve"> use</w:t>
      </w:r>
      <w:r w:rsidR="006F7F10">
        <w:rPr>
          <w:color w:val="000000" w:themeColor="text1"/>
        </w:rPr>
        <w:t>s</w:t>
      </w:r>
      <w:r w:rsidRPr="00FE1882">
        <w:rPr>
          <w:color w:val="000000" w:themeColor="text1"/>
        </w:rPr>
        <w:t xml:space="preserve"> current terminology, cite current statutes—including the Workforce Innovation and Opportunity Act</w:t>
      </w:r>
      <w:r w:rsidR="00D24F72" w:rsidRPr="00866A3E">
        <w:rPr>
          <w:color w:val="000000" w:themeColor="text1"/>
        </w:rPr>
        <w:t xml:space="preserve">, 29 U.S.C. 3101, </w:t>
      </w:r>
      <w:r w:rsidR="00D24F72" w:rsidRPr="00866A3E">
        <w:rPr>
          <w:i/>
          <w:color w:val="000000" w:themeColor="text1"/>
        </w:rPr>
        <w:t>et seq.</w:t>
      </w:r>
      <w:r w:rsidRPr="00FE1882">
        <w:rPr>
          <w:color w:val="000000" w:themeColor="text1"/>
        </w:rPr>
        <w:t>—and regulations, correct grammatical and punctuation errors, clarify instructions, and use acronyms when and only when they save space without confusing the reader.</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numPr>
          <w:ilvl w:val="0"/>
          <w:numId w:val="1"/>
        </w:numPr>
        <w:spacing w:before="0" w:after="0"/>
        <w:ind w:left="0"/>
        <w:contextualSpacing/>
        <w:rPr>
          <w:b/>
          <w:color w:val="000000" w:themeColor="text1"/>
        </w:rPr>
      </w:pPr>
      <w:r w:rsidRPr="00FE1882">
        <w:rPr>
          <w:b/>
          <w:color w:val="000000" w:themeColor="text1"/>
        </w:rPr>
        <w:t>Purpose and Use of the Information Collection</w:t>
      </w:r>
    </w:p>
    <w:p w:rsidR="00EE2E86" w:rsidRPr="00FE1882" w:rsidRDefault="00EE2E86" w:rsidP="00EE2E86">
      <w:pPr>
        <w:pStyle w:val="ListParagraph"/>
        <w:spacing w:before="0" w:after="0"/>
        <w:ind w:left="0"/>
        <w:contextualSpacing/>
        <w:rPr>
          <w:b/>
          <w:color w:val="000000" w:themeColor="text1"/>
        </w:rPr>
      </w:pPr>
    </w:p>
    <w:p w:rsidR="00EE2E86" w:rsidRPr="00FE1882" w:rsidRDefault="00EE2E86" w:rsidP="00EE2E86">
      <w:pPr>
        <w:pStyle w:val="ListParagraph"/>
        <w:spacing w:before="0" w:after="0"/>
        <w:ind w:left="0"/>
        <w:contextualSpacing/>
        <w:rPr>
          <w:color w:val="000000" w:themeColor="text1"/>
        </w:rPr>
      </w:pPr>
      <w:r w:rsidRPr="00FE1882">
        <w:rPr>
          <w:color w:val="000000" w:themeColor="text1"/>
        </w:rPr>
        <w:t>The CIL PPRs are used by ACL to assess grantees’ compliance with Title VII of the Act, with 45 CFR part 1329 of the Code of Federal Regulations, and with applicable provisions of the HHS Regulations at 45 CFR part 75. On the basis of ACL’s assessments of PPRs, it provides technical assistance, further assesses compliance, grants and denies continuations, and terminates grants.</w:t>
      </w:r>
      <w:r>
        <w:rPr>
          <w:color w:val="000000" w:themeColor="text1"/>
        </w:rPr>
        <w:t xml:space="preserve"> CIL PPRs are necessary forms of compliance assessment because PPRs alert ACL about grantees that need further assessment.</w:t>
      </w:r>
      <w:r w:rsidRPr="00FE1882">
        <w:rPr>
          <w:color w:val="000000" w:themeColor="text1"/>
        </w:rPr>
        <w:t xml:space="preserve"> The PPR is also used by ACL to design CIL and SILC training and technical assistance programs authorized by section 721 of the Act. </w:t>
      </w:r>
      <w:r w:rsidRPr="00FE1882">
        <w:rPr>
          <w:color w:val="000000" w:themeColor="text1"/>
          <w:u w:val="single"/>
        </w:rPr>
        <w:t>See</w:t>
      </w:r>
      <w:r w:rsidRPr="00FE1882">
        <w:rPr>
          <w:color w:val="000000" w:themeColor="text1"/>
        </w:rPr>
        <w:t xml:space="preserve"> 29 U.S.C. § 721(b)(1)</w:t>
      </w:r>
      <w:r w:rsidR="00362EE7">
        <w:rPr>
          <w:color w:val="000000" w:themeColor="text1"/>
        </w:rPr>
        <w:t xml:space="preserve"> (2015)</w:t>
      </w:r>
      <w:r w:rsidRPr="00FE1882">
        <w:rPr>
          <w:color w:val="000000" w:themeColor="text1"/>
        </w:rPr>
        <w:t xml:space="preserve">; </w:t>
      </w:r>
      <w:r w:rsidRPr="00FE1882">
        <w:rPr>
          <w:color w:val="000000" w:themeColor="text1"/>
          <w:u w:val="single"/>
        </w:rPr>
        <w:t>see</w:t>
      </w:r>
      <w:r w:rsidRPr="00FE1882">
        <w:rPr>
          <w:color w:val="000000" w:themeColor="text1"/>
        </w:rPr>
        <w:t xml:space="preserve"> 45 CFR 1329.24.</w:t>
      </w:r>
      <w:r w:rsidR="00611657">
        <w:rPr>
          <w:color w:val="000000" w:themeColor="text1"/>
        </w:rPr>
        <w:t xml:space="preserve"> The data is also used to meet the requirements of GPRAMA regarding performance measures. </w:t>
      </w:r>
      <w:r w:rsidR="00611657" w:rsidRPr="003678C9">
        <w:rPr>
          <w:color w:val="000000" w:themeColor="text1"/>
        </w:rPr>
        <w:t>31 U.S.C. § 1115 (2011).</w:t>
      </w:r>
    </w:p>
    <w:p w:rsidR="00EE2E86" w:rsidRDefault="00EE2E86" w:rsidP="00EE2E86">
      <w:pPr>
        <w:pStyle w:val="ListParagraph"/>
        <w:spacing w:before="0" w:after="0"/>
        <w:ind w:left="0"/>
        <w:contextualSpacing/>
        <w:rPr>
          <w:b/>
          <w:color w:val="000000" w:themeColor="text1"/>
        </w:rPr>
      </w:pPr>
    </w:p>
    <w:p w:rsidR="00EE2E86" w:rsidRPr="00FE1882" w:rsidRDefault="00EE2E86" w:rsidP="00EE2E86">
      <w:pPr>
        <w:pStyle w:val="ListParagraph"/>
        <w:numPr>
          <w:ilvl w:val="0"/>
          <w:numId w:val="1"/>
        </w:numPr>
        <w:spacing w:before="0" w:after="0"/>
        <w:ind w:left="0"/>
        <w:contextualSpacing/>
        <w:rPr>
          <w:b/>
          <w:color w:val="000000" w:themeColor="text1"/>
        </w:rPr>
      </w:pPr>
      <w:r w:rsidRPr="00FE1882">
        <w:rPr>
          <w:b/>
          <w:color w:val="000000" w:themeColor="text1"/>
        </w:rPr>
        <w:t xml:space="preserve">Use of Improved Information Technology and Burden Reduction </w:t>
      </w:r>
    </w:p>
    <w:p w:rsidR="00EE2E86" w:rsidRPr="00FE1882" w:rsidRDefault="00EE2E86" w:rsidP="00EE2E86">
      <w:pPr>
        <w:pStyle w:val="ListParagraph"/>
        <w:spacing w:before="0" w:after="0"/>
        <w:ind w:left="0"/>
        <w:contextualSpacing/>
        <w:rPr>
          <w:b/>
          <w:color w:val="000000" w:themeColor="text1"/>
        </w:rPr>
      </w:pPr>
    </w:p>
    <w:p w:rsidR="00EE2E86" w:rsidRPr="00FE1882" w:rsidRDefault="00EE2E86" w:rsidP="00EE2E86">
      <w:pPr>
        <w:pStyle w:val="ListParagraph"/>
        <w:spacing w:before="0" w:after="0"/>
        <w:ind w:left="0"/>
        <w:contextualSpacing/>
        <w:rPr>
          <w:color w:val="000000" w:themeColor="text1"/>
        </w:rPr>
      </w:pPr>
      <w:r w:rsidRPr="00FE1882">
        <w:rPr>
          <w:color w:val="000000" w:themeColor="text1"/>
        </w:rPr>
        <w:t xml:space="preserve">The reports are submitted electronically through ACLReporting because it standardizes answers in a way that is easy to understand, search, remotely access, and store. The questions are phrased in ways that minimize the time and effort that answering requires and in ways that channel </w:t>
      </w:r>
      <w:r w:rsidRPr="00FE1882">
        <w:rPr>
          <w:color w:val="000000" w:themeColor="text1"/>
        </w:rPr>
        <w:lastRenderedPageBreak/>
        <w:t>answers into categories that conveniently tell ACL what it needs to know.</w:t>
      </w:r>
      <w:r>
        <w:rPr>
          <w:color w:val="000000" w:themeColor="text1"/>
        </w:rPr>
        <w:t xml:space="preserve"> </w:t>
      </w:r>
      <w:r w:rsidRPr="00FE1882">
        <w:rPr>
          <w:color w:val="000000" w:themeColor="text1"/>
        </w:rPr>
        <w:t>CIL PPRs, because they are all in the same easy-to-understand and easy-to-compare format, conspicuously display trends and patterns that</w:t>
      </w:r>
      <w:r w:rsidR="00377634">
        <w:rPr>
          <w:color w:val="000000" w:themeColor="text1"/>
        </w:rPr>
        <w:t xml:space="preserve"> inform</w:t>
      </w:r>
      <w:r w:rsidRPr="00FE1882">
        <w:rPr>
          <w:color w:val="000000" w:themeColor="text1"/>
        </w:rPr>
        <w:t xml:space="preserve"> ACL</w:t>
      </w:r>
      <w:r w:rsidR="00377634">
        <w:rPr>
          <w:color w:val="000000" w:themeColor="text1"/>
        </w:rPr>
        <w:t>’s</w:t>
      </w:r>
      <w:r w:rsidRPr="00FE1882">
        <w:rPr>
          <w:color w:val="000000" w:themeColor="text1"/>
        </w:rPr>
        <w:t xml:space="preserve"> training and</w:t>
      </w:r>
      <w:r>
        <w:rPr>
          <w:color w:val="000000" w:themeColor="text1"/>
        </w:rPr>
        <w:t xml:space="preserve"> technical assistance programs. </w:t>
      </w:r>
      <w:r w:rsidRPr="00FE1882">
        <w:rPr>
          <w:color w:val="000000" w:themeColor="text1"/>
          <w:u w:val="single"/>
        </w:rPr>
        <w:t>See</w:t>
      </w:r>
      <w:r w:rsidRPr="00FE1882">
        <w:rPr>
          <w:color w:val="000000" w:themeColor="text1"/>
        </w:rPr>
        <w:t xml:space="preserve"> 29 U.S.C. § 721(b)(1)</w:t>
      </w:r>
      <w:r w:rsidR="00362EE7">
        <w:rPr>
          <w:color w:val="000000" w:themeColor="text1"/>
        </w:rPr>
        <w:t xml:space="preserve"> (2015)</w:t>
      </w:r>
      <w:r w:rsidRPr="00FE1882">
        <w:rPr>
          <w:color w:val="000000" w:themeColor="text1"/>
        </w:rPr>
        <w:t xml:space="preserve">; </w:t>
      </w:r>
      <w:r w:rsidRPr="00FE1882">
        <w:rPr>
          <w:color w:val="000000" w:themeColor="text1"/>
          <w:u w:val="single"/>
        </w:rPr>
        <w:t>see</w:t>
      </w:r>
      <w:r w:rsidRPr="00FE1882">
        <w:rPr>
          <w:color w:val="000000" w:themeColor="text1"/>
        </w:rPr>
        <w:t xml:space="preserve"> 45 CFR 1329.24.</w:t>
      </w:r>
    </w:p>
    <w:p w:rsidR="00EE2E86" w:rsidRPr="00FE1882" w:rsidRDefault="00EE2E86" w:rsidP="00EE2E86">
      <w:pPr>
        <w:spacing w:after="0"/>
        <w:contextualSpacing/>
        <w:rPr>
          <w:b/>
          <w:color w:val="000000" w:themeColor="text1"/>
        </w:rPr>
      </w:pPr>
    </w:p>
    <w:p w:rsidR="00EE2E86" w:rsidRPr="00FE1882" w:rsidRDefault="00EE2E86" w:rsidP="00EE2E86">
      <w:pPr>
        <w:pStyle w:val="ListParagraph"/>
        <w:numPr>
          <w:ilvl w:val="0"/>
          <w:numId w:val="1"/>
        </w:numPr>
        <w:spacing w:before="0" w:after="0"/>
        <w:ind w:left="0"/>
        <w:contextualSpacing/>
        <w:rPr>
          <w:b/>
          <w:color w:val="000000" w:themeColor="text1"/>
        </w:rPr>
      </w:pPr>
      <w:r w:rsidRPr="00FE1882">
        <w:rPr>
          <w:b/>
          <w:color w:val="000000" w:themeColor="text1"/>
        </w:rPr>
        <w:t xml:space="preserve">Efforts to Identify Duplication and Use of Similar Information </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spacing w:before="0" w:after="0"/>
        <w:ind w:left="0"/>
        <w:contextualSpacing/>
        <w:rPr>
          <w:color w:val="000000" w:themeColor="text1"/>
        </w:rPr>
      </w:pPr>
      <w:r w:rsidRPr="00FE1882">
        <w:rPr>
          <w:color w:val="000000" w:themeColor="text1"/>
        </w:rPr>
        <w:t>The data that is necessary for the purpose described in Item 2, above, is not available through other data collection.</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numPr>
          <w:ilvl w:val="0"/>
          <w:numId w:val="1"/>
        </w:numPr>
        <w:spacing w:before="0" w:after="0"/>
        <w:ind w:left="0"/>
        <w:contextualSpacing/>
        <w:rPr>
          <w:b/>
          <w:color w:val="000000" w:themeColor="text1"/>
        </w:rPr>
      </w:pPr>
      <w:r w:rsidRPr="00FE1882">
        <w:rPr>
          <w:b/>
          <w:color w:val="000000" w:themeColor="text1"/>
        </w:rPr>
        <w:t xml:space="preserve">Impact on Small Businesses or Other Small Entities </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spacing w:before="0" w:after="0"/>
        <w:ind w:left="0"/>
        <w:contextualSpacing/>
        <w:rPr>
          <w:color w:val="000000" w:themeColor="text1"/>
        </w:rPr>
      </w:pPr>
      <w:r w:rsidRPr="00FE1882">
        <w:rPr>
          <w:color w:val="000000" w:themeColor="text1"/>
        </w:rPr>
        <w:t>Not applicable.</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numPr>
          <w:ilvl w:val="0"/>
          <w:numId w:val="1"/>
        </w:numPr>
        <w:spacing w:before="0" w:after="0"/>
        <w:ind w:left="0"/>
        <w:contextualSpacing/>
        <w:rPr>
          <w:b/>
          <w:color w:val="000000" w:themeColor="text1"/>
        </w:rPr>
      </w:pPr>
      <w:r w:rsidRPr="00FE1882">
        <w:rPr>
          <w:b/>
          <w:color w:val="000000" w:themeColor="text1"/>
        </w:rPr>
        <w:t xml:space="preserve">Consequences of Collecting the Information Less Frequently </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spacing w:before="0" w:after="0"/>
        <w:ind w:left="0"/>
        <w:contextualSpacing/>
        <w:rPr>
          <w:color w:val="000000" w:themeColor="text1"/>
        </w:rPr>
      </w:pPr>
      <w:r w:rsidRPr="00FE1882">
        <w:rPr>
          <w:color w:val="000000" w:themeColor="text1"/>
        </w:rPr>
        <w:t>The Rehab Act, as amended, requires ACL to annually grant or deny continuations of Subchapter C funding to CILs, so collecting the pertinent information less than annually would not allow ACL to appropriately grant or deny continuations.</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numPr>
          <w:ilvl w:val="0"/>
          <w:numId w:val="1"/>
        </w:numPr>
        <w:spacing w:before="0" w:after="0"/>
        <w:ind w:left="0"/>
        <w:contextualSpacing/>
        <w:rPr>
          <w:b/>
          <w:color w:val="000000" w:themeColor="text1"/>
        </w:rPr>
      </w:pPr>
      <w:r w:rsidRPr="00FE1882">
        <w:rPr>
          <w:b/>
          <w:color w:val="000000" w:themeColor="text1"/>
        </w:rPr>
        <w:t xml:space="preserve">Special Circumstances Relating to the Guidelines of 5 CFR 1320.5 </w:t>
      </w:r>
    </w:p>
    <w:p w:rsidR="00EE2E86" w:rsidRPr="00FE1882" w:rsidRDefault="00EE2E86" w:rsidP="00EE2E86">
      <w:pPr>
        <w:pStyle w:val="ListParagraph"/>
        <w:spacing w:before="0" w:after="0"/>
        <w:ind w:left="0"/>
        <w:contextualSpacing/>
        <w:rPr>
          <w:b/>
          <w:color w:val="000000" w:themeColor="text1"/>
        </w:rPr>
      </w:pPr>
    </w:p>
    <w:p w:rsidR="00EE2E86" w:rsidRPr="00FE1882" w:rsidRDefault="00EE2E86" w:rsidP="00EE2E86">
      <w:pPr>
        <w:pStyle w:val="ListParagraph"/>
        <w:spacing w:before="0" w:after="0"/>
        <w:ind w:left="0"/>
        <w:contextualSpacing/>
        <w:rPr>
          <w:b/>
          <w:color w:val="000000" w:themeColor="text1"/>
        </w:rPr>
      </w:pPr>
      <w:r w:rsidRPr="00FE1882">
        <w:rPr>
          <w:color w:val="000000" w:themeColor="text1"/>
        </w:rPr>
        <w:t>None of the listed provisions applies to this information collection.</w:t>
      </w:r>
    </w:p>
    <w:p w:rsidR="00EE2E86" w:rsidRPr="00FE1882" w:rsidRDefault="00EE2E86" w:rsidP="00EE2E86">
      <w:pPr>
        <w:tabs>
          <w:tab w:val="left" w:pos="-720"/>
          <w:tab w:val="left" w:pos="1247"/>
        </w:tabs>
        <w:suppressAutoHyphens/>
        <w:spacing w:after="0"/>
        <w:contextualSpacing/>
        <w:rPr>
          <w:color w:val="000000" w:themeColor="text1"/>
        </w:rPr>
      </w:pPr>
    </w:p>
    <w:p w:rsidR="00EE2E86" w:rsidRPr="00FE1882" w:rsidRDefault="00EE2E86" w:rsidP="00EE2E86">
      <w:pPr>
        <w:pStyle w:val="ListParagraph"/>
        <w:numPr>
          <w:ilvl w:val="0"/>
          <w:numId w:val="1"/>
        </w:numPr>
        <w:spacing w:before="0" w:after="0"/>
        <w:ind w:left="0"/>
        <w:contextualSpacing/>
        <w:rPr>
          <w:b/>
          <w:color w:val="000000" w:themeColor="text1"/>
        </w:rPr>
      </w:pPr>
      <w:r w:rsidRPr="00FE1882">
        <w:rPr>
          <w:b/>
          <w:color w:val="000000" w:themeColor="text1"/>
        </w:rPr>
        <w:t xml:space="preserve">Comments in Response to the Federal Register Notice and Efforts to Consult Outside the Agency </w:t>
      </w:r>
    </w:p>
    <w:p w:rsidR="00EE2E86" w:rsidRPr="00FE1882" w:rsidRDefault="00EE2E86" w:rsidP="00EE2E86">
      <w:pPr>
        <w:spacing w:after="0"/>
        <w:contextualSpacing/>
        <w:rPr>
          <w:b/>
          <w:color w:val="000000" w:themeColor="text1"/>
          <w:u w:val="single"/>
        </w:rPr>
      </w:pPr>
      <w:r w:rsidRPr="00FE1882">
        <w:rPr>
          <w:b/>
          <w:color w:val="000000" w:themeColor="text1"/>
          <w:u w:val="single"/>
        </w:rPr>
        <w:t>Response to Comments</w:t>
      </w:r>
    </w:p>
    <w:p w:rsidR="00EE2E86" w:rsidRPr="00FE1882" w:rsidRDefault="00EE2E86" w:rsidP="00EE2E86">
      <w:pPr>
        <w:spacing w:after="0"/>
        <w:contextualSpacing/>
        <w:rPr>
          <w:color w:val="000000" w:themeColor="text1"/>
        </w:rPr>
      </w:pPr>
    </w:p>
    <w:p w:rsidR="00EE2E86" w:rsidRDefault="00EE2E86" w:rsidP="00EE2E86">
      <w:pPr>
        <w:spacing w:after="0"/>
        <w:contextualSpacing/>
        <w:rPr>
          <w:color w:val="000000" w:themeColor="text1"/>
        </w:rPr>
      </w:pPr>
      <w:r w:rsidRPr="00FE1882">
        <w:rPr>
          <w:color w:val="000000" w:themeColor="text1"/>
        </w:rPr>
        <w:t xml:space="preserve">A 60-day notice was published in the federal register in vol. 83, No. 2018-22754, pages 53064–53065 on October 19, 2018. </w:t>
      </w:r>
      <w:r w:rsidRPr="001D7F99">
        <w:rPr>
          <w:color w:val="000000" w:themeColor="text1"/>
        </w:rPr>
        <w:t xml:space="preserve">We received a comment that applied to </w:t>
      </w:r>
      <w:r>
        <w:rPr>
          <w:color w:val="000000" w:themeColor="text1"/>
        </w:rPr>
        <w:t>this notice, as indicated below</w:t>
      </w:r>
      <w:r w:rsidRPr="00FE1882">
        <w:rPr>
          <w:color w:val="000000" w:themeColor="text1"/>
        </w:rPr>
        <w:t>.</w:t>
      </w:r>
    </w:p>
    <w:p w:rsidR="00EE2E86" w:rsidRPr="00FE1882" w:rsidRDefault="00EE2E86" w:rsidP="00EE2E86">
      <w:pPr>
        <w:spacing w:after="0"/>
        <w:contextualSpacing/>
        <w:rPr>
          <w:color w:val="000000" w:themeColor="text1"/>
        </w:rPr>
      </w:pPr>
    </w:p>
    <w:tbl>
      <w:tblPr>
        <w:tblStyle w:val="TableGrid"/>
        <w:tblW w:w="0" w:type="auto"/>
        <w:tblLook w:val="04A0" w:firstRow="1" w:lastRow="0" w:firstColumn="1" w:lastColumn="0" w:noHBand="0" w:noVBand="1"/>
      </w:tblPr>
      <w:tblGrid>
        <w:gridCol w:w="3955"/>
        <w:gridCol w:w="3060"/>
        <w:gridCol w:w="2335"/>
      </w:tblGrid>
      <w:tr w:rsidR="00EE2E86" w:rsidRPr="00FE1882" w:rsidTr="001F5D44">
        <w:tc>
          <w:tcPr>
            <w:tcW w:w="3955" w:type="dxa"/>
          </w:tcPr>
          <w:p w:rsidR="00EE2E86" w:rsidRPr="00FE1882" w:rsidRDefault="00EE2E86" w:rsidP="001F5D44">
            <w:pPr>
              <w:spacing w:after="0"/>
              <w:contextualSpacing/>
              <w:jc w:val="center"/>
              <w:rPr>
                <w:color w:val="000000" w:themeColor="text1"/>
              </w:rPr>
            </w:pPr>
            <w:r w:rsidRPr="00FE1882">
              <w:rPr>
                <w:color w:val="000000" w:themeColor="text1"/>
              </w:rPr>
              <w:t>Comment</w:t>
            </w:r>
          </w:p>
        </w:tc>
        <w:tc>
          <w:tcPr>
            <w:tcW w:w="3060" w:type="dxa"/>
          </w:tcPr>
          <w:p w:rsidR="00EE2E86" w:rsidRPr="00FE1882" w:rsidRDefault="00EE2E86" w:rsidP="001F5D44">
            <w:pPr>
              <w:spacing w:after="0"/>
              <w:contextualSpacing/>
              <w:jc w:val="center"/>
              <w:rPr>
                <w:color w:val="000000" w:themeColor="text1"/>
              </w:rPr>
            </w:pPr>
            <w:r w:rsidRPr="00FE1882">
              <w:rPr>
                <w:color w:val="000000" w:themeColor="text1"/>
              </w:rPr>
              <w:t>Discussion</w:t>
            </w:r>
          </w:p>
        </w:tc>
        <w:tc>
          <w:tcPr>
            <w:tcW w:w="2335" w:type="dxa"/>
          </w:tcPr>
          <w:p w:rsidR="00EE2E86" w:rsidRPr="00FE1882" w:rsidRDefault="00EE2E86" w:rsidP="001F5D44">
            <w:pPr>
              <w:spacing w:after="0"/>
              <w:contextualSpacing/>
              <w:jc w:val="center"/>
              <w:rPr>
                <w:color w:val="000000" w:themeColor="text1"/>
              </w:rPr>
            </w:pPr>
            <w:r w:rsidRPr="00FE1882">
              <w:rPr>
                <w:color w:val="000000" w:themeColor="text1"/>
              </w:rPr>
              <w:t>Action</w:t>
            </w:r>
          </w:p>
        </w:tc>
      </w:tr>
      <w:tr w:rsidR="00EE2E86" w:rsidRPr="00FE1882" w:rsidTr="001F5D44">
        <w:tc>
          <w:tcPr>
            <w:tcW w:w="3955" w:type="dxa"/>
          </w:tcPr>
          <w:p w:rsidR="00EE2E86" w:rsidRPr="00FE1882" w:rsidRDefault="00EE2E86" w:rsidP="001F5D44">
            <w:pPr>
              <w:spacing w:after="0"/>
              <w:contextualSpacing/>
              <w:rPr>
                <w:color w:val="000000" w:themeColor="text1"/>
              </w:rPr>
            </w:pPr>
            <w:r w:rsidRPr="00FE1882">
              <w:rPr>
                <w:color w:val="000000" w:themeColor="text1"/>
              </w:rPr>
              <w:t>One commenter asked whether ACL has an update on the publication of the revised CIL indicators.</w:t>
            </w:r>
          </w:p>
        </w:tc>
        <w:tc>
          <w:tcPr>
            <w:tcW w:w="3060" w:type="dxa"/>
          </w:tcPr>
          <w:p w:rsidR="00EE2E86" w:rsidRPr="00FE1882" w:rsidRDefault="00EE2E86" w:rsidP="001F5D44">
            <w:pPr>
              <w:spacing w:after="0"/>
              <w:contextualSpacing/>
              <w:rPr>
                <w:color w:val="000000" w:themeColor="text1"/>
              </w:rPr>
            </w:pPr>
            <w:r w:rsidRPr="00FE1882">
              <w:rPr>
                <w:color w:val="000000" w:themeColor="text1"/>
              </w:rPr>
              <w:t>ACL has no update on the publication of the revised CIL indicators.</w:t>
            </w:r>
          </w:p>
        </w:tc>
        <w:tc>
          <w:tcPr>
            <w:tcW w:w="2335" w:type="dxa"/>
          </w:tcPr>
          <w:p w:rsidR="00EE2E86" w:rsidRPr="00FE1882" w:rsidRDefault="00EE2E86" w:rsidP="001F5D44">
            <w:pPr>
              <w:spacing w:after="0"/>
              <w:contextualSpacing/>
              <w:rPr>
                <w:color w:val="000000" w:themeColor="text1"/>
              </w:rPr>
            </w:pPr>
            <w:r w:rsidRPr="00FE1882">
              <w:rPr>
                <w:color w:val="000000" w:themeColor="text1"/>
              </w:rPr>
              <w:t>No change has been made.</w:t>
            </w:r>
          </w:p>
        </w:tc>
      </w:tr>
    </w:tbl>
    <w:p w:rsidR="00EE2E86" w:rsidRPr="00FE1882" w:rsidRDefault="00EE2E86" w:rsidP="00EE2E86">
      <w:pPr>
        <w:spacing w:after="0"/>
        <w:contextualSpacing/>
        <w:rPr>
          <w:color w:val="000000" w:themeColor="text1"/>
        </w:rPr>
      </w:pPr>
    </w:p>
    <w:p w:rsidR="00EE2E86" w:rsidRPr="00FE1882" w:rsidRDefault="00EE2E86" w:rsidP="00EE2E86">
      <w:pPr>
        <w:spacing w:after="0"/>
        <w:contextualSpacing/>
        <w:rPr>
          <w:b/>
          <w:color w:val="000000" w:themeColor="text1"/>
          <w:u w:val="single"/>
        </w:rPr>
      </w:pPr>
      <w:r w:rsidRPr="00FE1882">
        <w:rPr>
          <w:b/>
          <w:color w:val="000000" w:themeColor="text1"/>
          <w:u w:val="single"/>
        </w:rPr>
        <w:t>External Consultation</w:t>
      </w:r>
    </w:p>
    <w:p w:rsidR="00EE2E86" w:rsidRPr="00FE1882" w:rsidRDefault="00EE2E86" w:rsidP="00EE2E86">
      <w:pPr>
        <w:spacing w:after="0"/>
        <w:contextualSpacing/>
        <w:rPr>
          <w:color w:val="000000" w:themeColor="text1"/>
        </w:rPr>
      </w:pPr>
    </w:p>
    <w:p w:rsidR="00EE2E86" w:rsidRPr="00FE1882" w:rsidRDefault="00EE2E86" w:rsidP="00EE2E86">
      <w:pPr>
        <w:spacing w:after="0"/>
        <w:contextualSpacing/>
        <w:rPr>
          <w:color w:val="000000" w:themeColor="text1"/>
        </w:rPr>
      </w:pPr>
      <w:r w:rsidRPr="00FE1882">
        <w:rPr>
          <w:color w:val="000000" w:themeColor="text1"/>
        </w:rPr>
        <w:t xml:space="preserve">ACL is not seeking external input because this version of the CIL PPR does not contain substantive changes from the previous version. The </w:t>
      </w:r>
      <w:r w:rsidR="006F7F10">
        <w:rPr>
          <w:color w:val="000000" w:themeColor="text1"/>
        </w:rPr>
        <w:t>new collection’s</w:t>
      </w:r>
      <w:r w:rsidRPr="00FE1882">
        <w:rPr>
          <w:color w:val="000000" w:themeColor="text1"/>
        </w:rPr>
        <w:t xml:space="preserve"> purpose is to allow ACL to determine what substantive changes would be appropriate.</w:t>
      </w:r>
    </w:p>
    <w:p w:rsidR="00EE2E86" w:rsidRPr="00FE1882" w:rsidRDefault="00EE2E86" w:rsidP="00EE2E86">
      <w:pPr>
        <w:spacing w:after="0"/>
        <w:contextualSpacing/>
        <w:rPr>
          <w:color w:val="000000" w:themeColor="text1"/>
        </w:rPr>
      </w:pPr>
    </w:p>
    <w:p w:rsidR="00377634" w:rsidRDefault="00377634" w:rsidP="00377634">
      <w:pPr>
        <w:pStyle w:val="ListParagraph"/>
        <w:spacing w:before="0" w:after="0"/>
        <w:ind w:left="0"/>
        <w:contextualSpacing/>
        <w:rPr>
          <w:b/>
          <w:color w:val="000000" w:themeColor="text1"/>
        </w:rPr>
      </w:pPr>
    </w:p>
    <w:p w:rsidR="00377634" w:rsidRDefault="00377634" w:rsidP="00377634">
      <w:pPr>
        <w:pStyle w:val="ListParagraph"/>
        <w:spacing w:before="0" w:after="0"/>
        <w:ind w:left="0"/>
        <w:contextualSpacing/>
        <w:rPr>
          <w:b/>
          <w:color w:val="000000" w:themeColor="text1"/>
        </w:rPr>
      </w:pPr>
    </w:p>
    <w:p w:rsidR="00EE2E86" w:rsidRPr="00FE1882" w:rsidRDefault="00EE2E86" w:rsidP="00EE2E86">
      <w:pPr>
        <w:pStyle w:val="ListParagraph"/>
        <w:numPr>
          <w:ilvl w:val="0"/>
          <w:numId w:val="1"/>
        </w:numPr>
        <w:spacing w:before="0" w:after="0"/>
        <w:ind w:left="0"/>
        <w:contextualSpacing/>
        <w:rPr>
          <w:b/>
          <w:color w:val="000000" w:themeColor="text1"/>
        </w:rPr>
      </w:pPr>
      <w:r w:rsidRPr="00FE1882">
        <w:rPr>
          <w:b/>
          <w:color w:val="000000" w:themeColor="text1"/>
        </w:rPr>
        <w:t xml:space="preserve">Explanation of Any Payment or Gift to Respondents </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spacing w:before="0" w:after="0"/>
        <w:ind w:left="0"/>
        <w:contextualSpacing/>
        <w:rPr>
          <w:color w:val="000000" w:themeColor="text1"/>
        </w:rPr>
      </w:pPr>
      <w:r w:rsidRPr="00FE1882">
        <w:rPr>
          <w:color w:val="000000" w:themeColor="text1"/>
        </w:rPr>
        <w:t>Not applicable.</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numPr>
          <w:ilvl w:val="0"/>
          <w:numId w:val="1"/>
        </w:numPr>
        <w:spacing w:before="0" w:after="0"/>
        <w:ind w:left="0"/>
        <w:contextualSpacing/>
        <w:rPr>
          <w:b/>
          <w:color w:val="000000" w:themeColor="text1"/>
        </w:rPr>
      </w:pPr>
      <w:r w:rsidRPr="00FE1882">
        <w:rPr>
          <w:rFonts w:eastAsiaTheme="minorEastAsia"/>
          <w:b/>
          <w:color w:val="000000" w:themeColor="text1"/>
          <w:kern w:val="24"/>
        </w:rPr>
        <w:t>Assurance of Confidentiality Provided to Respondents</w:t>
      </w:r>
    </w:p>
    <w:p w:rsidR="00EE2E86" w:rsidRPr="00FE1882" w:rsidRDefault="00EE2E86" w:rsidP="00EE2E86">
      <w:pPr>
        <w:pStyle w:val="ListParagraph"/>
        <w:spacing w:before="0" w:after="0"/>
        <w:ind w:left="0"/>
        <w:contextualSpacing/>
        <w:rPr>
          <w:b/>
          <w:color w:val="000000" w:themeColor="text1"/>
        </w:rPr>
      </w:pPr>
    </w:p>
    <w:p w:rsidR="00EE2E86" w:rsidRPr="00FE1882" w:rsidRDefault="00EE2E86" w:rsidP="00EE2E86">
      <w:pPr>
        <w:pStyle w:val="ListParagraph"/>
        <w:spacing w:before="0" w:after="0"/>
        <w:ind w:left="0"/>
        <w:contextualSpacing/>
        <w:rPr>
          <w:color w:val="000000" w:themeColor="text1"/>
        </w:rPr>
      </w:pPr>
      <w:r w:rsidRPr="00FE1882">
        <w:rPr>
          <w:color w:val="000000" w:themeColor="text1"/>
        </w:rPr>
        <w:t>The Department provides no assurance of confidentiality. Instead, we indicate that privacy efforts will be conducted to the “full extent permitted by law.”</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numPr>
          <w:ilvl w:val="0"/>
          <w:numId w:val="1"/>
        </w:numPr>
        <w:spacing w:before="0" w:after="0"/>
        <w:ind w:left="0"/>
        <w:contextualSpacing/>
        <w:rPr>
          <w:b/>
          <w:color w:val="000000" w:themeColor="text1"/>
        </w:rPr>
      </w:pPr>
      <w:r w:rsidRPr="00FE1882">
        <w:rPr>
          <w:rFonts w:eastAsiaTheme="minorEastAsia"/>
          <w:b/>
          <w:color w:val="000000" w:themeColor="text1"/>
          <w:kern w:val="24"/>
        </w:rPr>
        <w:t>Justification for Sensitive Questions</w:t>
      </w:r>
    </w:p>
    <w:p w:rsidR="00EE2E86" w:rsidRPr="00FE1882" w:rsidRDefault="00EE2E86" w:rsidP="00EE2E86">
      <w:pPr>
        <w:spacing w:after="0"/>
        <w:contextualSpacing/>
        <w:rPr>
          <w:b/>
          <w:color w:val="000000" w:themeColor="text1"/>
        </w:rPr>
      </w:pPr>
    </w:p>
    <w:p w:rsidR="00EE2E86" w:rsidRPr="00FE1882" w:rsidRDefault="00EE2E86" w:rsidP="00EE2E86">
      <w:pPr>
        <w:spacing w:after="0"/>
        <w:contextualSpacing/>
        <w:rPr>
          <w:color w:val="000000" w:themeColor="text1"/>
        </w:rPr>
      </w:pPr>
      <w:r w:rsidRPr="00FE1882">
        <w:rPr>
          <w:color w:val="000000" w:themeColor="text1"/>
        </w:rPr>
        <w:t>Not Applicable.</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Estimates of Annualized Burden Hours and Costs</w:t>
      </w:r>
    </w:p>
    <w:p w:rsidR="00EE2E86" w:rsidRPr="00FE1882" w:rsidRDefault="00EE2E86" w:rsidP="00EE2E86">
      <w:pPr>
        <w:pStyle w:val="ListParagraph"/>
        <w:spacing w:before="0" w:after="0"/>
        <w:ind w:left="0"/>
        <w:contextualSpacing/>
        <w:rPr>
          <w:rStyle w:val="a"/>
          <w:color w:val="000000" w:themeColor="text1"/>
        </w:rPr>
      </w:pPr>
    </w:p>
    <w:p w:rsidR="00EE2E86" w:rsidRPr="00FE1882" w:rsidRDefault="00EE2E86" w:rsidP="00EE2E86">
      <w:pPr>
        <w:pStyle w:val="ListParagraph"/>
        <w:spacing w:before="0" w:after="0"/>
        <w:ind w:left="0"/>
        <w:contextualSpacing/>
        <w:rPr>
          <w:rStyle w:val="a"/>
          <w:color w:val="000000" w:themeColor="text1"/>
        </w:rPr>
      </w:pPr>
      <w:r w:rsidRPr="00FE1882">
        <w:rPr>
          <w:rStyle w:val="a"/>
          <w:color w:val="000000" w:themeColor="text1"/>
        </w:rPr>
        <w:t>ACL estimates the burden of this collection of information as follows: Three-hundred fifty-three CILs will each complete CIL PPRs annually, and it will take an estimated thirty-five hours per CIL per PPR. The 353 CILs will take an esti</w:t>
      </w:r>
      <w:r>
        <w:rPr>
          <w:rStyle w:val="a"/>
          <w:color w:val="000000" w:themeColor="text1"/>
        </w:rPr>
        <w:t>mated 12,355 hours to complete CIL</w:t>
      </w:r>
      <w:r w:rsidRPr="00FE1882">
        <w:rPr>
          <w:rStyle w:val="a"/>
          <w:color w:val="000000" w:themeColor="text1"/>
        </w:rPr>
        <w:t xml:space="preserve"> PPRs. This burden estimate is based on what CILs have told ILA about how long filling out CIL PPRs took in previous reporting years.</w:t>
      </w:r>
    </w:p>
    <w:p w:rsidR="00EE2E86" w:rsidRPr="00FE1882" w:rsidRDefault="00EE2E86" w:rsidP="00EE2E86">
      <w:pPr>
        <w:pStyle w:val="ListParagraph"/>
        <w:spacing w:before="0" w:after="0"/>
        <w:ind w:left="0"/>
        <w:contextualSpacing/>
        <w:rPr>
          <w:rStyle w:val="a"/>
          <w:color w:val="000000" w:themeColor="text1"/>
        </w:rPr>
      </w:pPr>
    </w:p>
    <w:tbl>
      <w:tblPr>
        <w:tblW w:w="929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1710"/>
        <w:gridCol w:w="1800"/>
        <w:gridCol w:w="1440"/>
        <w:gridCol w:w="1736"/>
      </w:tblGrid>
      <w:tr w:rsidR="00EE2E86" w:rsidRPr="00FE1882" w:rsidTr="00362EE7">
        <w:trPr>
          <w:cantSplit/>
          <w:tblHeader/>
        </w:trPr>
        <w:tc>
          <w:tcPr>
            <w:tcW w:w="2610" w:type="dxa"/>
            <w:vAlign w:val="bottom"/>
          </w:tcPr>
          <w:p w:rsidR="00EE2E86" w:rsidRPr="00FE1882" w:rsidRDefault="00EE2E86" w:rsidP="001F5D44">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Respondent/Data collection activity</w:t>
            </w:r>
          </w:p>
        </w:tc>
        <w:tc>
          <w:tcPr>
            <w:tcW w:w="1710" w:type="dxa"/>
            <w:vAlign w:val="bottom"/>
          </w:tcPr>
          <w:p w:rsidR="00EE2E86" w:rsidRPr="00FE1882" w:rsidRDefault="00EE2E86" w:rsidP="001F5D44">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Number of respondents</w:t>
            </w:r>
          </w:p>
        </w:tc>
        <w:tc>
          <w:tcPr>
            <w:tcW w:w="1800" w:type="dxa"/>
            <w:vAlign w:val="bottom"/>
          </w:tcPr>
          <w:p w:rsidR="00EE2E86" w:rsidRPr="00FE1882" w:rsidRDefault="00EE2E86" w:rsidP="001F5D44">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Responses per respondent</w:t>
            </w:r>
          </w:p>
        </w:tc>
        <w:tc>
          <w:tcPr>
            <w:tcW w:w="1440" w:type="dxa"/>
            <w:vAlign w:val="bottom"/>
          </w:tcPr>
          <w:p w:rsidR="00EE2E86" w:rsidRPr="00FE1882" w:rsidRDefault="00EE2E86" w:rsidP="001F5D44">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Hours per response</w:t>
            </w:r>
          </w:p>
        </w:tc>
        <w:tc>
          <w:tcPr>
            <w:tcW w:w="1736" w:type="dxa"/>
            <w:vAlign w:val="bottom"/>
          </w:tcPr>
          <w:p w:rsidR="00EE2E86" w:rsidRPr="00FE1882" w:rsidRDefault="00EE2E86" w:rsidP="001F5D44">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Total Annual burden hours</w:t>
            </w:r>
          </w:p>
        </w:tc>
      </w:tr>
      <w:tr w:rsidR="00EE2E86" w:rsidRPr="00FE1882" w:rsidTr="00362EE7">
        <w:trPr>
          <w:cantSplit/>
        </w:trPr>
        <w:tc>
          <w:tcPr>
            <w:tcW w:w="2610" w:type="dxa"/>
          </w:tcPr>
          <w:p w:rsidR="00EE2E86" w:rsidRPr="00FE1882" w:rsidRDefault="00EE2E86" w:rsidP="001F5D44">
            <w:pPr>
              <w:pStyle w:val="SL-FlLftSgl"/>
              <w:keepNext/>
              <w:keepLines/>
              <w:spacing w:line="240" w:lineRule="auto"/>
              <w:contextualSpacing/>
              <w:jc w:val="left"/>
              <w:rPr>
                <w:rFonts w:ascii="Times" w:hAnsi="Times"/>
                <w:color w:val="000000" w:themeColor="text1"/>
                <w:sz w:val="24"/>
              </w:rPr>
            </w:pPr>
            <w:r w:rsidRPr="00FE1882">
              <w:rPr>
                <w:rFonts w:ascii="Times" w:hAnsi="Times"/>
                <w:color w:val="000000" w:themeColor="text1"/>
                <w:sz w:val="24"/>
              </w:rPr>
              <w:t>CILs</w:t>
            </w:r>
          </w:p>
          <w:p w:rsidR="00EE2E86" w:rsidRPr="00FE1882" w:rsidRDefault="00EE2E86" w:rsidP="001F5D44">
            <w:pPr>
              <w:pStyle w:val="SL-FlLftSgl"/>
              <w:keepNext/>
              <w:keepLines/>
              <w:spacing w:line="240" w:lineRule="auto"/>
              <w:contextualSpacing/>
              <w:jc w:val="left"/>
              <w:rPr>
                <w:color w:val="000000" w:themeColor="text1"/>
                <w:sz w:val="24"/>
                <w:szCs w:val="24"/>
              </w:rPr>
            </w:pPr>
          </w:p>
        </w:tc>
        <w:tc>
          <w:tcPr>
            <w:tcW w:w="1710" w:type="dxa"/>
            <w:vAlign w:val="center"/>
          </w:tcPr>
          <w:p w:rsidR="00EE2E86" w:rsidRPr="00FE1882" w:rsidRDefault="00EE2E86" w:rsidP="001F5D44">
            <w:pPr>
              <w:pStyle w:val="SL-FlLftSgl"/>
              <w:keepNext/>
              <w:keepLines/>
              <w:tabs>
                <w:tab w:val="decimal" w:pos="792"/>
              </w:tabs>
              <w:spacing w:line="240" w:lineRule="auto"/>
              <w:contextualSpacing/>
              <w:rPr>
                <w:color w:val="000000" w:themeColor="text1"/>
                <w:sz w:val="24"/>
                <w:szCs w:val="24"/>
              </w:rPr>
            </w:pPr>
            <w:r w:rsidRPr="00FE1882">
              <w:rPr>
                <w:color w:val="000000" w:themeColor="text1"/>
                <w:sz w:val="24"/>
                <w:szCs w:val="24"/>
              </w:rPr>
              <w:t>353</w:t>
            </w:r>
          </w:p>
        </w:tc>
        <w:tc>
          <w:tcPr>
            <w:tcW w:w="1800" w:type="dxa"/>
            <w:vAlign w:val="center"/>
          </w:tcPr>
          <w:p w:rsidR="00EE2E86" w:rsidRPr="00FE1882" w:rsidRDefault="00EE2E86" w:rsidP="001F5D44">
            <w:pPr>
              <w:pStyle w:val="SL-FlLftSgl"/>
              <w:keepNext/>
              <w:keepLines/>
              <w:tabs>
                <w:tab w:val="decimal" w:pos="576"/>
              </w:tabs>
              <w:spacing w:line="240" w:lineRule="auto"/>
              <w:contextualSpacing/>
              <w:rPr>
                <w:color w:val="000000" w:themeColor="text1"/>
                <w:sz w:val="24"/>
                <w:szCs w:val="24"/>
              </w:rPr>
            </w:pPr>
            <w:r w:rsidRPr="00FE1882">
              <w:rPr>
                <w:color w:val="000000" w:themeColor="text1"/>
                <w:sz w:val="24"/>
                <w:szCs w:val="24"/>
              </w:rPr>
              <w:t>1</w:t>
            </w:r>
          </w:p>
        </w:tc>
        <w:tc>
          <w:tcPr>
            <w:tcW w:w="1440" w:type="dxa"/>
            <w:vAlign w:val="center"/>
          </w:tcPr>
          <w:p w:rsidR="00EE2E86" w:rsidRPr="00FE1882" w:rsidRDefault="00EE2E86" w:rsidP="001F5D44">
            <w:pPr>
              <w:pStyle w:val="SL-FlLftSgl"/>
              <w:keepNext/>
              <w:keepLines/>
              <w:tabs>
                <w:tab w:val="decimal" w:pos="504"/>
              </w:tabs>
              <w:spacing w:line="240" w:lineRule="auto"/>
              <w:contextualSpacing/>
              <w:rPr>
                <w:color w:val="000000" w:themeColor="text1"/>
                <w:sz w:val="24"/>
                <w:szCs w:val="24"/>
              </w:rPr>
            </w:pPr>
            <w:r w:rsidRPr="00FE1882">
              <w:rPr>
                <w:color w:val="000000" w:themeColor="text1"/>
                <w:sz w:val="24"/>
                <w:szCs w:val="24"/>
              </w:rPr>
              <w:t>35</w:t>
            </w:r>
          </w:p>
        </w:tc>
        <w:tc>
          <w:tcPr>
            <w:tcW w:w="1736" w:type="dxa"/>
            <w:vAlign w:val="center"/>
          </w:tcPr>
          <w:p w:rsidR="00EE2E86" w:rsidRPr="00FE1882" w:rsidRDefault="00EE2E86" w:rsidP="001F5D44">
            <w:pPr>
              <w:pStyle w:val="SL-FlLftSgl"/>
              <w:keepNext/>
              <w:keepLines/>
              <w:tabs>
                <w:tab w:val="decimal" w:pos="720"/>
              </w:tabs>
              <w:spacing w:line="240" w:lineRule="auto"/>
              <w:contextualSpacing/>
              <w:rPr>
                <w:color w:val="000000" w:themeColor="text1"/>
                <w:sz w:val="24"/>
                <w:szCs w:val="24"/>
              </w:rPr>
            </w:pPr>
            <w:r w:rsidRPr="00FE1882">
              <w:rPr>
                <w:color w:val="000000" w:themeColor="text1"/>
                <w:sz w:val="24"/>
                <w:szCs w:val="24"/>
              </w:rPr>
              <w:t>12,355</w:t>
            </w:r>
          </w:p>
        </w:tc>
      </w:tr>
    </w:tbl>
    <w:p w:rsidR="00EE2E86" w:rsidRPr="00FE1882" w:rsidRDefault="00EE2E86" w:rsidP="00EE2E86">
      <w:pPr>
        <w:spacing w:after="0"/>
        <w:contextualSpacing/>
        <w:rPr>
          <w:color w:val="000000" w:themeColor="text1"/>
        </w:rPr>
      </w:pPr>
    </w:p>
    <w:p w:rsidR="00EE2E86" w:rsidRPr="00FE1882" w:rsidRDefault="00EE2E86" w:rsidP="00EE2E86">
      <w:pPr>
        <w:pStyle w:val="ListParagraph"/>
        <w:spacing w:before="0" w:after="0"/>
        <w:ind w:left="0"/>
        <w:contextualSpacing/>
        <w:rPr>
          <w:rStyle w:val="a"/>
          <w:color w:val="000000" w:themeColor="text1"/>
        </w:rPr>
      </w:pPr>
      <w:r w:rsidRPr="00FE1882">
        <w:rPr>
          <w:rStyle w:val="a"/>
          <w:color w:val="000000" w:themeColor="text1"/>
        </w:rPr>
        <w:t>The calculation is based on the median salary for social workers, which, according to the Bureau of Labor Statistics, is $23.07 per hour. Multiplying the total response time—12,355 hours—by this median hourly salary results in $285,029.90.</w:t>
      </w:r>
      <w:r>
        <w:rPr>
          <w:rStyle w:val="a"/>
          <w:color w:val="000000" w:themeColor="text1"/>
        </w:rPr>
        <w:t xml:space="preserve"> Multiplying this total amount of salary costs by two—to account for benefits and overhead—results in $570,059.80.</w:t>
      </w:r>
    </w:p>
    <w:p w:rsidR="00EE2E86" w:rsidRPr="00FE1882" w:rsidRDefault="00EE2E86" w:rsidP="00EE2E86">
      <w:pPr>
        <w:pStyle w:val="ListParagraph"/>
        <w:spacing w:before="0" w:after="0"/>
        <w:ind w:left="0"/>
        <w:contextualSpacing/>
        <w:rPr>
          <w:rStyle w:val="a"/>
          <w:color w:val="000000" w:themeColor="text1"/>
        </w:rPr>
      </w:pPr>
    </w:p>
    <w:tbl>
      <w:tblPr>
        <w:tblStyle w:val="TableGrid"/>
        <w:tblW w:w="8568" w:type="dxa"/>
        <w:tblInd w:w="720" w:type="dxa"/>
        <w:tblLayout w:type="fixed"/>
        <w:tblLook w:val="04A0" w:firstRow="1" w:lastRow="0" w:firstColumn="1" w:lastColumn="0" w:noHBand="0" w:noVBand="1"/>
      </w:tblPr>
      <w:tblGrid>
        <w:gridCol w:w="2988"/>
        <w:gridCol w:w="2160"/>
        <w:gridCol w:w="1890"/>
        <w:gridCol w:w="1530"/>
      </w:tblGrid>
      <w:tr w:rsidR="00EE2E86" w:rsidRPr="00FE1882" w:rsidTr="001F5D44">
        <w:tc>
          <w:tcPr>
            <w:tcW w:w="2988" w:type="dxa"/>
          </w:tcPr>
          <w:p w:rsidR="00EE2E86" w:rsidRPr="00FE1882" w:rsidRDefault="00EE2E86" w:rsidP="001F5D44">
            <w:pPr>
              <w:pStyle w:val="ListParagraph"/>
              <w:spacing w:before="0" w:after="0"/>
              <w:ind w:left="0"/>
              <w:contextualSpacing/>
              <w:jc w:val="center"/>
              <w:rPr>
                <w:rStyle w:val="a"/>
                <w:color w:val="000000" w:themeColor="text1"/>
              </w:rPr>
            </w:pPr>
            <w:r w:rsidRPr="00FE1882">
              <w:rPr>
                <w:b/>
                <w:color w:val="000000" w:themeColor="text1"/>
              </w:rPr>
              <w:t>Respondent/Data collection activity</w:t>
            </w:r>
          </w:p>
        </w:tc>
        <w:tc>
          <w:tcPr>
            <w:tcW w:w="2160" w:type="dxa"/>
          </w:tcPr>
          <w:p w:rsidR="00EE2E86" w:rsidRPr="00FE1882" w:rsidRDefault="00EE2E86" w:rsidP="001F5D44">
            <w:pPr>
              <w:pStyle w:val="ListParagraph"/>
              <w:spacing w:before="0" w:after="0"/>
              <w:ind w:left="0"/>
              <w:contextualSpacing/>
              <w:jc w:val="center"/>
              <w:rPr>
                <w:b/>
                <w:color w:val="000000" w:themeColor="text1"/>
              </w:rPr>
            </w:pPr>
            <w:r w:rsidRPr="00FE1882">
              <w:rPr>
                <w:b/>
                <w:color w:val="000000" w:themeColor="text1"/>
              </w:rPr>
              <w:t>Total Annual Burden Hours</w:t>
            </w:r>
          </w:p>
        </w:tc>
        <w:tc>
          <w:tcPr>
            <w:tcW w:w="1890" w:type="dxa"/>
          </w:tcPr>
          <w:p w:rsidR="00EE2E86" w:rsidRPr="00FE1882" w:rsidRDefault="00EE2E86" w:rsidP="001F5D44">
            <w:pPr>
              <w:pStyle w:val="ListParagraph"/>
              <w:spacing w:before="0" w:after="0"/>
              <w:ind w:left="0"/>
              <w:contextualSpacing/>
              <w:jc w:val="center"/>
              <w:rPr>
                <w:b/>
                <w:color w:val="000000" w:themeColor="text1"/>
              </w:rPr>
            </w:pPr>
            <w:r w:rsidRPr="00FE1882">
              <w:rPr>
                <w:b/>
                <w:color w:val="000000" w:themeColor="text1"/>
              </w:rPr>
              <w:t>Average Cost Per Hour</w:t>
            </w:r>
          </w:p>
        </w:tc>
        <w:tc>
          <w:tcPr>
            <w:tcW w:w="1530" w:type="dxa"/>
          </w:tcPr>
          <w:p w:rsidR="00EE2E86" w:rsidRPr="00FE1882" w:rsidRDefault="00EE2E86" w:rsidP="001F5D44">
            <w:pPr>
              <w:pStyle w:val="ListParagraph"/>
              <w:spacing w:before="0" w:after="0"/>
              <w:ind w:left="0"/>
              <w:contextualSpacing/>
              <w:jc w:val="center"/>
              <w:rPr>
                <w:b/>
                <w:color w:val="000000" w:themeColor="text1"/>
              </w:rPr>
            </w:pPr>
            <w:r w:rsidRPr="00FE1882">
              <w:rPr>
                <w:b/>
                <w:color w:val="000000" w:themeColor="text1"/>
              </w:rPr>
              <w:t>Total Cost</w:t>
            </w:r>
          </w:p>
        </w:tc>
      </w:tr>
      <w:tr w:rsidR="00EE2E86" w:rsidRPr="00FE1882" w:rsidTr="001F5D44">
        <w:tc>
          <w:tcPr>
            <w:tcW w:w="2988" w:type="dxa"/>
          </w:tcPr>
          <w:p w:rsidR="00EE2E86" w:rsidRPr="00FE1882" w:rsidRDefault="00EE2E86" w:rsidP="001F5D44">
            <w:pPr>
              <w:pStyle w:val="ListParagraph"/>
              <w:spacing w:before="0" w:after="0"/>
              <w:ind w:left="0"/>
              <w:contextualSpacing/>
              <w:rPr>
                <w:color w:val="000000" w:themeColor="text1"/>
              </w:rPr>
            </w:pPr>
            <w:r w:rsidRPr="00FE1882">
              <w:rPr>
                <w:color w:val="000000" w:themeColor="text1"/>
              </w:rPr>
              <w:t>CILs</w:t>
            </w:r>
          </w:p>
        </w:tc>
        <w:tc>
          <w:tcPr>
            <w:tcW w:w="2160" w:type="dxa"/>
          </w:tcPr>
          <w:p w:rsidR="00EE2E86" w:rsidRPr="00FE1882" w:rsidRDefault="00EE2E86" w:rsidP="001F5D44">
            <w:pPr>
              <w:pStyle w:val="ListParagraph"/>
              <w:spacing w:before="0" w:after="0"/>
              <w:ind w:left="0"/>
              <w:contextualSpacing/>
              <w:rPr>
                <w:color w:val="000000" w:themeColor="text1"/>
              </w:rPr>
            </w:pPr>
            <w:r w:rsidRPr="00FE1882">
              <w:rPr>
                <w:color w:val="000000" w:themeColor="text1"/>
              </w:rPr>
              <w:t>12,355</w:t>
            </w:r>
          </w:p>
        </w:tc>
        <w:tc>
          <w:tcPr>
            <w:tcW w:w="1890" w:type="dxa"/>
          </w:tcPr>
          <w:p w:rsidR="00EE2E86" w:rsidRPr="00FE1882" w:rsidRDefault="00EE2E86" w:rsidP="001F5D44">
            <w:pPr>
              <w:pStyle w:val="ListParagraph"/>
              <w:spacing w:before="0" w:after="0"/>
              <w:ind w:left="0"/>
              <w:contextualSpacing/>
              <w:rPr>
                <w:color w:val="000000" w:themeColor="text1"/>
              </w:rPr>
            </w:pPr>
            <w:r w:rsidRPr="00FE1882">
              <w:rPr>
                <w:color w:val="000000" w:themeColor="text1"/>
              </w:rPr>
              <w:t>$</w:t>
            </w:r>
            <w:r>
              <w:rPr>
                <w:color w:val="000000" w:themeColor="text1"/>
              </w:rPr>
              <w:t>46</w:t>
            </w:r>
            <w:r w:rsidRPr="00FE1882">
              <w:rPr>
                <w:color w:val="000000" w:themeColor="text1"/>
              </w:rPr>
              <w:t>.</w:t>
            </w:r>
            <w:r>
              <w:rPr>
                <w:color w:val="000000" w:themeColor="text1"/>
              </w:rPr>
              <w:t>14</w:t>
            </w:r>
          </w:p>
        </w:tc>
        <w:tc>
          <w:tcPr>
            <w:tcW w:w="1530" w:type="dxa"/>
          </w:tcPr>
          <w:p w:rsidR="00EE2E86" w:rsidRPr="00FE1882" w:rsidRDefault="00EE2E86" w:rsidP="001F5D44">
            <w:pPr>
              <w:pStyle w:val="ListParagraph"/>
              <w:spacing w:before="0" w:after="0"/>
              <w:ind w:left="0"/>
              <w:contextualSpacing/>
              <w:rPr>
                <w:color w:val="000000" w:themeColor="text1"/>
              </w:rPr>
            </w:pPr>
            <w:r w:rsidRPr="00FE1882">
              <w:rPr>
                <w:color w:val="000000" w:themeColor="text1"/>
              </w:rPr>
              <w:t>$</w:t>
            </w:r>
            <w:r>
              <w:rPr>
                <w:color w:val="000000" w:themeColor="text1"/>
              </w:rPr>
              <w:t>570,059.8</w:t>
            </w:r>
            <w:r w:rsidRPr="00FE1882">
              <w:rPr>
                <w:color w:val="000000" w:themeColor="text1"/>
              </w:rPr>
              <w:t>0</w:t>
            </w:r>
          </w:p>
        </w:tc>
      </w:tr>
    </w:tbl>
    <w:p w:rsidR="00EE2E86" w:rsidRPr="00FE1882" w:rsidRDefault="00EE2E86" w:rsidP="00EE2E86">
      <w:pPr>
        <w:pStyle w:val="ListParagraph"/>
        <w:spacing w:before="0" w:after="0"/>
        <w:ind w:left="0"/>
        <w:contextualSpacing/>
        <w:rPr>
          <w:rStyle w:val="a"/>
          <w:color w:val="000000" w:themeColor="text1"/>
        </w:rPr>
      </w:pPr>
    </w:p>
    <w:p w:rsidR="00EE2E86" w:rsidRPr="00FE1882" w:rsidRDefault="00EE2E86" w:rsidP="00EE2E86">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Estimates of Other Total Annual Cost Burden to Respondents and Record Keepers</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spacing w:before="0" w:after="0"/>
        <w:ind w:left="0"/>
        <w:contextualSpacing/>
        <w:rPr>
          <w:color w:val="000000" w:themeColor="text1"/>
        </w:rPr>
      </w:pPr>
      <w:r w:rsidRPr="00FE1882">
        <w:rPr>
          <w:color w:val="000000" w:themeColor="text1"/>
        </w:rPr>
        <w:t>No additional capital or other costs are incurred by respondents other than those specified in this question.</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Annualized Cost to the Federal Government</w:t>
      </w:r>
    </w:p>
    <w:p w:rsidR="00EE2E86" w:rsidRPr="00FE1882" w:rsidRDefault="00EE2E86" w:rsidP="00EE2E86">
      <w:pPr>
        <w:pStyle w:val="ListParagraph"/>
        <w:spacing w:before="0" w:after="0"/>
        <w:ind w:left="0"/>
        <w:contextualSpacing/>
        <w:rPr>
          <w:rStyle w:val="a"/>
          <w:color w:val="000000" w:themeColor="text1"/>
        </w:rPr>
      </w:pPr>
    </w:p>
    <w:p w:rsidR="00EE2E86" w:rsidRPr="00FE1882" w:rsidRDefault="00EE2E86" w:rsidP="00EE2E86">
      <w:pPr>
        <w:pStyle w:val="ListParagraph"/>
        <w:spacing w:before="0" w:after="0"/>
        <w:ind w:left="0"/>
        <w:contextualSpacing/>
        <w:rPr>
          <w:rStyle w:val="a"/>
          <w:color w:val="000000" w:themeColor="text1"/>
        </w:rPr>
      </w:pPr>
      <w:r w:rsidRPr="00FE1882">
        <w:rPr>
          <w:rStyle w:val="a"/>
          <w:color w:val="000000" w:themeColor="text1"/>
        </w:rPr>
        <w:t xml:space="preserve">Each report takes approximately two hours to review and approve, and there are 353 reports, so ACL will spend approximately 706 hours reviewing these reports. ACL staff members who will review these reports will be GS-11s, GS-12, and GS-13s; all </w:t>
      </w:r>
      <w:r>
        <w:rPr>
          <w:rStyle w:val="a"/>
          <w:color w:val="000000" w:themeColor="text1"/>
        </w:rPr>
        <w:t>of whom</w:t>
      </w:r>
      <w:r w:rsidRPr="00FE1882">
        <w:rPr>
          <w:rStyle w:val="a"/>
          <w:color w:val="000000" w:themeColor="text1"/>
        </w:rPr>
        <w:t xml:space="preserve"> work in Washington, DC. The median salary of a reviewer is estimated as $44.28 per hour, which is the salary of a GS-12, step 5 in the Washington, DC area. This median hourly salary multiplied by the 706-hour estimate of the total review time is $31,261.68. Multiplying this $31,261.68 by two—to account for salaries and benefits—results in an estimated total cost of the review of $62,523.36.</w:t>
      </w:r>
    </w:p>
    <w:p w:rsidR="00EE2E86" w:rsidRPr="00FE1882" w:rsidRDefault="00EE2E86" w:rsidP="00EE2E86">
      <w:pPr>
        <w:pStyle w:val="ListParagraph"/>
        <w:spacing w:before="0" w:after="0"/>
        <w:ind w:left="0"/>
        <w:contextualSpacing/>
        <w:rPr>
          <w:rStyle w:val="a"/>
          <w:color w:val="000000" w:themeColor="text1"/>
        </w:rPr>
      </w:pPr>
    </w:p>
    <w:p w:rsidR="00EE2E86" w:rsidRPr="00FE1882" w:rsidRDefault="00EE2E86" w:rsidP="00EE2E86">
      <w:pPr>
        <w:pStyle w:val="ListParagraph"/>
        <w:numPr>
          <w:ilvl w:val="0"/>
          <w:numId w:val="1"/>
        </w:numPr>
        <w:spacing w:before="0" w:after="0"/>
        <w:ind w:left="0"/>
        <w:contextualSpacing/>
        <w:rPr>
          <w:b/>
          <w:color w:val="000000" w:themeColor="text1"/>
        </w:rPr>
      </w:pPr>
      <w:r w:rsidRPr="00FE1882">
        <w:rPr>
          <w:rFonts w:eastAsiaTheme="minorEastAsia"/>
          <w:b/>
          <w:color w:val="000000" w:themeColor="text1"/>
          <w:kern w:val="24"/>
        </w:rPr>
        <w:t>Explanation for Program Changes or Adjustments</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spacing w:before="0" w:after="0"/>
        <w:ind w:left="0"/>
        <w:contextualSpacing/>
        <w:rPr>
          <w:color w:val="000000" w:themeColor="text1"/>
        </w:rPr>
      </w:pPr>
      <w:r w:rsidRPr="00FE1882">
        <w:rPr>
          <w:color w:val="000000" w:themeColor="text1"/>
        </w:rPr>
        <w:t>Not applicable.</w:t>
      </w:r>
    </w:p>
    <w:p w:rsidR="00EE2E86" w:rsidRPr="00FE1882" w:rsidRDefault="00EE2E86" w:rsidP="00EE2E86">
      <w:pPr>
        <w:pStyle w:val="ListParagraph"/>
        <w:spacing w:before="0" w:after="0"/>
        <w:ind w:left="0"/>
        <w:contextualSpacing/>
        <w:rPr>
          <w:color w:val="000000" w:themeColor="text1"/>
        </w:rPr>
      </w:pPr>
    </w:p>
    <w:p w:rsidR="00EE2E86" w:rsidRPr="00FE1882" w:rsidRDefault="00EE2E86" w:rsidP="00EE2E86">
      <w:pPr>
        <w:pStyle w:val="ListParagraph"/>
        <w:numPr>
          <w:ilvl w:val="0"/>
          <w:numId w:val="1"/>
        </w:numPr>
        <w:spacing w:before="0" w:after="0"/>
        <w:ind w:left="0"/>
        <w:contextualSpacing/>
        <w:rPr>
          <w:rStyle w:val="a"/>
          <w:b/>
          <w:color w:val="000000" w:themeColor="text1"/>
        </w:rPr>
      </w:pPr>
      <w:r w:rsidRPr="00FE1882">
        <w:rPr>
          <w:b/>
          <w:color w:val="000000" w:themeColor="text1"/>
        </w:rPr>
        <w:t>Plans for Tabulation and Publication and Project Time Schedule</w:t>
      </w:r>
    </w:p>
    <w:p w:rsidR="00EE2E86" w:rsidRPr="00FE1882" w:rsidRDefault="00EE2E86" w:rsidP="00EE2E86">
      <w:pPr>
        <w:pStyle w:val="ListParagraph"/>
        <w:spacing w:before="0" w:after="0"/>
        <w:ind w:left="0"/>
        <w:contextualSpacing/>
        <w:rPr>
          <w:rStyle w:val="a"/>
          <w:color w:val="000000" w:themeColor="text1"/>
        </w:rPr>
      </w:pPr>
    </w:p>
    <w:p w:rsidR="00EE2E86" w:rsidRPr="00FE1882" w:rsidRDefault="00EE2E86" w:rsidP="00EE2E86">
      <w:pPr>
        <w:pStyle w:val="ListParagraph"/>
        <w:spacing w:before="0" w:after="0"/>
        <w:ind w:left="0"/>
        <w:contextualSpacing/>
        <w:rPr>
          <w:rStyle w:val="a"/>
          <w:color w:val="000000" w:themeColor="text1"/>
        </w:rPr>
      </w:pPr>
      <w:r>
        <w:rPr>
          <w:rStyle w:val="a"/>
          <w:color w:val="000000" w:themeColor="text1"/>
        </w:rPr>
        <w:t>Data</w:t>
      </w:r>
      <w:r w:rsidRPr="00FE1882">
        <w:rPr>
          <w:rStyle w:val="a"/>
          <w:color w:val="000000" w:themeColor="text1"/>
        </w:rPr>
        <w:t xml:space="preserve"> will be made available to the public upon request.</w:t>
      </w:r>
    </w:p>
    <w:p w:rsidR="00EE2E86" w:rsidRPr="00FE1882" w:rsidRDefault="00EE2E86" w:rsidP="00EE2E86">
      <w:pPr>
        <w:pStyle w:val="ListParagraph"/>
        <w:spacing w:before="0" w:after="0"/>
        <w:ind w:left="0"/>
        <w:contextualSpacing/>
        <w:rPr>
          <w:rStyle w:val="a"/>
          <w:color w:val="000000" w:themeColor="text1"/>
        </w:rPr>
      </w:pPr>
      <w:r w:rsidRPr="00FE1882">
        <w:rPr>
          <w:rStyle w:val="a"/>
          <w:color w:val="000000" w:themeColor="text1"/>
        </w:rPr>
        <w:t xml:space="preserve">  </w:t>
      </w:r>
    </w:p>
    <w:p w:rsidR="00EE2E86" w:rsidRPr="00FE1882" w:rsidRDefault="00EE2E86" w:rsidP="00EE2E86">
      <w:pPr>
        <w:pStyle w:val="ListParagraph"/>
        <w:numPr>
          <w:ilvl w:val="0"/>
          <w:numId w:val="1"/>
        </w:numPr>
        <w:spacing w:before="0" w:after="0"/>
        <w:ind w:left="0"/>
        <w:contextualSpacing/>
        <w:rPr>
          <w:rStyle w:val="a"/>
          <w:b/>
          <w:color w:val="000000" w:themeColor="text1"/>
        </w:rPr>
      </w:pPr>
      <w:r w:rsidRPr="00FE1882">
        <w:rPr>
          <w:rStyle w:val="a"/>
          <w:b/>
          <w:color w:val="000000" w:themeColor="text1"/>
        </w:rPr>
        <w:t>If seeking approval to not display the expiration date for OMB approval of the information collection, explain the reasons that display would be inappropriate.</w:t>
      </w:r>
    </w:p>
    <w:p w:rsidR="00EE2E86" w:rsidRPr="00FE1882" w:rsidRDefault="00EE2E86" w:rsidP="00EE2E86">
      <w:pPr>
        <w:pStyle w:val="ListParagraph"/>
        <w:spacing w:before="0" w:after="0"/>
        <w:ind w:left="0"/>
        <w:contextualSpacing/>
        <w:rPr>
          <w:rStyle w:val="a"/>
          <w:color w:val="000000" w:themeColor="text1"/>
        </w:rPr>
      </w:pPr>
    </w:p>
    <w:p w:rsidR="00EE2E86" w:rsidRPr="00FE1882" w:rsidRDefault="00EE2E86" w:rsidP="00EE2E86">
      <w:pPr>
        <w:pStyle w:val="ListParagraph"/>
        <w:spacing w:before="0" w:after="0"/>
        <w:ind w:left="0"/>
        <w:contextualSpacing/>
        <w:rPr>
          <w:rStyle w:val="a"/>
          <w:color w:val="000000" w:themeColor="text1"/>
        </w:rPr>
      </w:pPr>
      <w:r w:rsidRPr="00FE1882">
        <w:rPr>
          <w:rStyle w:val="a"/>
          <w:color w:val="000000" w:themeColor="text1"/>
        </w:rPr>
        <w:t>The OMB expiration date will be displayed.</w:t>
      </w:r>
    </w:p>
    <w:p w:rsidR="00EE2E86" w:rsidRPr="00FE1882" w:rsidRDefault="00EE2E86" w:rsidP="00EE2E86">
      <w:pPr>
        <w:pStyle w:val="ListParagraph"/>
        <w:spacing w:before="0" w:after="0"/>
        <w:ind w:left="0"/>
        <w:contextualSpacing/>
        <w:rPr>
          <w:rStyle w:val="a"/>
          <w:color w:val="000000" w:themeColor="text1"/>
        </w:rPr>
      </w:pPr>
    </w:p>
    <w:p w:rsidR="00EE2E86" w:rsidRPr="00FE1882" w:rsidRDefault="00EE2E86" w:rsidP="00EE2E86">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Exceptions to Certification for Paperwork Reduction Act Submissions</w:t>
      </w:r>
    </w:p>
    <w:p w:rsidR="00EE2E86" w:rsidRPr="00FE1882" w:rsidRDefault="00EE2E86" w:rsidP="00EE2E86">
      <w:pPr>
        <w:pStyle w:val="ListParagraph"/>
        <w:spacing w:before="0" w:after="0"/>
        <w:ind w:left="0"/>
        <w:contextualSpacing/>
        <w:rPr>
          <w:rStyle w:val="a"/>
          <w:b/>
          <w:color w:val="000000" w:themeColor="text1"/>
        </w:rPr>
      </w:pPr>
    </w:p>
    <w:p w:rsidR="00EE2E86" w:rsidRPr="00FE1882" w:rsidRDefault="00EE2E86" w:rsidP="00EE2E86">
      <w:pPr>
        <w:pStyle w:val="ListParagraph"/>
        <w:spacing w:before="0" w:after="0"/>
        <w:ind w:left="0"/>
        <w:contextualSpacing/>
        <w:rPr>
          <w:rStyle w:val="a"/>
          <w:b/>
          <w:color w:val="000000" w:themeColor="text1"/>
        </w:rPr>
      </w:pPr>
      <w:r w:rsidRPr="00FE1882">
        <w:rPr>
          <w:rStyle w:val="a"/>
          <w:b/>
          <w:color w:val="000000" w:themeColor="text1"/>
        </w:rPr>
        <w:t>Explain each exception to the certification statement identified in the Certification of Paperwork Reduction Act.</w:t>
      </w:r>
    </w:p>
    <w:p w:rsidR="00EE2E86" w:rsidRPr="00FE1882" w:rsidRDefault="00EE2E86" w:rsidP="00EE2E86">
      <w:pPr>
        <w:pStyle w:val="ListParagraph"/>
        <w:spacing w:before="0" w:after="0"/>
        <w:ind w:left="0"/>
        <w:contextualSpacing/>
        <w:rPr>
          <w:color w:val="000000" w:themeColor="text1"/>
        </w:rPr>
      </w:pPr>
    </w:p>
    <w:p w:rsidR="00B35B79" w:rsidRPr="00EE2E86" w:rsidRDefault="00EE2E86" w:rsidP="00EE2E86">
      <w:pPr>
        <w:pStyle w:val="ListParagraph"/>
        <w:spacing w:before="0" w:after="0"/>
        <w:ind w:left="0"/>
        <w:contextualSpacing/>
        <w:rPr>
          <w:color w:val="000000" w:themeColor="text1"/>
        </w:rPr>
      </w:pPr>
      <w:r w:rsidRPr="00FE1882">
        <w:rPr>
          <w:color w:val="000000" w:themeColor="text1"/>
        </w:rPr>
        <w:t>There are no exceptions to the certification statement.</w:t>
      </w:r>
    </w:p>
    <w:sectPr w:rsidR="00B35B79" w:rsidRPr="00EE2E86" w:rsidSect="009F3D96">
      <w:footerReference w:type="default" r:id="rId8"/>
      <w:endnotePr>
        <w:numFmt w:val="decimal"/>
      </w:endnotePr>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DAF" w:rsidRDefault="00F46DAF">
      <w:pPr>
        <w:spacing w:after="0"/>
      </w:pPr>
      <w:r>
        <w:separator/>
      </w:r>
    </w:p>
  </w:endnote>
  <w:endnote w:type="continuationSeparator" w:id="0">
    <w:p w:rsidR="00F46DAF" w:rsidRDefault="00F46D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19" w:rsidRDefault="00EE2E86">
    <w:pPr>
      <w:tabs>
        <w:tab w:val="left" w:pos="0"/>
      </w:tabs>
      <w:suppressAutoHyphens/>
    </w:pPr>
    <w:r>
      <w:rPr>
        <w:noProof/>
      </w:rPr>
      <mc:AlternateContent>
        <mc:Choice Requires="wps">
          <w:drawing>
            <wp:anchor distT="0" distB="0" distL="114300" distR="114300" simplePos="0" relativeHeight="251659264" behindDoc="1" locked="0" layoutInCell="0" allowOverlap="1" wp14:anchorId="6FCE05B3" wp14:editId="4DBD902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45419" w:rsidRDefault="00EE2E86" w:rsidP="00431228">
                          <w:pPr>
                            <w:tabs>
                              <w:tab w:val="center" w:pos="4650"/>
                            </w:tabs>
                            <w:suppressAutoHyphens/>
                            <w:jc w:val="center"/>
                          </w:pPr>
                          <w:r>
                            <w:fldChar w:fldCharType="begin"/>
                          </w:r>
                          <w:r>
                            <w:instrText>page \* arabic</w:instrText>
                          </w:r>
                          <w:r>
                            <w:fldChar w:fldCharType="separate"/>
                          </w:r>
                          <w:r w:rsidR="0061183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D45419" w:rsidRDefault="00EE2E86" w:rsidP="00431228">
                    <w:pPr>
                      <w:tabs>
                        <w:tab w:val="center" w:pos="4650"/>
                      </w:tabs>
                      <w:suppressAutoHyphens/>
                      <w:jc w:val="center"/>
                    </w:pPr>
                    <w:r>
                      <w:fldChar w:fldCharType="begin"/>
                    </w:r>
                    <w:r>
                      <w:instrText>page \* arabic</w:instrText>
                    </w:r>
                    <w:r>
                      <w:fldChar w:fldCharType="separate"/>
                    </w:r>
                    <w:r w:rsidR="0061183B">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DAF" w:rsidRDefault="00F46DAF">
      <w:pPr>
        <w:spacing w:after="0"/>
      </w:pPr>
      <w:r>
        <w:separator/>
      </w:r>
    </w:p>
  </w:footnote>
  <w:footnote w:type="continuationSeparator" w:id="0">
    <w:p w:rsidR="00F46DAF" w:rsidRDefault="00F46DA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F3332F"/>
    <w:multiLevelType w:val="hybridMultilevel"/>
    <w:tmpl w:val="0D18A776"/>
    <w:lvl w:ilvl="0" w:tplc="796C996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E86"/>
    <w:rsid w:val="00024E79"/>
    <w:rsid w:val="000B2F64"/>
    <w:rsid w:val="00362EE7"/>
    <w:rsid w:val="00377634"/>
    <w:rsid w:val="00611657"/>
    <w:rsid w:val="0061183B"/>
    <w:rsid w:val="006F7F10"/>
    <w:rsid w:val="008972B2"/>
    <w:rsid w:val="0097184C"/>
    <w:rsid w:val="00AE72DC"/>
    <w:rsid w:val="00C12940"/>
    <w:rsid w:val="00CD6FA4"/>
    <w:rsid w:val="00D24F72"/>
    <w:rsid w:val="00EE2E86"/>
    <w:rsid w:val="00F4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E86"/>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2E86"/>
    <w:pPr>
      <w:keepNext/>
      <w:widowControl w:val="0"/>
      <w:numPr>
        <w:ilvl w:val="12"/>
      </w:numPr>
      <w:ind w:left="360" w:hanging="360"/>
      <w:outlineLvl w:val="0"/>
    </w:pPr>
    <w:rPr>
      <w:rFonts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E86"/>
    <w:rPr>
      <w:rFonts w:ascii="Times New Roman" w:eastAsia="Times New Roman" w:hAnsi="Times New Roman" w:cs="Arial"/>
      <w:b/>
      <w:snapToGrid w:val="0"/>
      <w:sz w:val="28"/>
      <w:szCs w:val="20"/>
    </w:rPr>
  </w:style>
  <w:style w:type="character" w:customStyle="1" w:styleId="a">
    <w:name w:val="À"/>
    <w:uiPriority w:val="99"/>
    <w:rsid w:val="00EE2E86"/>
    <w:rPr>
      <w:rFonts w:cs="Times New Roman"/>
    </w:rPr>
  </w:style>
  <w:style w:type="paragraph" w:styleId="Title">
    <w:name w:val="Title"/>
    <w:basedOn w:val="Normal"/>
    <w:next w:val="Normal"/>
    <w:link w:val="TitleChar"/>
    <w:qFormat/>
    <w:rsid w:val="00EE2E86"/>
    <w:pPr>
      <w:spacing w:before="120" w:after="240"/>
      <w:jc w:val="center"/>
      <w:outlineLvl w:val="0"/>
    </w:pPr>
    <w:rPr>
      <w:b/>
      <w:bCs/>
      <w:kern w:val="28"/>
    </w:rPr>
  </w:style>
  <w:style w:type="character" w:customStyle="1" w:styleId="TitleChar">
    <w:name w:val="Title Char"/>
    <w:basedOn w:val="DefaultParagraphFont"/>
    <w:link w:val="Title"/>
    <w:rsid w:val="00EE2E86"/>
    <w:rPr>
      <w:rFonts w:ascii="Times New Roman" w:eastAsia="Times New Roman" w:hAnsi="Times New Roman" w:cs="Times New Roman"/>
      <w:b/>
      <w:bCs/>
      <w:kern w:val="28"/>
      <w:sz w:val="24"/>
      <w:szCs w:val="24"/>
    </w:rPr>
  </w:style>
  <w:style w:type="character" w:styleId="CommentReference">
    <w:name w:val="annotation reference"/>
    <w:uiPriority w:val="99"/>
    <w:rsid w:val="00EE2E86"/>
    <w:rPr>
      <w:rFonts w:cs="Times New Roman"/>
      <w:sz w:val="16"/>
      <w:szCs w:val="16"/>
    </w:rPr>
  </w:style>
  <w:style w:type="paragraph" w:styleId="CommentText">
    <w:name w:val="annotation text"/>
    <w:basedOn w:val="Normal"/>
    <w:link w:val="CommentTextChar"/>
    <w:uiPriority w:val="99"/>
    <w:rsid w:val="00EE2E86"/>
    <w:rPr>
      <w:sz w:val="20"/>
    </w:rPr>
  </w:style>
  <w:style w:type="character" w:customStyle="1" w:styleId="CommentTextChar">
    <w:name w:val="Comment Text Char"/>
    <w:basedOn w:val="DefaultParagraphFont"/>
    <w:link w:val="CommentText"/>
    <w:uiPriority w:val="99"/>
    <w:rsid w:val="00EE2E86"/>
    <w:rPr>
      <w:rFonts w:ascii="Times New Roman" w:eastAsia="Times New Roman" w:hAnsi="Times New Roman" w:cs="Times New Roman"/>
      <w:sz w:val="20"/>
      <w:szCs w:val="24"/>
    </w:rPr>
  </w:style>
  <w:style w:type="table" w:styleId="TableGrid">
    <w:name w:val="Table Grid"/>
    <w:basedOn w:val="TableNormal"/>
    <w:uiPriority w:val="99"/>
    <w:rsid w:val="00EE2E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E86"/>
    <w:pPr>
      <w:spacing w:before="120"/>
      <w:ind w:left="720"/>
    </w:pPr>
  </w:style>
  <w:style w:type="paragraph" w:customStyle="1" w:styleId="SL-FlLftSgl">
    <w:name w:val="SL-Fl Lft Sgl"/>
    <w:rsid w:val="00EE2E86"/>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E2E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E8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E86"/>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2E86"/>
    <w:pPr>
      <w:keepNext/>
      <w:widowControl w:val="0"/>
      <w:numPr>
        <w:ilvl w:val="12"/>
      </w:numPr>
      <w:ind w:left="360" w:hanging="360"/>
      <w:outlineLvl w:val="0"/>
    </w:pPr>
    <w:rPr>
      <w:rFonts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E86"/>
    <w:rPr>
      <w:rFonts w:ascii="Times New Roman" w:eastAsia="Times New Roman" w:hAnsi="Times New Roman" w:cs="Arial"/>
      <w:b/>
      <w:snapToGrid w:val="0"/>
      <w:sz w:val="28"/>
      <w:szCs w:val="20"/>
    </w:rPr>
  </w:style>
  <w:style w:type="character" w:customStyle="1" w:styleId="a">
    <w:name w:val="À"/>
    <w:uiPriority w:val="99"/>
    <w:rsid w:val="00EE2E86"/>
    <w:rPr>
      <w:rFonts w:cs="Times New Roman"/>
    </w:rPr>
  </w:style>
  <w:style w:type="paragraph" w:styleId="Title">
    <w:name w:val="Title"/>
    <w:basedOn w:val="Normal"/>
    <w:next w:val="Normal"/>
    <w:link w:val="TitleChar"/>
    <w:qFormat/>
    <w:rsid w:val="00EE2E86"/>
    <w:pPr>
      <w:spacing w:before="120" w:after="240"/>
      <w:jc w:val="center"/>
      <w:outlineLvl w:val="0"/>
    </w:pPr>
    <w:rPr>
      <w:b/>
      <w:bCs/>
      <w:kern w:val="28"/>
    </w:rPr>
  </w:style>
  <w:style w:type="character" w:customStyle="1" w:styleId="TitleChar">
    <w:name w:val="Title Char"/>
    <w:basedOn w:val="DefaultParagraphFont"/>
    <w:link w:val="Title"/>
    <w:rsid w:val="00EE2E86"/>
    <w:rPr>
      <w:rFonts w:ascii="Times New Roman" w:eastAsia="Times New Roman" w:hAnsi="Times New Roman" w:cs="Times New Roman"/>
      <w:b/>
      <w:bCs/>
      <w:kern w:val="28"/>
      <w:sz w:val="24"/>
      <w:szCs w:val="24"/>
    </w:rPr>
  </w:style>
  <w:style w:type="character" w:styleId="CommentReference">
    <w:name w:val="annotation reference"/>
    <w:uiPriority w:val="99"/>
    <w:rsid w:val="00EE2E86"/>
    <w:rPr>
      <w:rFonts w:cs="Times New Roman"/>
      <w:sz w:val="16"/>
      <w:szCs w:val="16"/>
    </w:rPr>
  </w:style>
  <w:style w:type="paragraph" w:styleId="CommentText">
    <w:name w:val="annotation text"/>
    <w:basedOn w:val="Normal"/>
    <w:link w:val="CommentTextChar"/>
    <w:uiPriority w:val="99"/>
    <w:rsid w:val="00EE2E86"/>
    <w:rPr>
      <w:sz w:val="20"/>
    </w:rPr>
  </w:style>
  <w:style w:type="character" w:customStyle="1" w:styleId="CommentTextChar">
    <w:name w:val="Comment Text Char"/>
    <w:basedOn w:val="DefaultParagraphFont"/>
    <w:link w:val="CommentText"/>
    <w:uiPriority w:val="99"/>
    <w:rsid w:val="00EE2E86"/>
    <w:rPr>
      <w:rFonts w:ascii="Times New Roman" w:eastAsia="Times New Roman" w:hAnsi="Times New Roman" w:cs="Times New Roman"/>
      <w:sz w:val="20"/>
      <w:szCs w:val="24"/>
    </w:rPr>
  </w:style>
  <w:style w:type="table" w:styleId="TableGrid">
    <w:name w:val="Table Grid"/>
    <w:basedOn w:val="TableNormal"/>
    <w:uiPriority w:val="99"/>
    <w:rsid w:val="00EE2E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E86"/>
    <w:pPr>
      <w:spacing w:before="120"/>
      <w:ind w:left="720"/>
    </w:pPr>
  </w:style>
  <w:style w:type="paragraph" w:customStyle="1" w:styleId="SL-FlLftSgl">
    <w:name w:val="SL-Fl Lft Sgl"/>
    <w:rsid w:val="00EE2E86"/>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E2E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E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 Peter (ACL)</dc:creator>
  <cp:keywords/>
  <dc:description/>
  <cp:lastModifiedBy>SYSTEM</cp:lastModifiedBy>
  <cp:revision>2</cp:revision>
  <dcterms:created xsi:type="dcterms:W3CDTF">2019-01-16T19:42:00Z</dcterms:created>
  <dcterms:modified xsi:type="dcterms:W3CDTF">2019-01-16T19:42:00Z</dcterms:modified>
</cp:coreProperties>
</file>