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98049" w14:textId="77777777" w:rsidR="00D11996" w:rsidRPr="00261C4E" w:rsidRDefault="00D11996" w:rsidP="00D11996">
      <w:pPr>
        <w:pStyle w:val="Heading1"/>
        <w:tabs>
          <w:tab w:val="clear" w:pos="432"/>
          <w:tab w:val="left" w:pos="720"/>
        </w:tabs>
        <w:spacing w:before="0" w:after="0"/>
        <w:jc w:val="center"/>
        <w:rPr>
          <w:rFonts w:ascii="Times New Roman" w:hAnsi="Times New Roman"/>
          <w:b/>
          <w:caps w:val="0"/>
          <w:sz w:val="28"/>
          <w:szCs w:val="28"/>
        </w:rPr>
      </w:pPr>
      <w:bookmarkStart w:id="0" w:name="_Toc476920446"/>
      <w:bookmarkStart w:id="1" w:name="_GoBack"/>
      <w:bookmarkEnd w:id="1"/>
      <w:r w:rsidRPr="00261C4E">
        <w:rPr>
          <w:rFonts w:ascii="Times New Roman" w:hAnsi="Times New Roman"/>
          <w:b/>
          <w:caps w:val="0"/>
          <w:sz w:val="28"/>
          <w:szCs w:val="28"/>
        </w:rPr>
        <w:t>Supporting Statement for Promoting Opportunity Demonstration (POD)</w:t>
      </w:r>
    </w:p>
    <w:p w14:paraId="4D9B60D6" w14:textId="69BBCB97" w:rsidR="00D11996" w:rsidRPr="00261C4E" w:rsidRDefault="00D11996" w:rsidP="00D11996">
      <w:pPr>
        <w:pStyle w:val="H2Chapter"/>
        <w:spacing w:before="0" w:after="0"/>
        <w:jc w:val="center"/>
        <w:rPr>
          <w:rFonts w:ascii="Times New Roman" w:hAnsi="Times New Roman"/>
        </w:rPr>
      </w:pPr>
      <w:r w:rsidRPr="00261C4E">
        <w:rPr>
          <w:rFonts w:ascii="Times New Roman" w:hAnsi="Times New Roman"/>
          <w:b/>
          <w:caps w:val="0"/>
          <w:sz w:val="28"/>
          <w:szCs w:val="28"/>
        </w:rPr>
        <w:t>OMB No. 0960-</w:t>
      </w:r>
      <w:r w:rsidR="00E224EC">
        <w:rPr>
          <w:rFonts w:ascii="Times New Roman" w:hAnsi="Times New Roman"/>
          <w:b/>
          <w:caps w:val="0"/>
          <w:sz w:val="28"/>
          <w:szCs w:val="28"/>
        </w:rPr>
        <w:t>0809</w:t>
      </w:r>
    </w:p>
    <w:p w14:paraId="5CDED64B" w14:textId="77777777" w:rsidR="00D11996" w:rsidRPr="003A4919" w:rsidRDefault="00D11996" w:rsidP="00D11996">
      <w:pPr>
        <w:pStyle w:val="H2Chapter"/>
      </w:pPr>
      <w:r w:rsidRPr="003A4919">
        <w:t>B.</w:t>
      </w:r>
      <w:r w:rsidRPr="003A4919">
        <w:tab/>
        <w:t>Collections of Informatio</w:t>
      </w:r>
      <w:r>
        <w:t>n Employing Statistical Methods</w:t>
      </w:r>
      <w:bookmarkEnd w:id="0"/>
    </w:p>
    <w:p w14:paraId="6BCFF24E" w14:textId="5EFFD425" w:rsidR="00D11996" w:rsidRPr="003A4919" w:rsidRDefault="00D11996" w:rsidP="00D11996">
      <w:pPr>
        <w:pStyle w:val="NormalSS"/>
      </w:pPr>
      <w:r w:rsidRPr="003A4919">
        <w:t>As part of the Bipartisan Budget Act of 2015</w:t>
      </w:r>
      <w:r w:rsidR="00CF4243">
        <w:t xml:space="preserve"> (BBA)</w:t>
      </w:r>
      <w:r w:rsidRPr="003A4919">
        <w:t xml:space="preserve">, policymakers </w:t>
      </w:r>
      <w:r w:rsidR="0029469C">
        <w:t>required</w:t>
      </w:r>
      <w:r w:rsidR="0029469C" w:rsidRPr="003A4919">
        <w:t xml:space="preserve"> </w:t>
      </w:r>
      <w:r w:rsidRPr="003A4919">
        <w:t xml:space="preserve">the </w:t>
      </w:r>
      <w:r>
        <w:t>Social Security Administration (</w:t>
      </w:r>
      <w:r w:rsidRPr="003A4919">
        <w:t>SSA</w:t>
      </w:r>
      <w:r>
        <w:t>)</w:t>
      </w:r>
      <w:r w:rsidRPr="003A4919">
        <w:t xml:space="preserve"> to carry out the Promoting Opportunity Demonstration (POD) to test a new benefit offset formula for Social Security Disability Insurance (</w:t>
      </w:r>
      <w:r>
        <w:t>SSDI</w:t>
      </w:r>
      <w:r w:rsidRPr="003A4919">
        <w:t>) beneficiaries</w:t>
      </w:r>
      <w:r w:rsidR="0029469C">
        <w:t xml:space="preserve"> who volunteer to be in the demonstration</w:t>
      </w:r>
      <w:r w:rsidRPr="003A4919">
        <w:t>.</w:t>
      </w:r>
      <w:r>
        <w:t xml:space="preserve"> </w:t>
      </w:r>
      <w:r w:rsidR="0086044E">
        <w:t xml:space="preserve"> We intend t</w:t>
      </w:r>
      <w:r w:rsidRPr="003A4919">
        <w:t>he new rules, which also simpli</w:t>
      </w:r>
      <w:r w:rsidR="0086044E">
        <w:t>fy work incentives,</w:t>
      </w:r>
      <w:r w:rsidRPr="003A4919">
        <w:t xml:space="preserve"> to promote employment and reduce dependency on benefits. </w:t>
      </w:r>
      <w:r>
        <w:t xml:space="preserve"> </w:t>
      </w:r>
      <w:r w:rsidRPr="003A4919">
        <w:t>POD is part of a broader effort by policymakers to identify new approaches to help beneficiaries and their families</w:t>
      </w:r>
      <w:r>
        <w:t xml:space="preserve">, </w:t>
      </w:r>
      <w:r w:rsidRPr="003A4919">
        <w:t xml:space="preserve">many of whom are </w:t>
      </w:r>
      <w:r>
        <w:t xml:space="preserve">low income, </w:t>
      </w:r>
      <w:r w:rsidRPr="003A4919">
        <w:t xml:space="preserve">increase their incomes and self-sufficiency through work. </w:t>
      </w:r>
      <w:r>
        <w:t xml:space="preserve"> </w:t>
      </w:r>
      <w:r w:rsidRPr="003A4919">
        <w:t xml:space="preserve">A </w:t>
      </w:r>
      <w:r w:rsidR="007A16D8">
        <w:t>thorough and comprehensive</w:t>
      </w:r>
      <w:r w:rsidR="007A16D8" w:rsidRPr="003A4919">
        <w:t xml:space="preserve"> </w:t>
      </w:r>
      <w:r w:rsidRPr="003A4919">
        <w:t xml:space="preserve">evaluation of POD </w:t>
      </w:r>
      <w:r w:rsidRPr="00BF32F5">
        <w:rPr>
          <w:noProof/>
        </w:rPr>
        <w:t>is</w:t>
      </w:r>
      <w:r>
        <w:rPr>
          <w:noProof/>
        </w:rPr>
        <w:t>, therefore,</w:t>
      </w:r>
      <w:r w:rsidRPr="003A4919">
        <w:t xml:space="preserve"> critical to enable SSA and policymakers to assess </w:t>
      </w:r>
      <w:r w:rsidR="008654F4">
        <w:t xml:space="preserve">the </w:t>
      </w:r>
      <w:r w:rsidR="008654F4" w:rsidRPr="003A4919">
        <w:t>promis</w:t>
      </w:r>
      <w:r w:rsidR="008654F4">
        <w:t>e of this</w:t>
      </w:r>
      <w:r w:rsidR="008654F4" w:rsidRPr="003A4919">
        <w:t xml:space="preserve"> </w:t>
      </w:r>
      <w:r w:rsidRPr="003A4919">
        <w:t xml:space="preserve">option </w:t>
      </w:r>
      <w:r w:rsidR="008654F4">
        <w:t xml:space="preserve">for </w:t>
      </w:r>
      <w:r w:rsidRPr="003A4919">
        <w:t>improv</w:t>
      </w:r>
      <w:r w:rsidR="008654F4">
        <w:t>ing</w:t>
      </w:r>
      <w:r w:rsidRPr="003A4919">
        <w:t xml:space="preserve"> beneficiary outcomes and program administration</w:t>
      </w:r>
      <w:r w:rsidR="008654F4">
        <w:t xml:space="preserve"> for the context in which it is implemented</w:t>
      </w:r>
      <w:r w:rsidRPr="003A4919">
        <w:t xml:space="preserve">. </w:t>
      </w:r>
      <w:r w:rsidRPr="00F03373">
        <w:t xml:space="preserve">The evaluation will provide empirical evidence on the impact of the intervention for </w:t>
      </w:r>
      <w:r w:rsidR="008654F4">
        <w:t xml:space="preserve">the </w:t>
      </w:r>
      <w:r>
        <w:t>SSDI</w:t>
      </w:r>
      <w:r w:rsidRPr="00F03373">
        <w:t xml:space="preserve"> beneficiaries </w:t>
      </w:r>
      <w:r w:rsidR="008654F4">
        <w:t xml:space="preserve">in the study </w:t>
      </w:r>
      <w:r w:rsidRPr="00F03373">
        <w:t>and their families in several critical areas:</w:t>
      </w:r>
      <w:r>
        <w:t xml:space="preserve">  (1) increased employment;</w:t>
      </w:r>
      <w:r w:rsidRPr="00F03373">
        <w:t xml:space="preserve"> (2) increased number of employed beneficiarie</w:t>
      </w:r>
      <w:r>
        <w:t>s who have substantive earnings; (3) reduced benefits;</w:t>
      </w:r>
      <w:r w:rsidRPr="00F03373">
        <w:t xml:space="preserve"> and (4) increased beneficiary income (earnings plus benefits).</w:t>
      </w:r>
    </w:p>
    <w:p w14:paraId="62BFA91E" w14:textId="398A4B80" w:rsidR="00E51088" w:rsidRDefault="00E51088" w:rsidP="00D11996">
      <w:pPr>
        <w:pStyle w:val="NormalSS"/>
      </w:pPr>
      <w:r>
        <w:t>Based on the early pilot period, SSA established a goal to enroll at least 9,000 SSDI beneficiaries and up to</w:t>
      </w:r>
      <w:r w:rsidR="00D11996">
        <w:t xml:space="preserve"> approximately </w:t>
      </w:r>
      <w:r w:rsidR="00D11996" w:rsidRPr="009E60A4">
        <w:t xml:space="preserve">15,000 </w:t>
      </w:r>
      <w:r w:rsidR="00D11996">
        <w:t>SSDI</w:t>
      </w:r>
      <w:r w:rsidR="00D11996" w:rsidRPr="009E60A4">
        <w:t xml:space="preserve"> beneficiaries across the eight</w:t>
      </w:r>
      <w:r w:rsidR="00D11996">
        <w:t xml:space="preserve"> selected POD states</w:t>
      </w:r>
      <w:r>
        <w:t xml:space="preserve"> (Wittenburg et al. 2018)</w:t>
      </w:r>
      <w:r w:rsidR="00D11996">
        <w:t>.</w:t>
      </w:r>
      <w:r>
        <w:t xml:space="preserve">  During the design period, SSA made several changes to the recruitment strategy to reach these objectives.</w:t>
      </w:r>
      <w:r w:rsidR="008654F4">
        <w:t xml:space="preserve"> </w:t>
      </w:r>
      <w:r w:rsidR="00E53FD0">
        <w:t xml:space="preserve"> </w:t>
      </w:r>
    </w:p>
    <w:p w14:paraId="238F8C3B" w14:textId="3E6E3708" w:rsidR="00D11996" w:rsidRDefault="00444C2E" w:rsidP="00D11996">
      <w:pPr>
        <w:pStyle w:val="NormalSS"/>
        <w:rPr>
          <w:szCs w:val="24"/>
        </w:rPr>
      </w:pPr>
      <w:r w:rsidRPr="00444C2E">
        <w:t xml:space="preserve">Based on the requirements of the BBA (Public Law 114-74, Section </w:t>
      </w:r>
      <w:r w:rsidR="00181867">
        <w:t>823</w:t>
      </w:r>
      <w:r w:rsidRPr="00444C2E">
        <w:t xml:space="preserve">), participation in POD </w:t>
      </w:r>
      <w:r>
        <w:t xml:space="preserve">must be </w:t>
      </w:r>
      <w:r w:rsidRPr="00444C2E">
        <w:t>voluntary and include informed consent</w:t>
      </w:r>
      <w:r>
        <w:t xml:space="preserve">. </w:t>
      </w:r>
      <w:r w:rsidR="00184BCF">
        <w:t xml:space="preserve"> </w:t>
      </w:r>
      <w:r w:rsidR="007C2014">
        <w:t>As we discuss</w:t>
      </w:r>
      <w:r w:rsidRPr="00444C2E">
        <w:t xml:space="preserve"> below, this feature prescribes how SSA can implement the demonstration, which has implications for the interpretation of the evaluation findings.</w:t>
      </w:r>
      <w:r w:rsidR="00D11996">
        <w:t xml:space="preserve"> </w:t>
      </w:r>
      <w:r w:rsidR="00FA793A">
        <w:t xml:space="preserve"> </w:t>
      </w:r>
      <w:r w:rsidR="00E53FD0">
        <w:t xml:space="preserve">We are implementing POD </w:t>
      </w:r>
      <w:r>
        <w:t xml:space="preserve">in </w:t>
      </w:r>
      <w:r w:rsidR="00D11996">
        <w:t xml:space="preserve">eight </w:t>
      </w:r>
      <w:r>
        <w:t>purposively</w:t>
      </w:r>
      <w:r w:rsidR="00CF4243">
        <w:t xml:space="preserve"> </w:t>
      </w:r>
      <w:r>
        <w:t xml:space="preserve">selected </w:t>
      </w:r>
      <w:r w:rsidR="00D11996">
        <w:t>states</w:t>
      </w:r>
      <w:r w:rsidR="00CF4243">
        <w:t>:</w:t>
      </w:r>
      <w:r w:rsidR="00D11996">
        <w:t xml:space="preserve"> </w:t>
      </w:r>
      <w:r w:rsidR="00E53FD0">
        <w:t xml:space="preserve"> </w:t>
      </w:r>
      <w:r w:rsidR="00D11996" w:rsidRPr="005C13F3">
        <w:rPr>
          <w:szCs w:val="24"/>
        </w:rPr>
        <w:t>Alabama</w:t>
      </w:r>
      <w:r w:rsidR="00D11996">
        <w:t xml:space="preserve">, </w:t>
      </w:r>
      <w:r w:rsidR="00D11996" w:rsidRPr="005C13F3">
        <w:rPr>
          <w:szCs w:val="24"/>
        </w:rPr>
        <w:t>California</w:t>
      </w:r>
      <w:r w:rsidR="00D11996">
        <w:t xml:space="preserve">, </w:t>
      </w:r>
      <w:r w:rsidR="00D11996" w:rsidRPr="005C13F3">
        <w:rPr>
          <w:szCs w:val="24"/>
        </w:rPr>
        <w:t>Connecticut</w:t>
      </w:r>
      <w:r w:rsidR="00D11996">
        <w:t>, M</w:t>
      </w:r>
      <w:r w:rsidR="00D11996" w:rsidRPr="005C13F3">
        <w:rPr>
          <w:szCs w:val="24"/>
        </w:rPr>
        <w:t>aryland</w:t>
      </w:r>
      <w:r w:rsidR="00D11996">
        <w:t xml:space="preserve">, </w:t>
      </w:r>
      <w:r w:rsidR="00D11996" w:rsidRPr="005C13F3">
        <w:rPr>
          <w:szCs w:val="24"/>
        </w:rPr>
        <w:t>Michigan</w:t>
      </w:r>
      <w:r w:rsidR="00D11996">
        <w:t xml:space="preserve">, </w:t>
      </w:r>
      <w:r w:rsidR="00D11996" w:rsidRPr="005C13F3">
        <w:rPr>
          <w:szCs w:val="24"/>
        </w:rPr>
        <w:t>Nebraska</w:t>
      </w:r>
      <w:r w:rsidR="00D11996">
        <w:t xml:space="preserve">, </w:t>
      </w:r>
      <w:r w:rsidR="00D11996" w:rsidRPr="009E60A4">
        <w:rPr>
          <w:szCs w:val="24"/>
        </w:rPr>
        <w:t>Texas</w:t>
      </w:r>
      <w:r w:rsidR="00D11996">
        <w:t xml:space="preserve">, and </w:t>
      </w:r>
      <w:r w:rsidR="00D11996" w:rsidRPr="009E60A4">
        <w:rPr>
          <w:szCs w:val="24"/>
        </w:rPr>
        <w:t>Vermont</w:t>
      </w:r>
      <w:r w:rsidR="00D11996">
        <w:rPr>
          <w:szCs w:val="24"/>
        </w:rPr>
        <w:t xml:space="preserve">.  As discussed in greater detail below, the POD implementation contractor, Abt Associates (Abt) chose these states according to </w:t>
      </w:r>
      <w:r w:rsidR="00D11996">
        <w:t xml:space="preserve">substantive and practical criteria related to their capacity to carry out the demonstration.  Abt is engaging with implementation partners in each state through subcontracting arrangements.  (State implementation partners may include, for example, state VR agencies and </w:t>
      </w:r>
      <w:r w:rsidR="00D11996" w:rsidRPr="000229C8">
        <w:t>Work Incentives Planning and Assistance</w:t>
      </w:r>
      <w:r w:rsidR="00D11996">
        <w:t xml:space="preserve"> providers.)  Hereinafter, </w:t>
      </w:r>
      <w:r w:rsidR="0086044E">
        <w:t xml:space="preserve">we will refer to </w:t>
      </w:r>
      <w:r w:rsidR="00D11996">
        <w:t>Abt and its state partners as the “POD implementation team.”</w:t>
      </w:r>
      <w:r w:rsidR="008654F4">
        <w:t xml:space="preserve"> </w:t>
      </w:r>
    </w:p>
    <w:p w14:paraId="55036A81" w14:textId="7034AEDC" w:rsidR="00D11996" w:rsidRPr="00181867" w:rsidRDefault="00D11996" w:rsidP="00D11996">
      <w:pPr>
        <w:pStyle w:val="NormalSS"/>
        <w:rPr>
          <w:lang w:val="en"/>
        </w:rPr>
      </w:pPr>
      <w:r w:rsidRPr="009E60A4">
        <w:rPr>
          <w:lang w:val="en"/>
        </w:rPr>
        <w:t xml:space="preserve">The evaluation of POD </w:t>
      </w:r>
      <w:r w:rsidR="00444C2E">
        <w:rPr>
          <w:lang w:val="en"/>
        </w:rPr>
        <w:t xml:space="preserve">uses random assignment to create </w:t>
      </w:r>
      <w:r w:rsidRPr="009E60A4">
        <w:rPr>
          <w:lang w:val="en"/>
        </w:rPr>
        <w:t xml:space="preserve">two treatment arms and one control arm. </w:t>
      </w:r>
      <w:r>
        <w:rPr>
          <w:lang w:val="en"/>
        </w:rPr>
        <w:t xml:space="preserve"> We refer to beneficiaries randomized into the demonstration as treatment and control subjects.</w:t>
      </w:r>
      <w:r w:rsidR="002A45A8">
        <w:rPr>
          <w:lang w:val="en"/>
        </w:rPr>
        <w:t xml:space="preserve"> </w:t>
      </w:r>
      <w:r>
        <w:rPr>
          <w:lang w:val="en"/>
        </w:rPr>
        <w:t xml:space="preserve"> </w:t>
      </w:r>
      <w:r w:rsidRPr="009E60A4">
        <w:rPr>
          <w:lang w:val="en"/>
        </w:rPr>
        <w:t xml:space="preserve">Both treatment arms include a benefit offset of $1 for every $2 earned above the larger of the Trial Work Period level (defined as $840 in 2017) and the amount of the </w:t>
      </w:r>
      <w:r>
        <w:rPr>
          <w:lang w:val="en"/>
        </w:rPr>
        <w:t>subject</w:t>
      </w:r>
      <w:r w:rsidRPr="009E60A4">
        <w:rPr>
          <w:lang w:val="en"/>
        </w:rPr>
        <w:t>’s Impairment Related Work Expenses.</w:t>
      </w:r>
      <w:r>
        <w:rPr>
          <w:lang w:val="en"/>
        </w:rPr>
        <w:t xml:space="preserve">  </w:t>
      </w:r>
      <w:r w:rsidRPr="009E60A4">
        <w:rPr>
          <w:lang w:val="en"/>
        </w:rPr>
        <w:t xml:space="preserve">They differ in their administration of policies involving cases that reach full benefit offset (that is, benefits reduced to zero). </w:t>
      </w:r>
      <w:r>
        <w:rPr>
          <w:lang w:val="en"/>
        </w:rPr>
        <w:t xml:space="preserve"> </w:t>
      </w:r>
      <w:r w:rsidRPr="009E60A4">
        <w:rPr>
          <w:lang w:val="en"/>
        </w:rPr>
        <w:t xml:space="preserve">In both treatment arms, POD initially suspends benefits. </w:t>
      </w:r>
      <w:r>
        <w:rPr>
          <w:lang w:val="en"/>
        </w:rPr>
        <w:t xml:space="preserve"> </w:t>
      </w:r>
      <w:r w:rsidR="0086044E" w:rsidRPr="009E60A4">
        <w:rPr>
          <w:lang w:val="en"/>
        </w:rPr>
        <w:t>However</w:t>
      </w:r>
      <w:r w:rsidRPr="009E60A4">
        <w:rPr>
          <w:lang w:val="en"/>
        </w:rPr>
        <w:t>, in one arm the suspension is not time</w:t>
      </w:r>
      <w:r>
        <w:rPr>
          <w:lang w:val="en"/>
        </w:rPr>
        <w:t>-</w:t>
      </w:r>
      <w:r w:rsidRPr="009E60A4">
        <w:rPr>
          <w:lang w:val="en"/>
        </w:rPr>
        <w:t xml:space="preserve">limited while, in the other arm, POD terminates benefits after 12 consecutive months of suspension. </w:t>
      </w:r>
      <w:r>
        <w:rPr>
          <w:lang w:val="en"/>
        </w:rPr>
        <w:t xml:space="preserve"> </w:t>
      </w:r>
      <w:r w:rsidRPr="009E60A4">
        <w:rPr>
          <w:lang w:val="en"/>
        </w:rPr>
        <w:t>Beneficiaries in the control arm are subject to</w:t>
      </w:r>
      <w:r>
        <w:rPr>
          <w:lang w:val="en"/>
        </w:rPr>
        <w:t xml:space="preserve"> the</w:t>
      </w:r>
      <w:r w:rsidRPr="009E60A4">
        <w:rPr>
          <w:lang w:val="en"/>
        </w:rPr>
        <w:t xml:space="preserve"> </w:t>
      </w:r>
      <w:r w:rsidRPr="009119BD">
        <w:rPr>
          <w:noProof/>
          <w:lang w:val="en"/>
        </w:rPr>
        <w:t>current</w:t>
      </w:r>
      <w:r w:rsidRPr="009E60A4">
        <w:rPr>
          <w:lang w:val="en"/>
        </w:rPr>
        <w:t xml:space="preserve"> law. </w:t>
      </w:r>
      <w:r>
        <w:rPr>
          <w:lang w:val="en"/>
        </w:rPr>
        <w:t xml:space="preserve"> </w:t>
      </w:r>
      <w:r w:rsidRPr="00846E5D">
        <w:t xml:space="preserve">Exhibit </w:t>
      </w:r>
      <w:r>
        <w:t>B</w:t>
      </w:r>
      <w:r w:rsidRPr="00846E5D">
        <w:t xml:space="preserve">.1 summarizes the services </w:t>
      </w:r>
      <w:r>
        <w:t xml:space="preserve">that </w:t>
      </w:r>
      <w:r w:rsidRPr="00846E5D">
        <w:t>the two treatment groups and the control group receive.</w:t>
      </w:r>
      <w:r w:rsidR="007A16D8">
        <w:t xml:space="preserve"> </w:t>
      </w:r>
      <w:r w:rsidR="002A45A8">
        <w:t xml:space="preserve"> </w:t>
      </w:r>
      <w:r w:rsidR="001062C0">
        <w:t xml:space="preserve">In addition to requiring the </w:t>
      </w:r>
      <w:r w:rsidR="001062C0">
        <w:lastRenderedPageBreak/>
        <w:t xml:space="preserve">recruitment of volunteers, </w:t>
      </w:r>
      <w:r w:rsidR="001062C0" w:rsidRPr="001062C0">
        <w:t>Public Law 114-74 specifies that study volunteers assigned to a treatment group have the right to revert from the new POD rules to current SSDI rules at any point.</w:t>
      </w:r>
      <w:r w:rsidR="001062C0">
        <w:t xml:space="preserve"> </w:t>
      </w:r>
      <w:r w:rsidR="00FA793A">
        <w:t xml:space="preserve"> </w:t>
      </w:r>
      <w:r w:rsidR="001062C0" w:rsidRPr="001062C0">
        <w:rPr>
          <w:lang w:val="en"/>
        </w:rPr>
        <w:t xml:space="preserve">Although </w:t>
      </w:r>
      <w:r w:rsidR="001062C0">
        <w:rPr>
          <w:lang w:val="en"/>
        </w:rPr>
        <w:t>both self-selection and the capacity to revert to current law may constrain the generalizability of this evaluation’s findings</w:t>
      </w:r>
      <w:r w:rsidR="001062C0" w:rsidRPr="001062C0">
        <w:rPr>
          <w:lang w:val="en"/>
        </w:rPr>
        <w:t xml:space="preserve">, </w:t>
      </w:r>
      <w:r w:rsidR="001062C0">
        <w:rPr>
          <w:lang w:val="en"/>
        </w:rPr>
        <w:t>an intention-to-tre</w:t>
      </w:r>
      <w:r w:rsidR="002A45A8">
        <w:rPr>
          <w:lang w:val="en"/>
        </w:rPr>
        <w:t>at analysis based on the random</w:t>
      </w:r>
      <w:r w:rsidR="002A45A8">
        <w:rPr>
          <w:lang w:val="en"/>
        </w:rPr>
        <w:noBreakHyphen/>
      </w:r>
      <w:r w:rsidR="001062C0">
        <w:rPr>
          <w:lang w:val="en"/>
        </w:rPr>
        <w:t>assignment</w:t>
      </w:r>
      <w:r w:rsidR="001062C0" w:rsidRPr="001062C0">
        <w:rPr>
          <w:lang w:val="en"/>
        </w:rPr>
        <w:t xml:space="preserve"> design will yield unbiased, internally valid impact estimates of the</w:t>
      </w:r>
      <w:r w:rsidR="001062C0">
        <w:rPr>
          <w:lang w:val="en"/>
        </w:rPr>
        <w:t xml:space="preserve"> offer of</w:t>
      </w:r>
      <w:r w:rsidR="001062C0" w:rsidRPr="001062C0">
        <w:rPr>
          <w:lang w:val="en"/>
        </w:rPr>
        <w:t xml:space="preserve"> new POD rules for </w:t>
      </w:r>
      <w:r w:rsidR="009765BA">
        <w:rPr>
          <w:lang w:val="en"/>
        </w:rPr>
        <w:t xml:space="preserve">the </w:t>
      </w:r>
      <w:r w:rsidR="001062C0" w:rsidRPr="001062C0">
        <w:rPr>
          <w:lang w:val="en"/>
        </w:rPr>
        <w:t>pool of POD volunteers.</w:t>
      </w:r>
    </w:p>
    <w:p w14:paraId="3C27CB06" w14:textId="77777777" w:rsidR="00181867" w:rsidRDefault="00181867" w:rsidP="00181867">
      <w:pPr>
        <w:pStyle w:val="MarkforExhibitTitle"/>
      </w:pPr>
      <w:bookmarkStart w:id="2" w:name="_Toc474336106"/>
      <w:bookmarkStart w:id="3" w:name="_Toc476922575"/>
      <w:r>
        <w:t>Exhibit B.1. POD study design</w:t>
      </w:r>
      <w:bookmarkEnd w:id="2"/>
      <w:bookmarkEnd w:id="3"/>
    </w:p>
    <w:p w14:paraId="5DA48802" w14:textId="77777777" w:rsidR="00181867" w:rsidRPr="009435F4" w:rsidRDefault="00181867" w:rsidP="00181867">
      <w:pPr>
        <w:pStyle w:val="NormalSS"/>
      </w:pPr>
      <w:r w:rsidRPr="00F96578">
        <w:rPr>
          <w:noProof/>
        </w:rPr>
        <w:drawing>
          <wp:inline distT="0" distB="0" distL="0" distR="0" wp14:anchorId="26843708" wp14:editId="393FF90F">
            <wp:extent cx="5943600" cy="360680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inline>
        </w:drawing>
      </w:r>
    </w:p>
    <w:p w14:paraId="5C7F9BAE" w14:textId="77777777" w:rsidR="00181867" w:rsidRDefault="00181867" w:rsidP="00181867">
      <w:pPr>
        <w:pStyle w:val="TableSignificanceCaption"/>
        <w:spacing w:before="120" w:after="240"/>
      </w:pPr>
      <w:r>
        <w:t xml:space="preserve">WIPA = Work Incentives Planning and Assistance program. </w:t>
      </w:r>
    </w:p>
    <w:p w14:paraId="7F19C41B" w14:textId="62715FD2" w:rsidR="00D11996" w:rsidRDefault="00D11996" w:rsidP="00D11996">
      <w:pPr>
        <w:pStyle w:val="NormalSS"/>
        <w:ind w:firstLine="450"/>
      </w:pPr>
      <w:r>
        <w:rPr>
          <w:szCs w:val="24"/>
          <w:lang w:val="en"/>
        </w:rPr>
        <w:t xml:space="preserve">SSA is conducting the study and Mathematica is carrying out components of the evaluation on behalf of SSA.  Hereinafter, </w:t>
      </w:r>
      <w:r w:rsidR="0086044E">
        <w:rPr>
          <w:szCs w:val="24"/>
          <w:lang w:val="en"/>
        </w:rPr>
        <w:t xml:space="preserve">we will refer to </w:t>
      </w:r>
      <w:r>
        <w:rPr>
          <w:szCs w:val="24"/>
          <w:lang w:val="en"/>
        </w:rPr>
        <w:t>this as “the POD evaluation team” or, when clear from context “the evaluation team.”  The evaluation</w:t>
      </w:r>
      <w:r w:rsidRPr="001B1B6D">
        <w:rPr>
          <w:szCs w:val="24"/>
          <w:lang w:val="en"/>
        </w:rPr>
        <w:t xml:space="preserve"> will include </w:t>
      </w:r>
      <w:r>
        <w:rPr>
          <w:szCs w:val="24"/>
          <w:lang w:val="en"/>
        </w:rPr>
        <w:t xml:space="preserve">a </w:t>
      </w:r>
      <w:r w:rsidRPr="001B1B6D">
        <w:rPr>
          <w:szCs w:val="24"/>
          <w:lang w:val="en"/>
        </w:rPr>
        <w:t xml:space="preserve">comprehensive </w:t>
      </w:r>
      <w:r w:rsidRPr="009119BD">
        <w:rPr>
          <w:noProof/>
        </w:rPr>
        <w:t>assessment</w:t>
      </w:r>
      <w:r>
        <w:t xml:space="preserve"> of the implementation of POD and its effectiveness </w:t>
      </w:r>
      <w:r w:rsidR="007C2014">
        <w:rPr>
          <w:szCs w:val="24"/>
          <w:lang w:val="en"/>
        </w:rPr>
        <w:t>for the</w:t>
      </w:r>
      <w:r w:rsidRPr="001B1B6D">
        <w:rPr>
          <w:szCs w:val="24"/>
          <w:lang w:val="en"/>
        </w:rPr>
        <w:t xml:space="preserve"> </w:t>
      </w:r>
      <w:r>
        <w:rPr>
          <w:szCs w:val="24"/>
          <w:lang w:val="en"/>
        </w:rPr>
        <w:t>subjects</w:t>
      </w:r>
      <w:r w:rsidRPr="001B1B6D">
        <w:rPr>
          <w:szCs w:val="24"/>
          <w:lang w:val="en"/>
        </w:rPr>
        <w:t xml:space="preserve"> </w:t>
      </w:r>
      <w:r>
        <w:rPr>
          <w:szCs w:val="24"/>
          <w:lang w:val="en"/>
        </w:rPr>
        <w:t xml:space="preserve">enrolled in the eight POD states.  The evaluation team will base this assessment on results from </w:t>
      </w:r>
      <w:r>
        <w:t xml:space="preserve">the following analyses: </w:t>
      </w:r>
    </w:p>
    <w:p w14:paraId="1A853992" w14:textId="77777777" w:rsidR="00D11996" w:rsidRDefault="00D11996" w:rsidP="00D11996">
      <w:pPr>
        <w:pStyle w:val="Bullet"/>
      </w:pPr>
      <w:r w:rsidRPr="00FE48EB">
        <w:t>A</w:t>
      </w:r>
      <w:r w:rsidRPr="005A76BB">
        <w:rPr>
          <w:b/>
        </w:rPr>
        <w:t xml:space="preserve"> process analysis</w:t>
      </w:r>
      <w:r>
        <w:t xml:space="preserve"> will describe the components of POD’s infrastructure and assess the functioning and implementation of each component.  It will document the program environment; beneficiaries’ perspectives on the POD offset; and the fidelity of program operation to the offset design.  It will also seek to determine the extent of any problems the POD evaluation team might detect and whether they will affect the impact estimates. </w:t>
      </w:r>
    </w:p>
    <w:p w14:paraId="03FE4FF6" w14:textId="77777777" w:rsidR="00D11996" w:rsidRDefault="00D11996" w:rsidP="00D11996">
      <w:pPr>
        <w:pStyle w:val="Bullet"/>
      </w:pPr>
      <w:r w:rsidRPr="00FE48EB">
        <w:t xml:space="preserve">A </w:t>
      </w:r>
      <w:r>
        <w:rPr>
          <w:b/>
        </w:rPr>
        <w:t>p</w:t>
      </w:r>
      <w:r w:rsidRPr="006D198F">
        <w:rPr>
          <w:b/>
        </w:rPr>
        <w:t>articipation analysis</w:t>
      </w:r>
      <w:r>
        <w:t xml:space="preserve"> will examine recruitment, withdrawal, and use and nonuse of POD’s services and the benefit offset.  The first component of the analysis will compare the study subjects’ characteristics with those of nonparticipants in the recruitment pool.  The second component will compare treatment subjects who remain in their treatment with those </w:t>
      </w:r>
      <w:r>
        <w:lastRenderedPageBreak/>
        <w:t>who withdraw from it separately for the two treatment groups.  The third component will examine how beneficiaries in the treatment groups use demonstration services and the offset, including the extent to which they report earnings each month, receive benefits counseling, and earn enough to have benefits reduced or terminated under the offset.</w:t>
      </w:r>
    </w:p>
    <w:p w14:paraId="4E4E5381" w14:textId="6C620F4A" w:rsidR="00D11996" w:rsidRDefault="00D11996" w:rsidP="00D11996">
      <w:pPr>
        <w:pStyle w:val="Bullet"/>
      </w:pPr>
      <w:r w:rsidRPr="00B369E9">
        <w:t xml:space="preserve">An </w:t>
      </w:r>
      <w:r>
        <w:rPr>
          <w:b/>
        </w:rPr>
        <w:t>i</w:t>
      </w:r>
      <w:r w:rsidRPr="006D198F">
        <w:rPr>
          <w:b/>
        </w:rPr>
        <w:t>mpact analysis</w:t>
      </w:r>
      <w:r>
        <w:t xml:space="preserve"> will</w:t>
      </w:r>
      <w:r w:rsidRPr="005A76BB" w:rsidDel="002A7101">
        <w:t xml:space="preserve"> </w:t>
      </w:r>
      <w:r>
        <w:t>leverage t</w:t>
      </w:r>
      <w:r w:rsidRPr="00B56D0C" w:rsidDel="002A7101">
        <w:t xml:space="preserve">he experimental design </w:t>
      </w:r>
      <w:r>
        <w:t xml:space="preserve">to provide </w:t>
      </w:r>
      <w:r w:rsidR="007A16D8">
        <w:t>internally valid</w:t>
      </w:r>
      <w:r w:rsidR="007A16D8" w:rsidRPr="00B56D0C" w:rsidDel="002A7101">
        <w:t xml:space="preserve"> </w:t>
      </w:r>
      <w:r>
        <w:t xml:space="preserve">quantitative estimates of </w:t>
      </w:r>
      <w:r w:rsidRPr="00B56D0C" w:rsidDel="002A7101">
        <w:t xml:space="preserve">the effects of the benefit offset and benefits counseling </w:t>
      </w:r>
      <w:r>
        <w:t xml:space="preserve">on the outcomes </w:t>
      </w:r>
      <w:r w:rsidRPr="00B56D0C" w:rsidDel="002A7101">
        <w:t xml:space="preserve">of </w:t>
      </w:r>
      <w:r>
        <w:t>subject</w:t>
      </w:r>
      <w:r w:rsidRPr="00B56D0C" w:rsidDel="002A7101">
        <w:t xml:space="preserve">s. </w:t>
      </w:r>
      <w:r>
        <w:t xml:space="preserve"> Because the study is using r</w:t>
      </w:r>
      <w:r w:rsidRPr="00B56D0C" w:rsidDel="002A7101">
        <w:t>andom assignment</w:t>
      </w:r>
      <w:r>
        <w:t>,</w:t>
      </w:r>
      <w:r w:rsidRPr="00B56D0C" w:rsidDel="002A7101">
        <w:t xml:space="preserve"> the treatment and control groups </w:t>
      </w:r>
      <w:r>
        <w:t>will</w:t>
      </w:r>
      <w:r w:rsidRPr="00B56D0C" w:rsidDel="002A7101">
        <w:t xml:space="preserve"> have similar observed and unobserved characteristics, on average, </w:t>
      </w:r>
      <w:r>
        <w:t>when they enter</w:t>
      </w:r>
      <w:r w:rsidRPr="00B56D0C" w:rsidDel="002A7101">
        <w:t xml:space="preserve"> the study.</w:t>
      </w:r>
      <w:r>
        <w:t xml:space="preserve">  Hence, the evaluation’s impact estimates will provide an unbiased assessment of </w:t>
      </w:r>
      <w:r w:rsidRPr="005A76BB" w:rsidDel="002A7101">
        <w:t xml:space="preserve">whether the benefit offset can </w:t>
      </w:r>
      <w:r>
        <w:t>help</w:t>
      </w:r>
      <w:r w:rsidRPr="005A76BB" w:rsidDel="002A7101">
        <w:t xml:space="preserve"> </w:t>
      </w:r>
      <w:r>
        <w:t>SSDI</w:t>
      </w:r>
      <w:r w:rsidRPr="005A76BB" w:rsidDel="002A7101">
        <w:t xml:space="preserve"> beneficiaries </w:t>
      </w:r>
      <w:r w:rsidR="007A16D8">
        <w:t xml:space="preserve">who volunteer for the study </w:t>
      </w:r>
      <w:r>
        <w:t>achieve greater economic self</w:t>
      </w:r>
      <w:r>
        <w:noBreakHyphen/>
      </w:r>
      <w:r w:rsidRPr="005A76BB" w:rsidDel="002A7101">
        <w:t xml:space="preserve">sufficiency and other improvements in their lives. </w:t>
      </w:r>
      <w:r>
        <w:t xml:space="preserve"> In addition, information from the process and participation analyses will inform understanding of POD’s impacts, and the results from the impact evaluation will support the calculation of POD’s costs and benefits.</w:t>
      </w:r>
    </w:p>
    <w:p w14:paraId="4CF2BC3F" w14:textId="77777777" w:rsidR="007A16D8" w:rsidRDefault="00D11996" w:rsidP="00D11996">
      <w:pPr>
        <w:pStyle w:val="BulletLastSS"/>
      </w:pPr>
      <w:r w:rsidRPr="00B369E9">
        <w:t xml:space="preserve">A </w:t>
      </w:r>
      <w:r>
        <w:rPr>
          <w:b/>
        </w:rPr>
        <w:t>c</w:t>
      </w:r>
      <w:r w:rsidRPr="006D198F">
        <w:rPr>
          <w:b/>
        </w:rPr>
        <w:t>ost-benefit analysis</w:t>
      </w:r>
      <w:r>
        <w:t xml:space="preserve"> will assess whether the impacts of the POD treatments on subjects’ outcomes are large enough to justify the resources required to produce them.  By placing a dollar value on each benefit and cost of an intervention, a cost-benefit analysis can summarize in one statistic all the intervention’s diverse impacts and costs.</w:t>
      </w:r>
      <w:r w:rsidR="007A16D8">
        <w:t xml:space="preserve"> </w:t>
      </w:r>
    </w:p>
    <w:p w14:paraId="32067283" w14:textId="532D08F4" w:rsidR="00D11996" w:rsidRDefault="007A16D8" w:rsidP="007C2014">
      <w:pPr>
        <w:pStyle w:val="NormalSScontinued"/>
      </w:pPr>
      <w:r>
        <w:t>As discussed more extensively in Part A, a</w:t>
      </w:r>
      <w:r w:rsidRPr="007A16D8">
        <w:t xml:space="preserve">ny broader implications drawn </w:t>
      </w:r>
      <w:r>
        <w:t>based on the impact estimates</w:t>
      </w:r>
      <w:r w:rsidRPr="007A16D8">
        <w:t xml:space="preserve"> found in the evaluation will be undertaken cautiously due to the Public Law 114-74 requirement that the demonstration include volunteers who provide informed consent. </w:t>
      </w:r>
      <w:r w:rsidR="00FA793A">
        <w:t xml:space="preserve"> </w:t>
      </w:r>
      <w:r w:rsidRPr="007A16D8">
        <w:t>The evaluation team</w:t>
      </w:r>
      <w:r w:rsidR="00181867">
        <w:t xml:space="preserve"> will use the </w:t>
      </w:r>
      <w:r w:rsidRPr="007A16D8">
        <w:t xml:space="preserve">participation analysis </w:t>
      </w:r>
      <w:r w:rsidR="00181867">
        <w:t xml:space="preserve">to learn </w:t>
      </w:r>
      <w:r w:rsidRPr="007A16D8">
        <w:t>about the types of SSDI beneficiaries who enrolled in POD and, therefore, to whom the results are applicable.</w:t>
      </w:r>
      <w:r>
        <w:t xml:space="preserve"> </w:t>
      </w:r>
      <w:r w:rsidR="00FA793A">
        <w:t xml:space="preserve"> </w:t>
      </w:r>
      <w:r>
        <w:t xml:space="preserve">In addition, </w:t>
      </w:r>
      <w:r>
        <w:rPr>
          <w:szCs w:val="24"/>
        </w:rPr>
        <w:t xml:space="preserve">findings from the process study, participation, and impact analysis </w:t>
      </w:r>
      <w:r w:rsidRPr="0001480A">
        <w:rPr>
          <w:szCs w:val="24"/>
        </w:rPr>
        <w:t xml:space="preserve">will </w:t>
      </w:r>
      <w:r w:rsidR="00551FB1">
        <w:rPr>
          <w:szCs w:val="24"/>
        </w:rPr>
        <w:t xml:space="preserve">build a clear </w:t>
      </w:r>
      <w:r w:rsidRPr="0001480A">
        <w:rPr>
          <w:szCs w:val="24"/>
        </w:rPr>
        <w:t xml:space="preserve">understanding of potential replicability for a </w:t>
      </w:r>
      <w:r>
        <w:rPr>
          <w:szCs w:val="24"/>
        </w:rPr>
        <w:t xml:space="preserve">similar </w:t>
      </w:r>
      <w:r w:rsidRPr="0001480A">
        <w:rPr>
          <w:szCs w:val="24"/>
        </w:rPr>
        <w:t>sample of volunteers.</w:t>
      </w:r>
      <w:r w:rsidR="00FA793A">
        <w:rPr>
          <w:szCs w:val="24"/>
        </w:rPr>
        <w:t xml:space="preserve"> </w:t>
      </w:r>
      <w:r>
        <w:rPr>
          <w:szCs w:val="24"/>
        </w:rPr>
        <w:t xml:space="preserve"> </w:t>
      </w:r>
      <w:r w:rsidR="00551FB1">
        <w:rPr>
          <w:szCs w:val="24"/>
        </w:rPr>
        <w:t xml:space="preserve">Finally, </w:t>
      </w:r>
      <w:r w:rsidR="00551FB1">
        <w:t>t</w:t>
      </w:r>
      <w:r>
        <w:t>he cost-benefit analysis for POD will produce cost-effectiveness results on altering the SSDI work rules for the set of volunteers who enroll as study subjects</w:t>
      </w:r>
      <w:r w:rsidR="00551FB1">
        <w:t xml:space="preserve">, providing </w:t>
      </w:r>
      <w:r>
        <w:t xml:space="preserve">SSA with valuable information about the net costs of the demonstration.  </w:t>
      </w:r>
    </w:p>
    <w:p w14:paraId="3C63E342" w14:textId="77777777" w:rsidR="00D11996" w:rsidRPr="005D334E" w:rsidRDefault="00D11996" w:rsidP="00D11996">
      <w:pPr>
        <w:pStyle w:val="NormalSS"/>
      </w:pPr>
      <w:r w:rsidRPr="005D334E">
        <w:t xml:space="preserve">As mentioned in the Supporting Statement Part A, SSA requests clearance for five data collection efforts for POD:  </w:t>
      </w:r>
      <w:r>
        <w:t>r</w:t>
      </w:r>
      <w:r w:rsidRPr="005D334E">
        <w:t>ecruitment materials and baseline survey</w:t>
      </w:r>
      <w:r>
        <w:t>; t</w:t>
      </w:r>
      <w:r w:rsidRPr="005D334E">
        <w:t xml:space="preserve">wo follow-up surveys; </w:t>
      </w:r>
      <w:r>
        <w:t>f</w:t>
      </w:r>
      <w:r w:rsidRPr="005D334E">
        <w:t xml:space="preserve">our rounds of qualitative data from POD implementation and operations staff; </w:t>
      </w:r>
      <w:r>
        <w:t>t</w:t>
      </w:r>
      <w:r w:rsidRPr="005D334E">
        <w:t>wo rounds of semi-structured interviews with treatment group subjects</w:t>
      </w:r>
      <w:r>
        <w:t>;</w:t>
      </w:r>
      <w:r w:rsidRPr="005D334E">
        <w:t xml:space="preserve"> and two data collection</w:t>
      </w:r>
      <w:r>
        <w:t xml:space="preserve"> reporting</w:t>
      </w:r>
      <w:r w:rsidRPr="005D334E">
        <w:t xml:space="preserve"> forms for POD implementation.</w:t>
      </w:r>
    </w:p>
    <w:p w14:paraId="5F122262" w14:textId="77777777" w:rsidR="00D11996" w:rsidRPr="003A4919" w:rsidRDefault="00D11996" w:rsidP="00D11996">
      <w:pPr>
        <w:pStyle w:val="H3Alpha"/>
      </w:pPr>
      <w:bookmarkStart w:id="4" w:name="_Toc476920447"/>
      <w:r w:rsidRPr="003A4919">
        <w:t xml:space="preserve">B.1 </w:t>
      </w:r>
      <w:r>
        <w:t>Respondent universe, sampling, and expected response rates</w:t>
      </w:r>
      <w:bookmarkEnd w:id="4"/>
    </w:p>
    <w:p w14:paraId="55BDE769" w14:textId="77777777" w:rsidR="00D11996" w:rsidRDefault="00D11996" w:rsidP="00D11996">
      <w:pPr>
        <w:pStyle w:val="H4Number"/>
      </w:pPr>
      <w:bookmarkStart w:id="5" w:name="_Toc476920448"/>
      <w:r w:rsidRPr="003A4919">
        <w:t>B.1.1</w:t>
      </w:r>
      <w:r>
        <w:t>.</w:t>
      </w:r>
      <w:r w:rsidRPr="003A4919">
        <w:t xml:space="preserve"> Recruitment </w:t>
      </w:r>
      <w:r>
        <w:t xml:space="preserve">materials </w:t>
      </w:r>
      <w:r w:rsidRPr="003A4919">
        <w:t xml:space="preserve">and </w:t>
      </w:r>
      <w:r>
        <w:t>baseline survey</w:t>
      </w:r>
      <w:bookmarkEnd w:id="5"/>
    </w:p>
    <w:p w14:paraId="716390DE" w14:textId="24A25476" w:rsidR="00D11996" w:rsidRPr="00751EF2" w:rsidRDefault="00D11996" w:rsidP="00D11996">
      <w:pPr>
        <w:pStyle w:val="NormalSS"/>
      </w:pPr>
      <w:r>
        <w:t>T</w:t>
      </w:r>
      <w:r w:rsidR="002A45A8">
        <w:t xml:space="preserve">he POD implementation team </w:t>
      </w:r>
      <w:r>
        <w:t>implement</w:t>
      </w:r>
      <w:r w:rsidR="002A45A8">
        <w:t>ed</w:t>
      </w:r>
      <w:r>
        <w:t xml:space="preserve"> the demonstration </w:t>
      </w:r>
      <w:r w:rsidRPr="00D6257D">
        <w:t xml:space="preserve">in eight </w:t>
      </w:r>
      <w:r>
        <w:t>state</w:t>
      </w:r>
      <w:r w:rsidRPr="00D6257D">
        <w:t>s</w:t>
      </w:r>
      <w:r>
        <w:t xml:space="preserve">, and </w:t>
      </w:r>
      <w:r w:rsidR="0086044E">
        <w:t>the POD evaluation team</w:t>
      </w:r>
      <w:r>
        <w:t xml:space="preserve"> </w:t>
      </w:r>
      <w:r w:rsidR="00551FB1">
        <w:t>recruit</w:t>
      </w:r>
      <w:r w:rsidR="002A45A8">
        <w:t>ed</w:t>
      </w:r>
      <w:r w:rsidR="00551FB1">
        <w:t xml:space="preserve"> volunteers from a population of</w:t>
      </w:r>
      <w:r w:rsidR="00551FB1" w:rsidRPr="00D6257D">
        <w:t xml:space="preserve"> </w:t>
      </w:r>
      <w:r>
        <w:t xml:space="preserve">beneficiaries who </w:t>
      </w:r>
      <w:r w:rsidRPr="00D6257D">
        <w:t xml:space="preserve">meet the study’s </w:t>
      </w:r>
      <w:r>
        <w:t xml:space="preserve">basic </w:t>
      </w:r>
      <w:r w:rsidRPr="00D6257D">
        <w:t>eligibility criteria (described below).</w:t>
      </w:r>
      <w:r>
        <w:t xml:space="preserve"> </w:t>
      </w:r>
      <w:r w:rsidRPr="00D6257D">
        <w:t xml:space="preserve"> </w:t>
      </w:r>
      <w:r>
        <w:t>As discussed in greater detail in Section B.2, r</w:t>
      </w:r>
      <w:r w:rsidRPr="003C6D6B">
        <w:t xml:space="preserve">ecruitment for </w:t>
      </w:r>
      <w:r w:rsidR="001C65FE">
        <w:t xml:space="preserve">the </w:t>
      </w:r>
      <w:r w:rsidR="002A45A8">
        <w:t xml:space="preserve">POD demonstration </w:t>
      </w:r>
      <w:r w:rsidRPr="003C6D6B">
        <w:t>occur</w:t>
      </w:r>
      <w:r w:rsidR="002A45A8">
        <w:t>red</w:t>
      </w:r>
      <w:r w:rsidR="007C2014">
        <w:t xml:space="preserve"> over a 12</w:t>
      </w:r>
      <w:r>
        <w:t>-</w:t>
      </w:r>
      <w:r w:rsidRPr="003C6D6B">
        <w:t xml:space="preserve">month period, from </w:t>
      </w:r>
      <w:r w:rsidR="007C2014">
        <w:t>January 2018</w:t>
      </w:r>
      <w:r w:rsidRPr="003C6D6B">
        <w:t xml:space="preserve"> through th</w:t>
      </w:r>
      <w:r>
        <w:t>e end of 2018.</w:t>
      </w:r>
      <w:r w:rsidR="002A45A8">
        <w:t xml:space="preserve"> </w:t>
      </w:r>
      <w:r w:rsidR="00551FB1">
        <w:t xml:space="preserve"> </w:t>
      </w:r>
      <w:r w:rsidR="00C50DB2">
        <w:t>The following subsection</w:t>
      </w:r>
      <w:r w:rsidR="002B0253">
        <w:t>s</w:t>
      </w:r>
      <w:r w:rsidR="00C50DB2">
        <w:t xml:space="preserve"> provide more information about how the states were selected and the study volunteers w</w:t>
      </w:r>
      <w:r w:rsidR="002A45A8">
        <w:t xml:space="preserve">ere </w:t>
      </w:r>
      <w:r w:rsidR="00C50DB2">
        <w:t xml:space="preserve">recruited. </w:t>
      </w:r>
      <w:r w:rsidR="00FA793A">
        <w:t xml:space="preserve"> </w:t>
      </w:r>
      <w:r w:rsidR="00C50DB2">
        <w:t xml:space="preserve">Importantly, because states were selected in </w:t>
      </w:r>
      <w:r w:rsidR="001C65FE">
        <w:t xml:space="preserve">a </w:t>
      </w:r>
      <w:r w:rsidR="00C50DB2">
        <w:t>purpo</w:t>
      </w:r>
      <w:r w:rsidR="002A45A8">
        <w:t xml:space="preserve">sive manner and applicants </w:t>
      </w:r>
      <w:r w:rsidR="00C50DB2">
        <w:t>self-select</w:t>
      </w:r>
      <w:r w:rsidR="002A45A8">
        <w:t>ed</w:t>
      </w:r>
      <w:r w:rsidR="00C50DB2">
        <w:t xml:space="preserve"> based on an unknown mechanism, the study sample cannot be construed as being drawn from a larger target population with well-defined probabilities. </w:t>
      </w:r>
      <w:r w:rsidR="00FA793A">
        <w:t xml:space="preserve"> </w:t>
      </w:r>
      <w:r w:rsidR="00C50DB2">
        <w:t>Hence, it will not be possible to make statistical inferences about any larger population than the volunteers included in the demonstration.</w:t>
      </w:r>
    </w:p>
    <w:p w14:paraId="13B979CE" w14:textId="155678C9" w:rsidR="00D11996" w:rsidRDefault="00D11996" w:rsidP="00D11996">
      <w:pPr>
        <w:pStyle w:val="NormalSS"/>
      </w:pPr>
      <w:r>
        <w:rPr>
          <w:b/>
        </w:rPr>
        <w:t xml:space="preserve">Selection of states.  </w:t>
      </w:r>
      <w:r>
        <w:t xml:space="preserve">The POD implementation team chose the eight states implementing POD (listed previously) according to substantive and practical criteria; these states were not randomly sampled from a larger target population.  Factors </w:t>
      </w:r>
      <w:r w:rsidR="0086044E">
        <w:t>they</w:t>
      </w:r>
      <w:r>
        <w:t xml:space="preserve"> used to select these states included:  (1) having sufficient numbers of SSDI recipients to meet the demonstration’s enrollment target; (2) covering a diverse set of areas that we expect will reflect a wide range of beneficiary experiences, economic conditions, and contextual factors affecting implementation; and (3) being committed to providing work-incentive counseling, administering the offset, and delivering other services and technical assistance necessary for successful implementation of POD. </w:t>
      </w:r>
    </w:p>
    <w:p w14:paraId="4D828FB4" w14:textId="545AC55D" w:rsidR="00D11996" w:rsidRDefault="00D11996" w:rsidP="00D11996">
      <w:pPr>
        <w:pStyle w:val="NormalSS"/>
      </w:pPr>
      <w:r>
        <w:rPr>
          <w:b/>
        </w:rPr>
        <w:t>Selection of eligible beneficiaries.</w:t>
      </w:r>
      <w:r>
        <w:t xml:space="preserve">  SSA established seven basic eligibility criteria to identify SSDI beneficiaries who may qualify for the demonstration.  These criteria require that applicants to the demonstration:  (1) be currently receiving SSDI benefits or have their benefits temporarily suspended due to work; (2) be the primary recipient of SSDI benefits, as opposed to drawing benefits through another person’s entitlement; (3) be age 20 or older by the </w:t>
      </w:r>
      <w:r w:rsidR="003E4B43">
        <w:t>January 2018</w:t>
      </w:r>
      <w:r>
        <w:t xml:space="preserve"> and younger than age 62 by June 2021 (the end of the evaluation period); (4) reside in one of the eight study states; (5) are not participating in another SSA demonstration; (6) are not considered be at risk of receiving overpayments, according to a profiling model developed by SSA; and (7) do not have a pending review of continuing eligibility for SSDI benefits. </w:t>
      </w:r>
    </w:p>
    <w:p w14:paraId="24CFCB40" w14:textId="1EE37C7B" w:rsidR="00D11996" w:rsidRDefault="00D11996" w:rsidP="00D11996">
      <w:pPr>
        <w:pStyle w:val="NormalSS"/>
      </w:pPr>
      <w:r>
        <w:t>T</w:t>
      </w:r>
      <w:r w:rsidRPr="00944131">
        <w:t xml:space="preserve">he </w:t>
      </w:r>
      <w:r>
        <w:t xml:space="preserve">POD </w:t>
      </w:r>
      <w:r w:rsidRPr="00944131">
        <w:t>evaluation team</w:t>
      </w:r>
      <w:r w:rsidR="002A45A8">
        <w:t xml:space="preserve"> </w:t>
      </w:r>
      <w:r>
        <w:t>conduct</w:t>
      </w:r>
      <w:r w:rsidR="002A45A8">
        <w:t>ed</w:t>
      </w:r>
      <w:r>
        <w:t xml:space="preserve"> recruitment and outreach activities </w:t>
      </w:r>
      <w:r w:rsidR="00C50DB2">
        <w:t xml:space="preserve">to solicit volunteers from </w:t>
      </w:r>
      <w:r>
        <w:t xml:space="preserve">a </w:t>
      </w:r>
      <w:r w:rsidR="00C50DB2">
        <w:t xml:space="preserve">set </w:t>
      </w:r>
      <w:r>
        <w:t xml:space="preserve">of approximately </w:t>
      </w:r>
      <w:r w:rsidR="003E4B43">
        <w:t>42</w:t>
      </w:r>
      <w:r>
        <w:t xml:space="preserve">0,000 </w:t>
      </w:r>
      <w:r w:rsidRPr="00E950FE">
        <w:t>beneficiaries</w:t>
      </w:r>
      <w:r>
        <w:t xml:space="preserve"> identified in SSA’s </w:t>
      </w:r>
      <w:r w:rsidRPr="00DD233B">
        <w:t>program data</w:t>
      </w:r>
      <w:r>
        <w:t xml:space="preserve"> as meeting the basic eligibility requirements noted above</w:t>
      </w:r>
      <w:r w:rsidR="003E4B43">
        <w:t xml:space="preserve"> starting in January 2018</w:t>
      </w:r>
      <w:r>
        <w:t xml:space="preserve">. </w:t>
      </w:r>
      <w:r w:rsidR="002A45A8">
        <w:t xml:space="preserve"> We randomly sampled t</w:t>
      </w:r>
      <w:r w:rsidR="00C50DB2">
        <w:t>his target group for direct outreach from the program data.</w:t>
      </w:r>
      <w:r w:rsidR="002A45A8">
        <w:t xml:space="preserve"> </w:t>
      </w:r>
      <w:r>
        <w:t xml:space="preserve"> (Details about sampling methods are in Section B.2.1.1, and details about recruitment and outreach activities are in Section B.3.1.)  </w:t>
      </w:r>
      <w:r w:rsidR="00C50DB2">
        <w:t>However, the respondents who volunt</w:t>
      </w:r>
      <w:r w:rsidR="002A45A8">
        <w:t>eer for the demonstration ar</w:t>
      </w:r>
      <w:r w:rsidR="00C50DB2">
        <w:t xml:space="preserve">e a small and self-selected </w:t>
      </w:r>
      <w:r w:rsidR="004C24DD">
        <w:t xml:space="preserve">set of beneficiaries from the solicitation pool. </w:t>
      </w:r>
      <w:r w:rsidR="002A45A8">
        <w:t xml:space="preserve"> </w:t>
      </w:r>
      <w:r>
        <w:t>T</w:t>
      </w:r>
      <w:r w:rsidRPr="00944131">
        <w:t>he evaluation team</w:t>
      </w:r>
      <w:r w:rsidR="002A45A8">
        <w:t xml:space="preserve"> </w:t>
      </w:r>
      <w:r>
        <w:t>screen</w:t>
      </w:r>
      <w:r w:rsidR="002A45A8">
        <w:t>ed</w:t>
      </w:r>
      <w:r>
        <w:t xml:space="preserve"> out any volunteers who decline</w:t>
      </w:r>
      <w:r w:rsidR="002A45A8">
        <w:t>d</w:t>
      </w:r>
      <w:r>
        <w:t xml:space="preserve"> to consent; moved out of the de</w:t>
      </w:r>
      <w:r w:rsidR="002A45A8">
        <w:t>monstration catchment area; sent</w:t>
      </w:r>
      <w:r>
        <w:t xml:space="preserve"> an incomplete baseline questionnaire; or return</w:t>
      </w:r>
      <w:r w:rsidR="002A45A8">
        <w:t>ed</w:t>
      </w:r>
      <w:r>
        <w:t xml:space="preserve"> </w:t>
      </w:r>
      <w:r w:rsidR="002A45A8">
        <w:t xml:space="preserve">the forms after recruitment </w:t>
      </w:r>
      <w:r>
        <w:t>ended for the site.  T</w:t>
      </w:r>
      <w:r w:rsidRPr="00944131">
        <w:t>he evaluation team</w:t>
      </w:r>
      <w:r w:rsidR="002A45A8">
        <w:t xml:space="preserve"> expected</w:t>
      </w:r>
      <w:r w:rsidRPr="00095B06">
        <w:t xml:space="preserve"> to receive responses from 16,500 beneficiaries in total, of whom </w:t>
      </w:r>
      <w:r w:rsidR="003E4B43">
        <w:t xml:space="preserve">up to </w:t>
      </w:r>
      <w:r w:rsidRPr="00095B06">
        <w:t xml:space="preserve">15,000 </w:t>
      </w:r>
      <w:r w:rsidR="003E4B43">
        <w:t>could beco</w:t>
      </w:r>
      <w:r w:rsidR="002A45A8">
        <w:t>me</w:t>
      </w:r>
      <w:r>
        <w:t xml:space="preserve"> stud</w:t>
      </w:r>
      <w:r w:rsidR="002A45A8">
        <w:t xml:space="preserve">y “subjects,” meaning they </w:t>
      </w:r>
      <w:r w:rsidRPr="00095B06">
        <w:t>consent</w:t>
      </w:r>
      <w:r w:rsidR="002A45A8">
        <w:t>ed to participate and m</w:t>
      </w:r>
      <w:r w:rsidRPr="00095B06">
        <w:t xml:space="preserve">et all of the eligibility criteria. </w:t>
      </w:r>
      <w:r>
        <w:t xml:space="preserve"> Although </w:t>
      </w:r>
      <w:r w:rsidRPr="00944131">
        <w:t>the evaluation team</w:t>
      </w:r>
      <w:r>
        <w:t xml:space="preserve"> solicit</w:t>
      </w:r>
      <w:r w:rsidR="002A45A8">
        <w:t>ed</w:t>
      </w:r>
      <w:r>
        <w:t xml:space="preserve"> volunteers in a way that mimics hypothetical outreach efforts under a voluntary national program (see Part A for mor</w:t>
      </w:r>
      <w:r w:rsidR="002A45A8">
        <w:t xml:space="preserve">e details), study subjects </w:t>
      </w:r>
      <w:r>
        <w:t xml:space="preserve">ultimately represent a </w:t>
      </w:r>
      <w:r w:rsidR="004C24DD">
        <w:t xml:space="preserve">non-random </w:t>
      </w:r>
      <w:r>
        <w:t xml:space="preserve">subset of beneficiaries who </w:t>
      </w:r>
      <w:r w:rsidR="0086044E">
        <w:t>they</w:t>
      </w:r>
      <w:r>
        <w:t xml:space="preserve"> contacted.  Hence, the ultimate pool of subjects might not constitute a statistically representative population of SSDI beneficiaries. </w:t>
      </w:r>
    </w:p>
    <w:p w14:paraId="4668E81B" w14:textId="52808E1A" w:rsidR="00202C04" w:rsidRDefault="00202C04" w:rsidP="00202C04">
      <w:pPr>
        <w:pStyle w:val="NormalSS"/>
      </w:pPr>
      <w:r>
        <w:t xml:space="preserve">The </w:t>
      </w:r>
      <w:r w:rsidR="001C65FE">
        <w:t xml:space="preserve">members of </w:t>
      </w:r>
      <w:r w:rsidR="00A56B8E">
        <w:t xml:space="preserve">the </w:t>
      </w:r>
      <w:r w:rsidR="002A45A8">
        <w:t xml:space="preserve">POD evaluation team </w:t>
      </w:r>
      <w:r>
        <w:t>randomly assign</w:t>
      </w:r>
      <w:r w:rsidR="002A45A8">
        <w:t>ed</w:t>
      </w:r>
      <w:r>
        <w:t xml:space="preserve"> eligible study subjects </w:t>
      </w:r>
      <w:r w:rsidRPr="00095B06">
        <w:t xml:space="preserve">to the two treatment groups </w:t>
      </w:r>
      <w:r>
        <w:t>and a control group</w:t>
      </w:r>
      <w:r w:rsidRPr="00095B06">
        <w:t>.</w:t>
      </w:r>
      <w:r>
        <w:t xml:space="preserve">  Further, they structure</w:t>
      </w:r>
      <w:r w:rsidR="002A45A8">
        <w:t>d</w:t>
      </w:r>
      <w:r>
        <w:t xml:space="preserve"> the random assignment process so that they group</w:t>
      </w:r>
      <w:r w:rsidR="002A45A8">
        <w:t>ed</w:t>
      </w:r>
      <w:r>
        <w:t xml:space="preserve"> together study subjects over time and then </w:t>
      </w:r>
      <w:r w:rsidR="002A45A8">
        <w:t>assigned in batches.  This a</w:t>
      </w:r>
      <w:r>
        <w:t>llow</w:t>
      </w:r>
      <w:r w:rsidR="002A45A8">
        <w:t>ed</w:t>
      </w:r>
      <w:r>
        <w:t xml:space="preserve"> the evaluation team to stratify the random assignment process to improve the balance across study groups, as discussed in Sections B.3.1 and B.4.1.</w:t>
      </w:r>
    </w:p>
    <w:p w14:paraId="419D3A16" w14:textId="0BD744A9" w:rsidR="00202C04" w:rsidRDefault="00202C04" w:rsidP="00202C04">
      <w:pPr>
        <w:pStyle w:val="NormalSS"/>
      </w:pPr>
      <w:r>
        <w:rPr>
          <w:b/>
        </w:rPr>
        <w:t>Response rates.</w:t>
      </w:r>
      <w:r>
        <w:t xml:space="preserve"> </w:t>
      </w:r>
      <w:r w:rsidRPr="000040D0">
        <w:rPr>
          <w:rFonts w:ascii="Calibri" w:eastAsia="Calibri" w:hAnsi="Calibri"/>
          <w:sz w:val="22"/>
          <w:szCs w:val="22"/>
        </w:rPr>
        <w:t xml:space="preserve"> </w:t>
      </w:r>
      <w:r w:rsidRPr="000040D0">
        <w:t>Among study subjects, the response rate</w:t>
      </w:r>
      <w:r w:rsidR="002A45A8">
        <w:t xml:space="preserve"> for the baseline survey was</w:t>
      </w:r>
      <w:r w:rsidRPr="000040D0">
        <w:t xml:space="preserve"> 100 percent, by construction. </w:t>
      </w:r>
      <w:r w:rsidR="00FA793A">
        <w:t xml:space="preserve"> </w:t>
      </w:r>
      <w:r>
        <w:t>In this section</w:t>
      </w:r>
      <w:r w:rsidR="001C65FE">
        <w:t>,</w:t>
      </w:r>
      <w:r>
        <w:t xml:space="preserve"> we focus first on the rate of enrollment into the study, and then on those who choose to remove themselves from the study. </w:t>
      </w:r>
    </w:p>
    <w:p w14:paraId="47CA3582" w14:textId="3A442A2E" w:rsidR="00202C04" w:rsidRDefault="003E4B43" w:rsidP="00202C04">
      <w:pPr>
        <w:pStyle w:val="NormalSS"/>
      </w:pPr>
      <w:r>
        <w:t>As a starting assumption for the pilot, the POD evaluation team assumed</w:t>
      </w:r>
      <w:r w:rsidR="00202C04">
        <w:t xml:space="preserve"> a recruitment yield of </w:t>
      </w:r>
      <w:r w:rsidR="001C65FE">
        <w:t>5</w:t>
      </w:r>
      <w:r w:rsidR="00202C04">
        <w:t xml:space="preserve"> percent</w:t>
      </w:r>
      <w:r w:rsidR="009D5C12">
        <w:t>,</w:t>
      </w:r>
      <w:r w:rsidR="00202C04">
        <w:t xml:space="preserve"> based on experience from previous SSA demonstrations</w:t>
      </w:r>
      <w:r>
        <w:t xml:space="preserve"> (Wittenburg et al. 2018)</w:t>
      </w:r>
      <w:r w:rsidR="00202C04">
        <w:t>.  T</w:t>
      </w:r>
      <w:r w:rsidR="00202C04" w:rsidRPr="003A4919">
        <w:t xml:space="preserve">his estimate is lower than the </w:t>
      </w:r>
      <w:r w:rsidR="009D5C12">
        <w:t>6</w:t>
      </w:r>
      <w:r w:rsidR="00202C04" w:rsidRPr="003A4919">
        <w:t xml:space="preserve"> percent </w:t>
      </w:r>
      <w:r w:rsidR="00202C04">
        <w:t>yield</w:t>
      </w:r>
      <w:r w:rsidR="00202C04" w:rsidRPr="003A4919">
        <w:t xml:space="preserve"> from Stage 2 of the Benefit Offset National Demonstration (BOND), a demonstration with a</w:t>
      </w:r>
      <w:r w:rsidR="009D5C12">
        <w:t>n</w:t>
      </w:r>
      <w:r w:rsidR="00202C04" w:rsidRPr="003A4919">
        <w:t xml:space="preserve"> intervention and goals </w:t>
      </w:r>
      <w:r w:rsidR="009D5C12">
        <w:t>similar to those in</w:t>
      </w:r>
      <w:r w:rsidR="00202C04" w:rsidRPr="003A4919">
        <w:t xml:space="preserve"> POD.</w:t>
      </w:r>
      <w:r w:rsidR="00202C04">
        <w:t xml:space="preserve"> </w:t>
      </w:r>
      <w:r w:rsidR="00202C04" w:rsidRPr="003A4919">
        <w:t xml:space="preserve"> </w:t>
      </w:r>
      <w:r w:rsidR="002A45A8">
        <w:t>The evaluation team used</w:t>
      </w:r>
      <w:r w:rsidR="00202C04" w:rsidRPr="003A4919">
        <w:t xml:space="preserve"> a more conservative estimate for the recruitment yield for POD because the BOND offset </w:t>
      </w:r>
      <w:r w:rsidR="00202C04">
        <w:t xml:space="preserve">was </w:t>
      </w:r>
      <w:r w:rsidR="00202C04" w:rsidRPr="003A4919">
        <w:t xml:space="preserve">financially more attractive to </w:t>
      </w:r>
      <w:r w:rsidR="00202C04">
        <w:t xml:space="preserve">the </w:t>
      </w:r>
      <w:r w:rsidR="00202C04" w:rsidRPr="003A4919">
        <w:t>beneficiaries</w:t>
      </w:r>
      <w:r w:rsidR="00202C04">
        <w:t xml:space="preserve"> recruited for that demonstration</w:t>
      </w:r>
      <w:r w:rsidR="00202C04" w:rsidRPr="003A4919">
        <w:t>.</w:t>
      </w:r>
      <w:r w:rsidR="00202C04">
        <w:t xml:space="preserve">  (Sections B.3.1 and B.4.1 </w:t>
      </w:r>
      <w:r w:rsidR="009D5C12">
        <w:t>further</w:t>
      </w:r>
      <w:r w:rsidR="002A45A8">
        <w:t xml:space="preserve"> discuss efforts that we took</w:t>
      </w:r>
      <w:r w:rsidR="00202C04">
        <w:t xml:space="preserve"> to maximize recruitment yields, given the resources available for the evaluation.)  </w:t>
      </w:r>
    </w:p>
    <w:p w14:paraId="33739C10" w14:textId="12FFC210" w:rsidR="00202C04" w:rsidRDefault="00C36CD8" w:rsidP="00202C04">
      <w:pPr>
        <w:pStyle w:val="NormalSS"/>
      </w:pPr>
      <w:r>
        <w:rPr>
          <w:rFonts w:eastAsiaTheme="minorEastAsia"/>
        </w:rPr>
        <w:t>In recruitment reports to SSA, w</w:t>
      </w:r>
      <w:r w:rsidR="002A45A8">
        <w:rPr>
          <w:rFonts w:eastAsiaTheme="minorEastAsia"/>
        </w:rPr>
        <w:t xml:space="preserve">e </w:t>
      </w:r>
      <w:r>
        <w:rPr>
          <w:rFonts w:eastAsiaTheme="minorEastAsia"/>
        </w:rPr>
        <w:t>will use</w:t>
      </w:r>
      <w:r w:rsidR="00202C04">
        <w:rPr>
          <w:rFonts w:eastAsiaTheme="minorEastAsia"/>
        </w:rPr>
        <w:t xml:space="preserve"> SSA program files to provide details about how volunteers compare to those who do not volunteer.  A major advantage of SSA program files is that they </w:t>
      </w:r>
      <w:r w:rsidR="009D5C12">
        <w:rPr>
          <w:rFonts w:eastAsiaTheme="minorEastAsia"/>
        </w:rPr>
        <w:t xml:space="preserve">include </w:t>
      </w:r>
      <w:r w:rsidR="00202C04">
        <w:rPr>
          <w:rFonts w:eastAsiaTheme="minorEastAsia"/>
        </w:rPr>
        <w:t xml:space="preserve">detailed information about </w:t>
      </w:r>
      <w:r w:rsidR="00202C04" w:rsidRPr="00FF725C">
        <w:rPr>
          <w:rFonts w:eastAsiaTheme="minorEastAsia"/>
        </w:rPr>
        <w:t>beneficiar</w:t>
      </w:r>
      <w:r w:rsidR="009D5C12">
        <w:rPr>
          <w:rFonts w:eastAsiaTheme="minorEastAsia"/>
        </w:rPr>
        <w:t>ies’</w:t>
      </w:r>
      <w:r w:rsidR="00202C04" w:rsidRPr="00FF725C">
        <w:rPr>
          <w:rFonts w:eastAsiaTheme="minorEastAsia"/>
        </w:rPr>
        <w:t xml:space="preserve"> </w:t>
      </w:r>
      <w:r w:rsidR="00202C04">
        <w:rPr>
          <w:rFonts w:eastAsiaTheme="minorEastAsia"/>
        </w:rPr>
        <w:t xml:space="preserve">demographic, impairment, and program </w:t>
      </w:r>
      <w:r w:rsidR="00202C04" w:rsidRPr="00FF725C">
        <w:rPr>
          <w:rFonts w:eastAsiaTheme="minorEastAsia"/>
        </w:rPr>
        <w:t xml:space="preserve">characteristics </w:t>
      </w:r>
      <w:r w:rsidR="00202C04">
        <w:rPr>
          <w:rFonts w:eastAsiaTheme="minorEastAsia"/>
        </w:rPr>
        <w:t>on the universe of all SSDI beneficiaries.</w:t>
      </w:r>
      <w:r w:rsidR="00FA793A">
        <w:rPr>
          <w:rFonts w:eastAsiaTheme="minorEastAsia"/>
        </w:rPr>
        <w:t xml:space="preserve"> </w:t>
      </w:r>
      <w:r w:rsidR="002A45A8">
        <w:rPr>
          <w:rFonts w:eastAsiaTheme="minorEastAsia"/>
        </w:rPr>
        <w:t xml:space="preserve"> Hence, we </w:t>
      </w:r>
      <w:r w:rsidR="00202C04">
        <w:rPr>
          <w:rFonts w:eastAsiaTheme="minorEastAsia"/>
        </w:rPr>
        <w:t>have a rich source of information to understand differences between those who volunteer</w:t>
      </w:r>
      <w:r w:rsidR="002A45A8">
        <w:rPr>
          <w:rFonts w:eastAsiaTheme="minorEastAsia"/>
        </w:rPr>
        <w:t>ed, those who did</w:t>
      </w:r>
      <w:r w:rsidR="00202C04">
        <w:rPr>
          <w:rFonts w:eastAsiaTheme="minorEastAsia"/>
        </w:rPr>
        <w:t xml:space="preserve"> not respond to the survey, and those who respond</w:t>
      </w:r>
      <w:r w:rsidR="002A45A8">
        <w:rPr>
          <w:rFonts w:eastAsiaTheme="minorEastAsia"/>
        </w:rPr>
        <w:t>ed but did</w:t>
      </w:r>
      <w:r w:rsidR="00202C04">
        <w:rPr>
          <w:rFonts w:eastAsiaTheme="minorEastAsia"/>
        </w:rPr>
        <w:t xml:space="preserve"> not volunteer for the demonstration.  Our plan is to compare </w:t>
      </w:r>
      <w:r w:rsidR="00202C04" w:rsidRPr="008D712C">
        <w:rPr>
          <w:rFonts w:eastAsiaTheme="minorEastAsia"/>
        </w:rPr>
        <w:t xml:space="preserve">the demographic, impairment, and other baseline characteristics of </w:t>
      </w:r>
      <w:r w:rsidR="00202C04">
        <w:rPr>
          <w:rFonts w:eastAsiaTheme="minorEastAsia"/>
        </w:rPr>
        <w:t xml:space="preserve">study subjects to </w:t>
      </w:r>
      <w:r w:rsidR="009D5C12">
        <w:rPr>
          <w:rFonts w:eastAsiaTheme="minorEastAsia"/>
        </w:rPr>
        <w:t xml:space="preserve">those of </w:t>
      </w:r>
      <w:r w:rsidR="002A45A8">
        <w:rPr>
          <w:rFonts w:eastAsiaTheme="minorEastAsia"/>
        </w:rPr>
        <w:t>non</w:t>
      </w:r>
      <w:r w:rsidR="002A45A8">
        <w:rPr>
          <w:rFonts w:eastAsiaTheme="minorEastAsia"/>
        </w:rPr>
        <w:noBreakHyphen/>
      </w:r>
      <w:r w:rsidR="00202C04">
        <w:rPr>
          <w:rFonts w:eastAsiaTheme="minorEastAsia"/>
        </w:rPr>
        <w:t>volunteering</w:t>
      </w:r>
      <w:r w:rsidR="00202C04" w:rsidRPr="008D712C">
        <w:rPr>
          <w:rFonts w:eastAsiaTheme="minorEastAsia"/>
        </w:rPr>
        <w:t xml:space="preserve"> beneficiaries</w:t>
      </w:r>
      <w:r w:rsidR="00202C04">
        <w:rPr>
          <w:rFonts w:eastAsiaTheme="minorEastAsia"/>
        </w:rPr>
        <w:t xml:space="preserve"> in the catchment areas. </w:t>
      </w:r>
      <w:r w:rsidR="00FA793A">
        <w:rPr>
          <w:rFonts w:eastAsiaTheme="minorEastAsia"/>
        </w:rPr>
        <w:t xml:space="preserve"> </w:t>
      </w:r>
      <w:r w:rsidR="00202C04">
        <w:rPr>
          <w:rFonts w:eastAsiaTheme="minorEastAsia"/>
        </w:rPr>
        <w:t>We wi</w:t>
      </w:r>
      <w:r w:rsidR="002A45A8">
        <w:rPr>
          <w:rFonts w:eastAsiaTheme="minorEastAsia"/>
        </w:rPr>
        <w:t>ll also separately tabulate non</w:t>
      </w:r>
      <w:r w:rsidR="002A45A8">
        <w:rPr>
          <w:rFonts w:eastAsiaTheme="minorEastAsia"/>
        </w:rPr>
        <w:noBreakHyphen/>
      </w:r>
      <w:r w:rsidR="00202C04">
        <w:rPr>
          <w:rFonts w:eastAsiaTheme="minorEastAsia"/>
        </w:rPr>
        <w:t xml:space="preserve">volunteering beneficiaries who were contacted, </w:t>
      </w:r>
      <w:r w:rsidR="00A56B8E">
        <w:rPr>
          <w:rFonts w:eastAsiaTheme="minorEastAsia"/>
        </w:rPr>
        <w:t xml:space="preserve">those </w:t>
      </w:r>
      <w:r w:rsidR="009D5C12">
        <w:rPr>
          <w:rFonts w:eastAsiaTheme="minorEastAsia"/>
        </w:rPr>
        <w:t xml:space="preserve">whom the study </w:t>
      </w:r>
      <w:r w:rsidR="00202C04">
        <w:rPr>
          <w:rFonts w:eastAsiaTheme="minorEastAsia"/>
        </w:rPr>
        <w:t xml:space="preserve">attempted to contact but </w:t>
      </w:r>
      <w:r w:rsidR="009D5C12">
        <w:rPr>
          <w:rFonts w:eastAsiaTheme="minorEastAsia"/>
        </w:rPr>
        <w:t xml:space="preserve">did </w:t>
      </w:r>
      <w:r w:rsidR="00202C04">
        <w:rPr>
          <w:rFonts w:eastAsiaTheme="minorEastAsia"/>
        </w:rPr>
        <w:t xml:space="preserve">not reach, and </w:t>
      </w:r>
      <w:r w:rsidR="00A56B8E">
        <w:rPr>
          <w:rFonts w:eastAsiaTheme="minorEastAsia"/>
        </w:rPr>
        <w:t xml:space="preserve">those </w:t>
      </w:r>
      <w:r w:rsidR="009A5842">
        <w:rPr>
          <w:rFonts w:eastAsiaTheme="minorEastAsia"/>
        </w:rPr>
        <w:t xml:space="preserve">whom the study did </w:t>
      </w:r>
      <w:r w:rsidR="00202C04">
        <w:rPr>
          <w:rFonts w:eastAsiaTheme="minorEastAsia"/>
        </w:rPr>
        <w:t>not attempt</w:t>
      </w:r>
      <w:r w:rsidR="009A5842">
        <w:rPr>
          <w:rFonts w:eastAsiaTheme="minorEastAsia"/>
        </w:rPr>
        <w:t xml:space="preserve"> to contact</w:t>
      </w:r>
      <w:r w:rsidR="00202C04">
        <w:rPr>
          <w:rFonts w:eastAsiaTheme="minorEastAsia"/>
        </w:rPr>
        <w:t>.</w:t>
      </w:r>
      <w:r w:rsidR="00202C04" w:rsidRPr="008D712C">
        <w:rPr>
          <w:rFonts w:eastAsiaTheme="minorEastAsia"/>
        </w:rPr>
        <w:t xml:space="preserve"> </w:t>
      </w:r>
      <w:r w:rsidR="00FA793A">
        <w:rPr>
          <w:rFonts w:eastAsiaTheme="minorEastAsia"/>
        </w:rPr>
        <w:t xml:space="preserve"> </w:t>
      </w:r>
      <w:r w:rsidR="00202C04">
        <w:rPr>
          <w:rFonts w:eastAsiaTheme="minorEastAsia"/>
        </w:rPr>
        <w:t xml:space="preserve">These comparisons </w:t>
      </w:r>
      <w:r w:rsidR="00202C04" w:rsidRPr="008D712C">
        <w:rPr>
          <w:rFonts w:eastAsiaTheme="minorEastAsia"/>
        </w:rPr>
        <w:t xml:space="preserve">will help SSA understand </w:t>
      </w:r>
      <w:r w:rsidR="00202C04">
        <w:rPr>
          <w:rFonts w:eastAsiaTheme="minorEastAsia"/>
        </w:rPr>
        <w:t>the</w:t>
      </w:r>
      <w:r w:rsidR="00202C04" w:rsidRPr="008D712C">
        <w:rPr>
          <w:rFonts w:eastAsiaTheme="minorEastAsia"/>
        </w:rPr>
        <w:t xml:space="preserve"> ways</w:t>
      </w:r>
      <w:r w:rsidR="00202C04">
        <w:rPr>
          <w:rFonts w:eastAsiaTheme="minorEastAsia"/>
        </w:rPr>
        <w:t xml:space="preserve"> in which</w:t>
      </w:r>
      <w:r w:rsidR="00202C04" w:rsidRPr="008D712C">
        <w:rPr>
          <w:rFonts w:eastAsiaTheme="minorEastAsia"/>
        </w:rPr>
        <w:t xml:space="preserve"> POD subjects differ from all SSDI beneficiaries and therefore how lessons from POD may or may not apply to the SSDI beneficiary population.</w:t>
      </w:r>
    </w:p>
    <w:p w14:paraId="7536D180" w14:textId="40D6CE61" w:rsidR="00202C04" w:rsidRPr="004F390E" w:rsidRDefault="00202C04" w:rsidP="00202C04">
      <w:pPr>
        <w:pStyle w:val="NormalSS"/>
        <w:rPr>
          <w:color w:val="000000"/>
        </w:rPr>
      </w:pPr>
      <w:r>
        <w:t xml:space="preserve">Based on theory and </w:t>
      </w:r>
      <w:r w:rsidR="00A56B8E">
        <w:t xml:space="preserve">on </w:t>
      </w:r>
      <w:r>
        <w:t xml:space="preserve">findings from the BOND evaluation, we anticipate that </w:t>
      </w:r>
      <w:r w:rsidRPr="004F390E">
        <w:t xml:space="preserve">eventual POD subjects will disproportionately include those who are most likely to benefit from the new rules, including those </w:t>
      </w:r>
      <w:r w:rsidR="009A5842">
        <w:t>who have</w:t>
      </w:r>
      <w:r w:rsidRPr="004F390E">
        <w:t xml:space="preserve"> relatively higher benefit amounts, </w:t>
      </w:r>
      <w:r w:rsidR="009A5842">
        <w:t xml:space="preserve">have </w:t>
      </w:r>
      <w:r w:rsidRPr="004F390E">
        <w:t xml:space="preserve">more substantial earnings at baseline, </w:t>
      </w:r>
      <w:r w:rsidR="009A5842">
        <w:t xml:space="preserve">have </w:t>
      </w:r>
      <w:r w:rsidRPr="004F390E">
        <w:t>no SSI or other benefits (such as private disability insurance), and are near or past their Grace Period</w:t>
      </w:r>
      <w:r>
        <w:t>.</w:t>
      </w:r>
      <w:r w:rsidR="002A45A8">
        <w:t xml:space="preserve"> </w:t>
      </w:r>
      <w:r>
        <w:t xml:space="preserve"> Such beneficiaries</w:t>
      </w:r>
      <w:r w:rsidRPr="004F390E">
        <w:t xml:space="preserve"> will</w:t>
      </w:r>
      <w:r>
        <w:t xml:space="preserve"> generally</w:t>
      </w:r>
      <w:r w:rsidRPr="004F390E">
        <w:t xml:space="preserve"> have stronger incentives to volunteer for POD relative to other beneficiary groups.</w:t>
      </w:r>
      <w:r w:rsidR="00FA793A">
        <w:t xml:space="preserve"> </w:t>
      </w:r>
      <w:r>
        <w:t xml:space="preserve"> In addition, we expect that beneficiaries who </w:t>
      </w:r>
      <w:r w:rsidRPr="004F390E">
        <w:rPr>
          <w:color w:val="000000"/>
        </w:rPr>
        <w:t xml:space="preserve">have a severe vision impairment and, hence, a </w:t>
      </w:r>
      <w:r w:rsidRPr="00621568">
        <w:rPr>
          <w:color w:val="000000"/>
        </w:rPr>
        <w:t>higher blind SGA amount will have less incentive to participate</w:t>
      </w:r>
      <w:r w:rsidR="00A56B8E">
        <w:rPr>
          <w:color w:val="000000"/>
        </w:rPr>
        <w:t>,</w:t>
      </w:r>
      <w:r w:rsidRPr="00621568">
        <w:rPr>
          <w:color w:val="000000"/>
        </w:rPr>
        <w:t xml:space="preserve"> given the adv</w:t>
      </w:r>
      <w:r>
        <w:rPr>
          <w:color w:val="000000"/>
        </w:rPr>
        <w:t xml:space="preserve">antages of the higher SGA amount under current rules relative to the </w:t>
      </w:r>
      <w:r w:rsidRPr="005D695F">
        <w:rPr>
          <w:color w:val="000000"/>
        </w:rPr>
        <w:t>TWP amounts in POD.</w:t>
      </w:r>
    </w:p>
    <w:p w14:paraId="53100479" w14:textId="5BE57741" w:rsidR="00202C04" w:rsidRDefault="00202C04" w:rsidP="00202C04">
      <w:pPr>
        <w:pStyle w:val="NormalSS"/>
      </w:pPr>
      <w:r w:rsidRPr="004F390E">
        <w:t>The differences in volunteer rates by characteristics and, specifically, our inability to observe impacts for non</w:t>
      </w:r>
      <w:r w:rsidR="00394B90">
        <w:t>-</w:t>
      </w:r>
      <w:r w:rsidRPr="004F390E">
        <w:t xml:space="preserve">volunteers, </w:t>
      </w:r>
      <w:r w:rsidR="00A56B8E">
        <w:t>are</w:t>
      </w:r>
      <w:r w:rsidRPr="004F390E">
        <w:t xml:space="preserve"> important for interpreting impact findings, especially in </w:t>
      </w:r>
      <w:r>
        <w:t xml:space="preserve">noting the limitations of </w:t>
      </w:r>
      <w:r w:rsidRPr="004F390E">
        <w:t xml:space="preserve">generalizing </w:t>
      </w:r>
      <w:r>
        <w:t>beyond the study sample</w:t>
      </w:r>
      <w:r w:rsidRPr="004F390E">
        <w:t xml:space="preserve">. </w:t>
      </w:r>
      <w:r w:rsidR="00FA793A">
        <w:t xml:space="preserve"> </w:t>
      </w:r>
      <w:r w:rsidRPr="004F390E">
        <w:t>For instance, theory predicts that some beneficiaries who earn between the TWP and the SGA amounts under current law will choose to work less under POD, but we might not observe such behavior among volunteers, because such beneficiaries are unlikely to volunteer in the first place.</w:t>
      </w:r>
      <w:r w:rsidR="00FA793A">
        <w:t xml:space="preserve"> </w:t>
      </w:r>
      <w:r w:rsidRPr="004F390E">
        <w:t xml:space="preserve"> Hence, </w:t>
      </w:r>
      <w:r>
        <w:t xml:space="preserve">any attempt to draw broader conclusions about the impacts based on the POD evaluation findings must </w:t>
      </w:r>
      <w:r w:rsidR="00394B90">
        <w:t xml:space="preserve">carry a </w:t>
      </w:r>
      <w:r>
        <w:t xml:space="preserve">caveat based on the </w:t>
      </w:r>
      <w:r w:rsidRPr="004F390E">
        <w:t>unobserved impacts for this group</w:t>
      </w:r>
      <w:r>
        <w:t xml:space="preserve"> that </w:t>
      </w:r>
      <w:r w:rsidR="00394B90">
        <w:t>are</w:t>
      </w:r>
      <w:r>
        <w:t xml:space="preserve"> not represented in the study.  </w:t>
      </w:r>
    </w:p>
    <w:p w14:paraId="2888823B" w14:textId="0D1CD18E" w:rsidR="00202C04" w:rsidRDefault="00202C04" w:rsidP="00202C04">
      <w:pPr>
        <w:pStyle w:val="NormalSS"/>
      </w:pPr>
      <w:r>
        <w:t xml:space="preserve">Despite these limitations, the demonstration findings will provide information on how those who do volunteer benefit from </w:t>
      </w:r>
      <w:r w:rsidR="001304EE">
        <w:t>the new POD rules</w:t>
      </w:r>
      <w:r>
        <w:t xml:space="preserve">, which has important implications for assessing potential replicability or scalability. </w:t>
      </w:r>
      <w:r w:rsidR="00FA793A">
        <w:t xml:space="preserve"> </w:t>
      </w:r>
      <w:r w:rsidR="001304EE">
        <w:t xml:space="preserve">The impact findings will provide important information on whether the new rules result in earnings increases or benefit decreases for the subset of beneficiaries, which provides insights to POD as a proof of concept.  </w:t>
      </w:r>
      <w:r>
        <w:t>Additionally, the process</w:t>
      </w:r>
      <w:r w:rsidR="00787D9B">
        <w:t>-</w:t>
      </w:r>
      <w:r>
        <w:t xml:space="preserve">related findings will provide insights into how the simplified operations change the administration of benefits, which might inform broader changes in policy that could be tested in a subsequent evaluation. </w:t>
      </w:r>
    </w:p>
    <w:p w14:paraId="405BB126" w14:textId="2E72C867" w:rsidR="00202C04" w:rsidRDefault="002E1D87" w:rsidP="00202C04">
      <w:pPr>
        <w:pStyle w:val="NormalSS"/>
      </w:pPr>
      <w:r>
        <w:t xml:space="preserve">Following enrollment, we </w:t>
      </w:r>
      <w:r w:rsidR="00202C04">
        <w:t>track attrition from the evaluation.  Attrition occurs when demonstration subject</w:t>
      </w:r>
      <w:r w:rsidR="00787D9B">
        <w:t>s</w:t>
      </w:r>
      <w:r w:rsidR="00202C04">
        <w:t xml:space="preserve"> contact the evaluation team and ask </w:t>
      </w:r>
      <w:r w:rsidR="00787D9B">
        <w:t xml:space="preserve">the team not to include </w:t>
      </w:r>
      <w:r w:rsidR="00202C04">
        <w:t xml:space="preserve">their </w:t>
      </w:r>
      <w:r w:rsidR="00706926">
        <w:t>data in</w:t>
      </w:r>
      <w:r w:rsidR="00202C04">
        <w:t xml:space="preserve"> the evaluation when they leave services.  </w:t>
      </w:r>
      <w:r w:rsidR="00202C04" w:rsidRPr="00307AC4">
        <w:rPr>
          <w:color w:val="000000" w:themeColor="text1"/>
        </w:rPr>
        <w:t xml:space="preserve">Evidence from previous Stage 2 BOND findings indicates that </w:t>
      </w:r>
      <w:r w:rsidR="00202C04">
        <w:rPr>
          <w:color w:val="000000" w:themeColor="text1"/>
        </w:rPr>
        <w:t xml:space="preserve">0.7 </w:t>
      </w:r>
      <w:r w:rsidR="00202C04" w:rsidRPr="00307AC4">
        <w:rPr>
          <w:color w:val="000000" w:themeColor="text1"/>
        </w:rPr>
        <w:t xml:space="preserve">percent of treatment subjects voluntarily withdrew from </w:t>
      </w:r>
      <w:r w:rsidR="00202C04">
        <w:rPr>
          <w:color w:val="000000" w:themeColor="text1"/>
        </w:rPr>
        <w:t xml:space="preserve">the evaluation </w:t>
      </w:r>
      <w:r w:rsidR="00202C04" w:rsidRPr="00307AC4">
        <w:rPr>
          <w:color w:val="000000" w:themeColor="text1"/>
        </w:rPr>
        <w:t>five years following enrollment.</w:t>
      </w:r>
      <w:r w:rsidR="00202C04">
        <w:rPr>
          <w:color w:val="000000" w:themeColor="text1"/>
        </w:rPr>
        <w:t xml:space="preserve">  Other SSA demonstrations have had similarly low attrition rates.  In part, this reflects a major advantage of using administrative records in the evaluation</w:t>
      </w:r>
      <w:r w:rsidR="00787D9B">
        <w:rPr>
          <w:color w:val="000000" w:themeColor="text1"/>
        </w:rPr>
        <w:t>,</w:t>
      </w:r>
      <w:r w:rsidR="00202C04">
        <w:rPr>
          <w:color w:val="000000" w:themeColor="text1"/>
        </w:rPr>
        <w:t xml:space="preserve"> given </w:t>
      </w:r>
      <w:r w:rsidR="00787D9B">
        <w:rPr>
          <w:color w:val="000000" w:themeColor="text1"/>
        </w:rPr>
        <w:t xml:space="preserve">that </w:t>
      </w:r>
      <w:r w:rsidR="00202C04">
        <w:rPr>
          <w:color w:val="000000" w:themeColor="text1"/>
        </w:rPr>
        <w:t>administrative data are regularly updated for all beneficiaries and do not deter study subjects from participating in the way that survey</w:t>
      </w:r>
      <w:r w:rsidR="001304EE">
        <w:rPr>
          <w:color w:val="000000" w:themeColor="text1"/>
        </w:rPr>
        <w:t xml:space="preserve"> data</w:t>
      </w:r>
      <w:r w:rsidR="00202C04">
        <w:rPr>
          <w:color w:val="000000" w:themeColor="text1"/>
        </w:rPr>
        <w:t xml:space="preserve"> can.  </w:t>
      </w:r>
    </w:p>
    <w:p w14:paraId="3F5B1DA6" w14:textId="23B18C58" w:rsidR="00D70BA6" w:rsidRDefault="00202C04" w:rsidP="00202C04">
      <w:pPr>
        <w:pStyle w:val="NormalSS"/>
      </w:pPr>
      <w:r>
        <w:t>It is important to note that a special feature of POD is the requirement of P</w:t>
      </w:r>
      <w:r w:rsidRPr="00444C2E">
        <w:t>ublic Law 114-74</w:t>
      </w:r>
      <w:r>
        <w:t xml:space="preserve"> that allows treatment subjects to revert back to current law at any point, which we refer to as </w:t>
      </w:r>
      <w:r w:rsidR="009266B4">
        <w:t>“</w:t>
      </w:r>
      <w:r>
        <w:t>service withdrawals.”  Service withdrawal from treatment services occurs when a treatment subject asks to revert to current law.</w:t>
      </w:r>
      <w:r w:rsidR="00FA793A">
        <w:t xml:space="preserve"> </w:t>
      </w:r>
      <w:r>
        <w:t xml:space="preserve"> </w:t>
      </w:r>
      <w:r w:rsidRPr="00307AC4">
        <w:rPr>
          <w:color w:val="000000" w:themeColor="text1"/>
        </w:rPr>
        <w:t>The incentives for T2 subjects to withdraw are especially important because it is possible some might enter the demonstration with the opportunity to receive the protection from termination under the T1 treatment and subsequently drop out if they are randomly assigned to T2.</w:t>
      </w:r>
      <w:r>
        <w:rPr>
          <w:color w:val="000000" w:themeColor="text1"/>
        </w:rPr>
        <w:t xml:space="preserve">  Consequently, service withdrawals are an important outcome for the evaluation. </w:t>
      </w:r>
      <w:r w:rsidR="00FA793A">
        <w:rPr>
          <w:color w:val="000000" w:themeColor="text1"/>
        </w:rPr>
        <w:t xml:space="preserve"> </w:t>
      </w:r>
      <w:r>
        <w:rPr>
          <w:color w:val="000000" w:themeColor="text1"/>
        </w:rPr>
        <w:t xml:space="preserve">When </w:t>
      </w:r>
      <w:r w:rsidR="00787D9B">
        <w:rPr>
          <w:color w:val="000000" w:themeColor="text1"/>
        </w:rPr>
        <w:t>people</w:t>
      </w:r>
      <w:r>
        <w:rPr>
          <w:color w:val="000000" w:themeColor="text1"/>
        </w:rPr>
        <w:t xml:space="preserve"> withdraw from services, we will continue to track their outcomes in administrative records unless they request to no longer be part of the evaluation when they withdraw from the treatment arm (as noted above, it is relatively rare to ask to withdraw from the evaluation completely). </w:t>
      </w:r>
      <w:r w:rsidR="00FA793A">
        <w:rPr>
          <w:color w:val="000000" w:themeColor="text1"/>
        </w:rPr>
        <w:t xml:space="preserve"> </w:t>
      </w:r>
      <w:r>
        <w:rPr>
          <w:color w:val="000000" w:themeColor="text1"/>
        </w:rPr>
        <w:t>Based on incentives, w</w:t>
      </w:r>
      <w:r w:rsidRPr="00307AC4">
        <w:rPr>
          <w:color w:val="000000" w:themeColor="text1"/>
        </w:rPr>
        <w:t xml:space="preserve">e expect the </w:t>
      </w:r>
      <w:r>
        <w:rPr>
          <w:color w:val="000000" w:themeColor="text1"/>
        </w:rPr>
        <w:t xml:space="preserve">service </w:t>
      </w:r>
      <w:r w:rsidRPr="00307AC4">
        <w:rPr>
          <w:color w:val="000000" w:themeColor="text1"/>
        </w:rPr>
        <w:t xml:space="preserve">withdrawal rate </w:t>
      </w:r>
      <w:r>
        <w:rPr>
          <w:color w:val="000000" w:themeColor="text1"/>
        </w:rPr>
        <w:t xml:space="preserve">for T1 to be higher than </w:t>
      </w:r>
      <w:r w:rsidR="004C75EC">
        <w:rPr>
          <w:color w:val="000000" w:themeColor="text1"/>
        </w:rPr>
        <w:t xml:space="preserve">for </w:t>
      </w:r>
      <w:r>
        <w:rPr>
          <w:color w:val="000000" w:themeColor="text1"/>
        </w:rPr>
        <w:t>the T2 group, though the magnitude of the difference is an empirical question that the demonstration will answer</w:t>
      </w:r>
      <w:r w:rsidRPr="00307AC4">
        <w:rPr>
          <w:color w:val="000000" w:themeColor="text1"/>
        </w:rPr>
        <w:t>.</w:t>
      </w:r>
      <w:r w:rsidR="00FA793A">
        <w:rPr>
          <w:color w:val="000000" w:themeColor="text1"/>
        </w:rPr>
        <w:t xml:space="preserve"> </w:t>
      </w:r>
      <w:r>
        <w:rPr>
          <w:color w:val="000000" w:themeColor="text1"/>
        </w:rPr>
        <w:t xml:space="preserve"> Understanding the degree of service withdrawals is important </w:t>
      </w:r>
      <w:r w:rsidR="004C75EC">
        <w:rPr>
          <w:color w:val="000000" w:themeColor="text1"/>
        </w:rPr>
        <w:t>for</w:t>
      </w:r>
      <w:r>
        <w:rPr>
          <w:color w:val="000000" w:themeColor="text1"/>
        </w:rPr>
        <w:t xml:space="preserve"> addressing the Congressional requirements for service withdrawals.  This information is also important </w:t>
      </w:r>
      <w:r w:rsidR="004C75EC">
        <w:rPr>
          <w:color w:val="000000" w:themeColor="text1"/>
        </w:rPr>
        <w:t>to</w:t>
      </w:r>
      <w:r>
        <w:rPr>
          <w:color w:val="000000" w:themeColor="text1"/>
        </w:rPr>
        <w:t xml:space="preserve"> inform SSA designs for work incentives as it provides some indication of how willing people might be to continue with services if termination is still possible, which we can test by comparing withdrawal rates between the T1 and T2 groups.</w:t>
      </w:r>
    </w:p>
    <w:p w14:paraId="64B43056" w14:textId="77777777" w:rsidR="00D11996" w:rsidRDefault="00D11996" w:rsidP="00D11996">
      <w:pPr>
        <w:pStyle w:val="H4Number"/>
      </w:pPr>
      <w:bookmarkStart w:id="6" w:name="_Toc476920449"/>
      <w:r>
        <w:t>B.1.2. Follow-up surveys</w:t>
      </w:r>
      <w:bookmarkEnd w:id="6"/>
    </w:p>
    <w:p w14:paraId="6FAF3F96" w14:textId="3C833FD3" w:rsidR="00D11996" w:rsidRPr="00E273AA" w:rsidRDefault="00D11996" w:rsidP="00D11996">
      <w:pPr>
        <w:pStyle w:val="NormalSS"/>
      </w:pPr>
      <w:r>
        <w:t>Both of the two follow-up surveys will yield information about the outcomes of a target population consisting of the</w:t>
      </w:r>
      <w:r w:rsidR="003D44DC">
        <w:t xml:space="preserve"> up to</w:t>
      </w:r>
      <w:r>
        <w:t xml:space="preserve"> 15,000 study subjects enrolled in the demonstration.  T</w:t>
      </w:r>
      <w:r w:rsidRPr="006373B0">
        <w:t xml:space="preserve">he </w:t>
      </w:r>
      <w:r>
        <w:t xml:space="preserve">POD </w:t>
      </w:r>
      <w:r w:rsidRPr="006373B0">
        <w:t>evaluation team</w:t>
      </w:r>
      <w:r>
        <w:t xml:space="preserve"> will field the Year 1 survey to a 50-percent subsample, as discussed in Section B.2.1.2. T</w:t>
      </w:r>
      <w:r w:rsidRPr="006373B0">
        <w:t>he evaluation team</w:t>
      </w:r>
      <w:r>
        <w:t xml:space="preserve"> will field the Year 2 survey to all </w:t>
      </w:r>
      <w:r w:rsidR="003D44DC">
        <w:t>study</w:t>
      </w:r>
      <w:r>
        <w:t xml:space="preserve"> subjects</w:t>
      </w:r>
      <w:r w:rsidR="003D44DC">
        <w:t xml:space="preserve"> (i.e., up to 15,000 subjects)</w:t>
      </w:r>
      <w:r>
        <w:t xml:space="preserve">.  They expect to achieve at an 80 percent response rate for both surveys. </w:t>
      </w:r>
    </w:p>
    <w:p w14:paraId="3127505C" w14:textId="77777777" w:rsidR="00D11996" w:rsidRPr="00D4625D" w:rsidRDefault="00D11996" w:rsidP="00D11996">
      <w:pPr>
        <w:pStyle w:val="H4Number"/>
      </w:pPr>
      <w:bookmarkStart w:id="7" w:name="_Toc476920450"/>
      <w:r w:rsidRPr="00D4625D">
        <w:t>B.1.3. Qualitative data from POD implementation and operations staff</w:t>
      </w:r>
      <w:bookmarkEnd w:id="7"/>
    </w:p>
    <w:p w14:paraId="4C429E6E" w14:textId="688EB0E5" w:rsidR="00D11996" w:rsidRPr="000D72A2" w:rsidRDefault="00D11996" w:rsidP="00D11996">
      <w:pPr>
        <w:pStyle w:val="NormalSS"/>
        <w:rPr>
          <w:szCs w:val="24"/>
        </w:rPr>
      </w:pPr>
      <w:r>
        <w:t xml:space="preserve">As discussed in Part A, </w:t>
      </w:r>
      <w:r w:rsidRPr="006373B0">
        <w:t xml:space="preserve">the </w:t>
      </w:r>
      <w:r>
        <w:t xml:space="preserve">POD </w:t>
      </w:r>
      <w:r w:rsidRPr="006373B0">
        <w:t>evaluation team</w:t>
      </w:r>
      <w:r>
        <w:t xml:space="preserve"> will conduct four rounds of qualitative</w:t>
      </w:r>
      <w:r w:rsidRPr="00A10FC1">
        <w:t xml:space="preserve"> data collection</w:t>
      </w:r>
      <w:r>
        <w:t>,</w:t>
      </w:r>
      <w:r w:rsidRPr="00A10FC1">
        <w:t xml:space="preserve"> </w:t>
      </w:r>
      <w:r>
        <w:t xml:space="preserve">one </w:t>
      </w:r>
      <w:r w:rsidRPr="00A10FC1">
        <w:t xml:space="preserve">in each of the first four years of the evaluation. </w:t>
      </w:r>
      <w:r>
        <w:t xml:space="preserve"> In rounds 1 and 3, </w:t>
      </w:r>
      <w:r>
        <w:rPr>
          <w:szCs w:val="24"/>
        </w:rPr>
        <w:t>the evaluation team</w:t>
      </w:r>
      <w:r w:rsidRPr="00A15782">
        <w:rPr>
          <w:szCs w:val="24"/>
        </w:rPr>
        <w:t xml:space="preserve"> </w:t>
      </w:r>
      <w:r>
        <w:rPr>
          <w:szCs w:val="24"/>
        </w:rPr>
        <w:t>conduct</w:t>
      </w:r>
      <w:r w:rsidR="002E1D87">
        <w:rPr>
          <w:szCs w:val="24"/>
        </w:rPr>
        <w:t>s</w:t>
      </w:r>
      <w:r w:rsidRPr="00A15782">
        <w:rPr>
          <w:szCs w:val="24"/>
        </w:rPr>
        <w:t xml:space="preserve"> in-person interviews during site </w:t>
      </w:r>
      <w:r>
        <w:rPr>
          <w:szCs w:val="24"/>
        </w:rPr>
        <w:t>visits; in rounds 2 and 4 (the interim years between site visits)</w:t>
      </w:r>
      <w:r w:rsidRPr="00A15782">
        <w:rPr>
          <w:szCs w:val="24"/>
        </w:rPr>
        <w:t xml:space="preserve"> </w:t>
      </w:r>
      <w:r>
        <w:rPr>
          <w:szCs w:val="24"/>
        </w:rPr>
        <w:t xml:space="preserve">they will conduct </w:t>
      </w:r>
      <w:r w:rsidRPr="00A15782">
        <w:rPr>
          <w:szCs w:val="24"/>
        </w:rPr>
        <w:t xml:space="preserve">telephone interviews. </w:t>
      </w:r>
      <w:r>
        <w:rPr>
          <w:szCs w:val="24"/>
        </w:rPr>
        <w:t xml:space="preserve"> </w:t>
      </w:r>
      <w:r w:rsidRPr="00A15782">
        <w:rPr>
          <w:szCs w:val="24"/>
        </w:rPr>
        <w:t>Although</w:t>
      </w:r>
      <w:r>
        <w:rPr>
          <w:szCs w:val="24"/>
        </w:rPr>
        <w:t>,</w:t>
      </w:r>
      <w:r w:rsidRPr="00A15782">
        <w:rPr>
          <w:szCs w:val="24"/>
        </w:rPr>
        <w:t xml:space="preserve"> </w:t>
      </w:r>
      <w:r w:rsidRPr="006373B0">
        <w:rPr>
          <w:szCs w:val="24"/>
        </w:rPr>
        <w:t>the evaluation team</w:t>
      </w:r>
      <w:r>
        <w:rPr>
          <w:szCs w:val="24"/>
        </w:rPr>
        <w:t xml:space="preserve"> </w:t>
      </w:r>
      <w:r w:rsidRPr="00A15782">
        <w:rPr>
          <w:szCs w:val="24"/>
        </w:rPr>
        <w:t>conduct</w:t>
      </w:r>
      <w:r w:rsidR="00186ACF">
        <w:rPr>
          <w:szCs w:val="24"/>
        </w:rPr>
        <w:t>s</w:t>
      </w:r>
      <w:r w:rsidRPr="000D72A2">
        <w:rPr>
          <w:szCs w:val="24"/>
        </w:rPr>
        <w:t xml:space="preserve"> in-person visits for rounds 1 and 3 of data collection, </w:t>
      </w:r>
      <w:r>
        <w:rPr>
          <w:szCs w:val="24"/>
        </w:rPr>
        <w:t xml:space="preserve">they </w:t>
      </w:r>
      <w:r w:rsidRPr="000D72A2">
        <w:rPr>
          <w:szCs w:val="24"/>
        </w:rPr>
        <w:t xml:space="preserve">will collect information by telephone </w:t>
      </w:r>
      <w:r>
        <w:rPr>
          <w:szCs w:val="24"/>
        </w:rPr>
        <w:t xml:space="preserve">to reduce the costs of data collection </w:t>
      </w:r>
      <w:r w:rsidRPr="000D72A2">
        <w:rPr>
          <w:szCs w:val="24"/>
        </w:rPr>
        <w:t xml:space="preserve">in these rounds if </w:t>
      </w:r>
      <w:r w:rsidR="0086044E">
        <w:rPr>
          <w:szCs w:val="24"/>
        </w:rPr>
        <w:t>they find key informants</w:t>
      </w:r>
      <w:r w:rsidRPr="000D72A2">
        <w:rPr>
          <w:szCs w:val="24"/>
        </w:rPr>
        <w:t xml:space="preserve"> geographically dispersed.</w:t>
      </w:r>
      <w:r>
        <w:rPr>
          <w:szCs w:val="24"/>
        </w:rPr>
        <w:t xml:space="preserve"> </w:t>
      </w:r>
      <w:r w:rsidRPr="000D72A2">
        <w:rPr>
          <w:szCs w:val="24"/>
        </w:rPr>
        <w:t xml:space="preserve"> POD sites will </w:t>
      </w:r>
      <w:r>
        <w:rPr>
          <w:szCs w:val="24"/>
        </w:rPr>
        <w:t xml:space="preserve">likely </w:t>
      </w:r>
      <w:r w:rsidRPr="000D72A2">
        <w:rPr>
          <w:szCs w:val="24"/>
        </w:rPr>
        <w:t>vary in geographic location, organization, and staffing arrangements, so the specific number of interviews might vary across sites.</w:t>
      </w:r>
      <w:r>
        <w:rPr>
          <w:szCs w:val="24"/>
        </w:rPr>
        <w:t xml:space="preserve"> </w:t>
      </w:r>
      <w:r w:rsidRPr="000D72A2">
        <w:rPr>
          <w:szCs w:val="24"/>
        </w:rPr>
        <w:t xml:space="preserve"> </w:t>
      </w:r>
      <w:r>
        <w:rPr>
          <w:szCs w:val="24"/>
        </w:rPr>
        <w:t>T</w:t>
      </w:r>
      <w:r w:rsidRPr="006373B0">
        <w:rPr>
          <w:szCs w:val="24"/>
        </w:rPr>
        <w:t>he evaluation team</w:t>
      </w:r>
      <w:r>
        <w:rPr>
          <w:szCs w:val="24"/>
        </w:rPr>
        <w:t xml:space="preserve"> </w:t>
      </w:r>
      <w:r w:rsidRPr="000D72A2">
        <w:rPr>
          <w:szCs w:val="24"/>
        </w:rPr>
        <w:t>expect</w:t>
      </w:r>
      <w:r>
        <w:rPr>
          <w:szCs w:val="24"/>
        </w:rPr>
        <w:t>s</w:t>
      </w:r>
      <w:r w:rsidRPr="000D72A2">
        <w:rPr>
          <w:szCs w:val="24"/>
        </w:rPr>
        <w:t xml:space="preserve"> to interview an average of 5 respondents at each site for a tot</w:t>
      </w:r>
      <w:r>
        <w:rPr>
          <w:szCs w:val="24"/>
        </w:rPr>
        <w:t>al of 40 each round (160 total)</w:t>
      </w:r>
      <w:r w:rsidRPr="000D72A2">
        <w:rPr>
          <w:szCs w:val="24"/>
        </w:rPr>
        <w:t xml:space="preserve">. </w:t>
      </w:r>
    </w:p>
    <w:p w14:paraId="32C4C6F7" w14:textId="653E67B9" w:rsidR="00D11996" w:rsidRPr="00A15782" w:rsidRDefault="00D11996" w:rsidP="00D11996">
      <w:pPr>
        <w:pStyle w:val="NormalSS"/>
        <w:rPr>
          <w:szCs w:val="24"/>
        </w:rPr>
      </w:pPr>
      <w:r>
        <w:rPr>
          <w:szCs w:val="24"/>
        </w:rPr>
        <w:t>T</w:t>
      </w:r>
      <w:r w:rsidRPr="006373B0">
        <w:rPr>
          <w:szCs w:val="24"/>
        </w:rPr>
        <w:t>he evaluation team</w:t>
      </w:r>
      <w:r w:rsidR="00186ACF">
        <w:rPr>
          <w:szCs w:val="24"/>
        </w:rPr>
        <w:t xml:space="preserve"> </w:t>
      </w:r>
      <w:r w:rsidRPr="000D72A2">
        <w:rPr>
          <w:szCs w:val="24"/>
        </w:rPr>
        <w:t>purposively select</w:t>
      </w:r>
      <w:r w:rsidR="00186ACF">
        <w:rPr>
          <w:szCs w:val="24"/>
        </w:rPr>
        <w:t>s</w:t>
      </w:r>
      <w:r w:rsidRPr="000D72A2">
        <w:rPr>
          <w:szCs w:val="24"/>
        </w:rPr>
        <w:t xml:space="preserve"> these respondents from within the eight POD states to provide information about an array of implementation experiences. </w:t>
      </w:r>
      <w:r>
        <w:rPr>
          <w:szCs w:val="24"/>
        </w:rPr>
        <w:t xml:space="preserve"> </w:t>
      </w:r>
      <w:r w:rsidR="00186ACF">
        <w:rPr>
          <w:szCs w:val="24"/>
        </w:rPr>
        <w:t xml:space="preserve">They </w:t>
      </w:r>
      <w:r w:rsidR="0086044E">
        <w:rPr>
          <w:szCs w:val="24"/>
        </w:rPr>
        <w:t>select r</w:t>
      </w:r>
      <w:r w:rsidRPr="000D72A2">
        <w:rPr>
          <w:szCs w:val="24"/>
        </w:rPr>
        <w:t>espondents based on their role and knowledge of POD at each s</w:t>
      </w:r>
      <w:r>
        <w:rPr>
          <w:szCs w:val="24"/>
        </w:rPr>
        <w:t>tage of project implementation.  T</w:t>
      </w:r>
      <w:r w:rsidRPr="000D72A2">
        <w:rPr>
          <w:szCs w:val="24"/>
        </w:rPr>
        <w:t>hus specific responde</w:t>
      </w:r>
      <w:r>
        <w:rPr>
          <w:szCs w:val="24"/>
        </w:rPr>
        <w:t xml:space="preserve">nts selected may vary by round; </w:t>
      </w:r>
      <w:r w:rsidRPr="000D72A2">
        <w:rPr>
          <w:szCs w:val="24"/>
        </w:rPr>
        <w:t xml:space="preserve">however, </w:t>
      </w:r>
      <w:r w:rsidRPr="006373B0">
        <w:rPr>
          <w:szCs w:val="24"/>
        </w:rPr>
        <w:t>the evaluation team</w:t>
      </w:r>
      <w:r>
        <w:rPr>
          <w:szCs w:val="24"/>
        </w:rPr>
        <w:t xml:space="preserve"> expects them </w:t>
      </w:r>
      <w:r w:rsidRPr="000D72A2">
        <w:rPr>
          <w:szCs w:val="24"/>
        </w:rPr>
        <w:t xml:space="preserve">to include the VR agency director, POD work incentives counselor, </w:t>
      </w:r>
      <w:r>
        <w:rPr>
          <w:szCs w:val="24"/>
        </w:rPr>
        <w:t xml:space="preserve">staff at </w:t>
      </w:r>
      <w:r w:rsidRPr="000D72A2">
        <w:rPr>
          <w:szCs w:val="24"/>
        </w:rPr>
        <w:t>VR agenc</w:t>
      </w:r>
      <w:r>
        <w:rPr>
          <w:szCs w:val="24"/>
        </w:rPr>
        <w:t>ies or other state implementation partners</w:t>
      </w:r>
      <w:r w:rsidRPr="000D72A2">
        <w:rPr>
          <w:szCs w:val="24"/>
        </w:rPr>
        <w:t xml:space="preserve">, technical assistance provider, and </w:t>
      </w:r>
      <w:r>
        <w:rPr>
          <w:szCs w:val="24"/>
        </w:rPr>
        <w:t xml:space="preserve">additional </w:t>
      </w:r>
      <w:r w:rsidRPr="000D72A2">
        <w:rPr>
          <w:szCs w:val="24"/>
        </w:rPr>
        <w:t>program partners</w:t>
      </w:r>
      <w:r>
        <w:rPr>
          <w:szCs w:val="24"/>
        </w:rPr>
        <w:t xml:space="preserve"> identified by the POD implementation team</w:t>
      </w:r>
      <w:r w:rsidRPr="000D72A2">
        <w:rPr>
          <w:szCs w:val="24"/>
        </w:rPr>
        <w:t xml:space="preserve">. </w:t>
      </w:r>
      <w:r>
        <w:rPr>
          <w:szCs w:val="24"/>
        </w:rPr>
        <w:t xml:space="preserve"> T</w:t>
      </w:r>
      <w:r w:rsidRPr="006373B0">
        <w:rPr>
          <w:szCs w:val="24"/>
        </w:rPr>
        <w:t>he evaluation team</w:t>
      </w:r>
      <w:r w:rsidRPr="000D72A2">
        <w:rPr>
          <w:szCs w:val="24"/>
        </w:rPr>
        <w:t xml:space="preserve"> ask</w:t>
      </w:r>
      <w:r w:rsidR="00186ACF">
        <w:rPr>
          <w:szCs w:val="24"/>
        </w:rPr>
        <w:t>s</w:t>
      </w:r>
      <w:r w:rsidRPr="000D72A2">
        <w:rPr>
          <w:szCs w:val="24"/>
        </w:rPr>
        <w:t xml:space="preserve"> directors </w:t>
      </w:r>
      <w:r>
        <w:rPr>
          <w:szCs w:val="24"/>
        </w:rPr>
        <w:t xml:space="preserve">from the implementation team’s state partners </w:t>
      </w:r>
      <w:r w:rsidRPr="000D72A2">
        <w:rPr>
          <w:szCs w:val="24"/>
        </w:rPr>
        <w:t>to identify people at the site who can provide the required information for each round of interviews.</w:t>
      </w:r>
      <w:r>
        <w:rPr>
          <w:szCs w:val="24"/>
        </w:rPr>
        <w:t xml:space="preserve"> </w:t>
      </w:r>
      <w:r w:rsidRPr="000D72A2">
        <w:rPr>
          <w:szCs w:val="24"/>
        </w:rPr>
        <w:t xml:space="preserve"> Because </w:t>
      </w:r>
      <w:r w:rsidR="0086044E">
        <w:rPr>
          <w:szCs w:val="24"/>
        </w:rPr>
        <w:t xml:space="preserve">they expect </w:t>
      </w:r>
      <w:r w:rsidRPr="000D72A2">
        <w:rPr>
          <w:szCs w:val="24"/>
        </w:rPr>
        <w:t xml:space="preserve">sites </w:t>
      </w:r>
      <w:r w:rsidRPr="00A15782">
        <w:rPr>
          <w:szCs w:val="24"/>
        </w:rPr>
        <w:t xml:space="preserve">to provide the information needed to assess program </w:t>
      </w:r>
      <w:r>
        <w:rPr>
          <w:szCs w:val="24"/>
        </w:rPr>
        <w:t>implementation and fidelity as</w:t>
      </w:r>
      <w:r w:rsidRPr="00A15782">
        <w:rPr>
          <w:szCs w:val="24"/>
        </w:rPr>
        <w:t xml:space="preserve"> </w:t>
      </w:r>
      <w:r w:rsidR="0086044E">
        <w:rPr>
          <w:szCs w:val="24"/>
        </w:rPr>
        <w:t xml:space="preserve">the POD implementation team </w:t>
      </w:r>
      <w:r>
        <w:rPr>
          <w:szCs w:val="24"/>
        </w:rPr>
        <w:t>communicated to them</w:t>
      </w:r>
      <w:r w:rsidRPr="00A15782">
        <w:rPr>
          <w:szCs w:val="24"/>
        </w:rPr>
        <w:t xml:space="preserve">, </w:t>
      </w:r>
      <w:r w:rsidRPr="006373B0">
        <w:rPr>
          <w:szCs w:val="24"/>
        </w:rPr>
        <w:t>the evaluation team</w:t>
      </w:r>
      <w:r>
        <w:rPr>
          <w:szCs w:val="24"/>
        </w:rPr>
        <w:t xml:space="preserve"> </w:t>
      </w:r>
      <w:r w:rsidRPr="00A15782">
        <w:rPr>
          <w:szCs w:val="24"/>
        </w:rPr>
        <w:t>expect</w:t>
      </w:r>
      <w:r>
        <w:rPr>
          <w:szCs w:val="24"/>
        </w:rPr>
        <w:t>s</w:t>
      </w:r>
      <w:r w:rsidRPr="00A15782">
        <w:rPr>
          <w:szCs w:val="24"/>
        </w:rPr>
        <w:t xml:space="preserve"> a 100 percent response rate</w:t>
      </w:r>
      <w:r>
        <w:rPr>
          <w:szCs w:val="24"/>
        </w:rPr>
        <w:t xml:space="preserve"> for the qualitative interviews. </w:t>
      </w:r>
    </w:p>
    <w:p w14:paraId="4211C5E0" w14:textId="77777777" w:rsidR="00D11996" w:rsidRPr="006D0FAD" w:rsidRDefault="00D11996" w:rsidP="00D11996">
      <w:pPr>
        <w:pStyle w:val="H4Number"/>
      </w:pPr>
      <w:bookmarkStart w:id="8" w:name="_Toc476920451"/>
      <w:r>
        <w:t>B.1.4. S</w:t>
      </w:r>
      <w:r w:rsidRPr="006D0FAD">
        <w:t xml:space="preserve">emi-structured interviews with treatment group </w:t>
      </w:r>
      <w:r>
        <w:t>subjects</w:t>
      </w:r>
      <w:bookmarkEnd w:id="8"/>
    </w:p>
    <w:p w14:paraId="3EE0FB8A" w14:textId="5C55BC20" w:rsidR="00D11996" w:rsidRDefault="00D11996" w:rsidP="00D11996">
      <w:pPr>
        <w:pStyle w:val="NormalSS"/>
      </w:pPr>
      <w:r>
        <w:t>T</w:t>
      </w:r>
      <w:r w:rsidRPr="006373B0">
        <w:t xml:space="preserve">he </w:t>
      </w:r>
      <w:r>
        <w:t xml:space="preserve">POD </w:t>
      </w:r>
      <w:r w:rsidRPr="006373B0">
        <w:t>evaluation team</w:t>
      </w:r>
      <w:r w:rsidR="00186ACF">
        <w:t xml:space="preserve"> </w:t>
      </w:r>
      <w:r>
        <w:t>conduct</w:t>
      </w:r>
      <w:r w:rsidR="00186ACF">
        <w:t>s</w:t>
      </w:r>
      <w:r>
        <w:t xml:space="preserve"> two rounds of semi-structured telephone interviews with 9 POD participants in </w:t>
      </w:r>
      <w:r w:rsidRPr="00763502">
        <w:t xml:space="preserve">each </w:t>
      </w:r>
      <w:r>
        <w:t xml:space="preserve">of the 8 </w:t>
      </w:r>
      <w:r w:rsidRPr="00763502">
        <w:t>site</w:t>
      </w:r>
      <w:r>
        <w:t>s</w:t>
      </w:r>
      <w:r w:rsidRPr="00763502">
        <w:t xml:space="preserve"> for total of 72 interviews</w:t>
      </w:r>
      <w:r>
        <w:t xml:space="preserve"> in each round (144 total across the two rounds)</w:t>
      </w:r>
      <w:r w:rsidRPr="00763502">
        <w:t xml:space="preserve">. </w:t>
      </w:r>
      <w:r>
        <w:t xml:space="preserve"> They</w:t>
      </w:r>
      <w:r w:rsidRPr="00763502">
        <w:t xml:space="preserve"> </w:t>
      </w:r>
      <w:r>
        <w:t xml:space="preserve">interview </w:t>
      </w:r>
      <w:r w:rsidRPr="00763502">
        <w:t xml:space="preserve">beneficiaries from both treatment groups and from key subgroups of interest (for </w:t>
      </w:r>
      <w:r w:rsidR="00186ACF">
        <w:t xml:space="preserve">example, beneficiaries who </w:t>
      </w:r>
      <w:r w:rsidRPr="00763502">
        <w:t>requested to withdraw</w:t>
      </w:r>
      <w:r>
        <w:t>,</w:t>
      </w:r>
      <w:r w:rsidRPr="00763502">
        <w:t xml:space="preserve"> low earning offset users, </w:t>
      </w:r>
      <w:r>
        <w:t xml:space="preserve">and </w:t>
      </w:r>
      <w:r w:rsidRPr="00763502">
        <w:t>high earning offset users).</w:t>
      </w:r>
      <w:r>
        <w:t xml:space="preserve"> </w:t>
      </w:r>
      <w:r w:rsidRPr="00763502">
        <w:t xml:space="preserve"> The beneficiaries selected for this evaluation compon</w:t>
      </w:r>
      <w:r w:rsidR="00186ACF">
        <w:t xml:space="preserve">ent </w:t>
      </w:r>
      <w:r>
        <w:t xml:space="preserve">constitute a purposive </w:t>
      </w:r>
      <w:r w:rsidRPr="00763502">
        <w:t>sample of POD treatment group members</w:t>
      </w:r>
      <w:r>
        <w:t xml:space="preserve"> selected using information from the POD implementation team’s management information system.  T</w:t>
      </w:r>
      <w:r w:rsidRPr="006373B0">
        <w:t>he evaluation team</w:t>
      </w:r>
      <w:r>
        <w:t xml:space="preserve"> select</w:t>
      </w:r>
      <w:r w:rsidR="00186ACF">
        <w:t>s</w:t>
      </w:r>
      <w:r>
        <w:t xml:space="preserve"> subjects using quota sampling within strata established by state; random-assignment group; and key subgroup measures to obtain 9 interviews per state and round</w:t>
      </w:r>
      <w:r w:rsidRPr="00D90502">
        <w:t>.</w:t>
      </w:r>
      <w:r>
        <w:t xml:space="preserve">  Although the evaluation team use</w:t>
      </w:r>
      <w:r w:rsidR="00186ACF">
        <w:t>s</w:t>
      </w:r>
      <w:r>
        <w:t xml:space="preserve"> random subsampling within strata to reduce the sample size in each stratum fr</w:t>
      </w:r>
      <w:r w:rsidR="00186ACF">
        <w:t xml:space="preserve">om the full universe, they </w:t>
      </w:r>
      <w:r>
        <w:t>replace any non</w:t>
      </w:r>
      <w:r w:rsidR="0086044E">
        <w:t>-</w:t>
      </w:r>
      <w:r>
        <w:t xml:space="preserve">respondents with alternate beneficiaries who meet the same criteria.  That is, if a potential interviewee cannot be located or declines to participate, the evaluation team will randomly select another from that person’s same stratum to maintain the quota set for the stratum.  Because </w:t>
      </w:r>
      <w:r w:rsidRPr="006373B0">
        <w:t>the evaluation team</w:t>
      </w:r>
      <w:r w:rsidR="00186ACF">
        <w:t xml:space="preserve"> </w:t>
      </w:r>
      <w:r>
        <w:t>purposively select</w:t>
      </w:r>
      <w:r w:rsidR="00186ACF">
        <w:t>s</w:t>
      </w:r>
      <w:r>
        <w:t xml:space="preserve"> re</w:t>
      </w:r>
      <w:r w:rsidR="00186ACF">
        <w:t xml:space="preserve">spondents, they </w:t>
      </w:r>
      <w:r>
        <w:t>use information about them for illustrative purposes only in the evaluation reports.  They will not statistically generalize findings based on this sample to any larger population of treatment group subjects.</w:t>
      </w:r>
    </w:p>
    <w:p w14:paraId="581EBCD1" w14:textId="77777777" w:rsidR="00D11996" w:rsidRPr="004D4085" w:rsidRDefault="00D11996" w:rsidP="00D11996">
      <w:pPr>
        <w:pStyle w:val="NormalSS"/>
        <w:ind w:firstLine="0"/>
        <w:rPr>
          <w:b/>
        </w:rPr>
      </w:pPr>
      <w:r w:rsidRPr="004D4085">
        <w:rPr>
          <w:b/>
        </w:rPr>
        <w:t>B.1.5 Implementation Data collection</w:t>
      </w:r>
    </w:p>
    <w:p w14:paraId="2E3E760B" w14:textId="79F3C813" w:rsidR="00D11996" w:rsidRPr="003A4919" w:rsidRDefault="00D11996" w:rsidP="00D11996">
      <w:pPr>
        <w:pStyle w:val="NormalSS"/>
      </w:pPr>
      <w:r w:rsidRPr="00147493">
        <w:t>Data collection for POD’s implementat</w:t>
      </w:r>
      <w:r>
        <w:t>ion will take place over a five-</w:t>
      </w:r>
      <w:r w:rsidRPr="00147493">
        <w:t>year period</w:t>
      </w:r>
      <w:r>
        <w:t xml:space="preserve"> </w:t>
      </w:r>
      <w:r w:rsidRPr="00147493">
        <w:t xml:space="preserve">and will include two data collection activities: </w:t>
      </w:r>
      <w:r>
        <w:t xml:space="preserve"> </w:t>
      </w:r>
      <w:r w:rsidRPr="00147493">
        <w:t>(1) POD Monthly Earnings and IRWE Reporting Form; and (2) POD EOYR Form.</w:t>
      </w:r>
      <w:r>
        <w:t xml:space="preserve">  Of the </w:t>
      </w:r>
      <w:r w:rsidR="00A64B0C">
        <w:t xml:space="preserve">up to </w:t>
      </w:r>
      <w:r>
        <w:t>10,000 POD participants assigned to the POD treatment groups, SSA estimates the implementation team will require 40 percent (approximately 4,000 POD participants) to report earnings and IRWEs because of earnings that exceed $840 per month, the t</w:t>
      </w:r>
      <w:r w:rsidR="00A64B0C">
        <w:t xml:space="preserve">hreshold set for POD.  Of the up to </w:t>
      </w:r>
      <w:r>
        <w:t>4,000 participants, the implementation team expects 65 percent (approximately 2,600) to report earnings and IRWEs.</w:t>
      </w:r>
    </w:p>
    <w:p w14:paraId="2D434EDA" w14:textId="77777777" w:rsidR="00D11996" w:rsidRPr="003A4919" w:rsidRDefault="00D11996" w:rsidP="00D11996">
      <w:pPr>
        <w:pStyle w:val="H3Alpha"/>
      </w:pPr>
      <w:bookmarkStart w:id="9" w:name="_Toc476920452"/>
      <w:r w:rsidRPr="003A4919">
        <w:t>B.2</w:t>
      </w:r>
      <w:r>
        <w:t>.</w:t>
      </w:r>
      <w:r w:rsidRPr="003A4919">
        <w:t xml:space="preserve"> </w:t>
      </w:r>
      <w:r>
        <w:t>Procedures for sampling and estimation, degree of accuracy, specialized procedures, and periodic data collection cycles</w:t>
      </w:r>
      <w:bookmarkEnd w:id="9"/>
    </w:p>
    <w:p w14:paraId="0A34C648" w14:textId="77777777" w:rsidR="00D11996" w:rsidRPr="003A4919" w:rsidRDefault="00D11996" w:rsidP="00D11996">
      <w:pPr>
        <w:pStyle w:val="H4Number"/>
      </w:pPr>
      <w:bookmarkStart w:id="10" w:name="_Toc476920453"/>
      <w:r w:rsidRPr="003A4919">
        <w:t>B.2.1</w:t>
      </w:r>
      <w:r>
        <w:t>.</w:t>
      </w:r>
      <w:r w:rsidRPr="003A4919">
        <w:t xml:space="preserve"> Statistical methodology for stratification and sample selection</w:t>
      </w:r>
      <w:bookmarkEnd w:id="10"/>
    </w:p>
    <w:p w14:paraId="25A77DC4" w14:textId="07629713" w:rsidR="00D11996" w:rsidRDefault="00D11996" w:rsidP="00D11996">
      <w:pPr>
        <w:pStyle w:val="NormalSS"/>
      </w:pPr>
      <w:r>
        <w:t xml:space="preserve">As noted in Section B.1, the two main ways in which </w:t>
      </w:r>
      <w:r w:rsidRPr="006373B0">
        <w:t xml:space="preserve">the </w:t>
      </w:r>
      <w:r>
        <w:t xml:space="preserve">POD </w:t>
      </w:r>
      <w:r w:rsidRPr="006373B0">
        <w:t>evaluation team</w:t>
      </w:r>
      <w:r w:rsidR="00186ACF">
        <w:t xml:space="preserve"> </w:t>
      </w:r>
      <w:r>
        <w:t>use</w:t>
      </w:r>
      <w:r w:rsidR="00186ACF">
        <w:t>s</w:t>
      </w:r>
      <w:r>
        <w:t xml:space="preserve"> statistical methods to select samples for the POD demonstration are (1) to select stratified random samples of beneficiaries to target when conducting recruitment for the demonstration, and (2) to select simple random samples of study subjects to include i</w:t>
      </w:r>
      <w:r w:rsidR="0086044E">
        <w:t>n the first follow-up survey.  We discuss e</w:t>
      </w:r>
      <w:r>
        <w:t>ach type of sampling in the following subsections.</w:t>
      </w:r>
    </w:p>
    <w:p w14:paraId="2590983A" w14:textId="77777777" w:rsidR="00D11996" w:rsidRDefault="00D11996" w:rsidP="00D11996">
      <w:pPr>
        <w:pStyle w:val="H5Lower"/>
      </w:pPr>
      <w:r>
        <w:t xml:space="preserve">B.2.1.1. </w:t>
      </w:r>
      <w:r w:rsidRPr="005E6AB0">
        <w:t>Recruitment materials and baseline survey</w:t>
      </w:r>
      <w:r>
        <w:t>: selecting stratified random samples of beneficiaries to target in recruitment efforts</w:t>
      </w:r>
    </w:p>
    <w:p w14:paraId="372CC29C" w14:textId="539562C0" w:rsidR="00D11996" w:rsidRPr="002C1415" w:rsidRDefault="00186ACF" w:rsidP="00D11996">
      <w:pPr>
        <w:pStyle w:val="NormalSS"/>
      </w:pPr>
      <w:r>
        <w:t xml:space="preserve">The POD evaluation team </w:t>
      </w:r>
      <w:r w:rsidR="00D11996">
        <w:t>conduct</w:t>
      </w:r>
      <w:r>
        <w:t>ed</w:t>
      </w:r>
      <w:r w:rsidR="00D11996">
        <w:t xml:space="preserve"> recruitment for the demonstration from </w:t>
      </w:r>
      <w:r w:rsidR="00A64B0C">
        <w:t>January 2018</w:t>
      </w:r>
      <w:r w:rsidR="00D11996">
        <w:t xml:space="preserve"> through </w:t>
      </w:r>
      <w:r w:rsidR="00A64B0C">
        <w:t>December</w:t>
      </w:r>
      <w:r w:rsidR="00D11996">
        <w:t xml:space="preserve"> 2018, gradually rolling out throughout each of the 8 states</w:t>
      </w:r>
      <w:r>
        <w:t xml:space="preserve">.  </w:t>
      </w:r>
      <w:r w:rsidR="00A64B0C">
        <w:t xml:space="preserve">As part of recruitment, the evaluation team required all beneficiaries to have their materials post-marked by December 31, 2018 to be eligible for POD random assignment.  </w:t>
      </w:r>
      <w:r>
        <w:t xml:space="preserve">The first three months </w:t>
      </w:r>
      <w:r w:rsidR="00D11996">
        <w:t>include</w:t>
      </w:r>
      <w:r>
        <w:t>d</w:t>
      </w:r>
      <w:r w:rsidR="00D11996">
        <w:t xml:space="preserve"> a pilot phase to refine assumptions about the study popu</w:t>
      </w:r>
      <w:r w:rsidR="00A64B0C">
        <w:t>lation.  The last nine</w:t>
      </w:r>
      <w:r>
        <w:t xml:space="preserve"> months</w:t>
      </w:r>
      <w:r w:rsidR="00D11996">
        <w:t xml:space="preserve"> include</w:t>
      </w:r>
      <w:r>
        <w:t>d</w:t>
      </w:r>
      <w:r w:rsidR="00D11996">
        <w:t xml:space="preserve"> the full rollout.  As discussed in Section B.3.1, </w:t>
      </w:r>
      <w:r w:rsidR="00D11996" w:rsidRPr="006373B0">
        <w:t>the evaluation team</w:t>
      </w:r>
      <w:r w:rsidR="00D11996">
        <w:t>’s general approach to recruitment in both the pilot phase and full rollout phase include</w:t>
      </w:r>
      <w:r>
        <w:t>d</w:t>
      </w:r>
      <w:r w:rsidR="00D11996">
        <w:t xml:space="preserve"> a combination of direct mailings; telephone follow</w:t>
      </w:r>
      <w:r w:rsidR="00D11996">
        <w:noBreakHyphen/>
        <w:t xml:space="preserve">ups; and indirect methods to contact potential recruits.  </w:t>
      </w:r>
      <w:r w:rsidR="00A64B0C">
        <w:t>T</w:t>
      </w:r>
      <w:r w:rsidR="00D11996" w:rsidRPr="006373B0">
        <w:t>he evaluation team</w:t>
      </w:r>
      <w:r>
        <w:t xml:space="preserve"> sent</w:t>
      </w:r>
      <w:r w:rsidR="00D11996">
        <w:t xml:space="preserve"> mailings to potential volunteers in each selected area using structured random sampling techniques from lists of beneficiaries in the given area who meet SSA’s basic eligibility criteria.</w:t>
      </w:r>
      <w:r w:rsidR="00D11996">
        <w:rPr>
          <w:rStyle w:val="FootnoteReference"/>
        </w:rPr>
        <w:footnoteReference w:id="1"/>
      </w:r>
      <w:r w:rsidR="00D11996">
        <w:t xml:space="preserve"> </w:t>
      </w:r>
    </w:p>
    <w:p w14:paraId="4B32B6D5" w14:textId="1773A226" w:rsidR="00D11996" w:rsidRDefault="00D11996" w:rsidP="00D11996">
      <w:pPr>
        <w:pStyle w:val="NormalSS"/>
      </w:pPr>
      <w:r w:rsidRPr="00A23A58">
        <w:t xml:space="preserve">During the pilot phase of recruitment, </w:t>
      </w:r>
      <w:r w:rsidRPr="006373B0">
        <w:t xml:space="preserve">the </w:t>
      </w:r>
      <w:r>
        <w:t xml:space="preserve">POD </w:t>
      </w:r>
      <w:r w:rsidRPr="006373B0">
        <w:t>evaluation team</w:t>
      </w:r>
      <w:r>
        <w:t xml:space="preserve"> select</w:t>
      </w:r>
      <w:r w:rsidR="00186ACF">
        <w:t>ed</w:t>
      </w:r>
      <w:r>
        <w:t xml:space="preserve"> eligible </w:t>
      </w:r>
      <w:r w:rsidRPr="00A23A58">
        <w:t xml:space="preserve">beneficiaries using structured simple random sampling that includes implicit stratification on several key characteristics available in the </w:t>
      </w:r>
      <w:r w:rsidRPr="00193FAB">
        <w:t>program data</w:t>
      </w:r>
      <w:r w:rsidRPr="00A23A58">
        <w:t>.</w:t>
      </w:r>
      <w:r>
        <w:t xml:space="preserve"> </w:t>
      </w:r>
      <w:r w:rsidRPr="00A23A58">
        <w:t xml:space="preserve"> </w:t>
      </w:r>
      <w:r w:rsidR="00186ACF">
        <w:t xml:space="preserve">This approach </w:t>
      </w:r>
      <w:r>
        <w:t>allow</w:t>
      </w:r>
      <w:r w:rsidR="00186ACF">
        <w:t>ed</w:t>
      </w:r>
      <w:r>
        <w:t xml:space="preserve"> </w:t>
      </w:r>
      <w:r w:rsidRPr="006373B0">
        <w:t>the evaluation team</w:t>
      </w:r>
      <w:r>
        <w:t xml:space="preserve"> to obtain information on the potential recruitment yield of a broad range of beneficiary characteristics.  Examples of such characteristics are state, </w:t>
      </w:r>
      <w:r w:rsidRPr="00A23A58">
        <w:t xml:space="preserve">age, duration of </w:t>
      </w:r>
      <w:r>
        <w:t>SSDI</w:t>
      </w:r>
      <w:r w:rsidRPr="00A23A58">
        <w:t xml:space="preserve"> receipt, and primary impairment type. </w:t>
      </w:r>
      <w:r>
        <w:t xml:space="preserve"> </w:t>
      </w:r>
      <w:r w:rsidR="00186ACF">
        <w:t xml:space="preserve">Implicit stratification </w:t>
      </w:r>
      <w:r w:rsidRPr="00A23A58">
        <w:t>result</w:t>
      </w:r>
      <w:r w:rsidR="00186ACF">
        <w:t>ed</w:t>
      </w:r>
      <w:r w:rsidRPr="00A23A58">
        <w:t xml:space="preserve"> in a sample for which the distribution of </w:t>
      </w:r>
      <w:r>
        <w:t xml:space="preserve">these </w:t>
      </w:r>
      <w:r w:rsidRPr="00A23A58">
        <w:t>key characteristics is approximately the same as in the full population.</w:t>
      </w:r>
      <w:r>
        <w:rPr>
          <w:rStyle w:val="FootnoteReference"/>
        </w:rPr>
        <w:footnoteReference w:id="2"/>
      </w:r>
      <w:r w:rsidRPr="00A23A58">
        <w:t xml:space="preserve"> </w:t>
      </w:r>
      <w:r>
        <w:t xml:space="preserve"> T</w:t>
      </w:r>
      <w:r w:rsidRPr="006373B0">
        <w:t>he evaluation team</w:t>
      </w:r>
      <w:r w:rsidR="00186ACF">
        <w:t xml:space="preserve"> </w:t>
      </w:r>
      <w:r w:rsidRPr="00A23A58">
        <w:t>implement</w:t>
      </w:r>
      <w:r w:rsidR="00186ACF">
        <w:t>ed</w:t>
      </w:r>
      <w:r w:rsidRPr="00A23A58">
        <w:t xml:space="preserve"> implicit stratification using the serpentine sorting technique of Chromy (1979).</w:t>
      </w:r>
    </w:p>
    <w:p w14:paraId="157DD743" w14:textId="77777777" w:rsidR="00A64B0C" w:rsidRDefault="00D11996" w:rsidP="00D11996">
      <w:pPr>
        <w:pStyle w:val="NormalSS"/>
      </w:pPr>
      <w:r w:rsidRPr="00A23A58">
        <w:t xml:space="preserve">Once </w:t>
      </w:r>
      <w:r>
        <w:t>we conclude</w:t>
      </w:r>
      <w:r w:rsidR="00186ACF">
        <w:t>d</w:t>
      </w:r>
      <w:r>
        <w:t xml:space="preserve"> </w:t>
      </w:r>
      <w:r w:rsidRPr="00A23A58">
        <w:t xml:space="preserve">the pilot phase, </w:t>
      </w:r>
      <w:r w:rsidRPr="006373B0">
        <w:t xml:space="preserve">the </w:t>
      </w:r>
      <w:r>
        <w:t xml:space="preserve">POD </w:t>
      </w:r>
      <w:r w:rsidRPr="006373B0">
        <w:t>evaluation team</w:t>
      </w:r>
      <w:r w:rsidR="00186ACF">
        <w:t xml:space="preserve"> </w:t>
      </w:r>
      <w:r w:rsidRPr="00A23A58">
        <w:t>continue</w:t>
      </w:r>
      <w:r w:rsidR="00186ACF">
        <w:t>d</w:t>
      </w:r>
      <w:r w:rsidRPr="00A23A58">
        <w:t xml:space="preserve"> to draw structure</w:t>
      </w:r>
      <w:r w:rsidR="00186ACF">
        <w:t xml:space="preserve">d random samples, but </w:t>
      </w:r>
      <w:r w:rsidRPr="00A23A58">
        <w:t>adapt</w:t>
      </w:r>
      <w:r w:rsidR="00186ACF">
        <w:t>ed</w:t>
      </w:r>
      <w:r w:rsidRPr="00A23A58">
        <w:t xml:space="preserve"> the sampling approach to</w:t>
      </w:r>
      <w:r>
        <w:t xml:space="preserve"> change the sampling rate or incorporate explicit strata when </w:t>
      </w:r>
      <w:r w:rsidRPr="00A23A58">
        <w:t>select</w:t>
      </w:r>
      <w:r>
        <w:t>ing</w:t>
      </w:r>
      <w:r w:rsidRPr="00A23A58">
        <w:t xml:space="preserve"> the remai</w:t>
      </w:r>
      <w:r>
        <w:t>ning potential subjects</w:t>
      </w:r>
      <w:r w:rsidRPr="00A23A58">
        <w:t xml:space="preserve"> during the full rollout period.</w:t>
      </w:r>
      <w:r>
        <w:t xml:space="preserve">  </w:t>
      </w:r>
      <w:r w:rsidRPr="00161F60">
        <w:t xml:space="preserve">Over the course of the </w:t>
      </w:r>
      <w:r>
        <w:t xml:space="preserve">pilot and full rollout period, </w:t>
      </w:r>
      <w:r w:rsidRPr="006373B0">
        <w:t>the evaluation team</w:t>
      </w:r>
      <w:r w:rsidRPr="006373B0" w:rsidDel="006373B0">
        <w:t xml:space="preserve"> </w:t>
      </w:r>
      <w:r w:rsidR="00A64B0C">
        <w:t>continued to monitor and analyze</w:t>
      </w:r>
      <w:r w:rsidRPr="00161F60">
        <w:t xml:space="preserve"> recruitment yields, defined as the number of e</w:t>
      </w:r>
      <w:r w:rsidR="00A64B0C">
        <w:t>nrolled</w:t>
      </w:r>
      <w:r w:rsidRPr="00161F60">
        <w:t xml:space="preserve"> </w:t>
      </w:r>
      <w:r>
        <w:t>subject</w:t>
      </w:r>
      <w:r w:rsidRPr="00161F60">
        <w:t xml:space="preserve">s divided by the number of beneficiaries targeted in the recruitment efforts. </w:t>
      </w:r>
      <w:r w:rsidR="00186ACF">
        <w:t xml:space="preserve"> They </w:t>
      </w:r>
      <w:r>
        <w:t>use</w:t>
      </w:r>
      <w:r w:rsidR="00186ACF">
        <w:t>d</w:t>
      </w:r>
      <w:r>
        <w:t xml:space="preserve"> this i</w:t>
      </w:r>
      <w:r w:rsidRPr="00161F60">
        <w:t xml:space="preserve">nformation </w:t>
      </w:r>
      <w:r>
        <w:t xml:space="preserve">in combination with preexisting data on beneficiary characteristics from SSA program records </w:t>
      </w:r>
      <w:r w:rsidRPr="00161F60">
        <w:t xml:space="preserve">to fine-tune the recruitment process. </w:t>
      </w:r>
      <w:r>
        <w:t xml:space="preserve"> </w:t>
      </w:r>
      <w:r w:rsidRPr="00161F60">
        <w:t xml:space="preserve">For example, </w:t>
      </w:r>
      <w:r w:rsidRPr="006373B0">
        <w:t>the evaluation team</w:t>
      </w:r>
      <w:r w:rsidR="00186ACF">
        <w:t xml:space="preserve"> </w:t>
      </w:r>
      <w:r w:rsidRPr="00161F60">
        <w:t>conduct</w:t>
      </w:r>
      <w:r w:rsidR="00186ACF">
        <w:t>ed</w:t>
      </w:r>
      <w:r w:rsidRPr="00161F60">
        <w:t xml:space="preserve"> chi-squared tests to assess whether recruitment yield</w:t>
      </w:r>
      <w:r>
        <w:t>s differed significantly by age;</w:t>
      </w:r>
      <w:r w:rsidRPr="00161F60">
        <w:t xml:space="preserve"> duration of </w:t>
      </w:r>
      <w:r>
        <w:t>SSDI receipt; primary impairment type;</w:t>
      </w:r>
      <w:r w:rsidRPr="00161F60">
        <w:t xml:space="preserve"> and other factors. </w:t>
      </w:r>
      <w:r>
        <w:t xml:space="preserve"> T</w:t>
      </w:r>
      <w:r w:rsidRPr="006373B0">
        <w:t>he evaluation team</w:t>
      </w:r>
      <w:r w:rsidRPr="00161F60">
        <w:t xml:space="preserve"> also conduct</w:t>
      </w:r>
      <w:r w:rsidR="00186ACF">
        <w:t>ed</w:t>
      </w:r>
      <w:r w:rsidRPr="00161F60">
        <w:t xml:space="preserve"> a multivariate analysis of factors associated with the decision </w:t>
      </w:r>
      <w:r>
        <w:t xml:space="preserve">to volunteer using a linear </w:t>
      </w:r>
      <w:r w:rsidRPr="00161F60">
        <w:t>or logistic regression</w:t>
      </w:r>
      <w:r>
        <w:t xml:space="preserve"> analysis</w:t>
      </w:r>
      <w:r w:rsidRPr="00161F60">
        <w:t xml:space="preserve"> similar to that described </w:t>
      </w:r>
      <w:r>
        <w:t xml:space="preserve">later in Section B.2.3. </w:t>
      </w:r>
      <w:r w:rsidR="00186ACF">
        <w:t xml:space="preserve"> </w:t>
      </w:r>
    </w:p>
    <w:p w14:paraId="739CF340" w14:textId="33E863E0" w:rsidR="00D11996" w:rsidRDefault="00D11996" w:rsidP="00D11996">
      <w:pPr>
        <w:pStyle w:val="NormalSS"/>
      </w:pPr>
      <w:r>
        <w:t xml:space="preserve">Based on these results, </w:t>
      </w:r>
      <w:r w:rsidRPr="00A23A58">
        <w:t>as well as responsiveness to variation of recruitment efforts tested during the pilot phase (discussed in Section B.4</w:t>
      </w:r>
      <w:r>
        <w:t>.1</w:t>
      </w:r>
      <w:r w:rsidRPr="00A23A58">
        <w:t>)</w:t>
      </w:r>
      <w:r>
        <w:t xml:space="preserve">, </w:t>
      </w:r>
      <w:r w:rsidRPr="006373B0">
        <w:t>the evaluation team</w:t>
      </w:r>
      <w:r w:rsidR="00186ACF">
        <w:t xml:space="preserve"> </w:t>
      </w:r>
      <w:r>
        <w:t>adapt</w:t>
      </w:r>
      <w:r w:rsidR="00186ACF">
        <w:t>ed</w:t>
      </w:r>
      <w:r>
        <w:t xml:space="preserve"> its sampling approach</w:t>
      </w:r>
      <w:r w:rsidR="00A64B0C">
        <w:t xml:space="preserve"> to expand the sample (Wittenburg et al. 2018)</w:t>
      </w:r>
      <w:r>
        <w:t xml:space="preserve">.  </w:t>
      </w:r>
      <w:r w:rsidR="00A64B0C">
        <w:t>The adaptations were necessary because the initial yields were below the 5 percent yield rates noted above</w:t>
      </w:r>
      <w:r>
        <w:t>.</w:t>
      </w:r>
      <w:r w:rsidRPr="00A23A58">
        <w:t xml:space="preserve"> </w:t>
      </w:r>
      <w:r>
        <w:t xml:space="preserve"> Additional details about this approach are in Sections B.3.1 and B.4.1.  These adaptations </w:t>
      </w:r>
      <w:r w:rsidRPr="00A23A58">
        <w:t>enable</w:t>
      </w:r>
      <w:r w:rsidR="00186ACF">
        <w:t>d</w:t>
      </w:r>
      <w:r w:rsidRPr="00A23A58">
        <w:t xml:space="preserve"> </w:t>
      </w:r>
      <w:r w:rsidRPr="006373B0">
        <w:t>the evaluation team</w:t>
      </w:r>
      <w:r w:rsidRPr="00A23A58">
        <w:t xml:space="preserve"> to make future mailings and outrea</w:t>
      </w:r>
      <w:r w:rsidR="00E224EC">
        <w:t>ch more targeted so that they could recruit at least 9,000 subjects and up to 15,000 subjects for the demonstration.</w:t>
      </w:r>
    </w:p>
    <w:p w14:paraId="672CD156" w14:textId="77777777" w:rsidR="00D11996" w:rsidRDefault="00D11996" w:rsidP="00D11996">
      <w:pPr>
        <w:pStyle w:val="H5Lower"/>
      </w:pPr>
      <w:r>
        <w:t>B.2.1.2. Follow-up surveys: selecting stratified random samples of subjects for inclusion in the first follow-up survey</w:t>
      </w:r>
    </w:p>
    <w:p w14:paraId="3D67D072" w14:textId="43CFCFF9" w:rsidR="00D11996" w:rsidRPr="00BA289C" w:rsidRDefault="00D11996" w:rsidP="00D11996">
      <w:pPr>
        <w:pStyle w:val="NormalSS"/>
      </w:pPr>
      <w:r>
        <w:t xml:space="preserve">As already noted, </w:t>
      </w:r>
      <w:r w:rsidRPr="006373B0">
        <w:t xml:space="preserve">the </w:t>
      </w:r>
      <w:r>
        <w:t xml:space="preserve">POD </w:t>
      </w:r>
      <w:r w:rsidRPr="006373B0">
        <w:t>evaluation team</w:t>
      </w:r>
      <w:r>
        <w:t xml:space="preserve"> will field the first follow-up survey </w:t>
      </w:r>
      <w:r w:rsidR="007F6E83">
        <w:t xml:space="preserve">to </w:t>
      </w:r>
      <w:r w:rsidR="00186ACF">
        <w:t>a 50</w:t>
      </w:r>
      <w:r w:rsidR="00186ACF">
        <w:noBreakHyphen/>
      </w:r>
      <w:r>
        <w:t>percent subsample of the subjects enrolled in the demonstration.  D</w:t>
      </w:r>
      <w:r w:rsidRPr="00BA289C">
        <w:t xml:space="preserve">ata collection efforts </w:t>
      </w:r>
      <w:r>
        <w:t xml:space="preserve">for this survey </w:t>
      </w:r>
      <w:r w:rsidRPr="00BA289C">
        <w:t xml:space="preserve">will span </w:t>
      </w:r>
      <w:r w:rsidR="00E224EC">
        <w:t>15</w:t>
      </w:r>
      <w:r w:rsidRPr="00BA289C">
        <w:t xml:space="preserve"> months, with a rolling release of sample that will mirror the </w:t>
      </w:r>
      <w:r w:rsidR="00E224EC">
        <w:t>12</w:t>
      </w:r>
      <w:r w:rsidRPr="00BA289C">
        <w:t xml:space="preserve"> months of study </w:t>
      </w:r>
      <w:r>
        <w:t xml:space="preserve">recruitment </w:t>
      </w:r>
      <w:r w:rsidRPr="00BA289C">
        <w:t xml:space="preserve">plus another </w:t>
      </w:r>
      <w:r>
        <w:t>3</w:t>
      </w:r>
      <w:r w:rsidRPr="00BA289C">
        <w:t xml:space="preserve"> months to complete interviewing in </w:t>
      </w:r>
      <w:r>
        <w:t>the final</w:t>
      </w:r>
      <w:r w:rsidRPr="00BA289C">
        <w:t xml:space="preserve"> sample release. </w:t>
      </w:r>
      <w:r>
        <w:t xml:space="preserve"> T</w:t>
      </w:r>
      <w:r w:rsidRPr="006373B0">
        <w:t>he evaluation team</w:t>
      </w:r>
      <w:r>
        <w:t xml:space="preserve"> will aggregate subjects from a given month into </w:t>
      </w:r>
      <w:r w:rsidRPr="00BA289C">
        <w:t xml:space="preserve">cohorts and release them </w:t>
      </w:r>
      <w:r>
        <w:t xml:space="preserve">on a </w:t>
      </w:r>
      <w:r w:rsidRPr="00BA289C">
        <w:t>month</w:t>
      </w:r>
      <w:r>
        <w:t xml:space="preserve">ly basis so that </w:t>
      </w:r>
      <w:r w:rsidR="0086044E">
        <w:t xml:space="preserve">they interview </w:t>
      </w:r>
      <w:r>
        <w:t xml:space="preserve">each beneficiary as </w:t>
      </w:r>
      <w:r w:rsidRPr="00BA289C">
        <w:t xml:space="preserve">close to their </w:t>
      </w:r>
      <w:r w:rsidR="00186ACF">
        <w:t>one</w:t>
      </w:r>
      <w:r w:rsidR="00186ACF">
        <w:noBreakHyphen/>
      </w:r>
      <w:r>
        <w:t>year</w:t>
      </w:r>
      <w:r w:rsidRPr="00BA289C">
        <w:t xml:space="preserve"> anniversary as practical. </w:t>
      </w:r>
      <w:r>
        <w:t xml:space="preserve"> </w:t>
      </w:r>
      <w:r w:rsidRPr="00BA289C">
        <w:t xml:space="preserve">Assuming a roughly even pace of enrollment, each monthly release will </w:t>
      </w:r>
      <w:r>
        <w:t xml:space="preserve">contain approximately </w:t>
      </w:r>
      <w:r w:rsidR="00E224EC">
        <w:t>half</w:t>
      </w:r>
      <w:r>
        <w:t xml:space="preserve"> of the subjects enrolled in the demonstration during the corresponding recruitment month.  T</w:t>
      </w:r>
      <w:r w:rsidRPr="006373B0">
        <w:t>he evaluation team</w:t>
      </w:r>
      <w:r w:rsidR="00E224EC">
        <w:t xml:space="preserve"> will select the</w:t>
      </w:r>
      <w:r>
        <w:t xml:space="preserve"> subjects for inclusion using a structured random sampling technique similar to what w</w:t>
      </w:r>
      <w:r w:rsidR="001C6279">
        <w:t>e</w:t>
      </w:r>
      <w:r>
        <w:t xml:space="preserve"> previously described for the study recruitment effort.  T</w:t>
      </w:r>
      <w:r w:rsidRPr="006373B0">
        <w:t>he evaluation team</w:t>
      </w:r>
      <w:r>
        <w:t xml:space="preserve"> will use implicit stratification so that the distribution of key characteristics in each release is similar to the distribution of those characteristics in the full group of subjects that </w:t>
      </w:r>
      <w:r w:rsidR="001C6279">
        <w:t>they could consider</w:t>
      </w:r>
      <w:r>
        <w:t xml:space="preserve"> for the given release.</w:t>
      </w:r>
    </w:p>
    <w:p w14:paraId="52B47716" w14:textId="23C1D83F" w:rsidR="00D11996" w:rsidRDefault="00D11996" w:rsidP="00D11996">
      <w:pPr>
        <w:pStyle w:val="NormalSS"/>
      </w:pPr>
      <w:r>
        <w:t>The evaluation team will field the secon</w:t>
      </w:r>
      <w:r w:rsidR="00E224EC">
        <w:t>d follow-up survey to all</w:t>
      </w:r>
      <w:r>
        <w:t xml:space="preserve"> POD subjects.  Data </w:t>
      </w:r>
      <w:r w:rsidR="00E224EC">
        <w:t>collection will span 15</w:t>
      </w:r>
      <w:r>
        <w:t xml:space="preserve"> months that roughly correspond to two-year anniversaries of study subjects’ enrollment dates plus a 3-month closeout period.  T</w:t>
      </w:r>
      <w:r w:rsidRPr="006373B0">
        <w:t>he evaluation team</w:t>
      </w:r>
      <w:r>
        <w:t xml:space="preserve"> will group the data into monthly releases and attempt to survey all subjects in each release.  There is no need for stratification or subsampling because the second follow-up survey includes all demonstration subjects.</w:t>
      </w:r>
    </w:p>
    <w:p w14:paraId="70496061" w14:textId="77777777" w:rsidR="00D11996" w:rsidRDefault="00D11996" w:rsidP="00D11996">
      <w:pPr>
        <w:pStyle w:val="H4NumberNoTOC"/>
      </w:pPr>
      <w:r w:rsidRPr="00E37BDD">
        <w:t>B.2.1.3</w:t>
      </w:r>
      <w:r>
        <w:t xml:space="preserve"> Implementation Data collection</w:t>
      </w:r>
    </w:p>
    <w:p w14:paraId="4A035DD4" w14:textId="5D61261E" w:rsidR="00D11996" w:rsidRPr="006B08E5" w:rsidRDefault="00FF3474" w:rsidP="00D11996">
      <w:pPr>
        <w:pStyle w:val="NormalSS"/>
      </w:pPr>
      <w:r>
        <w:t xml:space="preserve">The implementation team </w:t>
      </w:r>
      <w:r w:rsidR="00D11996">
        <w:t>require</w:t>
      </w:r>
      <w:r>
        <w:t>s</w:t>
      </w:r>
      <w:r w:rsidR="00D11996">
        <w:t xml:space="preserve"> all beneficiaries assigned to POD treatment groups whose earnings exceed the POD thresho</w:t>
      </w:r>
      <w:r w:rsidR="001C6279">
        <w:t xml:space="preserve">ld to report earnings to SSA.  They do not plan </w:t>
      </w:r>
      <w:r w:rsidR="00D11996">
        <w:t>o</w:t>
      </w:r>
      <w:r w:rsidR="001C6279">
        <w:t>n</w:t>
      </w:r>
      <w:r w:rsidR="00D11996">
        <w:t xml:space="preserve"> sampling for the implementation data collection.</w:t>
      </w:r>
    </w:p>
    <w:p w14:paraId="7E3359C4" w14:textId="77777777" w:rsidR="00D11996" w:rsidRDefault="00D11996" w:rsidP="00D11996">
      <w:pPr>
        <w:pStyle w:val="H4Number"/>
      </w:pPr>
      <w:bookmarkStart w:id="11" w:name="_Toc476920454"/>
      <w:r>
        <w:t>B.2.2</w:t>
      </w:r>
      <w:r w:rsidRPr="003A4919">
        <w:t xml:space="preserve"> Estimation procedure</w:t>
      </w:r>
      <w:bookmarkEnd w:id="11"/>
    </w:p>
    <w:p w14:paraId="1307A68C" w14:textId="77777777" w:rsidR="00D11996" w:rsidRDefault="00D11996" w:rsidP="00D11996">
      <w:pPr>
        <w:pStyle w:val="NormalSS"/>
      </w:pPr>
      <w:r>
        <w:t>The POD evaluation team expects that the estimation methods differ more substantively by analysis type than by data collection effort.  Therefore, the following subsections describes the methods that Mathematica plans to use for each of the major analysis components of the POD evaluation.</w:t>
      </w:r>
    </w:p>
    <w:p w14:paraId="278D0388" w14:textId="58028F42" w:rsidR="00D11996" w:rsidRDefault="00D11996" w:rsidP="00D11996">
      <w:pPr>
        <w:pStyle w:val="NormalSS"/>
      </w:pPr>
      <w:r w:rsidRPr="00D831C6">
        <w:rPr>
          <w:b/>
        </w:rPr>
        <w:t xml:space="preserve">Process Analysis. </w:t>
      </w:r>
      <w:r>
        <w:rPr>
          <w:b/>
        </w:rPr>
        <w:t xml:space="preserve"> </w:t>
      </w:r>
      <w:r w:rsidRPr="00FD65D1">
        <w:t>As discussed in</w:t>
      </w:r>
      <w:r>
        <w:t xml:space="preserve"> Part </w:t>
      </w:r>
      <w:r w:rsidR="00FF3474">
        <w:t xml:space="preserve">A, the POD evaluation team </w:t>
      </w:r>
      <w:r>
        <w:t>use</w:t>
      </w:r>
      <w:r w:rsidR="00FF3474">
        <w:t>s</w:t>
      </w:r>
      <w:r>
        <w:t xml:space="preserve"> site visit and semi-structured interview data to </w:t>
      </w:r>
      <w:r w:rsidRPr="00A10FC1">
        <w:t xml:space="preserve">provide a detailed </w:t>
      </w:r>
      <w:r>
        <w:t xml:space="preserve">description of </w:t>
      </w:r>
      <w:r w:rsidR="001C6279">
        <w:t>the POD programs:  how they implement the POD program</w:t>
      </w:r>
      <w:r>
        <w:t>;</w:t>
      </w:r>
      <w:r w:rsidRPr="00A10FC1">
        <w:t xml:space="preserve"> the</w:t>
      </w:r>
      <w:r>
        <w:t xml:space="preserve"> contexts in which they operate;</w:t>
      </w:r>
      <w:r w:rsidRPr="00A10FC1">
        <w:t xml:space="preserve"> the program operatio</w:t>
      </w:r>
      <w:r>
        <w:t>ns and their fidelity to design;</w:t>
      </w:r>
      <w:r w:rsidRPr="00A10FC1">
        <w:t xml:space="preserve"> and </w:t>
      </w:r>
      <w:r>
        <w:t>subjects</w:t>
      </w:r>
      <w:r w:rsidRPr="00A10FC1">
        <w:t xml:space="preserve">’ perspectives of POD. </w:t>
      </w:r>
      <w:r>
        <w:t xml:space="preserve"> </w:t>
      </w:r>
      <w:r w:rsidR="00FF3474">
        <w:t>These detailed descriptions</w:t>
      </w:r>
      <w:r w:rsidRPr="00A10FC1">
        <w:t xml:space="preserve"> assist in interpreting program impacts, and identifying program features and conditions necessary for effective program replication or improvement. </w:t>
      </w:r>
      <w:r>
        <w:t xml:space="preserve"> </w:t>
      </w:r>
      <w:r w:rsidRPr="00A10FC1">
        <w:t xml:space="preserve">The </w:t>
      </w:r>
      <w:r w:rsidRPr="00EE1A0F">
        <w:t xml:space="preserve">evaluation </w:t>
      </w:r>
      <w:r w:rsidR="00FF3474">
        <w:t xml:space="preserve">team </w:t>
      </w:r>
      <w:r w:rsidRPr="00A10FC1">
        <w:t>gather</w:t>
      </w:r>
      <w:r w:rsidR="00FF3474">
        <w:t>s</w:t>
      </w:r>
      <w:r w:rsidRPr="00A10FC1">
        <w:t xml:space="preserve"> information using a range of tech</w:t>
      </w:r>
      <w:r w:rsidR="001C6279">
        <w:t>niques and data sources to</w:t>
      </w:r>
      <w:r w:rsidRPr="00A10FC1">
        <w:t xml:space="preserve"> describe the programs and activities</w:t>
      </w:r>
      <w:r w:rsidR="001C6279">
        <w:t xml:space="preserve"> fully</w:t>
      </w:r>
      <w:r w:rsidRPr="00A10FC1">
        <w:t xml:space="preserve">. </w:t>
      </w:r>
      <w:r>
        <w:t xml:space="preserve"> </w:t>
      </w:r>
      <w:r w:rsidRPr="00A10FC1">
        <w:t xml:space="preserve">The </w:t>
      </w:r>
      <w:r w:rsidRPr="00EE1A0F">
        <w:t xml:space="preserve">evaluation </w:t>
      </w:r>
      <w:r w:rsidR="00FF3474">
        <w:t xml:space="preserve">team </w:t>
      </w:r>
      <w:r w:rsidRPr="00A10FC1">
        <w:t>use</w:t>
      </w:r>
      <w:r w:rsidR="00FF3474">
        <w:t>s</w:t>
      </w:r>
      <w:r w:rsidRPr="00A10FC1">
        <w:t xml:space="preserve"> the Consolidated Framework for Implementation Research </w:t>
      </w:r>
      <w:r>
        <w:t>(CFIR;</w:t>
      </w:r>
      <w:r w:rsidRPr="00F63DD7">
        <w:t xml:space="preserve"> </w:t>
      </w:r>
      <w:r w:rsidRPr="00D11996">
        <w:rPr>
          <w:rFonts w:ascii="TimesNewRomanPSMT" w:hAnsi="TimesNewRomanPSMT" w:cs="TimesNewRomanPSMT"/>
          <w:szCs w:val="22"/>
        </w:rPr>
        <w:t>Damschroder et al. 2009</w:t>
      </w:r>
      <w:r w:rsidRPr="00D11996">
        <w:rPr>
          <w:rFonts w:ascii="TimesNewRomanPSMT" w:hAnsi="TimesNewRomanPSMT" w:cs="TimesNewRomanPSMT"/>
          <w:sz w:val="22"/>
          <w:szCs w:val="22"/>
        </w:rPr>
        <w:t>)</w:t>
      </w:r>
      <w:r>
        <w:t xml:space="preserve"> </w:t>
      </w:r>
      <w:r w:rsidRPr="00A10FC1">
        <w:t xml:space="preserve">to guide the collection, analysis, and interpretation, of qualitative data. </w:t>
      </w:r>
      <w:r>
        <w:t xml:space="preserve"> </w:t>
      </w:r>
      <w:r w:rsidRPr="00A10FC1">
        <w:t xml:space="preserve">The </w:t>
      </w:r>
      <w:r>
        <w:t>CFIR</w:t>
      </w:r>
      <w:r w:rsidRPr="00A10FC1">
        <w:t xml:space="preserve"> is an implementation framework that guides systematic assessment of the multilevel and diverse contexts in interventions implementation and helps understanding of the myriad factors that might influence intervention implementation and effectiveness. </w:t>
      </w:r>
    </w:p>
    <w:p w14:paraId="67CD347F" w14:textId="356E89D9" w:rsidR="00D11996" w:rsidRPr="008B52C1" w:rsidRDefault="00FF3474" w:rsidP="00D11996">
      <w:pPr>
        <w:pStyle w:val="NormalSS"/>
      </w:pPr>
      <w:r>
        <w:rPr>
          <w:rFonts w:ascii="TimesNewRomanPSMT" w:hAnsi="TimesNewRomanPSMT" w:cs="TimesNewRomanPSMT"/>
          <w:szCs w:val="22"/>
        </w:rPr>
        <w:t xml:space="preserve">Using the CFIR </w:t>
      </w:r>
      <w:r w:rsidR="00D11996" w:rsidRPr="00D11996">
        <w:rPr>
          <w:rFonts w:ascii="TimesNewRomanPSMT" w:hAnsi="TimesNewRomanPSMT" w:cs="TimesNewRomanPSMT"/>
          <w:szCs w:val="22"/>
        </w:rPr>
        <w:t>allow</w:t>
      </w:r>
      <w:r>
        <w:rPr>
          <w:rFonts w:ascii="TimesNewRomanPSMT" w:hAnsi="TimesNewRomanPSMT" w:cs="TimesNewRomanPSMT"/>
          <w:szCs w:val="22"/>
        </w:rPr>
        <w:t>s</w:t>
      </w:r>
      <w:r w:rsidR="00D11996" w:rsidRPr="00D11996">
        <w:rPr>
          <w:rFonts w:ascii="TimesNewRomanPSMT" w:hAnsi="TimesNewRomanPSMT" w:cs="TimesNewRomanPSMT"/>
          <w:szCs w:val="22"/>
        </w:rPr>
        <w:t xml:space="preserve"> the evaluation team to structure the analyses of POD implementation to produce results based on objective, reliable qualitative data across the key domains related to the program environment; early implementation, program operations; fidelity; systems change; and beneficiary perspectives.  For each of these do</w:t>
      </w:r>
      <w:r>
        <w:rPr>
          <w:rFonts w:ascii="TimesNewRomanPSMT" w:hAnsi="TimesNewRomanPSMT" w:cs="TimesNewRomanPSMT"/>
          <w:szCs w:val="22"/>
        </w:rPr>
        <w:t xml:space="preserve">mains, the evaluation team </w:t>
      </w:r>
      <w:r w:rsidR="00D11996" w:rsidRPr="00D11996">
        <w:rPr>
          <w:rFonts w:ascii="TimesNewRomanPSMT" w:hAnsi="TimesNewRomanPSMT" w:cs="TimesNewRomanPSMT"/>
          <w:szCs w:val="22"/>
        </w:rPr>
        <w:t>develop</w:t>
      </w:r>
      <w:r>
        <w:rPr>
          <w:rFonts w:ascii="TimesNewRomanPSMT" w:hAnsi="TimesNewRomanPSMT" w:cs="TimesNewRomanPSMT"/>
          <w:szCs w:val="22"/>
        </w:rPr>
        <w:t>s</w:t>
      </w:r>
      <w:r w:rsidR="00D11996" w:rsidRPr="00D11996">
        <w:rPr>
          <w:rFonts w:ascii="TimesNewRomanPSMT" w:hAnsi="TimesNewRomanPSMT" w:cs="TimesNewRomanPSMT"/>
          <w:szCs w:val="22"/>
        </w:rPr>
        <w:t xml:space="preserve"> measurable constructs that align with research questions for the POD process analyses shown in Part A and Appendix C.  Based on this framewo</w:t>
      </w:r>
      <w:r w:rsidR="001C6279">
        <w:rPr>
          <w:rFonts w:ascii="TimesNewRomanPSMT" w:hAnsi="TimesNewRomanPSMT" w:cs="TimesNewRomanPSMT"/>
          <w:szCs w:val="22"/>
        </w:rPr>
        <w:t>rk, they will be able to</w:t>
      </w:r>
      <w:r w:rsidR="00D11996" w:rsidRPr="00D11996">
        <w:rPr>
          <w:rFonts w:ascii="TimesNewRomanPSMT" w:hAnsi="TimesNewRomanPSMT" w:cs="TimesNewRomanPSMT"/>
          <w:szCs w:val="22"/>
        </w:rPr>
        <w:t xml:space="preserve"> produce tables that summarize the major process findings in the study’s reports.  The CFIR may also allow the evaluation team to make systematic use of qualitative data as part of the impact analysis, permitting an examination of impacts vary with certain implementation constructs.</w:t>
      </w:r>
    </w:p>
    <w:p w14:paraId="4663DFE7" w14:textId="51D00471" w:rsidR="00D11996" w:rsidRPr="00D70BA6" w:rsidRDefault="00D11996" w:rsidP="007C49AF">
      <w:pPr>
        <w:pStyle w:val="NormalSS"/>
        <w:rPr>
          <w:color w:val="000000" w:themeColor="text1"/>
          <w:szCs w:val="24"/>
        </w:rPr>
      </w:pPr>
      <w:r w:rsidRPr="00D11996">
        <w:rPr>
          <w:rFonts w:ascii="TimesNewRomanPSMT" w:hAnsi="TimesNewRomanPSMT" w:cs="TimesNewRomanPSMT"/>
          <w:b/>
          <w:szCs w:val="24"/>
        </w:rPr>
        <w:t>Participation Analysis.</w:t>
      </w:r>
      <w:r w:rsidRPr="00D11996">
        <w:rPr>
          <w:rFonts w:ascii="TimesNewRomanPSMT" w:hAnsi="TimesNewRomanPSMT" w:cs="TimesNewRomanPSMT"/>
          <w:szCs w:val="24"/>
        </w:rPr>
        <w:t xml:space="preserve">  </w:t>
      </w:r>
      <w:r w:rsidR="00FF3474">
        <w:rPr>
          <w:rFonts w:ascii="TimesNewRomanPSMT" w:hAnsi="TimesNewRomanPSMT" w:cs="TimesNewRomanPSMT"/>
          <w:szCs w:val="24"/>
        </w:rPr>
        <w:t xml:space="preserve">The participation analysis </w:t>
      </w:r>
      <w:r w:rsidRPr="00D11996">
        <w:rPr>
          <w:rFonts w:ascii="TimesNewRomanPSMT" w:hAnsi="TimesNewRomanPSMT" w:cs="TimesNewRomanPSMT"/>
          <w:szCs w:val="24"/>
        </w:rPr>
        <w:t>examine</w:t>
      </w:r>
      <w:r w:rsidR="00FF3474">
        <w:rPr>
          <w:rFonts w:ascii="TimesNewRomanPSMT" w:hAnsi="TimesNewRomanPSMT" w:cs="TimesNewRomanPSMT"/>
          <w:szCs w:val="24"/>
        </w:rPr>
        <w:t>s</w:t>
      </w:r>
      <w:r w:rsidRPr="00D11996">
        <w:rPr>
          <w:rFonts w:ascii="TimesNewRomanPSMT" w:hAnsi="TimesNewRomanPSMT" w:cs="TimesNewRomanPSMT"/>
          <w:szCs w:val="24"/>
        </w:rPr>
        <w:t xml:space="preserve"> recruitment, withdrawal, and use and non-use of POD’s </w:t>
      </w:r>
      <w:r w:rsidRPr="00D11996">
        <w:rPr>
          <w:szCs w:val="24"/>
        </w:rPr>
        <w:t>services and the benefit offset.  The first</w:t>
      </w:r>
      <w:r w:rsidR="00FF3474">
        <w:rPr>
          <w:szCs w:val="24"/>
        </w:rPr>
        <w:t xml:space="preserve"> component of the analysis </w:t>
      </w:r>
      <w:r w:rsidRPr="00D11996">
        <w:rPr>
          <w:szCs w:val="24"/>
        </w:rPr>
        <w:t>compare</w:t>
      </w:r>
      <w:r w:rsidR="00FF3474">
        <w:rPr>
          <w:szCs w:val="24"/>
        </w:rPr>
        <w:t>s</w:t>
      </w:r>
      <w:r w:rsidRPr="00D11996">
        <w:rPr>
          <w:szCs w:val="24"/>
        </w:rPr>
        <w:t xml:space="preserve"> the study subjects’ characteristics to those of nonparticipants in the recruitment p</w:t>
      </w:r>
      <w:r w:rsidR="00FF3474">
        <w:rPr>
          <w:szCs w:val="24"/>
        </w:rPr>
        <w:t xml:space="preserve">ool.  The second component </w:t>
      </w:r>
      <w:r w:rsidRPr="00D11996">
        <w:rPr>
          <w:szCs w:val="24"/>
        </w:rPr>
        <w:t>compare</w:t>
      </w:r>
      <w:r w:rsidR="00FF3474">
        <w:rPr>
          <w:szCs w:val="24"/>
        </w:rPr>
        <w:t>s</w:t>
      </w:r>
      <w:r w:rsidRPr="00D11996">
        <w:rPr>
          <w:szCs w:val="24"/>
        </w:rPr>
        <w:t xml:space="preserve"> treatment subjects who remain in their treatment to those who withdraw from it, separately for the two treatment gr</w:t>
      </w:r>
      <w:r w:rsidR="00FF3474">
        <w:rPr>
          <w:szCs w:val="24"/>
        </w:rPr>
        <w:t xml:space="preserve">oups.  The third component </w:t>
      </w:r>
      <w:r w:rsidRPr="00D11996">
        <w:rPr>
          <w:szCs w:val="24"/>
        </w:rPr>
        <w:t>examine</w:t>
      </w:r>
      <w:r w:rsidR="00FF3474">
        <w:rPr>
          <w:szCs w:val="24"/>
        </w:rPr>
        <w:t>s</w:t>
      </w:r>
      <w:r w:rsidRPr="00D11996">
        <w:rPr>
          <w:szCs w:val="24"/>
        </w:rPr>
        <w:t xml:space="preserve"> how subjects in the treatment groups use demonstration services and the offset, including the extent to which they report earnings each month, receive benefits counseling, and earn enough to have benefits reduced under the offset.  </w:t>
      </w:r>
      <w:r w:rsidR="00FF3474">
        <w:rPr>
          <w:szCs w:val="24"/>
        </w:rPr>
        <w:t>These analyses</w:t>
      </w:r>
      <w:r w:rsidR="00E62191" w:rsidRPr="00D11996">
        <w:rPr>
          <w:szCs w:val="24"/>
        </w:rPr>
        <w:t xml:space="preserve"> make comparisons of these intermediate outcomes across subgroups of subjects using chi-squared tests and multivariate linear regressions</w:t>
      </w:r>
      <w:r w:rsidR="007C49AF">
        <w:rPr>
          <w:szCs w:val="24"/>
        </w:rPr>
        <w:t xml:space="preserve">. </w:t>
      </w:r>
      <w:r w:rsidR="00FF3474">
        <w:rPr>
          <w:szCs w:val="24"/>
        </w:rPr>
        <w:t xml:space="preserve"> </w:t>
      </w:r>
      <w:r w:rsidR="007C49AF">
        <w:rPr>
          <w:szCs w:val="24"/>
        </w:rPr>
        <w:t xml:space="preserve">For binary variables, </w:t>
      </w:r>
      <w:r w:rsidR="00FF3474">
        <w:rPr>
          <w:color w:val="000000" w:themeColor="text1"/>
        </w:rPr>
        <w:t xml:space="preserve">we </w:t>
      </w:r>
      <w:r w:rsidR="007C49AF" w:rsidRPr="00D70BA6">
        <w:rPr>
          <w:color w:val="000000" w:themeColor="text1"/>
        </w:rPr>
        <w:t xml:space="preserve">compare the main estimates from a linear probability model to those from logistic regression for the primary impact outcomes and for the key participation analysis outcomes, especially considering that some of the participation analysis outcomes have low prevalence and are more sensitive to the model specification.  We describe the specifics of the control variables for the model in the impact section below. </w:t>
      </w:r>
    </w:p>
    <w:p w14:paraId="00916CC0" w14:textId="0311EC1B" w:rsidR="00D11996" w:rsidRPr="00D11996" w:rsidRDefault="00D11996" w:rsidP="00D11996">
      <w:pPr>
        <w:pStyle w:val="NormalSS"/>
      </w:pPr>
      <w:r w:rsidRPr="00D831C6">
        <w:rPr>
          <w:b/>
        </w:rPr>
        <w:t>Impact Analysis.</w:t>
      </w:r>
      <w:r>
        <w:t xml:space="preserve">  </w:t>
      </w:r>
      <w:r w:rsidRPr="00E30E83">
        <w:t xml:space="preserve">The objective of the impact analysis is to provide statistically valid and reliable estimates of the effects of </w:t>
      </w:r>
      <w:r>
        <w:t>POD on</w:t>
      </w:r>
      <w:r w:rsidRPr="00E30E83">
        <w:t xml:space="preserve"> the economic outcomes of </w:t>
      </w:r>
      <w:r>
        <w:t>subjects enrolled during the recruitment phase</w:t>
      </w:r>
      <w:r w:rsidR="00FF3474">
        <w:t>.  The POD evaluation team relies</w:t>
      </w:r>
      <w:r>
        <w:t xml:space="preserve"> on the experimental </w:t>
      </w:r>
      <w:r w:rsidRPr="00E30E83">
        <w:t xml:space="preserve">design to </w:t>
      </w:r>
      <w:r>
        <w:t xml:space="preserve">estimate </w:t>
      </w:r>
      <w:r w:rsidRPr="00E30E83">
        <w:t>the causal impact</w:t>
      </w:r>
      <w:r>
        <w:t xml:space="preserve">s of the new benefit offset policies available to subjects through the demonstration.  </w:t>
      </w:r>
      <w:r w:rsidR="00FF3474">
        <w:t xml:space="preserve">Random assignment </w:t>
      </w:r>
      <w:r w:rsidRPr="00E30E83">
        <w:t>enable</w:t>
      </w:r>
      <w:r w:rsidR="00FF3474">
        <w:t>s</w:t>
      </w:r>
      <w:r w:rsidRPr="00E30E83">
        <w:t xml:space="preserve"> estimation of the net impact of </w:t>
      </w:r>
      <w:r>
        <w:t xml:space="preserve">those policies by </w:t>
      </w:r>
      <w:r w:rsidRPr="00E30E83">
        <w:t xml:space="preserve">comparing average outcomes across the </w:t>
      </w:r>
      <w:r>
        <w:t xml:space="preserve">treatment </w:t>
      </w:r>
      <w:r w:rsidRPr="00E30E83">
        <w:t>and control groups.</w:t>
      </w:r>
      <w:r>
        <w:t xml:space="preserve">  T</w:t>
      </w:r>
      <w:r w:rsidRPr="00D11996">
        <w:t xml:space="preserve">he evaluation team’s analysis will focus on intent-to-treat estimates, which measure how the </w:t>
      </w:r>
      <w:r w:rsidRPr="00D11996">
        <w:rPr>
          <w:i/>
        </w:rPr>
        <w:t>offer</w:t>
      </w:r>
      <w:r w:rsidRPr="00D11996">
        <w:t xml:space="preserve"> of the POD offset shaped volunteers’ behavior after they enrolled in the demonstration. </w:t>
      </w:r>
    </w:p>
    <w:p w14:paraId="6605AE55" w14:textId="322C81C2" w:rsidR="00D11996" w:rsidRDefault="00D11996" w:rsidP="00D11996">
      <w:pPr>
        <w:pStyle w:val="NormalSS"/>
      </w:pPr>
      <w:r w:rsidRPr="00D11996">
        <w:rPr>
          <w:i/>
        </w:rPr>
        <w:t xml:space="preserve">Primary outcomes. </w:t>
      </w:r>
      <w:r w:rsidRPr="00D11996">
        <w:t xml:space="preserve">To avoid concerns about </w:t>
      </w:r>
      <w:r w:rsidR="001C6279" w:rsidRPr="00D11996">
        <w:t>data mining</w:t>
      </w:r>
      <w:r w:rsidRPr="00D11996">
        <w:t xml:space="preserve"> and reduce the extent of false positives, </w:t>
      </w:r>
      <w:r>
        <w:t>the POD evaluation team</w:t>
      </w:r>
      <w:r w:rsidRPr="003A4919">
        <w:t xml:space="preserve"> </w:t>
      </w:r>
      <w:r w:rsidR="00FF3474">
        <w:t>pre-specifies</w:t>
      </w:r>
      <w:r w:rsidRPr="003A4919">
        <w:t xml:space="preserve"> a parsimonious set of </w:t>
      </w:r>
      <w:r>
        <w:t>primary outcomes in important study domains.  A preliminary list of those domains includes</w:t>
      </w:r>
      <w:r w:rsidRPr="00D11996">
        <w:t xml:space="preserve"> </w:t>
      </w:r>
      <w:r w:rsidR="001C6279" w:rsidRPr="00D11996">
        <w:t>employment;</w:t>
      </w:r>
      <w:r w:rsidRPr="00D11996">
        <w:t xml:space="preserve"> earning</w:t>
      </w:r>
      <w:r w:rsidR="001C6279">
        <w:t>s above a substantive threshold; SSDI benefit payments received;</w:t>
      </w:r>
      <w:r w:rsidRPr="00D11996">
        <w:t xml:space="preserve"> and total income (benefits + earnings).  The evaluation team will refine this list and to define specific outcomes prior to conducting the ana</w:t>
      </w:r>
      <w:r w:rsidR="00FF3474">
        <w:t xml:space="preserve">lysis.  Evaluation reports </w:t>
      </w:r>
      <w:r w:rsidRPr="00D11996">
        <w:t xml:space="preserve">also include results for secondary outcomes related to services received, employment, receipt of benefits, and income.  However, </w:t>
      </w:r>
      <w:r w:rsidR="00FF3474">
        <w:t xml:space="preserve">the evaluation team </w:t>
      </w:r>
      <w:r w:rsidR="001C6279">
        <w:t>consider</w:t>
      </w:r>
      <w:r w:rsidR="00FF3474">
        <w:t>s</w:t>
      </w:r>
      <w:r w:rsidR="001C6279">
        <w:t xml:space="preserve"> </w:t>
      </w:r>
      <w:r w:rsidRPr="00D11996">
        <w:t>these results exploratory.  This approach, which is based on guidance for</w:t>
      </w:r>
      <w:r>
        <w:t xml:space="preserve"> evaluations conducted by the Department of </w:t>
      </w:r>
      <w:r w:rsidRPr="003A4919">
        <w:t>E</w:t>
      </w:r>
      <w:r>
        <w:t>ducation</w:t>
      </w:r>
      <w:r w:rsidRPr="003A4919">
        <w:t>’s Institute for Education Sciences</w:t>
      </w:r>
      <w:r>
        <w:t>,</w:t>
      </w:r>
      <w:r w:rsidRPr="003A4919">
        <w:t xml:space="preserve"> </w:t>
      </w:r>
      <w:r>
        <w:t xml:space="preserve">strikes a </w:t>
      </w:r>
      <w:r w:rsidRPr="003A4919">
        <w:t xml:space="preserve">balance </w:t>
      </w:r>
      <w:r>
        <w:t xml:space="preserve">between </w:t>
      </w:r>
      <w:r w:rsidRPr="003A4919">
        <w:t xml:space="preserve">addressing the multiple comparisons problem while maintaining the evaluation’s ability to detect policy-relevant impacts. </w:t>
      </w:r>
      <w:r>
        <w:t xml:space="preserve"> </w:t>
      </w:r>
      <w:r w:rsidRPr="003A4919">
        <w:t xml:space="preserve">By limiting the number of </w:t>
      </w:r>
      <w:r>
        <w:t xml:space="preserve">primary </w:t>
      </w:r>
      <w:r w:rsidRPr="003A4919">
        <w:t xml:space="preserve">outcomes tested in the impact analysis, this approach reduces the likelihood of false positives without undermining the evaluation’s statistical power to detect true impacts on any single outcome. </w:t>
      </w:r>
    </w:p>
    <w:p w14:paraId="02FDCFA5" w14:textId="6D4F2262" w:rsidR="00D11996" w:rsidRPr="0046296F" w:rsidRDefault="00D11996" w:rsidP="00D11996">
      <w:pPr>
        <w:pStyle w:val="NormalSS"/>
        <w:rPr>
          <w:szCs w:val="24"/>
        </w:rPr>
      </w:pPr>
      <w:r>
        <w:rPr>
          <w:i/>
        </w:rPr>
        <w:t xml:space="preserve">Model. </w:t>
      </w:r>
      <w:r>
        <w:t>The</w:t>
      </w:r>
      <w:r w:rsidRPr="003A4919">
        <w:t xml:space="preserve"> main impact model </w:t>
      </w:r>
      <w:r w:rsidR="00FF3474">
        <w:t>is</w:t>
      </w:r>
      <w:r w:rsidRPr="003A4919">
        <w:t xml:space="preserve"> a weighted linear regression model that pools together data from all states and includes interactions to allow for state-level heterogeneity in beneficiary characteristics, program implementation, and contextual factors. </w:t>
      </w:r>
      <w:r>
        <w:t xml:space="preserve"> </w:t>
      </w:r>
      <w:r w:rsidR="00FF3474">
        <w:t xml:space="preserve">The evaluation team </w:t>
      </w:r>
      <w:r w:rsidR="00206C9D">
        <w:t>use</w:t>
      </w:r>
      <w:r w:rsidR="00FF3474">
        <w:t>s</w:t>
      </w:r>
      <w:r w:rsidR="00206C9D">
        <w:t xml:space="preserve"> the </w:t>
      </w:r>
      <w:r w:rsidR="00206C9D">
        <w:rPr>
          <w:szCs w:val="24"/>
        </w:rPr>
        <w:t xml:space="preserve">following </w:t>
      </w:r>
      <w:r w:rsidR="00206C9D" w:rsidRPr="001D7DBD">
        <w:rPr>
          <w:szCs w:val="24"/>
        </w:rPr>
        <w:t>interacted regression model to estimate the pooled impact of each POD treatment arm</w:t>
      </w:r>
      <w:r w:rsidRPr="003A4919">
        <w:t>:</w:t>
      </w:r>
    </w:p>
    <w:p w14:paraId="5E13A6EF" w14:textId="0FA2D1BD" w:rsidR="00D11996" w:rsidRPr="0046296F" w:rsidRDefault="00D11996" w:rsidP="00D11996">
      <w:pPr>
        <w:keepNext/>
        <w:spacing w:after="240" w:line="240" w:lineRule="auto"/>
        <w:rPr>
          <w:szCs w:val="24"/>
        </w:rPr>
      </w:pPr>
      <w:r>
        <w:rPr>
          <w:szCs w:val="24"/>
        </w:rPr>
        <w:tab/>
      </w:r>
      <w:r w:rsidRPr="0046296F">
        <w:rPr>
          <w:szCs w:val="24"/>
        </w:rPr>
        <w:t>[1]</w:t>
      </w:r>
      <w:r w:rsidRPr="0046296F">
        <w:rPr>
          <w:szCs w:val="24"/>
        </w:rPr>
        <w:tab/>
        <w:t xml:space="preserve"> </w:t>
      </w:r>
      <m:oMath>
        <m:sSub>
          <m:sSubPr>
            <m:ctrlPr>
              <w:rPr>
                <w:rFonts w:ascii="Cambria Math" w:hAnsi="Cambria Math"/>
                <w:szCs w:val="24"/>
              </w:rPr>
            </m:ctrlPr>
          </m:sSubPr>
          <m:e>
            <m:r>
              <w:rPr>
                <w:rFonts w:ascii="Cambria Math" w:hAnsi="Cambria Math"/>
                <w:szCs w:val="24"/>
              </w:rPr>
              <m:t>y</m:t>
            </m:r>
          </m:e>
          <m:sub>
            <m:r>
              <w:rPr>
                <w:rFonts w:ascii="Cambria Math" w:hAnsi="Cambria Math"/>
                <w:szCs w:val="24"/>
              </w:rPr>
              <m:t>is</m:t>
            </m:r>
            <m:r>
              <m:rPr>
                <m:sty m:val="p"/>
              </m:rPr>
              <w:rPr>
                <w:rFonts w:ascii="Cambria Math" w:hAnsi="Cambria Math"/>
                <w:szCs w:val="24"/>
              </w:rPr>
              <m:t xml:space="preserve"> </m:t>
            </m:r>
          </m:sub>
        </m:sSub>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s</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m:rPr>
                <m:sty m:val="p"/>
              </m:rPr>
              <w:rPr>
                <w:rFonts w:ascii="Cambria Math" w:hAnsi="Cambria Math"/>
                <w:szCs w:val="24"/>
              </w:rPr>
              <m:t>1</m:t>
            </m:r>
          </m:sub>
        </m:sSub>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1</m:t>
            </m:r>
          </m:e>
          <m:sub>
            <m:r>
              <w:rPr>
                <w:rFonts w:ascii="Cambria Math" w:hAnsi="Cambria Math"/>
                <w:szCs w:val="24"/>
              </w:rPr>
              <m:t>i</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m:rPr>
                <m:sty m:val="p"/>
              </m:rPr>
              <w:rPr>
                <w:rFonts w:ascii="Cambria Math" w:hAnsi="Cambria Math"/>
                <w:szCs w:val="24"/>
              </w:rPr>
              <m:t>2</m:t>
            </m:r>
          </m:sub>
        </m:sSub>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2</m:t>
            </m:r>
          </m:e>
          <m:sub>
            <m:r>
              <w:rPr>
                <w:rFonts w:ascii="Cambria Math" w:hAnsi="Cambria Math"/>
                <w:szCs w:val="24"/>
              </w:rPr>
              <m:t>i</m:t>
            </m:r>
          </m:sub>
        </m:sSub>
        <m:r>
          <m:rPr>
            <m:sty m:val="b"/>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b</m:t>
            </m:r>
            <m:r>
              <m:rPr>
                <m:sty m:val="b"/>
              </m:rPr>
              <w:rPr>
                <w:rFonts w:ascii="Cambria Math" w:hAnsi="Cambria Math"/>
                <w:szCs w:val="24"/>
              </w:rPr>
              <m:t>'</m:t>
            </m:r>
          </m:e>
          <m:sub>
            <m:r>
              <m:rPr>
                <m:sty m:val="bi"/>
              </m:rPr>
              <w:rPr>
                <w:rFonts w:ascii="Cambria Math" w:hAnsi="Cambria Math"/>
                <w:szCs w:val="24"/>
              </w:rPr>
              <m:t>s</m:t>
            </m:r>
          </m:sub>
        </m:sSub>
        <m:sSub>
          <m:sSubPr>
            <m:ctrlPr>
              <w:rPr>
                <w:rFonts w:ascii="Cambria Math" w:hAnsi="Cambria Math"/>
                <w:b/>
                <w:szCs w:val="24"/>
              </w:rPr>
            </m:ctrlPr>
          </m:sSubPr>
          <m:e>
            <m:r>
              <m:rPr>
                <m:sty m:val="bi"/>
              </m:rPr>
              <w:rPr>
                <w:rFonts w:ascii="Cambria Math" w:hAnsi="Cambria Math"/>
                <w:szCs w:val="24"/>
              </w:rPr>
              <m:t>X</m:t>
            </m:r>
          </m:e>
          <m:sub>
            <m:r>
              <w:rPr>
                <w:rFonts w:ascii="Cambria Math" w:hAnsi="Cambria Math"/>
                <w:szCs w:val="24"/>
              </w:rPr>
              <m:t>is</m:t>
            </m:r>
          </m:sub>
        </m:sSub>
        <m:r>
          <m:rPr>
            <m:sty m:val="b"/>
          </m:rPr>
          <w:rPr>
            <w:rFonts w:ascii="Cambria Math" w:hAnsi="Cambria Math"/>
            <w:szCs w:val="24"/>
          </w:rPr>
          <m:t>+</m:t>
        </m:r>
        <m:sSub>
          <m:sSubPr>
            <m:ctrlPr>
              <w:rPr>
                <w:rFonts w:ascii="Cambria Math" w:hAnsi="Cambria Math"/>
                <w:szCs w:val="24"/>
              </w:rPr>
            </m:ctrlPr>
          </m:sSubPr>
          <m:e>
            <m:r>
              <w:rPr>
                <w:rFonts w:ascii="Cambria Math" w:hAnsi="Cambria Math"/>
                <w:szCs w:val="24"/>
              </w:rPr>
              <m:t>u</m:t>
            </m:r>
          </m:e>
          <m:sub>
            <m:r>
              <w:rPr>
                <w:rFonts w:ascii="Cambria Math" w:hAnsi="Cambria Math"/>
                <w:szCs w:val="24"/>
              </w:rPr>
              <m:t>is</m:t>
            </m:r>
          </m:sub>
        </m:sSub>
      </m:oMath>
    </w:p>
    <w:p w14:paraId="39542121" w14:textId="62FDCEB8" w:rsidR="00E87A07" w:rsidRDefault="00D11996" w:rsidP="003F498F">
      <w:pPr>
        <w:pStyle w:val="NormalSScontinued"/>
      </w:pPr>
      <w:r w:rsidRPr="0046296F">
        <w:rPr>
          <w:szCs w:val="24"/>
        </w:rPr>
        <w:t xml:space="preserve">where </w:t>
      </w:r>
      <m:oMath>
        <m:sSub>
          <m:sSubPr>
            <m:ctrlPr>
              <w:rPr>
                <w:rFonts w:ascii="Cambria Math" w:hAnsi="Cambria Math"/>
                <w:szCs w:val="24"/>
              </w:rPr>
            </m:ctrlPr>
          </m:sSubPr>
          <m:e>
            <m:r>
              <w:rPr>
                <w:rFonts w:ascii="Cambria Math" w:hAnsi="Cambria Math"/>
                <w:szCs w:val="24"/>
              </w:rPr>
              <m:t>y</m:t>
            </m:r>
          </m:e>
          <m:sub>
            <m:r>
              <w:rPr>
                <w:rFonts w:ascii="Cambria Math" w:hAnsi="Cambria Math"/>
                <w:szCs w:val="24"/>
              </w:rPr>
              <m:t>is</m:t>
            </m:r>
            <m:r>
              <m:rPr>
                <m:sty m:val="p"/>
              </m:rPr>
              <w:rPr>
                <w:rFonts w:ascii="Cambria Math" w:hAnsi="Cambria Math"/>
                <w:szCs w:val="24"/>
              </w:rPr>
              <m:t xml:space="preserve"> </m:t>
            </m:r>
          </m:sub>
        </m:sSub>
      </m:oMath>
      <w:r w:rsidRPr="0046296F">
        <w:rPr>
          <w:szCs w:val="24"/>
        </w:rPr>
        <w:t xml:space="preserve"> is the outcome of interest for individual </w:t>
      </w:r>
      <m:oMath>
        <m:r>
          <w:rPr>
            <w:rFonts w:ascii="Cambria Math" w:hAnsi="Cambria Math"/>
            <w:szCs w:val="24"/>
          </w:rPr>
          <m:t>i</m:t>
        </m:r>
      </m:oMath>
      <w:r w:rsidRPr="0046296F">
        <w:rPr>
          <w:szCs w:val="24"/>
        </w:rPr>
        <w:t xml:space="preserve"> in state </w:t>
      </w:r>
      <m:oMath>
        <m:r>
          <w:rPr>
            <w:rFonts w:ascii="Cambria Math" w:hAnsi="Cambria Math"/>
            <w:szCs w:val="24"/>
          </w:rPr>
          <m:t>s</m:t>
        </m:r>
      </m:oMath>
      <w:r w:rsidRPr="0046296F">
        <w:rPr>
          <w:szCs w:val="24"/>
        </w:rPr>
        <w:t xml:space="preserve">, </w:t>
      </w:r>
      <m:oMath>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s</m:t>
            </m:r>
          </m:sub>
        </m:sSub>
      </m:oMath>
      <w:r w:rsidRPr="0046296F">
        <w:rPr>
          <w:szCs w:val="24"/>
        </w:rPr>
        <w:t xml:space="preserve"> is a state fixed effect, </w:t>
      </w:r>
      <m:oMath>
        <m:sSub>
          <m:sSubPr>
            <m:ctrlPr>
              <w:rPr>
                <w:rFonts w:ascii="Cambria Math" w:hAnsi="Cambria Math"/>
                <w:szCs w:val="24"/>
              </w:rPr>
            </m:ctrlPr>
          </m:sSubPr>
          <m:e>
            <m:r>
              <w:rPr>
                <w:rFonts w:ascii="Cambria Math" w:hAnsi="Cambria Math"/>
                <w:szCs w:val="24"/>
              </w:rPr>
              <m:t>T1</m:t>
            </m:r>
          </m:e>
          <m:sub>
            <m:r>
              <w:rPr>
                <w:rFonts w:ascii="Cambria Math" w:hAnsi="Cambria Math"/>
                <w:szCs w:val="24"/>
              </w:rPr>
              <m:t>i</m:t>
            </m:r>
          </m:sub>
        </m:sSub>
      </m:oMath>
      <w:r w:rsidRPr="0046296F">
        <w:rPr>
          <w:szCs w:val="24"/>
        </w:rPr>
        <w:t xml:space="preserve"> and </w:t>
      </w:r>
      <m:oMath>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2</m:t>
            </m:r>
          </m:e>
          <m:sub>
            <m:r>
              <w:rPr>
                <w:rFonts w:ascii="Cambria Math" w:hAnsi="Cambria Math"/>
                <w:szCs w:val="24"/>
              </w:rPr>
              <m:t>i</m:t>
            </m:r>
          </m:sub>
        </m:sSub>
      </m:oMath>
      <w:r w:rsidRPr="0046296F">
        <w:rPr>
          <w:szCs w:val="24"/>
        </w:rPr>
        <w:t xml:space="preserve"> denote assignment to the two POD treatment groups, </w:t>
      </w:r>
      <m:oMath>
        <m:sSub>
          <m:sSubPr>
            <m:ctrlPr>
              <w:rPr>
                <w:rFonts w:ascii="Cambria Math" w:hAnsi="Cambria Math"/>
                <w:b/>
                <w:szCs w:val="24"/>
              </w:rPr>
            </m:ctrlPr>
          </m:sSubPr>
          <m:e>
            <m:r>
              <m:rPr>
                <m:sty m:val="bi"/>
              </m:rPr>
              <w:rPr>
                <w:rFonts w:ascii="Cambria Math" w:hAnsi="Cambria Math"/>
                <w:szCs w:val="24"/>
              </w:rPr>
              <m:t>X</m:t>
            </m:r>
          </m:e>
          <m:sub>
            <m:r>
              <w:rPr>
                <w:rFonts w:ascii="Cambria Math" w:hAnsi="Cambria Math"/>
                <w:szCs w:val="24"/>
              </w:rPr>
              <m:t>is</m:t>
            </m:r>
          </m:sub>
        </m:sSub>
      </m:oMath>
      <w:r w:rsidRPr="0046296F">
        <w:rPr>
          <w:b/>
          <w:szCs w:val="24"/>
        </w:rPr>
        <w:t xml:space="preserve"> </w:t>
      </w:r>
      <w:r w:rsidRPr="0046296F">
        <w:rPr>
          <w:szCs w:val="24"/>
        </w:rPr>
        <w:t xml:space="preserve">denotes a set of </w:t>
      </w:r>
      <m:oMath>
        <m:r>
          <w:rPr>
            <w:rFonts w:ascii="Cambria Math" w:hAnsi="Cambria Math"/>
            <w:szCs w:val="24"/>
          </w:rPr>
          <m:t>K</m:t>
        </m:r>
      </m:oMath>
      <w:r w:rsidRPr="0046296F">
        <w:rPr>
          <w:szCs w:val="24"/>
        </w:rPr>
        <w:t xml:space="preserve"> covariates included to </w:t>
      </w:r>
      <w:r w:rsidRPr="00206C9D">
        <w:rPr>
          <w:szCs w:val="24"/>
        </w:rPr>
        <w:t xml:space="preserve">improve precision, and </w:t>
      </w:r>
      <m:oMath>
        <m:sSub>
          <m:sSubPr>
            <m:ctrlPr>
              <w:rPr>
                <w:rFonts w:ascii="Cambria Math" w:hAnsi="Cambria Math"/>
                <w:szCs w:val="24"/>
              </w:rPr>
            </m:ctrlPr>
          </m:sSubPr>
          <m:e>
            <m:r>
              <w:rPr>
                <w:rFonts w:ascii="Cambria Math" w:hAnsi="Cambria Math"/>
                <w:szCs w:val="24"/>
              </w:rPr>
              <m:t>u</m:t>
            </m:r>
          </m:e>
          <m:sub>
            <m:r>
              <w:rPr>
                <w:rFonts w:ascii="Cambria Math" w:hAnsi="Cambria Math"/>
                <w:szCs w:val="24"/>
              </w:rPr>
              <m:t>is</m:t>
            </m:r>
          </m:sub>
        </m:sSub>
      </m:oMath>
      <w:r w:rsidRPr="00206C9D">
        <w:rPr>
          <w:szCs w:val="24"/>
        </w:rPr>
        <w:t xml:space="preserve"> is an error term.  </w:t>
      </w:r>
      <w:r w:rsidR="00FF3474">
        <w:rPr>
          <w:szCs w:val="24"/>
        </w:rPr>
        <w:t xml:space="preserve">The set of covariates </w:t>
      </w:r>
      <w:r w:rsidR="00206C9D" w:rsidRPr="00206C9D">
        <w:rPr>
          <w:szCs w:val="24"/>
        </w:rPr>
        <w:t>include</w:t>
      </w:r>
      <w:r w:rsidR="00FF3474">
        <w:rPr>
          <w:szCs w:val="24"/>
        </w:rPr>
        <w:t>s</w:t>
      </w:r>
      <w:r w:rsidR="00206C9D" w:rsidRPr="00206C9D">
        <w:rPr>
          <w:szCs w:val="24"/>
        </w:rPr>
        <w:t xml:space="preserve"> gender, age, whether completed high school, whether non-white, whether living in poverty, whether health status is poor, categorical variables for primary impairment, years since onset of disability, recent annual earnings, whether earned $1,000 or more in at least one of previous 12 months, completion of TWP, completion of the Grace </w:t>
      </w:r>
      <w:r w:rsidR="004C75EC">
        <w:rPr>
          <w:szCs w:val="24"/>
        </w:rPr>
        <w:t>P</w:t>
      </w:r>
      <w:r w:rsidR="00206C9D" w:rsidRPr="00206C9D">
        <w:rPr>
          <w:szCs w:val="24"/>
        </w:rPr>
        <w:t>eriod, monthly SSDI benefits, number of months receiving SSDI, and whether SSDI only or a concurrent SSI beneficiary.</w:t>
      </w:r>
      <w:r w:rsidR="00206C9D">
        <w:rPr>
          <w:sz w:val="22"/>
          <w:szCs w:val="22"/>
        </w:rPr>
        <w:t xml:space="preserve"> </w:t>
      </w:r>
      <w:r w:rsidR="00FF3474">
        <w:rPr>
          <w:sz w:val="22"/>
          <w:szCs w:val="22"/>
        </w:rPr>
        <w:t xml:space="preserve"> </w:t>
      </w:r>
      <w:r w:rsidR="00FF3474">
        <w:t xml:space="preserve">The evaluation team </w:t>
      </w:r>
      <w:r w:rsidRPr="00D11996">
        <w:t>estimate</w:t>
      </w:r>
      <w:r w:rsidR="00FF3474">
        <w:t>s</w:t>
      </w:r>
      <w:r w:rsidRPr="00D11996">
        <w:t xml:space="preserve"> impacts separately for pairwise comparisons between all three random</w:t>
      </w:r>
      <w:r w:rsidRPr="00D11996">
        <w:noBreakHyphen/>
        <w:t xml:space="preserve">assignment groups (T1 versus control, T2 versus control, and T1 versus T2).  </w:t>
      </w:r>
    </w:p>
    <w:p w14:paraId="7ED74847" w14:textId="0A166D57" w:rsidR="00E87A07" w:rsidRDefault="00E87A07" w:rsidP="00E87A07">
      <w:pPr>
        <w:pStyle w:val="NormalSScontinued"/>
        <w:ind w:firstLine="432"/>
      </w:pPr>
      <w:r w:rsidRPr="00E87A07">
        <w:t xml:space="preserve">The results from the linear regression model analysis will have an immediate and straightforward interpretation for understanding the effects of the benefit offset. </w:t>
      </w:r>
      <w:r w:rsidR="00FA793A">
        <w:t xml:space="preserve"> </w:t>
      </w:r>
      <w:r w:rsidRPr="00E87A07">
        <w:t xml:space="preserve">Estimates of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E87A07">
        <w:t xml:space="preserve"> and </w:t>
      </w:r>
      <m:oMath>
        <m:sSub>
          <m:sSubPr>
            <m:ctrlPr>
              <w:rPr>
                <w:rFonts w:ascii="Cambria Math" w:hAnsi="Cambria Math"/>
              </w:rPr>
            </m:ctrlPr>
          </m:sSubPr>
          <m:e>
            <m:r>
              <w:rPr>
                <w:rFonts w:ascii="Cambria Math" w:hAnsi="Cambria Math"/>
              </w:rPr>
              <m:t>d</m:t>
            </m:r>
          </m:e>
          <m:sub>
            <m:r>
              <w:rPr>
                <w:rFonts w:ascii="Cambria Math" w:hAnsi="Cambria Math"/>
              </w:rPr>
              <m:t>2</m:t>
            </m:r>
          </m:sub>
        </m:sSub>
      </m:oMath>
      <w:r w:rsidRPr="00E87A07">
        <w:t xml:space="preserve"> represent the intent-to-treat impacts of being assigned to each treatment arm relative to the control group; </w:t>
      </w:r>
      <w:r>
        <w:t xml:space="preserve">the evaluation </w:t>
      </w:r>
      <w:r w:rsidR="0099785F">
        <w:t>t</w:t>
      </w:r>
      <w:r>
        <w:t>eam</w:t>
      </w:r>
      <w:r w:rsidRPr="00E87A07">
        <w:t xml:space="preserve"> will mean-center the covariates so that </w:t>
      </w:r>
      <m:oMath>
        <m:r>
          <w:rPr>
            <w:rFonts w:ascii="Cambria Math" w:hAnsi="Cambria Math"/>
          </w:rPr>
          <m:t>c</m:t>
        </m:r>
      </m:oMath>
      <w:r w:rsidRPr="00E87A07">
        <w:t xml:space="preserve"> is readily interpretable as the mean level of the outcome of the control group. </w:t>
      </w:r>
      <w:r w:rsidR="00FA793A">
        <w:t xml:space="preserve"> </w:t>
      </w:r>
      <w:r>
        <w:t>The</w:t>
      </w:r>
      <w:r w:rsidR="004C75EC">
        <w:t xml:space="preserve"> team</w:t>
      </w:r>
      <w:r w:rsidRPr="00E87A07">
        <w:t xml:space="preserve"> can also use these estimates transparently to produce adjusted means for the two treatment groups (based on </w:t>
      </w:r>
      <w:r w:rsidRPr="00E87A07">
        <w:rPr>
          <w:i/>
        </w:rPr>
        <w:t xml:space="preserve">c </w:t>
      </w:r>
      <w:r w:rsidRPr="00E87A07">
        <w:t xml:space="preserve">+ </w:t>
      </w:r>
      <w:r w:rsidRPr="00E87A07">
        <w:rPr>
          <w:i/>
        </w:rPr>
        <w:t>d</w:t>
      </w:r>
      <w:r w:rsidRPr="00E87A07">
        <w:rPr>
          <w:vertAlign w:val="subscript"/>
        </w:rPr>
        <w:t>1</w:t>
      </w:r>
      <w:r w:rsidRPr="00E87A07">
        <w:t xml:space="preserve"> and </w:t>
      </w:r>
      <w:r w:rsidRPr="00E87A07">
        <w:rPr>
          <w:i/>
        </w:rPr>
        <w:t xml:space="preserve">c </w:t>
      </w:r>
      <w:r w:rsidRPr="00E87A07">
        <w:t xml:space="preserve">+ </w:t>
      </w:r>
      <w:r w:rsidRPr="00E87A07">
        <w:rPr>
          <w:i/>
        </w:rPr>
        <w:t>d</w:t>
      </w:r>
      <w:r w:rsidRPr="00E87A07">
        <w:rPr>
          <w:vertAlign w:val="subscript"/>
        </w:rPr>
        <w:t>2</w:t>
      </w:r>
      <w:r w:rsidRPr="00E87A07">
        <w:t>, respectively) to facilitate a graphical representation suitable for a wide audience. In contrast, nonlinear models such as logit produce estimates that (1) are less immediately interpretable and (2) tend to closely align with results from a linear model when converted into more meaningful impact estimates (</w:t>
      </w:r>
      <w:bookmarkStart w:id="12" w:name="_Hlk491838767"/>
      <w:r w:rsidRPr="00E87A07">
        <w:t>Wooldridge 2010</w:t>
      </w:r>
      <w:bookmarkEnd w:id="12"/>
      <w:r w:rsidRPr="00E87A07">
        <w:t xml:space="preserve">). </w:t>
      </w:r>
      <w:r w:rsidR="00FA793A">
        <w:t xml:space="preserve"> </w:t>
      </w:r>
      <w:r w:rsidRPr="00E87A07">
        <w:t xml:space="preserve">However, for each binary outcome that addresses a primary research question, </w:t>
      </w:r>
      <w:r w:rsidR="0099785F">
        <w:t>the</w:t>
      </w:r>
      <w:r w:rsidR="007E439A">
        <w:t xml:space="preserve"> evaluation team</w:t>
      </w:r>
      <w:r w:rsidRPr="00E87A07">
        <w:t xml:space="preserve"> will estimate a logistic regression model to verify that the logistic and linear regression model estimates have the same direction and significance level as well as to measure the difference </w:t>
      </w:r>
      <w:r w:rsidRPr="007E439A">
        <w:t>between the two estimates.</w:t>
      </w:r>
      <w:r w:rsidRPr="00E87A07">
        <w:t xml:space="preserve"> </w:t>
      </w:r>
    </w:p>
    <w:p w14:paraId="7AA3A188" w14:textId="6AB3167C" w:rsidR="00C409BB" w:rsidRPr="00C409BB" w:rsidRDefault="00C409BB" w:rsidP="00F668B5">
      <w:pPr>
        <w:pStyle w:val="NormalSS"/>
      </w:pPr>
      <w:r>
        <w:t xml:space="preserve">We will also </w:t>
      </w:r>
      <w:r w:rsidR="00FB0DBA">
        <w:t xml:space="preserve">examine estimates from a logistic regression for the key participation analysis outcomes and compare those estimates to the linear probability model. </w:t>
      </w:r>
      <w:r w:rsidR="00FA793A">
        <w:t xml:space="preserve"> </w:t>
      </w:r>
      <w:r w:rsidR="00FB0DBA">
        <w:t xml:space="preserve">The key outcomes for the participation analysis, such as enrolling in the demonstration, </w:t>
      </w:r>
      <w:r w:rsidR="00F668B5">
        <w:t>are likely to have low prevalence, in which case the logistic and linear probability models could yield somewhat different estimates (though they are unlikely to substantively differ).</w:t>
      </w:r>
    </w:p>
    <w:p w14:paraId="716F9360" w14:textId="0D825774" w:rsidR="00D11996" w:rsidRPr="00D11996" w:rsidRDefault="00D11996" w:rsidP="00D11996">
      <w:pPr>
        <w:pStyle w:val="NormalSS"/>
      </w:pPr>
      <w:r w:rsidRPr="00D11996">
        <w:t>The POD evaluation team will use a model similar to equation [1] to estimate impacts for select subgroups defined by baseline characteristics and to compare impacts across these subgroups.  This model will include interaction terms between each of the treatment indicators (</w:t>
      </w:r>
      <m:oMath>
        <m:sSub>
          <m:sSubPr>
            <m:ctrlPr>
              <w:rPr>
                <w:rFonts w:ascii="Cambria Math" w:hAnsi="Cambria Math"/>
              </w:rPr>
            </m:ctrlPr>
          </m:sSubPr>
          <m:e>
            <m:r>
              <w:rPr>
                <w:rFonts w:ascii="Cambria Math" w:hAnsi="Cambria Math"/>
              </w:rPr>
              <m:t>T1</m:t>
            </m:r>
          </m:e>
          <m:sub>
            <m:r>
              <w:rPr>
                <w:rFonts w:ascii="Cambria Math" w:hAnsi="Cambria Math"/>
              </w:rPr>
              <m:t>i</m:t>
            </m:r>
          </m:sub>
        </m:sSub>
      </m:oMath>
      <w:r w:rsidRPr="00D11996">
        <w:t xml:space="preserve"> </w:t>
      </w:r>
      <w:r w:rsidR="001C6279">
        <w:t xml:space="preserve">and </w:t>
      </w:r>
      <m:oMath>
        <m:sSub>
          <m:sSubPr>
            <m:ctrlPr>
              <w:rPr>
                <w:rFonts w:ascii="Cambria Math" w:hAnsi="Cambria Math"/>
              </w:rPr>
            </m:ctrlPr>
          </m:sSubPr>
          <m:e>
            <m:r>
              <w:rPr>
                <w:rFonts w:ascii="Cambria Math" w:hAnsi="Cambria Math"/>
              </w:rPr>
              <m:t>T</m:t>
            </m:r>
            <m:r>
              <m:rPr>
                <m:sty m:val="p"/>
              </m:rPr>
              <w:rPr>
                <w:rFonts w:ascii="Cambria Math" w:hAnsi="Cambria Math"/>
              </w:rPr>
              <m:t>2</m:t>
            </m:r>
          </m:e>
          <m:sub>
            <m:r>
              <w:rPr>
                <w:rFonts w:ascii="Cambria Math" w:hAnsi="Cambria Math"/>
              </w:rPr>
              <m:t>i</m:t>
            </m:r>
          </m:sub>
        </m:sSub>
      </m:oMath>
      <w:r w:rsidRPr="00D11996">
        <w:t>) and binary indicators for each subgroup.  The corresponding coefficients will measure the subgroup-specific impacts of the POD offset policies</w:t>
      </w:r>
      <w:r w:rsidR="003F498F">
        <w:t>, including for impact estimates for individual POD states or groups of states</w:t>
      </w:r>
      <w:r w:rsidRPr="00D11996">
        <w:t>.</w:t>
      </w:r>
    </w:p>
    <w:p w14:paraId="6075AFA0" w14:textId="77245A0A" w:rsidR="00D11996" w:rsidRPr="00D11996" w:rsidRDefault="00D11996" w:rsidP="00D11996">
      <w:pPr>
        <w:pStyle w:val="NormalSS"/>
      </w:pPr>
      <w:r w:rsidRPr="00D11996">
        <w:rPr>
          <w:i/>
        </w:rPr>
        <w:t xml:space="preserve">Standard errors. </w:t>
      </w:r>
      <w:r w:rsidRPr="00D11996">
        <w:rPr>
          <w:b/>
        </w:rPr>
        <w:t xml:space="preserve"> </w:t>
      </w:r>
      <w:r w:rsidRPr="00E30E83">
        <w:t xml:space="preserve">Because </w:t>
      </w:r>
      <w:r>
        <w:t xml:space="preserve">the implementation team chose POD states </w:t>
      </w:r>
      <w:r w:rsidRPr="00E30E83">
        <w:t>purposively and</w:t>
      </w:r>
      <w:r>
        <w:t xml:space="preserve"> the evaluation team will not sample</w:t>
      </w:r>
      <w:r w:rsidRPr="00E30E83">
        <w:t xml:space="preserve"> </w:t>
      </w:r>
      <w:r>
        <w:t xml:space="preserve">volunteers who enrolled in the demonstration </w:t>
      </w:r>
      <w:r w:rsidRPr="00E30E83">
        <w:t xml:space="preserve">probabilistically from a known population, </w:t>
      </w:r>
      <w:r w:rsidR="00FF3474">
        <w:t xml:space="preserve">estimates of precision </w:t>
      </w:r>
      <w:r>
        <w:t xml:space="preserve">focus on </w:t>
      </w:r>
      <w:r w:rsidRPr="00E30E83">
        <w:t xml:space="preserve">inference </w:t>
      </w:r>
      <w:r>
        <w:t xml:space="preserve">about </w:t>
      </w:r>
      <w:r w:rsidRPr="00E30E83">
        <w:t xml:space="preserve">the baseline sample of </w:t>
      </w:r>
      <w:r>
        <w:t xml:space="preserve">subjects </w:t>
      </w:r>
      <w:r w:rsidRPr="00E30E83">
        <w:t xml:space="preserve">who </w:t>
      </w:r>
      <w:r>
        <w:t xml:space="preserve">the evaluation team </w:t>
      </w:r>
      <w:r w:rsidRPr="00E30E83">
        <w:t>random</w:t>
      </w:r>
      <w:r>
        <w:t>ly assigns</w:t>
      </w:r>
      <w:r w:rsidRPr="00E30E83">
        <w:t>.</w:t>
      </w:r>
      <w:r>
        <w:t xml:space="preserve">  </w:t>
      </w:r>
      <w:r w:rsidRPr="00E30E83">
        <w:t>Therefore, variances can be straightforwardly estimated using</w:t>
      </w:r>
      <w:r>
        <w:t xml:space="preserve"> two techniques.  First, f</w:t>
      </w:r>
      <w:r w:rsidRPr="00D11996">
        <w:t>or linear models, the evaluation team will estimate standard errors of the impacts based directly on the study’s randomized design using the methods developed by Mathematica for the Department of Education (Schochet 2016).  Second, if using nonlinear models for binary outcomes, the evaluation team will explore the distribution of the error terms to establish the proper nonlinear model to apply (for example, logit or probit).  In this case, they would then use other analysis methods to estimate model-based standard errors for all impacts, including both linear and nonlinear outcomes, based on standard econometric techniques (Cameron and Trivedi 2005).</w:t>
      </w:r>
    </w:p>
    <w:p w14:paraId="1DDF80BE" w14:textId="26BDB8E6" w:rsidR="00D11996" w:rsidRPr="00D11996" w:rsidRDefault="00D11996" w:rsidP="00D11996">
      <w:pPr>
        <w:pStyle w:val="NormalSS"/>
      </w:pPr>
      <w:r w:rsidRPr="00D11996">
        <w:rPr>
          <w:b/>
        </w:rPr>
        <w:t xml:space="preserve">Cost-benefit analysis.  </w:t>
      </w:r>
      <w:r w:rsidRPr="00D11996">
        <w:t>The POD evaluation team</w:t>
      </w:r>
      <w:r w:rsidRPr="00D11996" w:rsidDel="00FC051C">
        <w:t xml:space="preserve"> </w:t>
      </w:r>
      <w:r w:rsidRPr="00D11996">
        <w:t>will conduct the cost-benefit analysis for POD using an approach it successfully adopted in other evaluations, including BOND (Bell et al. 2011) and the Youth Transition Demonstration (Fraker et al. 2014).  To do this, they will develop a comprehensive accounting framework that incorporates a range of perspectives to guide cost-benefit data collection, analysis, and reporting.  These perspectives include those of the POD treatment group members</w:t>
      </w:r>
      <w:r w:rsidR="003A0FDB">
        <w:t>, the federal government, and society as a whole</w:t>
      </w:r>
      <w:r w:rsidR="00706926">
        <w:t>.</w:t>
      </w:r>
      <w:r w:rsidRPr="00D11996">
        <w:t xml:space="preserve">  The evaluation team will use the study impact estimates in conjunction with actuarial estimates and program data to develop line-item entries of costs and benefits from each perspective.  Examples of such line items include program administration costs, benefit receipt, labor market productivity, estimated tax revenues, and other direct cost of POD services. </w:t>
      </w:r>
      <w:r w:rsidR="00D01E50">
        <w:t>As with the impact analysis, the cost-benefit analysis only directly applies to the POD study subjects, who have voluntarily partic</w:t>
      </w:r>
      <w:r w:rsidR="003E1348">
        <w:t>ipated in the demonstration</w:t>
      </w:r>
      <w:r w:rsidR="001602B3">
        <w:t xml:space="preserve">. </w:t>
      </w:r>
      <w:r w:rsidR="007E439A">
        <w:t xml:space="preserve"> </w:t>
      </w:r>
      <w:r w:rsidR="001602B3">
        <w:t xml:space="preserve">The evaluation team will use the participation and process analyses to </w:t>
      </w:r>
      <w:r w:rsidR="00F535D8">
        <w:t>assess what broader inferences can be made from the cost-benefit analysis.</w:t>
      </w:r>
    </w:p>
    <w:p w14:paraId="225AB6EB" w14:textId="77777777" w:rsidR="00D11996" w:rsidRPr="00D11996" w:rsidRDefault="00D11996" w:rsidP="00D11996">
      <w:pPr>
        <w:pStyle w:val="NormalSS"/>
      </w:pPr>
      <w:r w:rsidRPr="00D11996">
        <w:t>Because some benefits and costs occur at different times, the POD evaluation team will make two adjustments when aggregating them into line items for cost-benefit accounting.  First, they will use a price deflator, such as the implicit gross domestic product price deflator, to convert all benefits and costs occurring in later years into constant dollars.  Second, they will use a discount rate to convert all future benefits and costs to their present value.  This discount rate will equal the rate SSA uses in its actuarial projections of the SSDI Trust Fund balance.</w:t>
      </w:r>
    </w:p>
    <w:p w14:paraId="0D280A33" w14:textId="77777777" w:rsidR="00D11996" w:rsidRPr="00D11996" w:rsidRDefault="00D11996" w:rsidP="00D11996">
      <w:pPr>
        <w:pStyle w:val="NormalSS"/>
      </w:pPr>
      <w:r w:rsidRPr="00D11996">
        <w:t>As in most cost-benefit analyses, there will be some uncertainty surrounding estimates of the benefits and costs of the POD treatments that is not easily quantifiable.  Some amount of this uncertainty may arise due to imprecision in estimating the impacts that feed into line item in the accounting framework above, but other uncertainty may arise based on assumptions and the modeling structure.  Hence, the POD evaluation team will develop methods to establish reasonable bounds on the estimates that meet SSA’s needs for the cost-benefit analysis.</w:t>
      </w:r>
    </w:p>
    <w:p w14:paraId="541BFC2D" w14:textId="77777777" w:rsidR="00D11996" w:rsidRPr="003A4919" w:rsidRDefault="00D11996" w:rsidP="00D11996">
      <w:pPr>
        <w:pStyle w:val="H4Number"/>
      </w:pPr>
      <w:bookmarkStart w:id="13" w:name="_Toc476920455"/>
      <w:r w:rsidRPr="003A4919">
        <w:t>B.2.</w:t>
      </w:r>
      <w:r>
        <w:t>3.</w:t>
      </w:r>
      <w:r w:rsidRPr="003A4919">
        <w:t xml:space="preserve"> Degree of accuracy needed for the purpose described in the justification</w:t>
      </w:r>
      <w:bookmarkEnd w:id="13"/>
    </w:p>
    <w:p w14:paraId="50A62649" w14:textId="2ACCD116" w:rsidR="00D11996" w:rsidRPr="00193FAB" w:rsidRDefault="00D11996" w:rsidP="00D11996">
      <w:pPr>
        <w:pStyle w:val="NormalSS"/>
      </w:pPr>
      <w:r>
        <w:t xml:space="preserve">The expected sample size of eligible study subjects supports an analysis that can reliably distinguish the overall impacts of each POD policy innovation from other factors shaping subjects’ outcomes.  Calculating minimum detectable impacts (MDIs) is a standard way to characterize the expected precision of the evaluation’s results, given the sample sizes and research design.  MDIs quantify the smallest true impact </w:t>
      </w:r>
      <w:r w:rsidR="001C6279">
        <w:t>we are likely to find</w:t>
      </w:r>
      <w:r>
        <w:t xml:space="preserve"> to be significantly different from zero, based on a two-sided statistical test of differences.  T</w:t>
      </w:r>
      <w:r w:rsidRPr="00FC051C">
        <w:t xml:space="preserve">he </w:t>
      </w:r>
      <w:r>
        <w:t xml:space="preserve">POD </w:t>
      </w:r>
      <w:r w:rsidRPr="00FC051C">
        <w:t>evaluation team</w:t>
      </w:r>
      <w:r>
        <w:t xml:space="preserve"> has calculated MDIs separately for outcomes measured in the </w:t>
      </w:r>
      <w:r w:rsidRPr="00193FAB">
        <w:t>program data for all study subjects and outcomes measured for the subsets of subjects who complete the two follow-up surveys.</w:t>
      </w:r>
    </w:p>
    <w:p w14:paraId="1117937E" w14:textId="32ADE694" w:rsidR="00D11996" w:rsidRDefault="00D11996" w:rsidP="00D11996">
      <w:pPr>
        <w:pStyle w:val="NormalSS"/>
      </w:pPr>
      <w:r w:rsidRPr="00193FAB">
        <w:rPr>
          <w:b/>
        </w:rPr>
        <w:t xml:space="preserve">MDIs for outcomes measured in program data for all subjects. </w:t>
      </w:r>
      <w:r>
        <w:rPr>
          <w:b/>
        </w:rPr>
        <w:t xml:space="preserve"> </w:t>
      </w:r>
      <w:r>
        <w:t>Th</w:t>
      </w:r>
      <w:r w:rsidRPr="00FC051C">
        <w:t xml:space="preserve">e </w:t>
      </w:r>
      <w:r>
        <w:t xml:space="preserve">POD </w:t>
      </w:r>
      <w:r w:rsidRPr="00FC051C">
        <w:t>evaluation team</w:t>
      </w:r>
      <w:r w:rsidRPr="00193FAB">
        <w:t xml:space="preserve"> expects that impacts based on program data are likely to have s</w:t>
      </w:r>
      <w:r w:rsidR="001C6279">
        <w:t xml:space="preserve">ufficient precision to </w:t>
      </w:r>
      <w:r w:rsidRPr="00193FAB">
        <w:t>assess policy-relevant impacts of each of the two POD policy packages</w:t>
      </w:r>
      <w:r w:rsidR="001C6279">
        <w:t xml:space="preserve"> reliably</w:t>
      </w:r>
      <w:r w:rsidRPr="00193FAB">
        <w:t xml:space="preserve">. </w:t>
      </w:r>
      <w:r>
        <w:t xml:space="preserve"> </w:t>
      </w:r>
      <w:r w:rsidRPr="00193FAB">
        <w:t>The first two columns of Exhibit B.</w:t>
      </w:r>
      <w:r>
        <w:t>2</w:t>
      </w:r>
      <w:r w:rsidRPr="00193FAB">
        <w:t xml:space="preserve"> includes illustrative outcomes for: </w:t>
      </w:r>
      <w:r>
        <w:t xml:space="preserve"> </w:t>
      </w:r>
      <w:r w:rsidRPr="00193FAB">
        <w:rPr>
          <w:szCs w:val="24"/>
        </w:rPr>
        <w:t xml:space="preserve">(1) employment; and (2) substantive earnings, defined as annual earnings greater than 12 times substantial gainful activity (SGA). </w:t>
      </w:r>
      <w:r>
        <w:rPr>
          <w:szCs w:val="24"/>
        </w:rPr>
        <w:t xml:space="preserve"> </w:t>
      </w:r>
      <w:r w:rsidRPr="00193FAB">
        <w:rPr>
          <w:szCs w:val="24"/>
        </w:rPr>
        <w:t>Both outcomes are available in the SSA program data and therefore available for all subjects enrolled in the study</w:t>
      </w:r>
      <w:r w:rsidRPr="003A4919">
        <w:rPr>
          <w:szCs w:val="24"/>
        </w:rPr>
        <w:t>.</w:t>
      </w:r>
      <w:r>
        <w:rPr>
          <w:szCs w:val="24"/>
        </w:rPr>
        <w:t xml:space="preserve"> </w:t>
      </w:r>
      <w:r w:rsidRPr="003A4919">
        <w:t xml:space="preserve"> </w:t>
      </w:r>
      <w:r w:rsidRPr="00B36240">
        <w:t xml:space="preserve">The exhibit summarizes the MDIs for </w:t>
      </w:r>
      <w:r>
        <w:t>the pool of evaluation subject as a whole</w:t>
      </w:r>
      <w:r w:rsidRPr="00B36240">
        <w:t xml:space="preserve">, as well as for analyses of potential impacts for potential subgroups of interest to SSA, </w:t>
      </w:r>
      <w:r>
        <w:t xml:space="preserve">as well as subjects </w:t>
      </w:r>
      <w:r w:rsidRPr="00B36240">
        <w:t>within each demonstration state.</w:t>
      </w:r>
      <w:r>
        <w:t xml:space="preserve"> </w:t>
      </w:r>
      <w:r w:rsidRPr="00B36240">
        <w:t xml:space="preserve"> </w:t>
      </w:r>
      <w:r>
        <w:t>T</w:t>
      </w:r>
      <w:r w:rsidRPr="00FC051C">
        <w:t>he evaluation team</w:t>
      </w:r>
      <w:r>
        <w:t xml:space="preserve"> expects the </w:t>
      </w:r>
      <w:r w:rsidRPr="003A4919">
        <w:t xml:space="preserve">POD </w:t>
      </w:r>
      <w:r>
        <w:t>MDI for</w:t>
      </w:r>
      <w:r w:rsidRPr="003A4919">
        <w:t xml:space="preserve"> employment to be 2.2 percentage points</w:t>
      </w:r>
      <w:r>
        <w:t xml:space="preserve"> and the MDI for having annua</w:t>
      </w:r>
      <w:r w:rsidR="007D30F2">
        <w:t>l earnings over</w:t>
      </w:r>
      <w:r>
        <w:t xml:space="preserve"> the SGA amount to be 1.5 percentage points</w:t>
      </w:r>
      <w:r w:rsidRPr="003A4919">
        <w:t xml:space="preserve">. </w:t>
      </w:r>
      <w:r>
        <w:t xml:space="preserve"> </w:t>
      </w:r>
      <w:r w:rsidRPr="003A4919">
        <w:t>The</w:t>
      </w:r>
      <w:r>
        <w:t>se</w:t>
      </w:r>
      <w:r w:rsidRPr="003A4919">
        <w:t xml:space="preserve"> MDI</w:t>
      </w:r>
      <w:r>
        <w:t>s</w:t>
      </w:r>
      <w:r w:rsidRPr="003A4919">
        <w:t xml:space="preserve"> </w:t>
      </w:r>
      <w:r>
        <w:t xml:space="preserve">are </w:t>
      </w:r>
      <w:r w:rsidR="001C6279" w:rsidRPr="003A4919">
        <w:t>for pairwise comparisons</w:t>
      </w:r>
      <w:r>
        <w:t xml:space="preserve"> between two random-assignment groups, and they</w:t>
      </w:r>
      <w:r w:rsidRPr="003A4919">
        <w:t xml:space="preserve"> suggest </w:t>
      </w:r>
      <w:r>
        <w:t xml:space="preserve">that the evaluation </w:t>
      </w:r>
      <w:r w:rsidRPr="003A4919">
        <w:t xml:space="preserve">would be able to </w:t>
      </w:r>
      <w:r>
        <w:t xml:space="preserve">identify </w:t>
      </w:r>
      <w:r w:rsidRPr="003A4919">
        <w:t xml:space="preserve">even relatively small impacts </w:t>
      </w:r>
      <w:r>
        <w:t>for both outcomes</w:t>
      </w:r>
      <w:r w:rsidR="001C6279">
        <w:t xml:space="preserve"> </w:t>
      </w:r>
      <w:r w:rsidR="001C6279" w:rsidRPr="003A4919">
        <w:t>reliably</w:t>
      </w:r>
      <w:r>
        <w:t xml:space="preserve">, compared to </w:t>
      </w:r>
      <w:r w:rsidRPr="003A4919">
        <w:t xml:space="preserve">current law. </w:t>
      </w:r>
      <w:r>
        <w:t xml:space="preserve"> For example, the MDI for the employment rate is 4.4 percent the size of the assumed prevalence under current law (2.2/50 = 0.044). The MDIs </w:t>
      </w:r>
      <w:r w:rsidRPr="001B70E3">
        <w:t xml:space="preserve">are all about 15 percent smaller </w:t>
      </w:r>
      <w:r>
        <w:t xml:space="preserve">for a comparison </w:t>
      </w:r>
      <w:r w:rsidRPr="001B70E3">
        <w:t>of bot</w:t>
      </w:r>
      <w:r>
        <w:t xml:space="preserve">h treatment groups combined versus the </w:t>
      </w:r>
      <w:r w:rsidRPr="001B70E3">
        <w:t>control group</w:t>
      </w:r>
      <w:r w:rsidR="007D30F2">
        <w:t>.  In Wittenburg et al. (2018), we also showed MDIs for smaller sample sizes, which is relevant given we just completed recruitment.  The main finding is that MDIs do not substantively change for key outcomes, such as over SGA-level earnings.  For example, the report showed that the evaluation team expects the overall MDI for estimated impacts on SGA-level earnings for each treatment arm to be 2 percentage points.</w:t>
      </w:r>
    </w:p>
    <w:p w14:paraId="5081FB80" w14:textId="7862A59D" w:rsidR="00D11996" w:rsidRDefault="00D11996" w:rsidP="00D11996">
      <w:pPr>
        <w:pStyle w:val="NormalSS"/>
      </w:pPr>
      <w:r>
        <w:t xml:space="preserve">Impacts of POD would need to be somewhat larger </w:t>
      </w:r>
      <w:r w:rsidR="001C6279">
        <w:t>for the evaluation team to detect</w:t>
      </w:r>
      <w:r>
        <w:t xml:space="preserve"> for subgroups based on beneficiary characteristics or for particular states</w:t>
      </w:r>
      <w:r w:rsidR="001C6279">
        <w:t xml:space="preserve"> reliably</w:t>
      </w:r>
      <w:r>
        <w:t xml:space="preserve">, but </w:t>
      </w:r>
      <w:r w:rsidRPr="00FC051C">
        <w:t>the evaluation team</w:t>
      </w:r>
      <w:r w:rsidRPr="00FC051C" w:rsidDel="00FC051C">
        <w:t xml:space="preserve"> </w:t>
      </w:r>
      <w:r>
        <w:t>expects these subgroup analyses to still have enough precision to be informative.  For example, i</w:t>
      </w:r>
      <w:r w:rsidRPr="003A4919">
        <w:t xml:space="preserve">mpacts would </w:t>
      </w:r>
      <w:r>
        <w:t>have</w:t>
      </w:r>
      <w:r w:rsidRPr="003A4919">
        <w:t xml:space="preserve"> to be almost 25 percent higher </w:t>
      </w:r>
      <w:r w:rsidR="001C6279">
        <w:t>for the evaluation team to</w:t>
      </w:r>
      <w:r w:rsidRPr="003A4919">
        <w:t xml:space="preserve"> detect for a subgroup comprising 66 percent of </w:t>
      </w:r>
      <w:r>
        <w:t>study subjects</w:t>
      </w:r>
      <w:r w:rsidR="001C6279">
        <w:t xml:space="preserve"> reliably</w:t>
      </w:r>
      <w:r w:rsidRPr="003A4919">
        <w:t xml:space="preserve">, which might represent </w:t>
      </w:r>
      <w:r>
        <w:t>subjects</w:t>
      </w:r>
      <w:r w:rsidRPr="003A4919">
        <w:t xml:space="preserve"> with a recent work history or could reflect a decision to pool data from a subset of states based on the process study. </w:t>
      </w:r>
      <w:r>
        <w:t xml:space="preserve"> </w:t>
      </w:r>
      <w:r w:rsidRPr="003A4919">
        <w:t>Impacts would need to be correspondingly larger</w:t>
      </w:r>
      <w:r w:rsidR="001C6279">
        <w:t xml:space="preserve"> for them</w:t>
      </w:r>
      <w:r w:rsidRPr="003A4919">
        <w:t xml:space="preserve"> </w:t>
      </w:r>
      <w:r w:rsidR="001C6279">
        <w:t>to detect</w:t>
      </w:r>
      <w:r>
        <w:t xml:space="preserve"> </w:t>
      </w:r>
      <w:r w:rsidRPr="003A4919">
        <w:t xml:space="preserve">for more focused subgroups containing smaller percentages of the study </w:t>
      </w:r>
      <w:r>
        <w:t>subjects</w:t>
      </w:r>
      <w:r w:rsidR="001C6279">
        <w:t xml:space="preserve"> reliably</w:t>
      </w:r>
      <w:r w:rsidRPr="003A4919">
        <w:t>.</w:t>
      </w:r>
    </w:p>
    <w:p w14:paraId="0D6C1EAD" w14:textId="7E64E210" w:rsidR="007D30F2" w:rsidRDefault="00D11996" w:rsidP="009B6235">
      <w:pPr>
        <w:pStyle w:val="NormalSS"/>
      </w:pPr>
      <w:r>
        <w:rPr>
          <w:b/>
        </w:rPr>
        <w:t xml:space="preserve">MDIs for outcomes measured using survey data for subsets of subjects.  </w:t>
      </w:r>
      <w:r>
        <w:t xml:space="preserve">The POD evaluation team expects to have less precision for survey-based outcome measures because the analysis sample sizes will be smaller, but they expect to be able to detect modest-sized impacts overall and for all but the smallest subgroups.  The final two columns of Exhibit B.2 report minimal detectable impacts (MDIs) on the share of subjects actively searching for work at the time of each of the two follow-up surveys.  Based on the expected response rates of 80 percent, </w:t>
      </w:r>
      <w:r w:rsidRPr="00FC051C">
        <w:t>the evaluation team</w:t>
      </w:r>
      <w:r>
        <w:t xml:space="preserve"> expects a respondent sample size of </w:t>
      </w:r>
      <w:r w:rsidR="007D30F2">
        <w:t xml:space="preserve"> up to </w:t>
      </w:r>
      <w:r>
        <w:t xml:space="preserve">6,000 for the Year 1 survey (which </w:t>
      </w:r>
      <w:r w:rsidR="001C6279">
        <w:t xml:space="preserve">they will </w:t>
      </w:r>
      <w:r>
        <w:t>fie</w:t>
      </w:r>
      <w:r w:rsidR="001C6279">
        <w:t>ld</w:t>
      </w:r>
      <w:r>
        <w:t xml:space="preserve"> to half of the subjects) and </w:t>
      </w:r>
      <w:r w:rsidR="007D30F2">
        <w:t xml:space="preserve">up to </w:t>
      </w:r>
      <w:r>
        <w:t xml:space="preserve">12,000 for the Year 2 survey.  For comparative purposes, </w:t>
      </w:r>
      <w:r w:rsidR="001C6279">
        <w:t xml:space="preserve">they assume </w:t>
      </w:r>
      <w:r>
        <w:t>the prevalence of work search in the control group at both points in time to be 15 percent – the same as the prevalence of annual earnings greater than 12 times the SGA amount.  MDIs for pairwise comparisons of work search are 2.5 percentage points based on the Year 1 survey and 1.7 percentage points based on the Year 2 survey.</w:t>
      </w:r>
    </w:p>
    <w:p w14:paraId="0D775B09" w14:textId="77777777" w:rsidR="009B6235" w:rsidRDefault="009B6235">
      <w:pPr>
        <w:spacing w:after="0" w:line="240" w:lineRule="auto"/>
        <w:rPr>
          <w:rFonts w:ascii="Arial Black" w:eastAsia="Times New Roman" w:hAnsi="Arial Black"/>
          <w:szCs w:val="20"/>
        </w:rPr>
      </w:pPr>
      <w:bookmarkStart w:id="14" w:name="_Toc476922576"/>
      <w:r>
        <w:br w:type="page"/>
      </w:r>
    </w:p>
    <w:p w14:paraId="281EB838" w14:textId="7F4176CC" w:rsidR="00D11996" w:rsidRDefault="00D11996" w:rsidP="00D11996">
      <w:pPr>
        <w:pStyle w:val="MarkforExhibitTitle"/>
      </w:pPr>
      <w:r w:rsidRPr="003A4919">
        <w:t>Exhibit B.</w:t>
      </w:r>
      <w:r>
        <w:t>2</w:t>
      </w:r>
      <w:r w:rsidRPr="003A4919">
        <w:t xml:space="preserve">. </w:t>
      </w:r>
      <w:r>
        <w:t>M</w:t>
      </w:r>
      <w:r w:rsidRPr="003A4919">
        <w:t>inimum detectable impacts</w:t>
      </w:r>
      <w:r>
        <w:t xml:space="preserve"> for POD evaluation</w:t>
      </w:r>
      <w:bookmarkEnd w:id="14"/>
    </w:p>
    <w:tbl>
      <w:tblPr>
        <w:tblW w:w="4904" w:type="pct"/>
        <w:tblBorders>
          <w:top w:val="single" w:sz="4" w:space="0" w:color="auto"/>
          <w:bottom w:val="single" w:sz="4" w:space="0" w:color="auto"/>
        </w:tblBorders>
        <w:tblLayout w:type="fixed"/>
        <w:tblLook w:val="04A0" w:firstRow="1" w:lastRow="0" w:firstColumn="1" w:lastColumn="0" w:noHBand="0" w:noVBand="1"/>
      </w:tblPr>
      <w:tblGrid>
        <w:gridCol w:w="3591"/>
        <w:gridCol w:w="1604"/>
        <w:gridCol w:w="997"/>
        <w:gridCol w:w="257"/>
        <w:gridCol w:w="1514"/>
        <w:gridCol w:w="1429"/>
      </w:tblGrid>
      <w:tr w:rsidR="00D11996" w:rsidRPr="00404EAA" w14:paraId="02D4DD6E" w14:textId="77777777" w:rsidTr="00D11996">
        <w:trPr>
          <w:trHeight w:val="449"/>
        </w:trPr>
        <w:tc>
          <w:tcPr>
            <w:tcW w:w="1911" w:type="pct"/>
            <w:shd w:val="clear" w:color="auto" w:fill="6C6F70"/>
            <w:noWrap/>
            <w:vAlign w:val="bottom"/>
          </w:tcPr>
          <w:p w14:paraId="3D8E06D3" w14:textId="77777777" w:rsidR="00D11996" w:rsidRPr="00404EAA" w:rsidRDefault="00D11996" w:rsidP="00BE5B0F">
            <w:pPr>
              <w:pStyle w:val="TableHeaderLeft"/>
            </w:pPr>
          </w:p>
        </w:tc>
        <w:tc>
          <w:tcPr>
            <w:tcW w:w="1385" w:type="pct"/>
            <w:gridSpan w:val="2"/>
            <w:tcBorders>
              <w:top w:val="single" w:sz="4" w:space="0" w:color="auto"/>
              <w:bottom w:val="single" w:sz="4" w:space="0" w:color="FFFFFF"/>
            </w:tcBorders>
            <w:shd w:val="clear" w:color="auto" w:fill="6C6F70"/>
            <w:vAlign w:val="bottom"/>
          </w:tcPr>
          <w:p w14:paraId="0CA89543" w14:textId="77777777" w:rsidR="00D11996" w:rsidRPr="00404EAA" w:rsidRDefault="00D11996" w:rsidP="00BE5B0F">
            <w:pPr>
              <w:pStyle w:val="TableHeaderCenter"/>
            </w:pPr>
            <w:r>
              <w:t>Outcomes measured in program data</w:t>
            </w:r>
          </w:p>
        </w:tc>
        <w:tc>
          <w:tcPr>
            <w:tcW w:w="137" w:type="pct"/>
            <w:shd w:val="clear" w:color="auto" w:fill="6C6F70"/>
          </w:tcPr>
          <w:p w14:paraId="3A72DF31" w14:textId="77777777" w:rsidR="00D11996" w:rsidRDefault="00D11996" w:rsidP="00BE5B0F">
            <w:pPr>
              <w:pStyle w:val="TableHeaderCenter"/>
            </w:pPr>
          </w:p>
        </w:tc>
        <w:tc>
          <w:tcPr>
            <w:tcW w:w="1567" w:type="pct"/>
            <w:gridSpan w:val="2"/>
            <w:tcBorders>
              <w:top w:val="single" w:sz="4" w:space="0" w:color="auto"/>
              <w:bottom w:val="single" w:sz="4" w:space="0" w:color="FFFFFF"/>
            </w:tcBorders>
            <w:shd w:val="clear" w:color="auto" w:fill="6C6F70"/>
            <w:vAlign w:val="bottom"/>
          </w:tcPr>
          <w:p w14:paraId="63E928F3" w14:textId="77777777" w:rsidR="00D11996" w:rsidRDefault="00D11996" w:rsidP="00BE5B0F">
            <w:pPr>
              <w:pStyle w:val="TableHeaderCenter"/>
            </w:pPr>
            <w:r>
              <w:t>Outcomes measured using survey data</w:t>
            </w:r>
          </w:p>
        </w:tc>
      </w:tr>
      <w:tr w:rsidR="00D11996" w:rsidRPr="00404EAA" w14:paraId="4B697D63" w14:textId="77777777" w:rsidTr="00D11996">
        <w:trPr>
          <w:trHeight w:val="449"/>
        </w:trPr>
        <w:tc>
          <w:tcPr>
            <w:tcW w:w="1911" w:type="pct"/>
            <w:shd w:val="clear" w:color="auto" w:fill="6C6F70"/>
            <w:noWrap/>
            <w:vAlign w:val="bottom"/>
            <w:hideMark/>
          </w:tcPr>
          <w:p w14:paraId="3B3F6EB2" w14:textId="77777777" w:rsidR="00D11996" w:rsidRPr="00404EAA" w:rsidRDefault="00D11996" w:rsidP="00BE5B0F">
            <w:pPr>
              <w:pStyle w:val="TableHeaderLeft"/>
              <w:spacing w:before="60"/>
            </w:pPr>
            <w:r w:rsidRPr="00404EAA">
              <w:t>Group/</w:t>
            </w:r>
            <w:r>
              <w:t>s</w:t>
            </w:r>
            <w:r w:rsidRPr="00404EAA">
              <w:t>ubgroup</w:t>
            </w:r>
          </w:p>
        </w:tc>
        <w:tc>
          <w:tcPr>
            <w:tcW w:w="854" w:type="pct"/>
            <w:tcBorders>
              <w:top w:val="single" w:sz="4" w:space="0" w:color="FFFFFF"/>
            </w:tcBorders>
            <w:shd w:val="clear" w:color="auto" w:fill="6C6F70"/>
            <w:vAlign w:val="bottom"/>
            <w:hideMark/>
          </w:tcPr>
          <w:p w14:paraId="0B86832D" w14:textId="77777777" w:rsidR="00D11996" w:rsidRPr="00404EAA" w:rsidRDefault="00D11996" w:rsidP="00BE5B0F">
            <w:pPr>
              <w:pStyle w:val="TableHeaderCenter"/>
              <w:spacing w:before="60"/>
            </w:pPr>
            <w:r w:rsidRPr="00404EAA">
              <w:t>Annual employment rate</w:t>
            </w:r>
          </w:p>
        </w:tc>
        <w:tc>
          <w:tcPr>
            <w:tcW w:w="531" w:type="pct"/>
            <w:tcBorders>
              <w:top w:val="single" w:sz="4" w:space="0" w:color="FFFFFF"/>
            </w:tcBorders>
            <w:shd w:val="clear" w:color="auto" w:fill="6C6F70"/>
            <w:vAlign w:val="bottom"/>
            <w:hideMark/>
          </w:tcPr>
          <w:p w14:paraId="42631E07" w14:textId="77777777" w:rsidR="00D11996" w:rsidRPr="00404EAA" w:rsidRDefault="00D11996" w:rsidP="00BE5B0F">
            <w:pPr>
              <w:pStyle w:val="TableHeaderCenter"/>
              <w:spacing w:before="60"/>
            </w:pPr>
            <w:r w:rsidRPr="00404EAA">
              <w:t xml:space="preserve">Annual earnings </w:t>
            </w:r>
            <w:r>
              <w:br/>
              <w:t xml:space="preserve"> </w:t>
            </w:r>
            <w:r w:rsidRPr="00404EAA">
              <w:t>&gt;</w:t>
            </w:r>
            <w:r>
              <w:t xml:space="preserve"> </w:t>
            </w:r>
            <w:r w:rsidRPr="00404EAA">
              <w:t xml:space="preserve">12 </w:t>
            </w:r>
            <w:r>
              <w:rPr>
                <w:rFonts w:cs="Arial"/>
              </w:rPr>
              <w:t>×</w:t>
            </w:r>
            <w:r w:rsidRPr="00404EAA">
              <w:t xml:space="preserve"> SGA</w:t>
            </w:r>
          </w:p>
        </w:tc>
        <w:tc>
          <w:tcPr>
            <w:tcW w:w="137" w:type="pct"/>
            <w:shd w:val="clear" w:color="auto" w:fill="6C6F70"/>
          </w:tcPr>
          <w:p w14:paraId="6F83D3B9" w14:textId="77777777" w:rsidR="00D11996" w:rsidRDefault="00D11996" w:rsidP="00BE5B0F">
            <w:pPr>
              <w:pStyle w:val="TableHeaderCenter"/>
              <w:spacing w:before="60"/>
            </w:pPr>
          </w:p>
        </w:tc>
        <w:tc>
          <w:tcPr>
            <w:tcW w:w="806" w:type="pct"/>
            <w:tcBorders>
              <w:top w:val="single" w:sz="4" w:space="0" w:color="FFFFFF"/>
            </w:tcBorders>
            <w:shd w:val="clear" w:color="auto" w:fill="6C6F70"/>
            <w:vAlign w:val="bottom"/>
          </w:tcPr>
          <w:p w14:paraId="2F5E509A" w14:textId="77777777" w:rsidR="00D11996" w:rsidRPr="00404EAA" w:rsidRDefault="00D11996" w:rsidP="00BE5B0F">
            <w:pPr>
              <w:pStyle w:val="TableHeaderCenter"/>
              <w:spacing w:before="60"/>
            </w:pPr>
            <w:r>
              <w:t>Searching for work at time of Year 1 survey</w:t>
            </w:r>
          </w:p>
        </w:tc>
        <w:tc>
          <w:tcPr>
            <w:tcW w:w="761" w:type="pct"/>
            <w:tcBorders>
              <w:top w:val="single" w:sz="4" w:space="0" w:color="FFFFFF"/>
            </w:tcBorders>
            <w:shd w:val="clear" w:color="auto" w:fill="6C6F70"/>
            <w:vAlign w:val="bottom"/>
          </w:tcPr>
          <w:p w14:paraId="5046E91A" w14:textId="77777777" w:rsidR="00D11996" w:rsidRPr="00404EAA" w:rsidRDefault="00D11996" w:rsidP="00BE5B0F">
            <w:pPr>
              <w:pStyle w:val="TableHeaderCenter"/>
              <w:spacing w:before="60"/>
            </w:pPr>
            <w:r w:rsidRPr="00EC0D47">
              <w:t>Searching for work at time of</w:t>
            </w:r>
            <w:r>
              <w:t xml:space="preserve"> Year 2 survey</w:t>
            </w:r>
          </w:p>
        </w:tc>
      </w:tr>
      <w:tr w:rsidR="00D11996" w:rsidRPr="00404EAA" w14:paraId="0402F640" w14:textId="77777777" w:rsidTr="00D11996">
        <w:trPr>
          <w:trHeight w:val="144"/>
        </w:trPr>
        <w:tc>
          <w:tcPr>
            <w:tcW w:w="3296" w:type="pct"/>
            <w:gridSpan w:val="3"/>
            <w:shd w:val="clear" w:color="auto" w:fill="D9D9D9"/>
            <w:noWrap/>
            <w:vAlign w:val="bottom"/>
          </w:tcPr>
          <w:p w14:paraId="28FC0ADE" w14:textId="77777777" w:rsidR="00D11996" w:rsidRPr="00BB2E51" w:rsidRDefault="00D11996" w:rsidP="00BE5B0F">
            <w:pPr>
              <w:pStyle w:val="TableHeaderLeft"/>
              <w:spacing w:before="60"/>
              <w:rPr>
                <w:color w:val="auto"/>
              </w:rPr>
            </w:pPr>
            <w:r w:rsidRPr="00BB2E51">
              <w:rPr>
                <w:color w:val="auto"/>
              </w:rPr>
              <w:t>MDIs for pairwise comparison of two study groups</w:t>
            </w:r>
          </w:p>
        </w:tc>
        <w:tc>
          <w:tcPr>
            <w:tcW w:w="137" w:type="pct"/>
            <w:shd w:val="clear" w:color="auto" w:fill="D9D9D9"/>
          </w:tcPr>
          <w:p w14:paraId="6839C08F" w14:textId="77777777" w:rsidR="00D11996" w:rsidRPr="00BB2E51" w:rsidRDefault="00D11996" w:rsidP="00BE5B0F">
            <w:pPr>
              <w:pStyle w:val="TableHeaderLeft"/>
              <w:spacing w:before="60"/>
              <w:rPr>
                <w:color w:val="auto"/>
              </w:rPr>
            </w:pPr>
          </w:p>
        </w:tc>
        <w:tc>
          <w:tcPr>
            <w:tcW w:w="806" w:type="pct"/>
            <w:shd w:val="clear" w:color="auto" w:fill="D9D9D9"/>
          </w:tcPr>
          <w:p w14:paraId="0A9D2CF5" w14:textId="77777777" w:rsidR="00D11996" w:rsidRPr="00BB2E51" w:rsidRDefault="00D11996" w:rsidP="00BE5B0F">
            <w:pPr>
              <w:pStyle w:val="TableHeaderLeft"/>
              <w:spacing w:before="60"/>
              <w:rPr>
                <w:color w:val="auto"/>
              </w:rPr>
            </w:pPr>
          </w:p>
        </w:tc>
        <w:tc>
          <w:tcPr>
            <w:tcW w:w="761" w:type="pct"/>
            <w:shd w:val="clear" w:color="auto" w:fill="D9D9D9"/>
          </w:tcPr>
          <w:p w14:paraId="4AD261E9" w14:textId="77777777" w:rsidR="00D11996" w:rsidRPr="00BB2E51" w:rsidRDefault="00D11996" w:rsidP="00BE5B0F">
            <w:pPr>
              <w:pStyle w:val="TableHeaderLeft"/>
              <w:spacing w:before="60"/>
              <w:rPr>
                <w:color w:val="auto"/>
              </w:rPr>
            </w:pPr>
          </w:p>
        </w:tc>
      </w:tr>
      <w:tr w:rsidR="00D11996" w:rsidRPr="000B093B" w14:paraId="2BDA8A2F" w14:textId="77777777" w:rsidTr="00BE5B0F">
        <w:trPr>
          <w:trHeight w:val="216"/>
        </w:trPr>
        <w:tc>
          <w:tcPr>
            <w:tcW w:w="1911" w:type="pct"/>
            <w:shd w:val="clear" w:color="auto" w:fill="auto"/>
            <w:noWrap/>
            <w:vAlign w:val="center"/>
            <w:hideMark/>
          </w:tcPr>
          <w:p w14:paraId="00AD971F" w14:textId="77777777" w:rsidR="00D11996" w:rsidRPr="000B093B" w:rsidRDefault="00D11996" w:rsidP="00BE5B0F">
            <w:pPr>
              <w:pStyle w:val="TableText"/>
              <w:spacing w:before="40" w:after="40"/>
              <w:rPr>
                <w:sz w:val="17"/>
                <w:szCs w:val="17"/>
              </w:rPr>
            </w:pPr>
            <w:r w:rsidRPr="000B093B">
              <w:rPr>
                <w:sz w:val="17"/>
                <w:szCs w:val="17"/>
              </w:rPr>
              <w:t xml:space="preserve">All </w:t>
            </w:r>
            <w:r>
              <w:rPr>
                <w:sz w:val="17"/>
                <w:szCs w:val="17"/>
              </w:rPr>
              <w:t>subjects</w:t>
            </w:r>
          </w:p>
        </w:tc>
        <w:tc>
          <w:tcPr>
            <w:tcW w:w="854" w:type="pct"/>
            <w:shd w:val="clear" w:color="auto" w:fill="auto"/>
            <w:noWrap/>
            <w:vAlign w:val="center"/>
            <w:hideMark/>
          </w:tcPr>
          <w:p w14:paraId="1E8B37A3" w14:textId="77777777" w:rsidR="00D11996" w:rsidRPr="000B093B" w:rsidRDefault="00D11996" w:rsidP="00BE5B0F">
            <w:pPr>
              <w:pStyle w:val="TableText"/>
              <w:spacing w:before="40" w:after="40"/>
              <w:jc w:val="center"/>
              <w:rPr>
                <w:sz w:val="17"/>
                <w:szCs w:val="17"/>
              </w:rPr>
            </w:pPr>
            <w:r w:rsidRPr="000B093B">
              <w:rPr>
                <w:sz w:val="17"/>
                <w:szCs w:val="17"/>
              </w:rPr>
              <w:t>2.2 pp</w:t>
            </w:r>
          </w:p>
        </w:tc>
        <w:tc>
          <w:tcPr>
            <w:tcW w:w="531" w:type="pct"/>
            <w:shd w:val="clear" w:color="auto" w:fill="auto"/>
            <w:noWrap/>
            <w:vAlign w:val="center"/>
            <w:hideMark/>
          </w:tcPr>
          <w:p w14:paraId="5DE2249B" w14:textId="77777777" w:rsidR="00D11996" w:rsidRPr="000B093B" w:rsidRDefault="00D11996" w:rsidP="00BE5B0F">
            <w:pPr>
              <w:pStyle w:val="TableText"/>
              <w:spacing w:before="40" w:after="40"/>
              <w:jc w:val="center"/>
              <w:rPr>
                <w:sz w:val="17"/>
                <w:szCs w:val="17"/>
              </w:rPr>
            </w:pPr>
            <w:r w:rsidRPr="000B093B">
              <w:rPr>
                <w:sz w:val="17"/>
                <w:szCs w:val="17"/>
              </w:rPr>
              <w:t>1.5 pp</w:t>
            </w:r>
          </w:p>
        </w:tc>
        <w:tc>
          <w:tcPr>
            <w:tcW w:w="137" w:type="pct"/>
          </w:tcPr>
          <w:p w14:paraId="47A34316" w14:textId="77777777" w:rsidR="00D11996" w:rsidRDefault="00D11996" w:rsidP="00BE5B0F">
            <w:pPr>
              <w:pStyle w:val="TableText"/>
              <w:spacing w:before="40" w:after="40"/>
              <w:jc w:val="center"/>
              <w:rPr>
                <w:sz w:val="17"/>
                <w:szCs w:val="17"/>
              </w:rPr>
            </w:pPr>
          </w:p>
        </w:tc>
        <w:tc>
          <w:tcPr>
            <w:tcW w:w="806" w:type="pct"/>
          </w:tcPr>
          <w:p w14:paraId="5D516D05" w14:textId="77777777" w:rsidR="00D11996" w:rsidRPr="000B093B" w:rsidRDefault="00D11996" w:rsidP="00BE5B0F">
            <w:pPr>
              <w:pStyle w:val="TableText"/>
              <w:spacing w:before="40" w:after="40"/>
              <w:jc w:val="center"/>
              <w:rPr>
                <w:sz w:val="17"/>
                <w:szCs w:val="17"/>
              </w:rPr>
            </w:pPr>
            <w:r>
              <w:rPr>
                <w:sz w:val="17"/>
                <w:szCs w:val="17"/>
              </w:rPr>
              <w:t>2.5 pp</w:t>
            </w:r>
          </w:p>
        </w:tc>
        <w:tc>
          <w:tcPr>
            <w:tcW w:w="761" w:type="pct"/>
          </w:tcPr>
          <w:p w14:paraId="17D04457" w14:textId="77777777" w:rsidR="00D11996" w:rsidRPr="000B093B" w:rsidRDefault="00D11996" w:rsidP="00BE5B0F">
            <w:pPr>
              <w:pStyle w:val="TableText"/>
              <w:spacing w:before="40" w:after="40"/>
              <w:jc w:val="center"/>
              <w:rPr>
                <w:sz w:val="17"/>
                <w:szCs w:val="17"/>
              </w:rPr>
            </w:pPr>
            <w:r>
              <w:rPr>
                <w:sz w:val="17"/>
                <w:szCs w:val="17"/>
              </w:rPr>
              <w:t>1.7 pp</w:t>
            </w:r>
          </w:p>
        </w:tc>
      </w:tr>
      <w:tr w:rsidR="00D11996" w:rsidRPr="000B093B" w14:paraId="7CC4385D" w14:textId="77777777" w:rsidTr="00BE5B0F">
        <w:trPr>
          <w:trHeight w:val="216"/>
        </w:trPr>
        <w:tc>
          <w:tcPr>
            <w:tcW w:w="1911" w:type="pct"/>
            <w:shd w:val="clear" w:color="auto" w:fill="auto"/>
            <w:noWrap/>
            <w:vAlign w:val="center"/>
            <w:hideMark/>
          </w:tcPr>
          <w:p w14:paraId="79F3F8F9" w14:textId="77777777" w:rsidR="00D11996" w:rsidRPr="000B093B" w:rsidRDefault="00D11996" w:rsidP="00BE5B0F">
            <w:pPr>
              <w:pStyle w:val="TableText"/>
              <w:spacing w:before="40" w:after="40"/>
              <w:rPr>
                <w:sz w:val="17"/>
                <w:szCs w:val="17"/>
              </w:rPr>
            </w:pPr>
            <w:r w:rsidRPr="000B093B">
              <w:rPr>
                <w:sz w:val="17"/>
                <w:szCs w:val="17"/>
              </w:rPr>
              <w:t>66% subgroup</w:t>
            </w:r>
          </w:p>
        </w:tc>
        <w:tc>
          <w:tcPr>
            <w:tcW w:w="854" w:type="pct"/>
            <w:shd w:val="clear" w:color="auto" w:fill="auto"/>
            <w:noWrap/>
            <w:vAlign w:val="center"/>
            <w:hideMark/>
          </w:tcPr>
          <w:p w14:paraId="1FA368BD" w14:textId="77777777" w:rsidR="00D11996" w:rsidRPr="000B093B" w:rsidRDefault="00D11996" w:rsidP="00BE5B0F">
            <w:pPr>
              <w:pStyle w:val="TableText"/>
              <w:spacing w:before="40" w:after="40"/>
              <w:jc w:val="center"/>
              <w:rPr>
                <w:sz w:val="17"/>
                <w:szCs w:val="17"/>
              </w:rPr>
            </w:pPr>
            <w:r w:rsidRPr="000B093B">
              <w:rPr>
                <w:sz w:val="17"/>
                <w:szCs w:val="17"/>
              </w:rPr>
              <w:t>2.7 pp</w:t>
            </w:r>
          </w:p>
        </w:tc>
        <w:tc>
          <w:tcPr>
            <w:tcW w:w="531" w:type="pct"/>
            <w:shd w:val="clear" w:color="auto" w:fill="auto"/>
            <w:noWrap/>
            <w:vAlign w:val="center"/>
            <w:hideMark/>
          </w:tcPr>
          <w:p w14:paraId="5AF5CCF0" w14:textId="77777777" w:rsidR="00D11996" w:rsidRPr="000B093B" w:rsidRDefault="00D11996" w:rsidP="00BE5B0F">
            <w:pPr>
              <w:pStyle w:val="TableText"/>
              <w:spacing w:before="40" w:after="40"/>
              <w:jc w:val="center"/>
              <w:rPr>
                <w:sz w:val="17"/>
                <w:szCs w:val="17"/>
              </w:rPr>
            </w:pPr>
            <w:r w:rsidRPr="000B093B">
              <w:rPr>
                <w:sz w:val="17"/>
                <w:szCs w:val="17"/>
              </w:rPr>
              <w:t>1.9 pp</w:t>
            </w:r>
          </w:p>
        </w:tc>
        <w:tc>
          <w:tcPr>
            <w:tcW w:w="137" w:type="pct"/>
          </w:tcPr>
          <w:p w14:paraId="22C3E875" w14:textId="77777777" w:rsidR="00D11996" w:rsidRDefault="00D11996" w:rsidP="00BE5B0F">
            <w:pPr>
              <w:pStyle w:val="TableText"/>
              <w:spacing w:before="40" w:after="40"/>
              <w:jc w:val="center"/>
              <w:rPr>
                <w:sz w:val="17"/>
                <w:szCs w:val="17"/>
              </w:rPr>
            </w:pPr>
          </w:p>
        </w:tc>
        <w:tc>
          <w:tcPr>
            <w:tcW w:w="806" w:type="pct"/>
          </w:tcPr>
          <w:p w14:paraId="50B99F1A" w14:textId="77777777" w:rsidR="00D11996" w:rsidRPr="000B093B" w:rsidRDefault="00D11996" w:rsidP="00BE5B0F">
            <w:pPr>
              <w:pStyle w:val="TableText"/>
              <w:spacing w:before="40" w:after="40"/>
              <w:jc w:val="center"/>
              <w:rPr>
                <w:sz w:val="17"/>
                <w:szCs w:val="17"/>
              </w:rPr>
            </w:pPr>
            <w:r>
              <w:rPr>
                <w:sz w:val="17"/>
                <w:szCs w:val="17"/>
              </w:rPr>
              <w:t>3.0 pp</w:t>
            </w:r>
          </w:p>
        </w:tc>
        <w:tc>
          <w:tcPr>
            <w:tcW w:w="761" w:type="pct"/>
          </w:tcPr>
          <w:p w14:paraId="7C199709" w14:textId="77777777" w:rsidR="00D11996" w:rsidRPr="000B093B" w:rsidRDefault="00D11996" w:rsidP="00BE5B0F">
            <w:pPr>
              <w:pStyle w:val="TableText"/>
              <w:spacing w:before="40" w:after="40"/>
              <w:jc w:val="center"/>
              <w:rPr>
                <w:sz w:val="17"/>
                <w:szCs w:val="17"/>
              </w:rPr>
            </w:pPr>
            <w:r>
              <w:rPr>
                <w:sz w:val="17"/>
                <w:szCs w:val="17"/>
              </w:rPr>
              <w:t>2.1 pp</w:t>
            </w:r>
          </w:p>
        </w:tc>
      </w:tr>
      <w:tr w:rsidR="00D11996" w:rsidRPr="000B093B" w14:paraId="4263F565" w14:textId="77777777" w:rsidTr="00BE5B0F">
        <w:trPr>
          <w:trHeight w:val="216"/>
        </w:trPr>
        <w:tc>
          <w:tcPr>
            <w:tcW w:w="1911" w:type="pct"/>
            <w:shd w:val="clear" w:color="auto" w:fill="auto"/>
            <w:noWrap/>
            <w:vAlign w:val="center"/>
            <w:hideMark/>
          </w:tcPr>
          <w:p w14:paraId="0EB350FB" w14:textId="77777777" w:rsidR="00D11996" w:rsidRPr="000B093B" w:rsidRDefault="00D11996" w:rsidP="00BE5B0F">
            <w:pPr>
              <w:pStyle w:val="TableText"/>
              <w:spacing w:before="40" w:after="40"/>
              <w:rPr>
                <w:sz w:val="17"/>
                <w:szCs w:val="17"/>
              </w:rPr>
            </w:pPr>
            <w:r w:rsidRPr="000B093B">
              <w:rPr>
                <w:sz w:val="17"/>
                <w:szCs w:val="17"/>
              </w:rPr>
              <w:t>50% subgroup</w:t>
            </w:r>
          </w:p>
        </w:tc>
        <w:tc>
          <w:tcPr>
            <w:tcW w:w="854" w:type="pct"/>
            <w:shd w:val="clear" w:color="auto" w:fill="auto"/>
            <w:noWrap/>
            <w:vAlign w:val="center"/>
            <w:hideMark/>
          </w:tcPr>
          <w:p w14:paraId="10367724" w14:textId="77777777" w:rsidR="00D11996" w:rsidRPr="000B093B" w:rsidRDefault="00D11996" w:rsidP="00BE5B0F">
            <w:pPr>
              <w:pStyle w:val="TableText"/>
              <w:spacing w:before="40" w:after="40"/>
              <w:jc w:val="center"/>
              <w:rPr>
                <w:sz w:val="17"/>
                <w:szCs w:val="17"/>
              </w:rPr>
            </w:pPr>
            <w:r w:rsidRPr="000B093B">
              <w:rPr>
                <w:sz w:val="17"/>
                <w:szCs w:val="17"/>
              </w:rPr>
              <w:t>3.1 pp</w:t>
            </w:r>
          </w:p>
        </w:tc>
        <w:tc>
          <w:tcPr>
            <w:tcW w:w="531" w:type="pct"/>
            <w:shd w:val="clear" w:color="auto" w:fill="auto"/>
            <w:noWrap/>
            <w:vAlign w:val="center"/>
            <w:hideMark/>
          </w:tcPr>
          <w:p w14:paraId="14855E46" w14:textId="77777777" w:rsidR="00D11996" w:rsidRPr="000B093B" w:rsidRDefault="00D11996" w:rsidP="00BE5B0F">
            <w:pPr>
              <w:pStyle w:val="TableText"/>
              <w:spacing w:before="40" w:after="40"/>
              <w:jc w:val="center"/>
              <w:rPr>
                <w:sz w:val="17"/>
                <w:szCs w:val="17"/>
              </w:rPr>
            </w:pPr>
            <w:r w:rsidRPr="000B093B">
              <w:rPr>
                <w:sz w:val="17"/>
                <w:szCs w:val="17"/>
              </w:rPr>
              <w:t>2.2 pp</w:t>
            </w:r>
          </w:p>
        </w:tc>
        <w:tc>
          <w:tcPr>
            <w:tcW w:w="137" w:type="pct"/>
          </w:tcPr>
          <w:p w14:paraId="5B7E4DC3" w14:textId="77777777" w:rsidR="00D11996" w:rsidRDefault="00D11996" w:rsidP="00BE5B0F">
            <w:pPr>
              <w:pStyle w:val="TableText"/>
              <w:spacing w:before="40" w:after="40"/>
              <w:jc w:val="center"/>
              <w:rPr>
                <w:sz w:val="17"/>
                <w:szCs w:val="17"/>
              </w:rPr>
            </w:pPr>
          </w:p>
        </w:tc>
        <w:tc>
          <w:tcPr>
            <w:tcW w:w="806" w:type="pct"/>
          </w:tcPr>
          <w:p w14:paraId="177A23BC" w14:textId="77777777" w:rsidR="00D11996" w:rsidRPr="000B093B" w:rsidRDefault="00D11996" w:rsidP="00BE5B0F">
            <w:pPr>
              <w:pStyle w:val="TableText"/>
              <w:spacing w:before="40" w:after="40"/>
              <w:jc w:val="center"/>
              <w:rPr>
                <w:sz w:val="17"/>
                <w:szCs w:val="17"/>
              </w:rPr>
            </w:pPr>
            <w:r>
              <w:rPr>
                <w:sz w:val="17"/>
                <w:szCs w:val="17"/>
              </w:rPr>
              <w:t>3.5 pp</w:t>
            </w:r>
          </w:p>
        </w:tc>
        <w:tc>
          <w:tcPr>
            <w:tcW w:w="761" w:type="pct"/>
          </w:tcPr>
          <w:p w14:paraId="43B99A5F" w14:textId="77777777" w:rsidR="00D11996" w:rsidRPr="000B093B" w:rsidRDefault="00D11996" w:rsidP="00BE5B0F">
            <w:pPr>
              <w:pStyle w:val="TableText"/>
              <w:spacing w:before="40" w:after="40"/>
              <w:jc w:val="center"/>
              <w:rPr>
                <w:sz w:val="17"/>
                <w:szCs w:val="17"/>
              </w:rPr>
            </w:pPr>
            <w:r>
              <w:rPr>
                <w:sz w:val="17"/>
                <w:szCs w:val="17"/>
              </w:rPr>
              <w:t>2.5 pp</w:t>
            </w:r>
          </w:p>
        </w:tc>
      </w:tr>
      <w:tr w:rsidR="00D11996" w:rsidRPr="000B093B" w14:paraId="133ABD3F" w14:textId="77777777" w:rsidTr="00BE5B0F">
        <w:trPr>
          <w:trHeight w:val="216"/>
        </w:trPr>
        <w:tc>
          <w:tcPr>
            <w:tcW w:w="1911" w:type="pct"/>
            <w:shd w:val="clear" w:color="auto" w:fill="auto"/>
            <w:noWrap/>
            <w:vAlign w:val="center"/>
            <w:hideMark/>
          </w:tcPr>
          <w:p w14:paraId="0FC9F717" w14:textId="77777777" w:rsidR="00D11996" w:rsidRPr="000B093B" w:rsidRDefault="00D11996" w:rsidP="00BE5B0F">
            <w:pPr>
              <w:pStyle w:val="TableText"/>
              <w:spacing w:before="40" w:after="40"/>
              <w:rPr>
                <w:sz w:val="17"/>
                <w:szCs w:val="17"/>
              </w:rPr>
            </w:pPr>
            <w:r w:rsidRPr="000B093B">
              <w:rPr>
                <w:sz w:val="17"/>
                <w:szCs w:val="17"/>
              </w:rPr>
              <w:t>33% subgroup</w:t>
            </w:r>
          </w:p>
        </w:tc>
        <w:tc>
          <w:tcPr>
            <w:tcW w:w="854" w:type="pct"/>
            <w:shd w:val="clear" w:color="auto" w:fill="auto"/>
            <w:noWrap/>
            <w:vAlign w:val="center"/>
            <w:hideMark/>
          </w:tcPr>
          <w:p w14:paraId="5218E733" w14:textId="77777777" w:rsidR="00D11996" w:rsidRPr="000B093B" w:rsidRDefault="00D11996" w:rsidP="00BE5B0F">
            <w:pPr>
              <w:pStyle w:val="TableText"/>
              <w:spacing w:before="40" w:after="40"/>
              <w:jc w:val="center"/>
              <w:rPr>
                <w:sz w:val="17"/>
                <w:szCs w:val="17"/>
              </w:rPr>
            </w:pPr>
            <w:r w:rsidRPr="000B093B">
              <w:rPr>
                <w:sz w:val="17"/>
                <w:szCs w:val="17"/>
              </w:rPr>
              <w:t>3.8 pp</w:t>
            </w:r>
          </w:p>
        </w:tc>
        <w:tc>
          <w:tcPr>
            <w:tcW w:w="531" w:type="pct"/>
            <w:shd w:val="clear" w:color="auto" w:fill="auto"/>
            <w:noWrap/>
            <w:vAlign w:val="center"/>
            <w:hideMark/>
          </w:tcPr>
          <w:p w14:paraId="206A720F" w14:textId="77777777" w:rsidR="00D11996" w:rsidRPr="000B093B" w:rsidRDefault="00D11996" w:rsidP="00BE5B0F">
            <w:pPr>
              <w:pStyle w:val="TableText"/>
              <w:spacing w:before="40" w:after="40"/>
              <w:jc w:val="center"/>
              <w:rPr>
                <w:sz w:val="17"/>
                <w:szCs w:val="17"/>
              </w:rPr>
            </w:pPr>
            <w:r w:rsidRPr="000B093B">
              <w:rPr>
                <w:sz w:val="17"/>
                <w:szCs w:val="17"/>
              </w:rPr>
              <w:t>2.7 pp</w:t>
            </w:r>
          </w:p>
        </w:tc>
        <w:tc>
          <w:tcPr>
            <w:tcW w:w="137" w:type="pct"/>
          </w:tcPr>
          <w:p w14:paraId="2EA67DD2" w14:textId="77777777" w:rsidR="00D11996" w:rsidRDefault="00D11996" w:rsidP="00BE5B0F">
            <w:pPr>
              <w:pStyle w:val="TableText"/>
              <w:spacing w:before="40" w:after="40"/>
              <w:jc w:val="center"/>
              <w:rPr>
                <w:sz w:val="17"/>
                <w:szCs w:val="17"/>
              </w:rPr>
            </w:pPr>
          </w:p>
        </w:tc>
        <w:tc>
          <w:tcPr>
            <w:tcW w:w="806" w:type="pct"/>
          </w:tcPr>
          <w:p w14:paraId="4435A8FF" w14:textId="77777777" w:rsidR="00D11996" w:rsidRPr="000B093B" w:rsidRDefault="00D11996" w:rsidP="00BE5B0F">
            <w:pPr>
              <w:pStyle w:val="TableText"/>
              <w:spacing w:before="40" w:after="40"/>
              <w:jc w:val="center"/>
              <w:rPr>
                <w:sz w:val="17"/>
                <w:szCs w:val="17"/>
              </w:rPr>
            </w:pPr>
            <w:r>
              <w:rPr>
                <w:sz w:val="17"/>
                <w:szCs w:val="17"/>
              </w:rPr>
              <w:t>4.3 pp</w:t>
            </w:r>
          </w:p>
        </w:tc>
        <w:tc>
          <w:tcPr>
            <w:tcW w:w="761" w:type="pct"/>
          </w:tcPr>
          <w:p w14:paraId="59A111F5" w14:textId="77777777" w:rsidR="00D11996" w:rsidRPr="000B093B" w:rsidRDefault="00D11996" w:rsidP="00BE5B0F">
            <w:pPr>
              <w:pStyle w:val="TableText"/>
              <w:spacing w:before="40" w:after="40"/>
              <w:jc w:val="center"/>
              <w:rPr>
                <w:sz w:val="17"/>
                <w:szCs w:val="17"/>
              </w:rPr>
            </w:pPr>
            <w:r>
              <w:rPr>
                <w:sz w:val="17"/>
                <w:szCs w:val="17"/>
              </w:rPr>
              <w:t>3.0 pp</w:t>
            </w:r>
          </w:p>
        </w:tc>
      </w:tr>
      <w:tr w:rsidR="00D11996" w:rsidRPr="000B093B" w14:paraId="39DA00D1" w14:textId="77777777" w:rsidTr="00BE5B0F">
        <w:trPr>
          <w:trHeight w:val="216"/>
        </w:trPr>
        <w:tc>
          <w:tcPr>
            <w:tcW w:w="1911" w:type="pct"/>
            <w:shd w:val="clear" w:color="auto" w:fill="auto"/>
            <w:noWrap/>
            <w:vAlign w:val="center"/>
            <w:hideMark/>
          </w:tcPr>
          <w:p w14:paraId="4F7ADA2D"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large state</w:t>
            </w:r>
          </w:p>
        </w:tc>
        <w:tc>
          <w:tcPr>
            <w:tcW w:w="854" w:type="pct"/>
            <w:shd w:val="clear" w:color="auto" w:fill="auto"/>
            <w:noWrap/>
            <w:vAlign w:val="center"/>
            <w:hideMark/>
          </w:tcPr>
          <w:p w14:paraId="3710C458" w14:textId="77777777" w:rsidR="00D11996" w:rsidRPr="000B093B" w:rsidRDefault="00D11996" w:rsidP="00BE5B0F">
            <w:pPr>
              <w:pStyle w:val="TableText"/>
              <w:spacing w:before="40" w:after="40"/>
              <w:jc w:val="center"/>
              <w:rPr>
                <w:sz w:val="17"/>
                <w:szCs w:val="17"/>
              </w:rPr>
            </w:pPr>
            <w:r w:rsidRPr="000B093B">
              <w:rPr>
                <w:sz w:val="17"/>
                <w:szCs w:val="17"/>
              </w:rPr>
              <w:t>4.9 pp</w:t>
            </w:r>
          </w:p>
        </w:tc>
        <w:tc>
          <w:tcPr>
            <w:tcW w:w="531" w:type="pct"/>
            <w:shd w:val="clear" w:color="auto" w:fill="auto"/>
            <w:noWrap/>
            <w:vAlign w:val="center"/>
            <w:hideMark/>
          </w:tcPr>
          <w:p w14:paraId="19492F33" w14:textId="77777777" w:rsidR="00D11996" w:rsidRPr="000B093B" w:rsidRDefault="00D11996" w:rsidP="00BE5B0F">
            <w:pPr>
              <w:pStyle w:val="TableText"/>
              <w:spacing w:before="40" w:after="40"/>
              <w:jc w:val="center"/>
              <w:rPr>
                <w:sz w:val="17"/>
                <w:szCs w:val="17"/>
              </w:rPr>
            </w:pPr>
            <w:r w:rsidRPr="000B093B">
              <w:rPr>
                <w:sz w:val="17"/>
                <w:szCs w:val="17"/>
              </w:rPr>
              <w:t>3.5 pp</w:t>
            </w:r>
          </w:p>
        </w:tc>
        <w:tc>
          <w:tcPr>
            <w:tcW w:w="137" w:type="pct"/>
          </w:tcPr>
          <w:p w14:paraId="27A47917" w14:textId="77777777" w:rsidR="00D11996" w:rsidRDefault="00D11996" w:rsidP="00BE5B0F">
            <w:pPr>
              <w:pStyle w:val="TableText"/>
              <w:spacing w:before="40" w:after="40"/>
              <w:jc w:val="center"/>
              <w:rPr>
                <w:sz w:val="17"/>
                <w:szCs w:val="17"/>
              </w:rPr>
            </w:pPr>
          </w:p>
        </w:tc>
        <w:tc>
          <w:tcPr>
            <w:tcW w:w="806" w:type="pct"/>
          </w:tcPr>
          <w:p w14:paraId="6BC63EB8" w14:textId="77777777" w:rsidR="00D11996" w:rsidRPr="000B093B" w:rsidRDefault="00D11996" w:rsidP="00BE5B0F">
            <w:pPr>
              <w:pStyle w:val="TableText"/>
              <w:spacing w:before="40" w:after="40"/>
              <w:jc w:val="center"/>
              <w:rPr>
                <w:sz w:val="17"/>
                <w:szCs w:val="17"/>
              </w:rPr>
            </w:pPr>
            <w:r>
              <w:rPr>
                <w:sz w:val="17"/>
                <w:szCs w:val="17"/>
              </w:rPr>
              <w:t>5.5 pp</w:t>
            </w:r>
          </w:p>
        </w:tc>
        <w:tc>
          <w:tcPr>
            <w:tcW w:w="761" w:type="pct"/>
          </w:tcPr>
          <w:p w14:paraId="2F61111B" w14:textId="77777777" w:rsidR="00D11996" w:rsidRPr="000B093B" w:rsidRDefault="00D11996" w:rsidP="00BE5B0F">
            <w:pPr>
              <w:pStyle w:val="TableText"/>
              <w:spacing w:before="40" w:after="40"/>
              <w:jc w:val="center"/>
              <w:rPr>
                <w:sz w:val="17"/>
                <w:szCs w:val="17"/>
              </w:rPr>
            </w:pPr>
            <w:r>
              <w:rPr>
                <w:sz w:val="17"/>
                <w:szCs w:val="17"/>
              </w:rPr>
              <w:t>3.9 pp</w:t>
            </w:r>
          </w:p>
        </w:tc>
      </w:tr>
      <w:tr w:rsidR="00D11996" w:rsidRPr="000B093B" w14:paraId="682FD679" w14:textId="77777777" w:rsidTr="00BE5B0F">
        <w:trPr>
          <w:trHeight w:val="216"/>
        </w:trPr>
        <w:tc>
          <w:tcPr>
            <w:tcW w:w="1911" w:type="pct"/>
            <w:shd w:val="clear" w:color="auto" w:fill="auto"/>
            <w:noWrap/>
            <w:vAlign w:val="center"/>
            <w:hideMark/>
          </w:tcPr>
          <w:p w14:paraId="7B5E1AC1"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medium state</w:t>
            </w:r>
          </w:p>
        </w:tc>
        <w:tc>
          <w:tcPr>
            <w:tcW w:w="854" w:type="pct"/>
            <w:shd w:val="clear" w:color="auto" w:fill="auto"/>
            <w:noWrap/>
            <w:vAlign w:val="center"/>
            <w:hideMark/>
          </w:tcPr>
          <w:p w14:paraId="64354D3B" w14:textId="77777777" w:rsidR="00D11996" w:rsidRPr="000B093B" w:rsidRDefault="00D11996" w:rsidP="00BE5B0F">
            <w:pPr>
              <w:pStyle w:val="TableText"/>
              <w:spacing w:before="40" w:after="40"/>
              <w:jc w:val="center"/>
              <w:rPr>
                <w:sz w:val="17"/>
                <w:szCs w:val="17"/>
              </w:rPr>
            </w:pPr>
            <w:r w:rsidRPr="000B093B">
              <w:rPr>
                <w:sz w:val="17"/>
                <w:szCs w:val="17"/>
              </w:rPr>
              <w:t>6.9 pp</w:t>
            </w:r>
          </w:p>
        </w:tc>
        <w:tc>
          <w:tcPr>
            <w:tcW w:w="531" w:type="pct"/>
            <w:shd w:val="clear" w:color="auto" w:fill="auto"/>
            <w:noWrap/>
            <w:vAlign w:val="center"/>
            <w:hideMark/>
          </w:tcPr>
          <w:p w14:paraId="6BE0B8A8" w14:textId="77777777" w:rsidR="00D11996" w:rsidRPr="000B093B" w:rsidRDefault="00D11996" w:rsidP="00BE5B0F">
            <w:pPr>
              <w:pStyle w:val="TableText"/>
              <w:spacing w:before="40" w:after="40"/>
              <w:jc w:val="center"/>
              <w:rPr>
                <w:sz w:val="17"/>
                <w:szCs w:val="17"/>
              </w:rPr>
            </w:pPr>
            <w:r w:rsidRPr="000B093B">
              <w:rPr>
                <w:sz w:val="17"/>
                <w:szCs w:val="17"/>
              </w:rPr>
              <w:t>4.9 pp</w:t>
            </w:r>
          </w:p>
        </w:tc>
        <w:tc>
          <w:tcPr>
            <w:tcW w:w="137" w:type="pct"/>
          </w:tcPr>
          <w:p w14:paraId="2718F846" w14:textId="77777777" w:rsidR="00D11996" w:rsidRDefault="00D11996" w:rsidP="00BE5B0F">
            <w:pPr>
              <w:pStyle w:val="TableText"/>
              <w:spacing w:before="40" w:after="40"/>
              <w:jc w:val="center"/>
              <w:rPr>
                <w:sz w:val="17"/>
                <w:szCs w:val="17"/>
              </w:rPr>
            </w:pPr>
          </w:p>
        </w:tc>
        <w:tc>
          <w:tcPr>
            <w:tcW w:w="806" w:type="pct"/>
          </w:tcPr>
          <w:p w14:paraId="03F956FF" w14:textId="77777777" w:rsidR="00D11996" w:rsidRPr="000B093B" w:rsidRDefault="00D11996" w:rsidP="00BE5B0F">
            <w:pPr>
              <w:pStyle w:val="TableText"/>
              <w:spacing w:before="40" w:after="40"/>
              <w:jc w:val="center"/>
              <w:rPr>
                <w:sz w:val="17"/>
                <w:szCs w:val="17"/>
              </w:rPr>
            </w:pPr>
            <w:r>
              <w:rPr>
                <w:sz w:val="17"/>
                <w:szCs w:val="17"/>
              </w:rPr>
              <w:t>7.8 pp</w:t>
            </w:r>
          </w:p>
        </w:tc>
        <w:tc>
          <w:tcPr>
            <w:tcW w:w="761" w:type="pct"/>
          </w:tcPr>
          <w:p w14:paraId="0F8B25A5" w14:textId="77777777" w:rsidR="00D11996" w:rsidRPr="000B093B" w:rsidRDefault="00D11996" w:rsidP="00BE5B0F">
            <w:pPr>
              <w:pStyle w:val="TableText"/>
              <w:spacing w:before="40" w:after="40"/>
              <w:jc w:val="center"/>
              <w:rPr>
                <w:sz w:val="17"/>
                <w:szCs w:val="17"/>
              </w:rPr>
            </w:pPr>
            <w:r>
              <w:rPr>
                <w:sz w:val="17"/>
                <w:szCs w:val="17"/>
              </w:rPr>
              <w:t>5.5 pp</w:t>
            </w:r>
          </w:p>
        </w:tc>
      </w:tr>
      <w:tr w:rsidR="00D11996" w:rsidRPr="000B093B" w14:paraId="6F82D755" w14:textId="77777777" w:rsidTr="00BE5B0F">
        <w:trPr>
          <w:trHeight w:val="216"/>
        </w:trPr>
        <w:tc>
          <w:tcPr>
            <w:tcW w:w="1911" w:type="pct"/>
            <w:shd w:val="clear" w:color="auto" w:fill="auto"/>
            <w:noWrap/>
            <w:vAlign w:val="center"/>
            <w:hideMark/>
          </w:tcPr>
          <w:p w14:paraId="0E43CE41"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small state</w:t>
            </w:r>
          </w:p>
        </w:tc>
        <w:tc>
          <w:tcPr>
            <w:tcW w:w="854" w:type="pct"/>
            <w:shd w:val="clear" w:color="auto" w:fill="auto"/>
            <w:noWrap/>
            <w:vAlign w:val="center"/>
            <w:hideMark/>
          </w:tcPr>
          <w:p w14:paraId="5A4C5579" w14:textId="77777777" w:rsidR="00D11996" w:rsidRPr="000B093B" w:rsidRDefault="00D11996" w:rsidP="00BE5B0F">
            <w:pPr>
              <w:pStyle w:val="TableText"/>
              <w:spacing w:before="40" w:after="40"/>
              <w:jc w:val="center"/>
              <w:rPr>
                <w:sz w:val="17"/>
                <w:szCs w:val="17"/>
              </w:rPr>
            </w:pPr>
            <w:r w:rsidRPr="006A1C5E">
              <w:rPr>
                <w:sz w:val="17"/>
                <w:szCs w:val="17"/>
              </w:rPr>
              <w:t>11.9 pp</w:t>
            </w:r>
          </w:p>
        </w:tc>
        <w:tc>
          <w:tcPr>
            <w:tcW w:w="531" w:type="pct"/>
            <w:shd w:val="clear" w:color="auto" w:fill="auto"/>
            <w:noWrap/>
            <w:vAlign w:val="center"/>
            <w:hideMark/>
          </w:tcPr>
          <w:p w14:paraId="3D77F632" w14:textId="77777777" w:rsidR="00D11996" w:rsidRPr="000B093B" w:rsidRDefault="00D11996" w:rsidP="00BE5B0F">
            <w:pPr>
              <w:pStyle w:val="TableText"/>
              <w:spacing w:before="40" w:after="40"/>
              <w:jc w:val="center"/>
              <w:rPr>
                <w:sz w:val="17"/>
                <w:szCs w:val="17"/>
              </w:rPr>
            </w:pPr>
            <w:r w:rsidRPr="000B093B">
              <w:rPr>
                <w:sz w:val="17"/>
                <w:szCs w:val="17"/>
              </w:rPr>
              <w:t>8.5 pp</w:t>
            </w:r>
          </w:p>
        </w:tc>
        <w:tc>
          <w:tcPr>
            <w:tcW w:w="137" w:type="pct"/>
          </w:tcPr>
          <w:p w14:paraId="3E2CC3F1" w14:textId="77777777" w:rsidR="00D11996" w:rsidRDefault="00D11996" w:rsidP="00BE5B0F">
            <w:pPr>
              <w:pStyle w:val="TableText"/>
              <w:spacing w:before="40" w:after="40"/>
              <w:jc w:val="center"/>
              <w:rPr>
                <w:sz w:val="17"/>
                <w:szCs w:val="17"/>
              </w:rPr>
            </w:pPr>
          </w:p>
        </w:tc>
        <w:tc>
          <w:tcPr>
            <w:tcW w:w="806" w:type="pct"/>
          </w:tcPr>
          <w:p w14:paraId="5665BDFB" w14:textId="77777777" w:rsidR="00D11996" w:rsidRPr="000B093B" w:rsidRDefault="00D11996" w:rsidP="00BE5B0F">
            <w:pPr>
              <w:pStyle w:val="TableText"/>
              <w:spacing w:before="40" w:after="40"/>
              <w:jc w:val="center"/>
              <w:rPr>
                <w:sz w:val="17"/>
                <w:szCs w:val="17"/>
              </w:rPr>
            </w:pPr>
            <w:r>
              <w:rPr>
                <w:sz w:val="17"/>
                <w:szCs w:val="17"/>
              </w:rPr>
              <w:t>13.4 pp</w:t>
            </w:r>
          </w:p>
        </w:tc>
        <w:tc>
          <w:tcPr>
            <w:tcW w:w="761" w:type="pct"/>
          </w:tcPr>
          <w:p w14:paraId="18362053" w14:textId="77777777" w:rsidR="00D11996" w:rsidRPr="000B093B" w:rsidRDefault="00D11996" w:rsidP="00BE5B0F">
            <w:pPr>
              <w:pStyle w:val="TableText"/>
              <w:spacing w:before="40" w:after="40"/>
              <w:jc w:val="center"/>
              <w:rPr>
                <w:sz w:val="17"/>
                <w:szCs w:val="17"/>
              </w:rPr>
            </w:pPr>
            <w:r>
              <w:rPr>
                <w:sz w:val="17"/>
                <w:szCs w:val="17"/>
              </w:rPr>
              <w:t>9.5 pp</w:t>
            </w:r>
          </w:p>
        </w:tc>
      </w:tr>
      <w:tr w:rsidR="00D11996" w:rsidRPr="00404EAA" w14:paraId="5263CC9A" w14:textId="77777777" w:rsidTr="00D11996">
        <w:trPr>
          <w:trHeight w:val="180"/>
        </w:trPr>
        <w:tc>
          <w:tcPr>
            <w:tcW w:w="5000" w:type="pct"/>
            <w:gridSpan w:val="6"/>
            <w:shd w:val="clear" w:color="auto" w:fill="D9D9D9"/>
            <w:noWrap/>
            <w:vAlign w:val="bottom"/>
          </w:tcPr>
          <w:p w14:paraId="098BC727" w14:textId="77777777" w:rsidR="00D11996" w:rsidRPr="00BB2E51" w:rsidRDefault="00D11996" w:rsidP="00BE5B0F">
            <w:pPr>
              <w:pStyle w:val="TableHeaderLeft"/>
              <w:spacing w:before="60"/>
              <w:rPr>
                <w:color w:val="auto"/>
              </w:rPr>
            </w:pPr>
            <w:r w:rsidRPr="00BB2E51">
              <w:rPr>
                <w:color w:val="auto"/>
              </w:rPr>
              <w:t>MDIs for comparison of both treatment groups combined vs. control group</w:t>
            </w:r>
          </w:p>
        </w:tc>
      </w:tr>
      <w:tr w:rsidR="00D11996" w:rsidRPr="000B093B" w14:paraId="60A9303E" w14:textId="77777777" w:rsidTr="00BE5B0F">
        <w:trPr>
          <w:trHeight w:val="216"/>
        </w:trPr>
        <w:tc>
          <w:tcPr>
            <w:tcW w:w="1911" w:type="pct"/>
            <w:shd w:val="clear" w:color="auto" w:fill="auto"/>
            <w:noWrap/>
            <w:vAlign w:val="center"/>
            <w:hideMark/>
          </w:tcPr>
          <w:p w14:paraId="59AD1AF1" w14:textId="77777777" w:rsidR="00D11996" w:rsidRPr="000B093B" w:rsidRDefault="00D11996" w:rsidP="00BE5B0F">
            <w:pPr>
              <w:pStyle w:val="TableText"/>
              <w:spacing w:before="40" w:after="40"/>
              <w:rPr>
                <w:sz w:val="17"/>
                <w:szCs w:val="17"/>
              </w:rPr>
            </w:pPr>
            <w:r w:rsidRPr="000B093B">
              <w:rPr>
                <w:sz w:val="17"/>
                <w:szCs w:val="17"/>
              </w:rPr>
              <w:t xml:space="preserve">All </w:t>
            </w:r>
            <w:r>
              <w:rPr>
                <w:sz w:val="17"/>
                <w:szCs w:val="17"/>
              </w:rPr>
              <w:t>subjects</w:t>
            </w:r>
          </w:p>
        </w:tc>
        <w:tc>
          <w:tcPr>
            <w:tcW w:w="854" w:type="pct"/>
            <w:shd w:val="clear" w:color="auto" w:fill="auto"/>
            <w:noWrap/>
            <w:vAlign w:val="center"/>
            <w:hideMark/>
          </w:tcPr>
          <w:p w14:paraId="60EF7813" w14:textId="77777777" w:rsidR="00D11996" w:rsidRPr="000B093B" w:rsidRDefault="00D11996" w:rsidP="00BE5B0F">
            <w:pPr>
              <w:pStyle w:val="TableText"/>
              <w:spacing w:before="40" w:after="40"/>
              <w:jc w:val="center"/>
              <w:rPr>
                <w:sz w:val="17"/>
                <w:szCs w:val="17"/>
              </w:rPr>
            </w:pPr>
            <w:r w:rsidRPr="000B093B">
              <w:rPr>
                <w:sz w:val="17"/>
                <w:szCs w:val="17"/>
              </w:rPr>
              <w:t>1.9 pp</w:t>
            </w:r>
          </w:p>
        </w:tc>
        <w:tc>
          <w:tcPr>
            <w:tcW w:w="531" w:type="pct"/>
            <w:shd w:val="clear" w:color="auto" w:fill="auto"/>
            <w:noWrap/>
            <w:vAlign w:val="center"/>
            <w:hideMark/>
          </w:tcPr>
          <w:p w14:paraId="5DDE59A7" w14:textId="77777777" w:rsidR="00D11996" w:rsidRPr="000B093B" w:rsidRDefault="00D11996" w:rsidP="00BE5B0F">
            <w:pPr>
              <w:pStyle w:val="TableText"/>
              <w:spacing w:before="40" w:after="40"/>
              <w:jc w:val="center"/>
              <w:rPr>
                <w:sz w:val="17"/>
                <w:szCs w:val="17"/>
              </w:rPr>
            </w:pPr>
            <w:r w:rsidRPr="000B093B">
              <w:rPr>
                <w:sz w:val="17"/>
                <w:szCs w:val="17"/>
              </w:rPr>
              <w:t>1.3 pp</w:t>
            </w:r>
          </w:p>
        </w:tc>
        <w:tc>
          <w:tcPr>
            <w:tcW w:w="137" w:type="pct"/>
          </w:tcPr>
          <w:p w14:paraId="362232F6" w14:textId="77777777" w:rsidR="00D11996" w:rsidRDefault="00D11996" w:rsidP="00BE5B0F">
            <w:pPr>
              <w:pStyle w:val="TableText"/>
              <w:spacing w:before="40" w:after="40"/>
              <w:jc w:val="center"/>
              <w:rPr>
                <w:sz w:val="17"/>
                <w:szCs w:val="17"/>
              </w:rPr>
            </w:pPr>
          </w:p>
        </w:tc>
        <w:tc>
          <w:tcPr>
            <w:tcW w:w="806" w:type="pct"/>
          </w:tcPr>
          <w:p w14:paraId="5909D24B" w14:textId="77777777" w:rsidR="00D11996" w:rsidRPr="000B093B" w:rsidRDefault="00D11996" w:rsidP="00BE5B0F">
            <w:pPr>
              <w:pStyle w:val="TableText"/>
              <w:spacing w:before="40" w:after="40"/>
              <w:jc w:val="center"/>
              <w:rPr>
                <w:sz w:val="17"/>
                <w:szCs w:val="17"/>
              </w:rPr>
            </w:pPr>
            <w:r>
              <w:rPr>
                <w:sz w:val="17"/>
                <w:szCs w:val="17"/>
              </w:rPr>
              <w:t>2.1 pp</w:t>
            </w:r>
          </w:p>
        </w:tc>
        <w:tc>
          <w:tcPr>
            <w:tcW w:w="761" w:type="pct"/>
          </w:tcPr>
          <w:p w14:paraId="68D579A9" w14:textId="77777777" w:rsidR="00D11996" w:rsidRPr="000B093B" w:rsidRDefault="00D11996" w:rsidP="00BE5B0F">
            <w:pPr>
              <w:pStyle w:val="TableText"/>
              <w:spacing w:before="40" w:after="40"/>
              <w:jc w:val="center"/>
              <w:rPr>
                <w:sz w:val="17"/>
                <w:szCs w:val="17"/>
              </w:rPr>
            </w:pPr>
            <w:r>
              <w:rPr>
                <w:sz w:val="17"/>
                <w:szCs w:val="17"/>
              </w:rPr>
              <w:t>1.5 pp</w:t>
            </w:r>
          </w:p>
        </w:tc>
      </w:tr>
      <w:tr w:rsidR="00D11996" w:rsidRPr="000B093B" w14:paraId="07D6B0E6" w14:textId="77777777" w:rsidTr="00BE5B0F">
        <w:trPr>
          <w:trHeight w:val="216"/>
        </w:trPr>
        <w:tc>
          <w:tcPr>
            <w:tcW w:w="1911" w:type="pct"/>
            <w:shd w:val="clear" w:color="auto" w:fill="auto"/>
            <w:noWrap/>
            <w:vAlign w:val="center"/>
            <w:hideMark/>
          </w:tcPr>
          <w:p w14:paraId="55ACB149" w14:textId="77777777" w:rsidR="00D11996" w:rsidRPr="000B093B" w:rsidRDefault="00D11996" w:rsidP="00BE5B0F">
            <w:pPr>
              <w:pStyle w:val="TableText"/>
              <w:spacing w:before="40" w:after="40"/>
              <w:rPr>
                <w:sz w:val="17"/>
                <w:szCs w:val="17"/>
              </w:rPr>
            </w:pPr>
            <w:r w:rsidRPr="000B093B">
              <w:rPr>
                <w:sz w:val="17"/>
                <w:szCs w:val="17"/>
              </w:rPr>
              <w:t>66% subgroup</w:t>
            </w:r>
          </w:p>
        </w:tc>
        <w:tc>
          <w:tcPr>
            <w:tcW w:w="854" w:type="pct"/>
            <w:shd w:val="clear" w:color="auto" w:fill="auto"/>
            <w:noWrap/>
            <w:vAlign w:val="center"/>
            <w:hideMark/>
          </w:tcPr>
          <w:p w14:paraId="5D1A1389" w14:textId="77777777" w:rsidR="00D11996" w:rsidRPr="000B093B" w:rsidRDefault="00D11996" w:rsidP="00BE5B0F">
            <w:pPr>
              <w:pStyle w:val="TableText"/>
              <w:spacing w:before="40" w:after="40"/>
              <w:jc w:val="center"/>
              <w:rPr>
                <w:sz w:val="17"/>
                <w:szCs w:val="17"/>
              </w:rPr>
            </w:pPr>
            <w:r w:rsidRPr="000B093B">
              <w:rPr>
                <w:sz w:val="17"/>
                <w:szCs w:val="17"/>
              </w:rPr>
              <w:t>2.3 pp</w:t>
            </w:r>
          </w:p>
        </w:tc>
        <w:tc>
          <w:tcPr>
            <w:tcW w:w="531" w:type="pct"/>
            <w:shd w:val="clear" w:color="auto" w:fill="auto"/>
            <w:noWrap/>
            <w:vAlign w:val="center"/>
            <w:hideMark/>
          </w:tcPr>
          <w:p w14:paraId="4C6C5CB0" w14:textId="77777777" w:rsidR="00D11996" w:rsidRPr="000B093B" w:rsidRDefault="00D11996" w:rsidP="00BE5B0F">
            <w:pPr>
              <w:pStyle w:val="TableText"/>
              <w:spacing w:before="40" w:after="40"/>
              <w:jc w:val="center"/>
              <w:rPr>
                <w:sz w:val="17"/>
                <w:szCs w:val="17"/>
              </w:rPr>
            </w:pPr>
            <w:r w:rsidRPr="000B093B">
              <w:rPr>
                <w:sz w:val="17"/>
                <w:szCs w:val="17"/>
              </w:rPr>
              <w:t>1.7 pp</w:t>
            </w:r>
          </w:p>
        </w:tc>
        <w:tc>
          <w:tcPr>
            <w:tcW w:w="137" w:type="pct"/>
          </w:tcPr>
          <w:p w14:paraId="742CB7AE" w14:textId="77777777" w:rsidR="00D11996" w:rsidRDefault="00D11996" w:rsidP="00BE5B0F">
            <w:pPr>
              <w:pStyle w:val="TableText"/>
              <w:spacing w:before="40" w:after="40"/>
              <w:jc w:val="center"/>
              <w:rPr>
                <w:sz w:val="17"/>
                <w:szCs w:val="17"/>
              </w:rPr>
            </w:pPr>
          </w:p>
        </w:tc>
        <w:tc>
          <w:tcPr>
            <w:tcW w:w="806" w:type="pct"/>
          </w:tcPr>
          <w:p w14:paraId="728F960E" w14:textId="77777777" w:rsidR="00D11996" w:rsidRPr="000B093B" w:rsidRDefault="00D11996" w:rsidP="00BE5B0F">
            <w:pPr>
              <w:pStyle w:val="TableText"/>
              <w:spacing w:before="40" w:after="40"/>
              <w:jc w:val="center"/>
              <w:rPr>
                <w:sz w:val="17"/>
                <w:szCs w:val="17"/>
              </w:rPr>
            </w:pPr>
            <w:r>
              <w:rPr>
                <w:sz w:val="17"/>
                <w:szCs w:val="17"/>
              </w:rPr>
              <w:t>2.6 pp</w:t>
            </w:r>
          </w:p>
        </w:tc>
        <w:tc>
          <w:tcPr>
            <w:tcW w:w="761" w:type="pct"/>
          </w:tcPr>
          <w:p w14:paraId="097C7D11" w14:textId="77777777" w:rsidR="00D11996" w:rsidRPr="000B093B" w:rsidRDefault="00D11996" w:rsidP="00BE5B0F">
            <w:pPr>
              <w:pStyle w:val="TableText"/>
              <w:spacing w:before="40" w:after="40"/>
              <w:jc w:val="center"/>
              <w:rPr>
                <w:sz w:val="17"/>
                <w:szCs w:val="17"/>
              </w:rPr>
            </w:pPr>
            <w:r>
              <w:rPr>
                <w:sz w:val="17"/>
                <w:szCs w:val="17"/>
              </w:rPr>
              <w:t>1.8 pp</w:t>
            </w:r>
          </w:p>
        </w:tc>
      </w:tr>
      <w:tr w:rsidR="00D11996" w:rsidRPr="000B093B" w14:paraId="04B2E3F2" w14:textId="77777777" w:rsidTr="00BE5B0F">
        <w:trPr>
          <w:trHeight w:val="216"/>
        </w:trPr>
        <w:tc>
          <w:tcPr>
            <w:tcW w:w="1911" w:type="pct"/>
            <w:shd w:val="clear" w:color="auto" w:fill="auto"/>
            <w:noWrap/>
            <w:vAlign w:val="center"/>
            <w:hideMark/>
          </w:tcPr>
          <w:p w14:paraId="524D121D" w14:textId="77777777" w:rsidR="00D11996" w:rsidRPr="000B093B" w:rsidRDefault="00D11996" w:rsidP="00BE5B0F">
            <w:pPr>
              <w:pStyle w:val="TableText"/>
              <w:spacing w:before="40" w:after="40"/>
              <w:rPr>
                <w:sz w:val="17"/>
                <w:szCs w:val="17"/>
              </w:rPr>
            </w:pPr>
            <w:r w:rsidRPr="000B093B">
              <w:rPr>
                <w:sz w:val="17"/>
                <w:szCs w:val="17"/>
              </w:rPr>
              <w:t>50% subgroup</w:t>
            </w:r>
          </w:p>
        </w:tc>
        <w:tc>
          <w:tcPr>
            <w:tcW w:w="854" w:type="pct"/>
            <w:shd w:val="clear" w:color="auto" w:fill="auto"/>
            <w:noWrap/>
            <w:vAlign w:val="center"/>
            <w:hideMark/>
          </w:tcPr>
          <w:p w14:paraId="71BCC2F7" w14:textId="77777777" w:rsidR="00D11996" w:rsidRPr="000B093B" w:rsidRDefault="00D11996" w:rsidP="00BE5B0F">
            <w:pPr>
              <w:pStyle w:val="TableText"/>
              <w:spacing w:before="40" w:after="40"/>
              <w:jc w:val="center"/>
              <w:rPr>
                <w:sz w:val="17"/>
                <w:szCs w:val="17"/>
              </w:rPr>
            </w:pPr>
            <w:r w:rsidRPr="000B093B">
              <w:rPr>
                <w:sz w:val="17"/>
                <w:szCs w:val="17"/>
              </w:rPr>
              <w:t>2.7 pp</w:t>
            </w:r>
          </w:p>
        </w:tc>
        <w:tc>
          <w:tcPr>
            <w:tcW w:w="531" w:type="pct"/>
            <w:shd w:val="clear" w:color="auto" w:fill="auto"/>
            <w:noWrap/>
            <w:vAlign w:val="center"/>
            <w:hideMark/>
          </w:tcPr>
          <w:p w14:paraId="7190752A" w14:textId="77777777" w:rsidR="00D11996" w:rsidRPr="000B093B" w:rsidRDefault="00D11996" w:rsidP="00BE5B0F">
            <w:pPr>
              <w:pStyle w:val="TableText"/>
              <w:spacing w:before="40" w:after="40"/>
              <w:jc w:val="center"/>
              <w:rPr>
                <w:sz w:val="17"/>
                <w:szCs w:val="17"/>
              </w:rPr>
            </w:pPr>
            <w:r w:rsidRPr="000B093B">
              <w:rPr>
                <w:sz w:val="17"/>
                <w:szCs w:val="17"/>
              </w:rPr>
              <w:t>1.9 pp</w:t>
            </w:r>
          </w:p>
        </w:tc>
        <w:tc>
          <w:tcPr>
            <w:tcW w:w="137" w:type="pct"/>
          </w:tcPr>
          <w:p w14:paraId="4DEBBAC7" w14:textId="77777777" w:rsidR="00D11996" w:rsidRDefault="00D11996" w:rsidP="00BE5B0F">
            <w:pPr>
              <w:pStyle w:val="TableText"/>
              <w:spacing w:before="40" w:after="40"/>
              <w:jc w:val="center"/>
              <w:rPr>
                <w:sz w:val="17"/>
                <w:szCs w:val="17"/>
              </w:rPr>
            </w:pPr>
          </w:p>
        </w:tc>
        <w:tc>
          <w:tcPr>
            <w:tcW w:w="806" w:type="pct"/>
          </w:tcPr>
          <w:p w14:paraId="67693B22" w14:textId="77777777" w:rsidR="00D11996" w:rsidRPr="000B093B" w:rsidRDefault="00D11996" w:rsidP="00BE5B0F">
            <w:pPr>
              <w:pStyle w:val="TableText"/>
              <w:spacing w:before="40" w:after="40"/>
              <w:jc w:val="center"/>
              <w:rPr>
                <w:sz w:val="17"/>
                <w:szCs w:val="17"/>
              </w:rPr>
            </w:pPr>
            <w:r>
              <w:rPr>
                <w:sz w:val="17"/>
                <w:szCs w:val="17"/>
              </w:rPr>
              <w:t>3.0 pp</w:t>
            </w:r>
          </w:p>
        </w:tc>
        <w:tc>
          <w:tcPr>
            <w:tcW w:w="761" w:type="pct"/>
          </w:tcPr>
          <w:p w14:paraId="4B0E7532" w14:textId="77777777" w:rsidR="00D11996" w:rsidRPr="000B093B" w:rsidRDefault="00D11996" w:rsidP="00BE5B0F">
            <w:pPr>
              <w:pStyle w:val="TableText"/>
              <w:spacing w:before="40" w:after="40"/>
              <w:jc w:val="center"/>
              <w:rPr>
                <w:sz w:val="17"/>
                <w:szCs w:val="17"/>
              </w:rPr>
            </w:pPr>
            <w:r>
              <w:rPr>
                <w:sz w:val="17"/>
                <w:szCs w:val="17"/>
              </w:rPr>
              <w:t>2.1 pp</w:t>
            </w:r>
          </w:p>
        </w:tc>
      </w:tr>
      <w:tr w:rsidR="00D11996" w:rsidRPr="000B093B" w14:paraId="544D3205" w14:textId="77777777" w:rsidTr="00BE5B0F">
        <w:trPr>
          <w:trHeight w:val="216"/>
        </w:trPr>
        <w:tc>
          <w:tcPr>
            <w:tcW w:w="1911" w:type="pct"/>
            <w:shd w:val="clear" w:color="auto" w:fill="auto"/>
            <w:noWrap/>
            <w:vAlign w:val="center"/>
            <w:hideMark/>
          </w:tcPr>
          <w:p w14:paraId="5DDF7A27" w14:textId="77777777" w:rsidR="00D11996" w:rsidRPr="000B093B" w:rsidRDefault="00D11996" w:rsidP="00BE5B0F">
            <w:pPr>
              <w:pStyle w:val="TableText"/>
              <w:spacing w:before="40" w:after="40"/>
              <w:rPr>
                <w:sz w:val="17"/>
                <w:szCs w:val="17"/>
              </w:rPr>
            </w:pPr>
            <w:r w:rsidRPr="000B093B">
              <w:rPr>
                <w:sz w:val="17"/>
                <w:szCs w:val="17"/>
              </w:rPr>
              <w:t>33% subgroup</w:t>
            </w:r>
          </w:p>
        </w:tc>
        <w:tc>
          <w:tcPr>
            <w:tcW w:w="854" w:type="pct"/>
            <w:shd w:val="clear" w:color="auto" w:fill="auto"/>
            <w:noWrap/>
            <w:vAlign w:val="center"/>
            <w:hideMark/>
          </w:tcPr>
          <w:p w14:paraId="615E0FB2" w14:textId="77777777" w:rsidR="00D11996" w:rsidRPr="000B093B" w:rsidRDefault="00D11996" w:rsidP="00BE5B0F">
            <w:pPr>
              <w:pStyle w:val="TableText"/>
              <w:spacing w:before="40" w:after="40"/>
              <w:jc w:val="center"/>
              <w:rPr>
                <w:sz w:val="17"/>
                <w:szCs w:val="17"/>
              </w:rPr>
            </w:pPr>
            <w:r w:rsidRPr="000B093B">
              <w:rPr>
                <w:sz w:val="17"/>
                <w:szCs w:val="17"/>
              </w:rPr>
              <w:t>3.3 pp</w:t>
            </w:r>
          </w:p>
        </w:tc>
        <w:tc>
          <w:tcPr>
            <w:tcW w:w="531" w:type="pct"/>
            <w:shd w:val="clear" w:color="auto" w:fill="auto"/>
            <w:noWrap/>
            <w:vAlign w:val="center"/>
            <w:hideMark/>
          </w:tcPr>
          <w:p w14:paraId="708CFE39" w14:textId="77777777" w:rsidR="00D11996" w:rsidRPr="000B093B" w:rsidRDefault="00D11996" w:rsidP="00BE5B0F">
            <w:pPr>
              <w:pStyle w:val="TableText"/>
              <w:spacing w:before="40" w:after="40"/>
              <w:jc w:val="center"/>
              <w:rPr>
                <w:sz w:val="17"/>
                <w:szCs w:val="17"/>
              </w:rPr>
            </w:pPr>
            <w:r w:rsidRPr="000B093B">
              <w:rPr>
                <w:sz w:val="17"/>
                <w:szCs w:val="17"/>
              </w:rPr>
              <w:t>2.3 pp</w:t>
            </w:r>
          </w:p>
        </w:tc>
        <w:tc>
          <w:tcPr>
            <w:tcW w:w="137" w:type="pct"/>
          </w:tcPr>
          <w:p w14:paraId="6C01B363" w14:textId="77777777" w:rsidR="00D11996" w:rsidRDefault="00D11996" w:rsidP="00BE5B0F">
            <w:pPr>
              <w:pStyle w:val="TableText"/>
              <w:spacing w:before="40" w:after="40"/>
              <w:jc w:val="center"/>
              <w:rPr>
                <w:sz w:val="17"/>
                <w:szCs w:val="17"/>
              </w:rPr>
            </w:pPr>
          </w:p>
        </w:tc>
        <w:tc>
          <w:tcPr>
            <w:tcW w:w="806" w:type="pct"/>
          </w:tcPr>
          <w:p w14:paraId="184BBF59" w14:textId="77777777" w:rsidR="00D11996" w:rsidRPr="000B093B" w:rsidRDefault="00D11996" w:rsidP="00BE5B0F">
            <w:pPr>
              <w:pStyle w:val="TableText"/>
              <w:spacing w:before="40" w:after="40"/>
              <w:jc w:val="center"/>
              <w:rPr>
                <w:sz w:val="17"/>
                <w:szCs w:val="17"/>
              </w:rPr>
            </w:pPr>
            <w:r>
              <w:rPr>
                <w:sz w:val="17"/>
                <w:szCs w:val="17"/>
              </w:rPr>
              <w:t>3.7 pp</w:t>
            </w:r>
          </w:p>
        </w:tc>
        <w:tc>
          <w:tcPr>
            <w:tcW w:w="761" w:type="pct"/>
          </w:tcPr>
          <w:p w14:paraId="2CF87FD7" w14:textId="77777777" w:rsidR="00D11996" w:rsidRPr="000B093B" w:rsidRDefault="00D11996" w:rsidP="00BE5B0F">
            <w:pPr>
              <w:pStyle w:val="TableText"/>
              <w:spacing w:before="40" w:after="40"/>
              <w:jc w:val="center"/>
              <w:rPr>
                <w:sz w:val="17"/>
                <w:szCs w:val="17"/>
              </w:rPr>
            </w:pPr>
            <w:r>
              <w:rPr>
                <w:sz w:val="17"/>
                <w:szCs w:val="17"/>
              </w:rPr>
              <w:t>2.6 pp</w:t>
            </w:r>
          </w:p>
        </w:tc>
      </w:tr>
      <w:tr w:rsidR="00D11996" w:rsidRPr="000B093B" w14:paraId="66852B76" w14:textId="77777777" w:rsidTr="00BE5B0F">
        <w:trPr>
          <w:trHeight w:val="216"/>
        </w:trPr>
        <w:tc>
          <w:tcPr>
            <w:tcW w:w="1911" w:type="pct"/>
            <w:shd w:val="clear" w:color="auto" w:fill="auto"/>
            <w:noWrap/>
            <w:vAlign w:val="center"/>
            <w:hideMark/>
          </w:tcPr>
          <w:p w14:paraId="3084DEA2"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large state</w:t>
            </w:r>
          </w:p>
        </w:tc>
        <w:tc>
          <w:tcPr>
            <w:tcW w:w="854" w:type="pct"/>
            <w:shd w:val="clear" w:color="auto" w:fill="auto"/>
            <w:noWrap/>
            <w:vAlign w:val="center"/>
            <w:hideMark/>
          </w:tcPr>
          <w:p w14:paraId="745DA725" w14:textId="77777777" w:rsidR="00D11996" w:rsidRPr="000B093B" w:rsidRDefault="00D11996" w:rsidP="00BE5B0F">
            <w:pPr>
              <w:pStyle w:val="TableText"/>
              <w:spacing w:before="40" w:after="40"/>
              <w:jc w:val="center"/>
              <w:rPr>
                <w:sz w:val="17"/>
                <w:szCs w:val="17"/>
              </w:rPr>
            </w:pPr>
            <w:r w:rsidRPr="000B093B">
              <w:rPr>
                <w:sz w:val="17"/>
                <w:szCs w:val="17"/>
              </w:rPr>
              <w:t>4.2 pp</w:t>
            </w:r>
          </w:p>
        </w:tc>
        <w:tc>
          <w:tcPr>
            <w:tcW w:w="531" w:type="pct"/>
            <w:shd w:val="clear" w:color="auto" w:fill="auto"/>
            <w:noWrap/>
            <w:vAlign w:val="center"/>
            <w:hideMark/>
          </w:tcPr>
          <w:p w14:paraId="47E21C6B" w14:textId="77777777" w:rsidR="00D11996" w:rsidRPr="000B093B" w:rsidRDefault="00D11996" w:rsidP="00BE5B0F">
            <w:pPr>
              <w:pStyle w:val="TableText"/>
              <w:spacing w:before="40" w:after="40"/>
              <w:jc w:val="center"/>
              <w:rPr>
                <w:sz w:val="17"/>
                <w:szCs w:val="17"/>
              </w:rPr>
            </w:pPr>
            <w:r w:rsidRPr="000B093B">
              <w:rPr>
                <w:sz w:val="17"/>
                <w:szCs w:val="17"/>
              </w:rPr>
              <w:t>3.0 pp</w:t>
            </w:r>
          </w:p>
        </w:tc>
        <w:tc>
          <w:tcPr>
            <w:tcW w:w="137" w:type="pct"/>
          </w:tcPr>
          <w:p w14:paraId="486916F4" w14:textId="77777777" w:rsidR="00D11996" w:rsidRDefault="00D11996" w:rsidP="00BE5B0F">
            <w:pPr>
              <w:pStyle w:val="TableText"/>
              <w:spacing w:before="40" w:after="40"/>
              <w:jc w:val="center"/>
              <w:rPr>
                <w:sz w:val="17"/>
                <w:szCs w:val="17"/>
              </w:rPr>
            </w:pPr>
          </w:p>
        </w:tc>
        <w:tc>
          <w:tcPr>
            <w:tcW w:w="806" w:type="pct"/>
          </w:tcPr>
          <w:p w14:paraId="02A25F91" w14:textId="77777777" w:rsidR="00D11996" w:rsidRPr="000B093B" w:rsidRDefault="00D11996" w:rsidP="00BE5B0F">
            <w:pPr>
              <w:pStyle w:val="TableText"/>
              <w:spacing w:before="40" w:after="40"/>
              <w:jc w:val="center"/>
              <w:rPr>
                <w:sz w:val="17"/>
                <w:szCs w:val="17"/>
              </w:rPr>
            </w:pPr>
            <w:r>
              <w:rPr>
                <w:sz w:val="17"/>
                <w:szCs w:val="17"/>
              </w:rPr>
              <w:t>4.7 pp</w:t>
            </w:r>
          </w:p>
        </w:tc>
        <w:tc>
          <w:tcPr>
            <w:tcW w:w="761" w:type="pct"/>
          </w:tcPr>
          <w:p w14:paraId="2A38F7BF" w14:textId="77777777" w:rsidR="00D11996" w:rsidRPr="000B093B" w:rsidRDefault="00D11996" w:rsidP="00BE5B0F">
            <w:pPr>
              <w:pStyle w:val="TableText"/>
              <w:spacing w:before="40" w:after="40"/>
              <w:jc w:val="center"/>
              <w:rPr>
                <w:sz w:val="17"/>
                <w:szCs w:val="17"/>
              </w:rPr>
            </w:pPr>
            <w:r>
              <w:rPr>
                <w:sz w:val="17"/>
                <w:szCs w:val="17"/>
              </w:rPr>
              <w:t>3.4 pp</w:t>
            </w:r>
          </w:p>
        </w:tc>
      </w:tr>
      <w:tr w:rsidR="00D11996" w:rsidRPr="000B093B" w14:paraId="10B3C395" w14:textId="77777777" w:rsidTr="00BE5B0F">
        <w:trPr>
          <w:trHeight w:val="216"/>
        </w:trPr>
        <w:tc>
          <w:tcPr>
            <w:tcW w:w="1911" w:type="pct"/>
            <w:shd w:val="clear" w:color="auto" w:fill="auto"/>
            <w:noWrap/>
            <w:vAlign w:val="center"/>
            <w:hideMark/>
          </w:tcPr>
          <w:p w14:paraId="1DE12CE1"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medium state</w:t>
            </w:r>
          </w:p>
        </w:tc>
        <w:tc>
          <w:tcPr>
            <w:tcW w:w="854" w:type="pct"/>
            <w:shd w:val="clear" w:color="auto" w:fill="auto"/>
            <w:noWrap/>
            <w:vAlign w:val="center"/>
            <w:hideMark/>
          </w:tcPr>
          <w:p w14:paraId="62837380" w14:textId="77777777" w:rsidR="00D11996" w:rsidRPr="000B093B" w:rsidRDefault="00D11996" w:rsidP="00BE5B0F">
            <w:pPr>
              <w:pStyle w:val="TableText"/>
              <w:spacing w:before="40" w:after="40"/>
              <w:jc w:val="center"/>
              <w:rPr>
                <w:sz w:val="17"/>
                <w:szCs w:val="17"/>
              </w:rPr>
            </w:pPr>
            <w:r w:rsidRPr="000B093B">
              <w:rPr>
                <w:sz w:val="17"/>
                <w:szCs w:val="17"/>
              </w:rPr>
              <w:t>5.9 pp</w:t>
            </w:r>
          </w:p>
        </w:tc>
        <w:tc>
          <w:tcPr>
            <w:tcW w:w="531" w:type="pct"/>
            <w:shd w:val="clear" w:color="auto" w:fill="auto"/>
            <w:noWrap/>
            <w:vAlign w:val="center"/>
            <w:hideMark/>
          </w:tcPr>
          <w:p w14:paraId="67F2E571" w14:textId="77777777" w:rsidR="00D11996" w:rsidRPr="000B093B" w:rsidRDefault="00D11996" w:rsidP="00BE5B0F">
            <w:pPr>
              <w:pStyle w:val="TableText"/>
              <w:spacing w:before="40" w:after="40"/>
              <w:jc w:val="center"/>
              <w:rPr>
                <w:sz w:val="17"/>
                <w:szCs w:val="17"/>
              </w:rPr>
            </w:pPr>
            <w:r w:rsidRPr="000B093B">
              <w:rPr>
                <w:sz w:val="17"/>
                <w:szCs w:val="17"/>
              </w:rPr>
              <w:t>4.2 pp</w:t>
            </w:r>
          </w:p>
        </w:tc>
        <w:tc>
          <w:tcPr>
            <w:tcW w:w="137" w:type="pct"/>
          </w:tcPr>
          <w:p w14:paraId="6C590820" w14:textId="77777777" w:rsidR="00D11996" w:rsidRDefault="00D11996" w:rsidP="00BE5B0F">
            <w:pPr>
              <w:pStyle w:val="TableText"/>
              <w:spacing w:before="40" w:after="40"/>
              <w:jc w:val="center"/>
              <w:rPr>
                <w:sz w:val="17"/>
                <w:szCs w:val="17"/>
              </w:rPr>
            </w:pPr>
          </w:p>
        </w:tc>
        <w:tc>
          <w:tcPr>
            <w:tcW w:w="806" w:type="pct"/>
          </w:tcPr>
          <w:p w14:paraId="2E9998EE" w14:textId="77777777" w:rsidR="00D11996" w:rsidRPr="000B093B" w:rsidRDefault="00D11996" w:rsidP="00BE5B0F">
            <w:pPr>
              <w:pStyle w:val="TableText"/>
              <w:spacing w:before="40" w:after="40"/>
              <w:jc w:val="center"/>
              <w:rPr>
                <w:sz w:val="17"/>
                <w:szCs w:val="17"/>
              </w:rPr>
            </w:pPr>
            <w:r>
              <w:rPr>
                <w:sz w:val="17"/>
                <w:szCs w:val="17"/>
              </w:rPr>
              <w:t>6.7 pp</w:t>
            </w:r>
          </w:p>
        </w:tc>
        <w:tc>
          <w:tcPr>
            <w:tcW w:w="761" w:type="pct"/>
          </w:tcPr>
          <w:p w14:paraId="558CAC1D" w14:textId="77777777" w:rsidR="00D11996" w:rsidRPr="000B093B" w:rsidRDefault="00D11996" w:rsidP="00BE5B0F">
            <w:pPr>
              <w:pStyle w:val="TableText"/>
              <w:spacing w:before="40" w:after="40"/>
              <w:jc w:val="center"/>
              <w:rPr>
                <w:sz w:val="17"/>
                <w:szCs w:val="17"/>
              </w:rPr>
            </w:pPr>
            <w:r>
              <w:rPr>
                <w:sz w:val="17"/>
                <w:szCs w:val="17"/>
              </w:rPr>
              <w:t>4.7 pp</w:t>
            </w:r>
          </w:p>
        </w:tc>
      </w:tr>
      <w:tr w:rsidR="00D11996" w:rsidRPr="000B093B" w14:paraId="391D94B9" w14:textId="77777777" w:rsidTr="00BE5B0F">
        <w:trPr>
          <w:trHeight w:val="216"/>
        </w:trPr>
        <w:tc>
          <w:tcPr>
            <w:tcW w:w="1911" w:type="pct"/>
            <w:shd w:val="clear" w:color="auto" w:fill="auto"/>
            <w:noWrap/>
            <w:vAlign w:val="center"/>
          </w:tcPr>
          <w:p w14:paraId="5B62E5F2"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small state</w:t>
            </w:r>
          </w:p>
        </w:tc>
        <w:tc>
          <w:tcPr>
            <w:tcW w:w="854" w:type="pct"/>
            <w:shd w:val="clear" w:color="auto" w:fill="auto"/>
            <w:noWrap/>
            <w:vAlign w:val="center"/>
          </w:tcPr>
          <w:p w14:paraId="7C1C654E" w14:textId="77777777" w:rsidR="00D11996" w:rsidRPr="000B093B" w:rsidRDefault="00D11996" w:rsidP="00BE5B0F">
            <w:pPr>
              <w:pStyle w:val="TableText"/>
              <w:spacing w:before="40" w:after="40"/>
              <w:jc w:val="center"/>
              <w:rPr>
                <w:sz w:val="17"/>
                <w:szCs w:val="17"/>
              </w:rPr>
            </w:pPr>
            <w:r w:rsidRPr="000B093B">
              <w:rPr>
                <w:sz w:val="17"/>
                <w:szCs w:val="17"/>
              </w:rPr>
              <w:t>10.3 pp</w:t>
            </w:r>
          </w:p>
        </w:tc>
        <w:tc>
          <w:tcPr>
            <w:tcW w:w="531" w:type="pct"/>
            <w:shd w:val="clear" w:color="auto" w:fill="auto"/>
            <w:noWrap/>
            <w:vAlign w:val="center"/>
          </w:tcPr>
          <w:p w14:paraId="68674CDB" w14:textId="77777777" w:rsidR="00D11996" w:rsidRPr="000B093B" w:rsidRDefault="00D11996" w:rsidP="00BE5B0F">
            <w:pPr>
              <w:pStyle w:val="TableText"/>
              <w:spacing w:before="40" w:after="40"/>
              <w:jc w:val="center"/>
              <w:rPr>
                <w:sz w:val="17"/>
                <w:szCs w:val="17"/>
              </w:rPr>
            </w:pPr>
            <w:r w:rsidRPr="000B093B">
              <w:rPr>
                <w:sz w:val="17"/>
                <w:szCs w:val="17"/>
              </w:rPr>
              <w:t>7.4 pp</w:t>
            </w:r>
          </w:p>
        </w:tc>
        <w:tc>
          <w:tcPr>
            <w:tcW w:w="137" w:type="pct"/>
          </w:tcPr>
          <w:p w14:paraId="5DFC6092" w14:textId="77777777" w:rsidR="00D11996" w:rsidRDefault="00D11996" w:rsidP="00BE5B0F">
            <w:pPr>
              <w:pStyle w:val="TableText"/>
              <w:spacing w:before="40" w:after="40"/>
              <w:jc w:val="center"/>
              <w:rPr>
                <w:sz w:val="17"/>
                <w:szCs w:val="17"/>
              </w:rPr>
            </w:pPr>
          </w:p>
        </w:tc>
        <w:tc>
          <w:tcPr>
            <w:tcW w:w="806" w:type="pct"/>
          </w:tcPr>
          <w:p w14:paraId="3611BA46" w14:textId="77777777" w:rsidR="00D11996" w:rsidRPr="000B093B" w:rsidRDefault="00D11996" w:rsidP="00BE5B0F">
            <w:pPr>
              <w:pStyle w:val="TableText"/>
              <w:spacing w:before="40" w:after="40"/>
              <w:jc w:val="center"/>
              <w:rPr>
                <w:sz w:val="17"/>
                <w:szCs w:val="17"/>
              </w:rPr>
            </w:pPr>
            <w:r>
              <w:rPr>
                <w:sz w:val="17"/>
                <w:szCs w:val="17"/>
              </w:rPr>
              <w:t>11.6 pp</w:t>
            </w:r>
          </w:p>
        </w:tc>
        <w:tc>
          <w:tcPr>
            <w:tcW w:w="761" w:type="pct"/>
          </w:tcPr>
          <w:p w14:paraId="6123E539" w14:textId="77777777" w:rsidR="00D11996" w:rsidRPr="000B093B" w:rsidRDefault="00D11996" w:rsidP="00BE5B0F">
            <w:pPr>
              <w:pStyle w:val="TableText"/>
              <w:spacing w:before="40" w:after="40"/>
              <w:jc w:val="center"/>
              <w:rPr>
                <w:sz w:val="17"/>
                <w:szCs w:val="17"/>
              </w:rPr>
            </w:pPr>
            <w:r>
              <w:rPr>
                <w:sz w:val="17"/>
                <w:szCs w:val="17"/>
              </w:rPr>
              <w:t>8.2 pp</w:t>
            </w:r>
          </w:p>
        </w:tc>
      </w:tr>
      <w:tr w:rsidR="00D11996" w:rsidRPr="0095035E" w14:paraId="0C5557A6" w14:textId="77777777" w:rsidTr="00D11996">
        <w:trPr>
          <w:trHeight w:val="300"/>
        </w:trPr>
        <w:tc>
          <w:tcPr>
            <w:tcW w:w="3296" w:type="pct"/>
            <w:gridSpan w:val="3"/>
            <w:shd w:val="clear" w:color="auto" w:fill="D9D9D9"/>
            <w:noWrap/>
            <w:vAlign w:val="bottom"/>
          </w:tcPr>
          <w:p w14:paraId="3EDF4EF4" w14:textId="77777777" w:rsidR="00D11996" w:rsidRPr="00BB2E51" w:rsidRDefault="00D11996" w:rsidP="00BE5B0F">
            <w:pPr>
              <w:pStyle w:val="TableHeaderLeft"/>
              <w:spacing w:before="60"/>
              <w:rPr>
                <w:color w:val="auto"/>
              </w:rPr>
            </w:pPr>
            <w:r>
              <w:rPr>
                <w:color w:val="auto"/>
              </w:rPr>
              <w:t>Key assumptions</w:t>
            </w:r>
          </w:p>
        </w:tc>
        <w:tc>
          <w:tcPr>
            <w:tcW w:w="137" w:type="pct"/>
            <w:shd w:val="clear" w:color="auto" w:fill="D9D9D9"/>
          </w:tcPr>
          <w:p w14:paraId="17E4C700" w14:textId="77777777" w:rsidR="00D11996" w:rsidRPr="00BB2E51" w:rsidRDefault="00D11996" w:rsidP="00BE5B0F">
            <w:pPr>
              <w:pStyle w:val="TableHeaderLeft"/>
              <w:spacing w:before="60"/>
              <w:rPr>
                <w:color w:val="auto"/>
              </w:rPr>
            </w:pPr>
          </w:p>
        </w:tc>
        <w:tc>
          <w:tcPr>
            <w:tcW w:w="806" w:type="pct"/>
            <w:shd w:val="clear" w:color="auto" w:fill="D9D9D9"/>
          </w:tcPr>
          <w:p w14:paraId="3EB3151B" w14:textId="77777777" w:rsidR="00D11996" w:rsidRPr="00BB2E51" w:rsidRDefault="00D11996" w:rsidP="00BE5B0F">
            <w:pPr>
              <w:pStyle w:val="TableHeaderLeft"/>
              <w:spacing w:before="60"/>
              <w:rPr>
                <w:color w:val="auto"/>
              </w:rPr>
            </w:pPr>
          </w:p>
        </w:tc>
        <w:tc>
          <w:tcPr>
            <w:tcW w:w="761" w:type="pct"/>
            <w:shd w:val="clear" w:color="auto" w:fill="D9D9D9"/>
          </w:tcPr>
          <w:p w14:paraId="773D78EF" w14:textId="77777777" w:rsidR="00D11996" w:rsidRPr="00BB2E51" w:rsidRDefault="00D11996" w:rsidP="00BE5B0F">
            <w:pPr>
              <w:pStyle w:val="TableHeaderLeft"/>
              <w:spacing w:before="60"/>
              <w:rPr>
                <w:color w:val="auto"/>
              </w:rPr>
            </w:pPr>
          </w:p>
        </w:tc>
      </w:tr>
      <w:tr w:rsidR="00D11996" w:rsidRPr="000B093B" w14:paraId="4FBAFDF9" w14:textId="77777777" w:rsidTr="00BE5B0F">
        <w:trPr>
          <w:trHeight w:val="216"/>
        </w:trPr>
        <w:tc>
          <w:tcPr>
            <w:tcW w:w="1911" w:type="pct"/>
            <w:shd w:val="clear" w:color="auto" w:fill="auto"/>
            <w:noWrap/>
            <w:hideMark/>
          </w:tcPr>
          <w:p w14:paraId="4110214B" w14:textId="77777777" w:rsidR="00D11996" w:rsidRPr="000B093B" w:rsidRDefault="00D11996" w:rsidP="00BE5B0F">
            <w:pPr>
              <w:pStyle w:val="TableText"/>
              <w:spacing w:before="40" w:after="40"/>
              <w:rPr>
                <w:sz w:val="17"/>
                <w:szCs w:val="17"/>
              </w:rPr>
            </w:pPr>
            <w:r>
              <w:rPr>
                <w:sz w:val="17"/>
                <w:szCs w:val="17"/>
              </w:rPr>
              <w:t xml:space="preserve">Assumed outcome prevalence </w:t>
            </w:r>
            <w:r w:rsidRPr="000B093B">
              <w:rPr>
                <w:sz w:val="17"/>
                <w:szCs w:val="17"/>
              </w:rPr>
              <w:t>in the control group</w:t>
            </w:r>
          </w:p>
        </w:tc>
        <w:tc>
          <w:tcPr>
            <w:tcW w:w="854" w:type="pct"/>
            <w:shd w:val="clear" w:color="auto" w:fill="auto"/>
            <w:noWrap/>
            <w:hideMark/>
          </w:tcPr>
          <w:p w14:paraId="22DA179C" w14:textId="77777777" w:rsidR="00D11996" w:rsidRPr="000B093B" w:rsidRDefault="00D11996" w:rsidP="00BE5B0F">
            <w:pPr>
              <w:pStyle w:val="TableText"/>
              <w:spacing w:before="40" w:after="40"/>
              <w:jc w:val="center"/>
              <w:rPr>
                <w:sz w:val="17"/>
                <w:szCs w:val="17"/>
              </w:rPr>
            </w:pPr>
            <w:r w:rsidRPr="000B093B">
              <w:rPr>
                <w:sz w:val="17"/>
                <w:szCs w:val="17"/>
              </w:rPr>
              <w:t>50%</w:t>
            </w:r>
          </w:p>
        </w:tc>
        <w:tc>
          <w:tcPr>
            <w:tcW w:w="531" w:type="pct"/>
            <w:shd w:val="clear" w:color="auto" w:fill="auto"/>
            <w:noWrap/>
            <w:hideMark/>
          </w:tcPr>
          <w:p w14:paraId="23C87B96" w14:textId="77777777" w:rsidR="00D11996" w:rsidRPr="000B093B" w:rsidRDefault="00D11996" w:rsidP="00BE5B0F">
            <w:pPr>
              <w:pStyle w:val="TableText"/>
              <w:spacing w:before="40" w:after="40"/>
              <w:jc w:val="center"/>
              <w:rPr>
                <w:sz w:val="17"/>
                <w:szCs w:val="17"/>
              </w:rPr>
            </w:pPr>
            <w:r w:rsidRPr="000B093B">
              <w:rPr>
                <w:sz w:val="17"/>
                <w:szCs w:val="17"/>
              </w:rPr>
              <w:t>15%</w:t>
            </w:r>
          </w:p>
        </w:tc>
        <w:tc>
          <w:tcPr>
            <w:tcW w:w="137" w:type="pct"/>
          </w:tcPr>
          <w:p w14:paraId="5D3A0102" w14:textId="77777777" w:rsidR="00D11996" w:rsidRDefault="00D11996" w:rsidP="00BE5B0F">
            <w:pPr>
              <w:pStyle w:val="TableText"/>
              <w:spacing w:before="40" w:after="40"/>
              <w:jc w:val="center"/>
              <w:rPr>
                <w:sz w:val="17"/>
                <w:szCs w:val="17"/>
              </w:rPr>
            </w:pPr>
          </w:p>
        </w:tc>
        <w:tc>
          <w:tcPr>
            <w:tcW w:w="806" w:type="pct"/>
          </w:tcPr>
          <w:p w14:paraId="15458990" w14:textId="77777777" w:rsidR="00D11996" w:rsidRPr="000B093B" w:rsidRDefault="00D11996" w:rsidP="00BE5B0F">
            <w:pPr>
              <w:pStyle w:val="TableText"/>
              <w:spacing w:before="40" w:after="40"/>
              <w:jc w:val="center"/>
              <w:rPr>
                <w:sz w:val="17"/>
                <w:szCs w:val="17"/>
              </w:rPr>
            </w:pPr>
            <w:r>
              <w:rPr>
                <w:sz w:val="17"/>
                <w:szCs w:val="17"/>
              </w:rPr>
              <w:t>15%</w:t>
            </w:r>
          </w:p>
        </w:tc>
        <w:tc>
          <w:tcPr>
            <w:tcW w:w="761" w:type="pct"/>
          </w:tcPr>
          <w:p w14:paraId="27BB1901" w14:textId="77777777" w:rsidR="00D11996" w:rsidRPr="000B093B" w:rsidRDefault="00D11996" w:rsidP="00BE5B0F">
            <w:pPr>
              <w:pStyle w:val="TableText"/>
              <w:spacing w:before="40" w:after="40"/>
              <w:jc w:val="center"/>
              <w:rPr>
                <w:sz w:val="17"/>
                <w:szCs w:val="17"/>
              </w:rPr>
            </w:pPr>
            <w:r>
              <w:rPr>
                <w:sz w:val="17"/>
                <w:szCs w:val="17"/>
              </w:rPr>
              <w:t>15%</w:t>
            </w:r>
          </w:p>
        </w:tc>
      </w:tr>
      <w:tr w:rsidR="00D11996" w:rsidRPr="000B093B" w14:paraId="171EFA68" w14:textId="77777777" w:rsidTr="00BE5B0F">
        <w:trPr>
          <w:trHeight w:val="216"/>
        </w:trPr>
        <w:tc>
          <w:tcPr>
            <w:tcW w:w="1911" w:type="pct"/>
            <w:shd w:val="clear" w:color="auto" w:fill="auto"/>
            <w:noWrap/>
          </w:tcPr>
          <w:p w14:paraId="53AE25A7" w14:textId="77777777" w:rsidR="00D11996" w:rsidRPr="000B093B" w:rsidDel="00902B0B" w:rsidRDefault="00D11996" w:rsidP="00BE5B0F">
            <w:pPr>
              <w:pStyle w:val="TableText"/>
              <w:spacing w:before="40" w:after="40"/>
              <w:rPr>
                <w:sz w:val="17"/>
                <w:szCs w:val="17"/>
              </w:rPr>
            </w:pPr>
            <w:r>
              <w:rPr>
                <w:sz w:val="17"/>
                <w:szCs w:val="17"/>
              </w:rPr>
              <w:t>Total sample size</w:t>
            </w:r>
          </w:p>
        </w:tc>
        <w:tc>
          <w:tcPr>
            <w:tcW w:w="854" w:type="pct"/>
            <w:shd w:val="clear" w:color="auto" w:fill="auto"/>
            <w:noWrap/>
          </w:tcPr>
          <w:p w14:paraId="5AE75C98" w14:textId="77777777" w:rsidR="00D11996" w:rsidRPr="000B093B" w:rsidRDefault="00D11996" w:rsidP="00BE5B0F">
            <w:pPr>
              <w:pStyle w:val="TableText"/>
              <w:spacing w:before="40" w:after="40"/>
              <w:jc w:val="center"/>
              <w:rPr>
                <w:sz w:val="17"/>
                <w:szCs w:val="17"/>
              </w:rPr>
            </w:pPr>
            <w:r>
              <w:rPr>
                <w:sz w:val="17"/>
                <w:szCs w:val="17"/>
              </w:rPr>
              <w:t>15,000</w:t>
            </w:r>
          </w:p>
        </w:tc>
        <w:tc>
          <w:tcPr>
            <w:tcW w:w="531" w:type="pct"/>
            <w:shd w:val="clear" w:color="auto" w:fill="auto"/>
            <w:noWrap/>
          </w:tcPr>
          <w:p w14:paraId="78D826C1" w14:textId="77777777" w:rsidR="00D11996" w:rsidRPr="000B093B" w:rsidRDefault="00D11996" w:rsidP="00BE5B0F">
            <w:pPr>
              <w:pStyle w:val="TableText"/>
              <w:spacing w:before="40" w:after="40"/>
              <w:jc w:val="center"/>
              <w:rPr>
                <w:sz w:val="17"/>
                <w:szCs w:val="17"/>
              </w:rPr>
            </w:pPr>
            <w:r>
              <w:rPr>
                <w:sz w:val="17"/>
                <w:szCs w:val="17"/>
              </w:rPr>
              <w:t>15,000</w:t>
            </w:r>
          </w:p>
        </w:tc>
        <w:tc>
          <w:tcPr>
            <w:tcW w:w="137" w:type="pct"/>
          </w:tcPr>
          <w:p w14:paraId="1753BDC4" w14:textId="77777777" w:rsidR="00D11996" w:rsidRDefault="00D11996" w:rsidP="00BE5B0F">
            <w:pPr>
              <w:pStyle w:val="TableText"/>
              <w:spacing w:before="40" w:after="40"/>
              <w:jc w:val="center"/>
              <w:rPr>
                <w:sz w:val="17"/>
                <w:szCs w:val="17"/>
              </w:rPr>
            </w:pPr>
          </w:p>
        </w:tc>
        <w:tc>
          <w:tcPr>
            <w:tcW w:w="806" w:type="pct"/>
          </w:tcPr>
          <w:p w14:paraId="02A3C13A" w14:textId="77777777" w:rsidR="00D11996" w:rsidRDefault="00D11996" w:rsidP="00BE5B0F">
            <w:pPr>
              <w:pStyle w:val="TableText"/>
              <w:spacing w:before="40" w:after="40"/>
              <w:jc w:val="center"/>
              <w:rPr>
                <w:sz w:val="17"/>
                <w:szCs w:val="17"/>
              </w:rPr>
            </w:pPr>
            <w:r>
              <w:rPr>
                <w:sz w:val="17"/>
                <w:szCs w:val="17"/>
              </w:rPr>
              <w:t>6,000</w:t>
            </w:r>
          </w:p>
        </w:tc>
        <w:tc>
          <w:tcPr>
            <w:tcW w:w="761" w:type="pct"/>
          </w:tcPr>
          <w:p w14:paraId="5F388A50" w14:textId="77777777" w:rsidR="00D11996" w:rsidRDefault="00D11996" w:rsidP="00BE5B0F">
            <w:pPr>
              <w:pStyle w:val="TableText"/>
              <w:spacing w:before="40" w:after="40"/>
              <w:jc w:val="center"/>
              <w:rPr>
                <w:sz w:val="17"/>
                <w:szCs w:val="17"/>
              </w:rPr>
            </w:pPr>
            <w:r>
              <w:rPr>
                <w:sz w:val="17"/>
                <w:szCs w:val="17"/>
              </w:rPr>
              <w:t>12,000</w:t>
            </w:r>
          </w:p>
        </w:tc>
      </w:tr>
    </w:tbl>
    <w:p w14:paraId="1A791C02" w14:textId="27E81FCE" w:rsidR="00D11996" w:rsidRPr="00DC26E0" w:rsidRDefault="00D11996" w:rsidP="00D11996">
      <w:pPr>
        <w:pStyle w:val="TableSourceCaption"/>
      </w:pPr>
      <w:r w:rsidRPr="00404EAA">
        <w:t xml:space="preserve">Note: </w:t>
      </w:r>
      <w:r w:rsidRPr="00404EAA">
        <w:tab/>
      </w:r>
      <w:r>
        <w:t>Additional a</w:t>
      </w:r>
      <w:r w:rsidRPr="00404EAA">
        <w:t xml:space="preserve">ssumptions for </w:t>
      </w:r>
      <w:r>
        <w:t>all</w:t>
      </w:r>
      <w:r w:rsidRPr="00404EAA">
        <w:t xml:space="preserve"> </w:t>
      </w:r>
      <w:r>
        <w:t>MDI</w:t>
      </w:r>
      <w:r w:rsidRPr="00404EAA">
        <w:t>s: large state = 3,000</w:t>
      </w:r>
      <w:r>
        <w:t xml:space="preserve"> per group</w:t>
      </w:r>
      <w:r w:rsidRPr="00404EAA">
        <w:t>; medium state = 1,500</w:t>
      </w:r>
      <w:r>
        <w:t xml:space="preserve"> per group</w:t>
      </w:r>
      <w:r w:rsidRPr="00404EAA">
        <w:t>; small state = 500</w:t>
      </w:r>
      <w:r>
        <w:t xml:space="preserve"> per group</w:t>
      </w:r>
      <w:r w:rsidRPr="00404EAA">
        <w:t xml:space="preserve">; </w:t>
      </w:r>
      <w:r>
        <w:t xml:space="preserve">the evaluation </w:t>
      </w:r>
      <w:r w:rsidRPr="00404EAA">
        <w:t>require</w:t>
      </w:r>
      <w:r>
        <w:t>s</w:t>
      </w:r>
      <w:r w:rsidRPr="00404EAA">
        <w:t xml:space="preserve"> at least an 80 percent chance of correctly identifying true impacts as statistically significant</w:t>
      </w:r>
      <w:r>
        <w:t xml:space="preserve"> using </w:t>
      </w:r>
      <w:r w:rsidRPr="00404EAA">
        <w:t>two-tailed statistical tests with a 5 percent significance level</w:t>
      </w:r>
      <w:r>
        <w:t xml:space="preserve">; </w:t>
      </w:r>
      <w:r w:rsidRPr="00FC051C">
        <w:t xml:space="preserve">the </w:t>
      </w:r>
      <w:r>
        <w:t xml:space="preserve">POD </w:t>
      </w:r>
      <w:r w:rsidRPr="00FC051C">
        <w:t>evaluation team</w:t>
      </w:r>
      <w:r>
        <w:t xml:space="preserve"> will estimate </w:t>
      </w:r>
      <w:r w:rsidRPr="00F702BD">
        <w:t>impacts using regression models that include baseline covariates explaining 40 percent of the variat</w:t>
      </w:r>
      <w:r>
        <w:t xml:space="preserve">ion in employment outcomes; and </w:t>
      </w:r>
      <w:r w:rsidRPr="00F702BD">
        <w:t>analysis weights or adjustments for heteroscedasticity will not substantially alter variance estimates</w:t>
      </w:r>
      <w:r>
        <w:t xml:space="preserve">. Further assumptions about MDIs for survey outcomes are that: </w:t>
      </w:r>
      <w:r w:rsidRPr="00FC051C">
        <w:t>the evaluation team</w:t>
      </w:r>
      <w:r>
        <w:t xml:space="preserve"> will field the first survey to half of the study subjects; it will field the second survey to all subjects; and approximately 80 percent of potential respondents will complete the survey(s) fielded to them.</w:t>
      </w:r>
      <w:r w:rsidR="007D30F2">
        <w:t xml:space="preserve">  Estimates of MDIs at different sample sizes are available in Wittenburg et al. (2018).</w:t>
      </w:r>
    </w:p>
    <w:p w14:paraId="3334435B" w14:textId="77777777" w:rsidR="00D11996" w:rsidRDefault="00D11996" w:rsidP="00D11996">
      <w:pPr>
        <w:pStyle w:val="TableSourceCaption"/>
        <w:spacing w:after="240"/>
      </w:pPr>
      <w:r>
        <w:t xml:space="preserve">SGA = substantial gainful activity, </w:t>
      </w:r>
      <w:r w:rsidRPr="00C0434A">
        <w:t>pp = percentage point</w:t>
      </w:r>
      <w:r>
        <w:t>.</w:t>
      </w:r>
    </w:p>
    <w:p w14:paraId="7708D099" w14:textId="77777777" w:rsidR="00D11996" w:rsidRPr="003A4919" w:rsidRDefault="00D11996" w:rsidP="00D11996">
      <w:pPr>
        <w:pStyle w:val="H4Number"/>
      </w:pPr>
      <w:bookmarkStart w:id="15" w:name="_Toc476920456"/>
      <w:r w:rsidRPr="003A4919">
        <w:t>B.2.</w:t>
      </w:r>
      <w:r>
        <w:t>4.</w:t>
      </w:r>
      <w:r w:rsidRPr="003A4919">
        <w:t xml:space="preserve"> Unusual problems requiring specialized sampling procedures</w:t>
      </w:r>
      <w:bookmarkEnd w:id="15"/>
    </w:p>
    <w:p w14:paraId="283775EB" w14:textId="3832A986" w:rsidR="00D11996" w:rsidRPr="003A4919" w:rsidRDefault="00C0583F" w:rsidP="00D11996">
      <w:pPr>
        <w:pStyle w:val="NormalSS"/>
      </w:pPr>
      <w:r>
        <w:t>D</w:t>
      </w:r>
      <w:r w:rsidR="00D11996">
        <w:t xml:space="preserve">uring the pilot phase of recruitment, </w:t>
      </w:r>
      <w:r w:rsidR="00D11996" w:rsidRPr="00FC051C">
        <w:t>the evaluation team</w:t>
      </w:r>
      <w:r w:rsidR="00D63309">
        <w:t xml:space="preserve"> </w:t>
      </w:r>
      <w:r w:rsidR="00D11996">
        <w:t>gather</w:t>
      </w:r>
      <w:r w:rsidR="00D63309">
        <w:t>ed</w:t>
      </w:r>
      <w:r w:rsidR="00D11996">
        <w:t xml:space="preserve"> information</w:t>
      </w:r>
      <w:r w:rsidR="00D63309">
        <w:t xml:space="preserve"> about volunteer interest and ra</w:t>
      </w:r>
      <w:r w:rsidR="00D11996">
        <w:t xml:space="preserve">n recruitment experiments to </w:t>
      </w:r>
      <w:r w:rsidR="00D11996" w:rsidRPr="003A4919">
        <w:t xml:space="preserve">understand how volunteer rates </w:t>
      </w:r>
      <w:r w:rsidR="00D11996">
        <w:t xml:space="preserve">vary by different outreach methods and </w:t>
      </w:r>
      <w:r w:rsidR="00D11996" w:rsidRPr="003A4919">
        <w:t>beneficiary characteristics.</w:t>
      </w:r>
      <w:r w:rsidR="00D11996">
        <w:t xml:space="preserve">  See Sections B.3.1 and B.4.1 for additional details. </w:t>
      </w:r>
      <w:r w:rsidR="00D63309">
        <w:t xml:space="preserve">They </w:t>
      </w:r>
      <w:r w:rsidR="00D11996" w:rsidRPr="00F8351E">
        <w:t>then use</w:t>
      </w:r>
      <w:r w:rsidR="00D63309">
        <w:t>d</w:t>
      </w:r>
      <w:r w:rsidR="00D11996" w:rsidRPr="00F8351E">
        <w:t xml:space="preserve"> this information to adapt their stratified sampling procedure used to</w:t>
      </w:r>
      <w:r w:rsidR="00D11996">
        <w:t xml:space="preserve"> identify beneficiaries to target in the recruitment effort, as discussed in Sections B.2.1.1 and B.3.1.</w:t>
      </w:r>
    </w:p>
    <w:p w14:paraId="72B3876B" w14:textId="77777777" w:rsidR="00D11996" w:rsidRPr="003A4919" w:rsidRDefault="00D11996" w:rsidP="00D11996">
      <w:pPr>
        <w:pStyle w:val="H4Number"/>
      </w:pPr>
      <w:bookmarkStart w:id="16" w:name="_Toc476920457"/>
      <w:r w:rsidRPr="003A4919">
        <w:t>B.2.</w:t>
      </w:r>
      <w:r>
        <w:t>5.</w:t>
      </w:r>
      <w:r w:rsidRPr="003A4919">
        <w:t xml:space="preserve"> Periodic cycles to reduce burden</w:t>
      </w:r>
      <w:bookmarkEnd w:id="16"/>
    </w:p>
    <w:p w14:paraId="6C5F05E9" w14:textId="77777777" w:rsidR="00D11996" w:rsidRPr="003A4919" w:rsidRDefault="00D11996" w:rsidP="00D11996">
      <w:pPr>
        <w:pStyle w:val="NormalSS"/>
      </w:pPr>
      <w:r>
        <w:t>T</w:t>
      </w:r>
      <w:r w:rsidRPr="00FC051C">
        <w:t xml:space="preserve">he </w:t>
      </w:r>
      <w:r>
        <w:t xml:space="preserve">POD </w:t>
      </w:r>
      <w:r w:rsidRPr="00FC051C">
        <w:t>evaluation team</w:t>
      </w:r>
      <w:r>
        <w:t xml:space="preserve"> does not plan to use a less-than-annual periodicity of data collection for this evaluation because it expects that doing so would increase, rather than decrease, respondent burden.  Implementation data collection must occur monthly for SSA to obtain the information on earnings and IRWEs needed to calculate monthly SSDI benefits.  Less than monthly data collection for POD implementation would not satisfy the requirements of POD.</w:t>
      </w:r>
    </w:p>
    <w:p w14:paraId="1472A72B" w14:textId="77777777" w:rsidR="00D11996" w:rsidRPr="003A4919" w:rsidRDefault="00D11996" w:rsidP="00D11996">
      <w:pPr>
        <w:pStyle w:val="H3Alpha"/>
      </w:pPr>
      <w:bookmarkStart w:id="17" w:name="_Toc476920458"/>
      <w:r w:rsidRPr="003A4919">
        <w:t>B.3</w:t>
      </w:r>
      <w:r>
        <w:t>.</w:t>
      </w:r>
      <w:r w:rsidRPr="003A4919">
        <w:t xml:space="preserve"> Methods to maximize response rates</w:t>
      </w:r>
      <w:r>
        <w:t xml:space="preserve"> and data reliability</w:t>
      </w:r>
      <w:bookmarkEnd w:id="17"/>
    </w:p>
    <w:p w14:paraId="0D83E947" w14:textId="77777777" w:rsidR="00D11996" w:rsidRDefault="00D11996" w:rsidP="00D11996">
      <w:pPr>
        <w:pStyle w:val="H4Number"/>
      </w:pPr>
      <w:bookmarkStart w:id="18" w:name="_Toc476920459"/>
      <w:r>
        <w:t>B.3.1 Recruitment materials and baseline survey</w:t>
      </w:r>
      <w:bookmarkEnd w:id="18"/>
      <w:r>
        <w:t xml:space="preserve"> </w:t>
      </w:r>
    </w:p>
    <w:p w14:paraId="1898F54E" w14:textId="3BEA9AEE" w:rsidR="00D11996" w:rsidRDefault="00D11996" w:rsidP="00D11996">
      <w:pPr>
        <w:pStyle w:val="NormalSS"/>
      </w:pPr>
      <w:r w:rsidRPr="00D11996">
        <w:rPr>
          <w:b/>
          <w:szCs w:val="24"/>
        </w:rPr>
        <w:t xml:space="preserve">Designing accessible informative recruitment materials.  </w:t>
      </w:r>
      <w:r w:rsidR="001C6279">
        <w:rPr>
          <w:szCs w:val="24"/>
        </w:rPr>
        <w:t>The law requires i</w:t>
      </w:r>
      <w:r w:rsidRPr="00D11996">
        <w:rPr>
          <w:szCs w:val="24"/>
        </w:rPr>
        <w:t>nformed consent from POD subjects</w:t>
      </w:r>
      <w:r w:rsidR="001C6279">
        <w:rPr>
          <w:szCs w:val="24"/>
        </w:rPr>
        <w:t>,</w:t>
      </w:r>
      <w:r w:rsidR="00D63309">
        <w:rPr>
          <w:szCs w:val="24"/>
        </w:rPr>
        <w:t xml:space="preserve"> and </w:t>
      </w:r>
      <w:r w:rsidRPr="00D11996">
        <w:rPr>
          <w:szCs w:val="24"/>
        </w:rPr>
        <w:t>help</w:t>
      </w:r>
      <w:r w:rsidR="00D63309">
        <w:rPr>
          <w:szCs w:val="24"/>
        </w:rPr>
        <w:t>s</w:t>
      </w:r>
      <w:r w:rsidRPr="00D11996">
        <w:rPr>
          <w:szCs w:val="24"/>
        </w:rPr>
        <w:t xml:space="preserve"> the evaluation team produce more reliable</w:t>
      </w:r>
      <w:r w:rsidR="001C6279">
        <w:rPr>
          <w:szCs w:val="24"/>
        </w:rPr>
        <w:t xml:space="preserve"> estimates of POD’s impacts on the</w:t>
      </w:r>
      <w:r w:rsidRPr="00D11996">
        <w:rPr>
          <w:szCs w:val="24"/>
        </w:rPr>
        <w:t xml:space="preserve"> study population for whom the treatment is salient.  </w:t>
      </w:r>
      <w:r>
        <w:rPr>
          <w:noProof/>
        </w:rPr>
        <w:t xml:space="preserve">Consequently, the </w:t>
      </w:r>
      <w:r w:rsidRPr="00FC051C">
        <w:rPr>
          <w:noProof/>
        </w:rPr>
        <w:t>evaluation team</w:t>
      </w:r>
      <w:r>
        <w:rPr>
          <w:noProof/>
        </w:rPr>
        <w:t xml:space="preserve">’s </w:t>
      </w:r>
      <w:r>
        <w:t xml:space="preserve">recruitment </w:t>
      </w:r>
      <w:r w:rsidRPr="00450FE5">
        <w:t>plans center</w:t>
      </w:r>
      <w:r w:rsidR="00D63309">
        <w:t>ed</w:t>
      </w:r>
      <w:r w:rsidRPr="00450FE5">
        <w:t xml:space="preserve"> around </w:t>
      </w:r>
      <w:r>
        <w:t>providing</w:t>
      </w:r>
      <w:r w:rsidRPr="00450FE5">
        <w:t xml:space="preserve"> beneficiaries </w:t>
      </w:r>
      <w:r>
        <w:t xml:space="preserve">with </w:t>
      </w:r>
      <w:r w:rsidRPr="00450FE5">
        <w:t>the information needed to make informed choices</w:t>
      </w:r>
      <w:r w:rsidR="00D63309">
        <w:t>.  Their approach relied</w:t>
      </w:r>
      <w:r>
        <w:t xml:space="preserve"> on a combination of </w:t>
      </w:r>
      <w:r w:rsidRPr="00071CC6">
        <w:t xml:space="preserve">(1) direct outreach to prospective </w:t>
      </w:r>
      <w:r>
        <w:t>subject</w:t>
      </w:r>
      <w:r w:rsidRPr="00071CC6">
        <w:t>s and (2) indirect outreach via trusted stakeholders</w:t>
      </w:r>
      <w:r>
        <w:t xml:space="preserve"> – </w:t>
      </w:r>
      <w:r w:rsidRPr="00071CC6">
        <w:t>organizations commonly engaged with beneficiaries, especially</w:t>
      </w:r>
      <w:r>
        <w:t xml:space="preserve"> around employment </w:t>
      </w:r>
      <w:r w:rsidR="00D63309">
        <w:t xml:space="preserve">issues.  These two efforts </w:t>
      </w:r>
      <w:r>
        <w:t>occur</w:t>
      </w:r>
      <w:r w:rsidR="00D63309">
        <w:t>red</w:t>
      </w:r>
      <w:r>
        <w:t xml:space="preserve"> concurrently in each area within which </w:t>
      </w:r>
      <w:r w:rsidR="001C6279">
        <w:t xml:space="preserve">the evaluation team rolls out </w:t>
      </w:r>
      <w:r>
        <w:t>POD during the recruitment phase.</w:t>
      </w:r>
    </w:p>
    <w:p w14:paraId="3F0760C4" w14:textId="7540D112" w:rsidR="00D11996" w:rsidRDefault="00D11996" w:rsidP="00D11996">
      <w:pPr>
        <w:pStyle w:val="NormalSS"/>
      </w:pPr>
      <w:r>
        <w:t>T</w:t>
      </w:r>
      <w:r w:rsidRPr="00FC051C">
        <w:t xml:space="preserve">he </w:t>
      </w:r>
      <w:r>
        <w:t xml:space="preserve">POD </w:t>
      </w:r>
      <w:r w:rsidRPr="00FC051C">
        <w:t>evaluation team</w:t>
      </w:r>
      <w:r w:rsidR="00D63309">
        <w:t xml:space="preserve"> </w:t>
      </w:r>
      <w:r>
        <w:t>design</w:t>
      </w:r>
      <w:r w:rsidR="00D63309">
        <w:t xml:space="preserve">ed </w:t>
      </w:r>
      <w:r w:rsidR="00C0583F">
        <w:t>direct</w:t>
      </w:r>
      <w:r>
        <w:t xml:space="preserve"> mailings to (1) spark beneficiary interest in participating in POD; and (2) meet current ethical and regulatory standards for providing full, objective information about the demonstration rules and their consequences for subjects.</w:t>
      </w:r>
      <w:r w:rsidRPr="00B7594D">
        <w:t xml:space="preserve"> </w:t>
      </w:r>
      <w:r w:rsidR="00D63309">
        <w:t xml:space="preserve"> The outreach materials </w:t>
      </w:r>
      <w:r>
        <w:t>include</w:t>
      </w:r>
      <w:r w:rsidR="00D63309">
        <w:t>d</w:t>
      </w:r>
      <w:r>
        <w:t xml:space="preserve"> a letter and a brochure (as shown in appendix A).  T</w:t>
      </w:r>
      <w:r w:rsidRPr="00FC051C">
        <w:t>he evaluation team</w:t>
      </w:r>
      <w:r w:rsidR="00D63309">
        <w:t xml:space="preserve"> wro</w:t>
      </w:r>
      <w:r>
        <w:t>te these materials in a way that seeks to entice beneficiaries who are likely to benefit from POD while dissuading beneficiaries for whom assignment to a treatment arm is likel</w:t>
      </w:r>
      <w:r w:rsidR="00D63309">
        <w:t xml:space="preserve">y to be detrimental.  They </w:t>
      </w:r>
      <w:r>
        <w:t>structure</w:t>
      </w:r>
      <w:r w:rsidR="00D63309">
        <w:t>d</w:t>
      </w:r>
      <w:r>
        <w:t xml:space="preserve"> the materials to be succinct, yet complete and accessible, information.  All outreach material t</w:t>
      </w:r>
      <w:r w:rsidR="00D63309">
        <w:t>hat the evaluation team developed is</w:t>
      </w:r>
      <w:r>
        <w:t xml:space="preserve"> readily accessible to people wi</w:t>
      </w:r>
      <w:r w:rsidR="00D63309">
        <w:t>th low education levels and m</w:t>
      </w:r>
      <w:r>
        <w:t xml:space="preserve">et all 12 basic elements outlined in the U.S. Department of Health and Human Services Informed Consent Checklist (1998) §46.116 Informed Consent forms.  To complement the mailings, </w:t>
      </w:r>
      <w:r w:rsidRPr="00FC051C">
        <w:t>the evaluation team</w:t>
      </w:r>
      <w:r w:rsidR="00D63309">
        <w:t xml:space="preserve"> </w:t>
      </w:r>
      <w:r w:rsidRPr="00C90F69">
        <w:t>attempt</w:t>
      </w:r>
      <w:r w:rsidR="00D63309">
        <w:t>ed</w:t>
      </w:r>
      <w:r w:rsidRPr="00C90F69">
        <w:t xml:space="preserve"> to</w:t>
      </w:r>
      <w:r>
        <w:t xml:space="preserve"> contact</w:t>
      </w:r>
      <w:r w:rsidRPr="00C90F69">
        <w:t xml:space="preserve"> a subset of beneficiaries (approximately 25 percent of the total sample) to</w:t>
      </w:r>
      <w:r>
        <w:t xml:space="preserve">: </w:t>
      </w:r>
      <w:r w:rsidRPr="00C90F69">
        <w:t xml:space="preserve"> </w:t>
      </w:r>
      <w:r>
        <w:t xml:space="preserve">(1) </w:t>
      </w:r>
      <w:r w:rsidRPr="00C90F69">
        <w:t>verify that they received a p</w:t>
      </w:r>
      <w:r>
        <w:t>acket and reviewed the contents;</w:t>
      </w:r>
      <w:r w:rsidRPr="00C90F69">
        <w:t xml:space="preserve"> </w:t>
      </w:r>
      <w:r>
        <w:t>(2)</w:t>
      </w:r>
      <w:r w:rsidRPr="00C90F69">
        <w:t xml:space="preserve"> prov</w:t>
      </w:r>
      <w:r>
        <w:t>ide further explanations of POD;</w:t>
      </w:r>
      <w:r w:rsidRPr="00C90F69">
        <w:t xml:space="preserve"> and </w:t>
      </w:r>
      <w:r>
        <w:t>(3)</w:t>
      </w:r>
      <w:r w:rsidR="00D63309">
        <w:t> </w:t>
      </w:r>
      <w:r w:rsidRPr="00C90F69">
        <w:t>offer help completing the forms.</w:t>
      </w:r>
      <w:r>
        <w:t xml:space="preserve">  As discussed in Section B.4.1, during the pilot recruitment phase, </w:t>
      </w:r>
      <w:r w:rsidRPr="00FC051C">
        <w:t>the evaluation team</w:t>
      </w:r>
      <w:r w:rsidR="00D63309">
        <w:t xml:space="preserve"> </w:t>
      </w:r>
      <w:r>
        <w:t>use</w:t>
      </w:r>
      <w:r w:rsidR="00D63309">
        <w:t>d</w:t>
      </w:r>
      <w:r>
        <w:t xml:space="preserve"> random assignment to select the subset of beneficiaries receiving mailings that also</w:t>
      </w:r>
      <w:r w:rsidR="00D63309">
        <w:t xml:space="preserve"> receive telephone follow-ups.</w:t>
      </w:r>
      <w:r w:rsidR="00C0583F">
        <w:t xml:space="preserve">  Following the pilot period, SSA directed the evaluation team to use follow-up post cards instead of phone calls as the follow-up post cards were the most cost effective way to increase yields.</w:t>
      </w:r>
    </w:p>
    <w:p w14:paraId="19181838" w14:textId="4680658C" w:rsidR="00D11996" w:rsidRPr="00D11996" w:rsidRDefault="00D11996" w:rsidP="00D11996">
      <w:pPr>
        <w:pStyle w:val="NormalSS"/>
        <w:rPr>
          <w:szCs w:val="24"/>
        </w:rPr>
      </w:pPr>
      <w:r>
        <w:t xml:space="preserve">At the same time, </w:t>
      </w:r>
      <w:r w:rsidRPr="00FC051C">
        <w:t>the evaluation team</w:t>
      </w:r>
      <w:r>
        <w:t xml:space="preserve"> organize</w:t>
      </w:r>
      <w:r w:rsidR="00D63309">
        <w:t>d</w:t>
      </w:r>
      <w:r>
        <w:t xml:space="preserve"> indirect outreach efforts to key stakeholders to </w:t>
      </w:r>
      <w:r w:rsidRPr="006A05C1">
        <w:t>establish the legitimacy of POD in each implementation area, a critical component of successful recruiting (Derr et al.</w:t>
      </w:r>
      <w:r>
        <w:t xml:space="preserve"> </w:t>
      </w:r>
      <w:r w:rsidRPr="006A05C1">
        <w:t>2015).</w:t>
      </w:r>
      <w:r>
        <w:t xml:space="preserve">  </w:t>
      </w:r>
      <w:r w:rsidR="00D63309">
        <w:t xml:space="preserve">Indirect outreach </w:t>
      </w:r>
      <w:r w:rsidRPr="00A40401">
        <w:t>include</w:t>
      </w:r>
      <w:r w:rsidR="00D63309">
        <w:t>d</w:t>
      </w:r>
      <w:r w:rsidRPr="00A40401">
        <w:t xml:space="preserve"> an information dissemination campaign just prior to the start of recruitment, targeted to stakeholder organizations that serve beneficiaries in various ways, including state</w:t>
      </w:r>
      <w:r>
        <w:t xml:space="preserve"> vocational rehabilitation</w:t>
      </w:r>
      <w:r w:rsidRPr="00A40401">
        <w:t xml:space="preserve"> agen</w:t>
      </w:r>
      <w:r>
        <w:t xml:space="preserve">cies; organizations administering SSA-funded training and work-incentive programs; and </w:t>
      </w:r>
      <w:r w:rsidRPr="00A40401">
        <w:t xml:space="preserve">various advocacy organizations. </w:t>
      </w:r>
      <w:r>
        <w:t xml:space="preserve"> </w:t>
      </w:r>
      <w:r w:rsidR="00D63309">
        <w:t xml:space="preserve">The campaign </w:t>
      </w:r>
      <w:r w:rsidRPr="00A40401">
        <w:t>provide</w:t>
      </w:r>
      <w:r w:rsidR="00D63309">
        <w:t>d</w:t>
      </w:r>
      <w:r w:rsidRPr="00A40401">
        <w:t xml:space="preserve"> information about the nature of POD and the types of beneficiaries who will find it attractive.</w:t>
      </w:r>
      <w:r>
        <w:t xml:space="preserve"> </w:t>
      </w:r>
      <w:r w:rsidRPr="00A40401">
        <w:t xml:space="preserve"> </w:t>
      </w:r>
      <w:r>
        <w:t xml:space="preserve">It </w:t>
      </w:r>
      <w:r w:rsidRPr="00A40401">
        <w:t>include</w:t>
      </w:r>
      <w:r w:rsidR="00D63309">
        <w:t>d</w:t>
      </w:r>
      <w:r w:rsidRPr="00A40401">
        <w:t xml:space="preserve">: </w:t>
      </w:r>
      <w:r>
        <w:t xml:space="preserve"> </w:t>
      </w:r>
      <w:r w:rsidRPr="00A40401">
        <w:t>letters, flyers, posters, and brochures for SSA offices</w:t>
      </w:r>
      <w:r>
        <w:t xml:space="preserve"> and other local organizations serving beneficiaries</w:t>
      </w:r>
      <w:r w:rsidRPr="00A40401">
        <w:t xml:space="preserve">; </w:t>
      </w:r>
      <w:r>
        <w:t xml:space="preserve">an </w:t>
      </w:r>
      <w:r w:rsidRPr="00A40401">
        <w:t xml:space="preserve">informational website </w:t>
      </w:r>
      <w:r>
        <w:t>about POD</w:t>
      </w:r>
      <w:r w:rsidRPr="00A40401">
        <w:t xml:space="preserve">; and </w:t>
      </w:r>
      <w:r>
        <w:t xml:space="preserve">notifications from SSA to beneficiaries </w:t>
      </w:r>
      <w:r w:rsidRPr="00A40401">
        <w:t>(</w:t>
      </w:r>
      <w:r>
        <w:t xml:space="preserve">for example, in </w:t>
      </w:r>
      <w:r w:rsidRPr="00A40401">
        <w:t>information packets for new beneficiaries).</w:t>
      </w:r>
      <w:r>
        <w:t xml:space="preserve">  </w:t>
      </w:r>
      <w:r w:rsidRPr="00A40401">
        <w:t xml:space="preserve">In addition to these efforts, </w:t>
      </w:r>
      <w:r w:rsidRPr="00FC051C">
        <w:t>the evaluation team</w:t>
      </w:r>
      <w:r w:rsidR="00D63309">
        <w:t xml:space="preserve"> </w:t>
      </w:r>
      <w:r w:rsidRPr="00A40401">
        <w:t>present</w:t>
      </w:r>
      <w:r w:rsidR="00D63309">
        <w:t>ed</w:t>
      </w:r>
      <w:r w:rsidRPr="00A40401">
        <w:t xml:space="preserve"> and record</w:t>
      </w:r>
      <w:r w:rsidR="00D63309">
        <w:t>ed</w:t>
      </w:r>
      <w:r w:rsidRPr="00A40401">
        <w:t xml:space="preserve"> three webinars to explain and promote POD to </w:t>
      </w:r>
      <w:r>
        <w:t>local staff at stakeholder organizations in each recruitment area</w:t>
      </w:r>
    </w:p>
    <w:p w14:paraId="350AECB2" w14:textId="468C278E" w:rsidR="00D11996" w:rsidRDefault="00D11996" w:rsidP="00C0583F">
      <w:pPr>
        <w:pStyle w:val="NormalSS"/>
      </w:pPr>
      <w:r w:rsidRPr="00D11996">
        <w:rPr>
          <w:b/>
          <w:szCs w:val="24"/>
        </w:rPr>
        <w:t xml:space="preserve">Adaptive sampling to identify potential subjects from program data.  </w:t>
      </w:r>
      <w:r>
        <w:t xml:space="preserve">As noted previously, </w:t>
      </w:r>
      <w:r w:rsidRPr="00FC051C">
        <w:t>the evaluation team</w:t>
      </w:r>
      <w:r w:rsidRPr="0041568B">
        <w:t xml:space="preserve"> implement</w:t>
      </w:r>
      <w:r w:rsidR="00D63309">
        <w:t>ed</w:t>
      </w:r>
      <w:r w:rsidRPr="0041568B">
        <w:t xml:space="preserve"> a three-month pilot period to </w:t>
      </w:r>
      <w:r>
        <w:t>assess</w:t>
      </w:r>
      <w:r w:rsidRPr="0041568B">
        <w:t xml:space="preserve"> the </w:t>
      </w:r>
      <w:r>
        <w:t xml:space="preserve">efficacy of the </w:t>
      </w:r>
      <w:r w:rsidRPr="0041568B">
        <w:t xml:space="preserve">recruitment </w:t>
      </w:r>
      <w:r>
        <w:t xml:space="preserve">effort, particularly with respect to assumptions about </w:t>
      </w:r>
      <w:r w:rsidRPr="0041568B">
        <w:t>volunteer rates</w:t>
      </w:r>
      <w:r>
        <w:t xml:space="preserve"> for POD</w:t>
      </w:r>
      <w:r w:rsidRPr="0041568B">
        <w:t xml:space="preserve">. </w:t>
      </w:r>
      <w:r>
        <w:t xml:space="preserve"> Based on the actual volunteer rates observed, </w:t>
      </w:r>
      <w:r w:rsidRPr="00FC051C">
        <w:t>the evaluation team</w:t>
      </w:r>
      <w:r w:rsidR="00D63309">
        <w:t xml:space="preserve"> </w:t>
      </w:r>
      <w:r>
        <w:t>adapt</w:t>
      </w:r>
      <w:r w:rsidR="00D63309">
        <w:t>ed</w:t>
      </w:r>
      <w:r>
        <w:t xml:space="preserve"> the sampling procedure</w:t>
      </w:r>
      <w:r w:rsidR="00C0583F">
        <w:t>.  As documented in Wittenburg et al. (2018), the evaluation team made changes to reflect updated actual recruitment yields.</w:t>
      </w:r>
    </w:p>
    <w:p w14:paraId="7F273816" w14:textId="107C22C1" w:rsidR="00D11996" w:rsidRDefault="00D11996" w:rsidP="00D11996">
      <w:pPr>
        <w:pStyle w:val="NormalSS"/>
      </w:pPr>
      <w:r w:rsidRPr="003F1315">
        <w:t xml:space="preserve">Over the remainder of the recruitment period, </w:t>
      </w:r>
      <w:r w:rsidRPr="00FC051C">
        <w:t xml:space="preserve">the </w:t>
      </w:r>
      <w:r>
        <w:t xml:space="preserve">POD </w:t>
      </w:r>
      <w:r w:rsidRPr="00FC051C">
        <w:t>evaluation team</w:t>
      </w:r>
      <w:r w:rsidRPr="003F1315">
        <w:t xml:space="preserve"> continue</w:t>
      </w:r>
      <w:r w:rsidR="00D63309">
        <w:t>d</w:t>
      </w:r>
      <w:r w:rsidRPr="003F1315">
        <w:t xml:space="preserve"> to adapt its sampling approach based on progressively more information about recruitment yields.</w:t>
      </w:r>
      <w:r>
        <w:t xml:space="preserve">  T</w:t>
      </w:r>
      <w:r w:rsidR="00D63309">
        <w:t xml:space="preserve">hese types of adaptations allowed </w:t>
      </w:r>
      <w:r>
        <w:t>t</w:t>
      </w:r>
      <w:r w:rsidR="00D63309" w:rsidRPr="00FC051C">
        <w:t>he evaluation team</w:t>
      </w:r>
      <w:r>
        <w:t xml:space="preserve"> to meet SSA’s </w:t>
      </w:r>
      <w:r w:rsidR="00C0583F">
        <w:t>revised</w:t>
      </w:r>
      <w:r>
        <w:t xml:space="preserve"> goal</w:t>
      </w:r>
      <w:r w:rsidR="00C0583F">
        <w:t>s</w:t>
      </w:r>
      <w:r>
        <w:t xml:space="preserve"> of</w:t>
      </w:r>
      <w:r w:rsidR="00C0583F">
        <w:t xml:space="preserve"> recruiting at least 9,000 subjects and up to</w:t>
      </w:r>
      <w:r>
        <w:t xml:space="preserve"> 15,000 subjects</w:t>
      </w:r>
      <w:r w:rsidR="006678CC">
        <w:t xml:space="preserve"> more efficiently</w:t>
      </w:r>
      <w:r>
        <w:t xml:space="preserve">, particularly when done in combination with other updates to recruitment plans that might be undertaken based on the recruitment experiments described in Section B.4.1. </w:t>
      </w:r>
    </w:p>
    <w:p w14:paraId="1E9F9284" w14:textId="271EB3B9" w:rsidR="00D11996" w:rsidRDefault="00D11996" w:rsidP="00D11996">
      <w:pPr>
        <w:pStyle w:val="NormalSS"/>
      </w:pPr>
      <w:r>
        <w:rPr>
          <w:b/>
        </w:rPr>
        <w:t xml:space="preserve">Use of incentives.  </w:t>
      </w:r>
      <w:r>
        <w:t>An important factor in recruitment is the use of incentive payments, which the evaluation team employ</w:t>
      </w:r>
      <w:r w:rsidR="00D63309">
        <w:t>ed</w:t>
      </w:r>
      <w:r>
        <w:t xml:space="preserve"> throughout the entire recruitment period.  </w:t>
      </w:r>
      <w:r w:rsidRPr="0041568B">
        <w:t xml:space="preserve">As described in Section A.9, the use of incentive payments can also </w:t>
      </w:r>
      <w:r>
        <w:t>reduce longitudinal attrition to the follow-up surveys</w:t>
      </w:r>
      <w:r w:rsidRPr="0041568B">
        <w:t xml:space="preserve">. </w:t>
      </w:r>
      <w:r>
        <w:t xml:space="preserve"> T</w:t>
      </w:r>
      <w:r w:rsidRPr="00FC051C">
        <w:t xml:space="preserve">he </w:t>
      </w:r>
      <w:r>
        <w:t xml:space="preserve">POD </w:t>
      </w:r>
      <w:r w:rsidRPr="00FC051C">
        <w:t>evaluation team</w:t>
      </w:r>
      <w:r w:rsidR="00D63309">
        <w:t xml:space="preserve"> paid</w:t>
      </w:r>
      <w:r>
        <w:t xml:space="preserve"> a monetary incentive to e</w:t>
      </w:r>
      <w:r w:rsidRPr="0041568B">
        <w:t xml:space="preserve">ach POD </w:t>
      </w:r>
      <w:r>
        <w:t xml:space="preserve">volunteer </w:t>
      </w:r>
      <w:r w:rsidR="00D63309">
        <w:t>who returned</w:t>
      </w:r>
      <w:r w:rsidRPr="0041568B">
        <w:t xml:space="preserve"> a completed baseline self-administered questionnaire and consent for</w:t>
      </w:r>
      <w:r w:rsidR="00D63309">
        <w:t>m, regardless of whether they ga</w:t>
      </w:r>
      <w:r w:rsidRPr="0041568B">
        <w:t>ve consent for random assignment and further participation in the study.</w:t>
      </w:r>
      <w:r>
        <w:t xml:space="preserve"> </w:t>
      </w:r>
      <w:r w:rsidRPr="005A5B95">
        <w:t xml:space="preserve"> </w:t>
      </w:r>
      <w:r>
        <w:t>T</w:t>
      </w:r>
      <w:r w:rsidR="00D63309">
        <w:t>his monetary incentive was</w:t>
      </w:r>
      <w:r w:rsidR="00C0583F">
        <w:t xml:space="preserve"> $25</w:t>
      </w:r>
      <w:r>
        <w:t>.</w:t>
      </w:r>
    </w:p>
    <w:p w14:paraId="6AC4826E" w14:textId="4483D45F" w:rsidR="00D11996" w:rsidRDefault="00D11996" w:rsidP="00D11996">
      <w:pPr>
        <w:pStyle w:val="NormalSS"/>
      </w:pPr>
      <w:r>
        <w:rPr>
          <w:b/>
        </w:rPr>
        <w:t>Data reliability.</w:t>
      </w:r>
      <w:r>
        <w:t xml:space="preserve">  T</w:t>
      </w:r>
      <w:r w:rsidRPr="00FC051C">
        <w:t xml:space="preserve">he </w:t>
      </w:r>
      <w:r>
        <w:t xml:space="preserve">POD </w:t>
      </w:r>
      <w:r w:rsidRPr="00FC051C">
        <w:t>evaluation team</w:t>
      </w:r>
      <w:r>
        <w:t xml:space="preserve"> developed the baseline survey instrument and recruitment materials using materials developed and fielded on recent similar SSA demonstrations such as BOND and the </w:t>
      </w:r>
      <w:r w:rsidRPr="00B563B2">
        <w:t xml:space="preserve">Promoting Readiness of Minors in Supplemental Security Income </w:t>
      </w:r>
      <w:r>
        <w:t>(PROMISE) initiative.  Several experts on the POD evaluation team, including survey researchers, disability policymakers and practitioners, reviewed the draft instrument and recruitment materials and helped to refine them further.  T</w:t>
      </w:r>
      <w:r w:rsidRPr="005B7CF6">
        <w:t>he evaluation team</w:t>
      </w:r>
      <w:r>
        <w:t xml:space="preserve"> also </w:t>
      </w:r>
      <w:r w:rsidR="006678CC">
        <w:t>field-tested</w:t>
      </w:r>
      <w:r>
        <w:t xml:space="preserve"> the instrument and consent form with a small number of SSDI beneficiaries as described in section B.4 below. </w:t>
      </w:r>
    </w:p>
    <w:p w14:paraId="0FCCA3CF" w14:textId="7402B3D0" w:rsidR="00D11996" w:rsidRDefault="00D11996" w:rsidP="00D11996">
      <w:pPr>
        <w:pStyle w:val="NormalSS"/>
      </w:pPr>
      <w:r>
        <w:rPr>
          <w:b/>
        </w:rPr>
        <w:t xml:space="preserve">Addressing item nonresponse.  </w:t>
      </w:r>
      <w:r w:rsidRPr="00C0583F">
        <w:t>As discussed previousl</w:t>
      </w:r>
      <w:r w:rsidR="00C0583F">
        <w:t>y (Section B.1.1), there was no unit</w:t>
      </w:r>
      <w:r w:rsidR="00C0583F">
        <w:noBreakHyphen/>
      </w:r>
      <w:r w:rsidRPr="00C0583F">
        <w:t>level nonresponse for the baseline survey by construction.  The past experience of the POD evaluation team suggests that item-level nonresponse will be low for the baseline survey, although some item nonresponse is inevitable.  To address this when running subsequent analysis that draw on the baseline survey, the evaluation team will consider using one of several standard imputation techniques, as described in Allison (2001), depending on the pattern item nonresponse observed in the final study sample.</w:t>
      </w:r>
    </w:p>
    <w:p w14:paraId="38B4FA9E" w14:textId="368C2DA2" w:rsidR="00D11996" w:rsidRDefault="00D11996" w:rsidP="00D11996">
      <w:pPr>
        <w:pStyle w:val="NormalSS"/>
      </w:pPr>
      <w:r>
        <w:rPr>
          <w:b/>
        </w:rPr>
        <w:t xml:space="preserve">Balance of study sample and integrity of random assignment. </w:t>
      </w:r>
      <w:r>
        <w:t xml:space="preserve"> T</w:t>
      </w:r>
      <w:r w:rsidRPr="005B7CF6">
        <w:t xml:space="preserve">he </w:t>
      </w:r>
      <w:r>
        <w:t xml:space="preserve">POD </w:t>
      </w:r>
      <w:r w:rsidRPr="005B7CF6">
        <w:t>evaluation team</w:t>
      </w:r>
      <w:r w:rsidR="00D86AF9">
        <w:t xml:space="preserve"> </w:t>
      </w:r>
      <w:r w:rsidRPr="00736D2C">
        <w:t>use</w:t>
      </w:r>
      <w:r w:rsidR="00D86AF9">
        <w:t>s</w:t>
      </w:r>
      <w:r w:rsidRPr="00736D2C">
        <w:t xml:space="preserve"> </w:t>
      </w:r>
      <w:r>
        <w:t>a management information system</w:t>
      </w:r>
      <w:r w:rsidRPr="00736D2C">
        <w:t xml:space="preserve"> to maintain balanc</w:t>
      </w:r>
      <w:r>
        <w:t>ed study groups and minimize on</w:t>
      </w:r>
      <w:r>
        <w:noBreakHyphen/>
      </w:r>
      <w:r w:rsidRPr="00736D2C">
        <w:t xml:space="preserve">site contamination risks. </w:t>
      </w:r>
      <w:r>
        <w:t xml:space="preserve"> </w:t>
      </w:r>
      <w:r w:rsidRPr="00736D2C">
        <w:t>Built-in eligibility and duplication che</w:t>
      </w:r>
      <w:r w:rsidR="00D86AF9">
        <w:t xml:space="preserve">cks </w:t>
      </w:r>
      <w:r w:rsidRPr="00736D2C">
        <w:t xml:space="preserve">prevent staff from enrolling beneficiaries who </w:t>
      </w:r>
      <w:r w:rsidR="00D86AF9">
        <w:t>did</w:t>
      </w:r>
      <w:r w:rsidRPr="00736D2C">
        <w:t xml:space="preserve"> not complete</w:t>
      </w:r>
      <w:r w:rsidR="00D86AF9">
        <w:t>d a baseline survey and provide</w:t>
      </w:r>
      <w:r w:rsidRPr="00736D2C">
        <w:t xml:space="preserve"> written consent or who might have previously enrolled. </w:t>
      </w:r>
    </w:p>
    <w:p w14:paraId="11FF3EA4" w14:textId="667575EF" w:rsidR="00D11996" w:rsidRDefault="00D11996" w:rsidP="00D11996">
      <w:pPr>
        <w:pStyle w:val="NormalSS"/>
      </w:pPr>
      <w:r>
        <w:t xml:space="preserve">In addition, the POD </w:t>
      </w:r>
      <w:r w:rsidRPr="005B7CF6">
        <w:t xml:space="preserve">evaluation team </w:t>
      </w:r>
      <w:r>
        <w:t>develop</w:t>
      </w:r>
      <w:r w:rsidR="00D86AF9">
        <w:t>ed</w:t>
      </w:r>
      <w:r>
        <w:t xml:space="preserve"> explicit or implicit randomization strata that may improve the extent to which the distribution of subjects’ characteristics is similar in each study group.  T</w:t>
      </w:r>
      <w:r w:rsidRPr="005B7CF6">
        <w:t>he evaluation team</w:t>
      </w:r>
      <w:r w:rsidRPr="005B7CF6" w:rsidDel="005B7CF6">
        <w:t xml:space="preserve"> </w:t>
      </w:r>
      <w:r w:rsidRPr="004A549A">
        <w:t>use</w:t>
      </w:r>
      <w:r w:rsidR="00D86AF9">
        <w:t>s</w:t>
      </w:r>
      <w:r w:rsidRPr="004A549A">
        <w:t xml:space="preserve"> explicit stratification to </w:t>
      </w:r>
      <w:r>
        <w:t>seek</w:t>
      </w:r>
      <w:r w:rsidRPr="004A549A">
        <w:t xml:space="preserve"> exact balance </w:t>
      </w:r>
      <w:r>
        <w:t>fo</w:t>
      </w:r>
      <w:r w:rsidR="00D86AF9">
        <w:t xml:space="preserve">r batches of subjects they </w:t>
      </w:r>
      <w:r>
        <w:t xml:space="preserve">randomized based </w:t>
      </w:r>
      <w:r w:rsidRPr="004A549A">
        <w:t xml:space="preserve">on a select set of </w:t>
      </w:r>
      <w:r>
        <w:t xml:space="preserve">their </w:t>
      </w:r>
      <w:r w:rsidRPr="004A549A">
        <w:t xml:space="preserve">characteristics determined in conjunction with SSA. </w:t>
      </w:r>
      <w:r>
        <w:t xml:space="preserve"> </w:t>
      </w:r>
      <w:r w:rsidRPr="004A549A">
        <w:t>Within in each explicit stratum, they use structured selection to stratify on additional characteristics</w:t>
      </w:r>
      <w:r w:rsidR="006678CC">
        <w:t xml:space="preserve"> </w:t>
      </w:r>
      <w:r w:rsidR="006678CC" w:rsidRPr="004A549A">
        <w:t>implicitly</w:t>
      </w:r>
      <w:r w:rsidRPr="004A549A">
        <w:t>.</w:t>
      </w:r>
      <w:r>
        <w:t xml:space="preserve"> </w:t>
      </w:r>
      <w:r w:rsidRPr="004A549A">
        <w:t xml:space="preserve"> Implicit stratification does not guarantee that every one of the additional characteristics will balance perfectly between study groups in any given sample, particularly for rare characteristics. </w:t>
      </w:r>
      <w:r>
        <w:t xml:space="preserve"> In addition, the evaluation team expects thy can only achieve exact balance through explicit stratification when randomization batches are large enough to include at least three subjects in each explicit stratum.  </w:t>
      </w:r>
      <w:r w:rsidRPr="004A549A">
        <w:t xml:space="preserve">Therefore, during the design phase, </w:t>
      </w:r>
      <w:r w:rsidRPr="005B7CF6">
        <w:t>the evaluation team</w:t>
      </w:r>
      <w:r w:rsidR="00D86AF9">
        <w:t xml:space="preserve"> </w:t>
      </w:r>
      <w:r w:rsidRPr="004A549A">
        <w:t>develop</w:t>
      </w:r>
      <w:r w:rsidR="00D86AF9">
        <w:t>ed</w:t>
      </w:r>
      <w:r w:rsidRPr="004A549A">
        <w:t xml:space="preserve"> key factors for explicit stratification based on past </w:t>
      </w:r>
      <w:r>
        <w:t xml:space="preserve">research and the </w:t>
      </w:r>
      <w:r w:rsidRPr="004A549A">
        <w:t xml:space="preserve">experience </w:t>
      </w:r>
      <w:r>
        <w:t>of the POD evaluation team</w:t>
      </w:r>
      <w:r w:rsidRPr="004A549A">
        <w:t xml:space="preserve">. </w:t>
      </w:r>
      <w:r>
        <w:t xml:space="preserve"> They also weigh</w:t>
      </w:r>
      <w:r w:rsidRPr="00A62484">
        <w:t xml:space="preserve"> the tradeoffs between (1)</w:t>
      </w:r>
      <w:r>
        <w:t xml:space="preserve"> achieving balance on </w:t>
      </w:r>
      <w:r w:rsidRPr="00A62484">
        <w:t>a broader set of characteristics for explicit stratification</w:t>
      </w:r>
      <w:r>
        <w:t>,</w:t>
      </w:r>
      <w:r w:rsidRPr="00A62484">
        <w:t xml:space="preserve"> and (2) </w:t>
      </w:r>
      <w:r>
        <w:t xml:space="preserve">randomly assigning a </w:t>
      </w:r>
      <w:r w:rsidRPr="00A62484">
        <w:t>fewer</w:t>
      </w:r>
      <w:r>
        <w:t xml:space="preserve"> batches of subjects</w:t>
      </w:r>
      <w:r w:rsidRPr="00A62484">
        <w:t xml:space="preserve">, each containing </w:t>
      </w:r>
      <w:r>
        <w:t>a greater number of</w:t>
      </w:r>
      <w:r w:rsidRPr="00A62484">
        <w:t xml:space="preserve"> cases.</w:t>
      </w:r>
    </w:p>
    <w:p w14:paraId="0812D8BF" w14:textId="5B49F85C" w:rsidR="00D11996" w:rsidRDefault="00D11996" w:rsidP="00D11996">
      <w:pPr>
        <w:pStyle w:val="NormalSS"/>
      </w:pPr>
      <w:r w:rsidRPr="006D65A7">
        <w:t xml:space="preserve">Further, </w:t>
      </w:r>
      <w:r w:rsidRPr="005B7CF6">
        <w:t xml:space="preserve">the </w:t>
      </w:r>
      <w:r>
        <w:t xml:space="preserve">POD </w:t>
      </w:r>
      <w:r w:rsidRPr="005B7CF6">
        <w:t>evaluation team</w:t>
      </w:r>
      <w:r w:rsidR="00D86AF9">
        <w:t xml:space="preserve"> </w:t>
      </w:r>
      <w:r w:rsidRPr="006D65A7">
        <w:t>monitor</w:t>
      </w:r>
      <w:r w:rsidR="00D86AF9">
        <w:t>s</w:t>
      </w:r>
      <w:r w:rsidRPr="006D65A7">
        <w:t xml:space="preserve"> the random assignment process, checking the balance of study groups using data on subjects recorded in both SSA </w:t>
      </w:r>
      <w:r>
        <w:t>program</w:t>
      </w:r>
      <w:r w:rsidRPr="006D65A7">
        <w:t xml:space="preserve"> data and the baseline survey. </w:t>
      </w:r>
      <w:r>
        <w:t xml:space="preserve"> </w:t>
      </w:r>
      <w:r w:rsidRPr="006D65A7">
        <w:t xml:space="preserve">Such characteristics could include the same ones used to stratify sampling for recruitment (as discussed in Section B.2.1.1) and other measures determined to be of substantive importance during the design phase of the evaluation. </w:t>
      </w:r>
      <w:r>
        <w:t xml:space="preserve"> </w:t>
      </w:r>
      <w:r w:rsidRPr="006D65A7">
        <w:t xml:space="preserve">Substantial or statistically significant differences (based on t-tests and chi-square tests, as appropriate) in characteristics across subgroups and assignment status could reveal the need for </w:t>
      </w:r>
      <w:r w:rsidRPr="005B7CF6">
        <w:t>the evaluation team</w:t>
      </w:r>
      <w:r w:rsidRPr="006D65A7">
        <w:t xml:space="preserve"> to </w:t>
      </w:r>
      <w:r w:rsidR="006678CC" w:rsidRPr="006D65A7">
        <w:t>adjust</w:t>
      </w:r>
      <w:r w:rsidRPr="006D65A7">
        <w:t xml:space="preserve"> the random assignment procedure.</w:t>
      </w:r>
      <w:r w:rsidRPr="00736D2C">
        <w:t xml:space="preserve"> </w:t>
      </w:r>
    </w:p>
    <w:p w14:paraId="5611CF95" w14:textId="77777777" w:rsidR="00D11996" w:rsidRDefault="00D11996" w:rsidP="00D11996">
      <w:pPr>
        <w:pStyle w:val="H4Number"/>
      </w:pPr>
      <w:bookmarkStart w:id="19" w:name="_Toc476920460"/>
      <w:r>
        <w:t xml:space="preserve">B.3.2 </w:t>
      </w:r>
      <w:r w:rsidRPr="005315D6">
        <w:t>Follow up surveys</w:t>
      </w:r>
      <w:bookmarkEnd w:id="19"/>
    </w:p>
    <w:p w14:paraId="045569D0" w14:textId="71856AF2" w:rsidR="00D11996" w:rsidRPr="00A8223B" w:rsidRDefault="00D11996" w:rsidP="00D11996">
      <w:pPr>
        <w:pStyle w:val="NormalSS"/>
        <w:tabs>
          <w:tab w:val="left" w:pos="630"/>
        </w:tabs>
      </w:pPr>
      <w:r w:rsidRPr="00A8223B">
        <w:rPr>
          <w:b/>
        </w:rPr>
        <w:t>Designing and fielding of survey.</w:t>
      </w:r>
      <w:r>
        <w:rPr>
          <w:b/>
        </w:rPr>
        <w:t xml:space="preserve"> </w:t>
      </w:r>
      <w:r w:rsidRPr="00A8223B">
        <w:rPr>
          <w:b/>
        </w:rPr>
        <w:t xml:space="preserve"> </w:t>
      </w:r>
      <w:r w:rsidRPr="00A8223B">
        <w:t xml:space="preserve">The follow-up survey is unique to the current evaluation and </w:t>
      </w:r>
      <w:r w:rsidR="006678CC">
        <w:t>the evaluation team will use it</w:t>
      </w:r>
      <w:r w:rsidRPr="00A8223B">
        <w:t xml:space="preserve"> across all POD study sites, ensuring consistency in the collected data. </w:t>
      </w:r>
      <w:r>
        <w:t xml:space="preserve"> </w:t>
      </w:r>
      <w:r w:rsidRPr="00A8223B">
        <w:t xml:space="preserve">Staff </w:t>
      </w:r>
      <w:r>
        <w:t xml:space="preserve">on the POD evaluation team </w:t>
      </w:r>
      <w:r w:rsidRPr="00A8223B">
        <w:t xml:space="preserve">extensively </w:t>
      </w:r>
      <w:r>
        <w:t>reviewed the survey, and will thoroughly test it</w:t>
      </w:r>
      <w:r w:rsidRPr="00A8223B">
        <w:t xml:space="preserve"> in a pretest involving </w:t>
      </w:r>
      <w:r>
        <w:t>no more than</w:t>
      </w:r>
      <w:r w:rsidRPr="00A8223B">
        <w:t xml:space="preserve"> nine individuals (as described in Section B.4.2). </w:t>
      </w:r>
      <w:r>
        <w:t xml:space="preserve"> T</w:t>
      </w:r>
      <w:r w:rsidRPr="005B7CF6">
        <w:t>he evaluation team</w:t>
      </w:r>
      <w:r>
        <w:t xml:space="preserve"> designed the</w:t>
      </w:r>
      <w:r w:rsidRPr="00A8223B">
        <w:t xml:space="preserve"> survey fielding methods </w:t>
      </w:r>
      <w:r w:rsidR="006678CC" w:rsidRPr="00A8223B">
        <w:t>to both</w:t>
      </w:r>
      <w:r>
        <w:t xml:space="preserve"> </w:t>
      </w:r>
      <w:r w:rsidRPr="00A8223B">
        <w:t>maximize response rates and improve the quality of response data among those who complete surveys.</w:t>
      </w:r>
      <w:r>
        <w:t xml:space="preserve"> </w:t>
      </w:r>
      <w:r w:rsidRPr="00A8223B">
        <w:t xml:space="preserve"> For example, the mixed-mode of administration will offer potential respondents the flexibility to complete the survey in a manner t</w:t>
      </w:r>
      <w:r>
        <w:t>hat is most convenient for them;</w:t>
      </w:r>
      <w:r w:rsidRPr="00A8223B">
        <w:t xml:space="preserve"> and the</w:t>
      </w:r>
      <w:r>
        <w:t xml:space="preserve"> evaluation team designed the</w:t>
      </w:r>
      <w:r w:rsidRPr="00A8223B">
        <w:t xml:space="preserve"> length of the survey to balance the evaluation’s need for information about a variety of topics with the quality of the responses obtained from the survey.</w:t>
      </w:r>
      <w:r>
        <w:t xml:space="preserve"> </w:t>
      </w:r>
      <w:r w:rsidRPr="00A8223B">
        <w:t xml:space="preserve"> Additionally, </w:t>
      </w:r>
      <w:r>
        <w:t>the evaluation team will assure the respondents of</w:t>
      </w:r>
      <w:r w:rsidRPr="00A8223B">
        <w:t xml:space="preserve"> the privacy of their responses to questions, which should yield higher quality data. </w:t>
      </w:r>
      <w:r>
        <w:t xml:space="preserve"> </w:t>
      </w:r>
      <w:r w:rsidRPr="00A8223B">
        <w:t xml:space="preserve">Finally, </w:t>
      </w:r>
      <w:r w:rsidRPr="005B7CF6">
        <w:t>the evaluation team</w:t>
      </w:r>
      <w:r w:rsidRPr="00A8223B">
        <w:t xml:space="preserve"> will store responses collected by both the web and telephone versions of the survey in a single database, eliminating the need for merging and related data cleaning.</w:t>
      </w:r>
    </w:p>
    <w:p w14:paraId="5BC90C81" w14:textId="77777777" w:rsidR="00D11996" w:rsidRDefault="00D11996" w:rsidP="00D11996">
      <w:pPr>
        <w:pStyle w:val="NormalSS"/>
        <w:tabs>
          <w:tab w:val="left" w:pos="630"/>
        </w:tabs>
      </w:pPr>
      <w:r w:rsidRPr="008056DD">
        <w:rPr>
          <w:b/>
        </w:rPr>
        <w:t xml:space="preserve">Response rates. </w:t>
      </w:r>
      <w:r>
        <w:rPr>
          <w:b/>
        </w:rPr>
        <w:t xml:space="preserve"> </w:t>
      </w:r>
      <w:r w:rsidRPr="005B7CF6">
        <w:t>The</w:t>
      </w:r>
      <w:r>
        <w:t xml:space="preserve"> POD</w:t>
      </w:r>
      <w:r w:rsidRPr="005B7CF6">
        <w:t xml:space="preserve"> evaluation team</w:t>
      </w:r>
      <w:r>
        <w:t xml:space="preserve"> will address several challenges that can depress response rates to a follow up survey.  They will offer the follow up survey in several modes (web, telephone and mail) to encourage response.  Subjects will receive an advance letter by mail and via email with a link to the web survey and their unique survey login information so they can easily access the web survey.  The evaluation team will mail materials to subjects based on their SSA identified mailing preferences (special notice options), including in Spanish. </w:t>
      </w:r>
    </w:p>
    <w:p w14:paraId="4AF196B1" w14:textId="77777777" w:rsidR="00D11996" w:rsidRDefault="00D11996" w:rsidP="00D11996">
      <w:pPr>
        <w:pStyle w:val="NormalSS"/>
      </w:pPr>
      <w:r>
        <w:t>T</w:t>
      </w:r>
      <w:r w:rsidRPr="005B7CF6">
        <w:t xml:space="preserve">he </w:t>
      </w:r>
      <w:r>
        <w:t xml:space="preserve">POD </w:t>
      </w:r>
      <w:r w:rsidRPr="005B7CF6">
        <w:t>evaluation team</w:t>
      </w:r>
      <w:r>
        <w:t xml:space="preserve"> designed the survey interview to be brief so as not to discourage response or full completion.  As discussed in greater detail in Part A, they will offer response incentives to encourage subjects’ participation; they will tailor these incentives to entice response by the most cost effective mode (a higher response is offered for web survey mode, followed by telephone and hard copy modes).  T</w:t>
      </w:r>
      <w:r w:rsidRPr="005B7CF6">
        <w:t>he evaluation team</w:t>
      </w:r>
      <w:r>
        <w:t xml:space="preserve"> will also offer a shortened mail survey for subjects who do not respond via web or telephone to complete on paper.</w:t>
      </w:r>
    </w:p>
    <w:p w14:paraId="312ED85F" w14:textId="77777777" w:rsidR="00D11996" w:rsidRPr="002A779E" w:rsidRDefault="00D11996" w:rsidP="00D11996">
      <w:pPr>
        <w:pStyle w:val="NormalSS"/>
      </w:pPr>
      <w:r>
        <w:t>T</w:t>
      </w:r>
      <w:r w:rsidRPr="005B7CF6">
        <w:t>he evaluation team</w:t>
      </w:r>
      <w:r w:rsidRPr="005B7CF6" w:rsidDel="005B7CF6">
        <w:t xml:space="preserve"> </w:t>
      </w:r>
      <w:r>
        <w:t>will train b</w:t>
      </w:r>
      <w:r w:rsidRPr="002A779E">
        <w:t xml:space="preserve">ilingual (English and Spanish speaking) telephone interviewers to address subject’s questions clearly and effectively and to gain cooperation and avoid refusals. </w:t>
      </w:r>
      <w:r>
        <w:t xml:space="preserve"> They will also train </w:t>
      </w:r>
      <w:r w:rsidRPr="002A779E">
        <w:t xml:space="preserve">interviewers in how to work with subjects </w:t>
      </w:r>
      <w:r>
        <w:t xml:space="preserve">who need assistance to </w:t>
      </w:r>
      <w:r w:rsidRPr="002A779E">
        <w:t xml:space="preserve">complete surveys </w:t>
      </w:r>
      <w:r>
        <w:t xml:space="preserve">such as </w:t>
      </w:r>
      <w:r w:rsidRPr="002A779E">
        <w:t>via TTY lines.</w:t>
      </w:r>
      <w:r>
        <w:t xml:space="preserve"> </w:t>
      </w:r>
      <w:r w:rsidRPr="002A779E">
        <w:t xml:space="preserve"> </w:t>
      </w:r>
      <w:r>
        <w:t xml:space="preserve">In addition, </w:t>
      </w:r>
      <w:r w:rsidRPr="005B7CF6">
        <w:t>the evaluation team</w:t>
      </w:r>
      <w:r>
        <w:t xml:space="preserve"> will train staff (also bilingual) on techniques for locating subjects who are no longer at the address and telephone number provided at enrollment.</w:t>
      </w:r>
    </w:p>
    <w:p w14:paraId="6D2F86B5" w14:textId="016D9188" w:rsidR="00D11996" w:rsidRPr="00A8223B" w:rsidRDefault="00D11996" w:rsidP="00D11996">
      <w:pPr>
        <w:pStyle w:val="NormalSS"/>
      </w:pPr>
      <w:r w:rsidRPr="00A8223B">
        <w:rPr>
          <w:b/>
        </w:rPr>
        <w:t>Data reliability.</w:t>
      </w:r>
      <w:r w:rsidRPr="00A8223B">
        <w:t xml:space="preserve"> </w:t>
      </w:r>
      <w:r>
        <w:t xml:space="preserve"> T</w:t>
      </w:r>
      <w:r w:rsidRPr="005B7CF6">
        <w:t xml:space="preserve">he </w:t>
      </w:r>
      <w:r>
        <w:t xml:space="preserve">POD </w:t>
      </w:r>
      <w:r w:rsidRPr="005B7CF6">
        <w:t>evaluation team</w:t>
      </w:r>
      <w:r w:rsidRPr="00A8223B">
        <w:t xml:space="preserve"> developed the </w:t>
      </w:r>
      <w:r>
        <w:t>follow up</w:t>
      </w:r>
      <w:r w:rsidRPr="00A8223B">
        <w:t xml:space="preserve"> survey instrument and </w:t>
      </w:r>
      <w:r>
        <w:t xml:space="preserve">contact </w:t>
      </w:r>
      <w:r w:rsidRPr="00A8223B">
        <w:t xml:space="preserve">materials using materials developed and fielded on recent similar SSA demonstrations such as BOND and PROMISE. </w:t>
      </w:r>
      <w:r>
        <w:t xml:space="preserve"> </w:t>
      </w:r>
      <w:r w:rsidRPr="00A8223B">
        <w:t xml:space="preserve">Several experts </w:t>
      </w:r>
      <w:r>
        <w:t xml:space="preserve">on the POD </w:t>
      </w:r>
      <w:r w:rsidRPr="005B7CF6">
        <w:t xml:space="preserve">evaluation team </w:t>
      </w:r>
      <w:r w:rsidRPr="00A8223B">
        <w:t xml:space="preserve">– including survey researchers, disability policymakers and practitioners, reviewed the draft </w:t>
      </w:r>
      <w:r>
        <w:t xml:space="preserve">follow up </w:t>
      </w:r>
      <w:r w:rsidRPr="00A8223B">
        <w:t xml:space="preserve">instrument and </w:t>
      </w:r>
      <w:r>
        <w:t xml:space="preserve">contact materials and </w:t>
      </w:r>
      <w:r w:rsidRPr="00A8223B">
        <w:t xml:space="preserve">helped to refine them further. </w:t>
      </w:r>
      <w:r>
        <w:t xml:space="preserve"> T</w:t>
      </w:r>
      <w:r w:rsidRPr="005B7CF6">
        <w:t>he evaluation team</w:t>
      </w:r>
      <w:r w:rsidRPr="00A8223B">
        <w:t xml:space="preserve"> also </w:t>
      </w:r>
      <w:r w:rsidR="006678CC" w:rsidRPr="00A8223B">
        <w:t>field-tested</w:t>
      </w:r>
      <w:r w:rsidRPr="00A8223B">
        <w:t xml:space="preserve"> the instrument with a small number of </w:t>
      </w:r>
      <w:r>
        <w:t>SSDI</w:t>
      </w:r>
      <w:r w:rsidRPr="00A8223B">
        <w:t xml:space="preserve"> beneficiaries as described in section B.4 below.</w:t>
      </w:r>
    </w:p>
    <w:p w14:paraId="534FB18F" w14:textId="77777777" w:rsidR="00D11996" w:rsidRPr="00E30E83" w:rsidRDefault="00D11996" w:rsidP="00D11996">
      <w:pPr>
        <w:pStyle w:val="NormalSS"/>
      </w:pPr>
      <w:r>
        <w:rPr>
          <w:b/>
        </w:rPr>
        <w:t>I</w:t>
      </w:r>
      <w:r w:rsidRPr="00E30E83">
        <w:rPr>
          <w:b/>
        </w:rPr>
        <w:t>tem nonresponse.</w:t>
      </w:r>
      <w:r>
        <w:rPr>
          <w:b/>
        </w:rPr>
        <w:t xml:space="preserve">  </w:t>
      </w:r>
      <w:r w:rsidRPr="00E30E83">
        <w:t xml:space="preserve">Although </w:t>
      </w:r>
      <w:r w:rsidRPr="005B7CF6">
        <w:t xml:space="preserve">the </w:t>
      </w:r>
      <w:r>
        <w:t xml:space="preserve">POD </w:t>
      </w:r>
      <w:r w:rsidRPr="005B7CF6">
        <w:t>evaluation team</w:t>
      </w:r>
      <w:r>
        <w:t>’s</w:t>
      </w:r>
      <w:r w:rsidRPr="00E30E83">
        <w:t xml:space="preserve"> past experience conducting surveys for similar evaluations suggests that rates of item nonresponse on the follow-up survey will be very low, some item nonresponse is inevitable.</w:t>
      </w:r>
      <w:r>
        <w:t xml:space="preserve">  </w:t>
      </w:r>
      <w:r w:rsidRPr="00B7487C">
        <w:t xml:space="preserve">The follow-up survey primarily collects data on outcome measures </w:t>
      </w:r>
      <w:r>
        <w:t>for the evaluation team to use</w:t>
      </w:r>
      <w:r w:rsidRPr="00B7487C">
        <w:t xml:space="preserve"> in the impact analysis. </w:t>
      </w:r>
      <w:r>
        <w:t xml:space="preserve"> </w:t>
      </w:r>
      <w:r w:rsidRPr="00E30E83">
        <w:t>Imputation of outcome data could lead to biased estimates due to imperfect matches on observables when using a hot-deck procedure (Bollinger and Hirsch 2006).</w:t>
      </w:r>
      <w:r>
        <w:t xml:space="preserve">  Hence, depending on the pattern of missing data observed, </w:t>
      </w:r>
      <w:r w:rsidRPr="005B7CF6">
        <w:t>the evaluation team</w:t>
      </w:r>
      <w:r>
        <w:t xml:space="preserve"> will consider alternative multivariate imputation techniques or omitting subjects with </w:t>
      </w:r>
      <w:r w:rsidRPr="00E30E83">
        <w:t>missing data on a given outcome when analyzing that outcome.</w:t>
      </w:r>
    </w:p>
    <w:p w14:paraId="335B92B1" w14:textId="77777777" w:rsidR="00D11996" w:rsidRPr="004A0B05" w:rsidRDefault="00D11996" w:rsidP="00D11996">
      <w:pPr>
        <w:pStyle w:val="NormalSS"/>
        <w:spacing w:after="120"/>
      </w:pPr>
      <w:r>
        <w:rPr>
          <w:b/>
        </w:rPr>
        <w:t>I</w:t>
      </w:r>
      <w:r w:rsidRPr="004A0B05">
        <w:rPr>
          <w:b/>
        </w:rPr>
        <w:t xml:space="preserve">ndividual-level nonresponse. </w:t>
      </w:r>
      <w:r>
        <w:rPr>
          <w:b/>
        </w:rPr>
        <w:t xml:space="preserve"> </w:t>
      </w:r>
      <w:r w:rsidRPr="004A0B05">
        <w:t>As with almost any survey, some nonresponse in the follow-up survey is inevitable.</w:t>
      </w:r>
      <w:r>
        <w:t xml:space="preserve">  The evaluation team will not be able to locate s</w:t>
      </w:r>
      <w:r w:rsidRPr="004A0B05">
        <w:t>ome sample members and others will not be able or willing to respond to the survey.</w:t>
      </w:r>
      <w:r>
        <w:t xml:space="preserve"> </w:t>
      </w:r>
      <w:r w:rsidRPr="004A0B05">
        <w:t xml:space="preserve"> </w:t>
      </w:r>
      <w:r>
        <w:t>T</w:t>
      </w:r>
      <w:r w:rsidRPr="005B7CF6">
        <w:t xml:space="preserve">he </w:t>
      </w:r>
      <w:r>
        <w:t xml:space="preserve">POD </w:t>
      </w:r>
      <w:r w:rsidRPr="005B7CF6">
        <w:t>evaluation team</w:t>
      </w:r>
      <w:r>
        <w:t xml:space="preserve"> expects to attain a response rate of at least 80 percent.  In the event that response rates are lower, they will conduct a </w:t>
      </w:r>
      <w:r w:rsidRPr="004A0B05">
        <w:t xml:space="preserve">nonresponse analysis </w:t>
      </w:r>
      <w:r>
        <w:t xml:space="preserve">using </w:t>
      </w:r>
      <w:r w:rsidRPr="004A0B05">
        <w:t xml:space="preserve">various data items from the </w:t>
      </w:r>
      <w:r>
        <w:t xml:space="preserve">SSA program records and </w:t>
      </w:r>
      <w:r w:rsidRPr="004A0B05">
        <w:t xml:space="preserve">baseline </w:t>
      </w:r>
      <w:r>
        <w:t>survey</w:t>
      </w:r>
      <w:r w:rsidRPr="004A0B05">
        <w:t xml:space="preserve">. </w:t>
      </w:r>
      <w:r>
        <w:t xml:space="preserve"> </w:t>
      </w:r>
      <w:r w:rsidRPr="004A0B05">
        <w:t>The nonresponse bias analysis will consist of the following steps:</w:t>
      </w:r>
    </w:p>
    <w:p w14:paraId="5B175EAD" w14:textId="77777777" w:rsidR="00D11996" w:rsidRDefault="00D11996" w:rsidP="00D11996">
      <w:pPr>
        <w:pStyle w:val="Bullet"/>
      </w:pPr>
      <w:r w:rsidRPr="008059D8">
        <w:rPr>
          <w:i/>
        </w:rPr>
        <w:t>Compute response rates for key subgroups</w:t>
      </w:r>
      <w:r w:rsidRPr="004A0B05">
        <w:t xml:space="preserve">. </w:t>
      </w:r>
      <w:r>
        <w:t xml:space="preserve"> </w:t>
      </w:r>
      <w:r w:rsidRPr="00E30E83">
        <w:t>T</w:t>
      </w:r>
      <w:r>
        <w:t>he evaluation team will compute t</w:t>
      </w:r>
      <w:r w:rsidRPr="00E30E83">
        <w:t xml:space="preserve">he response rate for the subgroups using the American Association for Public Opinion Research (AAPOR) definition of the participation rate for a nonprobability sample: </w:t>
      </w:r>
      <w:r>
        <w:t xml:space="preserve"> </w:t>
      </w:r>
      <w:r w:rsidRPr="00E30E83">
        <w:t>the number of respondents who provided a usable response divided by the total number of individuals from whom</w:t>
      </w:r>
      <w:r>
        <w:t xml:space="preserve"> they requested</w:t>
      </w:r>
      <w:r w:rsidRPr="00E30E83">
        <w:t xml:space="preserve"> participation in the</w:t>
      </w:r>
      <w:r>
        <w:t xml:space="preserve"> survey (AAPOR 2016</w:t>
      </w:r>
      <w:r w:rsidRPr="00E30E83">
        <w:t>).</w:t>
      </w:r>
      <w:r w:rsidRPr="00E30E83">
        <w:rPr>
          <w:rStyle w:val="FootnoteReference"/>
        </w:rPr>
        <w:footnoteReference w:id="3"/>
      </w:r>
      <w:r>
        <w:t xml:space="preserve">  T</w:t>
      </w:r>
      <w:r w:rsidRPr="005B7CF6">
        <w:t>he evaluation team</w:t>
      </w:r>
      <w:r>
        <w:t xml:space="preserve"> will conduct </w:t>
      </w:r>
      <w:r w:rsidRPr="004A0B05">
        <w:t>comparison</w:t>
      </w:r>
      <w:r>
        <w:t xml:space="preserve">s of the response rate across key subgroups, including most notably the two treatment </w:t>
      </w:r>
      <w:r w:rsidRPr="004A0B05">
        <w:t>group</w:t>
      </w:r>
      <w:r>
        <w:t>s</w:t>
      </w:r>
      <w:r w:rsidRPr="004A0B05">
        <w:t xml:space="preserve"> </w:t>
      </w:r>
      <w:r>
        <w:t xml:space="preserve">and </w:t>
      </w:r>
      <w:r w:rsidRPr="004A0B05">
        <w:t>the control group</w:t>
      </w:r>
      <w:r>
        <w:t>, as well as subgroups used to stratify sampling for the recruitment and survey field efforts.  (The evaluation team will define the latter set of subgroups using pre-enrollment characteristics from SSA program records and the baseline survey</w:t>
      </w:r>
      <w:r w:rsidRPr="004A0B05">
        <w:t>.</w:t>
      </w:r>
      <w:r>
        <w:t xml:space="preserve">)  The goal of this analysis is to determine whether response rates in specific subgroups </w:t>
      </w:r>
      <w:r w:rsidRPr="004D1365">
        <w:t>differ systematicall</w:t>
      </w:r>
      <w:r>
        <w:t>y from that of other subgroups or from the overall response rate</w:t>
      </w:r>
      <w:r w:rsidRPr="004D1365">
        <w:t>.</w:t>
      </w:r>
      <w:r>
        <w:t xml:space="preserve">  This could inform </w:t>
      </w:r>
      <w:r w:rsidRPr="005B7CF6">
        <w:t>the evaluation team</w:t>
      </w:r>
      <w:r>
        <w:t>’s development of nonresponse weights for use in the analysis.</w:t>
      </w:r>
    </w:p>
    <w:p w14:paraId="2A97EC8A" w14:textId="1067367A" w:rsidR="00D11996" w:rsidRDefault="00D11996" w:rsidP="00D11996">
      <w:pPr>
        <w:pStyle w:val="Bullet"/>
      </w:pPr>
      <w:r w:rsidRPr="008059D8">
        <w:rPr>
          <w:i/>
        </w:rPr>
        <w:t>Compare the distributions of respondents’ and non</w:t>
      </w:r>
      <w:r w:rsidR="006678CC">
        <w:rPr>
          <w:i/>
        </w:rPr>
        <w:t>-</w:t>
      </w:r>
      <w:r w:rsidRPr="008059D8">
        <w:rPr>
          <w:i/>
        </w:rPr>
        <w:t>respondents’ characteristics</w:t>
      </w:r>
      <w:r w:rsidRPr="004A0B05">
        <w:t>.</w:t>
      </w:r>
      <w:r>
        <w:t xml:space="preserve">  Again using data from program records and the baseline survey, </w:t>
      </w:r>
      <w:r w:rsidRPr="005B7CF6">
        <w:t>the evaluation team</w:t>
      </w:r>
      <w:r>
        <w:t xml:space="preserve"> will compare the characteristics </w:t>
      </w:r>
      <w:r w:rsidRPr="004D1365">
        <w:t>of respondents and non</w:t>
      </w:r>
      <w:r w:rsidR="006678CC">
        <w:t>-</w:t>
      </w:r>
      <w:r w:rsidRPr="004D1365">
        <w:t xml:space="preserve">respondents. </w:t>
      </w:r>
      <w:r>
        <w:t xml:space="preserve"> </w:t>
      </w:r>
      <w:r w:rsidRPr="004D1365">
        <w:t>The</w:t>
      </w:r>
      <w:r>
        <w:t>y will assess the</w:t>
      </w:r>
      <w:r w:rsidRPr="004D1365">
        <w:t xml:space="preserve"> statistical significance of the difference between </w:t>
      </w:r>
      <w:r>
        <w:t xml:space="preserve">these groups </w:t>
      </w:r>
      <w:r w:rsidRPr="004D1365">
        <w:t xml:space="preserve">using </w:t>
      </w:r>
      <w:r w:rsidRPr="004D1365">
        <w:rPr>
          <w:i/>
        </w:rPr>
        <w:t>t</w:t>
      </w:r>
      <w:r w:rsidRPr="004D1365">
        <w:t xml:space="preserve">-tests. </w:t>
      </w:r>
      <w:r>
        <w:t xml:space="preserve"> </w:t>
      </w:r>
      <w:r w:rsidRPr="004D1365">
        <w:t xml:space="preserve">This type of analysis can be useful in identifying patterns of differences in observable characteristics that might suggest nonresponse bias. </w:t>
      </w:r>
      <w:r>
        <w:t xml:space="preserve"> </w:t>
      </w:r>
      <w:r w:rsidRPr="004D1365">
        <w:t xml:space="preserve">However, this approach has low power to detect substantive differences when sample sizes are small, and the large number of statistical tests conducted can also result in high rates of Type I error. </w:t>
      </w:r>
      <w:r>
        <w:t xml:space="preserve"> </w:t>
      </w:r>
      <w:r w:rsidRPr="004D1365">
        <w:t>Consequently, the</w:t>
      </w:r>
      <w:r>
        <w:t xml:space="preserve"> evaluation team will interpret the</w:t>
      </w:r>
      <w:r w:rsidRPr="004D1365">
        <w:t xml:space="preserve"> results</w:t>
      </w:r>
      <w:r>
        <w:t xml:space="preserve"> of this item-by-item analysis</w:t>
      </w:r>
      <w:r w:rsidRPr="004D1365">
        <w:t xml:space="preserve"> cautiously.</w:t>
      </w:r>
    </w:p>
    <w:p w14:paraId="215A2DDF" w14:textId="77777777" w:rsidR="00D11996" w:rsidRPr="00BA40EB" w:rsidRDefault="00D11996" w:rsidP="00D11996">
      <w:pPr>
        <w:pStyle w:val="Bullet"/>
      </w:pPr>
      <w:r w:rsidRPr="00BA40EB">
        <w:rPr>
          <w:i/>
        </w:rPr>
        <w:t>Identify the characteristics that best predict nonresponse and use this information to generate nonresponse weights</w:t>
      </w:r>
      <w:r w:rsidRPr="004A0B05">
        <w:t>.</w:t>
      </w:r>
      <w:r>
        <w:t xml:space="preserve">  This is a multivariate generalization of the subgroup analysis described previously.  T</w:t>
      </w:r>
      <w:r w:rsidRPr="005B7CF6">
        <w:t>he evaluation team</w:t>
      </w:r>
      <w:r>
        <w:t xml:space="preserve"> will use l</w:t>
      </w:r>
      <w:r w:rsidRPr="004D1365">
        <w:t xml:space="preserve">ogistic regression </w:t>
      </w:r>
      <w:r>
        <w:t>models</w:t>
      </w:r>
      <w:r w:rsidRPr="004D1365">
        <w:t xml:space="preserve"> </w:t>
      </w:r>
      <w:r>
        <w:t xml:space="preserve">to assess the partial associations between each characteristic and response status; </w:t>
      </w:r>
      <w:r w:rsidRPr="00BA40EB">
        <w:t xml:space="preserve">propensity scores </w:t>
      </w:r>
      <w:r>
        <w:t xml:space="preserve">obtained from such models </w:t>
      </w:r>
      <w:r w:rsidRPr="00BA40EB">
        <w:t>provide a concise way to summarize and correct for initial imbalances (Särndal et al. 1992)</w:t>
      </w:r>
      <w:r>
        <w:t xml:space="preserve">.  </w:t>
      </w:r>
      <w:r w:rsidRPr="00BA40EB">
        <w:t xml:space="preserve">Given </w:t>
      </w:r>
      <w:r>
        <w:t>the</w:t>
      </w:r>
      <w:r w:rsidRPr="00BA40EB">
        <w:t xml:space="preserve"> rich </w:t>
      </w:r>
      <w:r>
        <w:t>set of program and baseline survey data available for this analysis</w:t>
      </w:r>
      <w:r w:rsidRPr="00BA40EB">
        <w:t xml:space="preserve">, </w:t>
      </w:r>
      <w:r w:rsidRPr="005B7CF6">
        <w:t>the evaluation team</w:t>
      </w:r>
      <w:r>
        <w:t xml:space="preserve"> </w:t>
      </w:r>
      <w:r w:rsidRPr="00BA40EB">
        <w:t xml:space="preserve">will use a mixture of substantive knowledge and automated “machine learning” methods to identify covariates to include in the final weights. </w:t>
      </w:r>
      <w:r>
        <w:t xml:space="preserve"> </w:t>
      </w:r>
      <w:r w:rsidRPr="00BA40EB">
        <w:t xml:space="preserve">Examples of automated procedures </w:t>
      </w:r>
      <w:r>
        <w:t>they</w:t>
      </w:r>
      <w:r w:rsidRPr="00BA40EB">
        <w:t xml:space="preserve"> could use to produce these weight efficiently include:</w:t>
      </w:r>
      <w:r>
        <w:t xml:space="preserve">  (1) u</w:t>
      </w:r>
      <w:r w:rsidRPr="00BA40EB">
        <w:t xml:space="preserve">sing pre-specified decision rules, such as those described </w:t>
      </w:r>
      <w:r>
        <w:t xml:space="preserve">by </w:t>
      </w:r>
      <w:r w:rsidRPr="00BA40EB">
        <w:t>Imbens and Rubin (2015)</w:t>
      </w:r>
      <w:r>
        <w:t xml:space="preserve"> and Biggs, de Ville, and Suen</w:t>
      </w:r>
      <w:r w:rsidRPr="00BA40EB">
        <w:t xml:space="preserve"> (1991) </w:t>
      </w:r>
      <w:r>
        <w:t xml:space="preserve">to select covariates and interactions between them; and (2) identifying and addressing outliers by, for example, trimming weights in a way that minimizes the </w:t>
      </w:r>
      <w:r w:rsidRPr="00BA40EB">
        <w:t xml:space="preserve">mean-square error </w:t>
      </w:r>
      <w:r>
        <w:t xml:space="preserve">of the estimates </w:t>
      </w:r>
      <w:r w:rsidRPr="00BA40EB">
        <w:t xml:space="preserve">(Potter 1990). </w:t>
      </w:r>
    </w:p>
    <w:p w14:paraId="1B9E7F48" w14:textId="7FD602D8" w:rsidR="00D11996" w:rsidRPr="004A0B05" w:rsidRDefault="00D11996" w:rsidP="00D11996">
      <w:pPr>
        <w:pStyle w:val="BulletLastSS"/>
      </w:pPr>
      <w:r w:rsidRPr="00D203C8">
        <w:rPr>
          <w:i/>
        </w:rPr>
        <w:t>Compare the nonresponse-weighted distribution of respondent characteristics with the distribution for the full random assignment sample.</w:t>
      </w:r>
      <w:r w:rsidRPr="00BA40EB">
        <w:t xml:space="preserve"> </w:t>
      </w:r>
      <w:r>
        <w:t xml:space="preserve"> </w:t>
      </w:r>
      <w:r w:rsidRPr="004A0B05">
        <w:t xml:space="preserve">In this last step, </w:t>
      </w:r>
      <w:r w:rsidRPr="005B7CF6">
        <w:t>the evaluation team</w:t>
      </w:r>
      <w:r>
        <w:t xml:space="preserve"> will compare the </w:t>
      </w:r>
      <w:r w:rsidRPr="004A0B05">
        <w:t xml:space="preserve">weighted distribution of respondent baseline characteristics </w:t>
      </w:r>
      <w:r>
        <w:t xml:space="preserve">to </w:t>
      </w:r>
      <w:r w:rsidRPr="004A0B05">
        <w:t xml:space="preserve">the unweighted distribution of the </w:t>
      </w:r>
      <w:r>
        <w:t xml:space="preserve">full set of study subjects </w:t>
      </w:r>
      <w:r w:rsidRPr="004A0B05">
        <w:t xml:space="preserve">that went through random assignment. </w:t>
      </w:r>
      <w:r>
        <w:t xml:space="preserve"> They will make these c</w:t>
      </w:r>
      <w:r w:rsidRPr="004A0B05">
        <w:t xml:space="preserve">omparisons </w:t>
      </w:r>
      <w:r>
        <w:t xml:space="preserve">for </w:t>
      </w:r>
      <w:r w:rsidRPr="004A0B05">
        <w:t xml:space="preserve">the </w:t>
      </w:r>
      <w:r>
        <w:t xml:space="preserve">whole sample and </w:t>
      </w:r>
      <w:r w:rsidRPr="004A0B05">
        <w:t xml:space="preserve">for key subgroups, as described earlier in this subsection. </w:t>
      </w:r>
      <w:r>
        <w:t xml:space="preserve"> </w:t>
      </w:r>
      <w:r w:rsidRPr="00936F41">
        <w:t xml:space="preserve">This step will include validation of the nonresponse weights using outcomes measured in the </w:t>
      </w:r>
      <w:r>
        <w:t xml:space="preserve">program </w:t>
      </w:r>
      <w:r w:rsidRPr="00936F41">
        <w:t xml:space="preserve">data for the full sample </w:t>
      </w:r>
      <w:r>
        <w:t xml:space="preserve">(but not used in the construction of the weights).  </w:t>
      </w:r>
      <w:r w:rsidRPr="004A0B05">
        <w:t>This analysis can highlight measures in which the potential for nonresponse bias is greatest</w:t>
      </w:r>
      <w:r>
        <w:t xml:space="preserve">, even after weighting, </w:t>
      </w:r>
      <w:r w:rsidRPr="004A0B05">
        <w:t xml:space="preserve">in which </w:t>
      </w:r>
      <w:r>
        <w:t>case</w:t>
      </w:r>
      <w:r w:rsidR="006678CC">
        <w:t xml:space="preserve"> they should exercise</w:t>
      </w:r>
      <w:r>
        <w:t xml:space="preserve"> </w:t>
      </w:r>
      <w:r w:rsidRPr="004A0B05">
        <w:t>greater caution in the interpretation of the observed findings.</w:t>
      </w:r>
      <w:r>
        <w:t xml:space="preserve"> </w:t>
      </w:r>
    </w:p>
    <w:p w14:paraId="2A85BAA2" w14:textId="77777777" w:rsidR="00D11996" w:rsidRDefault="00D11996" w:rsidP="00D11996">
      <w:pPr>
        <w:pStyle w:val="H4Number"/>
      </w:pPr>
      <w:bookmarkStart w:id="20" w:name="_Toc476920461"/>
      <w:r>
        <w:t>B.3.3. Qualitative data from POD implementation and operations staff</w:t>
      </w:r>
      <w:bookmarkEnd w:id="20"/>
    </w:p>
    <w:p w14:paraId="6755ABA5" w14:textId="03D6B701" w:rsidR="00D11996" w:rsidRPr="003A4919" w:rsidRDefault="00D11996" w:rsidP="00D11996">
      <w:pPr>
        <w:pStyle w:val="NormalSS"/>
      </w:pPr>
      <w:r>
        <w:rPr>
          <w:b/>
        </w:rPr>
        <w:t xml:space="preserve">Response rates.  </w:t>
      </w:r>
      <w:r w:rsidRPr="005B7CF6">
        <w:t xml:space="preserve">The </w:t>
      </w:r>
      <w:r>
        <w:t xml:space="preserve">POD </w:t>
      </w:r>
      <w:r w:rsidRPr="005B7CF6">
        <w:t>evaluation team</w:t>
      </w:r>
      <w:r>
        <w:t xml:space="preserve"> expects that sites will </w:t>
      </w:r>
      <w:r w:rsidRPr="00A06356">
        <w:t xml:space="preserve">provide the information needed to assess program implementation and </w:t>
      </w:r>
      <w:r w:rsidR="006678CC" w:rsidRPr="00A06356">
        <w:t>fidelity,</w:t>
      </w:r>
      <w:r w:rsidRPr="00A06356">
        <w:t xml:space="preserve"> as </w:t>
      </w:r>
      <w:r w:rsidR="00D86AF9">
        <w:t>the implementation contractor</w:t>
      </w:r>
      <w:r w:rsidRPr="00D537F7">
        <w:t xml:space="preserve"> communicate</w:t>
      </w:r>
      <w:r w:rsidR="00D86AF9">
        <w:t>d</w:t>
      </w:r>
      <w:r w:rsidRPr="00D537F7">
        <w:t xml:space="preserve"> this expectation to the VR agencies </w:t>
      </w:r>
      <w:r>
        <w:t xml:space="preserve">and other state </w:t>
      </w:r>
      <w:r w:rsidR="006678CC">
        <w:t>implementation</w:t>
      </w:r>
      <w:r>
        <w:t xml:space="preserve"> partners </w:t>
      </w:r>
      <w:r w:rsidRPr="00D537F7">
        <w:t>in the participating sites</w:t>
      </w:r>
      <w:r>
        <w:t>; thus, we anticipate high levels of</w:t>
      </w:r>
      <w:r w:rsidRPr="00A06356">
        <w:t xml:space="preserve"> </w:t>
      </w:r>
      <w:r>
        <w:t xml:space="preserve">cooperation for the qualitative interviews.  To explain </w:t>
      </w:r>
      <w:r w:rsidRPr="003A4919">
        <w:t>the purpose of the evaluation and further encourage cooperation</w:t>
      </w:r>
      <w:r w:rsidR="00C0583F">
        <w:t>, SSA sent</w:t>
      </w:r>
      <w:r>
        <w:t xml:space="preserve"> a letter to the directors of each program site</w:t>
      </w:r>
      <w:r w:rsidRPr="003A4919">
        <w:t xml:space="preserve">. </w:t>
      </w:r>
      <w:r>
        <w:t xml:space="preserve"> T</w:t>
      </w:r>
      <w:r w:rsidRPr="005B7CF6">
        <w:t>he evaluation team</w:t>
      </w:r>
      <w:r w:rsidR="00D86AF9">
        <w:t xml:space="preserve"> </w:t>
      </w:r>
      <w:r w:rsidRPr="003A4919">
        <w:t>follow</w:t>
      </w:r>
      <w:r w:rsidR="00D86AF9">
        <w:t>s</w:t>
      </w:r>
      <w:r w:rsidRPr="003A4919">
        <w:t xml:space="preserve"> up with the POD site director in a phone call to describe the information </w:t>
      </w:r>
      <w:r>
        <w:t>they</w:t>
      </w:r>
      <w:r w:rsidRPr="003A4919">
        <w:t xml:space="preserve"> will gather from site staff and partners during site visits and in-person interviews. </w:t>
      </w:r>
      <w:r>
        <w:t xml:space="preserve"> To minimize burden on site staff and maximize staff availability, </w:t>
      </w:r>
      <w:r w:rsidRPr="005B7CF6">
        <w:t>the evaluation team</w:t>
      </w:r>
      <w:r>
        <w:t xml:space="preserve"> </w:t>
      </w:r>
      <w:r w:rsidRPr="00A06356">
        <w:t>work</w:t>
      </w:r>
      <w:r w:rsidR="00D86AF9">
        <w:t>s</w:t>
      </w:r>
      <w:r w:rsidRPr="00A06356">
        <w:t xml:space="preserve"> with POD site directors to determine the most convenient times to convene the interviews. </w:t>
      </w:r>
      <w:r>
        <w:t xml:space="preserve"> T</w:t>
      </w:r>
      <w:r w:rsidRPr="005B7CF6">
        <w:t>he evaluation team</w:t>
      </w:r>
      <w:r w:rsidRPr="00A06356">
        <w:t xml:space="preserve"> limit</w:t>
      </w:r>
      <w:r w:rsidR="00D86AF9">
        <w:t>s</w:t>
      </w:r>
      <w:r w:rsidRPr="00A06356">
        <w:t xml:space="preserve"> the intervie</w:t>
      </w:r>
      <w:r>
        <w:t>ws to approximately one hour so that</w:t>
      </w:r>
      <w:r w:rsidRPr="00A06356">
        <w:t xml:space="preserve"> the data collection imposes only a modest burden on respondents. </w:t>
      </w:r>
    </w:p>
    <w:p w14:paraId="5CA6CE21" w14:textId="6D9B4843" w:rsidR="00D11996" w:rsidRDefault="00D11996" w:rsidP="00D11996">
      <w:pPr>
        <w:pStyle w:val="NormalSS"/>
      </w:pPr>
      <w:r>
        <w:t xml:space="preserve">To facilitate a smooth interview process and improve the completeness of the data collected, </w:t>
      </w:r>
      <w:r w:rsidRPr="005B7CF6">
        <w:t xml:space="preserve">the </w:t>
      </w:r>
      <w:r>
        <w:t xml:space="preserve">POD </w:t>
      </w:r>
      <w:r w:rsidRPr="005B7CF6">
        <w:t>evaluation team</w:t>
      </w:r>
      <w:r w:rsidR="00D86AF9">
        <w:t xml:space="preserve"> </w:t>
      </w:r>
      <w:r w:rsidRPr="003A4919">
        <w:t>mail</w:t>
      </w:r>
      <w:r w:rsidR="00D86AF9">
        <w:t>s</w:t>
      </w:r>
      <w:r w:rsidRPr="003A4919">
        <w:t xml:space="preserve"> an information packet to the site director and partner agency contacts containing the final site visit and interview schedule.  The</w:t>
      </w:r>
      <w:r w:rsidR="00D86AF9">
        <w:t xml:space="preserve"> evaluation team </w:t>
      </w:r>
      <w:r>
        <w:t>send</w:t>
      </w:r>
      <w:r w:rsidR="00D86AF9">
        <w:t>s</w:t>
      </w:r>
      <w:r>
        <w:t xml:space="preserve"> out the</w:t>
      </w:r>
      <w:r w:rsidRPr="003A4919">
        <w:t xml:space="preserve"> packet </w:t>
      </w:r>
      <w:r>
        <w:t>about two weeks before the sit</w:t>
      </w:r>
      <w:r w:rsidR="00D86AF9">
        <w:t>e visit takes place, and it</w:t>
      </w:r>
      <w:r>
        <w:t xml:space="preserve"> </w:t>
      </w:r>
      <w:r w:rsidRPr="003A4919">
        <w:t>contain</w:t>
      </w:r>
      <w:r w:rsidR="00D86AF9">
        <w:t>s</w:t>
      </w:r>
      <w:r w:rsidRPr="003A4919">
        <w:t xml:space="preserve"> </w:t>
      </w:r>
      <w:r>
        <w:t>the</w:t>
      </w:r>
      <w:r w:rsidRPr="003A4919">
        <w:t xml:space="preserve"> lead site visitor’s contact information s</w:t>
      </w:r>
      <w:r>
        <w:t>o the respondents can reach the visitors</w:t>
      </w:r>
      <w:r w:rsidRPr="003A4919">
        <w:t xml:space="preserve"> in the event of a schedule change</w:t>
      </w:r>
      <w:r>
        <w:t>,</w:t>
      </w:r>
      <w:r w:rsidRPr="003A4919">
        <w:t xml:space="preserve"> or other issues that m</w:t>
      </w:r>
      <w:r>
        <w:t>ight</w:t>
      </w:r>
      <w:r w:rsidRPr="003A4919">
        <w:t xml:space="preserve"> arise before the interviews. </w:t>
      </w:r>
      <w:r>
        <w:t xml:space="preserve"> T</w:t>
      </w:r>
      <w:r w:rsidRPr="005B7CF6">
        <w:t>he evaluation team</w:t>
      </w:r>
      <w:r w:rsidR="00D86AF9">
        <w:t xml:space="preserve"> </w:t>
      </w:r>
      <w:r w:rsidRPr="003A4919">
        <w:t>also send</w:t>
      </w:r>
      <w:r w:rsidR="00D86AF9">
        <w:t>s</w:t>
      </w:r>
      <w:r w:rsidRPr="003A4919">
        <w:t xml:space="preserve"> email reminders to site directors and partner agencies several days </w:t>
      </w:r>
      <w:r>
        <w:t>before</w:t>
      </w:r>
      <w:r w:rsidRPr="003A4919">
        <w:t xml:space="preserve"> the site visit confirming their arrival day and time.</w:t>
      </w:r>
      <w:r>
        <w:t xml:space="preserve"> </w:t>
      </w:r>
      <w:r w:rsidRPr="003A4919">
        <w:t xml:space="preserve"> Providing the </w:t>
      </w:r>
      <w:r>
        <w:t xml:space="preserve">local </w:t>
      </w:r>
      <w:r w:rsidRPr="003A4919">
        <w:t xml:space="preserve">sites with adequate information ahead of time in a professional manner helps build </w:t>
      </w:r>
      <w:r>
        <w:t xml:space="preserve">rapport; facilitates a more fluid </w:t>
      </w:r>
      <w:r w:rsidRPr="003A4919">
        <w:t>interview</w:t>
      </w:r>
      <w:r>
        <w:t xml:space="preserve"> process;</w:t>
      </w:r>
      <w:r w:rsidRPr="003A4919">
        <w:t xml:space="preserve"> and </w:t>
      </w:r>
      <w:r>
        <w:t xml:space="preserve">establishes </w:t>
      </w:r>
      <w:r w:rsidRPr="003A4919">
        <w:t xml:space="preserve">that interviewees are available and responsive. </w:t>
      </w:r>
    </w:p>
    <w:p w14:paraId="063EA521" w14:textId="2B7BA151" w:rsidR="00D11996" w:rsidRPr="003A4919" w:rsidRDefault="00D11996" w:rsidP="00D11996">
      <w:pPr>
        <w:pStyle w:val="NormalSS"/>
      </w:pPr>
      <w:r>
        <w:rPr>
          <w:b/>
        </w:rPr>
        <w:t xml:space="preserve">Data reliability.  </w:t>
      </w:r>
      <w:r w:rsidR="00D86AF9">
        <w:t>Interviewers</w:t>
      </w:r>
      <w:r w:rsidRPr="003A4919">
        <w:t xml:space="preserve"> use an interview guide, based on the interview topic list provided in Attachment </w:t>
      </w:r>
      <w:r w:rsidRPr="00EE3122">
        <w:t>C,</w:t>
      </w:r>
      <w:r w:rsidRPr="003A4919">
        <w:t xml:space="preserve"> to conduct the </w:t>
      </w:r>
      <w:r>
        <w:t xml:space="preserve">semi-structured </w:t>
      </w:r>
      <w:r w:rsidRPr="003A4919">
        <w:t>staff interviews.</w:t>
      </w:r>
      <w:r>
        <w:t xml:space="preserve"> </w:t>
      </w:r>
      <w:r w:rsidR="00D86AF9">
        <w:t xml:space="preserve"> The interviewer</w:t>
      </w:r>
      <w:r w:rsidRPr="003A4919">
        <w:t xml:space="preserve"> take</w:t>
      </w:r>
      <w:r w:rsidR="00D86AF9">
        <w:t>s</w:t>
      </w:r>
      <w:r w:rsidRPr="003A4919">
        <w:t xml:space="preserve"> notes </w:t>
      </w:r>
      <w:r>
        <w:t xml:space="preserve">and obtain permission to record </w:t>
      </w:r>
      <w:r w:rsidRPr="003A4919">
        <w:t>each interview.</w:t>
      </w:r>
      <w:r>
        <w:t xml:space="preserve"> </w:t>
      </w:r>
      <w:r w:rsidRPr="003A4919">
        <w:t xml:space="preserve"> </w:t>
      </w:r>
      <w:r>
        <w:t>T</w:t>
      </w:r>
      <w:r w:rsidRPr="005B7CF6">
        <w:t xml:space="preserve">he </w:t>
      </w:r>
      <w:r>
        <w:t xml:space="preserve">POD </w:t>
      </w:r>
      <w:r w:rsidRPr="005B7CF6">
        <w:t>evaluation team</w:t>
      </w:r>
      <w:r w:rsidR="00D86AF9">
        <w:t xml:space="preserve"> </w:t>
      </w:r>
      <w:r w:rsidRPr="0038007E">
        <w:t>use</w:t>
      </w:r>
      <w:r w:rsidR="00D86AF9">
        <w:t>s</w:t>
      </w:r>
      <w:r w:rsidRPr="0038007E">
        <w:t xml:space="preserve"> separate discussion guides for each potential respondent type (for example, </w:t>
      </w:r>
      <w:r>
        <w:t>VR</w:t>
      </w:r>
      <w:r w:rsidRPr="0038007E">
        <w:t xml:space="preserve"> administrator, </w:t>
      </w:r>
      <w:r>
        <w:t>POD work incentives</w:t>
      </w:r>
      <w:r w:rsidRPr="0038007E">
        <w:t xml:space="preserve"> counselor, VR agency staff</w:t>
      </w:r>
      <w:r>
        <w:t>, or staff from other state implementation partners</w:t>
      </w:r>
      <w:r w:rsidRPr="0038007E">
        <w:t>) so</w:t>
      </w:r>
      <w:r>
        <w:t xml:space="preserve"> they do not ask respondents</w:t>
      </w:r>
      <w:r w:rsidRPr="0038007E">
        <w:t xml:space="preserve"> about activities or issues that do not apply to them. </w:t>
      </w:r>
      <w:r>
        <w:t xml:space="preserve"> </w:t>
      </w:r>
      <w:r w:rsidRPr="006B29EB">
        <w:t xml:space="preserve">Rather than ask respondents to answer detailed questions about specific operations such as provision of benefits counseling and tracking the benefit offset, </w:t>
      </w:r>
      <w:r w:rsidRPr="005B7CF6">
        <w:t>the evaluation team</w:t>
      </w:r>
      <w:r w:rsidR="00D86AF9">
        <w:t xml:space="preserve"> </w:t>
      </w:r>
      <w:r w:rsidRPr="006B29EB">
        <w:t>review</w:t>
      </w:r>
      <w:r w:rsidR="00D86AF9">
        <w:t>s</w:t>
      </w:r>
      <w:r w:rsidRPr="006B29EB">
        <w:t xml:space="preserve"> program documentation and memos </w:t>
      </w:r>
      <w:r>
        <w:t xml:space="preserve">ahead of the interviews </w:t>
      </w:r>
      <w:r w:rsidRPr="006B29EB">
        <w:t>to minimize burden and supplement information provided by respondents to the interviews.</w:t>
      </w:r>
      <w:r>
        <w:t xml:space="preserve">  </w:t>
      </w:r>
      <w:r w:rsidRPr="003A4919">
        <w:t xml:space="preserve">During the </w:t>
      </w:r>
      <w:r>
        <w:t xml:space="preserve">in-person </w:t>
      </w:r>
      <w:r w:rsidRPr="003A4919">
        <w:t>site</w:t>
      </w:r>
      <w:r w:rsidR="00D86AF9">
        <w:t xml:space="preserve"> visits, the evaluator </w:t>
      </w:r>
      <w:r w:rsidRPr="003A4919">
        <w:t>also conduct</w:t>
      </w:r>
      <w:r w:rsidR="00D86AF9">
        <w:t>s</w:t>
      </w:r>
      <w:r w:rsidRPr="003A4919">
        <w:t xml:space="preserve"> direct observations of site operations </w:t>
      </w:r>
      <w:r>
        <w:t xml:space="preserve">using a standard template </w:t>
      </w:r>
      <w:r w:rsidRPr="003A4919">
        <w:t xml:space="preserve">(Attachment </w:t>
      </w:r>
      <w:r w:rsidRPr="00EE3122">
        <w:t>C</w:t>
      </w:r>
      <w:r w:rsidRPr="003A4919">
        <w:t xml:space="preserve">) </w:t>
      </w:r>
      <w:r>
        <w:t xml:space="preserve">to </w:t>
      </w:r>
      <w:r w:rsidRPr="0038007E">
        <w:t>systematically document the process of enrollment and</w:t>
      </w:r>
      <w:r>
        <w:t xml:space="preserve"> provision of services and </w:t>
      </w:r>
      <w:r w:rsidRPr="0038007E">
        <w:t>assess implementation fidelity</w:t>
      </w:r>
      <w:r w:rsidRPr="003A4919">
        <w:t>.</w:t>
      </w:r>
      <w:r>
        <w:t xml:space="preserve"> </w:t>
      </w:r>
      <w:r w:rsidRPr="003A4919">
        <w:t xml:space="preserve"> </w:t>
      </w:r>
      <w:r>
        <w:t>T</w:t>
      </w:r>
      <w:r w:rsidRPr="005B7CF6">
        <w:t>he evaluation team</w:t>
      </w:r>
      <w:r w:rsidR="00D86AF9">
        <w:t xml:space="preserve"> </w:t>
      </w:r>
      <w:r>
        <w:t>use</w:t>
      </w:r>
      <w:r w:rsidR="00D86AF9">
        <w:t>s</w:t>
      </w:r>
      <w:r>
        <w:t xml:space="preserve"> this information to </w:t>
      </w:r>
      <w:r w:rsidRPr="003A4919">
        <w:t>supplement information gathered from the interviews</w:t>
      </w:r>
      <w:r>
        <w:t xml:space="preserve"> with an objective assessment of </w:t>
      </w:r>
      <w:r w:rsidRPr="0038007E">
        <w:t>specific operations such as provision of benefits counseling and tracking the benefit offset</w:t>
      </w:r>
      <w:r>
        <w:t>.</w:t>
      </w:r>
      <w:r w:rsidRPr="0038007E">
        <w:t xml:space="preserve"> </w:t>
      </w:r>
      <w:r>
        <w:t xml:space="preserve"> After</w:t>
      </w:r>
      <w:r w:rsidRPr="003A4919">
        <w:t xml:space="preserve"> completion of all interviews conducted for a particul</w:t>
      </w:r>
      <w:r w:rsidR="00D86AF9">
        <w:t xml:space="preserve">ar POD site, the evaluator </w:t>
      </w:r>
      <w:r w:rsidRPr="003A4919">
        <w:t>develop</w:t>
      </w:r>
      <w:r w:rsidR="00D86AF9">
        <w:t>s</w:t>
      </w:r>
      <w:r w:rsidRPr="003A4919">
        <w:t xml:space="preserve"> a summary of all of the information collected during the site visit.</w:t>
      </w:r>
    </w:p>
    <w:p w14:paraId="2C518E00" w14:textId="77777777" w:rsidR="00D11996" w:rsidRPr="00045F92" w:rsidRDefault="00D11996" w:rsidP="00D11996">
      <w:pPr>
        <w:pStyle w:val="H4Number"/>
      </w:pPr>
      <w:bookmarkStart w:id="21" w:name="_Toc476920462"/>
      <w:r>
        <w:t>B.3.4. S</w:t>
      </w:r>
      <w:r w:rsidRPr="00045F92">
        <w:t>emi-structured interviews</w:t>
      </w:r>
      <w:r>
        <w:t xml:space="preserve"> with beneficiaries</w:t>
      </w:r>
      <w:bookmarkEnd w:id="21"/>
    </w:p>
    <w:p w14:paraId="4FC15384" w14:textId="57ECA958" w:rsidR="00D11996" w:rsidRPr="00E30E83" w:rsidRDefault="00D11996" w:rsidP="00D11996">
      <w:pPr>
        <w:pStyle w:val="NormalSS"/>
      </w:pPr>
      <w:r w:rsidRPr="00E30E83">
        <w:rPr>
          <w:b/>
        </w:rPr>
        <w:t>Response rates.</w:t>
      </w:r>
      <w:r>
        <w:rPr>
          <w:b/>
        </w:rPr>
        <w:t xml:space="preserve">  </w:t>
      </w:r>
      <w:r w:rsidR="00D86AF9">
        <w:t xml:space="preserve">Interviewers </w:t>
      </w:r>
      <w:r w:rsidRPr="00E30E83">
        <w:t xml:space="preserve">contact selected study </w:t>
      </w:r>
      <w:r>
        <w:t>subject</w:t>
      </w:r>
      <w:r w:rsidRPr="00E30E83">
        <w:t>s to explain the purpose of the interview and sc</w:t>
      </w:r>
      <w:r>
        <w:t>hedule a convenient time for a telephone</w:t>
      </w:r>
      <w:r w:rsidRPr="00E30E83">
        <w:t xml:space="preserve"> interview.</w:t>
      </w:r>
      <w:r>
        <w:t xml:space="preserve"> </w:t>
      </w:r>
      <w:r w:rsidR="00D86AF9">
        <w:t xml:space="preserve"> </w:t>
      </w:r>
      <w:r w:rsidRPr="00E30E83">
        <w:t xml:space="preserve">To </w:t>
      </w:r>
      <w:r>
        <w:t>facilitate</w:t>
      </w:r>
      <w:r w:rsidRPr="00E30E83">
        <w:t xml:space="preserve"> high re</w:t>
      </w:r>
      <w:r w:rsidR="00D86AF9">
        <w:t xml:space="preserve">sponse rates, interviewers </w:t>
      </w:r>
      <w:r w:rsidRPr="00E30E83">
        <w:t xml:space="preserve">stress the </w:t>
      </w:r>
      <w:r>
        <w:t>private nature of the interview;</w:t>
      </w:r>
      <w:r w:rsidRPr="00E30E83">
        <w:t xml:space="preserve"> the importance of this information </w:t>
      </w:r>
      <w:r>
        <w:t>for future program improvements;</w:t>
      </w:r>
      <w:r w:rsidRPr="00E30E83">
        <w:t xml:space="preserve"> and interviewer flexibility in selecting a time that meets the needs of the respondents.</w:t>
      </w:r>
      <w:r>
        <w:t xml:space="preserve">  As noted previously (Section B.1.4), i</w:t>
      </w:r>
      <w:r w:rsidRPr="00E30E83">
        <w:t xml:space="preserve">n the event of a refusal, the </w:t>
      </w:r>
      <w:r>
        <w:t xml:space="preserve">POD evaluation </w:t>
      </w:r>
      <w:r w:rsidR="00D86AF9">
        <w:t xml:space="preserve">team </w:t>
      </w:r>
      <w:r w:rsidRPr="00E30E83">
        <w:t>select</w:t>
      </w:r>
      <w:r w:rsidR="00D86AF9">
        <w:t>s</w:t>
      </w:r>
      <w:r w:rsidRPr="00E30E83">
        <w:t xml:space="preserve"> new respondents using the same criteria used to select the initial pool of potential respondents</w:t>
      </w:r>
      <w:r w:rsidR="006678CC">
        <w:t xml:space="preserve"> </w:t>
      </w:r>
      <w:r w:rsidR="006678CC" w:rsidRPr="00E30E83">
        <w:t>purposively</w:t>
      </w:r>
      <w:r w:rsidRPr="00E30E83">
        <w:t>.</w:t>
      </w:r>
      <w:r>
        <w:t xml:space="preserve">  To facilitate cooperation</w:t>
      </w:r>
      <w:r w:rsidR="00D86AF9">
        <w:t>,</w:t>
      </w:r>
      <w:r>
        <w:t xml:space="preserve"> </w:t>
      </w:r>
      <w:r w:rsidRPr="005B7CF6">
        <w:t>the evaluation team</w:t>
      </w:r>
      <w:r>
        <w:t xml:space="preserve"> offer</w:t>
      </w:r>
      <w:r w:rsidR="00D86AF9">
        <w:t>s</w:t>
      </w:r>
      <w:r>
        <w:t xml:space="preserve"> potential respondents a $25 </w:t>
      </w:r>
      <w:r w:rsidRPr="00D41970">
        <w:t>incentive, such as a card for a national retailer.</w:t>
      </w:r>
    </w:p>
    <w:p w14:paraId="46ADCDAA" w14:textId="1E18FC0E" w:rsidR="00D11996" w:rsidRPr="00D11996" w:rsidRDefault="00D11996" w:rsidP="00D11996">
      <w:pPr>
        <w:pStyle w:val="NormalSS"/>
        <w:rPr>
          <w:color w:val="000000"/>
        </w:rPr>
      </w:pPr>
      <w:r w:rsidRPr="00E30E83">
        <w:rPr>
          <w:b/>
        </w:rPr>
        <w:t>Data reliability.</w:t>
      </w:r>
      <w:r>
        <w:rPr>
          <w:b/>
        </w:rPr>
        <w:t xml:space="preserve">  </w:t>
      </w:r>
      <w:r w:rsidRPr="00E30E83">
        <w:t xml:space="preserve">To </w:t>
      </w:r>
      <w:r>
        <w:t xml:space="preserve">improve the </w:t>
      </w:r>
      <w:r w:rsidRPr="00E30E83">
        <w:t>quality and reliab</w:t>
      </w:r>
      <w:r>
        <w:t>ility of the</w:t>
      </w:r>
      <w:r w:rsidRPr="00E30E83">
        <w:t xml:space="preserve"> data collect</w:t>
      </w:r>
      <w:r>
        <w:t>ed</w:t>
      </w:r>
      <w:r w:rsidRPr="00E30E83">
        <w:t xml:space="preserve">, </w:t>
      </w:r>
      <w:r w:rsidRPr="005B7CF6">
        <w:t xml:space="preserve">the </w:t>
      </w:r>
      <w:r>
        <w:t xml:space="preserve">POD </w:t>
      </w:r>
      <w:r w:rsidRPr="005B7CF6">
        <w:t>evaluation team</w:t>
      </w:r>
      <w:r w:rsidR="00D86AF9">
        <w:t xml:space="preserve"> </w:t>
      </w:r>
      <w:r>
        <w:t>undertake</w:t>
      </w:r>
      <w:r w:rsidR="00D86AF9">
        <w:t>s</w:t>
      </w:r>
      <w:r>
        <w:t xml:space="preserve"> the following steps</w:t>
      </w:r>
      <w:r w:rsidRPr="00E30E83">
        <w:t>.</w:t>
      </w:r>
      <w:r>
        <w:t xml:space="preserve">  </w:t>
      </w:r>
      <w:r w:rsidRPr="00E30E83">
        <w:t xml:space="preserve">First, senior </w:t>
      </w:r>
      <w:r>
        <w:t>members of</w:t>
      </w:r>
      <w:r w:rsidRPr="005B7CF6">
        <w:t xml:space="preserve"> the evaluation team</w:t>
      </w:r>
      <w:r w:rsidRPr="00E30E83">
        <w:t xml:space="preserve"> </w:t>
      </w:r>
      <w:r>
        <w:t xml:space="preserve">test the interview protocol, and refine it </w:t>
      </w:r>
      <w:r w:rsidRPr="00E30E83">
        <w:t xml:space="preserve">to </w:t>
      </w:r>
      <w:r>
        <w:t>establish</w:t>
      </w:r>
      <w:r w:rsidR="006678CC">
        <w:t>:</w:t>
      </w:r>
      <w:r w:rsidRPr="00E30E83">
        <w:t xml:space="preserve"> </w:t>
      </w:r>
      <w:r w:rsidR="006678CC">
        <w:t xml:space="preserve"> </w:t>
      </w:r>
      <w:r w:rsidRPr="00E30E83">
        <w:t xml:space="preserve">that </w:t>
      </w:r>
      <w:r>
        <w:t>they can cover key topics in the designated time;</w:t>
      </w:r>
      <w:r w:rsidRPr="00E30E83">
        <w:t xml:space="preserve"> that questions are clear and unambiguous</w:t>
      </w:r>
      <w:r>
        <w:t>;</w:t>
      </w:r>
      <w:r w:rsidRPr="00E30E83">
        <w:t xml:space="preserve"> that </w:t>
      </w:r>
      <w:r>
        <w:t>they cover all key topics; and that they ask appropriate topics of key respondent groups (for example, those in the two treatment arms and other sub-groups of interest such as low earning offset users)</w:t>
      </w:r>
      <w:r w:rsidRPr="00E30E83">
        <w:t>.</w:t>
      </w:r>
      <w:r>
        <w:t xml:space="preserve">  </w:t>
      </w:r>
      <w:r w:rsidRPr="00E30E83">
        <w:t xml:space="preserve">Second, </w:t>
      </w:r>
      <w:r w:rsidRPr="005B7CF6">
        <w:t>the evaluation team</w:t>
      </w:r>
      <w:r w:rsidR="00D86AF9">
        <w:t xml:space="preserve"> </w:t>
      </w:r>
      <w:r>
        <w:t>select</w:t>
      </w:r>
      <w:r w:rsidR="00D86AF9">
        <w:t>s</w:t>
      </w:r>
      <w:r>
        <w:t xml:space="preserve"> </w:t>
      </w:r>
      <w:r w:rsidRPr="00E30E83">
        <w:t xml:space="preserve">interviewers who are well versed in conducting telephone interviews </w:t>
      </w:r>
      <w:r>
        <w:t xml:space="preserve">and train them </w:t>
      </w:r>
      <w:r w:rsidRPr="00E30E83">
        <w:t>in the use of the protocol.</w:t>
      </w:r>
      <w:r>
        <w:t xml:space="preserve">  </w:t>
      </w:r>
      <w:r w:rsidR="00D86AF9">
        <w:t xml:space="preserve">Training focuses </w:t>
      </w:r>
      <w:r w:rsidRPr="00E30E83">
        <w:t>on</w:t>
      </w:r>
      <w:r w:rsidR="006678CC">
        <w:t xml:space="preserve">:  ensuring </w:t>
      </w:r>
      <w:r w:rsidRPr="00E30E83">
        <w:t>the interviewers und</w:t>
      </w:r>
      <w:r>
        <w:t>erstand the interview protocols</w:t>
      </w:r>
      <w:r w:rsidR="006678CC">
        <w:t xml:space="preserve"> </w:t>
      </w:r>
      <w:r w:rsidR="006678CC" w:rsidRPr="00E30E83">
        <w:t>fully</w:t>
      </w:r>
      <w:r>
        <w:t>;</w:t>
      </w:r>
      <w:r w:rsidRPr="00E30E83">
        <w:t xml:space="preserve"> are able to adapt the protocol based on existing information</w:t>
      </w:r>
      <w:r>
        <w:t xml:space="preserve"> available about the respondent;</w:t>
      </w:r>
      <w:r w:rsidRPr="00E30E83">
        <w:t xml:space="preserve"> are able to clarify questions and probe for additional details to gather comprehe</w:t>
      </w:r>
      <w:r>
        <w:t>nsive information on all topics;</w:t>
      </w:r>
      <w:r w:rsidRPr="00E30E83">
        <w:t xml:space="preserve"> and fully understand how to document data from the interviews in a systematic and consistent fashion using a standardized template</w:t>
      </w:r>
      <w:r>
        <w:t xml:space="preserve"> and coding scheme</w:t>
      </w:r>
      <w:r w:rsidRPr="00E30E83">
        <w:t>.</w:t>
      </w:r>
      <w:r w:rsidR="00D86AF9">
        <w:t xml:space="preserve">  The coding scheme includes constructs that</w:t>
      </w:r>
      <w:r>
        <w:t xml:space="preserve"> allow the POD evaluation team to generate consistent measures of implementation fidelity for the process study</w:t>
      </w:r>
      <w:r w:rsidRPr="00E30E83">
        <w:t>.</w:t>
      </w:r>
      <w:r>
        <w:t xml:space="preserve">  </w:t>
      </w:r>
      <w:r w:rsidRPr="00E30E83">
        <w:t>Third, before the interview, interviewe</w:t>
      </w:r>
      <w:r w:rsidR="00D86AF9">
        <w:t xml:space="preserve">rs </w:t>
      </w:r>
      <w:r w:rsidRPr="00E30E83">
        <w:t xml:space="preserve">use data from each respondent’s </w:t>
      </w:r>
      <w:r>
        <w:t>baseline</w:t>
      </w:r>
      <w:r w:rsidRPr="00E30E83">
        <w:t xml:space="preserve"> </w:t>
      </w:r>
      <w:r>
        <w:t xml:space="preserve">and </w:t>
      </w:r>
      <w:r w:rsidRPr="00E30E83">
        <w:t>follow-up survey</w:t>
      </w:r>
      <w:r>
        <w:t>s</w:t>
      </w:r>
      <w:r w:rsidRPr="00E30E83">
        <w:t xml:space="preserve"> to assemble a preliminary profile of the respondent that can guide the interview and allow for more time for efficient follow-up on key topics.</w:t>
      </w:r>
      <w:r>
        <w:t xml:space="preserve">  </w:t>
      </w:r>
      <w:r w:rsidRPr="00E30E83">
        <w:t xml:space="preserve">Fourth, senior members of the </w:t>
      </w:r>
      <w:r>
        <w:t xml:space="preserve">POD </w:t>
      </w:r>
      <w:r w:rsidRPr="00E30E83">
        <w:t>evalua</w:t>
      </w:r>
      <w:r w:rsidR="00D86AF9">
        <w:t xml:space="preserve">tion team </w:t>
      </w:r>
      <w:r>
        <w:t xml:space="preserve">monitor each interviewer’s </w:t>
      </w:r>
      <w:r w:rsidRPr="00E30E83">
        <w:t xml:space="preserve">initial telephone calls to </w:t>
      </w:r>
      <w:r>
        <w:t>verify</w:t>
      </w:r>
      <w:r w:rsidRPr="00E30E83">
        <w:t xml:space="preserve"> that they are using the correct interview techniques and following the interview protocol with fidelity.</w:t>
      </w:r>
      <w:r>
        <w:t xml:space="preserve">  </w:t>
      </w:r>
      <w:r w:rsidRPr="00D11996">
        <w:rPr>
          <w:color w:val="000000"/>
        </w:rPr>
        <w:t>Finally, a senior mem</w:t>
      </w:r>
      <w:r w:rsidR="00D86AF9">
        <w:rPr>
          <w:color w:val="000000"/>
        </w:rPr>
        <w:t xml:space="preserve">ber of the evaluation team reads </w:t>
      </w:r>
      <w:r w:rsidRPr="00D11996">
        <w:rPr>
          <w:color w:val="000000"/>
        </w:rPr>
        <w:t>a subset of the transcribe interview notes to check that the interviewer collected and recorded the re</w:t>
      </w:r>
      <w:r w:rsidR="00D86AF9">
        <w:rPr>
          <w:color w:val="000000"/>
        </w:rPr>
        <w:t xml:space="preserve">levant data.  Interviewers </w:t>
      </w:r>
      <w:r w:rsidRPr="00D11996">
        <w:rPr>
          <w:color w:val="000000"/>
        </w:rPr>
        <w:t>conduct follow-up telephone calls with respondents to collect missing d</w:t>
      </w:r>
      <w:r w:rsidR="00D86AF9">
        <w:rPr>
          <w:color w:val="000000"/>
        </w:rPr>
        <w:t xml:space="preserve">ata as necessary, and they </w:t>
      </w:r>
      <w:r w:rsidRPr="00D11996">
        <w:rPr>
          <w:color w:val="000000"/>
        </w:rPr>
        <w:t>add to the interview summaries notes on key themes and cross-cutting findings that appear in interviews with multiple subjects.</w:t>
      </w:r>
    </w:p>
    <w:p w14:paraId="14B7BD04" w14:textId="77777777" w:rsidR="00D11996" w:rsidRDefault="00D11996" w:rsidP="00D11996">
      <w:pPr>
        <w:pStyle w:val="H4NumberNoTOC"/>
      </w:pPr>
      <w:r w:rsidRPr="00E37BDD">
        <w:t>B.3.5 Implementation data collection</w:t>
      </w:r>
    </w:p>
    <w:p w14:paraId="67DAF627" w14:textId="4AAEB736" w:rsidR="00D11996" w:rsidRPr="0047477F" w:rsidRDefault="00D86AF9" w:rsidP="00D11996">
      <w:pPr>
        <w:pStyle w:val="NormalSS"/>
        <w:rPr>
          <w:b/>
        </w:rPr>
      </w:pPr>
      <w:r>
        <w:t xml:space="preserve">Abt Associates </w:t>
      </w:r>
      <w:r w:rsidR="00D11996">
        <w:t>take</w:t>
      </w:r>
      <w:r>
        <w:t>s</w:t>
      </w:r>
      <w:r w:rsidR="00D11996">
        <w:t xml:space="preserve"> several steps to maximize response to the monthly earnings and IRWE reporting form and annual reporting form</w:t>
      </w:r>
      <w:r>
        <w:t xml:space="preserve">.  The implementation team </w:t>
      </w:r>
      <w:r w:rsidR="00D11996">
        <w:t>give</w:t>
      </w:r>
      <w:r>
        <w:t>s</w:t>
      </w:r>
      <w:r w:rsidR="00D11996">
        <w:t xml:space="preserve"> POD treatment subjects detailed instructions for completing these forms in materials provided after random assignment.  </w:t>
      </w:r>
      <w:r>
        <w:t xml:space="preserve">Work incentives counselors </w:t>
      </w:r>
      <w:r w:rsidR="00D11996">
        <w:t>discuss these instructions with treatment subjects and will remind treatment subjects to report earnings</w:t>
      </w:r>
      <w:r>
        <w:t xml:space="preserve"> and IRWEs.  Abt Associates</w:t>
      </w:r>
      <w:r w:rsidR="00D11996">
        <w:t xml:space="preserve"> provide</w:t>
      </w:r>
      <w:r>
        <w:t>s</w:t>
      </w:r>
      <w:r w:rsidR="00D11996">
        <w:t xml:space="preserve"> quarterly reminders by mail and monthly reminders via email and text to POD treatment subjects who give consent for the project to email or</w:t>
      </w:r>
      <w:r>
        <w:t xml:space="preserve"> text them.  Abt Associates </w:t>
      </w:r>
      <w:r w:rsidR="00D11996">
        <w:t>also call treatment subjects who previously reported earnings above the POD threshold to remind them to report if they do not report their monthly earnings timel</w:t>
      </w:r>
      <w:r>
        <w:t xml:space="preserve">y.  POD treatment subjects </w:t>
      </w:r>
      <w:r w:rsidR="00D11996">
        <w:t>have the option of submitting their monthly and annual earnings and IRWE information on paper or online.</w:t>
      </w:r>
    </w:p>
    <w:p w14:paraId="56221CBE" w14:textId="77777777" w:rsidR="00D11996" w:rsidRPr="003A4919" w:rsidRDefault="00D11996" w:rsidP="00D11996">
      <w:pPr>
        <w:pStyle w:val="H3Alpha"/>
      </w:pPr>
      <w:bookmarkStart w:id="22" w:name="_Toc476920463"/>
      <w:r w:rsidRPr="003A4919">
        <w:t>B.4</w:t>
      </w:r>
      <w:r>
        <w:t>.</w:t>
      </w:r>
      <w:r w:rsidRPr="003A4919">
        <w:t xml:space="preserve"> Tests of procedures</w:t>
      </w:r>
      <w:bookmarkEnd w:id="22"/>
    </w:p>
    <w:p w14:paraId="52A4E9DB" w14:textId="43A19581" w:rsidR="00D11996" w:rsidRPr="00EB28F9" w:rsidRDefault="00D11996" w:rsidP="00C0583F">
      <w:pPr>
        <w:pStyle w:val="H4Number"/>
      </w:pPr>
      <w:bookmarkStart w:id="23" w:name="_Toc476920464"/>
      <w:r w:rsidRPr="006F1F43">
        <w:t>B.</w:t>
      </w:r>
      <w:r>
        <w:t>4</w:t>
      </w:r>
      <w:r w:rsidRPr="006F1F43">
        <w:t xml:space="preserve">.1 Recruitment materials </w:t>
      </w:r>
      <w:r>
        <w:t xml:space="preserve">and </w:t>
      </w:r>
      <w:r>
        <w:rPr>
          <w:rStyle w:val="H4NumberChar"/>
          <w:b/>
        </w:rPr>
        <w:t>b</w:t>
      </w:r>
      <w:r w:rsidRPr="006F1F43">
        <w:t>aseline survey</w:t>
      </w:r>
      <w:bookmarkEnd w:id="23"/>
    </w:p>
    <w:p w14:paraId="043116D9" w14:textId="77777777" w:rsidR="00D11996" w:rsidRDefault="00D11996" w:rsidP="00D11996">
      <w:pPr>
        <w:pStyle w:val="NormalSS"/>
      </w:pPr>
      <w:r>
        <w:rPr>
          <w:b/>
        </w:rPr>
        <w:t xml:space="preserve">Pretesting of baseline survey.  </w:t>
      </w:r>
      <w:r>
        <w:t>The POD evaluation team</w:t>
      </w:r>
      <w:r w:rsidRPr="002E4BC0">
        <w:t xml:space="preserve"> </w:t>
      </w:r>
      <w:r>
        <w:t xml:space="preserve">conducted a </w:t>
      </w:r>
      <w:r w:rsidRPr="002E4BC0">
        <w:t xml:space="preserve">pretest </w:t>
      </w:r>
      <w:r>
        <w:t xml:space="preserve">of </w:t>
      </w:r>
      <w:r w:rsidRPr="002E4BC0">
        <w:t>the baseline questionnaire</w:t>
      </w:r>
      <w:r>
        <w:t xml:space="preserve"> with five respondents</w:t>
      </w:r>
      <w:r w:rsidRPr="002E4BC0">
        <w:t xml:space="preserve"> and then revise</w:t>
      </w:r>
      <w:r>
        <w:t>d</w:t>
      </w:r>
      <w:r w:rsidRPr="002E4BC0">
        <w:t xml:space="preserve"> the instrument based on findings from the pretest. </w:t>
      </w:r>
      <w:r>
        <w:t xml:space="preserve"> </w:t>
      </w:r>
      <w:r w:rsidRPr="002E4BC0">
        <w:t>The pretest provide</w:t>
      </w:r>
      <w:r>
        <w:t>d</w:t>
      </w:r>
      <w:r w:rsidRPr="002E4BC0">
        <w:t xml:space="preserve"> an accurate estimate of respondent burden as required by OMB, </w:t>
      </w:r>
      <w:r>
        <w:t>and</w:t>
      </w:r>
      <w:r w:rsidRPr="002E4BC0">
        <w:t xml:space="preserve"> </w:t>
      </w:r>
      <w:r>
        <w:t>the evaluation team</w:t>
      </w:r>
      <w:r w:rsidRPr="002E4BC0">
        <w:t xml:space="preserve"> also assess</w:t>
      </w:r>
      <w:r>
        <w:t>ed</w:t>
      </w:r>
      <w:r w:rsidRPr="002E4BC0">
        <w:t xml:space="preserve"> flow and respondent comprehension. </w:t>
      </w:r>
    </w:p>
    <w:p w14:paraId="6A4622E6" w14:textId="3230608F" w:rsidR="00D11996" w:rsidRDefault="00D11996" w:rsidP="00D11996">
      <w:pPr>
        <w:pStyle w:val="NormalSS"/>
      </w:pPr>
      <w:r>
        <w:rPr>
          <w:b/>
        </w:rPr>
        <w:t xml:space="preserve">Refining and testing random assignment procedure. </w:t>
      </w:r>
      <w:r>
        <w:t xml:space="preserve"> As noted previously (Sections B.1.1 and B.3.1), random assignment is at the individual level, and the POD e</w:t>
      </w:r>
      <w:r w:rsidR="00D609BC">
        <w:t xml:space="preserve">valuation team </w:t>
      </w:r>
      <w:r>
        <w:t>use</w:t>
      </w:r>
      <w:r w:rsidR="00D609BC">
        <w:t>d</w:t>
      </w:r>
      <w:r>
        <w:t xml:space="preserve"> stratified, batch random assignment to improve the balance of the treatment and control groups.  Before starting the recruitment phase, the evaluation team evaluate</w:t>
      </w:r>
      <w:r w:rsidR="00D609BC">
        <w:t>d</w:t>
      </w:r>
      <w:r>
        <w:t xml:space="preserve"> the usefulness of this randomization approach with </w:t>
      </w:r>
      <w:r w:rsidRPr="005050B4">
        <w:t xml:space="preserve">fabricated data to </w:t>
      </w:r>
      <w:r>
        <w:t xml:space="preserve">(1) </w:t>
      </w:r>
      <w:r w:rsidRPr="005050B4">
        <w:t>verify that it balances appropriately on the stratifying variables</w:t>
      </w:r>
      <w:r>
        <w:t xml:space="preserve"> using the anticipated batch sizes; and (2) assess the </w:t>
      </w:r>
      <w:r w:rsidRPr="005050B4">
        <w:t>risk of imbalance on other variables</w:t>
      </w:r>
      <w:r w:rsidRPr="00C0583F">
        <w:t xml:space="preserve">.  Based on this testing, they </w:t>
      </w:r>
      <w:r w:rsidR="00C0583F">
        <w:t>developed a random assignment procedure and reported on-going results in recruitment reports to SSA to assess baseline equivalence.  The reports showed comparisons of treatment and control group subjects</w:t>
      </w:r>
      <w:r w:rsidRPr="00C0583F">
        <w:t>.</w:t>
      </w:r>
      <w:r>
        <w:t xml:space="preserve"> </w:t>
      </w:r>
    </w:p>
    <w:p w14:paraId="23711BD4" w14:textId="7DF3CDFB" w:rsidR="00763ED6" w:rsidRDefault="00763ED6" w:rsidP="00763ED6">
      <w:pPr>
        <w:pStyle w:val="NormalSS"/>
      </w:pPr>
      <w:r>
        <w:rPr>
          <w:b/>
        </w:rPr>
        <w:t xml:space="preserve">Experiments during the pilot recruitment period.  </w:t>
      </w:r>
      <w:r>
        <w:t>The recruitment experiments conducted during the pilot period tested how the yield rates of eligible volunteers vary in response to alternative outreach strategies.  These experiments included all beneficiaries selected for recruitment targeting in the pilot areas.  The POD evaluation team implemented the experiments using a factorial design to test variants of materials, follow-up activities, and incentives.</w:t>
      </w:r>
    </w:p>
    <w:p w14:paraId="0D321E08" w14:textId="07F84673" w:rsidR="00763ED6" w:rsidRPr="00763ED6" w:rsidRDefault="00763ED6" w:rsidP="00763ED6">
      <w:pPr>
        <w:pStyle w:val="NormalSS"/>
      </w:pPr>
      <w:r>
        <w:t>Following the pilot, SSA expanded the catchment area to increase the number of POD subjects into additional counties in Texas.  As documented in Wittenburg et al. (2018), the expansion included 13 new counties in Texas, which increased outreach to 420,000 beneficiaries in total over the full demonstration period.</w:t>
      </w:r>
    </w:p>
    <w:p w14:paraId="1FB5C7DE" w14:textId="77777777" w:rsidR="00D11996" w:rsidRPr="00A82E22" w:rsidRDefault="00D11996" w:rsidP="00D11996">
      <w:pPr>
        <w:pStyle w:val="H4Number"/>
      </w:pPr>
      <w:bookmarkStart w:id="24" w:name="_Toc476920465"/>
      <w:r>
        <w:t xml:space="preserve">B.4.2. </w:t>
      </w:r>
      <w:r w:rsidRPr="00A82E22">
        <w:t>Follow up surveys</w:t>
      </w:r>
      <w:bookmarkEnd w:id="24"/>
    </w:p>
    <w:p w14:paraId="1BC16239" w14:textId="3D2196D0" w:rsidR="00D11996" w:rsidRDefault="00D11996" w:rsidP="00D11996">
      <w:pPr>
        <w:pStyle w:val="NormalSS"/>
      </w:pPr>
      <w:r>
        <w:t>The POD evaluation team</w:t>
      </w:r>
      <w:r w:rsidRPr="001405AB">
        <w:t xml:space="preserve"> conduct</w:t>
      </w:r>
      <w:r w:rsidR="00884F18">
        <w:t>ed</w:t>
      </w:r>
      <w:r w:rsidRPr="001405AB">
        <w:t xml:space="preserve"> a pretest of the follow up survey instrument with </w:t>
      </w:r>
      <w:r w:rsidR="00A83A87">
        <w:t>five</w:t>
      </w:r>
      <w:r>
        <w:t xml:space="preserve"> </w:t>
      </w:r>
      <w:r w:rsidRPr="001405AB">
        <w:t>respondents and then revise</w:t>
      </w:r>
      <w:r w:rsidR="00884F18">
        <w:t>d</w:t>
      </w:r>
      <w:r w:rsidRPr="001405AB">
        <w:t xml:space="preserve"> the instrument based on findings from the pretest. </w:t>
      </w:r>
      <w:r>
        <w:t xml:space="preserve"> </w:t>
      </w:r>
      <w:r w:rsidRPr="001405AB">
        <w:t>The pretest provide</w:t>
      </w:r>
      <w:r w:rsidR="00884F18">
        <w:t>d</w:t>
      </w:r>
      <w:r w:rsidRPr="001405AB">
        <w:t xml:space="preserve"> an accurate estimate of respondent burden as required by OMB</w:t>
      </w:r>
      <w:r>
        <w:t>.  In addition,</w:t>
      </w:r>
      <w:r w:rsidRPr="001405AB">
        <w:t xml:space="preserve"> </w:t>
      </w:r>
      <w:r>
        <w:t>the evaluation team</w:t>
      </w:r>
      <w:r w:rsidRPr="001405AB">
        <w:t xml:space="preserve"> also assess</w:t>
      </w:r>
      <w:r w:rsidR="00884F18">
        <w:t>ed</w:t>
      </w:r>
      <w:r w:rsidRPr="001405AB">
        <w:t xml:space="preserve"> flow and respondent comprehension</w:t>
      </w:r>
      <w:r>
        <w:t xml:space="preserve"> by </w:t>
      </w:r>
      <w:r w:rsidRPr="00E30E83">
        <w:t>debrief</w:t>
      </w:r>
      <w:r>
        <w:t>ing</w:t>
      </w:r>
      <w:r w:rsidRPr="00E30E83">
        <w:t xml:space="preserve"> each </w:t>
      </w:r>
      <w:r>
        <w:t xml:space="preserve">respondent </w:t>
      </w:r>
      <w:r w:rsidRPr="00E30E83">
        <w:t>to determine if any words or questions were difficult to understand and answer.</w:t>
      </w:r>
      <w:r>
        <w:t xml:space="preserve">  L</w:t>
      </w:r>
      <w:r w:rsidRPr="00E30E83">
        <w:t xml:space="preserve">ike actual study </w:t>
      </w:r>
      <w:r>
        <w:t>subjects</w:t>
      </w:r>
      <w:r w:rsidRPr="00E30E83">
        <w:t>,</w:t>
      </w:r>
      <w:r>
        <w:t xml:space="preserve"> the evaluation team g</w:t>
      </w:r>
      <w:r w:rsidR="00884F18">
        <w:t>a</w:t>
      </w:r>
      <w:r>
        <w:t>ve</w:t>
      </w:r>
      <w:r w:rsidRPr="00E30E83">
        <w:t xml:space="preserve"> participants in the </w:t>
      </w:r>
      <w:r>
        <w:t xml:space="preserve">pretest </w:t>
      </w:r>
      <w:r w:rsidRPr="00E30E83">
        <w:t xml:space="preserve">of the </w:t>
      </w:r>
      <w:r>
        <w:t>follow-up survey a</w:t>
      </w:r>
      <w:r w:rsidRPr="00E30E83">
        <w:t>n incentive for their time.</w:t>
      </w:r>
    </w:p>
    <w:p w14:paraId="64E1DEA0" w14:textId="77777777" w:rsidR="00D11996" w:rsidRDefault="00D11996" w:rsidP="00D11996">
      <w:pPr>
        <w:pStyle w:val="H4Number"/>
      </w:pPr>
      <w:bookmarkStart w:id="25" w:name="_Toc476920466"/>
      <w:r>
        <w:t xml:space="preserve">B.4.3. Qualitative </w:t>
      </w:r>
      <w:r w:rsidRPr="00A10FC1">
        <w:t>data from POD implementation and operations staff</w:t>
      </w:r>
      <w:bookmarkEnd w:id="25"/>
    </w:p>
    <w:p w14:paraId="482689A0" w14:textId="25E8CDBA" w:rsidR="00D11996" w:rsidRDefault="00D609BC" w:rsidP="00D11996">
      <w:pPr>
        <w:pStyle w:val="NormalSS"/>
      </w:pPr>
      <w:r>
        <w:t xml:space="preserve">The POD evaluation team </w:t>
      </w:r>
      <w:r w:rsidR="00D11996">
        <w:t>base</w:t>
      </w:r>
      <w:r>
        <w:t>s</w:t>
      </w:r>
      <w:r w:rsidR="00D11996">
        <w:t xml:space="preserve"> site visit protocols </w:t>
      </w:r>
      <w:r w:rsidR="00D11996" w:rsidRPr="00E30E83">
        <w:t>on those used for related evaluations</w:t>
      </w:r>
      <w:r>
        <w:t xml:space="preserve">, and it </w:t>
      </w:r>
      <w:r w:rsidR="00D11996">
        <w:t>use</w:t>
      </w:r>
      <w:r>
        <w:t>s</w:t>
      </w:r>
      <w:r w:rsidR="00D11996">
        <w:t xml:space="preserve"> t</w:t>
      </w:r>
      <w:r w:rsidR="00D11996" w:rsidRPr="00350471">
        <w:t xml:space="preserve">he </w:t>
      </w:r>
      <w:r w:rsidR="00D11996">
        <w:t xml:space="preserve">first site visit of each round as a pilot </w:t>
      </w:r>
      <w:r w:rsidR="00D11996" w:rsidRPr="00350471">
        <w:t xml:space="preserve">to test </w:t>
      </w:r>
      <w:r w:rsidR="00D11996">
        <w:t xml:space="preserve">interview </w:t>
      </w:r>
      <w:r w:rsidR="00D11996" w:rsidRPr="00350471">
        <w:t xml:space="preserve">protocols and </w:t>
      </w:r>
      <w:r w:rsidR="00D11996">
        <w:t>the assessment tool used to assess implementation quality</w:t>
      </w:r>
      <w:r w:rsidR="00D11996" w:rsidRPr="00350471">
        <w:t>.</w:t>
      </w:r>
      <w:r w:rsidR="00D11996">
        <w:t xml:space="preserve"> </w:t>
      </w:r>
      <w:r w:rsidR="00D11996" w:rsidRPr="00350471">
        <w:t xml:space="preserve"> </w:t>
      </w:r>
      <w:r w:rsidR="00D11996">
        <w:t>During this pilot site visit, the process study lead,</w:t>
      </w:r>
      <w:r>
        <w:t xml:space="preserve"> who </w:t>
      </w:r>
      <w:r w:rsidR="00D11996" w:rsidRPr="0080761A">
        <w:t>also serve</w:t>
      </w:r>
      <w:r>
        <w:t>s</w:t>
      </w:r>
      <w:r w:rsidR="00D11996" w:rsidRPr="0080761A">
        <w:t xml:space="preserve"> as a state liaison</w:t>
      </w:r>
      <w:r w:rsidR="00D11996">
        <w:t xml:space="preserve">, </w:t>
      </w:r>
      <w:r w:rsidR="00D11996" w:rsidRPr="00534AD3">
        <w:t>conduct</w:t>
      </w:r>
      <w:r>
        <w:t>s</w:t>
      </w:r>
      <w:r w:rsidR="00D11996" w:rsidRPr="00534AD3">
        <w:t xml:space="preserve"> cognitive tests of the semi</w:t>
      </w:r>
      <w:r w:rsidR="00D11996">
        <w:noBreakHyphen/>
      </w:r>
      <w:r w:rsidR="00D11996" w:rsidRPr="00534AD3">
        <w:t xml:space="preserve">structured interview protocol to </w:t>
      </w:r>
      <w:r w:rsidR="00D11996">
        <w:t>establish</w:t>
      </w:r>
      <w:r w:rsidR="00D11996" w:rsidRPr="00534AD3">
        <w:t xml:space="preserve"> that respondents interpret questions as intended and have the information ne</w:t>
      </w:r>
      <w:r w:rsidR="00D11996">
        <w:t>cessary</w:t>
      </w:r>
      <w:r w:rsidR="00D11996" w:rsidRPr="00534AD3">
        <w:t xml:space="preserve"> to answer the questions. </w:t>
      </w:r>
      <w:r w:rsidR="00D11996">
        <w:t xml:space="preserve"> The evaluation team</w:t>
      </w:r>
      <w:r>
        <w:t xml:space="preserve"> </w:t>
      </w:r>
      <w:r w:rsidR="00D11996" w:rsidRPr="00534AD3">
        <w:t>assess</w:t>
      </w:r>
      <w:r>
        <w:t>es</w:t>
      </w:r>
      <w:r w:rsidR="00D11996" w:rsidRPr="00534AD3">
        <w:t xml:space="preserve"> the qualitative interview questions by conducting up to </w:t>
      </w:r>
      <w:r w:rsidR="00D11996">
        <w:t>nine</w:t>
      </w:r>
      <w:r w:rsidR="00D11996" w:rsidRPr="00534AD3">
        <w:t xml:space="preserve"> cognitive tests of the interview protocols with a range of program staff.</w:t>
      </w:r>
      <w:r w:rsidR="00D11996">
        <w:t xml:space="preserve"> </w:t>
      </w:r>
      <w:r>
        <w:t xml:space="preserve"> Interviewers </w:t>
      </w:r>
      <w:r w:rsidR="00D11996" w:rsidRPr="00534AD3">
        <w:t>ask respondents to explain how they ar</w:t>
      </w:r>
      <w:r>
        <w:t xml:space="preserve">rived at their answers and </w:t>
      </w:r>
      <w:r w:rsidR="00D11996" w:rsidRPr="00534AD3">
        <w:t>probe to determine how respondent</w:t>
      </w:r>
      <w:r w:rsidR="00D11996">
        <w:t>s</w:t>
      </w:r>
      <w:r w:rsidR="00D11996" w:rsidRPr="00534AD3">
        <w:t xml:space="preserve"> arrived at their answers and whether any items were difficult to answer.</w:t>
      </w:r>
      <w:r w:rsidR="00D11996">
        <w:t xml:space="preserve"> </w:t>
      </w:r>
      <w:r>
        <w:t xml:space="preserve"> Interviewers </w:t>
      </w:r>
      <w:r w:rsidR="00D11996" w:rsidRPr="00534AD3">
        <w:t>review their notes f</w:t>
      </w:r>
      <w:r>
        <w:t>ollowing the interviews and</w:t>
      </w:r>
      <w:r w:rsidR="00D11996" w:rsidRPr="00534AD3">
        <w:t xml:space="preserve"> summarize issues or potential problems in a brief memo</w:t>
      </w:r>
      <w:r w:rsidR="00D11996">
        <w:t>.  At the conclusion of the pilot site visit, the evaluation team</w:t>
      </w:r>
      <w:r>
        <w:t xml:space="preserve"> </w:t>
      </w:r>
      <w:r w:rsidR="00D11996" w:rsidRPr="0080761A">
        <w:t>make</w:t>
      </w:r>
      <w:r>
        <w:t>s</w:t>
      </w:r>
      <w:r w:rsidR="00D11996" w:rsidRPr="0080761A">
        <w:t xml:space="preserve"> corrections when ne</w:t>
      </w:r>
      <w:r w:rsidR="00D11996">
        <w:t>cessary</w:t>
      </w:r>
      <w:r w:rsidR="00D11996" w:rsidRPr="0080761A">
        <w:t xml:space="preserve"> to improve the data collection tools and procedures. </w:t>
      </w:r>
      <w:r w:rsidR="00D11996">
        <w:t xml:space="preserve"> Before the start of data collection, t</w:t>
      </w:r>
      <w:r w:rsidR="00D11996" w:rsidRPr="0080761A">
        <w:t>he process study lead</w:t>
      </w:r>
      <w:r w:rsidR="00D11996">
        <w:t xml:space="preserve"> </w:t>
      </w:r>
      <w:r w:rsidR="00D11996" w:rsidRPr="0080761A">
        <w:t>train</w:t>
      </w:r>
      <w:r>
        <w:t>s</w:t>
      </w:r>
      <w:r w:rsidR="00D11996" w:rsidRPr="0080761A">
        <w:t xml:space="preserve"> the other </w:t>
      </w:r>
      <w:r w:rsidR="00D11996">
        <w:t xml:space="preserve">interviewers on how to </w:t>
      </w:r>
      <w:r w:rsidR="00D11996" w:rsidRPr="00534AD3">
        <w:t xml:space="preserve">conduct cognitive interviews. </w:t>
      </w:r>
      <w:r w:rsidR="00D11996">
        <w:t xml:space="preserve"> S</w:t>
      </w:r>
      <w:r>
        <w:t xml:space="preserve">enior research staff </w:t>
      </w:r>
      <w:r w:rsidR="00D11996" w:rsidRPr="008A4E85">
        <w:t>al</w:t>
      </w:r>
      <w:r w:rsidR="00D11996">
        <w:t xml:space="preserve">so assess the site visit agenda, </w:t>
      </w:r>
      <w:r w:rsidR="00D11996" w:rsidRPr="008A4E85">
        <w:t>including the data collection activities</w:t>
      </w:r>
      <w:r>
        <w:t xml:space="preserve"> they </w:t>
      </w:r>
      <w:r w:rsidR="00D11996">
        <w:t>conduct</w:t>
      </w:r>
      <w:r w:rsidR="006678CC">
        <w:t>,</w:t>
      </w:r>
      <w:r w:rsidR="00D11996" w:rsidRPr="008A4E85">
        <w:t xml:space="preserve"> and how </w:t>
      </w:r>
      <w:r>
        <w:t xml:space="preserve">they </w:t>
      </w:r>
      <w:r w:rsidR="00D11996">
        <w:t xml:space="preserve">structure these activities, </w:t>
      </w:r>
      <w:r w:rsidR="00D11996" w:rsidRPr="008A4E85">
        <w:t xml:space="preserve">to </w:t>
      </w:r>
      <w:r w:rsidR="00D11996">
        <w:t>check</w:t>
      </w:r>
      <w:r w:rsidR="00D11996" w:rsidRPr="008A4E85">
        <w:t xml:space="preserve"> </w:t>
      </w:r>
      <w:r w:rsidR="00D11996">
        <w:t>that they can feasibly conduct them</w:t>
      </w:r>
      <w:r w:rsidR="00D11996" w:rsidRPr="008A4E85">
        <w:t xml:space="preserve"> as part of the site visits and yield the desired information. </w:t>
      </w:r>
    </w:p>
    <w:p w14:paraId="097A8F60" w14:textId="77777777" w:rsidR="00D11996" w:rsidRPr="008A4E85" w:rsidRDefault="00D11996" w:rsidP="00D11996">
      <w:pPr>
        <w:pStyle w:val="H4Number"/>
      </w:pPr>
      <w:bookmarkStart w:id="26" w:name="_Toc476920467"/>
      <w:r>
        <w:t xml:space="preserve">B.4.4. </w:t>
      </w:r>
      <w:r w:rsidRPr="008A4E85">
        <w:t>Semi-structured interviews with beneficiaries</w:t>
      </w:r>
      <w:bookmarkEnd w:id="26"/>
    </w:p>
    <w:p w14:paraId="3DDB1DF5" w14:textId="034373C2" w:rsidR="00D11996" w:rsidRDefault="00D609BC" w:rsidP="00D11996">
      <w:pPr>
        <w:pStyle w:val="NormalSS"/>
      </w:pPr>
      <w:r>
        <w:t xml:space="preserve">The POD evaluation team </w:t>
      </w:r>
      <w:r w:rsidR="00D11996">
        <w:t>design</w:t>
      </w:r>
      <w:r>
        <w:t>s</w:t>
      </w:r>
      <w:r w:rsidR="00D11996">
        <w:t xml:space="preserve"> and test</w:t>
      </w:r>
      <w:r>
        <w:t>s</w:t>
      </w:r>
      <w:r w:rsidR="00D11996">
        <w:t xml:space="preserve"> the protocol for semi-structured telephone interviews with beneficiaries so that these </w:t>
      </w:r>
      <w:r w:rsidR="00D11996" w:rsidRPr="00E042EA">
        <w:t xml:space="preserve">interviews yield high-quality data that provide richer detail </w:t>
      </w:r>
      <w:r w:rsidR="00D11996">
        <w:t>(</w:t>
      </w:r>
      <w:r w:rsidR="00D11996" w:rsidRPr="00E042EA">
        <w:t xml:space="preserve">compared with data from the </w:t>
      </w:r>
      <w:r w:rsidR="00D11996">
        <w:t>program and survey data)</w:t>
      </w:r>
      <w:r w:rsidR="00D11996" w:rsidRPr="00E042EA">
        <w:t xml:space="preserve">. </w:t>
      </w:r>
      <w:r w:rsidR="00D11996">
        <w:t xml:space="preserve"> S</w:t>
      </w:r>
      <w:r w:rsidR="00D11996" w:rsidRPr="00E042EA">
        <w:t>enior m</w:t>
      </w:r>
      <w:r w:rsidR="00D11996">
        <w:t>em</w:t>
      </w:r>
      <w:r>
        <w:t>bers of the evaluation team</w:t>
      </w:r>
      <w:r w:rsidR="00D11996">
        <w:t xml:space="preserve"> test the protocols during</w:t>
      </w:r>
      <w:r w:rsidR="00D11996" w:rsidRPr="00E042EA">
        <w:t xml:space="preserve"> the first </w:t>
      </w:r>
      <w:r w:rsidR="00D11996">
        <w:t xml:space="preserve">couple of </w:t>
      </w:r>
      <w:r w:rsidR="00D11996" w:rsidRPr="00E042EA">
        <w:t>int</w:t>
      </w:r>
      <w:r w:rsidR="00D11996">
        <w:t>erviews and subsequently refine them as needed</w:t>
      </w:r>
      <w:r w:rsidR="00D11996" w:rsidRPr="00E042EA">
        <w:t>.</w:t>
      </w:r>
      <w:r w:rsidR="00D11996">
        <w:t xml:space="preserve"> </w:t>
      </w:r>
      <w:r w:rsidR="00D11996" w:rsidRPr="00E042EA">
        <w:t xml:space="preserve"> </w:t>
      </w:r>
      <w:r w:rsidR="00D11996">
        <w:t>During this process, the evaluation team</w:t>
      </w:r>
      <w:r w:rsidR="00D11996" w:rsidDel="00DB2FFC">
        <w:t xml:space="preserve"> </w:t>
      </w:r>
      <w:r w:rsidR="00D11996">
        <w:t>pay</w:t>
      </w:r>
      <w:r>
        <w:t>s</w:t>
      </w:r>
      <w:r w:rsidR="00D11996">
        <w:t xml:space="preserve"> careful </w:t>
      </w:r>
      <w:r w:rsidR="00D11996" w:rsidRPr="00E042EA">
        <w:t xml:space="preserve">attention to whether </w:t>
      </w:r>
      <w:r w:rsidR="00D11996">
        <w:t xml:space="preserve">the protocol covers </w:t>
      </w:r>
      <w:r w:rsidR="00D11996" w:rsidRPr="00E042EA">
        <w:t xml:space="preserve">key topics of interest to the evaluation; whether </w:t>
      </w:r>
      <w:r w:rsidR="00D11996">
        <w:t xml:space="preserve">the protocol covers </w:t>
      </w:r>
      <w:r w:rsidR="00D11996" w:rsidRPr="00E042EA">
        <w:t xml:space="preserve">all these topics in the designated time; and whether </w:t>
      </w:r>
      <w:r w:rsidR="006678CC">
        <w:t xml:space="preserve">they worded </w:t>
      </w:r>
      <w:r w:rsidR="00D11996" w:rsidRPr="00E042EA">
        <w:t xml:space="preserve">questions and probes </w:t>
      </w:r>
      <w:r w:rsidR="006678CC" w:rsidRPr="00E042EA">
        <w:t>clearly</w:t>
      </w:r>
      <w:r w:rsidR="00D11996" w:rsidRPr="00E042EA">
        <w:t xml:space="preserve">, </w:t>
      </w:r>
      <w:r w:rsidR="006678CC">
        <w:t>made them easy to</w:t>
      </w:r>
      <w:r w:rsidR="00D11996" w:rsidRPr="00E042EA">
        <w:t xml:space="preserve"> unders</w:t>
      </w:r>
      <w:r w:rsidR="006678CC">
        <w:t>tand</w:t>
      </w:r>
      <w:r w:rsidR="00D11996" w:rsidRPr="00E042EA">
        <w:t>, a</w:t>
      </w:r>
      <w:r w:rsidR="00D11996">
        <w:t xml:space="preserve">nd optimally sequenced </w:t>
      </w:r>
      <w:r w:rsidR="006678CC">
        <w:t xml:space="preserve">them </w:t>
      </w:r>
      <w:r w:rsidR="00D11996" w:rsidRPr="00E042EA">
        <w:t>to solicit responses with sufficient levels of detail.</w:t>
      </w:r>
      <w:r w:rsidR="00D11996">
        <w:t xml:space="preserve"> </w:t>
      </w:r>
      <w:r w:rsidR="00D11996" w:rsidRPr="00E042EA">
        <w:t xml:space="preserve"> </w:t>
      </w:r>
      <w:r>
        <w:t xml:space="preserve">The evaluation team </w:t>
      </w:r>
      <w:r w:rsidR="00D11996">
        <w:t>also review</w:t>
      </w:r>
      <w:r>
        <w:t>s</w:t>
      </w:r>
      <w:r w:rsidR="00D11996">
        <w:t xml:space="preserve"> the protocols to determine </w:t>
      </w:r>
      <w:r w:rsidR="00D11996" w:rsidRPr="005F19BB">
        <w:t xml:space="preserve">that </w:t>
      </w:r>
      <w:r w:rsidR="00D11996">
        <w:t xml:space="preserve">they ask </w:t>
      </w:r>
      <w:r w:rsidR="00D11996" w:rsidRPr="005F19BB">
        <w:t xml:space="preserve">appropriate topics of </w:t>
      </w:r>
      <w:r w:rsidR="00D11996">
        <w:t>the</w:t>
      </w:r>
      <w:r w:rsidR="00D11996" w:rsidRPr="005F19BB">
        <w:t xml:space="preserve"> respondent </w:t>
      </w:r>
      <w:r w:rsidR="00D11996">
        <w:t xml:space="preserve">given their group assignment and other characteristics </w:t>
      </w:r>
      <w:r w:rsidR="00D11996" w:rsidRPr="00145822">
        <w:t>(for example, those in the two treatment arms and other sub-groups of interest such as low earning offset users)</w:t>
      </w:r>
      <w:r w:rsidR="00D11996">
        <w:t xml:space="preserve">.  </w:t>
      </w:r>
      <w:r w:rsidR="00D11996" w:rsidRPr="00E042EA">
        <w:t>In light of initial inter</w:t>
      </w:r>
      <w:r>
        <w:t xml:space="preserve">views, the evaluation team </w:t>
      </w:r>
      <w:r w:rsidR="00D11996" w:rsidRPr="00E042EA">
        <w:t>revise</w:t>
      </w:r>
      <w:r>
        <w:t>s</w:t>
      </w:r>
      <w:r w:rsidR="00D11996" w:rsidRPr="00E042EA">
        <w:t xml:space="preserve"> and streamline</w:t>
      </w:r>
      <w:r>
        <w:t>s</w:t>
      </w:r>
      <w:r w:rsidR="00D11996" w:rsidRPr="00E042EA">
        <w:t xml:space="preserve"> the interview protocol and the related templates for data recording.</w:t>
      </w:r>
    </w:p>
    <w:p w14:paraId="1A190FCE" w14:textId="77777777" w:rsidR="00D11996" w:rsidRDefault="00D11996" w:rsidP="00D11996">
      <w:pPr>
        <w:pStyle w:val="H4NumberNoTOC"/>
      </w:pPr>
      <w:r w:rsidRPr="00221DF6">
        <w:t>B.4.5 Implementation data collection</w:t>
      </w:r>
    </w:p>
    <w:p w14:paraId="4E801678" w14:textId="1460F680" w:rsidR="00D11996" w:rsidRDefault="00D11996" w:rsidP="00D11996">
      <w:pPr>
        <w:pStyle w:val="NormalSS"/>
      </w:pPr>
      <w:r>
        <w:t xml:space="preserve">SSA adapted the monthly earnings and IRWE reporting form and annual </w:t>
      </w:r>
      <w:r w:rsidR="006678CC">
        <w:t>form, which</w:t>
      </w:r>
      <w:r w:rsidR="00D609BC">
        <w:t xml:space="preserve"> the implementation team </w:t>
      </w:r>
      <w:r>
        <w:t>use</w:t>
      </w:r>
      <w:r w:rsidR="00D609BC">
        <w:t>s</w:t>
      </w:r>
      <w:r>
        <w:t xml:space="preserve"> for the implementation data collection from standard procedures and protocols used to collect earnings and IRWE documentation from SSDI beneficiaries for SSDI benefit calculation.  The </w:t>
      </w:r>
      <w:r w:rsidR="006678CC">
        <w:t>implementation</w:t>
      </w:r>
      <w:r>
        <w:t xml:space="preserve"> team determined that </w:t>
      </w:r>
      <w:r w:rsidR="00477D9A">
        <w:t>they would not need additional pre-testing</w:t>
      </w:r>
      <w:r>
        <w:t xml:space="preserve"> to pre-test these data collection forms.</w:t>
      </w:r>
    </w:p>
    <w:p w14:paraId="22EAE21F" w14:textId="77777777" w:rsidR="00D11996" w:rsidRPr="003A4919" w:rsidRDefault="00D11996" w:rsidP="00D11996">
      <w:pPr>
        <w:pStyle w:val="H3Alpha"/>
      </w:pPr>
      <w:bookmarkStart w:id="27" w:name="_Toc476920468"/>
      <w:r w:rsidRPr="003A4919">
        <w:t>B.5</w:t>
      </w:r>
      <w:r>
        <w:t>.</w:t>
      </w:r>
      <w:r w:rsidRPr="003A4919">
        <w:t xml:space="preserve"> Statistical agency contact on technical and statistical issues</w:t>
      </w:r>
      <w:bookmarkEnd w:id="27"/>
    </w:p>
    <w:p w14:paraId="27F181A6" w14:textId="77777777" w:rsidR="00D11996" w:rsidRPr="003A4919" w:rsidRDefault="00D11996" w:rsidP="00D11996">
      <w:pPr>
        <w:pStyle w:val="NormalSS"/>
      </w:pPr>
      <w:r>
        <w:t>We list t</w:t>
      </w:r>
      <w:r w:rsidRPr="003A4919">
        <w:t xml:space="preserve">he </w:t>
      </w:r>
      <w:r>
        <w:t xml:space="preserve">evaluation team members providing input on </w:t>
      </w:r>
      <w:r w:rsidRPr="003A4919">
        <w:t xml:space="preserve">technical and statistical issues </w:t>
      </w:r>
      <w:r>
        <w:t xml:space="preserve">discussed in this information clearance request </w:t>
      </w:r>
      <w:r w:rsidRPr="003A4919">
        <w:t xml:space="preserve">in Exhibit </w:t>
      </w:r>
      <w:r>
        <w:t xml:space="preserve">B.3, and we list the implementation team members </w:t>
      </w:r>
      <w:r w:rsidRPr="00CB6A8A">
        <w:t>consulted on technical and statistical issues related to data collection</w:t>
      </w:r>
      <w:r>
        <w:t xml:space="preserve"> in Exhibit B.4.</w:t>
      </w:r>
    </w:p>
    <w:p w14:paraId="77079498" w14:textId="77777777" w:rsidR="00D11996" w:rsidRPr="003A4919" w:rsidRDefault="00D11996" w:rsidP="00D11996">
      <w:pPr>
        <w:pStyle w:val="MarkforExhibitTitle"/>
      </w:pPr>
      <w:bookmarkStart w:id="28" w:name="_Toc476922577"/>
      <w:r w:rsidRPr="003A4919">
        <w:t xml:space="preserve">Exhibit </w:t>
      </w:r>
      <w:r>
        <w:t>B.3</w:t>
      </w:r>
      <w:r w:rsidRPr="003A4919">
        <w:t>. Individuals consulted on the study design</w:t>
      </w:r>
      <w:bookmarkEnd w:id="28"/>
    </w:p>
    <w:tbl>
      <w:tblPr>
        <w:tblStyle w:val="MPRBaseTable1"/>
        <w:tblW w:w="5000" w:type="pct"/>
        <w:tblLook w:val="04A0" w:firstRow="1" w:lastRow="0" w:firstColumn="1" w:lastColumn="0" w:noHBand="0" w:noVBand="1"/>
      </w:tblPr>
      <w:tblGrid>
        <w:gridCol w:w="3919"/>
        <w:gridCol w:w="3068"/>
        <w:gridCol w:w="2589"/>
      </w:tblGrid>
      <w:tr w:rsidR="00D11996" w:rsidRPr="003A4919" w14:paraId="691CDC3A" w14:textId="77777777" w:rsidTr="00BE5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46" w:type="pct"/>
          </w:tcPr>
          <w:p w14:paraId="78DC7C82" w14:textId="77777777" w:rsidR="00D11996" w:rsidRPr="002E4BC0" w:rsidRDefault="00D11996" w:rsidP="00BE5B0F">
            <w:pPr>
              <w:pStyle w:val="TableHeaderLeft"/>
              <w:rPr>
                <w:b/>
              </w:rPr>
            </w:pPr>
            <w:r w:rsidRPr="002E4BC0">
              <w:rPr>
                <w:b/>
              </w:rPr>
              <w:t>Name</w:t>
            </w:r>
          </w:p>
        </w:tc>
        <w:tc>
          <w:tcPr>
            <w:tcW w:w="1602" w:type="pct"/>
          </w:tcPr>
          <w:p w14:paraId="3DA179A4" w14:textId="77777777" w:rsidR="00D11996" w:rsidRPr="002E4BC0" w:rsidRDefault="00D11996" w:rsidP="00BE5B0F">
            <w:pPr>
              <w:pStyle w:val="TableHeaderCenter"/>
              <w:cnfStyle w:val="100000000000" w:firstRow="1" w:lastRow="0" w:firstColumn="0" w:lastColumn="0" w:oddVBand="0" w:evenVBand="0" w:oddHBand="0" w:evenHBand="0" w:firstRowFirstColumn="0" w:firstRowLastColumn="0" w:lastRowFirstColumn="0" w:lastRowLastColumn="0"/>
              <w:rPr>
                <w:b/>
              </w:rPr>
            </w:pPr>
            <w:r w:rsidRPr="002E4BC0">
              <w:rPr>
                <w:b/>
              </w:rPr>
              <w:t>Phone number</w:t>
            </w:r>
          </w:p>
        </w:tc>
        <w:tc>
          <w:tcPr>
            <w:tcW w:w="1352" w:type="pct"/>
          </w:tcPr>
          <w:p w14:paraId="76C47080" w14:textId="77777777" w:rsidR="00D11996" w:rsidRPr="002E4BC0" w:rsidRDefault="00D11996" w:rsidP="00BE5B0F">
            <w:pPr>
              <w:pStyle w:val="TableHeaderCenter"/>
              <w:cnfStyle w:val="100000000000" w:firstRow="1" w:lastRow="0" w:firstColumn="0" w:lastColumn="0" w:oddVBand="0" w:evenVBand="0" w:oddHBand="0" w:evenHBand="0" w:firstRowFirstColumn="0" w:firstRowLastColumn="0" w:lastRowFirstColumn="0" w:lastRowLastColumn="0"/>
              <w:rPr>
                <w:b/>
              </w:rPr>
            </w:pPr>
            <w:r w:rsidRPr="002E4BC0">
              <w:rPr>
                <w:b/>
              </w:rPr>
              <w:t>Affiliation</w:t>
            </w:r>
          </w:p>
        </w:tc>
      </w:tr>
      <w:tr w:rsidR="00D11996" w:rsidRPr="003A4919" w14:paraId="4ADD68E1"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339957C" w14:textId="77777777" w:rsidR="00D11996" w:rsidRPr="003A4919" w:rsidRDefault="00D11996" w:rsidP="00BE5B0F">
            <w:pPr>
              <w:pStyle w:val="TableText"/>
              <w:spacing w:before="40" w:after="40"/>
              <w:contextualSpacing w:val="0"/>
            </w:pPr>
            <w:r w:rsidRPr="003A4919">
              <w:t>Dr. David Wittenburg</w:t>
            </w:r>
          </w:p>
        </w:tc>
        <w:tc>
          <w:tcPr>
            <w:tcW w:w="1602" w:type="pct"/>
          </w:tcPr>
          <w:p w14:paraId="2328658E"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609-945-3362</w:t>
            </w:r>
          </w:p>
        </w:tc>
        <w:tc>
          <w:tcPr>
            <w:tcW w:w="1352" w:type="pct"/>
          </w:tcPr>
          <w:p w14:paraId="5FCCB234"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Mathematica</w:t>
            </w:r>
          </w:p>
        </w:tc>
      </w:tr>
      <w:tr w:rsidR="00D11996" w:rsidRPr="003A4919" w14:paraId="0FD46E26" w14:textId="77777777" w:rsidTr="00BE5B0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2B0D6079" w14:textId="77777777" w:rsidR="00D11996" w:rsidRPr="003A4919" w:rsidRDefault="00D11996" w:rsidP="00BE5B0F">
            <w:pPr>
              <w:pStyle w:val="TableText"/>
              <w:spacing w:before="40" w:after="40"/>
              <w:contextualSpacing w:val="0"/>
            </w:pPr>
            <w:r w:rsidRPr="003A4919">
              <w:t>Dr. Kenneth Fortson</w:t>
            </w:r>
          </w:p>
        </w:tc>
        <w:tc>
          <w:tcPr>
            <w:tcW w:w="1602" w:type="pct"/>
          </w:tcPr>
          <w:p w14:paraId="3B3AC88A"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510-830-3711</w:t>
            </w:r>
          </w:p>
        </w:tc>
        <w:tc>
          <w:tcPr>
            <w:tcW w:w="1352" w:type="pct"/>
          </w:tcPr>
          <w:p w14:paraId="592C3404"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Mathematica</w:t>
            </w:r>
          </w:p>
        </w:tc>
      </w:tr>
      <w:tr w:rsidR="00D11996" w:rsidRPr="003A4919" w14:paraId="784F5779"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63926279" w14:textId="77777777" w:rsidR="00D11996" w:rsidRPr="003A4919" w:rsidRDefault="00D11996" w:rsidP="00BE5B0F">
            <w:pPr>
              <w:pStyle w:val="TableText"/>
              <w:spacing w:before="40" w:after="40"/>
            </w:pPr>
            <w:r w:rsidRPr="00387D4E">
              <w:t>Noelle Denny-Brown</w:t>
            </w:r>
          </w:p>
        </w:tc>
        <w:tc>
          <w:tcPr>
            <w:tcW w:w="1602" w:type="pct"/>
          </w:tcPr>
          <w:p w14:paraId="01D89E6B"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824DFE">
              <w:t>617-301-8987</w:t>
            </w:r>
          </w:p>
        </w:tc>
        <w:tc>
          <w:tcPr>
            <w:tcW w:w="1352" w:type="pct"/>
          </w:tcPr>
          <w:p w14:paraId="6E4215E8"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0B6DEB">
              <w:t>Mathematica</w:t>
            </w:r>
          </w:p>
        </w:tc>
      </w:tr>
      <w:tr w:rsidR="00D11996" w:rsidRPr="003A4919" w14:paraId="6714A345" w14:textId="77777777" w:rsidTr="00BE5B0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6DBA6FC" w14:textId="0824DDBC" w:rsidR="00D11996" w:rsidRPr="003A4919" w:rsidRDefault="00763ED6" w:rsidP="00BE5B0F">
            <w:pPr>
              <w:pStyle w:val="TableText"/>
              <w:spacing w:before="40" w:after="40"/>
            </w:pPr>
            <w:r>
              <w:t>Martha Kovac</w:t>
            </w:r>
          </w:p>
        </w:tc>
        <w:tc>
          <w:tcPr>
            <w:tcW w:w="1602" w:type="pct"/>
          </w:tcPr>
          <w:p w14:paraId="03A1C5ED" w14:textId="7610C135" w:rsidR="00D11996" w:rsidRPr="003A4919" w:rsidRDefault="00D11996" w:rsidP="00763ED6">
            <w:pPr>
              <w:pStyle w:val="TableText"/>
              <w:spacing w:before="40" w:after="40"/>
              <w:jc w:val="center"/>
              <w:cnfStyle w:val="000000010000" w:firstRow="0" w:lastRow="0" w:firstColumn="0" w:lastColumn="0" w:oddVBand="0" w:evenVBand="0" w:oddHBand="0" w:evenHBand="1" w:firstRowFirstColumn="0" w:firstRowLastColumn="0" w:lastRowFirstColumn="0" w:lastRowLastColumn="0"/>
            </w:pPr>
            <w:r w:rsidRPr="00824DFE">
              <w:t>609-</w:t>
            </w:r>
            <w:r w:rsidR="00763ED6">
              <w:t>275-2331</w:t>
            </w:r>
          </w:p>
        </w:tc>
        <w:tc>
          <w:tcPr>
            <w:tcW w:w="1352" w:type="pct"/>
          </w:tcPr>
          <w:p w14:paraId="7032C74C" w14:textId="77777777" w:rsidR="00D11996" w:rsidRPr="003A4919" w:rsidRDefault="00D11996" w:rsidP="00BE5B0F">
            <w:pPr>
              <w:pStyle w:val="TableText"/>
              <w:spacing w:before="40" w:after="40"/>
              <w:jc w:val="center"/>
              <w:cnfStyle w:val="000000010000" w:firstRow="0" w:lastRow="0" w:firstColumn="0" w:lastColumn="0" w:oddVBand="0" w:evenVBand="0" w:oddHBand="0" w:evenHBand="1" w:firstRowFirstColumn="0" w:firstRowLastColumn="0" w:lastRowFirstColumn="0" w:lastRowLastColumn="0"/>
            </w:pPr>
            <w:r w:rsidRPr="000B6DEB">
              <w:t>Mathematica</w:t>
            </w:r>
          </w:p>
        </w:tc>
      </w:tr>
      <w:tr w:rsidR="00D11996" w:rsidRPr="003A4919" w14:paraId="631777E3"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DC8873A" w14:textId="77777777" w:rsidR="00D11996" w:rsidRPr="003A4919" w:rsidRDefault="00D11996" w:rsidP="00BE5B0F">
            <w:pPr>
              <w:pStyle w:val="TableText"/>
              <w:spacing w:before="40" w:after="40"/>
              <w:contextualSpacing w:val="0"/>
            </w:pPr>
            <w:r w:rsidRPr="003A4919">
              <w:t>Dr. David Stapleton</w:t>
            </w:r>
          </w:p>
        </w:tc>
        <w:tc>
          <w:tcPr>
            <w:tcW w:w="1602" w:type="pct"/>
          </w:tcPr>
          <w:p w14:paraId="30F88AE5"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202-484-4224</w:t>
            </w:r>
          </w:p>
        </w:tc>
        <w:tc>
          <w:tcPr>
            <w:tcW w:w="1352" w:type="pct"/>
          </w:tcPr>
          <w:p w14:paraId="49F55054"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Mathemati</w:t>
            </w:r>
            <w:r>
              <w:t>c</w:t>
            </w:r>
            <w:r w:rsidRPr="003A4919">
              <w:t>a</w:t>
            </w:r>
          </w:p>
        </w:tc>
      </w:tr>
      <w:tr w:rsidR="00D11996" w:rsidRPr="003A4919" w14:paraId="4F09A54B" w14:textId="77777777" w:rsidTr="00BE5B0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65F2359" w14:textId="77777777" w:rsidR="00D11996" w:rsidRPr="003A4919" w:rsidRDefault="00D11996" w:rsidP="00BE5B0F">
            <w:pPr>
              <w:pStyle w:val="TableText"/>
              <w:spacing w:before="40" w:after="40"/>
              <w:contextualSpacing w:val="0"/>
            </w:pPr>
            <w:r w:rsidRPr="003A4919">
              <w:t>Dr. Heinrich Hock</w:t>
            </w:r>
          </w:p>
        </w:tc>
        <w:tc>
          <w:tcPr>
            <w:tcW w:w="1602" w:type="pct"/>
          </w:tcPr>
          <w:p w14:paraId="5ADBC5AD"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202-250-3557</w:t>
            </w:r>
          </w:p>
        </w:tc>
        <w:tc>
          <w:tcPr>
            <w:tcW w:w="1352" w:type="pct"/>
          </w:tcPr>
          <w:p w14:paraId="3C3B6E77"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Mathematica</w:t>
            </w:r>
          </w:p>
        </w:tc>
      </w:tr>
      <w:tr w:rsidR="00D11996" w:rsidRPr="003A4919" w14:paraId="77C0D67F"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401714D3" w14:textId="77777777" w:rsidR="00D11996" w:rsidRPr="003A4919" w:rsidRDefault="00D11996" w:rsidP="00BE5B0F">
            <w:pPr>
              <w:pStyle w:val="TableText"/>
              <w:spacing w:before="40" w:after="40"/>
            </w:pPr>
            <w:r w:rsidRPr="00387D4E">
              <w:t>Dr. Debra Wright</w:t>
            </w:r>
          </w:p>
        </w:tc>
        <w:tc>
          <w:tcPr>
            <w:tcW w:w="1602" w:type="pct"/>
          </w:tcPr>
          <w:p w14:paraId="5086AFAE"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387D4E">
              <w:t>703-504-9480</w:t>
            </w:r>
          </w:p>
        </w:tc>
        <w:tc>
          <w:tcPr>
            <w:tcW w:w="1352" w:type="pct"/>
          </w:tcPr>
          <w:p w14:paraId="5A0E758F"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387D4E">
              <w:t>Insight</w:t>
            </w:r>
            <w:r>
              <w:t xml:space="preserve"> Policy Research</w:t>
            </w:r>
          </w:p>
        </w:tc>
      </w:tr>
    </w:tbl>
    <w:p w14:paraId="3BF1C763" w14:textId="77777777" w:rsidR="00D11996" w:rsidRPr="003A4919" w:rsidRDefault="00D11996" w:rsidP="00D11996">
      <w:pPr>
        <w:spacing w:after="240" w:line="240" w:lineRule="auto"/>
      </w:pPr>
    </w:p>
    <w:p w14:paraId="457B078B" w14:textId="77777777" w:rsidR="00D11996" w:rsidRPr="00CB6A8A" w:rsidRDefault="00D11996" w:rsidP="00D11996">
      <w:pPr>
        <w:pStyle w:val="MarkforExhibitTitle"/>
      </w:pPr>
      <w:bookmarkStart w:id="29" w:name="_Toc478132063"/>
      <w:r w:rsidRPr="00CB6A8A">
        <w:t>Exhibit B.</w:t>
      </w:r>
      <w:r>
        <w:t>4</w:t>
      </w:r>
      <w:r w:rsidRPr="00CB6A8A">
        <w:t xml:space="preserve">. Individuals consulted on the </w:t>
      </w:r>
      <w:r>
        <w:t>implementation data collection</w:t>
      </w:r>
      <w:bookmarkEnd w:id="29"/>
      <w:r>
        <w:t xml:space="preserve"> </w:t>
      </w:r>
    </w:p>
    <w:tbl>
      <w:tblPr>
        <w:tblStyle w:val="MPRBaseTable1"/>
        <w:tblW w:w="4833" w:type="pct"/>
        <w:tblInd w:w="198" w:type="dxa"/>
        <w:tblLook w:val="04A0" w:firstRow="1" w:lastRow="0" w:firstColumn="1" w:lastColumn="0" w:noHBand="0" w:noVBand="1"/>
      </w:tblPr>
      <w:tblGrid>
        <w:gridCol w:w="3600"/>
        <w:gridCol w:w="3068"/>
        <w:gridCol w:w="2588"/>
      </w:tblGrid>
      <w:tr w:rsidR="00D11996" w:rsidRPr="00F50039" w14:paraId="4C32F79B" w14:textId="77777777" w:rsidTr="00BE5B0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944" w:type="pct"/>
          </w:tcPr>
          <w:p w14:paraId="1BDD2C86" w14:textId="77777777" w:rsidR="00D11996" w:rsidRPr="00F50039" w:rsidRDefault="00D11996" w:rsidP="00BE5B0F">
            <w:pPr>
              <w:pStyle w:val="TableHeaderLeft"/>
              <w:rPr>
                <w:b/>
              </w:rPr>
            </w:pPr>
            <w:r w:rsidRPr="00F50039">
              <w:rPr>
                <w:b/>
              </w:rPr>
              <w:t>Name</w:t>
            </w:r>
          </w:p>
        </w:tc>
        <w:tc>
          <w:tcPr>
            <w:tcW w:w="1657" w:type="pct"/>
          </w:tcPr>
          <w:p w14:paraId="0F01E008" w14:textId="77777777" w:rsidR="00D11996" w:rsidRPr="00F50039" w:rsidRDefault="00D11996" w:rsidP="00BE5B0F">
            <w:pPr>
              <w:pStyle w:val="TableHeaderLeft"/>
              <w:cnfStyle w:val="100000000000" w:firstRow="1" w:lastRow="0" w:firstColumn="0" w:lastColumn="0" w:oddVBand="0" w:evenVBand="0" w:oddHBand="0" w:evenHBand="0" w:firstRowFirstColumn="0" w:firstRowLastColumn="0" w:lastRowFirstColumn="0" w:lastRowLastColumn="0"/>
              <w:rPr>
                <w:b/>
              </w:rPr>
            </w:pPr>
            <w:r w:rsidRPr="00F50039">
              <w:rPr>
                <w:b/>
              </w:rPr>
              <w:t>Phone number</w:t>
            </w:r>
          </w:p>
        </w:tc>
        <w:tc>
          <w:tcPr>
            <w:tcW w:w="1398" w:type="pct"/>
          </w:tcPr>
          <w:p w14:paraId="55FC5418" w14:textId="77777777" w:rsidR="00D11996" w:rsidRPr="00F50039" w:rsidRDefault="00D11996" w:rsidP="00BE5B0F">
            <w:pPr>
              <w:pStyle w:val="TableHeaderLeft"/>
              <w:cnfStyle w:val="100000000000" w:firstRow="1" w:lastRow="0" w:firstColumn="0" w:lastColumn="0" w:oddVBand="0" w:evenVBand="0" w:oddHBand="0" w:evenHBand="0" w:firstRowFirstColumn="0" w:firstRowLastColumn="0" w:lastRowFirstColumn="0" w:lastRowLastColumn="0"/>
              <w:rPr>
                <w:b/>
              </w:rPr>
            </w:pPr>
            <w:r w:rsidRPr="00F50039">
              <w:rPr>
                <w:b/>
              </w:rPr>
              <w:t>Affiliation</w:t>
            </w:r>
          </w:p>
        </w:tc>
      </w:tr>
      <w:tr w:rsidR="00D11996" w:rsidRPr="00CB6A8A" w14:paraId="354EE99C" w14:textId="77777777" w:rsidTr="00BE5B0F">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5A51DBCF" w14:textId="77777777" w:rsidR="00D11996" w:rsidRPr="00CB6A8A" w:rsidRDefault="00D11996" w:rsidP="00BE5B0F">
            <w:pPr>
              <w:pStyle w:val="TableText"/>
            </w:pPr>
            <w:r>
              <w:t>Ms. Sarah Gibson</w:t>
            </w:r>
          </w:p>
        </w:tc>
        <w:tc>
          <w:tcPr>
            <w:tcW w:w="1657" w:type="pct"/>
            <w:vAlign w:val="center"/>
          </w:tcPr>
          <w:p w14:paraId="116A80A0"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617-520-2810</w:t>
            </w:r>
          </w:p>
        </w:tc>
        <w:tc>
          <w:tcPr>
            <w:tcW w:w="1398" w:type="pct"/>
            <w:vAlign w:val="center"/>
          </w:tcPr>
          <w:p w14:paraId="3DD5273B"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Abt Associates</w:t>
            </w:r>
          </w:p>
        </w:tc>
      </w:tr>
      <w:tr w:rsidR="00D11996" w:rsidRPr="00CB6A8A" w14:paraId="37EC0D87" w14:textId="77777777" w:rsidTr="00BE5B0F">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2F64E415" w14:textId="77777777" w:rsidR="00D11996" w:rsidRPr="00CB6A8A" w:rsidRDefault="00D11996" w:rsidP="00BE5B0F">
            <w:pPr>
              <w:pStyle w:val="TableText"/>
            </w:pPr>
            <w:r>
              <w:t>Mr. Eric Friedman</w:t>
            </w:r>
          </w:p>
        </w:tc>
        <w:tc>
          <w:tcPr>
            <w:tcW w:w="1657" w:type="pct"/>
            <w:vAlign w:val="center"/>
          </w:tcPr>
          <w:p w14:paraId="4C8ECE5F"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t>617-520-2876</w:t>
            </w:r>
          </w:p>
        </w:tc>
        <w:tc>
          <w:tcPr>
            <w:tcW w:w="1398" w:type="pct"/>
            <w:vAlign w:val="center"/>
          </w:tcPr>
          <w:p w14:paraId="1D8FFD10"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rsidRPr="0064062D">
              <w:t>Abt Associates</w:t>
            </w:r>
          </w:p>
        </w:tc>
      </w:tr>
      <w:tr w:rsidR="00D11996" w:rsidRPr="00CB6A8A" w14:paraId="7D6F0454" w14:textId="77777777" w:rsidTr="00BE5B0F">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75CFCF27" w14:textId="77777777" w:rsidR="00D11996" w:rsidRPr="00CB6A8A" w:rsidRDefault="00D11996" w:rsidP="00BE5B0F">
            <w:pPr>
              <w:pStyle w:val="TableText"/>
            </w:pPr>
            <w:r>
              <w:t>Mr. Brian Sokol</w:t>
            </w:r>
          </w:p>
        </w:tc>
        <w:tc>
          <w:tcPr>
            <w:tcW w:w="1657" w:type="pct"/>
            <w:vAlign w:val="center"/>
          </w:tcPr>
          <w:p w14:paraId="404B0693"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617-349-2532</w:t>
            </w:r>
          </w:p>
        </w:tc>
        <w:tc>
          <w:tcPr>
            <w:tcW w:w="1398" w:type="pct"/>
            <w:vAlign w:val="center"/>
          </w:tcPr>
          <w:p w14:paraId="1948158A"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rsidRPr="0064062D">
              <w:t>Abt Associates</w:t>
            </w:r>
          </w:p>
        </w:tc>
      </w:tr>
      <w:tr w:rsidR="00D11996" w:rsidRPr="00CB6A8A" w14:paraId="7A3BF76E" w14:textId="77777777" w:rsidTr="00BE5B0F">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2706095F" w14:textId="77777777" w:rsidR="00D11996" w:rsidRPr="00CB6A8A" w:rsidRDefault="00D11996" w:rsidP="00BE5B0F">
            <w:pPr>
              <w:pStyle w:val="TableText"/>
            </w:pPr>
            <w:r>
              <w:t>Ms. Susan O’Mara</w:t>
            </w:r>
          </w:p>
        </w:tc>
        <w:tc>
          <w:tcPr>
            <w:tcW w:w="1657" w:type="pct"/>
            <w:vAlign w:val="center"/>
          </w:tcPr>
          <w:p w14:paraId="2DA248EB"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t>757-620-5451</w:t>
            </w:r>
          </w:p>
        </w:tc>
        <w:tc>
          <w:tcPr>
            <w:tcW w:w="1398" w:type="pct"/>
            <w:vAlign w:val="center"/>
          </w:tcPr>
          <w:p w14:paraId="45D43D2E"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t>Virginia Commonwealth University</w:t>
            </w:r>
          </w:p>
        </w:tc>
      </w:tr>
      <w:tr w:rsidR="00D11996" w:rsidRPr="00CB6A8A" w14:paraId="4F4541D2" w14:textId="77777777" w:rsidTr="00BE5B0F">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6990427A" w14:textId="77777777" w:rsidR="00D11996" w:rsidRPr="00CB6A8A" w:rsidRDefault="00D11996" w:rsidP="00BE5B0F">
            <w:pPr>
              <w:pStyle w:val="TableText"/>
            </w:pPr>
            <w:r>
              <w:t>Ms. Michelle Wood</w:t>
            </w:r>
          </w:p>
        </w:tc>
        <w:tc>
          <w:tcPr>
            <w:tcW w:w="1657" w:type="pct"/>
            <w:vAlign w:val="center"/>
          </w:tcPr>
          <w:p w14:paraId="5E53248D"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301-634-1777</w:t>
            </w:r>
          </w:p>
        </w:tc>
        <w:tc>
          <w:tcPr>
            <w:tcW w:w="1398" w:type="pct"/>
            <w:vAlign w:val="center"/>
          </w:tcPr>
          <w:p w14:paraId="36AE1415"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Abt Associates</w:t>
            </w:r>
          </w:p>
        </w:tc>
      </w:tr>
    </w:tbl>
    <w:p w14:paraId="2EFAE71D" w14:textId="77777777" w:rsidR="00D11996" w:rsidRPr="00CB6A8A" w:rsidRDefault="00D11996" w:rsidP="00D11996">
      <w:pPr>
        <w:spacing w:after="240" w:line="240" w:lineRule="auto"/>
      </w:pPr>
    </w:p>
    <w:p w14:paraId="6A81047F" w14:textId="77777777" w:rsidR="00D11996" w:rsidRDefault="00D11996" w:rsidP="00D11996">
      <w:pPr>
        <w:spacing w:after="240" w:line="240" w:lineRule="auto"/>
        <w:rPr>
          <w:b/>
        </w:rPr>
      </w:pPr>
      <w:r>
        <w:rPr>
          <w:b/>
        </w:rPr>
        <w:br w:type="page"/>
      </w:r>
    </w:p>
    <w:p w14:paraId="7296687B" w14:textId="77777777" w:rsidR="00D11996" w:rsidRPr="007603F7" w:rsidRDefault="00D11996" w:rsidP="00D11996">
      <w:pPr>
        <w:pStyle w:val="H2Chapter"/>
      </w:pPr>
      <w:bookmarkStart w:id="30" w:name="_Toc476920469"/>
      <w:r w:rsidRPr="007603F7">
        <w:t>References</w:t>
      </w:r>
      <w:bookmarkEnd w:id="30"/>
    </w:p>
    <w:p w14:paraId="0F33298D" w14:textId="77777777" w:rsidR="00D11996" w:rsidRPr="00C16D97" w:rsidRDefault="00D11996" w:rsidP="00D11996">
      <w:pPr>
        <w:pStyle w:val="References"/>
        <w:rPr>
          <w:rFonts w:eastAsia="Calibri"/>
        </w:rPr>
      </w:pPr>
      <w:r w:rsidRPr="00C16D97">
        <w:rPr>
          <w:rFonts w:eastAsia="Calibri"/>
        </w:rPr>
        <w:t xml:space="preserve">American Association for Public Opinion Research (AAPOR). </w:t>
      </w:r>
      <w:r>
        <w:rPr>
          <w:rFonts w:eastAsia="Calibri"/>
          <w:i/>
        </w:rPr>
        <w:t xml:space="preserve">Standard Definitions: </w:t>
      </w:r>
      <w:r w:rsidRPr="00C16D97">
        <w:rPr>
          <w:rFonts w:eastAsia="Calibri"/>
          <w:i/>
        </w:rPr>
        <w:t>Final Dispositions of Case Codes and Outcome Rates for Surveys</w:t>
      </w:r>
      <w:r w:rsidRPr="00C16D97">
        <w:rPr>
          <w:rFonts w:eastAsia="Calibri"/>
        </w:rPr>
        <w:t xml:space="preserve">. </w:t>
      </w:r>
      <w:r>
        <w:rPr>
          <w:rFonts w:eastAsia="Calibri"/>
        </w:rPr>
        <w:t>Ninth</w:t>
      </w:r>
      <w:r w:rsidRPr="00C16D97">
        <w:rPr>
          <w:rFonts w:eastAsia="Calibri"/>
        </w:rPr>
        <w:t xml:space="preserve"> edition.</w:t>
      </w:r>
      <w:r>
        <w:rPr>
          <w:rFonts w:eastAsia="Calibri"/>
        </w:rPr>
        <w:t xml:space="preserve"> Oakbrook Terrace, IL:  AAPOR, 2016</w:t>
      </w:r>
      <w:r w:rsidRPr="00C16D97">
        <w:rPr>
          <w:rFonts w:eastAsia="Calibri"/>
        </w:rPr>
        <w:t>.</w:t>
      </w:r>
    </w:p>
    <w:p w14:paraId="38CDCB3B" w14:textId="77777777" w:rsidR="00D11996" w:rsidRPr="003E1EE7" w:rsidRDefault="00D11996" w:rsidP="00D11996">
      <w:pPr>
        <w:pStyle w:val="References"/>
        <w:rPr>
          <w:rFonts w:eastAsia="Calibri"/>
        </w:rPr>
      </w:pPr>
      <w:r>
        <w:rPr>
          <w:rFonts w:eastAsia="Calibri"/>
        </w:rPr>
        <w:t xml:space="preserve">Allison, Paul D. </w:t>
      </w:r>
      <w:r>
        <w:rPr>
          <w:rFonts w:eastAsia="Calibri"/>
          <w:i/>
        </w:rPr>
        <w:t>Missing Data (Quantitative Applications in the Social Sciences, Vol. 136)</w:t>
      </w:r>
      <w:r>
        <w:rPr>
          <w:rFonts w:eastAsia="Calibri"/>
        </w:rPr>
        <w:t>. Thousand Oaks, CA: Sage Publications, 2001.</w:t>
      </w:r>
    </w:p>
    <w:p w14:paraId="49FA7B70" w14:textId="77777777" w:rsidR="00D11996" w:rsidRPr="00372C37" w:rsidRDefault="00D11996" w:rsidP="00D11996">
      <w:pPr>
        <w:pStyle w:val="References"/>
      </w:pPr>
      <w:r w:rsidRPr="00372C37">
        <w:t>Bell, Stephen, David C. Stapleton, Daniel GU bits, David Wittenburg, Michelle Derr, David Greenberg, Arkadipta Ghosh, and Sara Ansell. “BOND Implementation and Evaluation: Evaluation Analysis Plan.” Cambridge, MA: Abt Associates, and Washington, DC: Mathematica Policy Research, 2011.</w:t>
      </w:r>
    </w:p>
    <w:p w14:paraId="295E4BD5" w14:textId="77777777" w:rsidR="00D11996" w:rsidRPr="00170CE5" w:rsidRDefault="00D11996" w:rsidP="00D11996">
      <w:pPr>
        <w:pStyle w:val="References"/>
      </w:pPr>
      <w:r w:rsidRPr="00170CE5">
        <w:t xml:space="preserve">Biggs, David, Barry de Ville, and Ed Suen. “A Method of Choosing Multiway Partitions for Classification and Decision Trees.” </w:t>
      </w:r>
      <w:r w:rsidRPr="00170CE5">
        <w:rPr>
          <w:i/>
          <w:iCs/>
        </w:rPr>
        <w:t>Journal of Applied Statistics,</w:t>
      </w:r>
      <w:r w:rsidRPr="00170CE5">
        <w:t xml:space="preserve"> vol. 18, no. 1, 1991, pp. 49–62.</w:t>
      </w:r>
    </w:p>
    <w:p w14:paraId="2190038C" w14:textId="77777777" w:rsidR="00D11996" w:rsidRPr="00170CE5" w:rsidRDefault="00D11996" w:rsidP="00D11996">
      <w:pPr>
        <w:pStyle w:val="References"/>
      </w:pPr>
      <w:r w:rsidRPr="00170CE5">
        <w:t xml:space="preserve">Bollinger, Christopher R., and Barry T. Hirsch. “Match Bias in the Earnings Imputations in Current Population Survey:  The Case of Imperfect Matching.”  </w:t>
      </w:r>
      <w:r w:rsidRPr="00170CE5">
        <w:rPr>
          <w:i/>
        </w:rPr>
        <w:t>Journal of Labor Economics,</w:t>
      </w:r>
      <w:r w:rsidRPr="00170CE5">
        <w:t xml:space="preserve"> vol. 24, no. 3, July 2006, pp. 483–520.</w:t>
      </w:r>
    </w:p>
    <w:p w14:paraId="2CE4CB2E" w14:textId="77777777" w:rsidR="00D11996" w:rsidRPr="00A848BF" w:rsidRDefault="00D11996" w:rsidP="00D11996">
      <w:pPr>
        <w:pStyle w:val="References"/>
        <w:rPr>
          <w:snapToGrid w:val="0"/>
          <w:lang w:val="en-GB"/>
        </w:rPr>
      </w:pPr>
      <w:r w:rsidRPr="00A848BF">
        <w:t xml:space="preserve">Chromy, James R. “Sequential Sample Selection Methods.” </w:t>
      </w:r>
      <w:r w:rsidRPr="00417F3F">
        <w:rPr>
          <w:i/>
        </w:rPr>
        <w:t>Proceedings of the American Statistical Association, Survey Research Methods Section.</w:t>
      </w:r>
      <w:r>
        <w:t xml:space="preserve"> Washington, DC: American Statistical Association,</w:t>
      </w:r>
      <w:r w:rsidRPr="00A848BF">
        <w:t xml:space="preserve"> 1979, pp. 401-406.</w:t>
      </w:r>
    </w:p>
    <w:p w14:paraId="60537BD3" w14:textId="77777777" w:rsidR="00D11996" w:rsidRDefault="00D11996" w:rsidP="00D11996">
      <w:pPr>
        <w:pStyle w:val="References"/>
        <w:rPr>
          <w:bCs/>
          <w:kern w:val="24"/>
        </w:rPr>
      </w:pPr>
      <w:r w:rsidRPr="00A848BF">
        <w:rPr>
          <w:bCs/>
          <w:kern w:val="24"/>
        </w:rPr>
        <w:t xml:space="preserve">Cameron, A. Collin, and Pravin K. Trivedi. </w:t>
      </w:r>
      <w:r w:rsidRPr="00417F3F">
        <w:rPr>
          <w:bCs/>
          <w:i/>
          <w:kern w:val="24"/>
        </w:rPr>
        <w:t>Microeconometrics: Methods and Applications.</w:t>
      </w:r>
      <w:r w:rsidRPr="00A848BF">
        <w:rPr>
          <w:bCs/>
          <w:kern w:val="24"/>
        </w:rPr>
        <w:t xml:space="preserve"> New York: Cambridge University Press, 2005.</w:t>
      </w:r>
    </w:p>
    <w:p w14:paraId="7DC23EDE" w14:textId="77777777" w:rsidR="00D11996" w:rsidRDefault="00D11996" w:rsidP="00D11996">
      <w:pPr>
        <w:pStyle w:val="References"/>
        <w:rPr>
          <w:bCs/>
          <w:kern w:val="24"/>
        </w:rPr>
      </w:pPr>
      <w:r w:rsidRPr="00DA0C08">
        <w:rPr>
          <w:bCs/>
          <w:kern w:val="24"/>
        </w:rPr>
        <w:t>Damschroder, Laura J, David C</w:t>
      </w:r>
      <w:r>
        <w:rPr>
          <w:bCs/>
          <w:kern w:val="24"/>
        </w:rPr>
        <w:t>.</w:t>
      </w:r>
      <w:r w:rsidRPr="00DA0C08">
        <w:rPr>
          <w:bCs/>
          <w:kern w:val="24"/>
        </w:rPr>
        <w:t xml:space="preserve"> Aron, Rosalind E</w:t>
      </w:r>
      <w:r>
        <w:rPr>
          <w:bCs/>
          <w:kern w:val="24"/>
        </w:rPr>
        <w:t>.</w:t>
      </w:r>
      <w:r w:rsidRPr="00DA0C08">
        <w:rPr>
          <w:bCs/>
          <w:kern w:val="24"/>
        </w:rPr>
        <w:t xml:space="preserve"> Keith, Susan R</w:t>
      </w:r>
      <w:r>
        <w:rPr>
          <w:bCs/>
          <w:kern w:val="24"/>
        </w:rPr>
        <w:t>.</w:t>
      </w:r>
      <w:r w:rsidRPr="00DA0C08">
        <w:rPr>
          <w:bCs/>
          <w:kern w:val="24"/>
        </w:rPr>
        <w:t xml:space="preserve"> Kirsh, Jeffery A</w:t>
      </w:r>
      <w:r>
        <w:rPr>
          <w:bCs/>
          <w:kern w:val="24"/>
        </w:rPr>
        <w:t>.</w:t>
      </w:r>
      <w:r w:rsidRPr="00DA0C08">
        <w:rPr>
          <w:bCs/>
          <w:kern w:val="24"/>
        </w:rPr>
        <w:t xml:space="preserve"> Alexander, and Julie</w:t>
      </w:r>
      <w:r>
        <w:rPr>
          <w:bCs/>
          <w:kern w:val="24"/>
        </w:rPr>
        <w:t xml:space="preserve"> </w:t>
      </w:r>
      <w:r w:rsidRPr="00DA0C08">
        <w:rPr>
          <w:bCs/>
          <w:kern w:val="24"/>
        </w:rPr>
        <w:t xml:space="preserve">C. Lowery. “Fostering </w:t>
      </w:r>
      <w:r>
        <w:rPr>
          <w:bCs/>
          <w:kern w:val="24"/>
        </w:rPr>
        <w:t>I</w:t>
      </w:r>
      <w:r w:rsidRPr="00DA0C08">
        <w:rPr>
          <w:bCs/>
          <w:kern w:val="24"/>
        </w:rPr>
        <w:t xml:space="preserve">mplementation of </w:t>
      </w:r>
      <w:r>
        <w:rPr>
          <w:bCs/>
          <w:kern w:val="24"/>
        </w:rPr>
        <w:t>H</w:t>
      </w:r>
      <w:r w:rsidRPr="00DA0C08">
        <w:rPr>
          <w:bCs/>
          <w:kern w:val="24"/>
        </w:rPr>
        <w:t xml:space="preserve">ealth </w:t>
      </w:r>
      <w:r>
        <w:rPr>
          <w:bCs/>
          <w:kern w:val="24"/>
        </w:rPr>
        <w:t>S</w:t>
      </w:r>
      <w:r w:rsidRPr="00DA0C08">
        <w:rPr>
          <w:bCs/>
          <w:kern w:val="24"/>
        </w:rPr>
        <w:t xml:space="preserve">ervices </w:t>
      </w:r>
      <w:r>
        <w:rPr>
          <w:bCs/>
          <w:kern w:val="24"/>
        </w:rPr>
        <w:t>R</w:t>
      </w:r>
      <w:r w:rsidRPr="00DA0C08">
        <w:rPr>
          <w:bCs/>
          <w:kern w:val="24"/>
        </w:rPr>
        <w:t xml:space="preserve">esearch </w:t>
      </w:r>
      <w:r>
        <w:rPr>
          <w:bCs/>
          <w:kern w:val="24"/>
        </w:rPr>
        <w:t>F</w:t>
      </w:r>
      <w:r w:rsidRPr="00DA0C08">
        <w:rPr>
          <w:bCs/>
          <w:kern w:val="24"/>
        </w:rPr>
        <w:t xml:space="preserve">indings into </w:t>
      </w:r>
      <w:r>
        <w:rPr>
          <w:bCs/>
          <w:kern w:val="24"/>
        </w:rPr>
        <w:t>P</w:t>
      </w:r>
      <w:r w:rsidRPr="00DA0C08">
        <w:rPr>
          <w:bCs/>
          <w:kern w:val="24"/>
        </w:rPr>
        <w:t>ractice: A</w:t>
      </w:r>
      <w:r>
        <w:rPr>
          <w:bCs/>
          <w:kern w:val="24"/>
        </w:rPr>
        <w:t xml:space="preserve"> C</w:t>
      </w:r>
      <w:r w:rsidRPr="00DA0C08">
        <w:rPr>
          <w:bCs/>
          <w:kern w:val="24"/>
        </w:rPr>
        <w:t xml:space="preserve">onsolidated </w:t>
      </w:r>
      <w:r>
        <w:rPr>
          <w:bCs/>
          <w:kern w:val="24"/>
        </w:rPr>
        <w:t>F</w:t>
      </w:r>
      <w:r w:rsidRPr="00DA0C08">
        <w:rPr>
          <w:bCs/>
          <w:kern w:val="24"/>
        </w:rPr>
        <w:t xml:space="preserve">ramework for </w:t>
      </w:r>
      <w:r>
        <w:rPr>
          <w:bCs/>
          <w:kern w:val="24"/>
        </w:rPr>
        <w:t>A</w:t>
      </w:r>
      <w:r w:rsidRPr="00DA0C08">
        <w:rPr>
          <w:bCs/>
          <w:kern w:val="24"/>
        </w:rPr>
        <w:t xml:space="preserve">dvancing </w:t>
      </w:r>
      <w:r>
        <w:rPr>
          <w:bCs/>
          <w:kern w:val="24"/>
        </w:rPr>
        <w:t>I</w:t>
      </w:r>
      <w:r w:rsidRPr="00DA0C08">
        <w:rPr>
          <w:bCs/>
          <w:kern w:val="24"/>
        </w:rPr>
        <w:t xml:space="preserve">mplementation </w:t>
      </w:r>
      <w:r>
        <w:rPr>
          <w:bCs/>
          <w:kern w:val="24"/>
        </w:rPr>
        <w:t>S</w:t>
      </w:r>
      <w:r w:rsidRPr="00DA0C08">
        <w:rPr>
          <w:bCs/>
          <w:kern w:val="24"/>
        </w:rPr>
        <w:t xml:space="preserve">cience.” </w:t>
      </w:r>
      <w:r w:rsidRPr="00DA0C08">
        <w:rPr>
          <w:bCs/>
          <w:i/>
          <w:iCs/>
          <w:kern w:val="24"/>
        </w:rPr>
        <w:t xml:space="preserve">Implementation Science, </w:t>
      </w:r>
      <w:r w:rsidRPr="00DA0C08">
        <w:rPr>
          <w:bCs/>
          <w:kern w:val="24"/>
        </w:rPr>
        <w:t>vol. 4,</w:t>
      </w:r>
      <w:r>
        <w:rPr>
          <w:bCs/>
          <w:kern w:val="24"/>
        </w:rPr>
        <w:t xml:space="preserve"> </w:t>
      </w:r>
      <w:r w:rsidRPr="00DA0C08">
        <w:rPr>
          <w:bCs/>
          <w:kern w:val="24"/>
        </w:rPr>
        <w:t>2009, pp. 50-65</w:t>
      </w:r>
      <w:r>
        <w:rPr>
          <w:bCs/>
          <w:kern w:val="24"/>
        </w:rPr>
        <w:t>.</w:t>
      </w:r>
    </w:p>
    <w:p w14:paraId="1FF2B619" w14:textId="77777777" w:rsidR="00D11996" w:rsidRPr="00491047" w:rsidRDefault="00D11996" w:rsidP="00D11996">
      <w:pPr>
        <w:pStyle w:val="References"/>
        <w:rPr>
          <w:bCs/>
          <w:kern w:val="24"/>
        </w:rPr>
      </w:pPr>
      <w:r w:rsidRPr="00491047">
        <w:rPr>
          <w:bCs/>
          <w:kern w:val="24"/>
        </w:rPr>
        <w:t xml:space="preserve">Derr, Michelle, Denise Hoffman, Jillian Berk, Ann Person, David Stapleton, Sarah Croake, Christopher Jones, and Jonathan McCay. “BOND Implementation and Evaluation Process Study Report.” Washington, DC: Mathematica Policy Research, February 12, 2015. </w:t>
      </w:r>
    </w:p>
    <w:p w14:paraId="3D40A2D7" w14:textId="77777777" w:rsidR="00D11996" w:rsidRPr="00372C37" w:rsidRDefault="00D11996" w:rsidP="00D11996">
      <w:pPr>
        <w:pStyle w:val="References"/>
        <w:rPr>
          <w:bCs/>
          <w:kern w:val="24"/>
        </w:rPr>
      </w:pPr>
      <w:r w:rsidRPr="00372C37">
        <w:rPr>
          <w:bCs/>
          <w:kern w:val="24"/>
        </w:rPr>
        <w:t>Fraker, Thomas, Arif Mamun, Todd Honeycutt, Allison Thompkins, and Erin Jacobs Valentine. “Final Report on the Youth Transition Demonstration Evaluation.” Washington, DC: Mathematica Policy Research, December 29, 2014.</w:t>
      </w:r>
    </w:p>
    <w:p w14:paraId="73B3F010" w14:textId="77777777" w:rsidR="00D11996" w:rsidRPr="00491047" w:rsidRDefault="00D11996" w:rsidP="00D11996">
      <w:pPr>
        <w:pStyle w:val="References"/>
        <w:rPr>
          <w:bCs/>
          <w:kern w:val="24"/>
        </w:rPr>
      </w:pPr>
      <w:r w:rsidRPr="00491047">
        <w:rPr>
          <w:bCs/>
          <w:kern w:val="24"/>
        </w:rPr>
        <w:t xml:space="preserve">Imbens, Guido, and Donald Rubin. </w:t>
      </w:r>
      <w:r w:rsidRPr="00491047">
        <w:rPr>
          <w:bCs/>
          <w:i/>
          <w:kern w:val="24"/>
        </w:rPr>
        <w:t>Causal Inference in Statistics, Social, and Biomedical Sciences</w:t>
      </w:r>
      <w:r w:rsidRPr="00491047">
        <w:rPr>
          <w:bCs/>
          <w:kern w:val="24"/>
        </w:rPr>
        <w:t>. New York: Cambridge University Press, 2015.</w:t>
      </w:r>
    </w:p>
    <w:p w14:paraId="590D8D79" w14:textId="77777777" w:rsidR="00D11996" w:rsidRPr="00BA40EB" w:rsidRDefault="00D11996" w:rsidP="00D11996">
      <w:pPr>
        <w:pStyle w:val="References"/>
        <w:rPr>
          <w:bCs/>
          <w:kern w:val="24"/>
        </w:rPr>
      </w:pPr>
      <w:r w:rsidRPr="00BA40EB">
        <w:rPr>
          <w:bCs/>
          <w:kern w:val="24"/>
        </w:rPr>
        <w:t xml:space="preserve">Potter, Francis J. “A Study of Procedures to Identify and Trim Extreme Sampling Weights.” In </w:t>
      </w:r>
      <w:r w:rsidRPr="00BA40EB">
        <w:rPr>
          <w:bCs/>
          <w:i/>
          <w:kern w:val="24"/>
        </w:rPr>
        <w:t>Proceedings of the American Statistical Association, Section on Survey Research Methods.</w:t>
      </w:r>
      <w:r w:rsidRPr="00BA40EB">
        <w:rPr>
          <w:bCs/>
          <w:kern w:val="24"/>
        </w:rPr>
        <w:t xml:space="preserve"> Alexandria, VA: American Statistical Association, 1990, pp. 225</w:t>
      </w:r>
      <w:r w:rsidRPr="00BA40EB">
        <w:rPr>
          <w:bCs/>
          <w:kern w:val="24"/>
        </w:rPr>
        <w:noBreakHyphen/>
        <w:t>230.</w:t>
      </w:r>
    </w:p>
    <w:p w14:paraId="77F937F1" w14:textId="77777777" w:rsidR="00D11996" w:rsidRPr="00491047" w:rsidRDefault="00D11996" w:rsidP="00D11996">
      <w:pPr>
        <w:pStyle w:val="References"/>
        <w:rPr>
          <w:bCs/>
          <w:kern w:val="24"/>
        </w:rPr>
      </w:pPr>
      <w:r w:rsidRPr="00491047">
        <w:rPr>
          <w:bCs/>
          <w:kern w:val="24"/>
        </w:rPr>
        <w:t xml:space="preserve">Särndal, Carl-Erik, Bengt Swensson, and Jan Wretman. </w:t>
      </w:r>
      <w:r w:rsidRPr="00491047">
        <w:rPr>
          <w:bCs/>
          <w:i/>
          <w:kern w:val="24"/>
        </w:rPr>
        <w:t>Model-Assisted Survey Sampling</w:t>
      </w:r>
      <w:r w:rsidRPr="00491047">
        <w:rPr>
          <w:bCs/>
          <w:kern w:val="24"/>
        </w:rPr>
        <w:t>. New York: Springer-Verlag, 1992.</w:t>
      </w:r>
    </w:p>
    <w:p w14:paraId="2EE4025A" w14:textId="6A2F0BE9" w:rsidR="00D11996" w:rsidRDefault="00D11996" w:rsidP="00D11996">
      <w:pPr>
        <w:pStyle w:val="References"/>
        <w:rPr>
          <w:rFonts w:eastAsia="Calibri"/>
        </w:rPr>
      </w:pPr>
      <w:r w:rsidRPr="00403423">
        <w:rPr>
          <w:bCs/>
          <w:kern w:val="24"/>
        </w:rPr>
        <w:t>Schochet, Peter Z. “Statistical Theory for the RCT-YES Software: Design-Based Causal Inference for RCTs.” Washington, DC: U.S. Department of Education, Institute of Education Sciences, National Center for Education Research, 2016.</w:t>
      </w:r>
      <w:r w:rsidRPr="00A848BF">
        <w:rPr>
          <w:rFonts w:eastAsia="Calibri"/>
        </w:rPr>
        <w:t>Westfall, P</w:t>
      </w:r>
      <w:r>
        <w:rPr>
          <w:rFonts w:eastAsia="Calibri"/>
        </w:rPr>
        <w:t xml:space="preserve">eter </w:t>
      </w:r>
      <w:r w:rsidRPr="00A848BF">
        <w:rPr>
          <w:rFonts w:eastAsia="Calibri"/>
        </w:rPr>
        <w:t>H., and S.</w:t>
      </w:r>
      <w:r>
        <w:rPr>
          <w:rFonts w:eastAsia="Calibri"/>
        </w:rPr>
        <w:t xml:space="preserve"> </w:t>
      </w:r>
      <w:r w:rsidRPr="00A848BF">
        <w:rPr>
          <w:rFonts w:eastAsia="Calibri"/>
        </w:rPr>
        <w:t>S</w:t>
      </w:r>
      <w:r>
        <w:rPr>
          <w:rFonts w:eastAsia="Calibri"/>
        </w:rPr>
        <w:t>tanley</w:t>
      </w:r>
      <w:r w:rsidRPr="00A848BF">
        <w:rPr>
          <w:rFonts w:eastAsia="Calibri"/>
        </w:rPr>
        <w:t xml:space="preserve"> Young. </w:t>
      </w:r>
      <w:r w:rsidRPr="00417F3F">
        <w:rPr>
          <w:rFonts w:eastAsia="Calibri"/>
          <w:i/>
        </w:rPr>
        <w:t xml:space="preserve">Resampling-Based Multiple Testing: Examples and Methods for p-Value Adjustment. </w:t>
      </w:r>
      <w:r w:rsidRPr="00A848BF">
        <w:rPr>
          <w:rFonts w:eastAsia="Calibri"/>
        </w:rPr>
        <w:t>New York: John Wiley, 1993.</w:t>
      </w:r>
    </w:p>
    <w:p w14:paraId="29E8E8F3" w14:textId="673D7D0E" w:rsidR="00763ED6" w:rsidRDefault="00763ED6" w:rsidP="00D11996">
      <w:pPr>
        <w:pStyle w:val="References"/>
        <w:rPr>
          <w:rFonts w:eastAsia="Calibri"/>
        </w:rPr>
      </w:pPr>
      <w:r>
        <w:t xml:space="preserve">Wittenburg, David, Kenneth Fortson, David Stapleton, Noelle Denny-Brown, Rosalind Keith, David R. Mann, Heinrich Hock, and Heather Gordon. </w:t>
      </w:r>
      <w:r w:rsidRPr="008017AB">
        <w:t>“Promoting Opportunity Demonstration (POD):</w:t>
      </w:r>
      <w:r>
        <w:t xml:space="preserve"> Design Report</w:t>
      </w:r>
      <w:r w:rsidRPr="008017AB">
        <w:t xml:space="preserve">.” </w:t>
      </w:r>
      <w:r>
        <w:t>R</w:t>
      </w:r>
      <w:r w:rsidRPr="008017AB">
        <w:t xml:space="preserve">eport submitted to the Social Security Administration. Washington, DC: Mathematica Policy Research, </w:t>
      </w:r>
      <w:r>
        <w:t>May 18</w:t>
      </w:r>
      <w:r w:rsidRPr="008017AB">
        <w:t>, 201</w:t>
      </w:r>
      <w:r>
        <w:t>8</w:t>
      </w:r>
      <w:r w:rsidRPr="008017AB">
        <w:t>.</w:t>
      </w:r>
      <w:r>
        <w:t xml:space="preserve">  Available at </w:t>
      </w:r>
      <w:hyperlink r:id="rId13" w:history="1">
        <w:r w:rsidRPr="004144F6">
          <w:rPr>
            <w:rStyle w:val="Hyperlink"/>
          </w:rPr>
          <w:t>https://www.ssa.gov/disabilityresearch/documents/POD%205%202_Evaluation%20Design%20Report_10-4-2018.pdf</w:t>
        </w:r>
      </w:hyperlink>
      <w:r>
        <w:t xml:space="preserve"> (accessed December 24, 2018).</w:t>
      </w:r>
    </w:p>
    <w:p w14:paraId="54EFAFF4" w14:textId="52F2356E" w:rsidR="00E87A07" w:rsidRDefault="00E87A07" w:rsidP="00E87A07">
      <w:pPr>
        <w:pStyle w:val="References"/>
        <w:rPr>
          <w:szCs w:val="24"/>
        </w:rPr>
      </w:pPr>
      <w:r w:rsidRPr="00353757">
        <w:rPr>
          <w:szCs w:val="24"/>
        </w:rPr>
        <w:t xml:space="preserve">Wooldridge, Jeffrey M. </w:t>
      </w:r>
      <w:r w:rsidRPr="00353757">
        <w:rPr>
          <w:i/>
          <w:iCs/>
          <w:szCs w:val="24"/>
        </w:rPr>
        <w:t xml:space="preserve">Econometric </w:t>
      </w:r>
      <w:r w:rsidR="007E439A">
        <w:rPr>
          <w:i/>
          <w:iCs/>
          <w:szCs w:val="24"/>
        </w:rPr>
        <w:t>A</w:t>
      </w:r>
      <w:r w:rsidRPr="00353757">
        <w:rPr>
          <w:i/>
          <w:iCs/>
          <w:szCs w:val="24"/>
        </w:rPr>
        <w:t xml:space="preserve">nalysis of </w:t>
      </w:r>
      <w:r w:rsidR="007E439A">
        <w:rPr>
          <w:i/>
          <w:iCs/>
          <w:szCs w:val="24"/>
        </w:rPr>
        <w:t>C</w:t>
      </w:r>
      <w:r w:rsidRPr="00353757">
        <w:rPr>
          <w:i/>
          <w:iCs/>
          <w:szCs w:val="24"/>
        </w:rPr>
        <w:t xml:space="preserve">ross </w:t>
      </w:r>
      <w:r w:rsidR="007E439A">
        <w:rPr>
          <w:i/>
          <w:iCs/>
          <w:szCs w:val="24"/>
        </w:rPr>
        <w:t>S</w:t>
      </w:r>
      <w:r w:rsidRPr="00353757">
        <w:rPr>
          <w:i/>
          <w:iCs/>
          <w:szCs w:val="24"/>
        </w:rPr>
        <w:t xml:space="preserve">ection and </w:t>
      </w:r>
      <w:r w:rsidR="007E439A">
        <w:rPr>
          <w:i/>
          <w:iCs/>
          <w:szCs w:val="24"/>
        </w:rPr>
        <w:t>P</w:t>
      </w:r>
      <w:r w:rsidRPr="00353757">
        <w:rPr>
          <w:i/>
          <w:iCs/>
          <w:szCs w:val="24"/>
        </w:rPr>
        <w:t xml:space="preserve">anel </w:t>
      </w:r>
      <w:r w:rsidR="007E439A">
        <w:rPr>
          <w:i/>
          <w:iCs/>
          <w:szCs w:val="24"/>
        </w:rPr>
        <w:t>D</w:t>
      </w:r>
      <w:r w:rsidRPr="00353757">
        <w:rPr>
          <w:i/>
          <w:iCs/>
          <w:szCs w:val="24"/>
        </w:rPr>
        <w:t>ata</w:t>
      </w:r>
      <w:r w:rsidRPr="00353757">
        <w:rPr>
          <w:szCs w:val="24"/>
        </w:rPr>
        <w:t xml:space="preserve">. </w:t>
      </w:r>
      <w:r>
        <w:rPr>
          <w:szCs w:val="24"/>
        </w:rPr>
        <w:t>Cambridge, MA: MIT P</w:t>
      </w:r>
      <w:r w:rsidRPr="00353757">
        <w:rPr>
          <w:szCs w:val="24"/>
        </w:rPr>
        <w:t>ress, 2010.</w:t>
      </w:r>
    </w:p>
    <w:p w14:paraId="0A721080" w14:textId="77777777" w:rsidR="00E87A07" w:rsidRDefault="00E87A07" w:rsidP="00D11996">
      <w:pPr>
        <w:pStyle w:val="References"/>
        <w:rPr>
          <w:rFonts w:eastAsia="Calibri"/>
        </w:rPr>
      </w:pPr>
    </w:p>
    <w:p w14:paraId="7C3AFC73" w14:textId="77777777" w:rsidR="00D11996" w:rsidRDefault="00D11996" w:rsidP="00D11996"/>
    <w:p w14:paraId="7DF3CC19" w14:textId="77777777" w:rsidR="00DB29E0" w:rsidRDefault="00DB29E0"/>
    <w:sectPr w:rsidR="00DB29E0" w:rsidSect="00D11996">
      <w:headerReference w:type="default" r:id="rId14"/>
      <w:footerReference w:type="default" r:id="rId15"/>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231F5" w14:textId="77777777" w:rsidR="00186ACF" w:rsidRDefault="00186ACF" w:rsidP="00D11996">
      <w:pPr>
        <w:spacing w:after="0" w:line="240" w:lineRule="auto"/>
      </w:pPr>
      <w:r>
        <w:separator/>
      </w:r>
    </w:p>
  </w:endnote>
  <w:endnote w:type="continuationSeparator" w:id="0">
    <w:p w14:paraId="241D9BEA" w14:textId="77777777" w:rsidR="00186ACF" w:rsidRDefault="00186ACF" w:rsidP="00D1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64AC" w14:textId="77777777" w:rsidR="00186ACF" w:rsidRPr="004B75AD" w:rsidRDefault="00186ACF" w:rsidP="00BE5B0F">
    <w:pPr>
      <w:spacing w:line="240" w:lineRule="auto"/>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F2ABC" w14:textId="77777777" w:rsidR="00186ACF" w:rsidRDefault="00186ACF" w:rsidP="00D11996">
      <w:pPr>
        <w:spacing w:after="0" w:line="240" w:lineRule="auto"/>
      </w:pPr>
      <w:r>
        <w:separator/>
      </w:r>
    </w:p>
  </w:footnote>
  <w:footnote w:type="continuationSeparator" w:id="0">
    <w:p w14:paraId="382DEBE5" w14:textId="77777777" w:rsidR="00186ACF" w:rsidRDefault="00186ACF" w:rsidP="00D11996">
      <w:pPr>
        <w:spacing w:after="0" w:line="240" w:lineRule="auto"/>
      </w:pPr>
      <w:r>
        <w:continuationSeparator/>
      </w:r>
    </w:p>
  </w:footnote>
  <w:footnote w:id="1">
    <w:p w14:paraId="5D9583BD" w14:textId="497563D4" w:rsidR="00186ACF" w:rsidRDefault="00186ACF" w:rsidP="00D11996">
      <w:pPr>
        <w:pStyle w:val="FootnoteText"/>
      </w:pPr>
      <w:r>
        <w:rPr>
          <w:rStyle w:val="FootnoteReference"/>
        </w:rPr>
        <w:footnoteRef/>
      </w:r>
      <w:r>
        <w:t xml:space="preserve"> As discussed in Section B.3.1, the evaluation team also purposive</w:t>
      </w:r>
      <w:r w:rsidR="00A64B0C">
        <w:t>ly selected a subset of these 42</w:t>
      </w:r>
      <w:r>
        <w:t>0,000 beneficiaries when conducting telephone follow-up outreach efforts for the recruitment effort</w:t>
      </w:r>
      <w:r w:rsidR="00A64B0C">
        <w:t xml:space="preserve"> in the pilot.  Following the pilot, SSA directed the evaluation team to use post-card follow-up based on pilot findings</w:t>
      </w:r>
      <w:r>
        <w:t>.</w:t>
      </w:r>
    </w:p>
  </w:footnote>
  <w:footnote w:id="2">
    <w:p w14:paraId="4BEBCF90" w14:textId="01FC3EC2" w:rsidR="00186ACF" w:rsidRDefault="00186ACF" w:rsidP="00D11996">
      <w:pPr>
        <w:pStyle w:val="FootnoteText"/>
      </w:pPr>
      <w:r>
        <w:rPr>
          <w:rStyle w:val="FootnoteReference"/>
        </w:rPr>
        <w:footnoteRef/>
      </w:r>
      <w:r>
        <w:t xml:space="preserve"> Implicitly stratifying by state maximized the statistical power of pooled estimates that incorporate data on beneficiaries in all POD states.  However, when information about the number of eligible beneficiaries is available, the evaluation team may consider explicitly stratifying (rather than implicitly stratifying) by state if the anticipated size of the eligible population differs substantially by state.  Explicit stratification allows the evaluation team to set a floor on the number of beneficiaries targeted for recruitment within each state, which improves statistical power for within-state estimates while potentially resulting in only modest reductions in statistical power for pooled, multi</w:t>
      </w:r>
      <w:r>
        <w:noBreakHyphen/>
        <w:t>state estimates.  The evaluation team makes decisions to switch from implicit stratification to explicit stratification in conjunction based on an updated statistical power analysis conducted during the study’s design phase.</w:t>
      </w:r>
    </w:p>
  </w:footnote>
  <w:footnote w:id="3">
    <w:p w14:paraId="3086A25A" w14:textId="77777777" w:rsidR="00186ACF" w:rsidRDefault="00186ACF" w:rsidP="00D11996">
      <w:pPr>
        <w:pStyle w:val="FootnoteText"/>
      </w:pPr>
      <w:r>
        <w:rPr>
          <w:rStyle w:val="FootnoteReference"/>
        </w:rPr>
        <w:footnoteRef/>
      </w:r>
      <w:r>
        <w:t xml:space="preserve"> T</w:t>
      </w:r>
      <w:r w:rsidRPr="0033677F">
        <w:t>his OMB submission use</w:t>
      </w:r>
      <w:r>
        <w:t>s the terms</w:t>
      </w:r>
      <w:r w:rsidRPr="0033677F">
        <w:t xml:space="preserve"> response and nonresponse</w:t>
      </w:r>
      <w:r>
        <w:t xml:space="preserve">, rather than participation and nonparticipation (as in the AAPOR definitions), </w:t>
      </w:r>
      <w:r w:rsidRPr="0033677F">
        <w:t xml:space="preserve">to avoid confusion with </w:t>
      </w:r>
      <w:r>
        <w:t>“</w:t>
      </w:r>
      <w:r w:rsidRPr="0033677F">
        <w:t xml:space="preserve">participation in </w:t>
      </w:r>
      <w:r>
        <w:t>POD.”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1CDCA" w14:textId="77777777" w:rsidR="00186ACF" w:rsidRPr="00815778" w:rsidRDefault="00186ACF" w:rsidP="00BE5B0F">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78BF0C"/>
    <w:lvl w:ilvl="0">
      <w:start w:val="1"/>
      <w:numFmt w:val="decimal"/>
      <w:lvlText w:val="%1."/>
      <w:lvlJc w:val="left"/>
      <w:pPr>
        <w:tabs>
          <w:tab w:val="num" w:pos="1800"/>
        </w:tabs>
        <w:ind w:left="1800" w:hanging="360"/>
      </w:pPr>
    </w:lvl>
  </w:abstractNum>
  <w:abstractNum w:abstractNumId="2">
    <w:nsid w:val="FFFFFF7D"/>
    <w:multiLevelType w:val="singleLevel"/>
    <w:tmpl w:val="3E604F2E"/>
    <w:lvl w:ilvl="0">
      <w:start w:val="1"/>
      <w:numFmt w:val="decimal"/>
      <w:lvlText w:val="%1."/>
      <w:lvlJc w:val="left"/>
      <w:pPr>
        <w:tabs>
          <w:tab w:val="num" w:pos="1440"/>
        </w:tabs>
        <w:ind w:left="1440" w:hanging="360"/>
      </w:pPr>
    </w:lvl>
  </w:abstractNum>
  <w:abstractNum w:abstractNumId="3">
    <w:nsid w:val="FFFFFF7E"/>
    <w:multiLevelType w:val="singleLevel"/>
    <w:tmpl w:val="4E1AA234"/>
    <w:lvl w:ilvl="0">
      <w:start w:val="1"/>
      <w:numFmt w:val="decimal"/>
      <w:lvlText w:val="%1."/>
      <w:lvlJc w:val="left"/>
      <w:pPr>
        <w:tabs>
          <w:tab w:val="num" w:pos="1080"/>
        </w:tabs>
        <w:ind w:left="1080" w:hanging="360"/>
      </w:pPr>
    </w:lvl>
  </w:abstractNum>
  <w:abstractNum w:abstractNumId="4">
    <w:nsid w:val="FFFFFF7F"/>
    <w:multiLevelType w:val="singleLevel"/>
    <w:tmpl w:val="733E8F98"/>
    <w:lvl w:ilvl="0">
      <w:start w:val="1"/>
      <w:numFmt w:val="decimal"/>
      <w:lvlText w:val="%1."/>
      <w:lvlJc w:val="left"/>
      <w:pPr>
        <w:tabs>
          <w:tab w:val="num" w:pos="720"/>
        </w:tabs>
        <w:ind w:left="720" w:hanging="360"/>
      </w:pPr>
    </w:lvl>
  </w:abstractNum>
  <w:abstractNum w:abstractNumId="5">
    <w:nsid w:val="FFFFFF80"/>
    <w:multiLevelType w:val="singleLevel"/>
    <w:tmpl w:val="854AF8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0C81D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A0DFB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D5036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95CEA26"/>
    <w:lvl w:ilvl="0">
      <w:start w:val="1"/>
      <w:numFmt w:val="decimal"/>
      <w:lvlText w:val="%1."/>
      <w:lvlJc w:val="left"/>
      <w:pPr>
        <w:tabs>
          <w:tab w:val="num" w:pos="360"/>
        </w:tabs>
        <w:ind w:left="360" w:hanging="360"/>
      </w:pPr>
    </w:lvl>
  </w:abstractNum>
  <w:abstractNum w:abstractNumId="10">
    <w:nsid w:val="FFFFFF89"/>
    <w:multiLevelType w:val="singleLevel"/>
    <w:tmpl w:val="404400D6"/>
    <w:lvl w:ilvl="0">
      <w:start w:val="1"/>
      <w:numFmt w:val="bullet"/>
      <w:lvlText w:val=""/>
      <w:lvlJc w:val="left"/>
      <w:pPr>
        <w:tabs>
          <w:tab w:val="num" w:pos="360"/>
        </w:tabs>
        <w:ind w:left="360" w:hanging="360"/>
      </w:pPr>
      <w:rPr>
        <w:rFonts w:ascii="Symbol" w:hAnsi="Symbol" w:hint="default"/>
      </w:rPr>
    </w:lvl>
  </w:abstractNum>
  <w:abstractNum w:abstractNumId="11">
    <w:nsid w:val="00A03071"/>
    <w:multiLevelType w:val="hybridMultilevel"/>
    <w:tmpl w:val="276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75D71"/>
    <w:multiLevelType w:val="hybridMultilevel"/>
    <w:tmpl w:val="2A044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390D65"/>
    <w:multiLevelType w:val="hybridMultilevel"/>
    <w:tmpl w:val="37FE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C152FF"/>
    <w:multiLevelType w:val="hybridMultilevel"/>
    <w:tmpl w:val="FBB4E3A8"/>
    <w:lvl w:ilvl="0" w:tplc="94E226A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38F24A72"/>
    <w:multiLevelType w:val="hybridMultilevel"/>
    <w:tmpl w:val="6A4087B6"/>
    <w:lvl w:ilvl="0" w:tplc="372AABF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15C32F9"/>
    <w:multiLevelType w:val="hybridMultilevel"/>
    <w:tmpl w:val="596ACC78"/>
    <w:lvl w:ilvl="0" w:tplc="73C4B8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nsid w:val="4B3E53FF"/>
    <w:multiLevelType w:val="hybridMultilevel"/>
    <w:tmpl w:val="35C4049C"/>
    <w:lvl w:ilvl="0" w:tplc="2F508E6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A36E89"/>
    <w:multiLevelType w:val="multilevel"/>
    <w:tmpl w:val="7F707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nsid w:val="6FCC465F"/>
    <w:multiLevelType w:val="hybridMultilevel"/>
    <w:tmpl w:val="1ABAD82C"/>
    <w:lvl w:ilvl="0" w:tplc="D4FEC9DA">
      <w:start w:val="2"/>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DF08EA"/>
    <w:multiLevelType w:val="hybridMultilevel"/>
    <w:tmpl w:val="3CC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960810"/>
    <w:multiLevelType w:val="hybridMultilevel"/>
    <w:tmpl w:val="41C0D142"/>
    <w:lvl w:ilvl="0" w:tplc="23B2C5F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0"/>
  </w:num>
  <w:num w:numId="2">
    <w:abstractNumId w:val="31"/>
  </w:num>
  <w:num w:numId="3">
    <w:abstractNumId w:val="42"/>
  </w:num>
  <w:num w:numId="4">
    <w:abstractNumId w:val="17"/>
  </w:num>
  <w:num w:numId="5">
    <w:abstractNumId w:val="41"/>
  </w:num>
  <w:num w:numId="6">
    <w:abstractNumId w:val="45"/>
  </w:num>
  <w:num w:numId="7">
    <w:abstractNumId w:val="36"/>
  </w:num>
  <w:num w:numId="8">
    <w:abstractNumId w:val="0"/>
  </w:num>
  <w:num w:numId="9">
    <w:abstractNumId w:val="29"/>
  </w:num>
  <w:num w:numId="10">
    <w:abstractNumId w:val="21"/>
  </w:num>
  <w:num w:numId="11">
    <w:abstractNumId w:val="32"/>
  </w:num>
  <w:num w:numId="12">
    <w:abstractNumId w:val="15"/>
  </w:num>
  <w:num w:numId="13">
    <w:abstractNumId w:val="34"/>
  </w:num>
  <w:num w:numId="14">
    <w:abstractNumId w:val="13"/>
  </w:num>
  <w:num w:numId="15">
    <w:abstractNumId w:val="27"/>
  </w:num>
  <w:num w:numId="16">
    <w:abstractNumId w:val="38"/>
  </w:num>
  <w:num w:numId="17">
    <w:abstractNumId w:val="16"/>
  </w:num>
  <w:num w:numId="18">
    <w:abstractNumId w:val="12"/>
  </w:num>
  <w:num w:numId="19">
    <w:abstractNumId w:val="19"/>
  </w:num>
  <w:num w:numId="20">
    <w:abstractNumId w:val="28"/>
  </w:num>
  <w:num w:numId="21">
    <w:abstractNumId w:val="37"/>
  </w:num>
  <w:num w:numId="22">
    <w:abstractNumId w:val="35"/>
  </w:num>
  <w:num w:numId="23">
    <w:abstractNumId w:val="14"/>
  </w:num>
  <w:num w:numId="24">
    <w:abstractNumId w:val="29"/>
    <w:lvlOverride w:ilvl="0">
      <w:startOverride w:val="1"/>
    </w:lvlOverride>
  </w:num>
  <w:num w:numId="25">
    <w:abstractNumId w:val="20"/>
  </w:num>
  <w:num w:numId="26">
    <w:abstractNumId w:val="11"/>
  </w:num>
  <w:num w:numId="27">
    <w:abstractNumId w:val="23"/>
  </w:num>
  <w:num w:numId="28">
    <w:abstractNumId w:val="44"/>
  </w:num>
  <w:num w:numId="29">
    <w:abstractNumId w:val="26"/>
  </w:num>
  <w:num w:numId="30">
    <w:abstractNumId w:val="18"/>
  </w:num>
  <w:num w:numId="31">
    <w:abstractNumId w:val="3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 w:numId="44">
    <w:abstractNumId w:val="39"/>
  </w:num>
  <w:num w:numId="45">
    <w:abstractNumId w:val="25"/>
  </w:num>
  <w:num w:numId="46">
    <w:abstractNumId w:val="22"/>
  </w:num>
  <w:num w:numId="47">
    <w:abstractNumId w:val="24"/>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YwNTQ2tzAyNzYwMLFU0lEKTi0uzszPAykwqwUAfg+zjCwAAAA="/>
  </w:docVars>
  <w:rsids>
    <w:rsidRoot w:val="00D11996"/>
    <w:rsid w:val="000C0B1F"/>
    <w:rsid w:val="000D1C76"/>
    <w:rsid w:val="001062C0"/>
    <w:rsid w:val="001304EE"/>
    <w:rsid w:val="00132811"/>
    <w:rsid w:val="001602B3"/>
    <w:rsid w:val="00173C30"/>
    <w:rsid w:val="00181867"/>
    <w:rsid w:val="00184BCF"/>
    <w:rsid w:val="00186ACF"/>
    <w:rsid w:val="001C6279"/>
    <w:rsid w:val="001C65FE"/>
    <w:rsid w:val="001D56E9"/>
    <w:rsid w:val="00202C04"/>
    <w:rsid w:val="00206C9D"/>
    <w:rsid w:val="00215731"/>
    <w:rsid w:val="00243DF3"/>
    <w:rsid w:val="00262BD0"/>
    <w:rsid w:val="0029469C"/>
    <w:rsid w:val="002A45A8"/>
    <w:rsid w:val="002B0253"/>
    <w:rsid w:val="002D7179"/>
    <w:rsid w:val="002E1D87"/>
    <w:rsid w:val="00320ABF"/>
    <w:rsid w:val="00341043"/>
    <w:rsid w:val="0034310D"/>
    <w:rsid w:val="00364C7D"/>
    <w:rsid w:val="0039102B"/>
    <w:rsid w:val="00394B90"/>
    <w:rsid w:val="003A0FDB"/>
    <w:rsid w:val="003A2FEF"/>
    <w:rsid w:val="003D44DC"/>
    <w:rsid w:val="003E1348"/>
    <w:rsid w:val="003E4B43"/>
    <w:rsid w:val="003F498F"/>
    <w:rsid w:val="0040471E"/>
    <w:rsid w:val="0042012C"/>
    <w:rsid w:val="00444C2E"/>
    <w:rsid w:val="00450BCF"/>
    <w:rsid w:val="00477D9A"/>
    <w:rsid w:val="004966E9"/>
    <w:rsid w:val="004C24DD"/>
    <w:rsid w:val="004C75EC"/>
    <w:rsid w:val="004D26D9"/>
    <w:rsid w:val="00526CC7"/>
    <w:rsid w:val="00551FB1"/>
    <w:rsid w:val="005744A2"/>
    <w:rsid w:val="005836B5"/>
    <w:rsid w:val="0059433E"/>
    <w:rsid w:val="005D695F"/>
    <w:rsid w:val="006068CC"/>
    <w:rsid w:val="00641715"/>
    <w:rsid w:val="006678CC"/>
    <w:rsid w:val="006B22FA"/>
    <w:rsid w:val="006F251E"/>
    <w:rsid w:val="006F415F"/>
    <w:rsid w:val="00706926"/>
    <w:rsid w:val="00716462"/>
    <w:rsid w:val="00750BD6"/>
    <w:rsid w:val="00763ED6"/>
    <w:rsid w:val="00766A05"/>
    <w:rsid w:val="00787D9B"/>
    <w:rsid w:val="007A16D8"/>
    <w:rsid w:val="007C2014"/>
    <w:rsid w:val="007C49AF"/>
    <w:rsid w:val="007D30F2"/>
    <w:rsid w:val="007E439A"/>
    <w:rsid w:val="007E581A"/>
    <w:rsid w:val="007F6E83"/>
    <w:rsid w:val="008044FC"/>
    <w:rsid w:val="0082445D"/>
    <w:rsid w:val="0086044E"/>
    <w:rsid w:val="008654F4"/>
    <w:rsid w:val="00884F18"/>
    <w:rsid w:val="008C1D13"/>
    <w:rsid w:val="00900D8C"/>
    <w:rsid w:val="00903C30"/>
    <w:rsid w:val="009266B4"/>
    <w:rsid w:val="00927EB4"/>
    <w:rsid w:val="00973448"/>
    <w:rsid w:val="00973EE5"/>
    <w:rsid w:val="009765BA"/>
    <w:rsid w:val="00980B5F"/>
    <w:rsid w:val="0099785F"/>
    <w:rsid w:val="009A5842"/>
    <w:rsid w:val="009B6235"/>
    <w:rsid w:val="009D5C12"/>
    <w:rsid w:val="009F127C"/>
    <w:rsid w:val="009F434D"/>
    <w:rsid w:val="009F77CD"/>
    <w:rsid w:val="00A04D50"/>
    <w:rsid w:val="00A21B2C"/>
    <w:rsid w:val="00A46B07"/>
    <w:rsid w:val="00A5643D"/>
    <w:rsid w:val="00A56B8E"/>
    <w:rsid w:val="00A64B0C"/>
    <w:rsid w:val="00A83A87"/>
    <w:rsid w:val="00A83DD0"/>
    <w:rsid w:val="00AA1775"/>
    <w:rsid w:val="00AB0C46"/>
    <w:rsid w:val="00AF586E"/>
    <w:rsid w:val="00B025B6"/>
    <w:rsid w:val="00B103FF"/>
    <w:rsid w:val="00B10FBF"/>
    <w:rsid w:val="00B87FBF"/>
    <w:rsid w:val="00B92DB6"/>
    <w:rsid w:val="00B96940"/>
    <w:rsid w:val="00BA19FB"/>
    <w:rsid w:val="00BE5B0F"/>
    <w:rsid w:val="00C0583F"/>
    <w:rsid w:val="00C36CD8"/>
    <w:rsid w:val="00C37665"/>
    <w:rsid w:val="00C409BB"/>
    <w:rsid w:val="00C50DB2"/>
    <w:rsid w:val="00C958A6"/>
    <w:rsid w:val="00CA5427"/>
    <w:rsid w:val="00CC09D3"/>
    <w:rsid w:val="00CF38FA"/>
    <w:rsid w:val="00CF4243"/>
    <w:rsid w:val="00D01E50"/>
    <w:rsid w:val="00D11996"/>
    <w:rsid w:val="00D4649C"/>
    <w:rsid w:val="00D609BC"/>
    <w:rsid w:val="00D63309"/>
    <w:rsid w:val="00D70BA6"/>
    <w:rsid w:val="00D71782"/>
    <w:rsid w:val="00D86AF9"/>
    <w:rsid w:val="00DA275E"/>
    <w:rsid w:val="00DB29E0"/>
    <w:rsid w:val="00DD37D6"/>
    <w:rsid w:val="00E1351C"/>
    <w:rsid w:val="00E201F8"/>
    <w:rsid w:val="00E224EC"/>
    <w:rsid w:val="00E51088"/>
    <w:rsid w:val="00E53FD0"/>
    <w:rsid w:val="00E62191"/>
    <w:rsid w:val="00E87A07"/>
    <w:rsid w:val="00F13281"/>
    <w:rsid w:val="00F41C72"/>
    <w:rsid w:val="00F535D8"/>
    <w:rsid w:val="00F668B5"/>
    <w:rsid w:val="00FA3946"/>
    <w:rsid w:val="00FA793A"/>
    <w:rsid w:val="00FB0DBA"/>
    <w:rsid w:val="00FF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D11996"/>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D1199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D11996"/>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aliases w:val="Heading 4 (business proposal only)"/>
    <w:basedOn w:val="Normal"/>
    <w:next w:val="NormalSS"/>
    <w:link w:val="Heading4Char"/>
    <w:qFormat/>
    <w:rsid w:val="00D11996"/>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D11996"/>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D11996"/>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D11996"/>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D11996"/>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D11996"/>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96"/>
    <w:rPr>
      <w:rFonts w:ascii="Arial Black" w:eastAsia="Times New Roman" w:hAnsi="Arial Black"/>
      <w:caps/>
      <w:sz w:val="22"/>
    </w:rPr>
  </w:style>
  <w:style w:type="character" w:customStyle="1" w:styleId="Heading2Char">
    <w:name w:val="Heading 2 Char"/>
    <w:basedOn w:val="DefaultParagraphFont"/>
    <w:link w:val="Heading2"/>
    <w:semiHidden/>
    <w:rsid w:val="00D11996"/>
    <w:rPr>
      <w:rFonts w:ascii="Arial Black" w:eastAsia="Times New Roman" w:hAnsi="Arial Black"/>
      <w:caps/>
      <w:sz w:val="22"/>
    </w:rPr>
  </w:style>
  <w:style w:type="character" w:customStyle="1" w:styleId="Heading3Char">
    <w:name w:val="Heading 3 Char"/>
    <w:basedOn w:val="DefaultParagraphFont"/>
    <w:link w:val="Heading3"/>
    <w:semiHidden/>
    <w:rsid w:val="00D11996"/>
    <w:rPr>
      <w:rFonts w:ascii="Arial Black" w:eastAsia="Times New Roman" w:hAnsi="Arial Black"/>
      <w:sz w:val="22"/>
    </w:rPr>
  </w:style>
  <w:style w:type="character" w:customStyle="1" w:styleId="Heading4Char">
    <w:name w:val="Heading 4 Char"/>
    <w:aliases w:val="Heading 4 (business proposal only) Char"/>
    <w:basedOn w:val="DefaultParagraphFont"/>
    <w:link w:val="Heading4"/>
    <w:rsid w:val="00D11996"/>
    <w:rPr>
      <w:rFonts w:ascii="Times New Roman" w:eastAsia="Times New Roman" w:hAnsi="Times New Roman"/>
      <w:b/>
      <w:sz w:val="24"/>
    </w:rPr>
  </w:style>
  <w:style w:type="character" w:customStyle="1" w:styleId="Heading5Char">
    <w:name w:val="Heading 5 Char"/>
    <w:basedOn w:val="DefaultParagraphFont"/>
    <w:link w:val="Heading5"/>
    <w:semiHidden/>
    <w:rsid w:val="00D11996"/>
    <w:rPr>
      <w:rFonts w:ascii="Times New Roman" w:eastAsia="Times New Roman" w:hAnsi="Times New Roman"/>
      <w:b/>
      <w:sz w:val="24"/>
    </w:rPr>
  </w:style>
  <w:style w:type="character" w:customStyle="1" w:styleId="Heading6Char">
    <w:name w:val="Heading 6 Char"/>
    <w:basedOn w:val="DefaultParagraphFont"/>
    <w:link w:val="Heading6"/>
    <w:semiHidden/>
    <w:rsid w:val="00D11996"/>
    <w:rPr>
      <w:rFonts w:ascii="Times New Roman" w:eastAsia="Times New Roman" w:hAnsi="Times New Roman"/>
      <w:sz w:val="24"/>
    </w:rPr>
  </w:style>
  <w:style w:type="character" w:customStyle="1" w:styleId="Heading7Char">
    <w:name w:val="Heading 7 Char"/>
    <w:basedOn w:val="DefaultParagraphFont"/>
    <w:link w:val="Heading7"/>
    <w:semiHidden/>
    <w:rsid w:val="00D11996"/>
    <w:rPr>
      <w:rFonts w:ascii="Times New Roman" w:eastAsia="Times New Roman" w:hAnsi="Times New Roman"/>
      <w:sz w:val="24"/>
    </w:rPr>
  </w:style>
  <w:style w:type="character" w:customStyle="1" w:styleId="Heading8Char">
    <w:name w:val="Heading 8 Char"/>
    <w:basedOn w:val="DefaultParagraphFont"/>
    <w:link w:val="Heading8"/>
    <w:semiHidden/>
    <w:rsid w:val="00D11996"/>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D11996"/>
    <w:rPr>
      <w:rFonts w:ascii="Times New Roman" w:eastAsia="Times New Roman" w:hAnsi="Times New Roman"/>
      <w:sz w:val="24"/>
    </w:rPr>
  </w:style>
  <w:style w:type="paragraph" w:styleId="BalloonText">
    <w:name w:val="Balloon Text"/>
    <w:basedOn w:val="Normal"/>
    <w:link w:val="BalloonTextChar"/>
    <w:uiPriority w:val="99"/>
    <w:semiHidden/>
    <w:unhideWhenUsed/>
    <w:rsid w:val="00D11996"/>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1996"/>
    <w:rPr>
      <w:rFonts w:ascii="Tahoma" w:eastAsia="Times New Roman" w:hAnsi="Tahoma" w:cs="Tahoma"/>
      <w:sz w:val="16"/>
      <w:szCs w:val="16"/>
    </w:rPr>
  </w:style>
  <w:style w:type="paragraph" w:customStyle="1" w:styleId="AcknowledgmentnoTOC">
    <w:name w:val="Acknowledgment no TOC"/>
    <w:basedOn w:val="Normal"/>
    <w:next w:val="Normal"/>
    <w:qFormat/>
    <w:rsid w:val="00D11996"/>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D11996"/>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D11996"/>
    <w:pPr>
      <w:numPr>
        <w:numId w:val="2"/>
      </w:numPr>
      <w:spacing w:after="240"/>
      <w:ind w:left="432" w:hanging="432"/>
    </w:pPr>
  </w:style>
  <w:style w:type="paragraph" w:customStyle="1" w:styleId="BulletLastDS">
    <w:name w:val="Bullet (Last DS)"/>
    <w:basedOn w:val="Bullet"/>
    <w:next w:val="Normal"/>
    <w:qFormat/>
    <w:rsid w:val="00D11996"/>
    <w:pPr>
      <w:numPr>
        <w:numId w:val="3"/>
      </w:numPr>
      <w:spacing w:after="320"/>
      <w:ind w:left="432" w:hanging="432"/>
    </w:pPr>
  </w:style>
  <w:style w:type="paragraph" w:customStyle="1" w:styleId="Center">
    <w:name w:val="Center"/>
    <w:basedOn w:val="Normal"/>
    <w:semiHidden/>
    <w:unhideWhenUsed/>
    <w:rsid w:val="00D11996"/>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D11996"/>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D11996"/>
    <w:pPr>
      <w:numPr>
        <w:numId w:val="5"/>
      </w:numPr>
      <w:spacing w:after="240"/>
    </w:pPr>
  </w:style>
  <w:style w:type="paragraph" w:customStyle="1" w:styleId="DashLASTDS">
    <w:name w:val="Dash (LAST DS)"/>
    <w:basedOn w:val="Dash"/>
    <w:next w:val="Normal"/>
    <w:qFormat/>
    <w:rsid w:val="00D11996"/>
    <w:pPr>
      <w:spacing w:after="320"/>
    </w:pPr>
    <w:rPr>
      <w:szCs w:val="24"/>
    </w:rPr>
  </w:style>
  <w:style w:type="paragraph" w:styleId="Footer">
    <w:name w:val="footer"/>
    <w:basedOn w:val="Normal"/>
    <w:link w:val="FooterChar"/>
    <w:uiPriority w:val="99"/>
    <w:qFormat/>
    <w:rsid w:val="00D11996"/>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D11996"/>
    <w:rPr>
      <w:rFonts w:ascii="Arial" w:eastAsia="Times New Roman" w:hAnsi="Arial"/>
    </w:rPr>
  </w:style>
  <w:style w:type="paragraph" w:styleId="DocumentMap">
    <w:name w:val="Document Map"/>
    <w:basedOn w:val="Normal"/>
    <w:link w:val="DocumentMapChar"/>
    <w:semiHidden/>
    <w:unhideWhenUsed/>
    <w:rsid w:val="00D11996"/>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D11996"/>
    <w:rPr>
      <w:rFonts w:ascii="Cambria" w:eastAsia="Times New Roman" w:hAnsi="Cambria"/>
      <w:sz w:val="24"/>
    </w:rPr>
  </w:style>
  <w:style w:type="character" w:styleId="FootnoteReference">
    <w:name w:val="footnote reference"/>
    <w:aliases w:val="*Footnote Reference"/>
    <w:qFormat/>
    <w:rsid w:val="00D11996"/>
    <w:rPr>
      <w:rFonts w:ascii="Times New Roman" w:hAnsi="Times New Roman"/>
      <w:color w:val="auto"/>
      <w:spacing w:val="0"/>
      <w:position w:val="0"/>
      <w:sz w:val="24"/>
      <w:u w:color="000080"/>
      <w:effect w:val="none"/>
      <w:vertAlign w:val="superscript"/>
    </w:rPr>
  </w:style>
  <w:style w:type="paragraph" w:styleId="FootnoteText">
    <w:name w:val="footnote text"/>
    <w:aliases w:val="F1 Char,F1,FOOTNOTE"/>
    <w:basedOn w:val="Normal"/>
    <w:link w:val="FootnoteTextChar"/>
    <w:qFormat/>
    <w:rsid w:val="00D11996"/>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Char,F1 Char1,FOOTNOTE Char"/>
    <w:basedOn w:val="DefaultParagraphFont"/>
    <w:link w:val="FootnoteText"/>
    <w:rsid w:val="00D11996"/>
    <w:rPr>
      <w:rFonts w:ascii="Times New Roman" w:eastAsia="Times New Roman" w:hAnsi="Times New Roman"/>
    </w:rPr>
  </w:style>
  <w:style w:type="paragraph" w:styleId="Header">
    <w:name w:val="header"/>
    <w:basedOn w:val="Normal"/>
    <w:link w:val="HeaderChar"/>
    <w:qFormat/>
    <w:rsid w:val="00D11996"/>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D11996"/>
    <w:rPr>
      <w:rFonts w:ascii="Arial" w:eastAsia="Times New Roman" w:hAnsi="Arial"/>
      <w:caps/>
      <w:sz w:val="16"/>
    </w:rPr>
  </w:style>
  <w:style w:type="paragraph" w:customStyle="1" w:styleId="Heading3NoTOC">
    <w:name w:val="Heading 3_No TOC"/>
    <w:basedOn w:val="Normal"/>
    <w:next w:val="NormalSS"/>
    <w:semiHidden/>
    <w:qFormat/>
    <w:rsid w:val="00D11996"/>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D11996"/>
    <w:pPr>
      <w:outlineLvl w:val="9"/>
    </w:pPr>
  </w:style>
  <w:style w:type="paragraph" w:customStyle="1" w:styleId="MarkforAppendixTitle">
    <w:name w:val="Mark for Appendix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D11996"/>
  </w:style>
  <w:style w:type="paragraph" w:customStyle="1" w:styleId="MarkforTableTitle">
    <w:name w:val="Mark for Table Title"/>
    <w:basedOn w:val="Normal"/>
    <w:next w:val="NormalSS"/>
    <w:qFormat/>
    <w:rsid w:val="00D11996"/>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D11996"/>
  </w:style>
  <w:style w:type="numbering" w:customStyle="1" w:styleId="MPROutline">
    <w:name w:val="MPROutline"/>
    <w:uiPriority w:val="99"/>
    <w:locked/>
    <w:rsid w:val="00D11996"/>
    <w:pPr>
      <w:numPr>
        <w:numId w:val="7"/>
      </w:numPr>
    </w:pPr>
  </w:style>
  <w:style w:type="character" w:customStyle="1" w:styleId="MTEquationSection">
    <w:name w:val="MTEquationSection"/>
    <w:rsid w:val="00D11996"/>
    <w:rPr>
      <w:rFonts w:ascii="Arial" w:hAnsi="Arial"/>
      <w:vanish/>
      <w:color w:val="auto"/>
      <w:sz w:val="18"/>
    </w:rPr>
  </w:style>
  <w:style w:type="paragraph" w:customStyle="1" w:styleId="Normalcontinued">
    <w:name w:val="Normal (continued)"/>
    <w:basedOn w:val="Normal"/>
    <w:next w:val="Normal"/>
    <w:qFormat/>
    <w:rsid w:val="00D11996"/>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D11996"/>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D11996"/>
    <w:pPr>
      <w:ind w:firstLine="0"/>
    </w:pPr>
  </w:style>
  <w:style w:type="paragraph" w:customStyle="1" w:styleId="NumberedBullet">
    <w:name w:val="Numbered Bullet"/>
    <w:basedOn w:val="Normal"/>
    <w:link w:val="NumberedBulletChar"/>
    <w:qFormat/>
    <w:rsid w:val="00D11996"/>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D11996"/>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D11996"/>
    <w:rPr>
      <w:rFonts w:ascii="Arial" w:hAnsi="Arial"/>
      <w:color w:val="auto"/>
      <w:sz w:val="20"/>
      <w:bdr w:val="none" w:sz="0" w:space="0" w:color="auto"/>
    </w:rPr>
  </w:style>
  <w:style w:type="paragraph" w:customStyle="1" w:styleId="References">
    <w:name w:val="References"/>
    <w:basedOn w:val="Normal"/>
    <w:qFormat/>
    <w:rsid w:val="00D11996"/>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D11996"/>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D11996"/>
    <w:pPr>
      <w:spacing w:before="120" w:after="60"/>
    </w:pPr>
    <w:rPr>
      <w:b/>
      <w:color w:val="FFFFFF"/>
    </w:rPr>
  </w:style>
  <w:style w:type="paragraph" w:customStyle="1" w:styleId="TableHeaderCenter">
    <w:name w:val="Table Header Center"/>
    <w:basedOn w:val="TableHeaderLeft"/>
    <w:qFormat/>
    <w:rsid w:val="00D11996"/>
    <w:pPr>
      <w:jc w:val="center"/>
    </w:pPr>
  </w:style>
  <w:style w:type="paragraph" w:styleId="TableofFigures">
    <w:name w:val="table of figures"/>
    <w:basedOn w:val="Normal"/>
    <w:next w:val="Normal"/>
    <w:uiPriority w:val="99"/>
    <w:rsid w:val="00D11996"/>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D11996"/>
    <w:pPr>
      <w:spacing w:after="0" w:line="240" w:lineRule="auto"/>
    </w:pPr>
    <w:rPr>
      <w:rFonts w:ascii="Arial" w:eastAsia="Times New Roman" w:hAnsi="Arial"/>
      <w:sz w:val="18"/>
      <w:szCs w:val="20"/>
    </w:rPr>
  </w:style>
  <w:style w:type="paragraph" w:customStyle="1" w:styleId="TableSourceCaption">
    <w:name w:val="Table Source_Caption"/>
    <w:qFormat/>
    <w:rsid w:val="00D11996"/>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D11996"/>
  </w:style>
  <w:style w:type="paragraph" w:customStyle="1" w:styleId="Tabletext8">
    <w:name w:val="Table text 8"/>
    <w:basedOn w:val="TableText"/>
    <w:qFormat/>
    <w:rsid w:val="00D11996"/>
    <w:rPr>
      <w:snapToGrid w:val="0"/>
      <w:sz w:val="16"/>
      <w:szCs w:val="16"/>
    </w:rPr>
  </w:style>
  <w:style w:type="paragraph" w:customStyle="1" w:styleId="TableSpace">
    <w:name w:val="TableSpace"/>
    <w:basedOn w:val="TableSourceCaption"/>
    <w:next w:val="TableFootnoteCaption"/>
    <w:semiHidden/>
    <w:qFormat/>
    <w:rsid w:val="00D11996"/>
  </w:style>
  <w:style w:type="paragraph" w:styleId="Title">
    <w:name w:val="Title"/>
    <w:basedOn w:val="Normal"/>
    <w:next w:val="Normal"/>
    <w:link w:val="TitleChar"/>
    <w:rsid w:val="00D11996"/>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D11996"/>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D11996"/>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D11996"/>
    <w:pPr>
      <w:spacing w:before="0" w:after="160"/>
    </w:pPr>
  </w:style>
  <w:style w:type="paragraph" w:customStyle="1" w:styleId="TitleofDocumentNoPhoto">
    <w:name w:val="Title of Document No Photo"/>
    <w:basedOn w:val="TitleofDocumentHorizontal"/>
    <w:semiHidden/>
    <w:qFormat/>
    <w:rsid w:val="00D11996"/>
  </w:style>
  <w:style w:type="paragraph" w:styleId="TOC1">
    <w:name w:val="toc 1"/>
    <w:next w:val="Normalcontinued"/>
    <w:autoRedefine/>
    <w:uiPriority w:val="39"/>
    <w:qFormat/>
    <w:rsid w:val="00D11996"/>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D11996"/>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D11996"/>
    <w:pPr>
      <w:tabs>
        <w:tab w:val="clear" w:pos="1080"/>
        <w:tab w:val="left" w:pos="1440"/>
      </w:tabs>
      <w:spacing w:after="120"/>
      <w:ind w:left="1440"/>
    </w:pPr>
  </w:style>
  <w:style w:type="paragraph" w:styleId="TOC4">
    <w:name w:val="toc 4"/>
    <w:next w:val="Normal"/>
    <w:autoRedefine/>
    <w:qFormat/>
    <w:rsid w:val="00D11996"/>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D11996"/>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D11996"/>
    <w:pPr>
      <w:spacing w:after="100"/>
    </w:pPr>
    <w:rPr>
      <w:rFonts w:ascii="Cambria" w:eastAsia="Times New Roman" w:hAnsi="Cambria"/>
      <w:noProof/>
      <w:sz w:val="16"/>
      <w:szCs w:val="19"/>
    </w:rPr>
  </w:style>
  <w:style w:type="character" w:customStyle="1" w:styleId="NumberedBulletChar">
    <w:name w:val="Numbered Bullet Char"/>
    <w:link w:val="NumberedBullet"/>
    <w:rsid w:val="00D11996"/>
    <w:rPr>
      <w:rFonts w:ascii="Times New Roman" w:eastAsia="Times New Roman" w:hAnsi="Times New Roman"/>
      <w:sz w:val="24"/>
    </w:rPr>
  </w:style>
  <w:style w:type="paragraph" w:customStyle="1" w:styleId="NumberedBulletLastDS">
    <w:name w:val="Numbered Bullet (Last DS)"/>
    <w:basedOn w:val="NumberedBullet"/>
    <w:next w:val="Normal"/>
    <w:qFormat/>
    <w:rsid w:val="00D11996"/>
    <w:pPr>
      <w:spacing w:after="320"/>
    </w:pPr>
  </w:style>
  <w:style w:type="paragraph" w:customStyle="1" w:styleId="NumberedBulletLastSS">
    <w:name w:val="Numbered Bullet (Last SS)"/>
    <w:basedOn w:val="NumberedBulletLastDS"/>
    <w:next w:val="NormalSS"/>
    <w:qFormat/>
    <w:rsid w:val="00D11996"/>
    <w:pPr>
      <w:spacing w:after="240"/>
    </w:pPr>
  </w:style>
  <w:style w:type="table" w:styleId="LightList">
    <w:name w:val="Light List"/>
    <w:basedOn w:val="TableNormal"/>
    <w:uiPriority w:val="61"/>
    <w:rsid w:val="00D11996"/>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D1199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96"/>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D11996"/>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D11996"/>
    <w:pPr>
      <w:ind w:left="432" w:hanging="432"/>
      <w:outlineLvl w:val="1"/>
    </w:pPr>
  </w:style>
  <w:style w:type="character" w:customStyle="1" w:styleId="H1TitleChar">
    <w:name w:val="H1_Title Char"/>
    <w:link w:val="H1Title"/>
    <w:rsid w:val="00D11996"/>
    <w:rPr>
      <w:rFonts w:ascii="Arial Black" w:eastAsia="Times New Roman" w:hAnsi="Arial Black"/>
      <w:color w:val="E70033"/>
      <w:sz w:val="37"/>
    </w:rPr>
  </w:style>
  <w:style w:type="paragraph" w:customStyle="1" w:styleId="H3Alpha">
    <w:name w:val="H3_Alpha"/>
    <w:basedOn w:val="Heading2"/>
    <w:next w:val="NormalSS"/>
    <w:link w:val="H3AlphaChar"/>
    <w:qFormat/>
    <w:rsid w:val="00D1199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D11996"/>
    <w:rPr>
      <w:rFonts w:ascii="Arial Black" w:eastAsia="Times New Roman" w:hAnsi="Arial Black"/>
      <w:caps/>
      <w:sz w:val="22"/>
    </w:rPr>
  </w:style>
  <w:style w:type="paragraph" w:customStyle="1" w:styleId="H3AlphaNoTOC">
    <w:name w:val="H3_Alpha_No TOC"/>
    <w:basedOn w:val="H3Alpha"/>
    <w:next w:val="NormalSS"/>
    <w:link w:val="H3AlphaNoTOCChar"/>
    <w:qFormat/>
    <w:rsid w:val="00D11996"/>
    <w:pPr>
      <w:outlineLvl w:val="9"/>
    </w:pPr>
  </w:style>
  <w:style w:type="character" w:customStyle="1" w:styleId="H3AlphaChar">
    <w:name w:val="H3_Alpha Char"/>
    <w:link w:val="H3Alpha"/>
    <w:rsid w:val="00D11996"/>
    <w:rPr>
      <w:rFonts w:ascii="Arial Black" w:eastAsia="Times New Roman" w:hAnsi="Arial Black"/>
      <w:sz w:val="22"/>
    </w:rPr>
  </w:style>
  <w:style w:type="paragraph" w:customStyle="1" w:styleId="H4Number">
    <w:name w:val="H4_Number"/>
    <w:basedOn w:val="Heading3"/>
    <w:next w:val="NormalSS"/>
    <w:link w:val="H4NumberChar"/>
    <w:qFormat/>
    <w:rsid w:val="00D11996"/>
    <w:pPr>
      <w:outlineLvl w:val="3"/>
    </w:pPr>
    <w:rPr>
      <w:rFonts w:ascii="Times New Roman" w:hAnsi="Times New Roman"/>
      <w:b/>
      <w:sz w:val="24"/>
    </w:rPr>
  </w:style>
  <w:style w:type="character" w:customStyle="1" w:styleId="H3AlphaNoTOCChar">
    <w:name w:val="H3_Alpha_No TOC Char"/>
    <w:link w:val="H3AlphaNoTOC"/>
    <w:rsid w:val="00D11996"/>
    <w:rPr>
      <w:rFonts w:ascii="Arial Black" w:eastAsia="Times New Roman" w:hAnsi="Arial Black"/>
      <w:sz w:val="22"/>
    </w:rPr>
  </w:style>
  <w:style w:type="paragraph" w:customStyle="1" w:styleId="H4NumberNoTOC">
    <w:name w:val="H4_Number_No TOC"/>
    <w:basedOn w:val="H4Number"/>
    <w:next w:val="NormalSS"/>
    <w:link w:val="H4NumberNoTOCChar"/>
    <w:qFormat/>
    <w:rsid w:val="00D11996"/>
    <w:pPr>
      <w:outlineLvl w:val="9"/>
    </w:pPr>
  </w:style>
  <w:style w:type="character" w:customStyle="1" w:styleId="H4NumberChar">
    <w:name w:val="H4_Number Char"/>
    <w:link w:val="H4Number"/>
    <w:rsid w:val="00D11996"/>
    <w:rPr>
      <w:rFonts w:ascii="Times New Roman" w:eastAsia="Times New Roman" w:hAnsi="Times New Roman"/>
      <w:b/>
      <w:sz w:val="24"/>
    </w:rPr>
  </w:style>
  <w:style w:type="paragraph" w:customStyle="1" w:styleId="H5Lower">
    <w:name w:val="H5_Lower"/>
    <w:basedOn w:val="Heading4"/>
    <w:next w:val="NormalSS"/>
    <w:link w:val="H5LowerChar"/>
    <w:qFormat/>
    <w:rsid w:val="00D11996"/>
    <w:pPr>
      <w:outlineLvl w:val="4"/>
    </w:pPr>
  </w:style>
  <w:style w:type="character" w:customStyle="1" w:styleId="H4NumberNoTOCChar">
    <w:name w:val="H4_Number_No TOC Char"/>
    <w:link w:val="H4NumberNoTOC"/>
    <w:rsid w:val="00D11996"/>
    <w:rPr>
      <w:rFonts w:ascii="Times New Roman" w:eastAsia="Times New Roman" w:hAnsi="Times New Roman"/>
      <w:b/>
      <w:sz w:val="24"/>
    </w:rPr>
  </w:style>
  <w:style w:type="character" w:customStyle="1" w:styleId="H5LowerChar">
    <w:name w:val="H5_Lower Char"/>
    <w:link w:val="H5Lower"/>
    <w:rsid w:val="00D11996"/>
    <w:rPr>
      <w:rFonts w:ascii="Times New Roman" w:eastAsia="Times New Roman" w:hAnsi="Times New Roman"/>
      <w:b/>
      <w:sz w:val="24"/>
    </w:rPr>
  </w:style>
  <w:style w:type="table" w:customStyle="1" w:styleId="MPRBaseTable1">
    <w:name w:val="MPR Base Table1"/>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uiPriority w:val="99"/>
    <w:semiHidden/>
    <w:unhideWhenUsed/>
    <w:rsid w:val="00D11996"/>
    <w:rPr>
      <w:sz w:val="16"/>
      <w:szCs w:val="16"/>
    </w:rPr>
  </w:style>
  <w:style w:type="paragraph" w:styleId="CommentText">
    <w:name w:val="annotation text"/>
    <w:basedOn w:val="Normal"/>
    <w:link w:val="CommentTextChar"/>
    <w:uiPriority w:val="99"/>
    <w:unhideWhenUsed/>
    <w:rsid w:val="00D11996"/>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11996"/>
    <w:rPr>
      <w:rFonts w:ascii="Times New Roman" w:eastAsia="Times New Roman" w:hAnsi="Times New Roman"/>
    </w:rPr>
  </w:style>
  <w:style w:type="paragraph" w:customStyle="1" w:styleId="Tablebullet">
    <w:name w:val="Table bullet"/>
    <w:basedOn w:val="TableText"/>
    <w:qFormat/>
    <w:rsid w:val="00D11996"/>
    <w:pPr>
      <w:numPr>
        <w:numId w:val="33"/>
      </w:numPr>
      <w:ind w:left="187" w:hanging="187"/>
    </w:pPr>
  </w:style>
  <w:style w:type="paragraph" w:styleId="CommentSubject">
    <w:name w:val="annotation subject"/>
    <w:basedOn w:val="CommentText"/>
    <w:next w:val="CommentText"/>
    <w:link w:val="CommentSubjectChar"/>
    <w:uiPriority w:val="99"/>
    <w:semiHidden/>
    <w:unhideWhenUsed/>
    <w:rsid w:val="00D11996"/>
    <w:rPr>
      <w:b/>
      <w:bCs/>
    </w:rPr>
  </w:style>
  <w:style w:type="character" w:customStyle="1" w:styleId="CommentSubjectChar">
    <w:name w:val="Comment Subject Char"/>
    <w:basedOn w:val="CommentTextChar"/>
    <w:link w:val="CommentSubject"/>
    <w:uiPriority w:val="99"/>
    <w:semiHidden/>
    <w:rsid w:val="00D11996"/>
    <w:rPr>
      <w:rFonts w:ascii="Times New Roman" w:eastAsia="Times New Roman" w:hAnsi="Times New Roman"/>
      <w:b/>
      <w:bCs/>
    </w:rPr>
  </w:style>
  <w:style w:type="paragraph" w:styleId="Revision">
    <w:name w:val="Revision"/>
    <w:hidden/>
    <w:uiPriority w:val="99"/>
    <w:semiHidden/>
    <w:rsid w:val="00D11996"/>
    <w:rPr>
      <w:rFonts w:ascii="Times New Roman" w:eastAsia="Times New Roman" w:hAnsi="Times New Roman"/>
      <w:sz w:val="24"/>
    </w:rPr>
  </w:style>
  <w:style w:type="character" w:customStyle="1" w:styleId="NormalSSChar">
    <w:name w:val="NormalSS Char"/>
    <w:link w:val="NormalSS"/>
    <w:locked/>
    <w:rsid w:val="00D11996"/>
    <w:rPr>
      <w:rFonts w:ascii="Times New Roman" w:eastAsia="Times New Roman" w:hAnsi="Times New Roman"/>
      <w:sz w:val="24"/>
    </w:rPr>
  </w:style>
  <w:style w:type="paragraph" w:customStyle="1" w:styleId="Style1">
    <w:name w:val="Style1"/>
    <w:basedOn w:val="Tablebullet"/>
    <w:qFormat/>
    <w:rsid w:val="00D11996"/>
  </w:style>
  <w:style w:type="paragraph" w:customStyle="1" w:styleId="disclosure">
    <w:name w:val="disclosure"/>
    <w:basedOn w:val="Footer"/>
    <w:qFormat/>
    <w:rsid w:val="00D11996"/>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D11996"/>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D11996"/>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H6">
    <w:name w:val="H6"/>
    <w:basedOn w:val="NormalSS"/>
    <w:rsid w:val="00D11996"/>
    <w:pPr>
      <w:ind w:firstLine="0"/>
    </w:pPr>
    <w:rPr>
      <w:b/>
    </w:rPr>
  </w:style>
  <w:style w:type="character" w:styleId="Hyperlink">
    <w:name w:val="Hyperlink"/>
    <w:basedOn w:val="DefaultParagraphFont"/>
    <w:uiPriority w:val="99"/>
    <w:unhideWhenUsed/>
    <w:rsid w:val="00763E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D11996"/>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D1199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D11996"/>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aliases w:val="Heading 4 (business proposal only)"/>
    <w:basedOn w:val="Normal"/>
    <w:next w:val="NormalSS"/>
    <w:link w:val="Heading4Char"/>
    <w:qFormat/>
    <w:rsid w:val="00D11996"/>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D11996"/>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D11996"/>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D11996"/>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D11996"/>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D11996"/>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96"/>
    <w:rPr>
      <w:rFonts w:ascii="Arial Black" w:eastAsia="Times New Roman" w:hAnsi="Arial Black"/>
      <w:caps/>
      <w:sz w:val="22"/>
    </w:rPr>
  </w:style>
  <w:style w:type="character" w:customStyle="1" w:styleId="Heading2Char">
    <w:name w:val="Heading 2 Char"/>
    <w:basedOn w:val="DefaultParagraphFont"/>
    <w:link w:val="Heading2"/>
    <w:semiHidden/>
    <w:rsid w:val="00D11996"/>
    <w:rPr>
      <w:rFonts w:ascii="Arial Black" w:eastAsia="Times New Roman" w:hAnsi="Arial Black"/>
      <w:caps/>
      <w:sz w:val="22"/>
    </w:rPr>
  </w:style>
  <w:style w:type="character" w:customStyle="1" w:styleId="Heading3Char">
    <w:name w:val="Heading 3 Char"/>
    <w:basedOn w:val="DefaultParagraphFont"/>
    <w:link w:val="Heading3"/>
    <w:semiHidden/>
    <w:rsid w:val="00D11996"/>
    <w:rPr>
      <w:rFonts w:ascii="Arial Black" w:eastAsia="Times New Roman" w:hAnsi="Arial Black"/>
      <w:sz w:val="22"/>
    </w:rPr>
  </w:style>
  <w:style w:type="character" w:customStyle="1" w:styleId="Heading4Char">
    <w:name w:val="Heading 4 Char"/>
    <w:aliases w:val="Heading 4 (business proposal only) Char"/>
    <w:basedOn w:val="DefaultParagraphFont"/>
    <w:link w:val="Heading4"/>
    <w:rsid w:val="00D11996"/>
    <w:rPr>
      <w:rFonts w:ascii="Times New Roman" w:eastAsia="Times New Roman" w:hAnsi="Times New Roman"/>
      <w:b/>
      <w:sz w:val="24"/>
    </w:rPr>
  </w:style>
  <w:style w:type="character" w:customStyle="1" w:styleId="Heading5Char">
    <w:name w:val="Heading 5 Char"/>
    <w:basedOn w:val="DefaultParagraphFont"/>
    <w:link w:val="Heading5"/>
    <w:semiHidden/>
    <w:rsid w:val="00D11996"/>
    <w:rPr>
      <w:rFonts w:ascii="Times New Roman" w:eastAsia="Times New Roman" w:hAnsi="Times New Roman"/>
      <w:b/>
      <w:sz w:val="24"/>
    </w:rPr>
  </w:style>
  <w:style w:type="character" w:customStyle="1" w:styleId="Heading6Char">
    <w:name w:val="Heading 6 Char"/>
    <w:basedOn w:val="DefaultParagraphFont"/>
    <w:link w:val="Heading6"/>
    <w:semiHidden/>
    <w:rsid w:val="00D11996"/>
    <w:rPr>
      <w:rFonts w:ascii="Times New Roman" w:eastAsia="Times New Roman" w:hAnsi="Times New Roman"/>
      <w:sz w:val="24"/>
    </w:rPr>
  </w:style>
  <w:style w:type="character" w:customStyle="1" w:styleId="Heading7Char">
    <w:name w:val="Heading 7 Char"/>
    <w:basedOn w:val="DefaultParagraphFont"/>
    <w:link w:val="Heading7"/>
    <w:semiHidden/>
    <w:rsid w:val="00D11996"/>
    <w:rPr>
      <w:rFonts w:ascii="Times New Roman" w:eastAsia="Times New Roman" w:hAnsi="Times New Roman"/>
      <w:sz w:val="24"/>
    </w:rPr>
  </w:style>
  <w:style w:type="character" w:customStyle="1" w:styleId="Heading8Char">
    <w:name w:val="Heading 8 Char"/>
    <w:basedOn w:val="DefaultParagraphFont"/>
    <w:link w:val="Heading8"/>
    <w:semiHidden/>
    <w:rsid w:val="00D11996"/>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D11996"/>
    <w:rPr>
      <w:rFonts w:ascii="Times New Roman" w:eastAsia="Times New Roman" w:hAnsi="Times New Roman"/>
      <w:sz w:val="24"/>
    </w:rPr>
  </w:style>
  <w:style w:type="paragraph" w:styleId="BalloonText">
    <w:name w:val="Balloon Text"/>
    <w:basedOn w:val="Normal"/>
    <w:link w:val="BalloonTextChar"/>
    <w:uiPriority w:val="99"/>
    <w:semiHidden/>
    <w:unhideWhenUsed/>
    <w:rsid w:val="00D11996"/>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1996"/>
    <w:rPr>
      <w:rFonts w:ascii="Tahoma" w:eastAsia="Times New Roman" w:hAnsi="Tahoma" w:cs="Tahoma"/>
      <w:sz w:val="16"/>
      <w:szCs w:val="16"/>
    </w:rPr>
  </w:style>
  <w:style w:type="paragraph" w:customStyle="1" w:styleId="AcknowledgmentnoTOC">
    <w:name w:val="Acknowledgment no TOC"/>
    <w:basedOn w:val="Normal"/>
    <w:next w:val="Normal"/>
    <w:qFormat/>
    <w:rsid w:val="00D11996"/>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D11996"/>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D11996"/>
    <w:pPr>
      <w:numPr>
        <w:numId w:val="2"/>
      </w:numPr>
      <w:spacing w:after="240"/>
      <w:ind w:left="432" w:hanging="432"/>
    </w:pPr>
  </w:style>
  <w:style w:type="paragraph" w:customStyle="1" w:styleId="BulletLastDS">
    <w:name w:val="Bullet (Last DS)"/>
    <w:basedOn w:val="Bullet"/>
    <w:next w:val="Normal"/>
    <w:qFormat/>
    <w:rsid w:val="00D11996"/>
    <w:pPr>
      <w:numPr>
        <w:numId w:val="3"/>
      </w:numPr>
      <w:spacing w:after="320"/>
      <w:ind w:left="432" w:hanging="432"/>
    </w:pPr>
  </w:style>
  <w:style w:type="paragraph" w:customStyle="1" w:styleId="Center">
    <w:name w:val="Center"/>
    <w:basedOn w:val="Normal"/>
    <w:semiHidden/>
    <w:unhideWhenUsed/>
    <w:rsid w:val="00D11996"/>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D11996"/>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D11996"/>
    <w:pPr>
      <w:numPr>
        <w:numId w:val="5"/>
      </w:numPr>
      <w:spacing w:after="240"/>
    </w:pPr>
  </w:style>
  <w:style w:type="paragraph" w:customStyle="1" w:styleId="DashLASTDS">
    <w:name w:val="Dash (LAST DS)"/>
    <w:basedOn w:val="Dash"/>
    <w:next w:val="Normal"/>
    <w:qFormat/>
    <w:rsid w:val="00D11996"/>
    <w:pPr>
      <w:spacing w:after="320"/>
    </w:pPr>
    <w:rPr>
      <w:szCs w:val="24"/>
    </w:rPr>
  </w:style>
  <w:style w:type="paragraph" w:styleId="Footer">
    <w:name w:val="footer"/>
    <w:basedOn w:val="Normal"/>
    <w:link w:val="FooterChar"/>
    <w:uiPriority w:val="99"/>
    <w:qFormat/>
    <w:rsid w:val="00D11996"/>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D11996"/>
    <w:rPr>
      <w:rFonts w:ascii="Arial" w:eastAsia="Times New Roman" w:hAnsi="Arial"/>
    </w:rPr>
  </w:style>
  <w:style w:type="paragraph" w:styleId="DocumentMap">
    <w:name w:val="Document Map"/>
    <w:basedOn w:val="Normal"/>
    <w:link w:val="DocumentMapChar"/>
    <w:semiHidden/>
    <w:unhideWhenUsed/>
    <w:rsid w:val="00D11996"/>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D11996"/>
    <w:rPr>
      <w:rFonts w:ascii="Cambria" w:eastAsia="Times New Roman" w:hAnsi="Cambria"/>
      <w:sz w:val="24"/>
    </w:rPr>
  </w:style>
  <w:style w:type="character" w:styleId="FootnoteReference">
    <w:name w:val="footnote reference"/>
    <w:aliases w:val="*Footnote Reference"/>
    <w:qFormat/>
    <w:rsid w:val="00D11996"/>
    <w:rPr>
      <w:rFonts w:ascii="Times New Roman" w:hAnsi="Times New Roman"/>
      <w:color w:val="auto"/>
      <w:spacing w:val="0"/>
      <w:position w:val="0"/>
      <w:sz w:val="24"/>
      <w:u w:color="000080"/>
      <w:effect w:val="none"/>
      <w:vertAlign w:val="superscript"/>
    </w:rPr>
  </w:style>
  <w:style w:type="paragraph" w:styleId="FootnoteText">
    <w:name w:val="footnote text"/>
    <w:aliases w:val="F1 Char,F1,FOOTNOTE"/>
    <w:basedOn w:val="Normal"/>
    <w:link w:val="FootnoteTextChar"/>
    <w:qFormat/>
    <w:rsid w:val="00D11996"/>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Char,F1 Char1,FOOTNOTE Char"/>
    <w:basedOn w:val="DefaultParagraphFont"/>
    <w:link w:val="FootnoteText"/>
    <w:rsid w:val="00D11996"/>
    <w:rPr>
      <w:rFonts w:ascii="Times New Roman" w:eastAsia="Times New Roman" w:hAnsi="Times New Roman"/>
    </w:rPr>
  </w:style>
  <w:style w:type="paragraph" w:styleId="Header">
    <w:name w:val="header"/>
    <w:basedOn w:val="Normal"/>
    <w:link w:val="HeaderChar"/>
    <w:qFormat/>
    <w:rsid w:val="00D11996"/>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D11996"/>
    <w:rPr>
      <w:rFonts w:ascii="Arial" w:eastAsia="Times New Roman" w:hAnsi="Arial"/>
      <w:caps/>
      <w:sz w:val="16"/>
    </w:rPr>
  </w:style>
  <w:style w:type="paragraph" w:customStyle="1" w:styleId="Heading3NoTOC">
    <w:name w:val="Heading 3_No TOC"/>
    <w:basedOn w:val="Normal"/>
    <w:next w:val="NormalSS"/>
    <w:semiHidden/>
    <w:qFormat/>
    <w:rsid w:val="00D11996"/>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D11996"/>
    <w:pPr>
      <w:outlineLvl w:val="9"/>
    </w:pPr>
  </w:style>
  <w:style w:type="paragraph" w:customStyle="1" w:styleId="MarkforAppendixTitle">
    <w:name w:val="Mark for Appendix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D11996"/>
  </w:style>
  <w:style w:type="paragraph" w:customStyle="1" w:styleId="MarkforTableTitle">
    <w:name w:val="Mark for Table Title"/>
    <w:basedOn w:val="Normal"/>
    <w:next w:val="NormalSS"/>
    <w:qFormat/>
    <w:rsid w:val="00D11996"/>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D11996"/>
  </w:style>
  <w:style w:type="numbering" w:customStyle="1" w:styleId="MPROutline">
    <w:name w:val="MPROutline"/>
    <w:uiPriority w:val="99"/>
    <w:locked/>
    <w:rsid w:val="00D11996"/>
    <w:pPr>
      <w:numPr>
        <w:numId w:val="7"/>
      </w:numPr>
    </w:pPr>
  </w:style>
  <w:style w:type="character" w:customStyle="1" w:styleId="MTEquationSection">
    <w:name w:val="MTEquationSection"/>
    <w:rsid w:val="00D11996"/>
    <w:rPr>
      <w:rFonts w:ascii="Arial" w:hAnsi="Arial"/>
      <w:vanish/>
      <w:color w:val="auto"/>
      <w:sz w:val="18"/>
    </w:rPr>
  </w:style>
  <w:style w:type="paragraph" w:customStyle="1" w:styleId="Normalcontinued">
    <w:name w:val="Normal (continued)"/>
    <w:basedOn w:val="Normal"/>
    <w:next w:val="Normal"/>
    <w:qFormat/>
    <w:rsid w:val="00D11996"/>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D11996"/>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D11996"/>
    <w:pPr>
      <w:ind w:firstLine="0"/>
    </w:pPr>
  </w:style>
  <w:style w:type="paragraph" w:customStyle="1" w:styleId="NumberedBullet">
    <w:name w:val="Numbered Bullet"/>
    <w:basedOn w:val="Normal"/>
    <w:link w:val="NumberedBulletChar"/>
    <w:qFormat/>
    <w:rsid w:val="00D11996"/>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D11996"/>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D11996"/>
    <w:rPr>
      <w:rFonts w:ascii="Arial" w:hAnsi="Arial"/>
      <w:color w:val="auto"/>
      <w:sz w:val="20"/>
      <w:bdr w:val="none" w:sz="0" w:space="0" w:color="auto"/>
    </w:rPr>
  </w:style>
  <w:style w:type="paragraph" w:customStyle="1" w:styleId="References">
    <w:name w:val="References"/>
    <w:basedOn w:val="Normal"/>
    <w:qFormat/>
    <w:rsid w:val="00D11996"/>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D11996"/>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D11996"/>
    <w:pPr>
      <w:spacing w:before="120" w:after="60"/>
    </w:pPr>
    <w:rPr>
      <w:b/>
      <w:color w:val="FFFFFF"/>
    </w:rPr>
  </w:style>
  <w:style w:type="paragraph" w:customStyle="1" w:styleId="TableHeaderCenter">
    <w:name w:val="Table Header Center"/>
    <w:basedOn w:val="TableHeaderLeft"/>
    <w:qFormat/>
    <w:rsid w:val="00D11996"/>
    <w:pPr>
      <w:jc w:val="center"/>
    </w:pPr>
  </w:style>
  <w:style w:type="paragraph" w:styleId="TableofFigures">
    <w:name w:val="table of figures"/>
    <w:basedOn w:val="Normal"/>
    <w:next w:val="Normal"/>
    <w:uiPriority w:val="99"/>
    <w:rsid w:val="00D11996"/>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D11996"/>
    <w:pPr>
      <w:spacing w:after="0" w:line="240" w:lineRule="auto"/>
    </w:pPr>
    <w:rPr>
      <w:rFonts w:ascii="Arial" w:eastAsia="Times New Roman" w:hAnsi="Arial"/>
      <w:sz w:val="18"/>
      <w:szCs w:val="20"/>
    </w:rPr>
  </w:style>
  <w:style w:type="paragraph" w:customStyle="1" w:styleId="TableSourceCaption">
    <w:name w:val="Table Source_Caption"/>
    <w:qFormat/>
    <w:rsid w:val="00D11996"/>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D11996"/>
  </w:style>
  <w:style w:type="paragraph" w:customStyle="1" w:styleId="Tabletext8">
    <w:name w:val="Table text 8"/>
    <w:basedOn w:val="TableText"/>
    <w:qFormat/>
    <w:rsid w:val="00D11996"/>
    <w:rPr>
      <w:snapToGrid w:val="0"/>
      <w:sz w:val="16"/>
      <w:szCs w:val="16"/>
    </w:rPr>
  </w:style>
  <w:style w:type="paragraph" w:customStyle="1" w:styleId="TableSpace">
    <w:name w:val="TableSpace"/>
    <w:basedOn w:val="TableSourceCaption"/>
    <w:next w:val="TableFootnoteCaption"/>
    <w:semiHidden/>
    <w:qFormat/>
    <w:rsid w:val="00D11996"/>
  </w:style>
  <w:style w:type="paragraph" w:styleId="Title">
    <w:name w:val="Title"/>
    <w:basedOn w:val="Normal"/>
    <w:next w:val="Normal"/>
    <w:link w:val="TitleChar"/>
    <w:rsid w:val="00D11996"/>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D11996"/>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D11996"/>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D11996"/>
    <w:pPr>
      <w:spacing w:before="0" w:after="160"/>
    </w:pPr>
  </w:style>
  <w:style w:type="paragraph" w:customStyle="1" w:styleId="TitleofDocumentNoPhoto">
    <w:name w:val="Title of Document No Photo"/>
    <w:basedOn w:val="TitleofDocumentHorizontal"/>
    <w:semiHidden/>
    <w:qFormat/>
    <w:rsid w:val="00D11996"/>
  </w:style>
  <w:style w:type="paragraph" w:styleId="TOC1">
    <w:name w:val="toc 1"/>
    <w:next w:val="Normalcontinued"/>
    <w:autoRedefine/>
    <w:uiPriority w:val="39"/>
    <w:qFormat/>
    <w:rsid w:val="00D11996"/>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D11996"/>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D11996"/>
    <w:pPr>
      <w:tabs>
        <w:tab w:val="clear" w:pos="1080"/>
        <w:tab w:val="left" w:pos="1440"/>
      </w:tabs>
      <w:spacing w:after="120"/>
      <w:ind w:left="1440"/>
    </w:pPr>
  </w:style>
  <w:style w:type="paragraph" w:styleId="TOC4">
    <w:name w:val="toc 4"/>
    <w:next w:val="Normal"/>
    <w:autoRedefine/>
    <w:qFormat/>
    <w:rsid w:val="00D11996"/>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D11996"/>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D11996"/>
    <w:pPr>
      <w:spacing w:after="100"/>
    </w:pPr>
    <w:rPr>
      <w:rFonts w:ascii="Cambria" w:eastAsia="Times New Roman" w:hAnsi="Cambria"/>
      <w:noProof/>
      <w:sz w:val="16"/>
      <w:szCs w:val="19"/>
    </w:rPr>
  </w:style>
  <w:style w:type="character" w:customStyle="1" w:styleId="NumberedBulletChar">
    <w:name w:val="Numbered Bullet Char"/>
    <w:link w:val="NumberedBullet"/>
    <w:rsid w:val="00D11996"/>
    <w:rPr>
      <w:rFonts w:ascii="Times New Roman" w:eastAsia="Times New Roman" w:hAnsi="Times New Roman"/>
      <w:sz w:val="24"/>
    </w:rPr>
  </w:style>
  <w:style w:type="paragraph" w:customStyle="1" w:styleId="NumberedBulletLastDS">
    <w:name w:val="Numbered Bullet (Last DS)"/>
    <w:basedOn w:val="NumberedBullet"/>
    <w:next w:val="Normal"/>
    <w:qFormat/>
    <w:rsid w:val="00D11996"/>
    <w:pPr>
      <w:spacing w:after="320"/>
    </w:pPr>
  </w:style>
  <w:style w:type="paragraph" w:customStyle="1" w:styleId="NumberedBulletLastSS">
    <w:name w:val="Numbered Bullet (Last SS)"/>
    <w:basedOn w:val="NumberedBulletLastDS"/>
    <w:next w:val="NormalSS"/>
    <w:qFormat/>
    <w:rsid w:val="00D11996"/>
    <w:pPr>
      <w:spacing w:after="240"/>
    </w:pPr>
  </w:style>
  <w:style w:type="table" w:styleId="LightList">
    <w:name w:val="Light List"/>
    <w:basedOn w:val="TableNormal"/>
    <w:uiPriority w:val="61"/>
    <w:rsid w:val="00D11996"/>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D1199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96"/>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D11996"/>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D11996"/>
    <w:pPr>
      <w:ind w:left="432" w:hanging="432"/>
      <w:outlineLvl w:val="1"/>
    </w:pPr>
  </w:style>
  <w:style w:type="character" w:customStyle="1" w:styleId="H1TitleChar">
    <w:name w:val="H1_Title Char"/>
    <w:link w:val="H1Title"/>
    <w:rsid w:val="00D11996"/>
    <w:rPr>
      <w:rFonts w:ascii="Arial Black" w:eastAsia="Times New Roman" w:hAnsi="Arial Black"/>
      <w:color w:val="E70033"/>
      <w:sz w:val="37"/>
    </w:rPr>
  </w:style>
  <w:style w:type="paragraph" w:customStyle="1" w:styleId="H3Alpha">
    <w:name w:val="H3_Alpha"/>
    <w:basedOn w:val="Heading2"/>
    <w:next w:val="NormalSS"/>
    <w:link w:val="H3AlphaChar"/>
    <w:qFormat/>
    <w:rsid w:val="00D1199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D11996"/>
    <w:rPr>
      <w:rFonts w:ascii="Arial Black" w:eastAsia="Times New Roman" w:hAnsi="Arial Black"/>
      <w:caps/>
      <w:sz w:val="22"/>
    </w:rPr>
  </w:style>
  <w:style w:type="paragraph" w:customStyle="1" w:styleId="H3AlphaNoTOC">
    <w:name w:val="H3_Alpha_No TOC"/>
    <w:basedOn w:val="H3Alpha"/>
    <w:next w:val="NormalSS"/>
    <w:link w:val="H3AlphaNoTOCChar"/>
    <w:qFormat/>
    <w:rsid w:val="00D11996"/>
    <w:pPr>
      <w:outlineLvl w:val="9"/>
    </w:pPr>
  </w:style>
  <w:style w:type="character" w:customStyle="1" w:styleId="H3AlphaChar">
    <w:name w:val="H3_Alpha Char"/>
    <w:link w:val="H3Alpha"/>
    <w:rsid w:val="00D11996"/>
    <w:rPr>
      <w:rFonts w:ascii="Arial Black" w:eastAsia="Times New Roman" w:hAnsi="Arial Black"/>
      <w:sz w:val="22"/>
    </w:rPr>
  </w:style>
  <w:style w:type="paragraph" w:customStyle="1" w:styleId="H4Number">
    <w:name w:val="H4_Number"/>
    <w:basedOn w:val="Heading3"/>
    <w:next w:val="NormalSS"/>
    <w:link w:val="H4NumberChar"/>
    <w:qFormat/>
    <w:rsid w:val="00D11996"/>
    <w:pPr>
      <w:outlineLvl w:val="3"/>
    </w:pPr>
    <w:rPr>
      <w:rFonts w:ascii="Times New Roman" w:hAnsi="Times New Roman"/>
      <w:b/>
      <w:sz w:val="24"/>
    </w:rPr>
  </w:style>
  <w:style w:type="character" w:customStyle="1" w:styleId="H3AlphaNoTOCChar">
    <w:name w:val="H3_Alpha_No TOC Char"/>
    <w:link w:val="H3AlphaNoTOC"/>
    <w:rsid w:val="00D11996"/>
    <w:rPr>
      <w:rFonts w:ascii="Arial Black" w:eastAsia="Times New Roman" w:hAnsi="Arial Black"/>
      <w:sz w:val="22"/>
    </w:rPr>
  </w:style>
  <w:style w:type="paragraph" w:customStyle="1" w:styleId="H4NumberNoTOC">
    <w:name w:val="H4_Number_No TOC"/>
    <w:basedOn w:val="H4Number"/>
    <w:next w:val="NormalSS"/>
    <w:link w:val="H4NumberNoTOCChar"/>
    <w:qFormat/>
    <w:rsid w:val="00D11996"/>
    <w:pPr>
      <w:outlineLvl w:val="9"/>
    </w:pPr>
  </w:style>
  <w:style w:type="character" w:customStyle="1" w:styleId="H4NumberChar">
    <w:name w:val="H4_Number Char"/>
    <w:link w:val="H4Number"/>
    <w:rsid w:val="00D11996"/>
    <w:rPr>
      <w:rFonts w:ascii="Times New Roman" w:eastAsia="Times New Roman" w:hAnsi="Times New Roman"/>
      <w:b/>
      <w:sz w:val="24"/>
    </w:rPr>
  </w:style>
  <w:style w:type="paragraph" w:customStyle="1" w:styleId="H5Lower">
    <w:name w:val="H5_Lower"/>
    <w:basedOn w:val="Heading4"/>
    <w:next w:val="NormalSS"/>
    <w:link w:val="H5LowerChar"/>
    <w:qFormat/>
    <w:rsid w:val="00D11996"/>
    <w:pPr>
      <w:outlineLvl w:val="4"/>
    </w:pPr>
  </w:style>
  <w:style w:type="character" w:customStyle="1" w:styleId="H4NumberNoTOCChar">
    <w:name w:val="H4_Number_No TOC Char"/>
    <w:link w:val="H4NumberNoTOC"/>
    <w:rsid w:val="00D11996"/>
    <w:rPr>
      <w:rFonts w:ascii="Times New Roman" w:eastAsia="Times New Roman" w:hAnsi="Times New Roman"/>
      <w:b/>
      <w:sz w:val="24"/>
    </w:rPr>
  </w:style>
  <w:style w:type="character" w:customStyle="1" w:styleId="H5LowerChar">
    <w:name w:val="H5_Lower Char"/>
    <w:link w:val="H5Lower"/>
    <w:rsid w:val="00D11996"/>
    <w:rPr>
      <w:rFonts w:ascii="Times New Roman" w:eastAsia="Times New Roman" w:hAnsi="Times New Roman"/>
      <w:b/>
      <w:sz w:val="24"/>
    </w:rPr>
  </w:style>
  <w:style w:type="table" w:customStyle="1" w:styleId="MPRBaseTable1">
    <w:name w:val="MPR Base Table1"/>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uiPriority w:val="99"/>
    <w:semiHidden/>
    <w:unhideWhenUsed/>
    <w:rsid w:val="00D11996"/>
    <w:rPr>
      <w:sz w:val="16"/>
      <w:szCs w:val="16"/>
    </w:rPr>
  </w:style>
  <w:style w:type="paragraph" w:styleId="CommentText">
    <w:name w:val="annotation text"/>
    <w:basedOn w:val="Normal"/>
    <w:link w:val="CommentTextChar"/>
    <w:uiPriority w:val="99"/>
    <w:unhideWhenUsed/>
    <w:rsid w:val="00D11996"/>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11996"/>
    <w:rPr>
      <w:rFonts w:ascii="Times New Roman" w:eastAsia="Times New Roman" w:hAnsi="Times New Roman"/>
    </w:rPr>
  </w:style>
  <w:style w:type="paragraph" w:customStyle="1" w:styleId="Tablebullet">
    <w:name w:val="Table bullet"/>
    <w:basedOn w:val="TableText"/>
    <w:qFormat/>
    <w:rsid w:val="00D11996"/>
    <w:pPr>
      <w:numPr>
        <w:numId w:val="33"/>
      </w:numPr>
      <w:ind w:left="187" w:hanging="187"/>
    </w:pPr>
  </w:style>
  <w:style w:type="paragraph" w:styleId="CommentSubject">
    <w:name w:val="annotation subject"/>
    <w:basedOn w:val="CommentText"/>
    <w:next w:val="CommentText"/>
    <w:link w:val="CommentSubjectChar"/>
    <w:uiPriority w:val="99"/>
    <w:semiHidden/>
    <w:unhideWhenUsed/>
    <w:rsid w:val="00D11996"/>
    <w:rPr>
      <w:b/>
      <w:bCs/>
    </w:rPr>
  </w:style>
  <w:style w:type="character" w:customStyle="1" w:styleId="CommentSubjectChar">
    <w:name w:val="Comment Subject Char"/>
    <w:basedOn w:val="CommentTextChar"/>
    <w:link w:val="CommentSubject"/>
    <w:uiPriority w:val="99"/>
    <w:semiHidden/>
    <w:rsid w:val="00D11996"/>
    <w:rPr>
      <w:rFonts w:ascii="Times New Roman" w:eastAsia="Times New Roman" w:hAnsi="Times New Roman"/>
      <w:b/>
      <w:bCs/>
    </w:rPr>
  </w:style>
  <w:style w:type="paragraph" w:styleId="Revision">
    <w:name w:val="Revision"/>
    <w:hidden/>
    <w:uiPriority w:val="99"/>
    <w:semiHidden/>
    <w:rsid w:val="00D11996"/>
    <w:rPr>
      <w:rFonts w:ascii="Times New Roman" w:eastAsia="Times New Roman" w:hAnsi="Times New Roman"/>
      <w:sz w:val="24"/>
    </w:rPr>
  </w:style>
  <w:style w:type="character" w:customStyle="1" w:styleId="NormalSSChar">
    <w:name w:val="NormalSS Char"/>
    <w:link w:val="NormalSS"/>
    <w:locked/>
    <w:rsid w:val="00D11996"/>
    <w:rPr>
      <w:rFonts w:ascii="Times New Roman" w:eastAsia="Times New Roman" w:hAnsi="Times New Roman"/>
      <w:sz w:val="24"/>
    </w:rPr>
  </w:style>
  <w:style w:type="paragraph" w:customStyle="1" w:styleId="Style1">
    <w:name w:val="Style1"/>
    <w:basedOn w:val="Tablebullet"/>
    <w:qFormat/>
    <w:rsid w:val="00D11996"/>
  </w:style>
  <w:style w:type="paragraph" w:customStyle="1" w:styleId="disclosure">
    <w:name w:val="disclosure"/>
    <w:basedOn w:val="Footer"/>
    <w:qFormat/>
    <w:rsid w:val="00D11996"/>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D11996"/>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D11996"/>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H6">
    <w:name w:val="H6"/>
    <w:basedOn w:val="NormalSS"/>
    <w:rsid w:val="00D11996"/>
    <w:pPr>
      <w:ind w:firstLine="0"/>
    </w:pPr>
    <w:rPr>
      <w:b/>
    </w:rPr>
  </w:style>
  <w:style w:type="character" w:styleId="Hyperlink">
    <w:name w:val="Hyperlink"/>
    <w:basedOn w:val="DefaultParagraphFont"/>
    <w:uiPriority w:val="99"/>
    <w:unhideWhenUsed/>
    <w:rsid w:val="00763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sa.gov/disabilityresearch/documents/POD%205%202_Evaluation%20Design%20Report_10-4-2018.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3A37FC1FCA140AF0145C1889E0048" ma:contentTypeVersion="0" ma:contentTypeDescription="Create a new document." ma:contentTypeScope="" ma:versionID="c65de3f5e876b4a2a95ca307d0ccad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4CD6-4CDD-4644-8391-4ADE5AF9F7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61ED5A2-7FF9-4F53-9BCB-0BAF97B4B70A}">
  <ds:schemaRefs>
    <ds:schemaRef ds:uri="http://schemas.microsoft.com/sharepoint/v3/contenttype/forms"/>
  </ds:schemaRefs>
</ds:datastoreItem>
</file>

<file path=customXml/itemProps3.xml><?xml version="1.0" encoding="utf-8"?>
<ds:datastoreItem xmlns:ds="http://schemas.openxmlformats.org/officeDocument/2006/customXml" ds:itemID="{D591040E-A2BA-423A-AC7A-49DB000A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B836C7-9574-407C-BE05-D3762579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12898</Words>
  <Characters>73521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Supporting Statement Part B - POD (0960-NEW) (OMB passback 10-27-17) dcw</vt:lpstr>
    </vt:vector>
  </TitlesOfParts>
  <Company/>
  <LinksUpToDate>false</LinksUpToDate>
  <CharactersWithSpaces>86247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 POD (0960-NEW) (OMB passback 10-27-17) dcw</dc:title>
  <dc:subject/>
  <dc:creator/>
  <cp:keywords/>
  <dc:description/>
  <cp:lastModifiedBy/>
  <cp:revision>1</cp:revision>
  <dcterms:created xsi:type="dcterms:W3CDTF">2019-01-09T15:35:00Z</dcterms:created>
  <dcterms:modified xsi:type="dcterms:W3CDTF">2019-01-09T15:35:00Z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0x01010037E3A37FC1FCA140AF0145C1889E0048</vt:lpwstr>
  </property>
</Properties>
</file>