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28" w:rsidRDefault="00D40128" w:rsidP="001626E8">
      <w:pPr>
        <w:pStyle w:val="Title"/>
        <w:rPr>
          <w:color w:val="auto"/>
          <w:sz w:val="48"/>
          <w:szCs w:val="48"/>
        </w:rPr>
      </w:pPr>
      <w:bookmarkStart w:id="0" w:name="_Toc337198071"/>
      <w:bookmarkStart w:id="1" w:name="_Toc423335421"/>
      <w:bookmarkStart w:id="2" w:name="_GoBack"/>
      <w:bookmarkEnd w:id="2"/>
    </w:p>
    <w:p w:rsidR="00D40128" w:rsidRDefault="00D40128" w:rsidP="001626E8">
      <w:pPr>
        <w:pStyle w:val="Title"/>
        <w:rPr>
          <w:color w:val="auto"/>
          <w:sz w:val="48"/>
          <w:szCs w:val="48"/>
        </w:rPr>
      </w:pPr>
    </w:p>
    <w:p w:rsidR="00D40128" w:rsidRDefault="00D40128" w:rsidP="001626E8">
      <w:pPr>
        <w:pStyle w:val="Title"/>
        <w:rPr>
          <w:color w:val="auto"/>
          <w:sz w:val="48"/>
          <w:szCs w:val="48"/>
        </w:rPr>
      </w:pPr>
    </w:p>
    <w:p w:rsidR="00BA2DBE" w:rsidRPr="00D20211" w:rsidRDefault="00441D1E" w:rsidP="001626E8">
      <w:pPr>
        <w:pStyle w:val="Title"/>
        <w:rPr>
          <w:color w:val="auto"/>
          <w:sz w:val="48"/>
          <w:szCs w:val="48"/>
        </w:rPr>
      </w:pPr>
      <w:r>
        <w:rPr>
          <w:color w:val="auto"/>
          <w:sz w:val="48"/>
          <w:szCs w:val="48"/>
        </w:rPr>
        <w:t>ATSDR Exposure Investigations (EIs)</w:t>
      </w:r>
    </w:p>
    <w:p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441D1E">
        <w:rPr>
          <w:color w:val="auto"/>
        </w:rPr>
        <w:t xml:space="preserve">. </w:t>
      </w:r>
      <w:r w:rsidR="00E52761" w:rsidRPr="00441D1E">
        <w:rPr>
          <w:color w:val="auto"/>
        </w:rPr>
        <w:t>0923-</w:t>
      </w:r>
      <w:r w:rsidR="00441D1E">
        <w:rPr>
          <w:color w:val="auto"/>
        </w:rPr>
        <w:t>0048</w:t>
      </w:r>
      <w:r w:rsidRPr="00D20211">
        <w:rPr>
          <w:color w:val="auto"/>
        </w:rPr>
        <w:t xml:space="preserve"> (Expiration Date</w:t>
      </w:r>
      <w:r w:rsidR="00AE1D9F" w:rsidRPr="00D20211">
        <w:rPr>
          <w:color w:val="auto"/>
        </w:rPr>
        <w:t xml:space="preserve">: </w:t>
      </w:r>
      <w:r w:rsidR="0066681D">
        <w:rPr>
          <w:color w:val="auto"/>
        </w:rPr>
        <w:t>03/31/2019</w:t>
      </w:r>
      <w:r w:rsidRPr="00D20211">
        <w:rPr>
          <w:color w:val="auto"/>
        </w:rPr>
        <w:t xml:space="preserve">) </w:t>
      </w:r>
    </w:p>
    <w:p w:rsidR="001626E8" w:rsidRPr="00D20211" w:rsidRDefault="00441D1E">
      <w:pPr>
        <w:spacing w:after="200" w:line="276" w:lineRule="auto"/>
        <w:rPr>
          <w:rFonts w:asciiTheme="majorHAnsi" w:hAnsiTheme="majorHAnsi" w:cs="Arial"/>
          <w:sz w:val="36"/>
          <w:szCs w:val="36"/>
        </w:rPr>
      </w:pPr>
      <w:r>
        <w:rPr>
          <w:rFonts w:asciiTheme="majorHAnsi" w:hAnsiTheme="majorHAnsi" w:cs="Arial"/>
          <w:sz w:val="36"/>
          <w:szCs w:val="36"/>
        </w:rPr>
        <w:t>Extension</w:t>
      </w:r>
    </w:p>
    <w:p w:rsidR="00C000CD" w:rsidRPr="00D20211" w:rsidRDefault="00C000CD"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BA2DBE" w:rsidRDefault="00BA2DBE">
      <w:pPr>
        <w:spacing w:after="200" w:line="276" w:lineRule="auto"/>
        <w:rPr>
          <w:rFonts w:asciiTheme="majorHAnsi" w:hAnsiTheme="majorHAnsi" w:cs="Arial"/>
          <w:sz w:val="36"/>
          <w:szCs w:val="36"/>
        </w:rPr>
      </w:pPr>
    </w:p>
    <w:p w:rsidR="00EA18CA" w:rsidRDefault="00EA18CA">
      <w:pPr>
        <w:spacing w:after="200" w:line="276" w:lineRule="auto"/>
        <w:rPr>
          <w:rFonts w:asciiTheme="majorHAnsi" w:hAnsiTheme="majorHAnsi" w:cs="Arial"/>
          <w:sz w:val="36"/>
          <w:szCs w:val="36"/>
        </w:rPr>
      </w:pPr>
    </w:p>
    <w:p w:rsidR="00BA2DBE" w:rsidRPr="00D20211" w:rsidRDefault="00480FC6" w:rsidP="008E47E6">
      <w:pPr>
        <w:pStyle w:val="Subtitle"/>
        <w:spacing w:after="0"/>
        <w:rPr>
          <w:color w:val="auto"/>
        </w:rPr>
      </w:pPr>
      <w:r w:rsidRPr="00D20211">
        <w:rPr>
          <w:color w:val="auto"/>
        </w:rPr>
        <w:t xml:space="preserve">Program Official: </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Peter J. Kowalski, MPH, CIH</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Lead, Exposure Investigations Team</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Science Support Branch</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Division of Community Health Investigations</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Agency for Toxic Substances and Disease Registry</w:t>
      </w:r>
    </w:p>
    <w:p w:rsidR="00441D1E" w:rsidRPr="00441D1E" w:rsidRDefault="00441D1E" w:rsidP="00441D1E">
      <w:pPr>
        <w:autoSpaceDE w:val="0"/>
        <w:autoSpaceDN w:val="0"/>
        <w:adjustRightInd w:val="0"/>
        <w:spacing w:after="0" w:line="240" w:lineRule="auto"/>
        <w:ind w:left="720"/>
        <w:rPr>
          <w:sz w:val="24"/>
          <w:szCs w:val="24"/>
          <w:lang w:val="en"/>
        </w:rPr>
      </w:pPr>
      <w:r w:rsidRPr="00441D1E">
        <w:rPr>
          <w:sz w:val="24"/>
          <w:szCs w:val="24"/>
          <w:lang w:val="en"/>
        </w:rPr>
        <w:t>4770 Buford Hwy NE, MS F59</w:t>
      </w:r>
      <w:r w:rsidRPr="00441D1E">
        <w:rPr>
          <w:sz w:val="24"/>
          <w:szCs w:val="24"/>
          <w:lang w:val="en"/>
        </w:rPr>
        <w:br/>
        <w:t>Atlanta, GA 30341</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Phone: 770-488-0776</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Fax:  770-488-1542</w:t>
      </w:r>
    </w:p>
    <w:p w:rsidR="00441D1E" w:rsidRPr="00441D1E" w:rsidRDefault="00441D1E" w:rsidP="00441D1E">
      <w:pPr>
        <w:autoSpaceDE w:val="0"/>
        <w:autoSpaceDN w:val="0"/>
        <w:adjustRightInd w:val="0"/>
        <w:spacing w:after="0" w:line="240" w:lineRule="auto"/>
        <w:ind w:left="720"/>
        <w:rPr>
          <w:sz w:val="24"/>
          <w:szCs w:val="24"/>
        </w:rPr>
      </w:pPr>
      <w:r w:rsidRPr="00441D1E">
        <w:rPr>
          <w:sz w:val="24"/>
          <w:szCs w:val="24"/>
        </w:rPr>
        <w:t xml:space="preserve">Email: </w:t>
      </w:r>
      <w:hyperlink r:id="rId9" w:history="1">
        <w:r w:rsidRPr="00441D1E">
          <w:rPr>
            <w:rStyle w:val="Hyperlink"/>
            <w:sz w:val="24"/>
            <w:szCs w:val="24"/>
          </w:rPr>
          <w:t>PKowalski@cdc.gov</w:t>
        </w:r>
      </w:hyperlink>
    </w:p>
    <w:p w:rsidR="00BA2DBE" w:rsidRPr="00441D1E" w:rsidRDefault="00BA2DBE" w:rsidP="00441D1E">
      <w:pPr>
        <w:pStyle w:val="Subtitle"/>
        <w:spacing w:after="0"/>
        <w:rPr>
          <w:color w:val="auto"/>
          <w:sz w:val="24"/>
          <w:szCs w:val="24"/>
        </w:rPr>
      </w:pPr>
    </w:p>
    <w:p w:rsidR="00EA0849" w:rsidRPr="00D20211" w:rsidRDefault="00EA0849" w:rsidP="008E47E6">
      <w:pPr>
        <w:pStyle w:val="Subtitle"/>
        <w:spacing w:after="0"/>
        <w:rPr>
          <w:color w:val="auto"/>
        </w:rPr>
      </w:pPr>
    </w:p>
    <w:p w:rsidR="00212CAD" w:rsidRDefault="00212CAD" w:rsidP="008E47E6">
      <w:pPr>
        <w:pStyle w:val="Subtitle"/>
        <w:spacing w:after="0"/>
        <w:rPr>
          <w:color w:val="auto"/>
        </w:rPr>
      </w:pPr>
    </w:p>
    <w:p w:rsidR="009831E2" w:rsidRPr="009831E2" w:rsidRDefault="009831E2" w:rsidP="009831E2"/>
    <w:p w:rsidR="00212CAD" w:rsidRDefault="00212CAD" w:rsidP="008E47E6">
      <w:pPr>
        <w:pStyle w:val="Subtitle"/>
        <w:spacing w:after="0"/>
        <w:rPr>
          <w:color w:val="auto"/>
        </w:rPr>
      </w:pPr>
    </w:p>
    <w:p w:rsidR="00212CAD" w:rsidRDefault="00212CAD"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441D1E">
        <w:rPr>
          <w:color w:val="auto"/>
        </w:rPr>
        <w:t xml:space="preserve"> </w:t>
      </w:r>
      <w:r w:rsidR="00254244">
        <w:rPr>
          <w:color w:val="auto"/>
        </w:rPr>
        <w:t>12/17</w:t>
      </w:r>
      <w:r w:rsidR="0061306C">
        <w:rPr>
          <w:color w:val="auto"/>
        </w:rPr>
        <w:t>/2018</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70512A"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33960188" w:history="1">
            <w:r w:rsidR="0070512A" w:rsidRPr="00B2432F">
              <w:rPr>
                <w:rStyle w:val="Hyperlink"/>
                <w:noProof/>
              </w:rPr>
              <w:t>A.1.  Circumstances Making the Collection of Information Necessary</w:t>
            </w:r>
            <w:r w:rsidR="0070512A">
              <w:rPr>
                <w:noProof/>
                <w:webHidden/>
              </w:rPr>
              <w:tab/>
            </w:r>
            <w:r w:rsidR="0070512A">
              <w:rPr>
                <w:noProof/>
                <w:webHidden/>
              </w:rPr>
              <w:fldChar w:fldCharType="begin"/>
            </w:r>
            <w:r w:rsidR="0070512A">
              <w:rPr>
                <w:noProof/>
                <w:webHidden/>
              </w:rPr>
              <w:instrText xml:space="preserve"> PAGEREF _Toc433960188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89" w:history="1">
            <w:r w:rsidR="0070512A" w:rsidRPr="00B2432F">
              <w:rPr>
                <w:rStyle w:val="Hyperlink"/>
                <w:noProof/>
              </w:rPr>
              <w:t>A.2.  Purpose and Use of the Information Collection</w:t>
            </w:r>
            <w:r w:rsidR="0070512A">
              <w:rPr>
                <w:noProof/>
                <w:webHidden/>
              </w:rPr>
              <w:tab/>
            </w:r>
            <w:r w:rsidR="0070512A">
              <w:rPr>
                <w:noProof/>
                <w:webHidden/>
              </w:rPr>
              <w:fldChar w:fldCharType="begin"/>
            </w:r>
            <w:r w:rsidR="0070512A">
              <w:rPr>
                <w:noProof/>
                <w:webHidden/>
              </w:rPr>
              <w:instrText xml:space="preserve"> PAGEREF _Toc433960189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0" w:history="1">
            <w:r w:rsidR="0070512A" w:rsidRPr="00B2432F">
              <w:rPr>
                <w:rStyle w:val="Hyperlink"/>
                <w:noProof/>
              </w:rPr>
              <w:t>A.3.  Use of Improved Information Technology and Burden Reduction</w:t>
            </w:r>
            <w:r w:rsidR="0070512A">
              <w:rPr>
                <w:noProof/>
                <w:webHidden/>
              </w:rPr>
              <w:tab/>
            </w:r>
            <w:r w:rsidR="0070512A">
              <w:rPr>
                <w:noProof/>
                <w:webHidden/>
              </w:rPr>
              <w:fldChar w:fldCharType="begin"/>
            </w:r>
            <w:r w:rsidR="0070512A">
              <w:rPr>
                <w:noProof/>
                <w:webHidden/>
              </w:rPr>
              <w:instrText xml:space="preserve"> PAGEREF _Toc433960190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1" w:history="1">
            <w:r w:rsidR="0070512A" w:rsidRPr="00B2432F">
              <w:rPr>
                <w:rStyle w:val="Hyperlink"/>
                <w:noProof/>
              </w:rPr>
              <w:t>A.4.  Efforts to Identify Duplication and Use of Similar Information</w:t>
            </w:r>
            <w:r w:rsidR="0070512A">
              <w:rPr>
                <w:noProof/>
                <w:webHidden/>
              </w:rPr>
              <w:tab/>
            </w:r>
            <w:r w:rsidR="0070512A">
              <w:rPr>
                <w:noProof/>
                <w:webHidden/>
              </w:rPr>
              <w:fldChar w:fldCharType="begin"/>
            </w:r>
            <w:r w:rsidR="0070512A">
              <w:rPr>
                <w:noProof/>
                <w:webHidden/>
              </w:rPr>
              <w:instrText xml:space="preserve"> PAGEREF _Toc433960191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2" w:history="1">
            <w:r w:rsidR="0070512A" w:rsidRPr="00B2432F">
              <w:rPr>
                <w:rStyle w:val="Hyperlink"/>
                <w:noProof/>
              </w:rPr>
              <w:t>A.5.  Impact on Small Businesses or Other Small Entities</w:t>
            </w:r>
            <w:r w:rsidR="0070512A">
              <w:rPr>
                <w:noProof/>
                <w:webHidden/>
              </w:rPr>
              <w:tab/>
            </w:r>
            <w:r w:rsidR="0070512A">
              <w:rPr>
                <w:noProof/>
                <w:webHidden/>
              </w:rPr>
              <w:fldChar w:fldCharType="begin"/>
            </w:r>
            <w:r w:rsidR="0070512A">
              <w:rPr>
                <w:noProof/>
                <w:webHidden/>
              </w:rPr>
              <w:instrText xml:space="preserve"> PAGEREF _Toc433960192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3" w:history="1">
            <w:r w:rsidR="0070512A" w:rsidRPr="00B2432F">
              <w:rPr>
                <w:rStyle w:val="Hyperlink"/>
                <w:noProof/>
              </w:rPr>
              <w:t>A.6.  Consequences of Collecting the Information Less Frequently</w:t>
            </w:r>
            <w:r w:rsidR="0070512A">
              <w:rPr>
                <w:noProof/>
                <w:webHidden/>
              </w:rPr>
              <w:tab/>
            </w:r>
            <w:r w:rsidR="0070512A">
              <w:rPr>
                <w:noProof/>
                <w:webHidden/>
              </w:rPr>
              <w:fldChar w:fldCharType="begin"/>
            </w:r>
            <w:r w:rsidR="0070512A">
              <w:rPr>
                <w:noProof/>
                <w:webHidden/>
              </w:rPr>
              <w:instrText xml:space="preserve"> PAGEREF _Toc433960193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4" w:history="1">
            <w:r w:rsidR="0070512A" w:rsidRPr="00B2432F">
              <w:rPr>
                <w:rStyle w:val="Hyperlink"/>
                <w:noProof/>
              </w:rPr>
              <w:t>A.7.  Special Circumstances Relating to the Guidelines of 5 CFR 1320.5</w:t>
            </w:r>
            <w:r w:rsidR="0070512A">
              <w:rPr>
                <w:noProof/>
                <w:webHidden/>
              </w:rPr>
              <w:tab/>
            </w:r>
            <w:r w:rsidR="0070512A">
              <w:rPr>
                <w:noProof/>
                <w:webHidden/>
              </w:rPr>
              <w:fldChar w:fldCharType="begin"/>
            </w:r>
            <w:r w:rsidR="0070512A">
              <w:rPr>
                <w:noProof/>
                <w:webHidden/>
              </w:rPr>
              <w:instrText xml:space="preserve"> PAGEREF _Toc433960194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5" w:history="1">
            <w:r w:rsidR="0070512A" w:rsidRPr="00B2432F">
              <w:rPr>
                <w:rStyle w:val="Hyperlink"/>
                <w:noProof/>
              </w:rPr>
              <w:t>A.8.  Comments in Response to the Federal Register Notice and Efforts to Consult Outside the Agency</w:t>
            </w:r>
            <w:r w:rsidR="0070512A">
              <w:rPr>
                <w:noProof/>
                <w:webHidden/>
              </w:rPr>
              <w:tab/>
            </w:r>
            <w:r w:rsidR="0070512A">
              <w:rPr>
                <w:noProof/>
                <w:webHidden/>
              </w:rPr>
              <w:fldChar w:fldCharType="begin"/>
            </w:r>
            <w:r w:rsidR="0070512A">
              <w:rPr>
                <w:noProof/>
                <w:webHidden/>
              </w:rPr>
              <w:instrText xml:space="preserve"> PAGEREF _Toc433960195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6" w:history="1">
            <w:r w:rsidR="0070512A" w:rsidRPr="00B2432F">
              <w:rPr>
                <w:rStyle w:val="Hyperlink"/>
                <w:noProof/>
              </w:rPr>
              <w:t>A.9.  Explanation of Any Payment or Gift to Respondents</w:t>
            </w:r>
            <w:r w:rsidR="0070512A">
              <w:rPr>
                <w:noProof/>
                <w:webHidden/>
              </w:rPr>
              <w:tab/>
            </w:r>
            <w:r w:rsidR="0070512A">
              <w:rPr>
                <w:noProof/>
                <w:webHidden/>
              </w:rPr>
              <w:fldChar w:fldCharType="begin"/>
            </w:r>
            <w:r w:rsidR="0070512A">
              <w:rPr>
                <w:noProof/>
                <w:webHidden/>
              </w:rPr>
              <w:instrText xml:space="preserve"> PAGEREF _Toc433960196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7" w:history="1">
            <w:r w:rsidR="0070512A" w:rsidRPr="00B2432F">
              <w:rPr>
                <w:rStyle w:val="Hyperlink"/>
                <w:noProof/>
              </w:rPr>
              <w:t>A.10.  Protection of the Privacy and Confidentiality of Information Provided by Respondents</w:t>
            </w:r>
            <w:r w:rsidR="0070512A">
              <w:rPr>
                <w:noProof/>
                <w:webHidden/>
              </w:rPr>
              <w:tab/>
            </w:r>
            <w:r w:rsidR="0070512A">
              <w:rPr>
                <w:noProof/>
                <w:webHidden/>
              </w:rPr>
              <w:fldChar w:fldCharType="begin"/>
            </w:r>
            <w:r w:rsidR="0070512A">
              <w:rPr>
                <w:noProof/>
                <w:webHidden/>
              </w:rPr>
              <w:instrText xml:space="preserve"> PAGEREF _Toc433960197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8" w:history="1">
            <w:r w:rsidR="0070512A" w:rsidRPr="00B2432F">
              <w:rPr>
                <w:rStyle w:val="Hyperlink"/>
                <w:noProof/>
              </w:rPr>
              <w:t>A.11.  Institutional Review Board (IRB) and Justification for Sensitive Questions</w:t>
            </w:r>
            <w:r w:rsidR="0070512A">
              <w:rPr>
                <w:noProof/>
                <w:webHidden/>
              </w:rPr>
              <w:tab/>
            </w:r>
            <w:r w:rsidR="0070512A">
              <w:rPr>
                <w:noProof/>
                <w:webHidden/>
              </w:rPr>
              <w:fldChar w:fldCharType="begin"/>
            </w:r>
            <w:r w:rsidR="0070512A">
              <w:rPr>
                <w:noProof/>
                <w:webHidden/>
              </w:rPr>
              <w:instrText xml:space="preserve"> PAGEREF _Toc433960198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199" w:history="1">
            <w:r w:rsidR="0070512A" w:rsidRPr="00B2432F">
              <w:rPr>
                <w:rStyle w:val="Hyperlink"/>
                <w:noProof/>
              </w:rPr>
              <w:t>A.12.  Estimates of Annualized Burden Hours and Costs</w:t>
            </w:r>
            <w:r w:rsidR="0070512A">
              <w:rPr>
                <w:noProof/>
                <w:webHidden/>
              </w:rPr>
              <w:tab/>
            </w:r>
            <w:r w:rsidR="0070512A">
              <w:rPr>
                <w:noProof/>
                <w:webHidden/>
              </w:rPr>
              <w:fldChar w:fldCharType="begin"/>
            </w:r>
            <w:r w:rsidR="0070512A">
              <w:rPr>
                <w:noProof/>
                <w:webHidden/>
              </w:rPr>
              <w:instrText xml:space="preserve"> PAGEREF _Toc433960199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200" w:history="1">
            <w:r w:rsidR="0070512A" w:rsidRPr="00B2432F">
              <w:rPr>
                <w:rStyle w:val="Hyperlink"/>
                <w:noProof/>
              </w:rPr>
              <w:t>A.13.  Estimates of Other Total Annual Cost Burden to Respondents and Record Keepers</w:t>
            </w:r>
            <w:r w:rsidR="0070512A">
              <w:rPr>
                <w:noProof/>
                <w:webHidden/>
              </w:rPr>
              <w:tab/>
            </w:r>
            <w:r w:rsidR="0070512A">
              <w:rPr>
                <w:noProof/>
                <w:webHidden/>
              </w:rPr>
              <w:fldChar w:fldCharType="begin"/>
            </w:r>
            <w:r w:rsidR="0070512A">
              <w:rPr>
                <w:noProof/>
                <w:webHidden/>
              </w:rPr>
              <w:instrText xml:space="preserve"> PAGEREF _Toc433960200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201" w:history="1">
            <w:r w:rsidR="0070512A" w:rsidRPr="00B2432F">
              <w:rPr>
                <w:rStyle w:val="Hyperlink"/>
                <w:noProof/>
              </w:rPr>
              <w:t>A.14.  Annualized Cost to the Federal Government</w:t>
            </w:r>
            <w:r w:rsidR="0070512A">
              <w:rPr>
                <w:noProof/>
                <w:webHidden/>
              </w:rPr>
              <w:tab/>
            </w:r>
            <w:r w:rsidR="0070512A">
              <w:rPr>
                <w:noProof/>
                <w:webHidden/>
              </w:rPr>
              <w:fldChar w:fldCharType="begin"/>
            </w:r>
            <w:r w:rsidR="0070512A">
              <w:rPr>
                <w:noProof/>
                <w:webHidden/>
              </w:rPr>
              <w:instrText xml:space="preserve"> PAGEREF _Toc433960201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202" w:history="1">
            <w:r w:rsidR="0070512A" w:rsidRPr="00B2432F">
              <w:rPr>
                <w:rStyle w:val="Hyperlink"/>
                <w:noProof/>
              </w:rPr>
              <w:t>A.15.  Explanation for Program Changes or Adjustments</w:t>
            </w:r>
            <w:r w:rsidR="0070512A">
              <w:rPr>
                <w:noProof/>
                <w:webHidden/>
              </w:rPr>
              <w:tab/>
            </w:r>
            <w:r w:rsidR="0070512A">
              <w:rPr>
                <w:noProof/>
                <w:webHidden/>
              </w:rPr>
              <w:fldChar w:fldCharType="begin"/>
            </w:r>
            <w:r w:rsidR="0070512A">
              <w:rPr>
                <w:noProof/>
                <w:webHidden/>
              </w:rPr>
              <w:instrText xml:space="preserve"> PAGEREF _Toc433960202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203" w:history="1">
            <w:r w:rsidR="0070512A" w:rsidRPr="00B2432F">
              <w:rPr>
                <w:rStyle w:val="Hyperlink"/>
                <w:noProof/>
              </w:rPr>
              <w:t>A.16.  Plans for Tabulation and Publication and Project Time Schedule</w:t>
            </w:r>
            <w:r w:rsidR="0070512A">
              <w:rPr>
                <w:noProof/>
                <w:webHidden/>
              </w:rPr>
              <w:tab/>
            </w:r>
            <w:r w:rsidR="0070512A">
              <w:rPr>
                <w:noProof/>
                <w:webHidden/>
              </w:rPr>
              <w:fldChar w:fldCharType="begin"/>
            </w:r>
            <w:r w:rsidR="0070512A">
              <w:rPr>
                <w:noProof/>
                <w:webHidden/>
              </w:rPr>
              <w:instrText xml:space="preserve"> PAGEREF _Toc433960203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204" w:history="1">
            <w:r w:rsidR="0070512A" w:rsidRPr="00B2432F">
              <w:rPr>
                <w:rStyle w:val="Hyperlink"/>
                <w:noProof/>
              </w:rPr>
              <w:t>A.17.  Reason(s) Display of OMB Expiration Date is Inappropriate</w:t>
            </w:r>
            <w:r w:rsidR="0070512A">
              <w:rPr>
                <w:noProof/>
                <w:webHidden/>
              </w:rPr>
              <w:tab/>
            </w:r>
            <w:r w:rsidR="0070512A">
              <w:rPr>
                <w:noProof/>
                <w:webHidden/>
              </w:rPr>
              <w:fldChar w:fldCharType="begin"/>
            </w:r>
            <w:r w:rsidR="0070512A">
              <w:rPr>
                <w:noProof/>
                <w:webHidden/>
              </w:rPr>
              <w:instrText xml:space="preserve"> PAGEREF _Toc433960204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70512A" w:rsidRDefault="00BA3350">
          <w:pPr>
            <w:pStyle w:val="TOC1"/>
            <w:tabs>
              <w:tab w:val="right" w:leader="dot" w:pos="9350"/>
            </w:tabs>
            <w:rPr>
              <w:noProof/>
              <w:sz w:val="22"/>
              <w:szCs w:val="22"/>
            </w:rPr>
          </w:pPr>
          <w:hyperlink w:anchor="_Toc433960205" w:history="1">
            <w:r w:rsidR="0070512A" w:rsidRPr="00B2432F">
              <w:rPr>
                <w:rStyle w:val="Hyperlink"/>
                <w:noProof/>
              </w:rPr>
              <w:t>A.18.  Exceptions to Certification for Paperwork Reduction Act Submissions</w:t>
            </w:r>
            <w:r w:rsidR="0070512A">
              <w:rPr>
                <w:noProof/>
                <w:webHidden/>
              </w:rPr>
              <w:tab/>
            </w:r>
            <w:r w:rsidR="0070512A">
              <w:rPr>
                <w:noProof/>
                <w:webHidden/>
              </w:rPr>
              <w:fldChar w:fldCharType="begin"/>
            </w:r>
            <w:r w:rsidR="0070512A">
              <w:rPr>
                <w:noProof/>
                <w:webHidden/>
              </w:rPr>
              <w:instrText xml:space="preserve"> PAGEREF _Toc433960205 \h </w:instrText>
            </w:r>
            <w:r w:rsidR="0070512A">
              <w:rPr>
                <w:noProof/>
                <w:webHidden/>
              </w:rPr>
            </w:r>
            <w:r w:rsidR="0070512A">
              <w:rPr>
                <w:noProof/>
                <w:webHidden/>
              </w:rPr>
              <w:fldChar w:fldCharType="separate"/>
            </w:r>
            <w:r w:rsidR="002F4AB5">
              <w:rPr>
                <w:noProof/>
                <w:webHidden/>
              </w:rPr>
              <w:t>2</w:t>
            </w:r>
            <w:r w:rsidR="0070512A">
              <w:rPr>
                <w:noProof/>
                <w:webHidden/>
              </w:rPr>
              <w:fldChar w:fldCharType="end"/>
            </w:r>
          </w:hyperlink>
        </w:p>
        <w:p w:rsidR="009B765E" w:rsidRPr="00D20211" w:rsidRDefault="009B765E">
          <w:r w:rsidRPr="00D20211">
            <w:rPr>
              <w:b/>
              <w:bCs/>
              <w:noProof/>
            </w:rPr>
            <w:fldChar w:fldCharType="end"/>
          </w:r>
        </w:p>
      </w:sdtContent>
    </w:sdt>
    <w:bookmarkEnd w:id="0"/>
    <w:bookmarkEnd w:id="1"/>
    <w:p w:rsidR="008D2B70" w:rsidRDefault="008D2B70" w:rsidP="008D2B70"/>
    <w:p w:rsidR="00480FC6" w:rsidRDefault="00480FC6">
      <w:r w:rsidRPr="00D20211">
        <w:br w:type="page"/>
      </w:r>
    </w:p>
    <w:p w:rsidR="00F24E79" w:rsidRPr="00DA6302" w:rsidRDefault="00F24E79" w:rsidP="00F24E79">
      <w:pPr>
        <w:pStyle w:val="Heading1"/>
        <w:pBdr>
          <w:bottom w:val="none" w:sz="0" w:space="0" w:color="auto"/>
        </w:pBdr>
        <w:rPr>
          <w:color w:val="auto"/>
          <w:sz w:val="24"/>
          <w:szCs w:val="24"/>
        </w:rPr>
      </w:pPr>
      <w:r w:rsidRPr="00DA6302">
        <w:rPr>
          <w:color w:val="auto"/>
          <w:sz w:val="24"/>
          <w:szCs w:val="24"/>
        </w:rPr>
        <w:lastRenderedPageBreak/>
        <w:t>List of Attachments</w:t>
      </w:r>
    </w:p>
    <w:p w:rsidR="00F24E79" w:rsidRPr="00DA6302" w:rsidRDefault="00F24E79" w:rsidP="00F24E79">
      <w:pPr>
        <w:rPr>
          <w:rFonts w:asciiTheme="majorHAnsi" w:hAnsiTheme="majorHAnsi"/>
          <w:sz w:val="24"/>
          <w:szCs w:val="24"/>
        </w:rPr>
      </w:pPr>
    </w:p>
    <w:p w:rsidR="00F24E79" w:rsidRPr="00DA6302" w:rsidRDefault="00F24E79" w:rsidP="00F24E79">
      <w:pPr>
        <w:rPr>
          <w:rFonts w:asciiTheme="majorHAnsi" w:hAnsiTheme="majorHAnsi"/>
          <w:sz w:val="24"/>
          <w:szCs w:val="24"/>
        </w:rPr>
      </w:pPr>
      <w:r w:rsidRPr="00DA6302">
        <w:rPr>
          <w:rFonts w:asciiTheme="majorHAnsi" w:hAnsiTheme="majorHAnsi"/>
          <w:sz w:val="24"/>
          <w:szCs w:val="24"/>
        </w:rPr>
        <w:t>Attachment 1. Authorizing Legislation -CERCLA</w:t>
      </w:r>
    </w:p>
    <w:p w:rsidR="00F24E79" w:rsidRPr="00DA6302" w:rsidRDefault="00F24E79" w:rsidP="00F24E79">
      <w:pPr>
        <w:rPr>
          <w:rFonts w:asciiTheme="majorHAnsi" w:hAnsiTheme="majorHAnsi"/>
          <w:sz w:val="24"/>
          <w:szCs w:val="24"/>
        </w:rPr>
      </w:pPr>
      <w:r w:rsidRPr="00DA6302">
        <w:rPr>
          <w:rFonts w:asciiTheme="majorHAnsi" w:hAnsiTheme="majorHAnsi"/>
          <w:sz w:val="24"/>
          <w:szCs w:val="24"/>
        </w:rPr>
        <w:t>Attachment 2. 60-day Federal Register Notice</w:t>
      </w:r>
    </w:p>
    <w:p w:rsidR="00F24E79" w:rsidRPr="00DA6302" w:rsidRDefault="00F24E79" w:rsidP="00F24E79">
      <w:pPr>
        <w:rPr>
          <w:rFonts w:asciiTheme="majorHAnsi" w:hAnsiTheme="majorHAnsi"/>
          <w:bCs/>
          <w:sz w:val="24"/>
          <w:szCs w:val="24"/>
        </w:rPr>
      </w:pPr>
      <w:r w:rsidRPr="00DA6302">
        <w:rPr>
          <w:rFonts w:asciiTheme="majorHAnsi" w:hAnsiTheme="majorHAnsi"/>
          <w:bCs/>
          <w:sz w:val="24"/>
          <w:szCs w:val="24"/>
        </w:rPr>
        <w:t>Attachment 3:  Map of EPA and ATSDR Regions</w:t>
      </w:r>
    </w:p>
    <w:p w:rsidR="00F24E79" w:rsidRPr="00DA6302" w:rsidRDefault="00F24E79" w:rsidP="00F24E79">
      <w:pPr>
        <w:rPr>
          <w:rFonts w:asciiTheme="majorHAnsi" w:hAnsiTheme="majorHAnsi"/>
          <w:bCs/>
          <w:sz w:val="24"/>
          <w:szCs w:val="24"/>
        </w:rPr>
      </w:pPr>
      <w:r w:rsidRPr="00DA6302">
        <w:rPr>
          <w:rFonts w:asciiTheme="majorHAnsi" w:hAnsiTheme="majorHAnsi"/>
          <w:bCs/>
          <w:sz w:val="24"/>
          <w:szCs w:val="24"/>
        </w:rPr>
        <w:t xml:space="preserve">Attachment 4:  Chemical Exposure Question Bank </w:t>
      </w:r>
    </w:p>
    <w:p w:rsidR="00F24E79" w:rsidRPr="00DA6302" w:rsidRDefault="00F24E79" w:rsidP="00F24E79">
      <w:pPr>
        <w:rPr>
          <w:rFonts w:asciiTheme="majorHAnsi" w:hAnsiTheme="majorHAnsi"/>
          <w:bCs/>
          <w:sz w:val="24"/>
          <w:szCs w:val="24"/>
        </w:rPr>
      </w:pPr>
      <w:r w:rsidRPr="00DA6302">
        <w:rPr>
          <w:rFonts w:asciiTheme="majorHAnsi" w:hAnsiTheme="majorHAnsi"/>
          <w:bCs/>
          <w:sz w:val="24"/>
          <w:szCs w:val="24"/>
        </w:rPr>
        <w:t>Attachment 5: Example Assent, Consent and Parental Permission Form</w:t>
      </w:r>
    </w:p>
    <w:p w:rsidR="00F24E79" w:rsidRPr="00DA6302" w:rsidRDefault="00F24E79" w:rsidP="00F24E79">
      <w:pPr>
        <w:rPr>
          <w:rFonts w:asciiTheme="majorHAnsi" w:hAnsiTheme="majorHAnsi"/>
          <w:bCs/>
          <w:sz w:val="24"/>
          <w:szCs w:val="24"/>
        </w:rPr>
      </w:pPr>
      <w:r w:rsidRPr="00DA6302">
        <w:rPr>
          <w:rFonts w:asciiTheme="majorHAnsi" w:hAnsiTheme="majorHAnsi"/>
          <w:bCs/>
          <w:sz w:val="24"/>
          <w:szCs w:val="24"/>
        </w:rPr>
        <w:t xml:space="preserve">Attachment 6: Privacy Impact Assessment (PIA) </w:t>
      </w:r>
    </w:p>
    <w:p w:rsidR="00F24E79" w:rsidRPr="00DA6302" w:rsidRDefault="00F24E79" w:rsidP="00F24E79">
      <w:pPr>
        <w:rPr>
          <w:rFonts w:asciiTheme="majorHAnsi" w:hAnsiTheme="majorHAnsi"/>
          <w:sz w:val="24"/>
          <w:szCs w:val="24"/>
        </w:rPr>
      </w:pPr>
      <w:r w:rsidRPr="00DA6302">
        <w:rPr>
          <w:rFonts w:asciiTheme="majorHAnsi" w:hAnsiTheme="majorHAnsi"/>
          <w:sz w:val="24"/>
          <w:szCs w:val="24"/>
        </w:rPr>
        <w:t>Attachment 7.  Research Determination Form</w:t>
      </w:r>
    </w:p>
    <w:p w:rsidR="00F24E79" w:rsidRPr="00D20211" w:rsidRDefault="00F24E79"/>
    <w:p w:rsidR="00F24E79"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anchorId="3A8FC917" wp14:editId="39223CF7">
                <wp:simplePos x="0" y="0"/>
                <wp:positionH relativeFrom="margin">
                  <wp:align>right</wp:align>
                </wp:positionH>
                <wp:positionV relativeFrom="paragraph">
                  <wp:posOffset>494665</wp:posOffset>
                </wp:positionV>
                <wp:extent cx="5930900" cy="6408420"/>
                <wp:effectExtent l="0" t="0" r="1270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408751"/>
                        </a:xfrm>
                        <a:prstGeom prst="rect">
                          <a:avLst/>
                        </a:prstGeom>
                        <a:solidFill>
                          <a:srgbClr val="FFFFFF"/>
                        </a:solidFill>
                        <a:ln w="9525">
                          <a:solidFill>
                            <a:srgbClr val="000000"/>
                          </a:solidFill>
                          <a:miter lim="800000"/>
                          <a:headEnd/>
                          <a:tailEnd/>
                        </a:ln>
                      </wps:spPr>
                      <wps:txbx>
                        <w:txbxContent>
                          <w:p w:rsidR="00D90405" w:rsidRPr="00441D1E" w:rsidRDefault="00D90405" w:rsidP="00441D1E">
                            <w:pPr>
                              <w:pStyle w:val="ListParagraph"/>
                              <w:spacing w:after="200" w:line="276" w:lineRule="auto"/>
                              <w:ind w:left="360"/>
                              <w:jc w:val="center"/>
                              <w:rPr>
                                <w:sz w:val="24"/>
                                <w:szCs w:val="24"/>
                              </w:rPr>
                            </w:pPr>
                            <w:r w:rsidRPr="00441D1E">
                              <w:rPr>
                                <w:b/>
                                <w:sz w:val="24"/>
                                <w:szCs w:val="24"/>
                              </w:rPr>
                              <w:t>ATSDR Exposure Investigations (EI)</w:t>
                            </w:r>
                          </w:p>
                          <w:p w:rsidR="00D90405" w:rsidRDefault="00D90405" w:rsidP="00441D1E">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00D90405" w:rsidRPr="00441D1E" w:rsidRDefault="00D90405" w:rsidP="00441D1E">
                            <w:pPr>
                              <w:spacing w:after="200" w:line="276" w:lineRule="auto"/>
                              <w:rPr>
                                <w:sz w:val="24"/>
                                <w:szCs w:val="24"/>
                              </w:rPr>
                            </w:pPr>
                            <w:r w:rsidRPr="001B2712">
                              <w:rPr>
                                <w:b/>
                                <w:sz w:val="24"/>
                                <w:szCs w:val="24"/>
                              </w:rPr>
                              <w:t xml:space="preserve">Intended use of the resulting data: </w:t>
                            </w:r>
                            <w:r w:rsidRPr="00441D1E">
                              <w:rPr>
                                <w:sz w:val="24"/>
                                <w:szCs w:val="24"/>
                              </w:rPr>
                              <w:t xml:space="preserve">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w:t>
                            </w:r>
                            <w:r>
                              <w:rPr>
                                <w:sz w:val="24"/>
                                <w:szCs w:val="24"/>
                              </w:rPr>
                              <w:t>200</w:t>
                            </w:r>
                            <w:r w:rsidRPr="00441D1E">
                              <w:rPr>
                                <w:sz w:val="24"/>
                                <w:szCs w:val="24"/>
                              </w:rPr>
                              <w:t xml:space="preserve"> EIs over approximately 1</w:t>
                            </w:r>
                            <w:r>
                              <w:rPr>
                                <w:sz w:val="24"/>
                                <w:szCs w:val="24"/>
                              </w:rPr>
                              <w:t>5</w:t>
                            </w:r>
                            <w:r w:rsidRPr="00441D1E">
                              <w:rPr>
                                <w:sz w:val="24"/>
                                <w:szCs w:val="24"/>
                              </w:rPr>
                              <w:t xml:space="preserve"> years. In the past </w:t>
                            </w:r>
                            <w:r w:rsidR="00522949">
                              <w:rPr>
                                <w:sz w:val="24"/>
                                <w:szCs w:val="24"/>
                              </w:rPr>
                              <w:t>three</w:t>
                            </w:r>
                            <w:r w:rsidRPr="00441D1E">
                              <w:rPr>
                                <w:sz w:val="24"/>
                                <w:szCs w:val="24"/>
                              </w:rPr>
                              <w:t xml:space="preserve"> years, ATSDR has comple</w:t>
                            </w:r>
                            <w:r w:rsidRPr="00927137">
                              <w:rPr>
                                <w:sz w:val="24"/>
                                <w:szCs w:val="24"/>
                              </w:rPr>
                              <w:t xml:space="preserve">ted </w:t>
                            </w:r>
                            <w:r w:rsidR="00522949" w:rsidRPr="00927137">
                              <w:rPr>
                                <w:sz w:val="24"/>
                                <w:szCs w:val="24"/>
                              </w:rPr>
                              <w:t>4</w:t>
                            </w:r>
                            <w:r w:rsidRPr="00927137">
                              <w:rPr>
                                <w:sz w:val="24"/>
                                <w:szCs w:val="24"/>
                              </w:rPr>
                              <w:t xml:space="preserve"> EIs under</w:t>
                            </w:r>
                            <w:r w:rsidRPr="00441D1E">
                              <w:rPr>
                                <w:sz w:val="24"/>
                                <w:szCs w:val="24"/>
                              </w:rPr>
                              <w:t xml:space="preserve"> the current generic clearance, OMB Control No. 0923-0048 (expiration date </w:t>
                            </w:r>
                            <w:r>
                              <w:rPr>
                                <w:sz w:val="24"/>
                                <w:szCs w:val="24"/>
                              </w:rPr>
                              <w:t>03/31/2019</w:t>
                            </w:r>
                            <w:r w:rsidRPr="00441D1E">
                              <w:rPr>
                                <w:sz w:val="24"/>
                                <w:szCs w:val="24"/>
                              </w:rPr>
                              <w:t>).</w:t>
                            </w:r>
                          </w:p>
                          <w:p w:rsidR="00D90405" w:rsidRPr="00453CF0" w:rsidRDefault="00D90405" w:rsidP="00441D1E">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00D90405" w:rsidRPr="00441D1E" w:rsidRDefault="00D90405" w:rsidP="008C46E9">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00D90405" w:rsidRPr="00441D1E" w:rsidRDefault="00D90405" w:rsidP="00441D1E">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00D90405" w:rsidRPr="00441D1E" w:rsidRDefault="00D90405" w:rsidP="00441D1E">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00D90405" w:rsidRPr="001B2712" w:rsidRDefault="00D90405" w:rsidP="008C46E9">
                            <w:pPr>
                              <w:spacing w:before="24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8.95pt;width:467pt;height:504.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">
                <v:textbox>
                  <w:txbxContent>
                    <w:p w:rsidR="00D90405" w:rsidRPr="00441D1E" w:rsidRDefault="00D90405" w:rsidP="00441D1E">
                      <w:pPr>
                        <w:pStyle w:val="ListParagraph"/>
                        <w:spacing w:after="200" w:line="276" w:lineRule="auto"/>
                        <w:ind w:left="360"/>
                        <w:jc w:val="center"/>
                        <w:rPr>
                          <w:sz w:val="24"/>
                          <w:szCs w:val="24"/>
                        </w:rPr>
                      </w:pPr>
                      <w:r w:rsidRPr="00441D1E">
                        <w:rPr>
                          <w:b/>
                          <w:sz w:val="24"/>
                          <w:szCs w:val="24"/>
                        </w:rPr>
                        <w:t>ATSDR Exposure Investigations (EI)</w:t>
                      </w:r>
                    </w:p>
                    <w:p w:rsidR="00D90405" w:rsidRDefault="00D90405" w:rsidP="00441D1E">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00D90405" w:rsidRPr="00441D1E" w:rsidRDefault="00D90405" w:rsidP="00441D1E">
                      <w:pPr>
                        <w:spacing w:after="200" w:line="276" w:lineRule="auto"/>
                        <w:rPr>
                          <w:sz w:val="24"/>
                          <w:szCs w:val="24"/>
                        </w:rPr>
                      </w:pPr>
                      <w:r w:rsidRPr="001B2712">
                        <w:rPr>
                          <w:b/>
                          <w:sz w:val="24"/>
                          <w:szCs w:val="24"/>
                        </w:rPr>
                        <w:t xml:space="preserve">Intended use of the resulting data: </w:t>
                      </w:r>
                      <w:r w:rsidRPr="00441D1E">
                        <w:rPr>
                          <w:sz w:val="24"/>
                          <w:szCs w:val="24"/>
                        </w:rPr>
                        <w:t xml:space="preserve">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w:t>
                      </w:r>
                      <w:r>
                        <w:rPr>
                          <w:sz w:val="24"/>
                          <w:szCs w:val="24"/>
                        </w:rPr>
                        <w:t>200</w:t>
                      </w:r>
                      <w:r w:rsidRPr="00441D1E">
                        <w:rPr>
                          <w:sz w:val="24"/>
                          <w:szCs w:val="24"/>
                        </w:rPr>
                        <w:t xml:space="preserve"> EIs over approximately 1</w:t>
                      </w:r>
                      <w:r>
                        <w:rPr>
                          <w:sz w:val="24"/>
                          <w:szCs w:val="24"/>
                        </w:rPr>
                        <w:t>5</w:t>
                      </w:r>
                      <w:r w:rsidRPr="00441D1E">
                        <w:rPr>
                          <w:sz w:val="24"/>
                          <w:szCs w:val="24"/>
                        </w:rPr>
                        <w:t xml:space="preserve"> years. In the past </w:t>
                      </w:r>
                      <w:r w:rsidR="00522949">
                        <w:rPr>
                          <w:sz w:val="24"/>
                          <w:szCs w:val="24"/>
                        </w:rPr>
                        <w:t>three</w:t>
                      </w:r>
                      <w:r w:rsidRPr="00441D1E">
                        <w:rPr>
                          <w:sz w:val="24"/>
                          <w:szCs w:val="24"/>
                        </w:rPr>
                        <w:t xml:space="preserve"> years, ATSDR has comple</w:t>
                      </w:r>
                      <w:r w:rsidRPr="00927137">
                        <w:rPr>
                          <w:sz w:val="24"/>
                          <w:szCs w:val="24"/>
                        </w:rPr>
                        <w:t xml:space="preserve">ted </w:t>
                      </w:r>
                      <w:r w:rsidR="00522949" w:rsidRPr="00927137">
                        <w:rPr>
                          <w:sz w:val="24"/>
                          <w:szCs w:val="24"/>
                        </w:rPr>
                        <w:t>4</w:t>
                      </w:r>
                      <w:r w:rsidRPr="00927137">
                        <w:rPr>
                          <w:sz w:val="24"/>
                          <w:szCs w:val="24"/>
                        </w:rPr>
                        <w:t xml:space="preserve"> EIs under</w:t>
                      </w:r>
                      <w:r w:rsidRPr="00441D1E">
                        <w:rPr>
                          <w:sz w:val="24"/>
                          <w:szCs w:val="24"/>
                        </w:rPr>
                        <w:t xml:space="preserve"> the current generic clearance, OMB Control No. 0923-0048 (expiration date </w:t>
                      </w:r>
                      <w:r>
                        <w:rPr>
                          <w:sz w:val="24"/>
                          <w:szCs w:val="24"/>
                        </w:rPr>
                        <w:t>03/31/2019</w:t>
                      </w:r>
                      <w:r w:rsidRPr="00441D1E">
                        <w:rPr>
                          <w:sz w:val="24"/>
                          <w:szCs w:val="24"/>
                        </w:rPr>
                        <w:t>).</w:t>
                      </w:r>
                    </w:p>
                    <w:p w:rsidR="00D90405" w:rsidRPr="00453CF0" w:rsidRDefault="00D90405" w:rsidP="00441D1E">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00D90405" w:rsidRPr="00441D1E" w:rsidRDefault="00D90405" w:rsidP="008C46E9">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00D90405" w:rsidRPr="00441D1E" w:rsidRDefault="00D90405" w:rsidP="00441D1E">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00D90405" w:rsidRPr="00441D1E" w:rsidRDefault="00D90405" w:rsidP="00441D1E">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00D90405" w:rsidRPr="001B2712" w:rsidRDefault="00D90405" w:rsidP="008C46E9">
                      <w:pPr>
                        <w:spacing w:before="240" w:line="240" w:lineRule="auto"/>
                        <w:rPr>
                          <w:sz w:val="24"/>
                          <w:szCs w:val="24"/>
                        </w:rPr>
                      </w:pPr>
                    </w:p>
                  </w:txbxContent>
                </v:textbox>
                <w10:wrap type="square" anchorx="margin"/>
              </v:shape>
            </w:pict>
          </mc:Fallback>
        </mc:AlternateContent>
      </w:r>
    </w:p>
    <w:p w:rsidR="00F24E79" w:rsidRDefault="00F24E79" w:rsidP="00EE7CF9">
      <w:pPr>
        <w:pBdr>
          <w:bottom w:val="single" w:sz="4" w:space="1" w:color="auto"/>
        </w:pBdr>
        <w:rPr>
          <w:rFonts w:asciiTheme="majorHAnsi" w:hAnsiTheme="majorHAnsi"/>
          <w:sz w:val="36"/>
          <w:szCs w:val="36"/>
        </w:rPr>
      </w:pPr>
    </w:p>
    <w:p w:rsidR="00F24E79" w:rsidRDefault="00F24E79" w:rsidP="00EE7CF9">
      <w:pPr>
        <w:pBdr>
          <w:bottom w:val="single" w:sz="4" w:space="1" w:color="auto"/>
        </w:pBdr>
        <w:rPr>
          <w:rFonts w:asciiTheme="majorHAnsi" w:hAnsiTheme="majorHAnsi"/>
          <w:sz w:val="36"/>
          <w:szCs w:val="36"/>
        </w:rPr>
      </w:pPr>
    </w:p>
    <w:p w:rsidR="00F24E79" w:rsidRDefault="00F24E79" w:rsidP="00EE7CF9">
      <w:pPr>
        <w:pBdr>
          <w:bottom w:val="single" w:sz="4" w:space="1" w:color="auto"/>
        </w:pBdr>
        <w:rPr>
          <w:rFonts w:asciiTheme="majorHAnsi" w:hAnsiTheme="majorHAnsi"/>
          <w:sz w:val="36"/>
          <w:szCs w:val="36"/>
        </w:rPr>
      </w:pPr>
    </w:p>
    <w:p w:rsidR="008606A3" w:rsidRPr="00F24E79" w:rsidRDefault="008606A3" w:rsidP="00DA6302">
      <w:pPr>
        <w:pBdr>
          <w:bottom w:val="single" w:sz="4" w:space="1" w:color="auto"/>
        </w:pBdr>
      </w:pPr>
      <w:bookmarkStart w:id="3" w:name="_Toc433960188"/>
      <w:r w:rsidRPr="00DA6302">
        <w:rPr>
          <w:rFonts w:asciiTheme="majorHAnsi" w:hAnsiTheme="majorHAnsi"/>
          <w:sz w:val="36"/>
          <w:szCs w:val="36"/>
        </w:rPr>
        <w:t>Part A. Justification</w:t>
      </w:r>
    </w:p>
    <w:p w:rsidR="00B45002" w:rsidRPr="00D20211" w:rsidRDefault="00FC5B5A" w:rsidP="00C03179">
      <w:pPr>
        <w:pStyle w:val="Heading1"/>
        <w:pBdr>
          <w:bottom w:val="none" w:sz="0" w:space="0" w:color="auto"/>
        </w:pBdr>
        <w:rPr>
          <w:color w:val="auto"/>
        </w:rPr>
      </w:pPr>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rsidR="00FC5B5A" w:rsidRPr="00D20211" w:rsidRDefault="00FC5B5A" w:rsidP="00601F1A"/>
    <w:p w:rsidR="0033105E" w:rsidRPr="0033105E" w:rsidRDefault="005E0ADE" w:rsidP="007D4152">
      <w:pPr>
        <w:rPr>
          <w:sz w:val="24"/>
          <w:szCs w:val="24"/>
        </w:rPr>
      </w:pPr>
      <w:r w:rsidRPr="0033105E">
        <w:rPr>
          <w:bCs/>
          <w:sz w:val="24"/>
          <w:szCs w:val="24"/>
        </w:rPr>
        <w:t xml:space="preserve">This is a request for a three-year extension of a generic clearance information collection request (ICR) titled the </w:t>
      </w:r>
      <w:r w:rsidRPr="0033105E">
        <w:rPr>
          <w:bCs/>
          <w:i/>
          <w:sz w:val="24"/>
          <w:szCs w:val="24"/>
        </w:rPr>
        <w:t>ATSDR Exposure Investigations (EI)</w:t>
      </w:r>
      <w:r w:rsidRPr="0033105E">
        <w:rPr>
          <w:sz w:val="24"/>
          <w:szCs w:val="24"/>
        </w:rPr>
        <w:t xml:space="preserve"> (OMB 0923-0048, expiration date </w:t>
      </w:r>
      <w:r w:rsidR="00C87025">
        <w:rPr>
          <w:sz w:val="24"/>
          <w:szCs w:val="24"/>
        </w:rPr>
        <w:t>03/31/2019</w:t>
      </w:r>
      <w:r w:rsidRPr="0033105E">
        <w:rPr>
          <w:sz w:val="24"/>
          <w:szCs w:val="24"/>
        </w:rPr>
        <w:t xml:space="preserve">) to continue to </w:t>
      </w:r>
      <w:r w:rsidRPr="0033105E">
        <w:rPr>
          <w:bCs/>
          <w:sz w:val="24"/>
          <w:szCs w:val="24"/>
        </w:rPr>
        <w:t xml:space="preserve">allow the Agency to carry out its public health activities in a timely and efficient manner. ATSDR is authorized to conduct EIs </w:t>
      </w:r>
      <w:r w:rsidRPr="0033105E">
        <w:rPr>
          <w:sz w:val="24"/>
          <w:szCs w:val="24"/>
        </w:rPr>
        <w:t>under t</w:t>
      </w:r>
      <w:r w:rsidRPr="0033105E">
        <w:rPr>
          <w:bCs/>
          <w:iCs/>
          <w:sz w:val="24"/>
          <w:szCs w:val="24"/>
        </w:rPr>
        <w:t>he Comprehensive Environmental Response, Compensation, and Liability Act of 1980 (CERCLA), commonly known as the "Superfund" Act, as amended by the Superfund Amendments and Reauthorization Act (SARA) of 1986 (</w:t>
      </w:r>
      <w:r w:rsidRPr="003717C7">
        <w:rPr>
          <w:b/>
          <w:bCs/>
          <w:iCs/>
          <w:sz w:val="24"/>
          <w:szCs w:val="24"/>
        </w:rPr>
        <w:t>Attachment 1</w:t>
      </w:r>
      <w:r w:rsidRPr="0033105E">
        <w:rPr>
          <w:bCs/>
          <w:iCs/>
          <w:sz w:val="24"/>
          <w:szCs w:val="24"/>
        </w:rPr>
        <w:t>)</w:t>
      </w:r>
      <w:r w:rsidRPr="0033105E">
        <w:rPr>
          <w:sz w:val="24"/>
          <w:szCs w:val="24"/>
        </w:rPr>
        <w:t xml:space="preserve">. </w:t>
      </w:r>
      <w:r w:rsidRPr="0033105E">
        <w:rPr>
          <w:color w:val="000000"/>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ATSDR works to prevent or reduce further exposure and the illnesses that result from such hazardous substances. </w:t>
      </w:r>
      <w:r w:rsidR="0033105E" w:rsidRPr="0033105E">
        <w:rPr>
          <w:sz w:val="24"/>
          <w:szCs w:val="24"/>
        </w:rPr>
        <w:t xml:space="preserve">The 60-day Federal Register Notice was published on </w:t>
      </w:r>
      <w:r w:rsidR="00313B28">
        <w:rPr>
          <w:sz w:val="24"/>
          <w:szCs w:val="24"/>
        </w:rPr>
        <w:t>11/06/2018</w:t>
      </w:r>
      <w:r w:rsidR="0036445D">
        <w:rPr>
          <w:sz w:val="24"/>
          <w:szCs w:val="24"/>
        </w:rPr>
        <w:t xml:space="preserve"> </w:t>
      </w:r>
      <w:r w:rsidR="0033105E" w:rsidRPr="0033105E">
        <w:rPr>
          <w:sz w:val="24"/>
          <w:szCs w:val="24"/>
        </w:rPr>
        <w:t>(</w:t>
      </w:r>
      <w:r w:rsidR="0033105E" w:rsidRPr="003717C7">
        <w:rPr>
          <w:b/>
          <w:sz w:val="24"/>
          <w:szCs w:val="24"/>
        </w:rPr>
        <w:t>Attachment 2</w:t>
      </w:r>
      <w:r w:rsidR="0033105E" w:rsidRPr="0033105E">
        <w:rPr>
          <w:sz w:val="24"/>
          <w:szCs w:val="24"/>
        </w:rPr>
        <w:t>) and is further discussed in Section A.8.</w:t>
      </w:r>
    </w:p>
    <w:p w:rsidR="005E0ADE" w:rsidRPr="005E0ADE" w:rsidRDefault="005E0ADE" w:rsidP="007D4152">
      <w:pPr>
        <w:tabs>
          <w:tab w:val="left" w:pos="1545"/>
        </w:tabs>
        <w:rPr>
          <w:color w:val="000000"/>
          <w:sz w:val="24"/>
          <w:szCs w:val="24"/>
          <w:lang w:val="en"/>
        </w:rPr>
      </w:pPr>
      <w:r w:rsidRPr="005E0ADE">
        <w:rPr>
          <w:color w:val="000000"/>
          <w:sz w:val="24"/>
          <w:szCs w:val="24"/>
        </w:rPr>
        <w:t xml:space="preserve">The </w:t>
      </w:r>
      <w:r w:rsidRPr="005E0ADE">
        <w:rPr>
          <w:sz w:val="24"/>
          <w:szCs w:val="24"/>
        </w:rPr>
        <w:t>ATSDR Division of Community Health and Investigation (DCHI)</w:t>
      </w:r>
      <w:r w:rsidRPr="005E0ADE">
        <w:rPr>
          <w:color w:val="000000"/>
          <w:sz w:val="24"/>
          <w:szCs w:val="24"/>
        </w:rPr>
        <w:t xml:space="preserve"> conducts public health assessments (PHAs) at sites when requested by the U.S. EPA, states, organizations, or individual petitioners following the </w:t>
      </w:r>
      <w:r w:rsidRPr="005E0ADE">
        <w:rPr>
          <w:i/>
          <w:color w:val="000000"/>
          <w:sz w:val="24"/>
          <w:szCs w:val="24"/>
        </w:rPr>
        <w:t>Public Health Assessment Guidance Manual</w:t>
      </w:r>
      <w:r w:rsidRPr="005E0ADE">
        <w:rPr>
          <w:color w:val="000000"/>
          <w:sz w:val="24"/>
          <w:szCs w:val="24"/>
        </w:rPr>
        <w:t xml:space="preserve"> (ATSDR, 2005).</w:t>
      </w:r>
      <w:r w:rsidRPr="005E0ADE">
        <w:rPr>
          <w:rStyle w:val="FootnoteReference"/>
          <w:rFonts w:asciiTheme="minorHAnsi" w:hAnsiTheme="minorHAnsi"/>
          <w:color w:val="000000"/>
          <w:sz w:val="24"/>
          <w:szCs w:val="24"/>
        </w:rPr>
        <w:footnoteReference w:id="1"/>
      </w:r>
      <w:r w:rsidRPr="005E0ADE">
        <w:rPr>
          <w:color w:val="000000"/>
          <w:sz w:val="24"/>
          <w:szCs w:val="24"/>
        </w:rPr>
        <w:t xml:space="preserve"> </w:t>
      </w:r>
      <w:r w:rsidRPr="005E0ADE">
        <w:rPr>
          <w:color w:val="000000"/>
          <w:sz w:val="24"/>
          <w:szCs w:val="24"/>
          <w:lang w:val="en"/>
        </w:rPr>
        <w:t xml:space="preserve">The purpose of the agency’s PHA process is to find out whether </w:t>
      </w:r>
      <w:r w:rsidR="004F5FCE">
        <w:rPr>
          <w:color w:val="000000"/>
          <w:sz w:val="24"/>
          <w:szCs w:val="24"/>
          <w:lang w:val="en"/>
        </w:rPr>
        <w:t xml:space="preserve">a community has experienced environmental exposures of concerns or is now </w:t>
      </w:r>
      <w:r w:rsidR="004F5FCE" w:rsidRPr="005E0ADE">
        <w:rPr>
          <w:color w:val="000000"/>
          <w:sz w:val="24"/>
          <w:szCs w:val="24"/>
          <w:lang w:val="en"/>
        </w:rPr>
        <w:t>being</w:t>
      </w:r>
      <w:r w:rsidRPr="005E0ADE">
        <w:rPr>
          <w:color w:val="000000"/>
          <w:sz w:val="24"/>
          <w:szCs w:val="24"/>
          <w:lang w:val="en"/>
        </w:rPr>
        <w:t xml:space="preserve"> exposed to hazardous substances and, if so whether</w:t>
      </w:r>
      <w:r w:rsidR="004F5FCE" w:rsidRPr="00441D1E">
        <w:rPr>
          <w:sz w:val="24"/>
          <w:szCs w:val="24"/>
        </w:rPr>
        <w:t xml:space="preserve"> conditions warrant additional sampling and to decide if intervention is needed to minimize or eliminate exposure</w:t>
      </w:r>
      <w:r w:rsidRPr="005E0ADE">
        <w:rPr>
          <w:color w:val="000000"/>
          <w:sz w:val="24"/>
          <w:szCs w:val="24"/>
          <w:lang w:val="en"/>
        </w:rPr>
        <w:t xml:space="preserve">. The process also serves as a mechanism through which the agency responds to specific community health concerns related to hazardous waste sites. </w:t>
      </w:r>
    </w:p>
    <w:p w:rsidR="005E0ADE" w:rsidRPr="005E0ADE" w:rsidRDefault="005E0ADE" w:rsidP="007D4152">
      <w:pPr>
        <w:tabs>
          <w:tab w:val="left" w:pos="1545"/>
        </w:tabs>
        <w:rPr>
          <w:color w:val="000000"/>
          <w:sz w:val="24"/>
          <w:szCs w:val="24"/>
          <w:lang w:val="en"/>
        </w:rPr>
      </w:pPr>
      <w:r w:rsidRPr="005E0ADE">
        <w:rPr>
          <w:color w:val="000000"/>
          <w:sz w:val="24"/>
          <w:szCs w:val="24"/>
          <w:lang w:val="en"/>
        </w:rPr>
        <w:t>In summary, the PHA process includes the following steps:</w:t>
      </w:r>
    </w:p>
    <w:p w:rsidR="005E0ADE" w:rsidRPr="005E0ADE" w:rsidRDefault="005E0ADE" w:rsidP="001C562C">
      <w:pPr>
        <w:pStyle w:val="ListParagraph"/>
        <w:numPr>
          <w:ilvl w:val="0"/>
          <w:numId w:val="50"/>
        </w:numPr>
        <w:tabs>
          <w:tab w:val="left" w:pos="1545"/>
        </w:tabs>
        <w:spacing w:line="240" w:lineRule="auto"/>
        <w:rPr>
          <w:color w:val="000000"/>
          <w:sz w:val="24"/>
          <w:szCs w:val="24"/>
          <w:lang w:val="en"/>
        </w:rPr>
      </w:pPr>
      <w:r w:rsidRPr="005E0ADE">
        <w:rPr>
          <w:color w:val="000000"/>
          <w:sz w:val="24"/>
          <w:szCs w:val="24"/>
          <w:lang w:val="en"/>
        </w:rPr>
        <w:t>Obtaining site information;</w:t>
      </w:r>
    </w:p>
    <w:p w:rsidR="005E0ADE" w:rsidRPr="005E0ADE" w:rsidRDefault="005E0ADE" w:rsidP="001C562C">
      <w:pPr>
        <w:pStyle w:val="ListParagraph"/>
        <w:numPr>
          <w:ilvl w:val="0"/>
          <w:numId w:val="50"/>
        </w:numPr>
        <w:tabs>
          <w:tab w:val="left" w:pos="1545"/>
        </w:tabs>
        <w:spacing w:line="240" w:lineRule="auto"/>
        <w:rPr>
          <w:color w:val="000000"/>
          <w:sz w:val="24"/>
          <w:szCs w:val="24"/>
          <w:lang w:val="en"/>
        </w:rPr>
      </w:pPr>
      <w:r w:rsidRPr="005E0ADE">
        <w:rPr>
          <w:color w:val="000000"/>
          <w:sz w:val="24"/>
          <w:szCs w:val="24"/>
          <w:lang w:val="en"/>
        </w:rPr>
        <w:t xml:space="preserve">Involving and communicating with the community; </w:t>
      </w:r>
    </w:p>
    <w:p w:rsidR="005E0ADE" w:rsidRPr="005E0ADE" w:rsidRDefault="005E0ADE" w:rsidP="001C562C">
      <w:pPr>
        <w:pStyle w:val="ListParagraph"/>
        <w:numPr>
          <w:ilvl w:val="0"/>
          <w:numId w:val="50"/>
        </w:numPr>
        <w:tabs>
          <w:tab w:val="left" w:pos="1545"/>
        </w:tabs>
        <w:spacing w:line="240" w:lineRule="auto"/>
        <w:rPr>
          <w:color w:val="000000"/>
          <w:sz w:val="24"/>
          <w:szCs w:val="24"/>
          <w:lang w:val="en"/>
        </w:rPr>
      </w:pPr>
      <w:r w:rsidRPr="005E0ADE">
        <w:rPr>
          <w:color w:val="000000"/>
          <w:sz w:val="24"/>
          <w:szCs w:val="24"/>
          <w:lang w:val="en"/>
        </w:rPr>
        <w:t>Exposure evaluation;</w:t>
      </w:r>
    </w:p>
    <w:p w:rsidR="005E0ADE" w:rsidRPr="005E0ADE" w:rsidRDefault="005E0ADE" w:rsidP="001C562C">
      <w:pPr>
        <w:pStyle w:val="ListParagraph"/>
        <w:numPr>
          <w:ilvl w:val="0"/>
          <w:numId w:val="50"/>
        </w:numPr>
        <w:tabs>
          <w:tab w:val="left" w:pos="1545"/>
        </w:tabs>
        <w:spacing w:line="240" w:lineRule="auto"/>
        <w:rPr>
          <w:color w:val="000000"/>
          <w:sz w:val="24"/>
          <w:szCs w:val="24"/>
          <w:lang w:val="en"/>
        </w:rPr>
      </w:pPr>
      <w:r w:rsidRPr="005E0ADE">
        <w:rPr>
          <w:color w:val="000000"/>
          <w:sz w:val="24"/>
          <w:szCs w:val="24"/>
          <w:lang w:val="en"/>
        </w:rPr>
        <w:t>Health outcome evaluation; and</w:t>
      </w:r>
    </w:p>
    <w:p w:rsidR="005E0ADE" w:rsidRPr="005E0ADE" w:rsidRDefault="005E0ADE" w:rsidP="001C562C">
      <w:pPr>
        <w:pStyle w:val="ListParagraph"/>
        <w:numPr>
          <w:ilvl w:val="0"/>
          <w:numId w:val="50"/>
        </w:numPr>
        <w:tabs>
          <w:tab w:val="left" w:pos="1545"/>
        </w:tabs>
        <w:spacing w:line="240" w:lineRule="auto"/>
        <w:rPr>
          <w:color w:val="000000"/>
          <w:sz w:val="24"/>
          <w:szCs w:val="24"/>
          <w:lang w:val="en"/>
        </w:rPr>
      </w:pPr>
      <w:r w:rsidRPr="005E0ADE">
        <w:rPr>
          <w:color w:val="000000"/>
          <w:sz w:val="24"/>
          <w:szCs w:val="24"/>
          <w:lang w:val="en"/>
        </w:rPr>
        <w:t>Determining conclusions and recommendations</w:t>
      </w:r>
    </w:p>
    <w:p w:rsidR="005E0ADE" w:rsidRPr="005E0ADE" w:rsidRDefault="005E0ADE" w:rsidP="007D4152">
      <w:pPr>
        <w:rPr>
          <w:color w:val="000000"/>
          <w:sz w:val="24"/>
          <w:szCs w:val="24"/>
          <w:lang w:val="en"/>
        </w:rPr>
      </w:pPr>
      <w:r w:rsidRPr="005E0ADE">
        <w:rPr>
          <w:color w:val="000000"/>
          <w:sz w:val="24"/>
          <w:szCs w:val="24"/>
          <w:lang w:val="en"/>
        </w:rPr>
        <w:t xml:space="preserve">Exposure assessment is the hallmark of the PHA process. ATSDR scientists review environmental data to see how much contamination is at a site, where it is, and how </w:t>
      </w:r>
      <w:r w:rsidR="004F5FCE">
        <w:rPr>
          <w:color w:val="000000"/>
          <w:sz w:val="24"/>
          <w:szCs w:val="24"/>
          <w:lang w:val="en"/>
        </w:rPr>
        <w:t>community residents</w:t>
      </w:r>
      <w:r w:rsidRPr="005E0ADE">
        <w:rPr>
          <w:color w:val="000000"/>
          <w:sz w:val="24"/>
          <w:szCs w:val="24"/>
          <w:lang w:val="en"/>
        </w:rPr>
        <w:t xml:space="preserve"> might come into contact with it. Generally, ATSDR does not collect its own environmental sampling data but reviews information provided by federal and state government agencies and/or their contractors, potentially responsible parties, and the public. </w:t>
      </w:r>
    </w:p>
    <w:p w:rsidR="005E0ADE" w:rsidRPr="005E0ADE" w:rsidRDefault="005E0ADE" w:rsidP="007D4152">
      <w:pPr>
        <w:rPr>
          <w:sz w:val="24"/>
          <w:szCs w:val="24"/>
        </w:rPr>
      </w:pPr>
      <w:r w:rsidRPr="005E0ADE">
        <w:rPr>
          <w:color w:val="000000"/>
          <w:sz w:val="24"/>
          <w:szCs w:val="24"/>
          <w:lang w:val="en"/>
        </w:rPr>
        <w:t xml:space="preserve">When adequate environmental or exposure information to assess human exposures and possible related health effects do not exist, ATSDR will perform an EI. </w:t>
      </w:r>
      <w:r w:rsidRPr="005E0ADE">
        <w:rPr>
          <w:sz w:val="24"/>
          <w:szCs w:val="24"/>
        </w:rPr>
        <w:t>The EI team conducts point of human-contact sampling focused on geographic areas where exposures are expected to be high. EIs may include environmental (e.g</w:t>
      </w:r>
      <w:r w:rsidR="00DF258E">
        <w:rPr>
          <w:sz w:val="24"/>
          <w:szCs w:val="24"/>
        </w:rPr>
        <w:t>.</w:t>
      </w:r>
      <w:r w:rsidRPr="005E0ADE">
        <w:rPr>
          <w:sz w:val="24"/>
          <w:szCs w:val="24"/>
        </w:rPr>
        <w:t xml:space="preserve">, soil, drinking water, sediment, food sources) or biological sampling (e.g., blood or urine), or both (ATSDR, 2005). </w:t>
      </w:r>
    </w:p>
    <w:p w:rsidR="005E0ADE" w:rsidRPr="005D0DDF" w:rsidRDefault="005E0ADE" w:rsidP="007D4152">
      <w:pPr>
        <w:rPr>
          <w:sz w:val="24"/>
          <w:szCs w:val="24"/>
        </w:rPr>
      </w:pPr>
      <w:r w:rsidRPr="005E0ADE">
        <w:rPr>
          <w:sz w:val="24"/>
          <w:szCs w:val="24"/>
        </w:rPr>
        <w:t xml:space="preserve">Within ATSDR, the DCHI Science Support Branch (SSB) EI Team is a multidisciplinary group </w:t>
      </w:r>
      <w:r w:rsidRPr="005E0ADE">
        <w:rPr>
          <w:color w:val="000000"/>
          <w:sz w:val="24"/>
          <w:szCs w:val="24"/>
        </w:rPr>
        <w:t>of 6-8 scientists</w:t>
      </w:r>
      <w:r w:rsidRPr="005E0ADE">
        <w:rPr>
          <w:sz w:val="24"/>
          <w:szCs w:val="24"/>
        </w:rPr>
        <w:t xml:space="preserve"> with expertise in environmental health science and engineering, industrial hygiene, epidemiology, toxicology, and medicine.  </w:t>
      </w:r>
      <w:r w:rsidRPr="005D0DDF">
        <w:rPr>
          <w:sz w:val="24"/>
          <w:szCs w:val="24"/>
        </w:rPr>
        <w:t xml:space="preserve">To conduct an EI, requesters must receive approval from the SSB/EI team based on the answers to the following questions: </w:t>
      </w:r>
    </w:p>
    <w:p w:rsidR="005E0ADE" w:rsidRPr="009253D4" w:rsidRDefault="005E0ADE" w:rsidP="009253D4">
      <w:pPr>
        <w:pStyle w:val="ListParagraph"/>
        <w:numPr>
          <w:ilvl w:val="0"/>
          <w:numId w:val="51"/>
        </w:numPr>
        <w:spacing w:line="240" w:lineRule="auto"/>
        <w:rPr>
          <w:sz w:val="24"/>
          <w:szCs w:val="24"/>
        </w:rPr>
      </w:pPr>
      <w:r w:rsidRPr="009253D4">
        <w:rPr>
          <w:sz w:val="24"/>
          <w:szCs w:val="24"/>
        </w:rPr>
        <w:t xml:space="preserve">Can an exposed </w:t>
      </w:r>
      <w:r w:rsidR="004F5FCE" w:rsidRPr="009253D4">
        <w:rPr>
          <w:sz w:val="24"/>
          <w:szCs w:val="24"/>
        </w:rPr>
        <w:t>sub</w:t>
      </w:r>
      <w:r w:rsidRPr="009253D4">
        <w:rPr>
          <w:sz w:val="24"/>
          <w:szCs w:val="24"/>
        </w:rPr>
        <w:t>population be identified?</w:t>
      </w:r>
    </w:p>
    <w:p w:rsidR="005E0ADE" w:rsidRPr="009253D4" w:rsidRDefault="005E0ADE" w:rsidP="009253D4">
      <w:pPr>
        <w:pStyle w:val="ListParagraph"/>
        <w:numPr>
          <w:ilvl w:val="0"/>
          <w:numId w:val="51"/>
        </w:numPr>
        <w:spacing w:line="240" w:lineRule="auto"/>
        <w:rPr>
          <w:sz w:val="24"/>
          <w:szCs w:val="24"/>
        </w:rPr>
      </w:pPr>
      <w:r w:rsidRPr="009253D4">
        <w:rPr>
          <w:sz w:val="24"/>
          <w:szCs w:val="24"/>
        </w:rPr>
        <w:t>Does a data gap exist that affects the ability to determine if a health hazard exists?</w:t>
      </w:r>
    </w:p>
    <w:p w:rsidR="005E0ADE" w:rsidRPr="009253D4" w:rsidRDefault="005E0ADE" w:rsidP="009253D4">
      <w:pPr>
        <w:pStyle w:val="ListParagraph"/>
        <w:numPr>
          <w:ilvl w:val="0"/>
          <w:numId w:val="51"/>
        </w:numPr>
        <w:spacing w:line="240" w:lineRule="auto"/>
        <w:rPr>
          <w:sz w:val="24"/>
          <w:szCs w:val="24"/>
        </w:rPr>
      </w:pPr>
      <w:r w:rsidRPr="009253D4">
        <w:rPr>
          <w:sz w:val="24"/>
          <w:szCs w:val="24"/>
        </w:rPr>
        <w:t>Can an EI be designed that will address this data gap?</w:t>
      </w:r>
    </w:p>
    <w:p w:rsidR="005E0ADE" w:rsidRPr="009253D4" w:rsidRDefault="005E0ADE" w:rsidP="009253D4">
      <w:pPr>
        <w:pStyle w:val="ListParagraph"/>
        <w:numPr>
          <w:ilvl w:val="0"/>
          <w:numId w:val="51"/>
        </w:numPr>
        <w:spacing w:line="240" w:lineRule="auto"/>
        <w:rPr>
          <w:sz w:val="24"/>
          <w:szCs w:val="24"/>
        </w:rPr>
      </w:pPr>
      <w:r w:rsidRPr="009253D4">
        <w:rPr>
          <w:sz w:val="24"/>
          <w:szCs w:val="24"/>
        </w:rPr>
        <w:t>How will the EI results impact the public health decision-making for the site?</w:t>
      </w:r>
    </w:p>
    <w:p w:rsidR="005E0ADE" w:rsidRPr="005E0ADE" w:rsidRDefault="005E0ADE" w:rsidP="007D4152">
      <w:pPr>
        <w:rPr>
          <w:sz w:val="24"/>
          <w:szCs w:val="24"/>
        </w:rPr>
      </w:pPr>
      <w:r w:rsidRPr="005D0DDF">
        <w:rPr>
          <w:color w:val="000000"/>
          <w:sz w:val="24"/>
          <w:szCs w:val="24"/>
        </w:rPr>
        <w:t xml:space="preserve">If the answers to these questions indicate that an EI would allow ATSDR to make a better-informed public health call, </w:t>
      </w:r>
      <w:r w:rsidRPr="005D0DDF">
        <w:rPr>
          <w:sz w:val="24"/>
          <w:szCs w:val="24"/>
        </w:rPr>
        <w:t xml:space="preserve">the DCHI EI Team may conduct agency-led EIs. An EI, using </w:t>
      </w:r>
      <w:r w:rsidR="001A51F0" w:rsidRPr="005D0DDF">
        <w:rPr>
          <w:sz w:val="24"/>
          <w:szCs w:val="24"/>
        </w:rPr>
        <w:t xml:space="preserve">purposive </w:t>
      </w:r>
      <w:r w:rsidRPr="005D0DDF">
        <w:rPr>
          <w:sz w:val="24"/>
          <w:szCs w:val="24"/>
        </w:rPr>
        <w:t xml:space="preserve">convenience sampling, aims to identify the most highly exposed individuals and measure their exposure. </w:t>
      </w:r>
      <w:r w:rsidRPr="005D0DDF">
        <w:rPr>
          <w:color w:val="000000"/>
          <w:sz w:val="24"/>
          <w:szCs w:val="24"/>
        </w:rPr>
        <w:t>The results of the investigation are site-specific and apply only to the participants from the site. An EI is not considered a health study</w:t>
      </w:r>
      <w:r w:rsidR="001A51F0" w:rsidRPr="005D0DDF">
        <w:rPr>
          <w:color w:val="000000"/>
          <w:sz w:val="24"/>
          <w:szCs w:val="24"/>
        </w:rPr>
        <w:t xml:space="preserve"> or research, and any data gathered will thus not be disseminated as such</w:t>
      </w:r>
      <w:r w:rsidRPr="005D0DDF">
        <w:rPr>
          <w:color w:val="000000"/>
          <w:sz w:val="24"/>
          <w:szCs w:val="24"/>
        </w:rPr>
        <w:t xml:space="preserve">. </w:t>
      </w:r>
      <w:r w:rsidR="00A54AB1" w:rsidRPr="005D0DDF">
        <w:rPr>
          <w:color w:val="000000"/>
          <w:sz w:val="24"/>
          <w:szCs w:val="24"/>
        </w:rPr>
        <w:t>Furthermore, t</w:t>
      </w:r>
      <w:r w:rsidRPr="005D0DDF">
        <w:rPr>
          <w:sz w:val="24"/>
          <w:szCs w:val="24"/>
        </w:rPr>
        <w:t>he</w:t>
      </w:r>
      <w:r w:rsidR="00A54AB1" w:rsidRPr="005D0DDF">
        <w:rPr>
          <w:sz w:val="24"/>
          <w:szCs w:val="24"/>
        </w:rPr>
        <w:t xml:space="preserve"> EI</w:t>
      </w:r>
      <w:r w:rsidR="004F5FCE" w:rsidRPr="005D0DDF">
        <w:rPr>
          <w:sz w:val="24"/>
          <w:szCs w:val="24"/>
        </w:rPr>
        <w:t xml:space="preserve"> is not designed to provide individual diagnoses, nor are</w:t>
      </w:r>
      <w:r w:rsidRPr="005D0DDF">
        <w:rPr>
          <w:sz w:val="24"/>
          <w:szCs w:val="24"/>
        </w:rPr>
        <w:t xml:space="preserve"> participants’ results intended to be generalized to other populations and other communities.  </w:t>
      </w:r>
      <w:r w:rsidRPr="005D0DDF">
        <w:rPr>
          <w:color w:val="000000"/>
          <w:sz w:val="24"/>
          <w:szCs w:val="24"/>
        </w:rPr>
        <w:t xml:space="preserve">No participants from external comparison groups are included in the data collection. </w:t>
      </w:r>
      <w:r w:rsidRPr="005D0DDF">
        <w:rPr>
          <w:sz w:val="24"/>
          <w:szCs w:val="24"/>
        </w:rPr>
        <w:t>As a public service</w:t>
      </w:r>
      <w:r w:rsidR="004F5FCE" w:rsidRPr="005D0DDF">
        <w:rPr>
          <w:sz w:val="24"/>
          <w:szCs w:val="24"/>
        </w:rPr>
        <w:t xml:space="preserve"> and incentive to participate</w:t>
      </w:r>
      <w:r w:rsidRPr="005D0DDF">
        <w:rPr>
          <w:sz w:val="24"/>
          <w:szCs w:val="24"/>
        </w:rPr>
        <w:t>, EIs provide individual exposure information back to the participants.</w:t>
      </w:r>
    </w:p>
    <w:p w:rsidR="005E0ADE" w:rsidRPr="005E0ADE" w:rsidRDefault="005E0ADE" w:rsidP="007D4152">
      <w:pPr>
        <w:tabs>
          <w:tab w:val="left" w:pos="1545"/>
        </w:tabs>
        <w:rPr>
          <w:sz w:val="24"/>
          <w:szCs w:val="24"/>
        </w:rPr>
      </w:pPr>
      <w:r w:rsidRPr="005E0ADE">
        <w:rPr>
          <w:sz w:val="24"/>
          <w:szCs w:val="24"/>
        </w:rPr>
        <w:t xml:space="preserve">The SSB also coordinates and lends technical assistance to states, </w:t>
      </w:r>
      <w:r w:rsidR="00394893" w:rsidRPr="005E0ADE">
        <w:rPr>
          <w:sz w:val="24"/>
          <w:szCs w:val="24"/>
        </w:rPr>
        <w:t>tribal</w:t>
      </w:r>
      <w:r w:rsidRPr="005E0ADE">
        <w:rPr>
          <w:sz w:val="24"/>
          <w:szCs w:val="24"/>
        </w:rPr>
        <w:t xml:space="preserve"> and territorial health departments that conduct their own EIs. Currently, ATSDR is administering a multi-year cooperative agreement program called the “ATSDR’s Partnership to Promote Localized Efforts to Reduce Environmental Exposure (APPLETREE) Program” Award No. TS14-1403) which sponsors state-led non</w:t>
      </w:r>
      <w:r w:rsidR="001A51F0">
        <w:rPr>
          <w:sz w:val="24"/>
          <w:szCs w:val="24"/>
        </w:rPr>
        <w:t>-</w:t>
      </w:r>
      <w:r w:rsidRPr="005E0ADE">
        <w:rPr>
          <w:sz w:val="24"/>
          <w:szCs w:val="24"/>
        </w:rPr>
        <w:t>research EIs. ATSDR anticipates that future DCHI cooperative agreement programs will also include this long-established PHA process and underlying EI activity under the scope of this generic clearance. If future revisions to the scope of the generic clearance are necessary, ATSDR will request OMB review and approval for changes</w:t>
      </w:r>
      <w:r w:rsidR="001A51F0">
        <w:rPr>
          <w:sz w:val="24"/>
          <w:szCs w:val="24"/>
        </w:rPr>
        <w:t xml:space="preserve"> via a formal ICR revision request</w:t>
      </w:r>
      <w:r w:rsidRPr="005E0ADE">
        <w:rPr>
          <w:sz w:val="24"/>
          <w:szCs w:val="24"/>
        </w:rPr>
        <w:t>.</w:t>
      </w:r>
    </w:p>
    <w:p w:rsidR="005E0ADE" w:rsidRPr="005E0ADE" w:rsidRDefault="005E0ADE" w:rsidP="007D4152">
      <w:pPr>
        <w:tabs>
          <w:tab w:val="left" w:pos="1545"/>
        </w:tabs>
        <w:rPr>
          <w:sz w:val="24"/>
          <w:szCs w:val="24"/>
        </w:rPr>
      </w:pPr>
      <w:r w:rsidRPr="005E0ADE">
        <w:rPr>
          <w:sz w:val="24"/>
          <w:szCs w:val="24"/>
        </w:rPr>
        <w:t xml:space="preserve">In order to continue this necessary public health function, ATSDR is requesting approval of this </w:t>
      </w:r>
      <w:r w:rsidR="00407AD4">
        <w:rPr>
          <w:sz w:val="24"/>
          <w:szCs w:val="24"/>
        </w:rPr>
        <w:t xml:space="preserve">extension </w:t>
      </w:r>
      <w:r w:rsidRPr="005E0ADE">
        <w:rPr>
          <w:sz w:val="24"/>
          <w:szCs w:val="24"/>
        </w:rPr>
        <w:t>of the existing generic OMB submission.  Public health concerns leading to requests for an EI can be time-critical to document that an exposure exists and to address a number of public health hazard categories, such as urgent public health hazards.</w:t>
      </w:r>
      <w:r w:rsidRPr="00A50CA1">
        <w:rPr>
          <w:rStyle w:val="FootnoteReference"/>
          <w:rFonts w:asciiTheme="minorHAnsi" w:hAnsiTheme="minorHAnsi"/>
          <w:sz w:val="24"/>
          <w:szCs w:val="24"/>
        </w:rPr>
        <w:footnoteReference w:id="2"/>
      </w:r>
      <w:r w:rsidRPr="005E0ADE">
        <w:rPr>
          <w:sz w:val="24"/>
          <w:szCs w:val="24"/>
        </w:rPr>
        <w:t xml:space="preserve">  The EI team will ensure that OMB can perform a timely and expedited review for individual EIs under this generic clearance by submitting a standardized review packet that will provide all necessary information.</w:t>
      </w:r>
    </w:p>
    <w:p w:rsidR="00B45002" w:rsidRPr="00D20211" w:rsidRDefault="00601F1A" w:rsidP="00601F1A">
      <w:pPr>
        <w:pStyle w:val="Heading1"/>
        <w:pBdr>
          <w:bottom w:val="none" w:sz="0" w:space="0" w:color="auto"/>
        </w:pBdr>
        <w:rPr>
          <w:color w:val="auto"/>
        </w:rPr>
      </w:pPr>
      <w:bookmarkStart w:id="4" w:name="_Toc433960189"/>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rsidR="00A65BAD" w:rsidRPr="00D20211" w:rsidRDefault="00A65BAD" w:rsidP="003F6A54">
      <w:pPr>
        <w:autoSpaceDE w:val="0"/>
        <w:autoSpaceDN w:val="0"/>
        <w:adjustRightInd w:val="0"/>
        <w:spacing w:after="0" w:line="240" w:lineRule="auto"/>
        <w:rPr>
          <w:rFonts w:cs="ITCFranklinGothicStd-Book"/>
          <w:sz w:val="24"/>
          <w:szCs w:val="24"/>
        </w:rPr>
      </w:pPr>
    </w:p>
    <w:p w:rsidR="008D2B70" w:rsidRPr="008D2B70" w:rsidRDefault="008D2B70" w:rsidP="008D2B70">
      <w:pPr>
        <w:tabs>
          <w:tab w:val="left" w:pos="1545"/>
        </w:tabs>
        <w:rPr>
          <w:sz w:val="24"/>
          <w:szCs w:val="24"/>
        </w:rPr>
      </w:pPr>
      <w:r w:rsidRPr="008D2B70">
        <w:rPr>
          <w:sz w:val="24"/>
          <w:szCs w:val="24"/>
        </w:rPr>
        <w:t xml:space="preserve">The primary objectives of the information collected for EIs under this generic information request are to assess exposures to environmental contaminants using </w:t>
      </w:r>
      <w:r w:rsidR="001A51F0">
        <w:rPr>
          <w:sz w:val="24"/>
          <w:szCs w:val="24"/>
        </w:rPr>
        <w:t xml:space="preserve">purposive, </w:t>
      </w:r>
      <w:r w:rsidRPr="008D2B70">
        <w:rPr>
          <w:sz w:val="24"/>
          <w:szCs w:val="24"/>
        </w:rPr>
        <w:t xml:space="preserve">convenience sampling. Data obtained during EIs include biological (blood, urine and other biological samples) and environmental (water, air, soil and other environmental media) sampling.  </w:t>
      </w:r>
      <w:r w:rsidRPr="0093769B">
        <w:rPr>
          <w:sz w:val="24"/>
          <w:szCs w:val="24"/>
        </w:rPr>
        <w:t>Information obtained from the participants assists the team in determining if exposure has occurred or is occurring</w:t>
      </w:r>
      <w:r w:rsidR="00A54AB1" w:rsidRPr="0093769B">
        <w:rPr>
          <w:sz w:val="24"/>
          <w:szCs w:val="24"/>
        </w:rPr>
        <w:t>; exposure findings will be compared to scientific literature regarding potential harm at those exposure levels</w:t>
      </w:r>
      <w:r w:rsidRPr="0093769B">
        <w:rPr>
          <w:sz w:val="24"/>
          <w:szCs w:val="24"/>
        </w:rPr>
        <w:t xml:space="preserve">. </w:t>
      </w:r>
      <w:r w:rsidR="001A51F0" w:rsidRPr="0093769B">
        <w:rPr>
          <w:sz w:val="24"/>
          <w:szCs w:val="24"/>
        </w:rPr>
        <w:t>Data</w:t>
      </w:r>
      <w:r w:rsidR="001A51F0">
        <w:rPr>
          <w:sz w:val="24"/>
          <w:szCs w:val="24"/>
        </w:rPr>
        <w:t xml:space="preserve"> collected from the participants will not be utilized to assess for health outcomes in respondents. </w:t>
      </w:r>
      <w:r w:rsidRPr="008D2B70">
        <w:rPr>
          <w:sz w:val="24"/>
          <w:szCs w:val="24"/>
        </w:rPr>
        <w:t>For each EI, a data collection system will include all of the measurements and procedures that are proposed to address data gaps in biological and environmental sampling.</w:t>
      </w:r>
    </w:p>
    <w:p w:rsidR="00376FC4" w:rsidRPr="00376FC4" w:rsidRDefault="00376FC4" w:rsidP="00376FC4">
      <w:pPr>
        <w:tabs>
          <w:tab w:val="left" w:pos="1545"/>
        </w:tabs>
        <w:rPr>
          <w:sz w:val="24"/>
          <w:szCs w:val="24"/>
        </w:rPr>
      </w:pPr>
      <w:r w:rsidRPr="00376FC4">
        <w:rPr>
          <w:sz w:val="24"/>
          <w:szCs w:val="24"/>
        </w:rPr>
        <w:t>The data collection system for EIs will be characterized by the following:</w:t>
      </w:r>
    </w:p>
    <w:p w:rsidR="00376FC4" w:rsidRPr="005D0DDF" w:rsidRDefault="00376FC4" w:rsidP="009E2A28">
      <w:pPr>
        <w:pStyle w:val="ListParagraph"/>
        <w:numPr>
          <w:ilvl w:val="0"/>
          <w:numId w:val="33"/>
        </w:numPr>
        <w:tabs>
          <w:tab w:val="left" w:pos="1545"/>
        </w:tabs>
        <w:spacing w:after="0" w:line="240" w:lineRule="auto"/>
        <w:rPr>
          <w:sz w:val="24"/>
          <w:szCs w:val="24"/>
          <w:u w:val="single"/>
        </w:rPr>
      </w:pPr>
      <w:r w:rsidRPr="005D0DDF">
        <w:rPr>
          <w:sz w:val="24"/>
          <w:szCs w:val="24"/>
          <w:u w:val="single"/>
        </w:rPr>
        <w:t>Who can use the EI Generic Clearance?</w:t>
      </w:r>
    </w:p>
    <w:p w:rsidR="00376FC4" w:rsidRPr="00376FC4" w:rsidRDefault="00376FC4" w:rsidP="00376FC4">
      <w:pPr>
        <w:pStyle w:val="ListParagraph"/>
        <w:rPr>
          <w:sz w:val="24"/>
          <w:szCs w:val="24"/>
        </w:rPr>
      </w:pPr>
      <w:r w:rsidRPr="00376FC4">
        <w:rPr>
          <w:sz w:val="24"/>
          <w:szCs w:val="24"/>
        </w:rPr>
        <w:t>The DCHI SSB EI team and the ATSDR staff and partners in the DCHI cooperative agreement program will use the EI Generic Clearance for OMB submittals for each EI.</w:t>
      </w:r>
    </w:p>
    <w:p w:rsidR="00376FC4" w:rsidRPr="00376FC4" w:rsidRDefault="00376FC4" w:rsidP="00376FC4">
      <w:pPr>
        <w:pStyle w:val="ListParagraph"/>
        <w:rPr>
          <w:sz w:val="24"/>
          <w:szCs w:val="24"/>
        </w:rPr>
      </w:pPr>
    </w:p>
    <w:p w:rsidR="00376FC4" w:rsidRPr="007D4152" w:rsidRDefault="00376FC4" w:rsidP="007D4152">
      <w:pPr>
        <w:pStyle w:val="ListParagraph"/>
        <w:rPr>
          <w:sz w:val="24"/>
          <w:szCs w:val="24"/>
        </w:rPr>
      </w:pPr>
      <w:r w:rsidRPr="00376FC4">
        <w:rPr>
          <w:sz w:val="24"/>
          <w:szCs w:val="24"/>
        </w:rPr>
        <w:t xml:space="preserve">The DCHI cooperative agreement operates across ten ATSDR regions across the nation. In 2012, the site work in the ten regions were functionally reorganized (Federal Register, Volume 77 No. 221, 15 Nov 2012, Pages 68125-7; see </w:t>
      </w:r>
      <w:hyperlink r:id="rId10" w:history="1">
        <w:r w:rsidRPr="00376FC4">
          <w:rPr>
            <w:rStyle w:val="Hyperlink"/>
            <w:sz w:val="24"/>
            <w:szCs w:val="24"/>
          </w:rPr>
          <w:t>https://www.federalregister.gov/articles/2012/11/15/2012-27533/statement-of-organization-functions-and-delegations-of-authority</w:t>
        </w:r>
      </w:hyperlink>
      <w:r w:rsidRPr="00376FC4">
        <w:rPr>
          <w:sz w:val="24"/>
          <w:szCs w:val="24"/>
        </w:rPr>
        <w:t xml:space="preserve">). ATSDR DCHI was divided into three functional units that administer its ten regions and its cooperative agreement program:  Eastern Branch, Central Branch and Western Branch. The DCHI Science Support Branch (SSB) supports all three DCHI branches.  It is uncertain at this time how many EIs across the states, regions, and branches will require an expedited approval at the same time. </w:t>
      </w:r>
      <w:r w:rsidRPr="003717C7">
        <w:rPr>
          <w:b/>
          <w:sz w:val="24"/>
          <w:szCs w:val="24"/>
        </w:rPr>
        <w:t>Attachment 3</w:t>
      </w:r>
      <w:r w:rsidRPr="00376FC4">
        <w:rPr>
          <w:sz w:val="24"/>
          <w:szCs w:val="24"/>
        </w:rPr>
        <w:t xml:space="preserve"> provides a map of the EPA regions and ATSDR branches. The National Center for Environmental Health (NCEH) may also use this generic clearance mechanism to perform some of their important work.</w:t>
      </w:r>
    </w:p>
    <w:p w:rsidR="00376FC4" w:rsidRPr="005D0DDF" w:rsidRDefault="00376FC4" w:rsidP="009E2A28">
      <w:pPr>
        <w:pStyle w:val="ListParagraph"/>
        <w:numPr>
          <w:ilvl w:val="0"/>
          <w:numId w:val="33"/>
        </w:numPr>
        <w:spacing w:after="0" w:line="240" w:lineRule="auto"/>
        <w:rPr>
          <w:sz w:val="24"/>
          <w:szCs w:val="24"/>
          <w:u w:val="single"/>
        </w:rPr>
      </w:pPr>
      <w:r w:rsidRPr="005D0DDF">
        <w:rPr>
          <w:sz w:val="24"/>
          <w:szCs w:val="24"/>
          <w:u w:val="single"/>
        </w:rPr>
        <w:t>Who can be included as part of the EI Generic Clearance?</w:t>
      </w:r>
    </w:p>
    <w:p w:rsidR="00376FC4" w:rsidRPr="00376FC4" w:rsidRDefault="00376FC4" w:rsidP="00376FC4">
      <w:pPr>
        <w:ind w:left="720"/>
        <w:rPr>
          <w:sz w:val="24"/>
          <w:szCs w:val="24"/>
        </w:rPr>
      </w:pPr>
      <w:r w:rsidRPr="00376FC4">
        <w:rPr>
          <w:sz w:val="24"/>
          <w:szCs w:val="24"/>
        </w:rPr>
        <w:t xml:space="preserve">EI participants will vary based on the nature of the EI but will likely include community members that </w:t>
      </w:r>
      <w:r w:rsidR="001A51F0">
        <w:rPr>
          <w:sz w:val="24"/>
          <w:szCs w:val="24"/>
        </w:rPr>
        <w:t xml:space="preserve">ATSDR has identified as being at high risk of exposure to a contaminant and those who </w:t>
      </w:r>
      <w:r w:rsidRPr="00376FC4">
        <w:rPr>
          <w:sz w:val="24"/>
          <w:szCs w:val="24"/>
        </w:rPr>
        <w:t xml:space="preserve">are concerned </w:t>
      </w:r>
      <w:r w:rsidR="001A51F0">
        <w:rPr>
          <w:sz w:val="24"/>
          <w:szCs w:val="24"/>
        </w:rPr>
        <w:t>that they have been</w:t>
      </w:r>
      <w:r w:rsidRPr="00376FC4">
        <w:rPr>
          <w:sz w:val="24"/>
          <w:szCs w:val="24"/>
        </w:rPr>
        <w:t xml:space="preserve"> exposed to environmental contamination. As previously described, the EI will be conducted if the </w:t>
      </w:r>
      <w:r w:rsidR="00A54AB1">
        <w:rPr>
          <w:sz w:val="24"/>
          <w:szCs w:val="24"/>
        </w:rPr>
        <w:t xml:space="preserve">potentially </w:t>
      </w:r>
      <w:r w:rsidRPr="00376FC4">
        <w:rPr>
          <w:sz w:val="24"/>
          <w:szCs w:val="24"/>
        </w:rPr>
        <w:t xml:space="preserve">exposed </w:t>
      </w:r>
      <w:r w:rsidR="00A54AB1">
        <w:rPr>
          <w:sz w:val="24"/>
          <w:szCs w:val="24"/>
        </w:rPr>
        <w:t>sub-</w:t>
      </w:r>
      <w:r w:rsidRPr="00376FC4">
        <w:rPr>
          <w:sz w:val="24"/>
          <w:szCs w:val="24"/>
        </w:rPr>
        <w:t xml:space="preserve">population can be identified at </w:t>
      </w:r>
      <w:r w:rsidR="001A51F0">
        <w:rPr>
          <w:sz w:val="24"/>
          <w:szCs w:val="24"/>
        </w:rPr>
        <w:t>a particular</w:t>
      </w:r>
      <w:r w:rsidR="001A51F0" w:rsidRPr="00376FC4">
        <w:rPr>
          <w:sz w:val="24"/>
          <w:szCs w:val="24"/>
        </w:rPr>
        <w:t xml:space="preserve"> </w:t>
      </w:r>
      <w:r w:rsidRPr="00376FC4">
        <w:rPr>
          <w:sz w:val="24"/>
          <w:szCs w:val="24"/>
        </w:rPr>
        <w:t>site. Investigations tend to focus on the most highly exposed at the site, such as those living in proximity to the site. On occasion, small businesses may be included as EI participants.  Based on past experience, we estimate that 2 percent of the EI participants per year may involve small businesses.</w:t>
      </w:r>
    </w:p>
    <w:p w:rsidR="00376FC4" w:rsidRPr="005D0DDF" w:rsidRDefault="00376FC4" w:rsidP="009E2A28">
      <w:pPr>
        <w:pStyle w:val="ListParagraph"/>
        <w:numPr>
          <w:ilvl w:val="0"/>
          <w:numId w:val="33"/>
        </w:numPr>
        <w:spacing w:after="0" w:line="240" w:lineRule="auto"/>
        <w:rPr>
          <w:sz w:val="24"/>
          <w:szCs w:val="24"/>
          <w:u w:val="single"/>
        </w:rPr>
      </w:pPr>
      <w:r w:rsidRPr="005D0DDF">
        <w:rPr>
          <w:sz w:val="24"/>
          <w:szCs w:val="24"/>
          <w:u w:val="single"/>
        </w:rPr>
        <w:t>What types of questions may be asked as part of the EI Generic Clearance?</w:t>
      </w:r>
    </w:p>
    <w:p w:rsidR="00376FC4" w:rsidRPr="007D4152" w:rsidRDefault="00376FC4" w:rsidP="007D4152">
      <w:pPr>
        <w:pStyle w:val="ListParagraph"/>
        <w:rPr>
          <w:sz w:val="24"/>
          <w:szCs w:val="24"/>
        </w:rPr>
      </w:pPr>
      <w:r w:rsidRPr="003717C7">
        <w:rPr>
          <w:b/>
          <w:sz w:val="24"/>
          <w:szCs w:val="24"/>
        </w:rPr>
        <w:t>Attachment 4</w:t>
      </w:r>
      <w:r w:rsidRPr="00376FC4">
        <w:rPr>
          <w:sz w:val="24"/>
          <w:szCs w:val="24"/>
        </w:rPr>
        <w:t xml:space="preserve"> provides a bank of questions that may be used to evaluate chemical exposure of individuals and communities for EIs.  It is not required that the questions in </w:t>
      </w:r>
      <w:r w:rsidRPr="003717C7">
        <w:rPr>
          <w:b/>
          <w:sz w:val="24"/>
          <w:szCs w:val="24"/>
        </w:rPr>
        <w:t>Attachment 4</w:t>
      </w:r>
      <w:r w:rsidRPr="00376FC4">
        <w:rPr>
          <w:sz w:val="24"/>
          <w:szCs w:val="24"/>
        </w:rPr>
        <w:t xml:space="preserve"> be used in the EI, but these questions will be considered.  Further details regarding the types of questions that may be included as part of the EI are discussed in the following sections.</w:t>
      </w:r>
    </w:p>
    <w:p w:rsidR="00376FC4" w:rsidRPr="005D0DDF" w:rsidRDefault="00376FC4" w:rsidP="009E2A28">
      <w:pPr>
        <w:pStyle w:val="ListParagraph"/>
        <w:numPr>
          <w:ilvl w:val="0"/>
          <w:numId w:val="33"/>
        </w:numPr>
        <w:spacing w:after="0" w:line="240" w:lineRule="auto"/>
        <w:rPr>
          <w:sz w:val="24"/>
          <w:szCs w:val="24"/>
          <w:u w:val="single"/>
        </w:rPr>
      </w:pPr>
      <w:r w:rsidRPr="005D0DDF">
        <w:rPr>
          <w:sz w:val="24"/>
          <w:szCs w:val="24"/>
          <w:u w:val="single"/>
        </w:rPr>
        <w:t>What are the benefits to using the EI Generic Clearance?</w:t>
      </w:r>
    </w:p>
    <w:p w:rsidR="00376FC4" w:rsidRPr="00376FC4" w:rsidRDefault="00376FC4" w:rsidP="00376FC4">
      <w:pPr>
        <w:ind w:left="720"/>
        <w:rPr>
          <w:sz w:val="24"/>
          <w:szCs w:val="24"/>
        </w:rPr>
      </w:pPr>
      <w:r w:rsidRPr="00376FC4">
        <w:rPr>
          <w:sz w:val="24"/>
          <w:szCs w:val="24"/>
        </w:rPr>
        <w:t>The benefits to using the EI Generic Clearance include providing a standardized review package for each EI.  The template will provide all needed information in a clear, concise document to expedite PRA clearance.</w:t>
      </w:r>
    </w:p>
    <w:p w:rsidR="00376FC4" w:rsidRPr="00376FC4" w:rsidRDefault="00376FC4" w:rsidP="00376FC4">
      <w:pPr>
        <w:tabs>
          <w:tab w:val="left" w:pos="1545"/>
        </w:tabs>
        <w:rPr>
          <w:sz w:val="24"/>
          <w:szCs w:val="24"/>
        </w:rPr>
      </w:pPr>
      <w:r w:rsidRPr="00376FC4">
        <w:rPr>
          <w:sz w:val="24"/>
          <w:szCs w:val="24"/>
        </w:rPr>
        <w:t xml:space="preserve">Where needed, additional questions will be developed for the EI to assess environmental exposures (Tables A.2-1 and A.2-2). In deciding where and from whom to gather information, ATSDR considers the following: </w:t>
      </w:r>
    </w:p>
    <w:p w:rsidR="00376FC4" w:rsidRPr="00376FC4" w:rsidRDefault="00376FC4" w:rsidP="009E2A28">
      <w:pPr>
        <w:numPr>
          <w:ilvl w:val="0"/>
          <w:numId w:val="34"/>
        </w:numPr>
        <w:tabs>
          <w:tab w:val="left" w:pos="1545"/>
        </w:tabs>
        <w:spacing w:after="0" w:line="240" w:lineRule="auto"/>
        <w:rPr>
          <w:sz w:val="24"/>
          <w:szCs w:val="24"/>
        </w:rPr>
      </w:pPr>
      <w:r w:rsidRPr="00376FC4">
        <w:rPr>
          <w:sz w:val="24"/>
          <w:szCs w:val="24"/>
        </w:rPr>
        <w:t>Can we</w:t>
      </w:r>
      <w:r w:rsidR="002E06C8">
        <w:rPr>
          <w:sz w:val="24"/>
          <w:szCs w:val="24"/>
        </w:rPr>
        <w:t xml:space="preserve"> identify and</w:t>
      </w:r>
      <w:r w:rsidRPr="00376FC4">
        <w:rPr>
          <w:sz w:val="24"/>
          <w:szCs w:val="24"/>
        </w:rPr>
        <w:t xml:space="preserve"> test the highly exposed </w:t>
      </w:r>
      <w:r w:rsidR="00A54AB1">
        <w:rPr>
          <w:sz w:val="24"/>
          <w:szCs w:val="24"/>
        </w:rPr>
        <w:t>sub-</w:t>
      </w:r>
      <w:r w:rsidRPr="00376FC4">
        <w:rPr>
          <w:sz w:val="24"/>
          <w:szCs w:val="24"/>
        </w:rPr>
        <w:t xml:space="preserve">population?  </w:t>
      </w:r>
    </w:p>
    <w:p w:rsidR="00376FC4" w:rsidRPr="00376FC4" w:rsidRDefault="00376FC4" w:rsidP="009E2A28">
      <w:pPr>
        <w:numPr>
          <w:ilvl w:val="0"/>
          <w:numId w:val="34"/>
        </w:numPr>
        <w:tabs>
          <w:tab w:val="left" w:pos="1545"/>
        </w:tabs>
        <w:spacing w:after="0" w:line="240" w:lineRule="auto"/>
        <w:rPr>
          <w:sz w:val="24"/>
          <w:szCs w:val="24"/>
        </w:rPr>
      </w:pPr>
      <w:r w:rsidRPr="00376FC4">
        <w:rPr>
          <w:sz w:val="24"/>
          <w:szCs w:val="24"/>
        </w:rPr>
        <w:t xml:space="preserve">Can we identify vulnerable </w:t>
      </w:r>
      <w:r w:rsidR="00A54AB1">
        <w:rPr>
          <w:sz w:val="24"/>
          <w:szCs w:val="24"/>
        </w:rPr>
        <w:t>sub-</w:t>
      </w:r>
      <w:r w:rsidRPr="00376FC4">
        <w:rPr>
          <w:sz w:val="24"/>
          <w:szCs w:val="24"/>
        </w:rPr>
        <w:t xml:space="preserve">populations, including children or those more susceptible to specific contaminants? </w:t>
      </w:r>
    </w:p>
    <w:p w:rsidR="00376FC4" w:rsidRPr="00376FC4" w:rsidRDefault="002E06C8" w:rsidP="009E2A28">
      <w:pPr>
        <w:numPr>
          <w:ilvl w:val="0"/>
          <w:numId w:val="34"/>
        </w:numPr>
        <w:tabs>
          <w:tab w:val="left" w:pos="1545"/>
        </w:tabs>
        <w:spacing w:after="0" w:line="240" w:lineRule="auto"/>
        <w:rPr>
          <w:sz w:val="24"/>
          <w:szCs w:val="24"/>
        </w:rPr>
      </w:pPr>
      <w:r>
        <w:rPr>
          <w:sz w:val="24"/>
          <w:szCs w:val="24"/>
        </w:rPr>
        <w:t>How s</w:t>
      </w:r>
      <w:r w:rsidR="00376FC4" w:rsidRPr="00376FC4">
        <w:rPr>
          <w:sz w:val="24"/>
          <w:szCs w:val="24"/>
        </w:rPr>
        <w:t>hould we test children and other sensitive populations?   For example, it may not be appropriate to collect the required sample (70-ml blood) for dioxins from a small child, pregnant woman, or an anemic or underweight person.</w:t>
      </w:r>
    </w:p>
    <w:p w:rsidR="00376FC4" w:rsidRDefault="00376FC4" w:rsidP="009E2A28">
      <w:pPr>
        <w:numPr>
          <w:ilvl w:val="0"/>
          <w:numId w:val="34"/>
        </w:numPr>
        <w:tabs>
          <w:tab w:val="left" w:pos="1545"/>
        </w:tabs>
        <w:spacing w:after="0" w:line="240" w:lineRule="auto"/>
        <w:rPr>
          <w:sz w:val="24"/>
          <w:szCs w:val="24"/>
        </w:rPr>
      </w:pPr>
      <w:r w:rsidRPr="0093769B">
        <w:rPr>
          <w:sz w:val="24"/>
          <w:szCs w:val="24"/>
        </w:rPr>
        <w:t>If we do pre- and post-testing to check intervention or environmental remediation effectiveness, how will participants be selected if the original participants are not available?</w:t>
      </w:r>
      <w:r w:rsidR="00A578A7" w:rsidRPr="0093769B">
        <w:rPr>
          <w:sz w:val="24"/>
          <w:szCs w:val="24"/>
        </w:rPr>
        <w:t xml:space="preserve"> </w:t>
      </w:r>
      <w:r w:rsidR="00391758" w:rsidRPr="0093769B">
        <w:rPr>
          <w:sz w:val="24"/>
          <w:szCs w:val="24"/>
        </w:rPr>
        <w:t>If pre- and post-testing will be performed, separate ICRs will be prepared for each time frame.</w:t>
      </w:r>
    </w:p>
    <w:p w:rsidR="0093769B" w:rsidRPr="0093769B" w:rsidRDefault="0093769B" w:rsidP="0093769B">
      <w:pPr>
        <w:tabs>
          <w:tab w:val="left" w:pos="1545"/>
        </w:tabs>
        <w:spacing w:after="0" w:line="240" w:lineRule="auto"/>
        <w:ind w:left="720"/>
        <w:rPr>
          <w:sz w:val="24"/>
          <w:szCs w:val="24"/>
        </w:rPr>
      </w:pPr>
    </w:p>
    <w:p w:rsidR="00376FC4" w:rsidRPr="00376FC4" w:rsidRDefault="00376FC4" w:rsidP="00376FC4">
      <w:pPr>
        <w:autoSpaceDE w:val="0"/>
        <w:autoSpaceDN w:val="0"/>
        <w:adjustRightInd w:val="0"/>
        <w:rPr>
          <w:bCs/>
          <w:sz w:val="24"/>
          <w:szCs w:val="24"/>
        </w:rPr>
      </w:pPr>
      <w:r w:rsidRPr="00376FC4">
        <w:rPr>
          <w:bCs/>
          <w:sz w:val="24"/>
          <w:szCs w:val="24"/>
        </w:rPr>
        <w:t>ATSDR asks approximately 12-20 questions per investigation that are pertinent to environmental exposure. This number can vary depending on the number of chemicals being investigated, the route of exposure (breathing, eating, touching), and number of other sources of the chemical(s) (e.g., products used, jobs done).</w:t>
      </w:r>
    </w:p>
    <w:p w:rsidR="00376FC4" w:rsidRPr="00376FC4" w:rsidRDefault="00376FC4" w:rsidP="00376FC4">
      <w:pPr>
        <w:tabs>
          <w:tab w:val="left" w:pos="1545"/>
        </w:tabs>
        <w:rPr>
          <w:color w:val="000000"/>
          <w:sz w:val="24"/>
          <w:szCs w:val="24"/>
        </w:rPr>
      </w:pPr>
      <w:r w:rsidRPr="00376FC4">
        <w:rPr>
          <w:color w:val="000000"/>
          <w:sz w:val="24"/>
          <w:szCs w:val="24"/>
        </w:rPr>
        <w:t>Although some of the information is entered on paper, where practical, we load the information collection form onto a laptop and record the answers electronically. ATSDR computers comply with the HHS Standard 2008-0007.001S for encryption. We generally interview people in their homes</w:t>
      </w:r>
      <w:r w:rsidR="007D4152">
        <w:rPr>
          <w:color w:val="000000"/>
          <w:sz w:val="24"/>
          <w:szCs w:val="24"/>
        </w:rPr>
        <w:t xml:space="preserve"> or at a central testing location</w:t>
      </w:r>
      <w:r w:rsidRPr="00376FC4">
        <w:rPr>
          <w:color w:val="000000"/>
          <w:sz w:val="24"/>
          <w:szCs w:val="24"/>
        </w:rPr>
        <w:t>.</w:t>
      </w:r>
    </w:p>
    <w:p w:rsidR="00376FC4" w:rsidRPr="00376FC4" w:rsidRDefault="00376FC4" w:rsidP="00376FC4">
      <w:pPr>
        <w:rPr>
          <w:sz w:val="24"/>
          <w:szCs w:val="24"/>
        </w:rPr>
      </w:pPr>
      <w:r w:rsidRPr="00376FC4">
        <w:rPr>
          <w:sz w:val="24"/>
          <w:szCs w:val="24"/>
        </w:rPr>
        <w:t>All environmental and biological sampling will be overseen by the federal or state EI lead.  Environmental samples will be collected by appropriate EI personnel (assistance from state and local partners and contractors may be obtained) and shipped directly to the appropriate laboratories for analysis.  Biological samples and documentation will be obtained by trained personnel, such as registered nurses (RNs), and shipped directly to qualified laboratories for analysis. Appropriate Quality Assurance Plans will be prepared and implemented by ATSDR, states, and contractors, as appropriate.</w:t>
      </w:r>
    </w:p>
    <w:p w:rsidR="00376FC4" w:rsidRPr="00376FC4" w:rsidRDefault="00376FC4" w:rsidP="00376FC4">
      <w:pPr>
        <w:rPr>
          <w:b/>
          <w:bCs/>
          <w:sz w:val="24"/>
          <w:szCs w:val="24"/>
        </w:rPr>
      </w:pPr>
      <w:r w:rsidRPr="00376FC4">
        <w:rPr>
          <w:sz w:val="24"/>
          <w:szCs w:val="24"/>
        </w:rPr>
        <w:t>Examples of the information that may be collected during environmental and biological sampling events are provided in Tables A-2.1 and A-2.2.</w:t>
      </w:r>
    </w:p>
    <w:p w:rsidR="00376FC4" w:rsidRPr="00376FC4" w:rsidRDefault="00376FC4" w:rsidP="00376FC4">
      <w:pPr>
        <w:rPr>
          <w:b/>
          <w:bCs/>
          <w:sz w:val="24"/>
          <w:szCs w:val="24"/>
        </w:rPr>
      </w:pPr>
    </w:p>
    <w:p w:rsidR="00376FC4" w:rsidRPr="00376FC4" w:rsidRDefault="00376FC4" w:rsidP="00376FC4">
      <w:pPr>
        <w:jc w:val="center"/>
        <w:rPr>
          <w:b/>
          <w:bCs/>
          <w:sz w:val="24"/>
          <w:szCs w:val="24"/>
        </w:rPr>
      </w:pPr>
      <w:r w:rsidRPr="00376FC4">
        <w:rPr>
          <w:b/>
          <w:bCs/>
          <w:sz w:val="24"/>
          <w:szCs w:val="24"/>
        </w:rPr>
        <w:t>Table A-2.1</w:t>
      </w:r>
    </w:p>
    <w:p w:rsidR="00376FC4" w:rsidRPr="00376FC4" w:rsidRDefault="00376FC4" w:rsidP="00376FC4">
      <w:pPr>
        <w:jc w:val="center"/>
        <w:rPr>
          <w:b/>
          <w:bCs/>
          <w:sz w:val="24"/>
          <w:szCs w:val="24"/>
        </w:rPr>
      </w:pPr>
      <w:r w:rsidRPr="00376FC4">
        <w:rPr>
          <w:b/>
          <w:bCs/>
          <w:sz w:val="24"/>
          <w:szCs w:val="24"/>
        </w:rPr>
        <w:t>EI Activities Requiring Information from Property Owner or Resident for Environmental Sampling</w:t>
      </w:r>
    </w:p>
    <w:p w:rsidR="00376FC4" w:rsidRPr="00376FC4" w:rsidRDefault="00376FC4" w:rsidP="00376FC4">
      <w:pPr>
        <w:jc w:val="center"/>
        <w:rPr>
          <w:b/>
          <w:bCs/>
          <w:sz w:val="24"/>
          <w:szCs w:val="24"/>
        </w:rPr>
      </w:pPr>
    </w:p>
    <w:tbl>
      <w:tblPr>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3744"/>
        <w:gridCol w:w="5310"/>
      </w:tblGrid>
      <w:tr w:rsidR="00376FC4" w:rsidRPr="00376FC4" w:rsidTr="00376FC4">
        <w:trPr>
          <w:trHeight w:val="557"/>
        </w:trPr>
        <w:tc>
          <w:tcPr>
            <w:tcW w:w="37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2" w:type="dxa"/>
              <w:bottom w:w="0" w:type="dxa"/>
              <w:right w:w="72" w:type="dxa"/>
            </w:tcMar>
            <w:vAlign w:val="center"/>
            <w:hideMark/>
          </w:tcPr>
          <w:p w:rsidR="00376FC4" w:rsidRPr="00376FC4" w:rsidRDefault="00376FC4">
            <w:pPr>
              <w:jc w:val="center"/>
              <w:rPr>
                <w:b/>
                <w:bCs/>
                <w:sz w:val="24"/>
                <w:szCs w:val="24"/>
              </w:rPr>
            </w:pPr>
            <w:r w:rsidRPr="00376FC4">
              <w:rPr>
                <w:b/>
                <w:bCs/>
                <w:sz w:val="24"/>
                <w:szCs w:val="24"/>
              </w:rPr>
              <w:t>Information Collection Methods</w:t>
            </w:r>
          </w:p>
        </w:tc>
        <w:tc>
          <w:tcPr>
            <w:tcW w:w="53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2" w:type="dxa"/>
              <w:bottom w:w="0" w:type="dxa"/>
              <w:right w:w="72" w:type="dxa"/>
            </w:tcMar>
            <w:vAlign w:val="center"/>
            <w:hideMark/>
          </w:tcPr>
          <w:p w:rsidR="00376FC4" w:rsidRPr="00376FC4" w:rsidRDefault="00376FC4">
            <w:pPr>
              <w:jc w:val="center"/>
              <w:rPr>
                <w:b/>
                <w:bCs/>
                <w:sz w:val="24"/>
                <w:szCs w:val="24"/>
              </w:rPr>
            </w:pPr>
            <w:r w:rsidRPr="00376FC4">
              <w:rPr>
                <w:b/>
                <w:bCs/>
                <w:sz w:val="24"/>
                <w:szCs w:val="24"/>
              </w:rPr>
              <w:t>Examples of Needed Information</w:t>
            </w:r>
          </w:p>
        </w:tc>
      </w:tr>
      <w:tr w:rsidR="00376FC4" w:rsidRPr="00376FC4" w:rsidTr="00376FC4">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376FC4" w:rsidRPr="00376FC4" w:rsidRDefault="00376FC4" w:rsidP="002E3422">
            <w:pPr>
              <w:spacing w:line="240" w:lineRule="exact"/>
              <w:rPr>
                <w:sz w:val="24"/>
                <w:szCs w:val="24"/>
              </w:rPr>
            </w:pPr>
            <w:r w:rsidRPr="00376FC4">
              <w:rPr>
                <w:sz w:val="24"/>
                <w:szCs w:val="24"/>
              </w:rPr>
              <w:t xml:space="preserve">Demographic questionnaire (see Question Bank provided in Attachment </w:t>
            </w:r>
            <w:r w:rsidR="002E3422">
              <w:rPr>
                <w:sz w:val="24"/>
                <w:szCs w:val="24"/>
              </w:rPr>
              <w:t>4</w:t>
            </w:r>
            <w:r w:rsidRPr="00376FC4">
              <w:rPr>
                <w:sz w:val="24"/>
                <w:szCs w:val="24"/>
              </w:rPr>
              <w:t xml:space="preserve"> for suggested questions) </w:t>
            </w: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00376FC4" w:rsidRPr="00376FC4" w:rsidRDefault="00376FC4" w:rsidP="009E2A28">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00376FC4" w:rsidRPr="00376FC4" w:rsidRDefault="00376FC4" w:rsidP="009E2A28">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00376FC4" w:rsidRPr="00376FC4" w:rsidRDefault="00376FC4">
            <w:pPr>
              <w:pStyle w:val="NoSpacing"/>
              <w:spacing w:line="240" w:lineRule="exact"/>
              <w:ind w:left="198"/>
              <w:contextualSpacing/>
              <w:rPr>
                <w:rFonts w:cs="Times New Roman"/>
                <w:sz w:val="24"/>
                <w:szCs w:val="24"/>
              </w:rPr>
            </w:pPr>
          </w:p>
          <w:p w:rsidR="00376FC4" w:rsidRPr="00376FC4" w:rsidRDefault="00376FC4">
            <w:pPr>
              <w:pStyle w:val="NoSpacing"/>
              <w:spacing w:line="240" w:lineRule="exact"/>
              <w:ind w:left="198"/>
              <w:contextualSpacing/>
              <w:rPr>
                <w:rFonts w:cs="Times New Roman"/>
                <w:sz w:val="24"/>
                <w:szCs w:val="24"/>
              </w:rPr>
            </w:pPr>
          </w:p>
        </w:tc>
      </w:tr>
      <w:tr w:rsidR="00376FC4" w:rsidRPr="00376FC4" w:rsidTr="00376FC4">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spacing w:line="240" w:lineRule="exact"/>
              <w:rPr>
                <w:rFonts w:cs="Times New Roman"/>
                <w:sz w:val="24"/>
                <w:szCs w:val="24"/>
              </w:rPr>
            </w:pPr>
          </w:p>
          <w:p w:rsidR="00376FC4" w:rsidRPr="00376FC4" w:rsidRDefault="00376FC4">
            <w:pPr>
              <w:spacing w:line="240" w:lineRule="exact"/>
              <w:rPr>
                <w:sz w:val="24"/>
                <w:szCs w:val="24"/>
              </w:rPr>
            </w:pPr>
            <w:r w:rsidRPr="00376FC4">
              <w:rPr>
                <w:sz w:val="24"/>
                <w:szCs w:val="24"/>
              </w:rPr>
              <w:t xml:space="preserve">Household questionnaire (see Question Bank provided in Attachment </w:t>
            </w:r>
            <w:r w:rsidR="00637B9C">
              <w:rPr>
                <w:sz w:val="24"/>
                <w:szCs w:val="24"/>
              </w:rPr>
              <w:t>4</w:t>
            </w:r>
            <w:r w:rsidRPr="00376FC4">
              <w:rPr>
                <w:sz w:val="24"/>
                <w:szCs w:val="24"/>
              </w:rPr>
              <w:t xml:space="preserve"> for suggested questions)</w:t>
            </w:r>
          </w:p>
          <w:p w:rsidR="00376FC4" w:rsidRPr="00376FC4" w:rsidRDefault="00376FC4">
            <w:pPr>
              <w:spacing w:line="240" w:lineRule="exact"/>
              <w:rPr>
                <w:sz w:val="24"/>
                <w:szCs w:val="24"/>
              </w:rPr>
            </w:pP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Volatile organic compound (VOC) storage</w:t>
            </w:r>
          </w:p>
          <w:p w:rsidR="00376FC4" w:rsidRPr="00376FC4" w:rsidRDefault="00376FC4">
            <w:pPr>
              <w:pStyle w:val="NoSpacing"/>
              <w:spacing w:line="240" w:lineRule="exact"/>
              <w:ind w:left="198"/>
              <w:contextualSpacing/>
              <w:rPr>
                <w:rFonts w:cs="Times New Roman"/>
                <w:sz w:val="24"/>
                <w:szCs w:val="24"/>
              </w:rPr>
            </w:pPr>
          </w:p>
        </w:tc>
      </w:tr>
      <w:tr w:rsidR="00376FC4" w:rsidRPr="00376FC4" w:rsidTr="00376FC4">
        <w:tc>
          <w:tcPr>
            <w:tcW w:w="37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376FC4" w:rsidRPr="00376FC4" w:rsidRDefault="00376FC4">
            <w:pPr>
              <w:spacing w:line="240" w:lineRule="exact"/>
              <w:rPr>
                <w:rFonts w:cs="Times New Roman"/>
                <w:sz w:val="24"/>
                <w:szCs w:val="24"/>
              </w:rPr>
            </w:pPr>
            <w:r w:rsidRPr="00376FC4">
              <w:rPr>
                <w:sz w:val="24"/>
                <w:szCs w:val="24"/>
              </w:rPr>
              <w:t>Visual inventory of home by Field Interviewer</w:t>
            </w:r>
          </w:p>
        </w:tc>
        <w:tc>
          <w:tcPr>
            <w:tcW w:w="531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00376FC4" w:rsidRPr="00376FC4" w:rsidRDefault="00376FC4">
            <w:pPr>
              <w:pStyle w:val="NoSpacing"/>
              <w:spacing w:line="240" w:lineRule="exact"/>
              <w:ind w:left="198"/>
              <w:contextualSpacing/>
              <w:rPr>
                <w:rFonts w:cs="Times New Roman"/>
                <w:sz w:val="24"/>
                <w:szCs w:val="24"/>
              </w:rPr>
            </w:pPr>
          </w:p>
        </w:tc>
      </w:tr>
    </w:tbl>
    <w:p w:rsidR="00D0295E" w:rsidRPr="00376FC4" w:rsidRDefault="00D0295E" w:rsidP="00376FC4">
      <w:pPr>
        <w:rPr>
          <w:rFonts w:cs="Times New Roman"/>
          <w:b/>
          <w:sz w:val="24"/>
          <w:szCs w:val="24"/>
        </w:rPr>
      </w:pPr>
    </w:p>
    <w:p w:rsidR="00376FC4" w:rsidRPr="00376FC4" w:rsidRDefault="00376FC4" w:rsidP="00376FC4">
      <w:pPr>
        <w:ind w:left="1440" w:hanging="1440"/>
        <w:jc w:val="center"/>
        <w:rPr>
          <w:b/>
          <w:sz w:val="24"/>
          <w:szCs w:val="24"/>
        </w:rPr>
      </w:pPr>
      <w:r w:rsidRPr="00376FC4">
        <w:rPr>
          <w:b/>
          <w:sz w:val="24"/>
          <w:szCs w:val="24"/>
        </w:rPr>
        <w:t>Table A-2.2</w:t>
      </w:r>
    </w:p>
    <w:p w:rsidR="00376FC4" w:rsidRPr="00376FC4" w:rsidRDefault="00376FC4" w:rsidP="00376FC4">
      <w:pPr>
        <w:jc w:val="center"/>
        <w:rPr>
          <w:b/>
          <w:sz w:val="24"/>
          <w:szCs w:val="24"/>
        </w:rPr>
      </w:pPr>
      <w:r w:rsidRPr="00376FC4">
        <w:rPr>
          <w:b/>
          <w:sz w:val="24"/>
          <w:szCs w:val="24"/>
        </w:rPr>
        <w:t>EI Activities Requiring Information from Property Owner or Resident for Biological Sampling</w:t>
      </w:r>
    </w:p>
    <w:p w:rsidR="00376FC4" w:rsidRPr="00376FC4" w:rsidRDefault="00376FC4" w:rsidP="00376FC4">
      <w:pPr>
        <w:ind w:left="1440" w:hanging="1440"/>
        <w:rPr>
          <w:b/>
          <w:sz w:val="24"/>
          <w:szCs w:val="24"/>
        </w:rPr>
      </w:pPr>
    </w:p>
    <w:tbl>
      <w:tblPr>
        <w:tblStyle w:val="TableGrid"/>
        <w:tblW w:w="9204" w:type="dxa"/>
        <w:tblLayout w:type="fixed"/>
        <w:tblLook w:val="04A0" w:firstRow="1" w:lastRow="0" w:firstColumn="1" w:lastColumn="0" w:noHBand="0" w:noVBand="1"/>
      </w:tblPr>
      <w:tblGrid>
        <w:gridCol w:w="3891"/>
        <w:gridCol w:w="5313"/>
      </w:tblGrid>
      <w:tr w:rsidR="00376FC4" w:rsidRPr="00376FC4" w:rsidTr="00A50CA1">
        <w:trPr>
          <w:trHeight w:val="737"/>
        </w:trPr>
        <w:tc>
          <w:tcPr>
            <w:tcW w:w="3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FC4" w:rsidRPr="00376FC4" w:rsidRDefault="00376FC4">
            <w:pPr>
              <w:jc w:val="center"/>
              <w:rPr>
                <w:b/>
                <w:bCs/>
                <w:sz w:val="24"/>
                <w:szCs w:val="24"/>
              </w:rPr>
            </w:pPr>
          </w:p>
          <w:p w:rsidR="00376FC4" w:rsidRPr="00376FC4" w:rsidRDefault="00376FC4">
            <w:pPr>
              <w:jc w:val="center"/>
              <w:rPr>
                <w:b/>
                <w:bCs/>
                <w:sz w:val="24"/>
                <w:szCs w:val="24"/>
              </w:rPr>
            </w:pPr>
            <w:r w:rsidRPr="00376FC4">
              <w:rPr>
                <w:b/>
                <w:bCs/>
                <w:sz w:val="24"/>
                <w:szCs w:val="24"/>
              </w:rPr>
              <w:t>Information Collection Methods</w:t>
            </w:r>
          </w:p>
        </w:tc>
        <w:tc>
          <w:tcPr>
            <w:tcW w:w="53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FC4" w:rsidRPr="00376FC4" w:rsidRDefault="00376FC4">
            <w:pPr>
              <w:jc w:val="center"/>
              <w:rPr>
                <w:b/>
                <w:bCs/>
                <w:sz w:val="24"/>
                <w:szCs w:val="24"/>
              </w:rPr>
            </w:pPr>
          </w:p>
          <w:p w:rsidR="00376FC4" w:rsidRPr="00376FC4" w:rsidRDefault="00376FC4">
            <w:pPr>
              <w:jc w:val="center"/>
              <w:rPr>
                <w:b/>
                <w:bCs/>
                <w:sz w:val="24"/>
                <w:szCs w:val="24"/>
              </w:rPr>
            </w:pPr>
            <w:r w:rsidRPr="00376FC4">
              <w:rPr>
                <w:b/>
                <w:bCs/>
                <w:sz w:val="24"/>
                <w:szCs w:val="24"/>
              </w:rPr>
              <w:t>Examples of Needed Information</w:t>
            </w: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rsidRDefault="00376FC4" w:rsidP="00C378A0">
            <w:pPr>
              <w:spacing w:line="240" w:lineRule="exact"/>
              <w:rPr>
                <w:sz w:val="24"/>
                <w:szCs w:val="24"/>
              </w:rPr>
            </w:pPr>
            <w:r w:rsidRPr="00376FC4">
              <w:rPr>
                <w:sz w:val="24"/>
                <w:szCs w:val="24"/>
              </w:rPr>
              <w:t xml:space="preserve">Demographic questionnaire (see Question Bank provided in Attachment </w:t>
            </w:r>
            <w:r w:rsidR="00C378A0">
              <w:rPr>
                <w:sz w:val="24"/>
                <w:szCs w:val="24"/>
              </w:rPr>
              <w:t>4</w:t>
            </w:r>
            <w:r w:rsidRPr="00376FC4">
              <w:rPr>
                <w:sz w:val="24"/>
                <w:szCs w:val="24"/>
              </w:rPr>
              <w:t xml:space="preserve"> for suggested questions) </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00376FC4" w:rsidRPr="00376FC4" w:rsidRDefault="00376FC4" w:rsidP="009E2A28">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00376FC4" w:rsidRPr="00376FC4" w:rsidRDefault="00376FC4" w:rsidP="009E2A28">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00376FC4" w:rsidRPr="00376FC4" w:rsidRDefault="00376FC4">
            <w:pPr>
              <w:pStyle w:val="NoSpacing"/>
              <w:spacing w:line="240" w:lineRule="exact"/>
              <w:rPr>
                <w:rFonts w:cs="Times New Roman"/>
                <w:sz w:val="24"/>
                <w:szCs w:val="24"/>
              </w:rPr>
            </w:pP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spacing w:line="240" w:lineRule="exact"/>
              <w:rPr>
                <w:rFonts w:cs="Times New Roman"/>
                <w:sz w:val="24"/>
                <w:szCs w:val="24"/>
              </w:rPr>
            </w:pPr>
          </w:p>
          <w:p w:rsidR="00376FC4" w:rsidRPr="00376FC4" w:rsidRDefault="00376FC4">
            <w:pPr>
              <w:spacing w:line="240" w:lineRule="exact"/>
              <w:rPr>
                <w:sz w:val="24"/>
                <w:szCs w:val="24"/>
              </w:rPr>
            </w:pPr>
            <w:r w:rsidRPr="00376FC4">
              <w:rPr>
                <w:sz w:val="24"/>
                <w:szCs w:val="24"/>
              </w:rPr>
              <w:t xml:space="preserve">Household questionnaire (see Question Bank provided in Attachment </w:t>
            </w:r>
            <w:r w:rsidR="00C378A0">
              <w:rPr>
                <w:sz w:val="24"/>
                <w:szCs w:val="24"/>
              </w:rPr>
              <w:t>4</w:t>
            </w:r>
            <w:r w:rsidRPr="00376FC4">
              <w:rPr>
                <w:sz w:val="24"/>
                <w:szCs w:val="24"/>
              </w:rPr>
              <w:t xml:space="preserve"> for suggested questions)</w:t>
            </w:r>
          </w:p>
          <w:p w:rsidR="00376FC4" w:rsidRPr="00376FC4" w:rsidRDefault="00376FC4">
            <w:pPr>
              <w:spacing w:line="240" w:lineRule="exact"/>
              <w:rPr>
                <w:sz w:val="24"/>
                <w:szCs w:val="24"/>
              </w:rPr>
            </w:pP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VOC storage</w:t>
            </w:r>
          </w:p>
          <w:p w:rsidR="00376FC4" w:rsidRPr="00376FC4" w:rsidRDefault="00376FC4">
            <w:pPr>
              <w:pStyle w:val="NoSpacing"/>
              <w:spacing w:line="240" w:lineRule="exact"/>
              <w:ind w:left="198"/>
              <w:contextualSpacing/>
              <w:rPr>
                <w:rFonts w:cs="Times New Roman"/>
                <w:sz w:val="24"/>
                <w:szCs w:val="24"/>
              </w:rPr>
            </w:pP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rsidRDefault="00376FC4">
            <w:pPr>
              <w:spacing w:line="240" w:lineRule="exact"/>
              <w:rPr>
                <w:rFonts w:cs="Times New Roman"/>
                <w:sz w:val="24"/>
                <w:szCs w:val="24"/>
              </w:rPr>
            </w:pPr>
            <w:r w:rsidRPr="00376FC4">
              <w:rPr>
                <w:sz w:val="24"/>
                <w:szCs w:val="24"/>
              </w:rPr>
              <w:t>Visual inventory of home by Field Interviewer</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00376FC4" w:rsidRPr="00376FC4" w:rsidRDefault="00376FC4">
            <w:pPr>
              <w:pStyle w:val="NoSpacing"/>
              <w:spacing w:line="240" w:lineRule="exact"/>
              <w:ind w:left="198"/>
              <w:contextualSpacing/>
              <w:rPr>
                <w:rFonts w:cs="Times New Roman"/>
                <w:sz w:val="24"/>
                <w:szCs w:val="24"/>
              </w:rPr>
            </w:pPr>
          </w:p>
        </w:tc>
      </w:tr>
      <w:tr w:rsidR="00376FC4" w:rsidRPr="00376FC4" w:rsidTr="00A50CA1">
        <w:trPr>
          <w:trHeight w:val="674"/>
        </w:trPr>
        <w:tc>
          <w:tcPr>
            <w:tcW w:w="3891" w:type="dxa"/>
            <w:tcBorders>
              <w:top w:val="single" w:sz="4" w:space="0" w:color="auto"/>
              <w:left w:val="single" w:sz="4" w:space="0" w:color="auto"/>
              <w:bottom w:val="single" w:sz="4" w:space="0" w:color="auto"/>
              <w:right w:val="single" w:sz="4" w:space="0" w:color="auto"/>
            </w:tcBorders>
            <w:vAlign w:val="center"/>
            <w:hideMark/>
          </w:tcPr>
          <w:p w:rsidR="00376FC4" w:rsidRPr="00376FC4" w:rsidRDefault="00376FC4">
            <w:pPr>
              <w:rPr>
                <w:rFonts w:cs="Times New Roman"/>
                <w:sz w:val="24"/>
                <w:szCs w:val="24"/>
              </w:rPr>
            </w:pPr>
            <w:r w:rsidRPr="00376FC4">
              <w:rPr>
                <w:sz w:val="24"/>
                <w:szCs w:val="24"/>
              </w:rPr>
              <w:t>Biological sampling of participant by appropriate health professional</w:t>
            </w:r>
          </w:p>
        </w:tc>
        <w:tc>
          <w:tcPr>
            <w:tcW w:w="5313" w:type="dxa"/>
            <w:tcBorders>
              <w:top w:val="single" w:sz="4" w:space="0" w:color="auto"/>
              <w:left w:val="single" w:sz="4" w:space="0" w:color="auto"/>
              <w:bottom w:val="single" w:sz="4" w:space="0" w:color="auto"/>
              <w:right w:val="single" w:sz="4" w:space="0" w:color="auto"/>
            </w:tcBorders>
            <w:vAlign w:val="center"/>
          </w:tcPr>
          <w:p w:rsidR="00376FC4" w:rsidRPr="00376FC4" w:rsidRDefault="00376FC4">
            <w:pPr>
              <w:pStyle w:val="NoSpacing"/>
              <w:spacing w:line="240" w:lineRule="exact"/>
              <w:ind w:left="198"/>
              <w:contextualSpacing/>
              <w:rPr>
                <w:rFonts w:cs="Times New Roman"/>
                <w:sz w:val="24"/>
                <w:szCs w:val="24"/>
              </w:rPr>
            </w:pPr>
          </w:p>
          <w:p w:rsidR="00376FC4" w:rsidRPr="00376FC4" w:rsidRDefault="00376FC4" w:rsidP="009E2A28">
            <w:pPr>
              <w:pStyle w:val="NoSpacing"/>
              <w:numPr>
                <w:ilvl w:val="0"/>
                <w:numId w:val="39"/>
              </w:numPr>
              <w:spacing w:line="240" w:lineRule="exact"/>
              <w:ind w:left="198" w:hanging="180"/>
              <w:contextualSpacing/>
              <w:rPr>
                <w:rFonts w:cs="Times New Roman"/>
                <w:sz w:val="24"/>
                <w:szCs w:val="24"/>
              </w:rPr>
            </w:pPr>
            <w:r w:rsidRPr="00376FC4">
              <w:rPr>
                <w:rFonts w:cs="Times New Roman"/>
                <w:sz w:val="24"/>
                <w:szCs w:val="24"/>
              </w:rPr>
              <w:t>Height and weight</w:t>
            </w:r>
          </w:p>
          <w:p w:rsidR="00376FC4" w:rsidRPr="00376FC4" w:rsidRDefault="00376FC4" w:rsidP="009E2A28">
            <w:pPr>
              <w:pStyle w:val="NoSpacing"/>
              <w:numPr>
                <w:ilvl w:val="0"/>
                <w:numId w:val="40"/>
              </w:numPr>
              <w:spacing w:line="240" w:lineRule="exact"/>
              <w:ind w:left="198" w:hanging="180"/>
              <w:contextualSpacing/>
              <w:rPr>
                <w:rFonts w:cs="Times New Roman"/>
                <w:sz w:val="24"/>
                <w:szCs w:val="24"/>
              </w:rPr>
            </w:pPr>
            <w:r w:rsidRPr="00376FC4">
              <w:rPr>
                <w:rFonts w:cs="Times New Roman"/>
                <w:sz w:val="24"/>
                <w:szCs w:val="24"/>
              </w:rPr>
              <w:t>Urine sample collected for biological indicators or specific environmental contaminants</w:t>
            </w:r>
          </w:p>
          <w:p w:rsidR="00376FC4" w:rsidRPr="00376FC4" w:rsidRDefault="00376FC4" w:rsidP="009E2A28">
            <w:pPr>
              <w:numPr>
                <w:ilvl w:val="0"/>
                <w:numId w:val="35"/>
              </w:numPr>
              <w:ind w:left="136" w:hanging="136"/>
              <w:rPr>
                <w:rFonts w:cs="Times New Roman"/>
                <w:sz w:val="24"/>
                <w:szCs w:val="24"/>
              </w:rPr>
            </w:pPr>
            <w:r w:rsidRPr="00376FC4">
              <w:rPr>
                <w:sz w:val="24"/>
                <w:szCs w:val="24"/>
              </w:rPr>
              <w:t xml:space="preserve"> Blood specimen collected for biological indicators or</w:t>
            </w:r>
          </w:p>
          <w:p w:rsidR="00376FC4" w:rsidRPr="00376FC4" w:rsidRDefault="00376FC4">
            <w:pPr>
              <w:ind w:left="162" w:hanging="26"/>
              <w:rPr>
                <w:sz w:val="24"/>
                <w:szCs w:val="24"/>
              </w:rPr>
            </w:pPr>
            <w:r w:rsidRPr="00376FC4">
              <w:rPr>
                <w:sz w:val="24"/>
                <w:szCs w:val="24"/>
              </w:rPr>
              <w:t>specific environmental contaminants</w:t>
            </w:r>
          </w:p>
          <w:p w:rsidR="00376FC4" w:rsidRPr="00376FC4" w:rsidRDefault="00376FC4">
            <w:pPr>
              <w:ind w:left="136"/>
              <w:rPr>
                <w:sz w:val="24"/>
                <w:szCs w:val="24"/>
              </w:rPr>
            </w:pPr>
          </w:p>
        </w:tc>
      </w:tr>
    </w:tbl>
    <w:p w:rsidR="00376FC4" w:rsidRPr="00376FC4" w:rsidRDefault="00376FC4" w:rsidP="00376FC4">
      <w:pPr>
        <w:tabs>
          <w:tab w:val="left" w:pos="1545"/>
        </w:tabs>
        <w:rPr>
          <w:rFonts w:cs="Times New Roman"/>
          <w:sz w:val="24"/>
          <w:szCs w:val="24"/>
        </w:rPr>
      </w:pPr>
    </w:p>
    <w:p w:rsidR="00376FC4" w:rsidRPr="00376FC4" w:rsidRDefault="00376FC4" w:rsidP="00BF041E">
      <w:pPr>
        <w:rPr>
          <w:sz w:val="24"/>
          <w:szCs w:val="24"/>
        </w:rPr>
      </w:pPr>
      <w:r w:rsidRPr="00376FC4">
        <w:rPr>
          <w:sz w:val="24"/>
          <w:szCs w:val="24"/>
        </w:rPr>
        <w:t xml:space="preserve">EIs have been used in informing responsive public health action and in reducing exposure of the public. EIs performed by ATSDR and their impacts in the last </w:t>
      </w:r>
      <w:r w:rsidR="00DE72A9">
        <w:rPr>
          <w:sz w:val="24"/>
          <w:szCs w:val="24"/>
        </w:rPr>
        <w:t>three</w:t>
      </w:r>
      <w:r w:rsidR="00D134C0">
        <w:rPr>
          <w:sz w:val="24"/>
          <w:szCs w:val="24"/>
        </w:rPr>
        <w:t xml:space="preserve"> </w:t>
      </w:r>
      <w:r w:rsidR="00442E8E">
        <w:rPr>
          <w:sz w:val="24"/>
          <w:szCs w:val="24"/>
        </w:rPr>
        <w:t>(201</w:t>
      </w:r>
      <w:r w:rsidR="00070327">
        <w:rPr>
          <w:sz w:val="24"/>
          <w:szCs w:val="24"/>
        </w:rPr>
        <w:t>6</w:t>
      </w:r>
      <w:r w:rsidR="00442E8E">
        <w:rPr>
          <w:sz w:val="24"/>
          <w:szCs w:val="24"/>
        </w:rPr>
        <w:t>-2019)</w:t>
      </w:r>
      <w:r w:rsidRPr="00376FC4">
        <w:rPr>
          <w:sz w:val="24"/>
          <w:szCs w:val="24"/>
        </w:rPr>
        <w:t xml:space="preserve"> years include:</w:t>
      </w:r>
    </w:p>
    <w:p w:rsidR="0020541F" w:rsidRPr="003717C7" w:rsidRDefault="0020541F" w:rsidP="0020541F">
      <w:pPr>
        <w:tabs>
          <w:tab w:val="left" w:pos="1545"/>
        </w:tabs>
        <w:ind w:left="360"/>
        <w:rPr>
          <w:sz w:val="24"/>
          <w:szCs w:val="24"/>
        </w:rPr>
      </w:pPr>
      <w:r w:rsidRPr="003717C7">
        <w:rPr>
          <w:sz w:val="24"/>
          <w:szCs w:val="24"/>
        </w:rPr>
        <w:t xml:space="preserve">Example </w:t>
      </w:r>
      <w:r>
        <w:rPr>
          <w:sz w:val="24"/>
          <w:szCs w:val="24"/>
        </w:rPr>
        <w:t>1</w:t>
      </w:r>
      <w:r w:rsidRPr="003717C7">
        <w:rPr>
          <w:sz w:val="24"/>
          <w:szCs w:val="24"/>
        </w:rPr>
        <w:t xml:space="preserve">: </w:t>
      </w:r>
      <w:r>
        <w:rPr>
          <w:sz w:val="24"/>
          <w:szCs w:val="24"/>
        </w:rPr>
        <w:t>Anaconda Smelter, Anaconda Montana</w:t>
      </w:r>
    </w:p>
    <w:p w:rsidR="009452BF" w:rsidRPr="009452BF" w:rsidRDefault="0020541F" w:rsidP="00102B2A">
      <w:pPr>
        <w:pStyle w:val="ListParagraph"/>
        <w:numPr>
          <w:ilvl w:val="0"/>
          <w:numId w:val="42"/>
        </w:numPr>
        <w:spacing w:after="0" w:line="240" w:lineRule="auto"/>
        <w:rPr>
          <w:sz w:val="24"/>
          <w:szCs w:val="24"/>
        </w:rPr>
      </w:pPr>
      <w:r w:rsidRPr="009452BF">
        <w:rPr>
          <w:sz w:val="24"/>
          <w:szCs w:val="24"/>
        </w:rPr>
        <w:t xml:space="preserve">The Anaconda Company Smelter </w:t>
      </w:r>
      <w:r w:rsidR="00E73243">
        <w:rPr>
          <w:sz w:val="24"/>
          <w:szCs w:val="24"/>
        </w:rPr>
        <w:t>is a Superfund site</w:t>
      </w:r>
      <w:r w:rsidR="001804FB">
        <w:rPr>
          <w:sz w:val="24"/>
          <w:szCs w:val="24"/>
        </w:rPr>
        <w:t>. The smelter</w:t>
      </w:r>
      <w:r w:rsidR="00E73243">
        <w:rPr>
          <w:sz w:val="24"/>
          <w:szCs w:val="24"/>
        </w:rPr>
        <w:t xml:space="preserve"> </w:t>
      </w:r>
      <w:r w:rsidRPr="009452BF">
        <w:rPr>
          <w:sz w:val="24"/>
          <w:szCs w:val="24"/>
        </w:rPr>
        <w:t xml:space="preserve">operated from 1884 through 1981 and </w:t>
      </w:r>
      <w:r w:rsidR="001804FB">
        <w:rPr>
          <w:sz w:val="24"/>
          <w:szCs w:val="24"/>
        </w:rPr>
        <w:t>smelted</w:t>
      </w:r>
      <w:r w:rsidRPr="009452BF">
        <w:rPr>
          <w:sz w:val="24"/>
          <w:szCs w:val="24"/>
        </w:rPr>
        <w:t xml:space="preserve"> copper ore</w:t>
      </w:r>
      <w:r w:rsidR="001804FB">
        <w:rPr>
          <w:sz w:val="24"/>
          <w:szCs w:val="24"/>
        </w:rPr>
        <w:t xml:space="preserve"> from the nearby mines in Butte, MT</w:t>
      </w:r>
      <w:r w:rsidR="009452BF" w:rsidRPr="009452BF">
        <w:rPr>
          <w:sz w:val="24"/>
          <w:szCs w:val="24"/>
        </w:rPr>
        <w:t>.</w:t>
      </w:r>
    </w:p>
    <w:p w:rsidR="0020541F" w:rsidRDefault="009452BF" w:rsidP="00102B2A">
      <w:pPr>
        <w:pStyle w:val="ListParagraph"/>
        <w:numPr>
          <w:ilvl w:val="0"/>
          <w:numId w:val="42"/>
        </w:numPr>
        <w:spacing w:after="0" w:line="240" w:lineRule="auto"/>
        <w:rPr>
          <w:sz w:val="24"/>
          <w:szCs w:val="24"/>
        </w:rPr>
      </w:pPr>
      <w:r w:rsidRPr="009452BF">
        <w:rPr>
          <w:sz w:val="24"/>
          <w:szCs w:val="24"/>
        </w:rPr>
        <w:t>L</w:t>
      </w:r>
      <w:r w:rsidR="0020541F" w:rsidRPr="009452BF">
        <w:rPr>
          <w:sz w:val="24"/>
          <w:szCs w:val="24"/>
        </w:rPr>
        <w:t xml:space="preserve">arge volumes of waste were disposed on the ground and in surface water, and used as fill. Airborne contaminants from stacks and waste (slag) piles resulted in widespread surface soil contamination with heavy metals (principally arsenic, cadmium, copper, lead and zinc). </w:t>
      </w:r>
    </w:p>
    <w:p w:rsidR="001804FB" w:rsidRPr="009452BF" w:rsidRDefault="001804FB" w:rsidP="00102B2A">
      <w:pPr>
        <w:pStyle w:val="ListParagraph"/>
        <w:numPr>
          <w:ilvl w:val="0"/>
          <w:numId w:val="42"/>
        </w:numPr>
        <w:spacing w:after="0" w:line="240" w:lineRule="auto"/>
        <w:rPr>
          <w:sz w:val="24"/>
          <w:szCs w:val="24"/>
        </w:rPr>
      </w:pPr>
      <w:r>
        <w:rPr>
          <w:sz w:val="24"/>
          <w:szCs w:val="24"/>
        </w:rPr>
        <w:t xml:space="preserve">EPA is in the process of remediating contaminated residential yards and is working with the </w:t>
      </w:r>
      <w:r w:rsidR="002963AE">
        <w:rPr>
          <w:sz w:val="24"/>
          <w:szCs w:val="24"/>
        </w:rPr>
        <w:t>Potentially Responsible Party (PRP) [</w:t>
      </w:r>
      <w:r>
        <w:rPr>
          <w:sz w:val="24"/>
          <w:szCs w:val="24"/>
        </w:rPr>
        <w:t>ARCO (</w:t>
      </w:r>
      <w:r w:rsidR="002963AE">
        <w:rPr>
          <w:sz w:val="24"/>
          <w:szCs w:val="24"/>
        </w:rPr>
        <w:t xml:space="preserve">Atlantic Richfield Corporation)] to test and remediate residential attics that are </w:t>
      </w:r>
      <w:r w:rsidR="00C378A0">
        <w:rPr>
          <w:sz w:val="24"/>
          <w:szCs w:val="24"/>
        </w:rPr>
        <w:t>contaminated</w:t>
      </w:r>
      <w:r w:rsidR="002963AE">
        <w:rPr>
          <w:sz w:val="24"/>
          <w:szCs w:val="24"/>
        </w:rPr>
        <w:t>.</w:t>
      </w:r>
    </w:p>
    <w:p w:rsidR="0020541F" w:rsidRPr="00376FC4" w:rsidRDefault="0020541F" w:rsidP="00102B2A">
      <w:pPr>
        <w:pStyle w:val="ListParagraph"/>
        <w:numPr>
          <w:ilvl w:val="0"/>
          <w:numId w:val="42"/>
        </w:numPr>
        <w:tabs>
          <w:tab w:val="left" w:pos="1545"/>
        </w:tabs>
        <w:spacing w:after="0" w:line="240" w:lineRule="auto"/>
        <w:rPr>
          <w:sz w:val="24"/>
          <w:szCs w:val="24"/>
        </w:rPr>
      </w:pPr>
      <w:r w:rsidRPr="00376FC4">
        <w:rPr>
          <w:sz w:val="24"/>
          <w:szCs w:val="24"/>
        </w:rPr>
        <w:t xml:space="preserve">Limited sampling of the community in the past found </w:t>
      </w:r>
      <w:r w:rsidR="001804FB">
        <w:rPr>
          <w:sz w:val="24"/>
          <w:szCs w:val="24"/>
        </w:rPr>
        <w:t>indicated the need to test blood lead levels (BLL</w:t>
      </w:r>
      <w:r w:rsidR="002963AE">
        <w:rPr>
          <w:sz w:val="24"/>
          <w:szCs w:val="24"/>
        </w:rPr>
        <w:t>s</w:t>
      </w:r>
      <w:r w:rsidR="001804FB">
        <w:rPr>
          <w:sz w:val="24"/>
          <w:szCs w:val="24"/>
        </w:rPr>
        <w:t>) and urine arsenic levels</w:t>
      </w:r>
      <w:r w:rsidRPr="00376FC4">
        <w:rPr>
          <w:sz w:val="24"/>
          <w:szCs w:val="24"/>
        </w:rPr>
        <w:t>.</w:t>
      </w:r>
    </w:p>
    <w:p w:rsidR="00102B2A" w:rsidRDefault="0020541F" w:rsidP="00102B2A">
      <w:pPr>
        <w:pStyle w:val="ListParagraph"/>
        <w:numPr>
          <w:ilvl w:val="0"/>
          <w:numId w:val="42"/>
        </w:numPr>
        <w:tabs>
          <w:tab w:val="left" w:pos="1545"/>
        </w:tabs>
        <w:spacing w:after="0" w:line="240" w:lineRule="auto"/>
        <w:rPr>
          <w:sz w:val="24"/>
          <w:szCs w:val="24"/>
        </w:rPr>
      </w:pPr>
      <w:r w:rsidRPr="00376FC4">
        <w:rPr>
          <w:sz w:val="24"/>
          <w:szCs w:val="24"/>
        </w:rPr>
        <w:t xml:space="preserve">Based on community concerns, </w:t>
      </w:r>
      <w:r w:rsidR="00102B2A">
        <w:rPr>
          <w:sz w:val="24"/>
          <w:szCs w:val="24"/>
        </w:rPr>
        <w:t xml:space="preserve">ATSDR in conjunction with </w:t>
      </w:r>
      <w:r w:rsidR="00727F70">
        <w:rPr>
          <w:sz w:val="24"/>
          <w:szCs w:val="24"/>
        </w:rPr>
        <w:t xml:space="preserve">the Montana </w:t>
      </w:r>
      <w:r w:rsidR="001804FB">
        <w:rPr>
          <w:sz w:val="24"/>
          <w:szCs w:val="24"/>
        </w:rPr>
        <w:t xml:space="preserve">Department of Public Health and Human Services (MDPHHS) (an Appletree partner) </w:t>
      </w:r>
      <w:r w:rsidR="00727F70">
        <w:rPr>
          <w:sz w:val="24"/>
          <w:szCs w:val="24"/>
        </w:rPr>
        <w:t>and the Anaconda Deer Lodge County (ADLC) health department</w:t>
      </w:r>
      <w:r w:rsidR="00102B2A">
        <w:rPr>
          <w:sz w:val="24"/>
          <w:szCs w:val="24"/>
        </w:rPr>
        <w:t>,</w:t>
      </w:r>
      <w:r w:rsidR="00727F70">
        <w:rPr>
          <w:sz w:val="24"/>
          <w:szCs w:val="24"/>
        </w:rPr>
        <w:t xml:space="preserve"> conducted </w:t>
      </w:r>
      <w:r w:rsidR="001804FB">
        <w:rPr>
          <w:sz w:val="24"/>
          <w:szCs w:val="24"/>
        </w:rPr>
        <w:t xml:space="preserve">a </w:t>
      </w:r>
      <w:r w:rsidR="00727F70">
        <w:rPr>
          <w:sz w:val="24"/>
          <w:szCs w:val="24"/>
        </w:rPr>
        <w:t>listening session in the community</w:t>
      </w:r>
      <w:r w:rsidR="001804FB">
        <w:rPr>
          <w:sz w:val="24"/>
          <w:szCs w:val="24"/>
        </w:rPr>
        <w:t xml:space="preserve"> in </w:t>
      </w:r>
      <w:r w:rsidR="00AE0D27">
        <w:rPr>
          <w:sz w:val="24"/>
          <w:szCs w:val="24"/>
        </w:rPr>
        <w:t>May</w:t>
      </w:r>
      <w:r w:rsidR="001804FB">
        <w:rPr>
          <w:sz w:val="24"/>
          <w:szCs w:val="24"/>
        </w:rPr>
        <w:t xml:space="preserve"> 2018. </w:t>
      </w:r>
      <w:r w:rsidR="00727F70">
        <w:rPr>
          <w:sz w:val="24"/>
          <w:szCs w:val="24"/>
        </w:rPr>
        <w:t xml:space="preserve"> </w:t>
      </w:r>
      <w:r w:rsidR="001804FB">
        <w:rPr>
          <w:sz w:val="24"/>
          <w:szCs w:val="24"/>
        </w:rPr>
        <w:t>An</w:t>
      </w:r>
      <w:r w:rsidR="00727F70">
        <w:rPr>
          <w:sz w:val="24"/>
          <w:szCs w:val="24"/>
        </w:rPr>
        <w:t xml:space="preserve"> Exposure Investigation </w:t>
      </w:r>
      <w:r w:rsidR="00102B2A">
        <w:rPr>
          <w:sz w:val="24"/>
          <w:szCs w:val="24"/>
        </w:rPr>
        <w:t>(EI) was recommended.</w:t>
      </w:r>
    </w:p>
    <w:p w:rsidR="0020541F" w:rsidRPr="00376FC4" w:rsidRDefault="0020541F" w:rsidP="00102B2A">
      <w:pPr>
        <w:pStyle w:val="ListParagraph"/>
        <w:numPr>
          <w:ilvl w:val="0"/>
          <w:numId w:val="42"/>
        </w:numPr>
        <w:tabs>
          <w:tab w:val="left" w:pos="1545"/>
        </w:tabs>
        <w:spacing w:after="0" w:line="240" w:lineRule="auto"/>
        <w:rPr>
          <w:sz w:val="24"/>
          <w:szCs w:val="24"/>
        </w:rPr>
      </w:pPr>
      <w:r w:rsidRPr="00376FC4">
        <w:rPr>
          <w:sz w:val="24"/>
          <w:szCs w:val="24"/>
        </w:rPr>
        <w:t xml:space="preserve">The goal of the EI was to test BLLs </w:t>
      </w:r>
      <w:r w:rsidR="00727F70">
        <w:rPr>
          <w:sz w:val="24"/>
          <w:szCs w:val="24"/>
        </w:rPr>
        <w:t>and urine arsenic levels in Anaconda</w:t>
      </w:r>
      <w:r w:rsidR="00102B2A">
        <w:rPr>
          <w:sz w:val="24"/>
          <w:szCs w:val="24"/>
        </w:rPr>
        <w:t xml:space="preserve"> residents</w:t>
      </w:r>
      <w:r w:rsidRPr="00376FC4">
        <w:rPr>
          <w:sz w:val="24"/>
          <w:szCs w:val="24"/>
        </w:rPr>
        <w:t>.</w:t>
      </w:r>
    </w:p>
    <w:p w:rsidR="00110839" w:rsidRDefault="0020541F" w:rsidP="0020541F">
      <w:pPr>
        <w:pStyle w:val="ListParagraph"/>
        <w:numPr>
          <w:ilvl w:val="0"/>
          <w:numId w:val="42"/>
        </w:numPr>
        <w:tabs>
          <w:tab w:val="left" w:pos="1545"/>
        </w:tabs>
        <w:spacing w:after="0" w:line="240" w:lineRule="auto"/>
        <w:rPr>
          <w:sz w:val="24"/>
          <w:szCs w:val="24"/>
        </w:rPr>
      </w:pPr>
      <w:r w:rsidRPr="00376FC4">
        <w:rPr>
          <w:sz w:val="24"/>
          <w:szCs w:val="24"/>
        </w:rPr>
        <w:t xml:space="preserve">ATSDR collected </w:t>
      </w:r>
      <w:r w:rsidR="001804FB">
        <w:rPr>
          <w:sz w:val="24"/>
          <w:szCs w:val="24"/>
        </w:rPr>
        <w:t>blood and</w:t>
      </w:r>
      <w:r w:rsidR="0054470C">
        <w:rPr>
          <w:sz w:val="24"/>
          <w:szCs w:val="24"/>
        </w:rPr>
        <w:t>/or</w:t>
      </w:r>
      <w:r w:rsidR="001804FB">
        <w:rPr>
          <w:sz w:val="24"/>
          <w:szCs w:val="24"/>
        </w:rPr>
        <w:t xml:space="preserve"> urine from 191 participants in </w:t>
      </w:r>
      <w:r w:rsidR="00102B2A">
        <w:rPr>
          <w:sz w:val="24"/>
          <w:szCs w:val="24"/>
        </w:rPr>
        <w:t>September of 2018</w:t>
      </w:r>
      <w:r w:rsidR="0054470C">
        <w:rPr>
          <w:sz w:val="24"/>
          <w:szCs w:val="24"/>
        </w:rPr>
        <w:t xml:space="preserve">, including 3 children </w:t>
      </w:r>
      <w:r w:rsidR="0054470C">
        <w:rPr>
          <w:rFonts w:cstheme="minorHAnsi"/>
          <w:sz w:val="24"/>
          <w:szCs w:val="24"/>
        </w:rPr>
        <w:t>≤</w:t>
      </w:r>
      <w:r w:rsidR="0054470C">
        <w:rPr>
          <w:sz w:val="24"/>
          <w:szCs w:val="24"/>
        </w:rPr>
        <w:t xml:space="preserve"> 5 years old, 19 children aged 6-14 and 14 women of childbearing age</w:t>
      </w:r>
      <w:r w:rsidR="00102B2A">
        <w:rPr>
          <w:sz w:val="24"/>
          <w:szCs w:val="24"/>
        </w:rPr>
        <w:t>.</w:t>
      </w:r>
      <w:r w:rsidR="0054470C">
        <w:rPr>
          <w:sz w:val="24"/>
          <w:szCs w:val="24"/>
        </w:rPr>
        <w:t xml:space="preserve"> </w:t>
      </w:r>
      <w:r w:rsidR="002742F1">
        <w:rPr>
          <w:sz w:val="24"/>
          <w:szCs w:val="24"/>
        </w:rPr>
        <w:t xml:space="preserve">The remaining participants were adults. </w:t>
      </w:r>
      <w:r w:rsidR="0054470C">
        <w:rPr>
          <w:sz w:val="24"/>
          <w:szCs w:val="24"/>
        </w:rPr>
        <w:t>Participants have been notified of their results</w:t>
      </w:r>
      <w:r w:rsidR="00A226DC">
        <w:rPr>
          <w:sz w:val="24"/>
          <w:szCs w:val="24"/>
        </w:rPr>
        <w:t xml:space="preserve"> by mail</w:t>
      </w:r>
      <w:r w:rsidR="0054470C">
        <w:rPr>
          <w:sz w:val="24"/>
          <w:szCs w:val="24"/>
        </w:rPr>
        <w:t xml:space="preserve">; two </w:t>
      </w:r>
      <w:r w:rsidR="00B31C4B">
        <w:rPr>
          <w:sz w:val="24"/>
          <w:szCs w:val="24"/>
        </w:rPr>
        <w:t xml:space="preserve">adult </w:t>
      </w:r>
      <w:r w:rsidR="0054470C">
        <w:rPr>
          <w:sz w:val="24"/>
          <w:szCs w:val="24"/>
        </w:rPr>
        <w:t xml:space="preserve">participants with BLL </w:t>
      </w:r>
      <w:r w:rsidR="0054470C">
        <w:rPr>
          <w:rFonts w:cstheme="minorHAnsi"/>
          <w:sz w:val="24"/>
          <w:szCs w:val="24"/>
        </w:rPr>
        <w:t xml:space="preserve">≥ 5 µg/dL were </w:t>
      </w:r>
      <w:r w:rsidR="00A226DC">
        <w:rPr>
          <w:rFonts w:cstheme="minorHAnsi"/>
          <w:sz w:val="24"/>
          <w:szCs w:val="24"/>
        </w:rPr>
        <w:t xml:space="preserve">also </w:t>
      </w:r>
      <w:r w:rsidR="0054470C">
        <w:rPr>
          <w:rFonts w:cstheme="minorHAnsi"/>
          <w:sz w:val="24"/>
          <w:szCs w:val="24"/>
        </w:rPr>
        <w:t>notified by phone of their results by the EI Medical Officer.</w:t>
      </w:r>
    </w:p>
    <w:p w:rsidR="00102B2A" w:rsidRPr="00306413" w:rsidRDefault="00110839">
      <w:pPr>
        <w:pStyle w:val="ListParagraph"/>
        <w:numPr>
          <w:ilvl w:val="0"/>
          <w:numId w:val="42"/>
        </w:numPr>
        <w:tabs>
          <w:tab w:val="left" w:pos="1545"/>
        </w:tabs>
        <w:spacing w:after="0" w:line="240" w:lineRule="auto"/>
        <w:rPr>
          <w:sz w:val="24"/>
          <w:szCs w:val="24"/>
        </w:rPr>
      </w:pPr>
      <w:r>
        <w:rPr>
          <w:sz w:val="24"/>
          <w:szCs w:val="24"/>
        </w:rPr>
        <w:t xml:space="preserve">Based on community interest, an additional 171 participants were tested in November 2018, including </w:t>
      </w:r>
      <w:r w:rsidR="0054470C">
        <w:rPr>
          <w:sz w:val="24"/>
          <w:szCs w:val="24"/>
        </w:rPr>
        <w:t xml:space="preserve">14 children </w:t>
      </w:r>
      <w:r w:rsidR="0054470C">
        <w:rPr>
          <w:rFonts w:cstheme="minorHAnsi"/>
          <w:sz w:val="24"/>
          <w:szCs w:val="24"/>
        </w:rPr>
        <w:t>≤</w:t>
      </w:r>
      <w:r w:rsidR="0054470C">
        <w:rPr>
          <w:sz w:val="24"/>
          <w:szCs w:val="24"/>
        </w:rPr>
        <w:t xml:space="preserve"> 5 years old, 23 children aged 6-14 years and 29 women of childbearing age.</w:t>
      </w:r>
      <w:r w:rsidR="0054470C" w:rsidRPr="0054470C">
        <w:rPr>
          <w:sz w:val="24"/>
          <w:szCs w:val="24"/>
        </w:rPr>
        <w:t xml:space="preserve"> </w:t>
      </w:r>
      <w:r w:rsidR="002742F1">
        <w:rPr>
          <w:sz w:val="24"/>
          <w:szCs w:val="24"/>
        </w:rPr>
        <w:t xml:space="preserve">The remaining participants were adults. </w:t>
      </w:r>
      <w:r w:rsidR="0054470C">
        <w:rPr>
          <w:sz w:val="24"/>
          <w:szCs w:val="24"/>
        </w:rPr>
        <w:t>Participants will be notified of their results when they are available from the laboratory.</w:t>
      </w:r>
    </w:p>
    <w:p w:rsidR="0020541F" w:rsidRPr="00376FC4" w:rsidRDefault="0020541F" w:rsidP="0020541F">
      <w:pPr>
        <w:pStyle w:val="ListParagraph"/>
        <w:numPr>
          <w:ilvl w:val="0"/>
          <w:numId w:val="42"/>
        </w:numPr>
        <w:tabs>
          <w:tab w:val="left" w:pos="1545"/>
        </w:tabs>
        <w:spacing w:after="0" w:line="240" w:lineRule="auto"/>
        <w:rPr>
          <w:sz w:val="24"/>
          <w:szCs w:val="24"/>
        </w:rPr>
      </w:pPr>
      <w:r w:rsidRPr="00376FC4">
        <w:rPr>
          <w:sz w:val="24"/>
          <w:szCs w:val="24"/>
        </w:rPr>
        <w:t xml:space="preserve">The results </w:t>
      </w:r>
      <w:r w:rsidR="00E73243">
        <w:rPr>
          <w:sz w:val="24"/>
          <w:szCs w:val="24"/>
        </w:rPr>
        <w:t>will be</w:t>
      </w:r>
      <w:r w:rsidRPr="00376FC4">
        <w:rPr>
          <w:sz w:val="24"/>
          <w:szCs w:val="24"/>
        </w:rPr>
        <w:t xml:space="preserve"> compiled and the EI report </w:t>
      </w:r>
      <w:r w:rsidR="00E73243">
        <w:rPr>
          <w:sz w:val="24"/>
          <w:szCs w:val="24"/>
        </w:rPr>
        <w:t>will be</w:t>
      </w:r>
      <w:r w:rsidRPr="00376FC4">
        <w:rPr>
          <w:sz w:val="24"/>
          <w:szCs w:val="24"/>
        </w:rPr>
        <w:t xml:space="preserve"> prepared.</w:t>
      </w:r>
    </w:p>
    <w:p w:rsidR="0020541F" w:rsidRDefault="0020541F" w:rsidP="00376FC4">
      <w:pPr>
        <w:tabs>
          <w:tab w:val="left" w:pos="1545"/>
        </w:tabs>
        <w:ind w:left="360"/>
        <w:rPr>
          <w:sz w:val="24"/>
          <w:szCs w:val="24"/>
        </w:rPr>
      </w:pPr>
    </w:p>
    <w:p w:rsidR="00376FC4" w:rsidRPr="003717C7" w:rsidRDefault="00376FC4" w:rsidP="00376FC4">
      <w:pPr>
        <w:tabs>
          <w:tab w:val="left" w:pos="1545"/>
        </w:tabs>
        <w:ind w:left="360"/>
        <w:rPr>
          <w:sz w:val="24"/>
          <w:szCs w:val="24"/>
        </w:rPr>
      </w:pPr>
      <w:r w:rsidRPr="003717C7">
        <w:rPr>
          <w:sz w:val="24"/>
          <w:szCs w:val="24"/>
        </w:rPr>
        <w:t xml:space="preserve">Example </w:t>
      </w:r>
      <w:r w:rsidR="0020541F">
        <w:rPr>
          <w:sz w:val="24"/>
          <w:szCs w:val="24"/>
        </w:rPr>
        <w:t>2</w:t>
      </w:r>
      <w:r w:rsidRPr="003717C7">
        <w:rPr>
          <w:sz w:val="24"/>
          <w:szCs w:val="24"/>
        </w:rPr>
        <w:t xml:space="preserve">:  </w:t>
      </w:r>
      <w:r w:rsidR="003A0A70">
        <w:rPr>
          <w:sz w:val="24"/>
          <w:szCs w:val="24"/>
        </w:rPr>
        <w:t>Former United Zinc and Associated Smelters, Iola, Kansas</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 xml:space="preserve">The </w:t>
      </w:r>
      <w:r w:rsidR="00EF274E">
        <w:rPr>
          <w:sz w:val="24"/>
          <w:szCs w:val="24"/>
        </w:rPr>
        <w:t xml:space="preserve">Former United Zinc and Associated Smelters site is a </w:t>
      </w:r>
      <w:r w:rsidRPr="00376FC4">
        <w:rPr>
          <w:sz w:val="24"/>
          <w:szCs w:val="24"/>
        </w:rPr>
        <w:t>Superfund site</w:t>
      </w:r>
      <w:r w:rsidR="001804FB">
        <w:rPr>
          <w:sz w:val="24"/>
          <w:szCs w:val="24"/>
        </w:rPr>
        <w:t xml:space="preserve">. The smelters </w:t>
      </w:r>
      <w:r w:rsidRPr="00376FC4">
        <w:rPr>
          <w:sz w:val="24"/>
          <w:szCs w:val="24"/>
        </w:rPr>
        <w:t xml:space="preserve">operated from </w:t>
      </w:r>
      <w:r w:rsidR="00EF274E">
        <w:rPr>
          <w:sz w:val="24"/>
          <w:szCs w:val="24"/>
        </w:rPr>
        <w:t>1902 to 1925</w:t>
      </w:r>
      <w:r w:rsidRPr="00376FC4">
        <w:rPr>
          <w:sz w:val="24"/>
          <w:szCs w:val="24"/>
        </w:rPr>
        <w:t>.</w:t>
      </w:r>
    </w:p>
    <w:p w:rsidR="00376FC4" w:rsidRPr="00376FC4" w:rsidRDefault="00376FC4" w:rsidP="009E2A28">
      <w:pPr>
        <w:pStyle w:val="ListParagraph"/>
        <w:numPr>
          <w:ilvl w:val="0"/>
          <w:numId w:val="41"/>
        </w:numPr>
        <w:spacing w:after="0" w:line="240" w:lineRule="auto"/>
        <w:ind w:left="1080"/>
        <w:rPr>
          <w:sz w:val="24"/>
          <w:szCs w:val="24"/>
        </w:rPr>
      </w:pPr>
      <w:r w:rsidRPr="00376FC4">
        <w:rPr>
          <w:sz w:val="24"/>
          <w:szCs w:val="24"/>
        </w:rPr>
        <w:t xml:space="preserve">EPA and the State of </w:t>
      </w:r>
      <w:r w:rsidR="003A0A70">
        <w:rPr>
          <w:sz w:val="24"/>
          <w:szCs w:val="24"/>
        </w:rPr>
        <w:t>Kansas</w:t>
      </w:r>
      <w:r w:rsidRPr="00376FC4">
        <w:rPr>
          <w:sz w:val="24"/>
          <w:szCs w:val="24"/>
        </w:rPr>
        <w:t xml:space="preserve"> found elevated levels of lead in residential soils</w:t>
      </w:r>
      <w:r w:rsidR="00EF274E">
        <w:rPr>
          <w:sz w:val="24"/>
          <w:szCs w:val="24"/>
        </w:rPr>
        <w:t>; EPA is in the process of remediating all residential yards with lead in soil greater than 400 mg/kg</w:t>
      </w:r>
      <w:r w:rsidRPr="00376FC4">
        <w:rPr>
          <w:sz w:val="24"/>
          <w:szCs w:val="24"/>
        </w:rPr>
        <w:t>.</w:t>
      </w:r>
    </w:p>
    <w:p w:rsidR="00376FC4" w:rsidRDefault="00376FC4" w:rsidP="00102B2A">
      <w:pPr>
        <w:pStyle w:val="ListParagraph"/>
        <w:numPr>
          <w:ilvl w:val="0"/>
          <w:numId w:val="41"/>
        </w:numPr>
        <w:spacing w:after="0" w:line="240" w:lineRule="auto"/>
        <w:ind w:left="1080"/>
        <w:rPr>
          <w:sz w:val="24"/>
          <w:szCs w:val="24"/>
        </w:rPr>
      </w:pPr>
      <w:r w:rsidRPr="00376FC4">
        <w:rPr>
          <w:sz w:val="24"/>
          <w:szCs w:val="24"/>
        </w:rPr>
        <w:t xml:space="preserve">ATSDR measured blood lead levels (BLLs) in volunteers that lived </w:t>
      </w:r>
      <w:r w:rsidR="003A0A70">
        <w:rPr>
          <w:sz w:val="24"/>
          <w:szCs w:val="24"/>
        </w:rPr>
        <w:t>in Iola</w:t>
      </w:r>
      <w:r w:rsidRPr="00376FC4">
        <w:rPr>
          <w:sz w:val="24"/>
          <w:szCs w:val="24"/>
        </w:rPr>
        <w:t xml:space="preserve"> to determine whether exposure has occurred.</w:t>
      </w:r>
    </w:p>
    <w:p w:rsidR="005027A4" w:rsidRDefault="003A0A70" w:rsidP="009E2A28">
      <w:pPr>
        <w:pStyle w:val="ListParagraph"/>
        <w:numPr>
          <w:ilvl w:val="0"/>
          <w:numId w:val="41"/>
        </w:numPr>
        <w:spacing w:after="0" w:line="240" w:lineRule="auto"/>
        <w:ind w:left="1080"/>
        <w:rPr>
          <w:sz w:val="24"/>
          <w:szCs w:val="24"/>
        </w:rPr>
      </w:pPr>
      <w:r>
        <w:rPr>
          <w:sz w:val="24"/>
          <w:szCs w:val="24"/>
        </w:rPr>
        <w:t>The testing was conducted in two sessions: one in December 2016</w:t>
      </w:r>
      <w:r w:rsidR="005027A4">
        <w:rPr>
          <w:sz w:val="24"/>
          <w:szCs w:val="24"/>
        </w:rPr>
        <w:t xml:space="preserve"> (7 persons tested) and August 2017 (54 people tested) for a total of 61 participants tested: </w:t>
      </w:r>
      <w:r w:rsidR="00A90B82">
        <w:rPr>
          <w:sz w:val="24"/>
          <w:szCs w:val="24"/>
        </w:rPr>
        <w:t>24</w:t>
      </w:r>
      <w:r w:rsidR="005027A4">
        <w:rPr>
          <w:sz w:val="24"/>
          <w:szCs w:val="24"/>
        </w:rPr>
        <w:t xml:space="preserve"> children younger than 6 years, </w:t>
      </w:r>
      <w:r w:rsidR="00A90B82">
        <w:rPr>
          <w:sz w:val="24"/>
          <w:szCs w:val="24"/>
        </w:rPr>
        <w:t>17</w:t>
      </w:r>
      <w:r w:rsidR="005027A4">
        <w:rPr>
          <w:sz w:val="24"/>
          <w:szCs w:val="24"/>
        </w:rPr>
        <w:t xml:space="preserve"> children from age 6-1</w:t>
      </w:r>
      <w:r w:rsidR="00A90B82">
        <w:rPr>
          <w:sz w:val="24"/>
          <w:szCs w:val="24"/>
        </w:rPr>
        <w:t>9</w:t>
      </w:r>
      <w:r w:rsidR="005027A4">
        <w:rPr>
          <w:sz w:val="24"/>
          <w:szCs w:val="24"/>
        </w:rPr>
        <w:t xml:space="preserve"> years and </w:t>
      </w:r>
      <w:r w:rsidR="00A90B82">
        <w:rPr>
          <w:sz w:val="24"/>
          <w:szCs w:val="24"/>
        </w:rPr>
        <w:t>20</w:t>
      </w:r>
      <w:r w:rsidR="005027A4">
        <w:rPr>
          <w:sz w:val="24"/>
          <w:szCs w:val="24"/>
        </w:rPr>
        <w:t xml:space="preserve"> adult women.</w:t>
      </w:r>
    </w:p>
    <w:p w:rsidR="003A0A70" w:rsidRDefault="00A90B82" w:rsidP="009E2A28">
      <w:pPr>
        <w:pStyle w:val="ListParagraph"/>
        <w:numPr>
          <w:ilvl w:val="0"/>
          <w:numId w:val="41"/>
        </w:numPr>
        <w:spacing w:after="0" w:line="240" w:lineRule="auto"/>
        <w:ind w:left="1080"/>
        <w:rPr>
          <w:sz w:val="24"/>
          <w:szCs w:val="24"/>
        </w:rPr>
      </w:pPr>
      <w:r>
        <w:rPr>
          <w:sz w:val="24"/>
          <w:szCs w:val="24"/>
        </w:rPr>
        <w:t>Participants were provided with their results and o</w:t>
      </w:r>
      <w:r w:rsidR="005027A4">
        <w:rPr>
          <w:sz w:val="24"/>
          <w:szCs w:val="24"/>
        </w:rPr>
        <w:t xml:space="preserve">ne child </w:t>
      </w:r>
      <w:r w:rsidR="00BF4CCB">
        <w:rPr>
          <w:sz w:val="24"/>
          <w:szCs w:val="24"/>
        </w:rPr>
        <w:t>had BLL</w:t>
      </w:r>
      <w:r w:rsidR="00EF274E">
        <w:rPr>
          <w:sz w:val="24"/>
          <w:szCs w:val="24"/>
        </w:rPr>
        <w:t xml:space="preserve"> greater than 5 ug/dL; the family was contacted by ATSDR and followup with the local PEHSU (</w:t>
      </w:r>
      <w:r>
        <w:rPr>
          <w:sz w:val="24"/>
          <w:szCs w:val="24"/>
        </w:rPr>
        <w:t xml:space="preserve">Pediatric Environmental Health Specialty Unit) </w:t>
      </w:r>
      <w:r w:rsidR="00EF274E">
        <w:rPr>
          <w:sz w:val="24"/>
          <w:szCs w:val="24"/>
        </w:rPr>
        <w:t>was recommended.</w:t>
      </w:r>
    </w:p>
    <w:p w:rsidR="00A90B82" w:rsidRPr="00376FC4" w:rsidRDefault="00A90B82" w:rsidP="009E2A28">
      <w:pPr>
        <w:pStyle w:val="ListParagraph"/>
        <w:numPr>
          <w:ilvl w:val="0"/>
          <w:numId w:val="41"/>
        </w:numPr>
        <w:spacing w:after="0" w:line="240" w:lineRule="auto"/>
        <w:ind w:left="1080"/>
        <w:rPr>
          <w:sz w:val="24"/>
          <w:szCs w:val="24"/>
        </w:rPr>
      </w:pPr>
      <w:r>
        <w:rPr>
          <w:sz w:val="24"/>
          <w:szCs w:val="24"/>
        </w:rPr>
        <w:t>An EI report was completed and released in August 2018; a public meeting was held when the document was released to present the results to the community.</w:t>
      </w:r>
    </w:p>
    <w:p w:rsidR="00376FC4" w:rsidRDefault="00376FC4" w:rsidP="00376FC4">
      <w:pPr>
        <w:tabs>
          <w:tab w:val="left" w:pos="1545"/>
        </w:tabs>
        <w:ind w:left="360"/>
        <w:rPr>
          <w:b/>
          <w:sz w:val="24"/>
          <w:szCs w:val="24"/>
        </w:rPr>
      </w:pPr>
    </w:p>
    <w:p w:rsidR="00376FC4" w:rsidRDefault="00376FC4" w:rsidP="00376FC4">
      <w:pPr>
        <w:tabs>
          <w:tab w:val="left" w:pos="1545"/>
        </w:tabs>
        <w:ind w:left="360"/>
        <w:rPr>
          <w:sz w:val="24"/>
          <w:szCs w:val="24"/>
        </w:rPr>
      </w:pPr>
      <w:r w:rsidRPr="003717C7">
        <w:rPr>
          <w:sz w:val="24"/>
          <w:szCs w:val="24"/>
        </w:rPr>
        <w:t xml:space="preserve">Example 3:  </w:t>
      </w:r>
      <w:r w:rsidR="00841214">
        <w:rPr>
          <w:sz w:val="24"/>
          <w:szCs w:val="24"/>
        </w:rPr>
        <w:t xml:space="preserve">Private Well </w:t>
      </w:r>
      <w:r w:rsidR="0020541F">
        <w:rPr>
          <w:sz w:val="24"/>
          <w:szCs w:val="24"/>
        </w:rPr>
        <w:t>Water Sampling in Dimock, Pennsylvania</w:t>
      </w:r>
      <w:r w:rsidR="00427BDB">
        <w:rPr>
          <w:sz w:val="24"/>
          <w:szCs w:val="24"/>
        </w:rPr>
        <w:t xml:space="preserve"> </w:t>
      </w:r>
    </w:p>
    <w:p w:rsidR="00314F48" w:rsidRDefault="00314F48" w:rsidP="00314F48">
      <w:pPr>
        <w:pStyle w:val="ListParagraph"/>
        <w:numPr>
          <w:ilvl w:val="0"/>
          <w:numId w:val="48"/>
        </w:numPr>
        <w:tabs>
          <w:tab w:val="left" w:pos="1545"/>
        </w:tabs>
        <w:rPr>
          <w:sz w:val="24"/>
          <w:szCs w:val="24"/>
        </w:rPr>
      </w:pPr>
      <w:r>
        <w:rPr>
          <w:sz w:val="24"/>
          <w:szCs w:val="24"/>
        </w:rPr>
        <w:t>Unconventional natural gas drilling activities have been conducted in the Dimock, PA area for approximately 10 years</w:t>
      </w:r>
      <w:r w:rsidR="00810A9E">
        <w:rPr>
          <w:sz w:val="24"/>
          <w:szCs w:val="24"/>
        </w:rPr>
        <w:t xml:space="preserve"> and residents complain of poor private well water quality in the area</w:t>
      </w:r>
      <w:r>
        <w:rPr>
          <w:sz w:val="24"/>
          <w:szCs w:val="24"/>
        </w:rPr>
        <w:t>.</w:t>
      </w:r>
    </w:p>
    <w:p w:rsidR="0061311B" w:rsidRDefault="0061311B" w:rsidP="00314F48">
      <w:pPr>
        <w:pStyle w:val="ListParagraph"/>
        <w:numPr>
          <w:ilvl w:val="0"/>
          <w:numId w:val="48"/>
        </w:numPr>
        <w:tabs>
          <w:tab w:val="left" w:pos="1545"/>
        </w:tabs>
        <w:rPr>
          <w:sz w:val="24"/>
          <w:szCs w:val="24"/>
        </w:rPr>
      </w:pPr>
      <w:r>
        <w:rPr>
          <w:sz w:val="24"/>
          <w:szCs w:val="24"/>
        </w:rPr>
        <w:t xml:space="preserve">In 2012, EPA sampled 64 private wells and analyzed </w:t>
      </w:r>
      <w:r w:rsidR="003057DB">
        <w:rPr>
          <w:sz w:val="24"/>
          <w:szCs w:val="24"/>
        </w:rPr>
        <w:t>for contaminants that may be present due to natural gas drilling activities.</w:t>
      </w:r>
    </w:p>
    <w:p w:rsidR="002B4569" w:rsidRDefault="003057DB" w:rsidP="00314F48">
      <w:pPr>
        <w:pStyle w:val="ListParagraph"/>
        <w:numPr>
          <w:ilvl w:val="0"/>
          <w:numId w:val="48"/>
        </w:numPr>
        <w:tabs>
          <w:tab w:val="left" w:pos="1545"/>
        </w:tabs>
        <w:rPr>
          <w:sz w:val="24"/>
          <w:szCs w:val="24"/>
        </w:rPr>
      </w:pPr>
      <w:r>
        <w:rPr>
          <w:sz w:val="24"/>
          <w:szCs w:val="24"/>
        </w:rPr>
        <w:t>ATSDR assisted EPA in analysis of the 2012 private well data as well as pre-2012 data.</w:t>
      </w:r>
      <w:r w:rsidR="002B4569">
        <w:rPr>
          <w:sz w:val="24"/>
          <w:szCs w:val="24"/>
        </w:rPr>
        <w:t xml:space="preserve"> Analysis indicated that:</w:t>
      </w:r>
    </w:p>
    <w:p w:rsidR="003057DB" w:rsidRDefault="002B4569" w:rsidP="002B4569">
      <w:pPr>
        <w:pStyle w:val="ListParagraph"/>
        <w:numPr>
          <w:ilvl w:val="1"/>
          <w:numId w:val="48"/>
        </w:numPr>
        <w:tabs>
          <w:tab w:val="left" w:pos="1545"/>
        </w:tabs>
        <w:rPr>
          <w:sz w:val="24"/>
          <w:szCs w:val="24"/>
        </w:rPr>
      </w:pPr>
      <w:r>
        <w:rPr>
          <w:sz w:val="24"/>
          <w:szCs w:val="24"/>
        </w:rPr>
        <w:t xml:space="preserve">people with elevated levels of inorganic analytes in their well water should install a  home treatment system, and </w:t>
      </w:r>
    </w:p>
    <w:p w:rsidR="002B4569" w:rsidRDefault="002B4569" w:rsidP="002B4569">
      <w:pPr>
        <w:pStyle w:val="ListParagraph"/>
        <w:numPr>
          <w:ilvl w:val="1"/>
          <w:numId w:val="48"/>
        </w:numPr>
        <w:tabs>
          <w:tab w:val="left" w:pos="1545"/>
        </w:tabs>
        <w:rPr>
          <w:sz w:val="24"/>
          <w:szCs w:val="24"/>
        </w:rPr>
      </w:pPr>
      <w:r>
        <w:rPr>
          <w:sz w:val="24"/>
          <w:szCs w:val="24"/>
        </w:rPr>
        <w:t>people with high levels of methane in their well water should vent their well and home and treat their water to eliminate potential buildup of explosive gases.</w:t>
      </w:r>
    </w:p>
    <w:p w:rsidR="00F02CD0" w:rsidRPr="00F02CD0" w:rsidRDefault="002B4569" w:rsidP="002963AE">
      <w:pPr>
        <w:pStyle w:val="ListParagraph"/>
        <w:numPr>
          <w:ilvl w:val="0"/>
          <w:numId w:val="48"/>
        </w:numPr>
        <w:tabs>
          <w:tab w:val="left" w:pos="1545"/>
        </w:tabs>
        <w:rPr>
          <w:sz w:val="24"/>
          <w:szCs w:val="24"/>
        </w:rPr>
      </w:pPr>
      <w:r>
        <w:rPr>
          <w:sz w:val="24"/>
          <w:szCs w:val="24"/>
        </w:rPr>
        <w:t>Additional water sampling was recommended.</w:t>
      </w:r>
    </w:p>
    <w:p w:rsidR="003057DB" w:rsidRDefault="00F02CD0" w:rsidP="00314F48">
      <w:pPr>
        <w:pStyle w:val="ListParagraph"/>
        <w:numPr>
          <w:ilvl w:val="0"/>
          <w:numId w:val="48"/>
        </w:numPr>
        <w:tabs>
          <w:tab w:val="left" w:pos="1545"/>
        </w:tabs>
        <w:rPr>
          <w:sz w:val="24"/>
          <w:szCs w:val="24"/>
        </w:rPr>
      </w:pPr>
      <w:r>
        <w:rPr>
          <w:sz w:val="24"/>
          <w:szCs w:val="24"/>
        </w:rPr>
        <w:t>An EI was conducted</w:t>
      </w:r>
      <w:r w:rsidR="00432FC8">
        <w:rPr>
          <w:sz w:val="24"/>
          <w:szCs w:val="24"/>
        </w:rPr>
        <w:t xml:space="preserve"> in 2017</w:t>
      </w:r>
      <w:r>
        <w:rPr>
          <w:sz w:val="24"/>
          <w:szCs w:val="24"/>
        </w:rPr>
        <w:t xml:space="preserve"> that invited the 64 homeowners that were previously sampled to have their wells resampled and tested for contaminants associated with natural gas drilling activities.</w:t>
      </w:r>
      <w:r w:rsidR="00810A9E">
        <w:rPr>
          <w:sz w:val="24"/>
          <w:szCs w:val="24"/>
        </w:rPr>
        <w:t xml:space="preserve"> 25 residences agreed to participate in the EI sampling.</w:t>
      </w:r>
    </w:p>
    <w:p w:rsidR="00D134C0" w:rsidRDefault="00F02CD0" w:rsidP="00D134C0">
      <w:pPr>
        <w:pStyle w:val="ListParagraph"/>
        <w:numPr>
          <w:ilvl w:val="0"/>
          <w:numId w:val="48"/>
        </w:numPr>
        <w:tabs>
          <w:tab w:val="left" w:pos="1545"/>
        </w:tabs>
        <w:rPr>
          <w:sz w:val="24"/>
          <w:szCs w:val="24"/>
        </w:rPr>
      </w:pPr>
      <w:r>
        <w:rPr>
          <w:sz w:val="24"/>
          <w:szCs w:val="24"/>
        </w:rPr>
        <w:t>Residents were supplied the results of their sampling and an EI report is being prepared.</w:t>
      </w:r>
    </w:p>
    <w:p w:rsidR="00886ECD" w:rsidRDefault="00D134C0" w:rsidP="00432FC8">
      <w:pPr>
        <w:tabs>
          <w:tab w:val="left" w:pos="1545"/>
        </w:tabs>
        <w:ind w:left="360"/>
        <w:rPr>
          <w:sz w:val="24"/>
          <w:szCs w:val="24"/>
        </w:rPr>
      </w:pPr>
      <w:r w:rsidRPr="003717C7">
        <w:rPr>
          <w:sz w:val="24"/>
          <w:szCs w:val="24"/>
        </w:rPr>
        <w:t xml:space="preserve">Example </w:t>
      </w:r>
      <w:r w:rsidR="00346573">
        <w:rPr>
          <w:sz w:val="24"/>
          <w:szCs w:val="24"/>
        </w:rPr>
        <w:t>4</w:t>
      </w:r>
      <w:r w:rsidRPr="003717C7">
        <w:rPr>
          <w:sz w:val="24"/>
          <w:szCs w:val="24"/>
        </w:rPr>
        <w:t>: ASARCO Hayden Smelter Site</w:t>
      </w:r>
      <w:r w:rsidR="00346573">
        <w:rPr>
          <w:sz w:val="24"/>
          <w:szCs w:val="24"/>
        </w:rPr>
        <w:t>: Follow</w:t>
      </w:r>
      <w:r w:rsidR="009C6CAA">
        <w:rPr>
          <w:sz w:val="24"/>
          <w:szCs w:val="24"/>
        </w:rPr>
        <w:t>-</w:t>
      </w:r>
      <w:r w:rsidR="00346573">
        <w:rPr>
          <w:sz w:val="24"/>
          <w:szCs w:val="24"/>
        </w:rPr>
        <w:t>up Urine Arsenic Testing</w:t>
      </w:r>
      <w:r w:rsidRPr="003717C7">
        <w:rPr>
          <w:sz w:val="24"/>
          <w:szCs w:val="24"/>
        </w:rPr>
        <w:t xml:space="preserve">, </w:t>
      </w:r>
      <w:r w:rsidR="00886ECD">
        <w:rPr>
          <w:sz w:val="24"/>
          <w:szCs w:val="24"/>
        </w:rPr>
        <w:t>Hayden, Arizona</w:t>
      </w:r>
    </w:p>
    <w:p w:rsidR="00D134C0" w:rsidRPr="00432FC8" w:rsidRDefault="00886ECD" w:rsidP="00432FC8">
      <w:pPr>
        <w:pStyle w:val="ListParagraph"/>
        <w:numPr>
          <w:ilvl w:val="0"/>
          <w:numId w:val="49"/>
        </w:numPr>
        <w:tabs>
          <w:tab w:val="left" w:pos="1545"/>
        </w:tabs>
        <w:rPr>
          <w:b/>
          <w:sz w:val="24"/>
          <w:szCs w:val="24"/>
        </w:rPr>
      </w:pPr>
      <w:r>
        <w:rPr>
          <w:sz w:val="24"/>
          <w:szCs w:val="24"/>
        </w:rPr>
        <w:t>Co</w:t>
      </w:r>
      <w:r w:rsidR="00D134C0" w:rsidRPr="00432FC8">
        <w:rPr>
          <w:sz w:val="24"/>
          <w:szCs w:val="24"/>
        </w:rPr>
        <w:t>pper ore has been processed at the ASARCO Hayden Smelter site for 100 years and has resulted in lead and arsenic contamination in soil in the surrounding residential area and in tailing piles used for recreation.</w:t>
      </w:r>
    </w:p>
    <w:p w:rsidR="00D134C0" w:rsidRPr="00376FC4" w:rsidRDefault="00346573" w:rsidP="00D134C0">
      <w:pPr>
        <w:pStyle w:val="ListParagraph"/>
        <w:numPr>
          <w:ilvl w:val="0"/>
          <w:numId w:val="42"/>
        </w:numPr>
        <w:tabs>
          <w:tab w:val="left" w:pos="1545"/>
        </w:tabs>
        <w:spacing w:after="0" w:line="240" w:lineRule="auto"/>
        <w:rPr>
          <w:sz w:val="24"/>
          <w:szCs w:val="24"/>
        </w:rPr>
      </w:pPr>
      <w:r>
        <w:rPr>
          <w:sz w:val="24"/>
          <w:szCs w:val="24"/>
        </w:rPr>
        <w:t>ATSDR conducted an EI in April 2015 to evaluate blood lead and urine arsenic levels in eligible residents in the Hayden and Winkelman communities</w:t>
      </w:r>
      <w:r w:rsidR="00DA42ED">
        <w:rPr>
          <w:sz w:val="24"/>
          <w:szCs w:val="24"/>
        </w:rPr>
        <w:t>.</w:t>
      </w:r>
      <w:r>
        <w:rPr>
          <w:sz w:val="24"/>
          <w:szCs w:val="24"/>
        </w:rPr>
        <w:t xml:space="preserve"> </w:t>
      </w:r>
    </w:p>
    <w:p w:rsidR="00346573" w:rsidRDefault="00346573" w:rsidP="00D134C0">
      <w:pPr>
        <w:pStyle w:val="ListParagraph"/>
        <w:numPr>
          <w:ilvl w:val="0"/>
          <w:numId w:val="42"/>
        </w:numPr>
        <w:tabs>
          <w:tab w:val="left" w:pos="1545"/>
        </w:tabs>
        <w:spacing w:after="0" w:line="240" w:lineRule="auto"/>
        <w:rPr>
          <w:sz w:val="24"/>
          <w:szCs w:val="24"/>
        </w:rPr>
      </w:pPr>
      <w:r>
        <w:rPr>
          <w:sz w:val="24"/>
          <w:szCs w:val="24"/>
        </w:rPr>
        <w:t>The EI report identified two residents with blood lead levels above the investigation follow</w:t>
      </w:r>
      <w:r w:rsidR="00D90405">
        <w:rPr>
          <w:sz w:val="24"/>
          <w:szCs w:val="24"/>
        </w:rPr>
        <w:t>-</w:t>
      </w:r>
      <w:r>
        <w:rPr>
          <w:sz w:val="24"/>
          <w:szCs w:val="24"/>
        </w:rPr>
        <w:t xml:space="preserve">up level of 5 </w:t>
      </w:r>
      <w:r w:rsidR="0061306C">
        <w:rPr>
          <w:rFonts w:cstheme="minorHAnsi"/>
          <w:sz w:val="24"/>
          <w:szCs w:val="24"/>
        </w:rPr>
        <w:t>µ</w:t>
      </w:r>
      <w:r>
        <w:rPr>
          <w:sz w:val="24"/>
          <w:szCs w:val="24"/>
        </w:rPr>
        <w:t>g/dL and children and adolescent participants were found to have median blood lead levels that were about two times higher than the US population comparison group (NHANES). Total urinary arsenic levels and creatinine corrected inorganic arsenic median levels were found to be similar to the US population median levels.</w:t>
      </w:r>
    </w:p>
    <w:p w:rsidR="00346573" w:rsidRDefault="00A54B92" w:rsidP="00D134C0">
      <w:pPr>
        <w:pStyle w:val="ListParagraph"/>
        <w:numPr>
          <w:ilvl w:val="0"/>
          <w:numId w:val="42"/>
        </w:numPr>
        <w:tabs>
          <w:tab w:val="left" w:pos="1545"/>
        </w:tabs>
        <w:spacing w:after="0" w:line="240" w:lineRule="auto"/>
        <w:rPr>
          <w:sz w:val="24"/>
          <w:szCs w:val="24"/>
        </w:rPr>
      </w:pPr>
      <w:r>
        <w:rPr>
          <w:sz w:val="24"/>
          <w:szCs w:val="24"/>
        </w:rPr>
        <w:t>Air monitoring indicated</w:t>
      </w:r>
      <w:r w:rsidR="00346573">
        <w:rPr>
          <w:sz w:val="24"/>
          <w:szCs w:val="24"/>
        </w:rPr>
        <w:t xml:space="preserve"> that the smelter had been shut down during the sample collection period.</w:t>
      </w:r>
    </w:p>
    <w:p w:rsidR="00A54B92" w:rsidRDefault="00CB3898" w:rsidP="00D134C0">
      <w:pPr>
        <w:pStyle w:val="ListParagraph"/>
        <w:numPr>
          <w:ilvl w:val="0"/>
          <w:numId w:val="42"/>
        </w:numPr>
        <w:tabs>
          <w:tab w:val="left" w:pos="1545"/>
        </w:tabs>
        <w:spacing w:after="0" w:line="240" w:lineRule="auto"/>
        <w:rPr>
          <w:sz w:val="24"/>
          <w:szCs w:val="24"/>
        </w:rPr>
      </w:pPr>
      <w:r>
        <w:rPr>
          <w:sz w:val="24"/>
          <w:szCs w:val="24"/>
        </w:rPr>
        <w:t xml:space="preserve">Given the short half-life of arsenic in the body, </w:t>
      </w:r>
      <w:r w:rsidR="00A54B92">
        <w:rPr>
          <w:sz w:val="24"/>
          <w:szCs w:val="24"/>
        </w:rPr>
        <w:t xml:space="preserve">arsenic levels from urine collected when the smelter was shut down would not reflect typical exposure for community member. </w:t>
      </w:r>
      <w:r>
        <w:rPr>
          <w:sz w:val="24"/>
          <w:szCs w:val="24"/>
        </w:rPr>
        <w:t xml:space="preserve"> </w:t>
      </w:r>
    </w:p>
    <w:p w:rsidR="00CB3898" w:rsidRDefault="00A54B92" w:rsidP="00D134C0">
      <w:pPr>
        <w:pStyle w:val="ListParagraph"/>
        <w:numPr>
          <w:ilvl w:val="0"/>
          <w:numId w:val="42"/>
        </w:numPr>
        <w:tabs>
          <w:tab w:val="left" w:pos="1545"/>
        </w:tabs>
        <w:spacing w:after="0" w:line="240" w:lineRule="auto"/>
        <w:rPr>
          <w:sz w:val="24"/>
          <w:szCs w:val="24"/>
        </w:rPr>
      </w:pPr>
      <w:r>
        <w:rPr>
          <w:sz w:val="24"/>
          <w:szCs w:val="24"/>
        </w:rPr>
        <w:t>Therefore, r</w:t>
      </w:r>
      <w:r w:rsidR="00CB3898">
        <w:rPr>
          <w:sz w:val="24"/>
          <w:szCs w:val="24"/>
        </w:rPr>
        <w:t>etesting of participants for urine arsenic was warranted.</w:t>
      </w:r>
    </w:p>
    <w:p w:rsidR="00D90405" w:rsidRDefault="00D90405" w:rsidP="00D134C0">
      <w:pPr>
        <w:pStyle w:val="ListParagraph"/>
        <w:numPr>
          <w:ilvl w:val="0"/>
          <w:numId w:val="42"/>
        </w:numPr>
        <w:tabs>
          <w:tab w:val="left" w:pos="1545"/>
        </w:tabs>
        <w:spacing w:after="0" w:line="240" w:lineRule="auto"/>
        <w:rPr>
          <w:sz w:val="24"/>
          <w:szCs w:val="24"/>
        </w:rPr>
      </w:pPr>
      <w:r>
        <w:rPr>
          <w:sz w:val="24"/>
          <w:szCs w:val="24"/>
        </w:rPr>
        <w:t>In 2017, ATSDR offered repeat urine arsenic testing for participants from the 2015 investigation.</w:t>
      </w:r>
    </w:p>
    <w:p w:rsidR="00D90405" w:rsidRDefault="00D90405" w:rsidP="00D134C0">
      <w:pPr>
        <w:pStyle w:val="ListParagraph"/>
        <w:numPr>
          <w:ilvl w:val="0"/>
          <w:numId w:val="42"/>
        </w:numPr>
        <w:tabs>
          <w:tab w:val="left" w:pos="1545"/>
        </w:tabs>
        <w:spacing w:after="0" w:line="240" w:lineRule="auto"/>
        <w:rPr>
          <w:sz w:val="24"/>
          <w:szCs w:val="24"/>
        </w:rPr>
      </w:pPr>
      <w:r>
        <w:rPr>
          <w:sz w:val="24"/>
          <w:szCs w:val="24"/>
        </w:rPr>
        <w:t>All urine arsenic results were below the follow-up level; air data indicate that air arsenic levels in the 2 weeks prior to testing were consistent with usual levels seen in the community.</w:t>
      </w:r>
    </w:p>
    <w:p w:rsidR="00D90405" w:rsidRDefault="00D90405" w:rsidP="00D134C0">
      <w:pPr>
        <w:pStyle w:val="ListParagraph"/>
        <w:numPr>
          <w:ilvl w:val="0"/>
          <w:numId w:val="42"/>
        </w:numPr>
        <w:tabs>
          <w:tab w:val="left" w:pos="1545"/>
        </w:tabs>
        <w:spacing w:after="0" w:line="240" w:lineRule="auto"/>
        <w:rPr>
          <w:sz w:val="24"/>
          <w:szCs w:val="24"/>
        </w:rPr>
      </w:pPr>
      <w:r>
        <w:rPr>
          <w:sz w:val="24"/>
          <w:szCs w:val="24"/>
        </w:rPr>
        <w:t>The EI report, including community recommendations, is being prepared and a community meeting will be held when the document is released.</w:t>
      </w:r>
    </w:p>
    <w:p w:rsidR="00D134C0" w:rsidRPr="004B13A5" w:rsidRDefault="00D134C0" w:rsidP="00DA6302">
      <w:pPr>
        <w:tabs>
          <w:tab w:val="left" w:pos="1545"/>
        </w:tabs>
        <w:spacing w:after="0" w:line="240" w:lineRule="auto"/>
        <w:rPr>
          <w:b/>
          <w:sz w:val="24"/>
          <w:szCs w:val="24"/>
        </w:rPr>
      </w:pPr>
    </w:p>
    <w:p w:rsidR="00C13959" w:rsidRDefault="00601F1A" w:rsidP="004976CC">
      <w:pPr>
        <w:pStyle w:val="Heading1"/>
        <w:pBdr>
          <w:bottom w:val="none" w:sz="0" w:space="0" w:color="auto"/>
        </w:pBdr>
        <w:rPr>
          <w:color w:val="auto"/>
        </w:rPr>
      </w:pPr>
      <w:bookmarkStart w:id="5" w:name="_Toc433960190"/>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rsidR="00376FC4" w:rsidRPr="00376FC4" w:rsidRDefault="00376FC4" w:rsidP="00376FC4"/>
    <w:p w:rsidR="00376FC4" w:rsidRPr="00376FC4" w:rsidRDefault="00376FC4" w:rsidP="008D4FD2">
      <w:pPr>
        <w:tabs>
          <w:tab w:val="left" w:pos="1545"/>
        </w:tabs>
        <w:ind w:left="360"/>
        <w:rPr>
          <w:sz w:val="24"/>
          <w:szCs w:val="24"/>
        </w:rPr>
      </w:pPr>
      <w:r w:rsidRPr="00376FC4">
        <w:rPr>
          <w:sz w:val="24"/>
          <w:szCs w:val="24"/>
        </w:rPr>
        <w:t>Generally, ATSDR interviews people in their homes either in-person or over the phone. Where practical, we will record the results of the interview electronically as we are interviewing the participants.  The use of electronic data collection as compared to paper collection has steadily increased with time.  Any data on laptops will be encrypted in accordance with information systems security requirements for safeguarding personally identifiable information.  That information is stored in a secure database along with the laboratory and/or modeling results.</w:t>
      </w:r>
    </w:p>
    <w:p w:rsidR="00376FC4" w:rsidRPr="00376FC4" w:rsidRDefault="00376FC4" w:rsidP="00376FC4">
      <w:pPr>
        <w:tabs>
          <w:tab w:val="left" w:pos="1545"/>
        </w:tabs>
        <w:ind w:left="360"/>
        <w:rPr>
          <w:sz w:val="24"/>
          <w:szCs w:val="24"/>
        </w:rPr>
      </w:pPr>
      <w:r w:rsidRPr="00376FC4">
        <w:rPr>
          <w:sz w:val="24"/>
          <w:szCs w:val="24"/>
        </w:rPr>
        <w:t>Several procedures may be used to sign up participants for the EI, such as newsletters or recruitment posters. Usually, the participants are targeted for inclusion in the EI and initial contact is made with potential participants through mail or phone.</w:t>
      </w:r>
    </w:p>
    <w:p w:rsidR="00B45002" w:rsidRPr="00D20211" w:rsidRDefault="00601F1A" w:rsidP="004D7237">
      <w:pPr>
        <w:pStyle w:val="Heading1"/>
        <w:pBdr>
          <w:bottom w:val="none" w:sz="0" w:space="0" w:color="auto"/>
        </w:pBdr>
        <w:rPr>
          <w:color w:val="auto"/>
        </w:rPr>
      </w:pPr>
      <w:bookmarkStart w:id="6" w:name="_Toc433960191"/>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rsidR="004D7237" w:rsidRPr="009E2A28" w:rsidRDefault="004D7237" w:rsidP="009E2A28">
      <w:pPr>
        <w:ind w:left="360"/>
        <w:rPr>
          <w:sz w:val="24"/>
          <w:szCs w:val="24"/>
        </w:rPr>
      </w:pPr>
    </w:p>
    <w:p w:rsidR="009E2A28" w:rsidRPr="009E2A28" w:rsidRDefault="009E2A28" w:rsidP="009E2A28">
      <w:pPr>
        <w:tabs>
          <w:tab w:val="left" w:pos="1545"/>
        </w:tabs>
        <w:ind w:left="360"/>
        <w:rPr>
          <w:sz w:val="24"/>
          <w:szCs w:val="24"/>
        </w:rPr>
      </w:pPr>
      <w:r w:rsidRPr="009E2A28">
        <w:rPr>
          <w:sz w:val="24"/>
          <w:szCs w:val="24"/>
        </w:rPr>
        <w:t>ATSDR determined through literature and internet searches, discussions with other public health and environmental professionals, and attendance at meetings that other agencies are asking or have asked similar questions</w:t>
      </w:r>
      <w:r w:rsidRPr="0098061E">
        <w:rPr>
          <w:sz w:val="24"/>
          <w:szCs w:val="24"/>
        </w:rPr>
        <w:t>. However, their questions and resulting data are being used for population-based research and modeling, policy setting, or behavioral change through education. Since our information collection is inherently person- or location-specific,</w:t>
      </w:r>
      <w:r w:rsidRPr="009E2A28">
        <w:rPr>
          <w:sz w:val="24"/>
          <w:szCs w:val="24"/>
        </w:rPr>
        <w:t xml:space="preserve"> we cannot use the results of national probability surveys to inform our site-specific work</w:t>
      </w:r>
      <w:r w:rsidRPr="00A50CA1">
        <w:rPr>
          <w:sz w:val="24"/>
          <w:szCs w:val="24"/>
        </w:rPr>
        <w:t xml:space="preserve">. Again, the intent of the EI is </w:t>
      </w:r>
      <w:r w:rsidRPr="00A50CA1">
        <w:rPr>
          <w:sz w:val="24"/>
          <w:szCs w:val="24"/>
          <w:u w:val="single"/>
        </w:rPr>
        <w:t>not</w:t>
      </w:r>
      <w:r w:rsidRPr="00A50CA1">
        <w:rPr>
          <w:sz w:val="24"/>
          <w:szCs w:val="24"/>
        </w:rPr>
        <w:t xml:space="preserve"> to generalize information to represent population-based data</w:t>
      </w:r>
      <w:r w:rsidR="002A3E2D" w:rsidRPr="00A50CA1">
        <w:rPr>
          <w:sz w:val="24"/>
          <w:szCs w:val="24"/>
        </w:rPr>
        <w:t xml:space="preserve"> or to draw conclusions about the health or medical effects of the exposures documents</w:t>
      </w:r>
      <w:r w:rsidRPr="00A50CA1">
        <w:rPr>
          <w:sz w:val="24"/>
          <w:szCs w:val="24"/>
        </w:rPr>
        <w:t xml:space="preserve">, but to match the unique answers given by participants with their laboratory results or environmental samples to determine whether </w:t>
      </w:r>
      <w:r w:rsidR="002A3E2D" w:rsidRPr="00A50CA1">
        <w:rPr>
          <w:sz w:val="24"/>
          <w:szCs w:val="24"/>
        </w:rPr>
        <w:t xml:space="preserve">community </w:t>
      </w:r>
      <w:r w:rsidRPr="00A50CA1">
        <w:rPr>
          <w:sz w:val="24"/>
          <w:szCs w:val="24"/>
        </w:rPr>
        <w:t>intervention is needed</w:t>
      </w:r>
      <w:r w:rsidR="002A3E2D" w:rsidRPr="00A50CA1">
        <w:rPr>
          <w:sz w:val="24"/>
          <w:szCs w:val="24"/>
        </w:rPr>
        <w:t xml:space="preserve"> to reduce exposures</w:t>
      </w:r>
      <w:r w:rsidRPr="00A50CA1">
        <w:rPr>
          <w:sz w:val="24"/>
          <w:szCs w:val="24"/>
        </w:rPr>
        <w:t>. We have,</w:t>
      </w:r>
      <w:r w:rsidR="003F7954">
        <w:rPr>
          <w:sz w:val="24"/>
          <w:szCs w:val="24"/>
        </w:rPr>
        <w:t xml:space="preserve"> </w:t>
      </w:r>
      <w:r w:rsidRPr="00A50CA1">
        <w:rPr>
          <w:sz w:val="24"/>
          <w:szCs w:val="24"/>
        </w:rPr>
        <w:t>however, found some of the questions from other federal agencies’ surveys useful to</w:t>
      </w:r>
      <w:r w:rsidRPr="009E2A28">
        <w:rPr>
          <w:sz w:val="24"/>
          <w:szCs w:val="24"/>
        </w:rPr>
        <w:t xml:space="preserve"> identify appropriate chemical exposure questions. We have also used reference values from the </w:t>
      </w:r>
      <w:r w:rsidRPr="009E2A28">
        <w:rPr>
          <w:i/>
          <w:sz w:val="24"/>
          <w:szCs w:val="24"/>
        </w:rPr>
        <w:t xml:space="preserve">Fourth National Report on Human Exposure to Environmental Chemicals </w:t>
      </w:r>
      <w:r w:rsidRPr="009E2A28">
        <w:rPr>
          <w:sz w:val="24"/>
          <w:szCs w:val="24"/>
        </w:rPr>
        <w:t xml:space="preserve">as national comparison values for EI participant results (see </w:t>
      </w:r>
      <w:hyperlink r:id="rId11" w:history="1">
        <w:r w:rsidRPr="009E2A28">
          <w:rPr>
            <w:rStyle w:val="Hyperlink"/>
            <w:sz w:val="24"/>
            <w:szCs w:val="24"/>
          </w:rPr>
          <w:t>http://www.cdc.gov/exposurereport/</w:t>
        </w:r>
      </w:hyperlink>
      <w:r w:rsidRPr="009E2A28">
        <w:rPr>
          <w:sz w:val="24"/>
          <w:szCs w:val="24"/>
        </w:rPr>
        <w:t xml:space="preserve">). </w:t>
      </w:r>
    </w:p>
    <w:p w:rsidR="00B45002" w:rsidRPr="00D20211" w:rsidRDefault="00601F1A" w:rsidP="00601F1A">
      <w:pPr>
        <w:pStyle w:val="Heading1"/>
        <w:pBdr>
          <w:bottom w:val="none" w:sz="0" w:space="0" w:color="auto"/>
        </w:pBdr>
        <w:rPr>
          <w:color w:val="auto"/>
        </w:rPr>
      </w:pPr>
      <w:bookmarkStart w:id="7" w:name="_Toc43396019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rsidR="009A6C91" w:rsidRDefault="009A6C91" w:rsidP="009A6C91">
      <w:pPr>
        <w:tabs>
          <w:tab w:val="left" w:pos="1545"/>
        </w:tabs>
      </w:pPr>
    </w:p>
    <w:p w:rsidR="009A6C91" w:rsidRPr="009A6C91" w:rsidRDefault="009A6C91" w:rsidP="009A6C91">
      <w:pPr>
        <w:tabs>
          <w:tab w:val="left" w:pos="1545"/>
        </w:tabs>
        <w:ind w:left="360"/>
        <w:rPr>
          <w:sz w:val="24"/>
          <w:szCs w:val="24"/>
        </w:rPr>
      </w:pPr>
      <w:r w:rsidRPr="009A6C91">
        <w:rPr>
          <w:sz w:val="24"/>
          <w:szCs w:val="24"/>
        </w:rPr>
        <w:t>Every effort is made to minimize the burden on all participants in EIs. Very few of our EIs (approximately 2 percent) have involved small businesses. On occasion, ATSDR has asked for participation from employees and attendees of daycare facilities and schools. When such an entity will be involved in an EI, ATSDR will identify these in each request for approval under this generic clearance.</w:t>
      </w:r>
    </w:p>
    <w:p w:rsidR="00B45002" w:rsidRPr="00D20211" w:rsidRDefault="00601F1A" w:rsidP="00601F1A">
      <w:pPr>
        <w:pStyle w:val="Heading1"/>
        <w:pBdr>
          <w:bottom w:val="none" w:sz="0" w:space="0" w:color="auto"/>
        </w:pBdr>
        <w:rPr>
          <w:color w:val="auto"/>
        </w:rPr>
      </w:pPr>
      <w:bookmarkStart w:id="8" w:name="_Toc433960193"/>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rsidR="009A6C91" w:rsidRDefault="009A6C91" w:rsidP="009A6C91">
      <w:pPr>
        <w:tabs>
          <w:tab w:val="left" w:pos="1545"/>
        </w:tabs>
        <w:rPr>
          <w:sz w:val="24"/>
          <w:szCs w:val="24"/>
        </w:rPr>
      </w:pPr>
    </w:p>
    <w:p w:rsidR="009A6C91" w:rsidRPr="009A6C91" w:rsidRDefault="009A6C91" w:rsidP="009A6C91">
      <w:pPr>
        <w:tabs>
          <w:tab w:val="left" w:pos="1545"/>
        </w:tabs>
        <w:ind w:left="360"/>
        <w:rPr>
          <w:sz w:val="24"/>
          <w:szCs w:val="24"/>
        </w:rPr>
      </w:pPr>
      <w:r w:rsidRPr="009A6C91">
        <w:rPr>
          <w:sz w:val="24"/>
          <w:szCs w:val="24"/>
        </w:rPr>
        <w:t>The vast majority of EIs are a one-time sampling or modeling event related to a specific exposure situation. At times, the results of the first sampling event require that we collect additional samples (either environmental or biological). Participants in EIs are generally asked one set of questions per sampling event. If we need to conduct additional sampling (e.g., to assess the effectiveness of an intervention), we would request that the participants answer another set of appropriate questions.</w:t>
      </w:r>
    </w:p>
    <w:p w:rsidR="009A6C91" w:rsidRPr="009A6C91" w:rsidRDefault="009A6C91" w:rsidP="009A6C91">
      <w:pPr>
        <w:tabs>
          <w:tab w:val="left" w:pos="1545"/>
        </w:tabs>
        <w:ind w:left="360"/>
        <w:rPr>
          <w:sz w:val="24"/>
          <w:szCs w:val="24"/>
        </w:rPr>
      </w:pPr>
      <w:r w:rsidRPr="009A6C91">
        <w:rPr>
          <w:sz w:val="24"/>
          <w:szCs w:val="24"/>
        </w:rPr>
        <w:t xml:space="preserve">If ATSDR determines that additional </w:t>
      </w:r>
      <w:r w:rsidR="009A5BFB">
        <w:rPr>
          <w:sz w:val="24"/>
          <w:szCs w:val="24"/>
        </w:rPr>
        <w:t xml:space="preserve">follow-up </w:t>
      </w:r>
      <w:r w:rsidRPr="009A6C91">
        <w:rPr>
          <w:sz w:val="24"/>
          <w:szCs w:val="24"/>
        </w:rPr>
        <w:t xml:space="preserve">investigation is needed, ATSDR would obtain a separate PRA clearance under this </w:t>
      </w:r>
      <w:r w:rsidR="009A5BFB">
        <w:rPr>
          <w:sz w:val="24"/>
          <w:szCs w:val="24"/>
        </w:rPr>
        <w:t xml:space="preserve">generic </w:t>
      </w:r>
      <w:r w:rsidRPr="009A6C91">
        <w:rPr>
          <w:sz w:val="24"/>
          <w:szCs w:val="24"/>
        </w:rPr>
        <w:t>mechanism to conduct that investigation.</w:t>
      </w:r>
    </w:p>
    <w:p w:rsidR="009A6C91" w:rsidRPr="009A6C91" w:rsidRDefault="009A6C91" w:rsidP="009A6C91">
      <w:pPr>
        <w:tabs>
          <w:tab w:val="left" w:pos="1545"/>
        </w:tabs>
        <w:ind w:left="360"/>
        <w:rPr>
          <w:sz w:val="24"/>
          <w:szCs w:val="24"/>
        </w:rPr>
      </w:pPr>
      <w:r w:rsidRPr="009A6C91">
        <w:rPr>
          <w:sz w:val="24"/>
          <w:szCs w:val="24"/>
        </w:rPr>
        <w:t>There are no legal obstacles to reduce the burden.</w:t>
      </w:r>
    </w:p>
    <w:p w:rsidR="00B45002" w:rsidRPr="00D20211" w:rsidRDefault="00601F1A" w:rsidP="00601F1A">
      <w:pPr>
        <w:pStyle w:val="Heading1"/>
        <w:pBdr>
          <w:bottom w:val="none" w:sz="0" w:space="0" w:color="auto"/>
        </w:pBdr>
        <w:rPr>
          <w:color w:val="auto"/>
        </w:rPr>
      </w:pPr>
      <w:bookmarkStart w:id="9" w:name="_Toc43396019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rsidR="0014151A" w:rsidRPr="00D20211" w:rsidRDefault="0014151A" w:rsidP="00FB3333">
      <w:pPr>
        <w:autoSpaceDE w:val="0"/>
        <w:autoSpaceDN w:val="0"/>
        <w:adjustRightInd w:val="0"/>
        <w:spacing w:line="240" w:lineRule="auto"/>
        <w:rPr>
          <w:sz w:val="24"/>
          <w:szCs w:val="24"/>
        </w:rPr>
      </w:pPr>
    </w:p>
    <w:p w:rsidR="00FB3333" w:rsidRPr="00D20211" w:rsidRDefault="00FB3333" w:rsidP="009A6C91">
      <w:pPr>
        <w:autoSpaceDE w:val="0"/>
        <w:autoSpaceDN w:val="0"/>
        <w:adjustRightInd w:val="0"/>
        <w:spacing w:line="240" w:lineRule="auto"/>
        <w:ind w:left="360"/>
        <w:rPr>
          <w:rFonts w:cs="ITCFranklinGothicStd-Book"/>
          <w:sz w:val="24"/>
          <w:szCs w:val="24"/>
        </w:rPr>
      </w:pPr>
      <w:r w:rsidRPr="00D20211">
        <w:rPr>
          <w:rFonts w:cs="ITCFranklinGothicStd-Book"/>
          <w:sz w:val="24"/>
          <w:szCs w:val="24"/>
        </w:rPr>
        <w:t>This request fully complies with the regulation 5 CFR</w:t>
      </w:r>
      <w:r w:rsidR="002605A1" w:rsidRPr="00D20211">
        <w:rPr>
          <w:rFonts w:cs="ITCFranklinGothicStd-Book"/>
          <w:sz w:val="24"/>
          <w:szCs w:val="24"/>
        </w:rPr>
        <w:t xml:space="preserve"> </w:t>
      </w:r>
      <w:r w:rsidRPr="00D20211">
        <w:rPr>
          <w:rFonts w:cs="ITCFranklinGothicStd-Book"/>
          <w:sz w:val="24"/>
          <w:szCs w:val="24"/>
        </w:rPr>
        <w:t>1320.5.</w:t>
      </w:r>
    </w:p>
    <w:p w:rsidR="00B45002" w:rsidRPr="00D20211" w:rsidRDefault="00601F1A" w:rsidP="00601F1A">
      <w:pPr>
        <w:pStyle w:val="Heading1"/>
        <w:pBdr>
          <w:bottom w:val="none" w:sz="0" w:space="0" w:color="auto"/>
        </w:pBdr>
        <w:rPr>
          <w:color w:val="auto"/>
        </w:rPr>
      </w:pPr>
      <w:bookmarkStart w:id="10" w:name="_Toc43396019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rsidR="00D62EE3" w:rsidRPr="00D20211" w:rsidRDefault="00D62EE3" w:rsidP="00D62EE3">
      <w:pPr>
        <w:autoSpaceDE w:val="0"/>
        <w:autoSpaceDN w:val="0"/>
        <w:adjustRightInd w:val="0"/>
        <w:spacing w:after="0" w:line="240" w:lineRule="auto"/>
        <w:rPr>
          <w:rFonts w:cs="ITCFranklinGothicStd-Demi"/>
          <w:sz w:val="24"/>
          <w:szCs w:val="24"/>
        </w:rPr>
      </w:pPr>
    </w:p>
    <w:p w:rsidR="00D62EE3" w:rsidRPr="00D20211" w:rsidRDefault="00D62EE3" w:rsidP="00B72FE1">
      <w:pPr>
        <w:autoSpaceDE w:val="0"/>
        <w:autoSpaceDN w:val="0"/>
        <w:adjustRightInd w:val="0"/>
        <w:spacing w:after="0" w:line="240" w:lineRule="auto"/>
        <w:ind w:left="360" w:hanging="360"/>
        <w:rPr>
          <w:rFonts w:cs="ITCFranklinGothicStd-Demi"/>
          <w:sz w:val="24"/>
          <w:szCs w:val="24"/>
        </w:rPr>
      </w:pPr>
    </w:p>
    <w:p w:rsidR="0061306C" w:rsidRDefault="0061306C" w:rsidP="00B713EB">
      <w:pPr>
        <w:pStyle w:val="ListParagraph"/>
        <w:numPr>
          <w:ilvl w:val="0"/>
          <w:numId w:val="6"/>
        </w:numPr>
        <w:tabs>
          <w:tab w:val="left" w:pos="1545"/>
        </w:tabs>
        <w:spacing w:after="0" w:line="240" w:lineRule="auto"/>
        <w:contextualSpacing w:val="0"/>
        <w:rPr>
          <w:sz w:val="24"/>
          <w:szCs w:val="24"/>
        </w:rPr>
      </w:pPr>
      <w:r>
        <w:rPr>
          <w:sz w:val="24"/>
          <w:szCs w:val="24"/>
        </w:rPr>
        <w:t>No comments were received on the 60-day FRN published on 11/6/2018</w:t>
      </w:r>
      <w:r w:rsidR="00B713EB">
        <w:rPr>
          <w:sz w:val="24"/>
          <w:szCs w:val="24"/>
        </w:rPr>
        <w:t xml:space="preserve">, </w:t>
      </w:r>
      <w:r w:rsidR="00B713EB" w:rsidRPr="00B713EB">
        <w:rPr>
          <w:sz w:val="24"/>
          <w:szCs w:val="24"/>
        </w:rPr>
        <w:t>vol.</w:t>
      </w:r>
      <w:r w:rsidR="00B713EB">
        <w:rPr>
          <w:sz w:val="24"/>
          <w:szCs w:val="24"/>
        </w:rPr>
        <w:t xml:space="preserve"> 83</w:t>
      </w:r>
      <w:r w:rsidR="00B713EB" w:rsidRPr="00B713EB">
        <w:rPr>
          <w:sz w:val="24"/>
          <w:szCs w:val="24"/>
        </w:rPr>
        <w:t>, No.</w:t>
      </w:r>
      <w:r w:rsidR="00B713EB">
        <w:rPr>
          <w:sz w:val="24"/>
          <w:szCs w:val="24"/>
        </w:rPr>
        <w:t xml:space="preserve"> 215</w:t>
      </w:r>
      <w:r w:rsidR="00B713EB" w:rsidRPr="00B713EB">
        <w:rPr>
          <w:sz w:val="24"/>
          <w:szCs w:val="24"/>
        </w:rPr>
        <w:t>, pp. 55543</w:t>
      </w:r>
      <w:r w:rsidR="00B713EB">
        <w:rPr>
          <w:sz w:val="24"/>
          <w:szCs w:val="24"/>
        </w:rPr>
        <w:t>- 45</w:t>
      </w:r>
      <w:r w:rsidR="00B31C4B">
        <w:rPr>
          <w:sz w:val="24"/>
          <w:szCs w:val="24"/>
        </w:rPr>
        <w:t xml:space="preserve"> (</w:t>
      </w:r>
      <w:r w:rsidR="00B31C4B" w:rsidRPr="00306413">
        <w:rPr>
          <w:b/>
          <w:sz w:val="24"/>
          <w:szCs w:val="24"/>
        </w:rPr>
        <w:t>Attachment 2</w:t>
      </w:r>
      <w:r w:rsidR="00B31C4B">
        <w:rPr>
          <w:sz w:val="24"/>
          <w:szCs w:val="24"/>
        </w:rPr>
        <w:t>)</w:t>
      </w:r>
      <w:r>
        <w:rPr>
          <w:sz w:val="24"/>
          <w:szCs w:val="24"/>
        </w:rPr>
        <w:t>.</w:t>
      </w:r>
      <w:r w:rsidR="00B713EB">
        <w:rPr>
          <w:sz w:val="24"/>
          <w:szCs w:val="24"/>
        </w:rPr>
        <w:t xml:space="preserve"> </w:t>
      </w:r>
    </w:p>
    <w:p w:rsidR="009A6C91" w:rsidRPr="009A6C91" w:rsidRDefault="009A6C91" w:rsidP="00B72FE1">
      <w:pPr>
        <w:pStyle w:val="ListParagraph"/>
        <w:numPr>
          <w:ilvl w:val="0"/>
          <w:numId w:val="6"/>
        </w:numPr>
        <w:tabs>
          <w:tab w:val="left" w:pos="1545"/>
        </w:tabs>
        <w:spacing w:after="0" w:line="240" w:lineRule="auto"/>
        <w:contextualSpacing w:val="0"/>
        <w:rPr>
          <w:sz w:val="24"/>
          <w:szCs w:val="24"/>
        </w:rPr>
      </w:pPr>
      <w:r w:rsidRPr="009A6C91">
        <w:rPr>
          <w:sz w:val="24"/>
          <w:szCs w:val="24"/>
        </w:rPr>
        <w:t xml:space="preserve">Below is a list of individuals and groups outside of the agency who were consulted in 2006, to obtain their views on the availability of data, the clarity of instructions and information, and the completeness of the material. </w:t>
      </w:r>
    </w:p>
    <w:p w:rsidR="009A6C91" w:rsidRPr="009A6C91" w:rsidRDefault="009A6C91" w:rsidP="00B72FE1">
      <w:pPr>
        <w:tabs>
          <w:tab w:val="left" w:pos="1545"/>
        </w:tabs>
        <w:spacing w:after="0" w:line="240" w:lineRule="auto"/>
        <w:rPr>
          <w:sz w:val="24"/>
          <w:szCs w:val="24"/>
        </w:rPr>
      </w:pPr>
    </w:p>
    <w:p w:rsidR="009A6C91" w:rsidRPr="009A6C91" w:rsidRDefault="009A6C91" w:rsidP="00B72FE1">
      <w:pPr>
        <w:pStyle w:val="ListParagraph"/>
        <w:numPr>
          <w:ilvl w:val="0"/>
          <w:numId w:val="46"/>
        </w:numPr>
        <w:tabs>
          <w:tab w:val="left" w:pos="1545"/>
        </w:tabs>
        <w:spacing w:after="0" w:line="240" w:lineRule="auto"/>
        <w:contextualSpacing w:val="0"/>
        <w:rPr>
          <w:sz w:val="24"/>
          <w:szCs w:val="24"/>
        </w:rPr>
      </w:pPr>
      <w:r w:rsidRPr="009A6C91">
        <w:rPr>
          <w:i/>
          <w:sz w:val="24"/>
          <w:szCs w:val="24"/>
        </w:rPr>
        <w:t>Sharon Lee</w:t>
      </w:r>
      <w:r w:rsidRPr="009A6C91">
        <w:rPr>
          <w:sz w:val="24"/>
          <w:szCs w:val="24"/>
        </w:rPr>
        <w:t xml:space="preserve">, Division of Environmental &amp; Occupational Disease Control, </w:t>
      </w:r>
    </w:p>
    <w:p w:rsidR="009A6C91" w:rsidRPr="009A6C91" w:rsidRDefault="009A6C91" w:rsidP="00B72FE1">
      <w:pPr>
        <w:tabs>
          <w:tab w:val="left" w:pos="1545"/>
        </w:tabs>
        <w:spacing w:after="0" w:line="240" w:lineRule="auto"/>
        <w:ind w:left="1080"/>
        <w:rPr>
          <w:sz w:val="24"/>
          <w:szCs w:val="24"/>
        </w:rPr>
      </w:pPr>
      <w:r w:rsidRPr="009A6C91">
        <w:rPr>
          <w:sz w:val="24"/>
          <w:szCs w:val="24"/>
        </w:rPr>
        <w:t xml:space="preserve">CA Dept of Health Services </w:t>
      </w:r>
    </w:p>
    <w:p w:rsidR="009A6C91" w:rsidRDefault="009A6C91" w:rsidP="00B72FE1">
      <w:pPr>
        <w:tabs>
          <w:tab w:val="left" w:pos="1545"/>
        </w:tabs>
        <w:spacing w:after="0" w:line="240" w:lineRule="auto"/>
        <w:ind w:left="1080"/>
        <w:rPr>
          <w:sz w:val="24"/>
          <w:szCs w:val="24"/>
        </w:rPr>
      </w:pPr>
      <w:r w:rsidRPr="009A6C91">
        <w:rPr>
          <w:sz w:val="24"/>
          <w:szCs w:val="24"/>
        </w:rPr>
        <w:t>&amp; Facilitator of the Interstate Chemical Terrorism Workgroup</w:t>
      </w:r>
    </w:p>
    <w:p w:rsidR="009A6C91" w:rsidRPr="009A6C91" w:rsidRDefault="009A6C91" w:rsidP="00B72FE1">
      <w:pPr>
        <w:tabs>
          <w:tab w:val="left" w:pos="1545"/>
        </w:tabs>
        <w:spacing w:after="0" w:line="240" w:lineRule="auto"/>
        <w:ind w:left="1080"/>
        <w:rPr>
          <w:sz w:val="24"/>
          <w:szCs w:val="24"/>
        </w:rPr>
      </w:pPr>
    </w:p>
    <w:p w:rsidR="009A6C91" w:rsidRPr="009A6C91" w:rsidRDefault="009A6C91" w:rsidP="00B72FE1">
      <w:pPr>
        <w:tabs>
          <w:tab w:val="left" w:pos="1545"/>
        </w:tabs>
        <w:spacing w:after="0" w:line="240" w:lineRule="auto"/>
        <w:ind w:left="1080"/>
        <w:rPr>
          <w:color w:val="FF0000"/>
          <w:sz w:val="24"/>
          <w:szCs w:val="24"/>
        </w:rPr>
      </w:pPr>
      <w:r w:rsidRPr="009A6C91">
        <w:rPr>
          <w:sz w:val="24"/>
          <w:szCs w:val="24"/>
        </w:rPr>
        <w:t xml:space="preserve">ATSDR solicited comments through </w:t>
      </w:r>
      <w:r>
        <w:rPr>
          <w:sz w:val="24"/>
          <w:szCs w:val="24"/>
        </w:rPr>
        <w:t>Ms. Lee</w:t>
      </w:r>
      <w:r w:rsidRPr="009A6C91">
        <w:rPr>
          <w:sz w:val="24"/>
          <w:szCs w:val="24"/>
        </w:rPr>
        <w:t xml:space="preserve"> from the Interstate Chemical Terrorism Workgroup and requested information on other surveys. More than 30 state representatives reviewed the chemical exposure questions. ATSDR received oral and written comments from 10 representatives and added questions from other surveys.</w:t>
      </w:r>
    </w:p>
    <w:p w:rsidR="009A6C91" w:rsidRPr="009A6C91" w:rsidRDefault="009A6C91" w:rsidP="00B72FE1">
      <w:pPr>
        <w:tabs>
          <w:tab w:val="left" w:pos="1545"/>
        </w:tabs>
        <w:spacing w:after="0" w:line="240" w:lineRule="auto"/>
        <w:ind w:left="360"/>
        <w:rPr>
          <w:sz w:val="24"/>
          <w:szCs w:val="24"/>
        </w:rPr>
      </w:pPr>
    </w:p>
    <w:p w:rsidR="009A6C91" w:rsidRPr="009A6C91" w:rsidRDefault="009A6C91" w:rsidP="00B72FE1">
      <w:pPr>
        <w:pStyle w:val="ListParagraph"/>
        <w:numPr>
          <w:ilvl w:val="0"/>
          <w:numId w:val="46"/>
        </w:numPr>
        <w:tabs>
          <w:tab w:val="left" w:pos="1545"/>
        </w:tabs>
        <w:spacing w:after="0" w:line="240" w:lineRule="auto"/>
        <w:contextualSpacing w:val="0"/>
        <w:rPr>
          <w:sz w:val="24"/>
          <w:szCs w:val="24"/>
        </w:rPr>
      </w:pPr>
      <w:r w:rsidRPr="009A6C91">
        <w:rPr>
          <w:i/>
          <w:sz w:val="24"/>
          <w:szCs w:val="24"/>
        </w:rPr>
        <w:t>Laura Fenster</w:t>
      </w:r>
      <w:r w:rsidRPr="009A6C91">
        <w:rPr>
          <w:sz w:val="24"/>
          <w:szCs w:val="24"/>
        </w:rPr>
        <w:t>, PhD., Epidemiologist</w:t>
      </w:r>
    </w:p>
    <w:p w:rsidR="009A6C91" w:rsidRPr="009A6C91" w:rsidRDefault="009A6C91" w:rsidP="00B72FE1">
      <w:pPr>
        <w:tabs>
          <w:tab w:val="left" w:pos="1545"/>
        </w:tabs>
        <w:spacing w:after="0" w:line="240" w:lineRule="auto"/>
        <w:ind w:left="1080"/>
        <w:rPr>
          <w:sz w:val="24"/>
          <w:szCs w:val="24"/>
        </w:rPr>
      </w:pPr>
      <w:r w:rsidRPr="009A6C91">
        <w:rPr>
          <w:sz w:val="24"/>
          <w:szCs w:val="24"/>
        </w:rPr>
        <w:t>Occupational Health Branch</w:t>
      </w:r>
    </w:p>
    <w:p w:rsidR="009A6C91" w:rsidRDefault="009A6C91" w:rsidP="00B72FE1">
      <w:pPr>
        <w:tabs>
          <w:tab w:val="left" w:pos="1545"/>
        </w:tabs>
        <w:spacing w:after="0" w:line="240" w:lineRule="auto"/>
        <w:ind w:left="1080"/>
        <w:rPr>
          <w:sz w:val="24"/>
          <w:szCs w:val="24"/>
        </w:rPr>
      </w:pPr>
      <w:r w:rsidRPr="009A6C91">
        <w:rPr>
          <w:sz w:val="24"/>
          <w:szCs w:val="24"/>
        </w:rPr>
        <w:t>CA Dept of Health Services</w:t>
      </w:r>
    </w:p>
    <w:p w:rsidR="009A6C91" w:rsidRPr="009A6C91" w:rsidRDefault="009A6C91" w:rsidP="00B72FE1">
      <w:pPr>
        <w:tabs>
          <w:tab w:val="left" w:pos="1545"/>
        </w:tabs>
        <w:spacing w:after="0" w:line="240" w:lineRule="auto"/>
        <w:ind w:left="1080"/>
        <w:rPr>
          <w:sz w:val="24"/>
          <w:szCs w:val="24"/>
        </w:rPr>
      </w:pPr>
    </w:p>
    <w:p w:rsidR="009A6C91" w:rsidRPr="009A6C91" w:rsidRDefault="009A6C91" w:rsidP="00B72FE1">
      <w:pPr>
        <w:tabs>
          <w:tab w:val="left" w:pos="1545"/>
        </w:tabs>
        <w:spacing w:after="0" w:line="240" w:lineRule="auto"/>
        <w:ind w:left="1080"/>
        <w:rPr>
          <w:sz w:val="24"/>
          <w:szCs w:val="24"/>
        </w:rPr>
      </w:pPr>
      <w:r>
        <w:rPr>
          <w:sz w:val="24"/>
          <w:szCs w:val="24"/>
        </w:rPr>
        <w:t xml:space="preserve">Dr. Fenster </w:t>
      </w:r>
      <w:r w:rsidRPr="009A6C91">
        <w:rPr>
          <w:sz w:val="24"/>
          <w:szCs w:val="24"/>
        </w:rPr>
        <w:t>reviewed the chemical exposure questions and provided comments. She also provided information on other surveys and ATSDR incorporated some of the questions into the chemical exposure questions.</w:t>
      </w:r>
    </w:p>
    <w:p w:rsidR="009A6C91" w:rsidRPr="009A6C91" w:rsidRDefault="009A6C91" w:rsidP="00B72FE1">
      <w:pPr>
        <w:tabs>
          <w:tab w:val="left" w:pos="1545"/>
        </w:tabs>
        <w:spacing w:after="0" w:line="240" w:lineRule="auto"/>
        <w:ind w:left="360"/>
        <w:rPr>
          <w:sz w:val="24"/>
          <w:szCs w:val="24"/>
        </w:rPr>
      </w:pPr>
    </w:p>
    <w:p w:rsidR="009A6C91" w:rsidRPr="009A6C91" w:rsidRDefault="009A6C91" w:rsidP="00B72FE1">
      <w:pPr>
        <w:pStyle w:val="ListParagraph"/>
        <w:numPr>
          <w:ilvl w:val="0"/>
          <w:numId w:val="46"/>
        </w:numPr>
        <w:tabs>
          <w:tab w:val="left" w:pos="1545"/>
        </w:tabs>
        <w:spacing w:after="0" w:line="240" w:lineRule="auto"/>
        <w:contextualSpacing w:val="0"/>
        <w:rPr>
          <w:i/>
          <w:sz w:val="24"/>
          <w:szCs w:val="24"/>
        </w:rPr>
      </w:pPr>
      <w:r w:rsidRPr="009A6C91">
        <w:rPr>
          <w:i/>
          <w:sz w:val="24"/>
          <w:szCs w:val="24"/>
        </w:rPr>
        <w:t>Bruce Bernard, M.D., M.P.H.</w:t>
      </w:r>
    </w:p>
    <w:p w:rsidR="009A6C91" w:rsidRPr="009A6C91" w:rsidRDefault="009A6C91" w:rsidP="00B72FE1">
      <w:pPr>
        <w:tabs>
          <w:tab w:val="left" w:pos="1545"/>
        </w:tabs>
        <w:spacing w:after="0" w:line="240" w:lineRule="auto"/>
        <w:ind w:left="1080"/>
        <w:rPr>
          <w:sz w:val="24"/>
          <w:szCs w:val="24"/>
        </w:rPr>
      </w:pPr>
      <w:r w:rsidRPr="009A6C91">
        <w:rPr>
          <w:sz w:val="24"/>
          <w:szCs w:val="24"/>
        </w:rPr>
        <w:t>Medical Section Chief</w:t>
      </w:r>
    </w:p>
    <w:p w:rsidR="009A6C91" w:rsidRPr="009A6C91" w:rsidRDefault="009A6C91" w:rsidP="00B72FE1">
      <w:pPr>
        <w:tabs>
          <w:tab w:val="left" w:pos="1545"/>
        </w:tabs>
        <w:spacing w:after="0" w:line="240" w:lineRule="auto"/>
        <w:ind w:left="1080"/>
        <w:rPr>
          <w:sz w:val="24"/>
          <w:szCs w:val="24"/>
        </w:rPr>
      </w:pPr>
      <w:r w:rsidRPr="009A6C91">
        <w:rPr>
          <w:sz w:val="24"/>
          <w:szCs w:val="24"/>
        </w:rPr>
        <w:t>Hazard Evaluations and Technical Assistance Branch</w:t>
      </w:r>
    </w:p>
    <w:p w:rsidR="009A6C91" w:rsidRPr="009A6C91" w:rsidRDefault="009A6C91" w:rsidP="00B72FE1">
      <w:pPr>
        <w:tabs>
          <w:tab w:val="left" w:pos="1545"/>
        </w:tabs>
        <w:spacing w:after="0" w:line="240" w:lineRule="auto"/>
        <w:ind w:left="1080"/>
        <w:rPr>
          <w:sz w:val="24"/>
          <w:szCs w:val="24"/>
        </w:rPr>
      </w:pPr>
      <w:r w:rsidRPr="009A6C91">
        <w:rPr>
          <w:sz w:val="24"/>
          <w:szCs w:val="24"/>
        </w:rPr>
        <w:t xml:space="preserve">Div of Surveillance, Hazard Evaluations &amp; Field Studies </w:t>
      </w:r>
    </w:p>
    <w:p w:rsidR="009A6C91" w:rsidRPr="009A6C91" w:rsidRDefault="009A6C91" w:rsidP="00B72FE1">
      <w:pPr>
        <w:tabs>
          <w:tab w:val="left" w:pos="1545"/>
        </w:tabs>
        <w:spacing w:after="0" w:line="240" w:lineRule="auto"/>
        <w:ind w:left="1080"/>
        <w:rPr>
          <w:sz w:val="24"/>
          <w:szCs w:val="24"/>
        </w:rPr>
      </w:pPr>
      <w:r w:rsidRPr="009A6C91">
        <w:rPr>
          <w:sz w:val="24"/>
          <w:szCs w:val="24"/>
        </w:rPr>
        <w:t>National Institute for Occupational Safety and Health (NIOSH)</w:t>
      </w:r>
    </w:p>
    <w:p w:rsidR="009A6C91" w:rsidRDefault="009A6C91" w:rsidP="00B72FE1">
      <w:pPr>
        <w:tabs>
          <w:tab w:val="left" w:pos="1545"/>
        </w:tabs>
        <w:spacing w:after="0" w:line="240" w:lineRule="auto"/>
        <w:ind w:left="1080"/>
        <w:rPr>
          <w:sz w:val="24"/>
          <w:szCs w:val="24"/>
        </w:rPr>
      </w:pPr>
      <w:r w:rsidRPr="009A6C91">
        <w:rPr>
          <w:sz w:val="24"/>
          <w:szCs w:val="24"/>
        </w:rPr>
        <w:t>Centers for Disease Control and Prevention (CDC)</w:t>
      </w:r>
    </w:p>
    <w:p w:rsidR="009A6C91" w:rsidRPr="009A6C91" w:rsidRDefault="009A6C91" w:rsidP="00B72FE1">
      <w:pPr>
        <w:tabs>
          <w:tab w:val="left" w:pos="1545"/>
        </w:tabs>
        <w:spacing w:after="0" w:line="240" w:lineRule="auto"/>
        <w:ind w:left="1080"/>
        <w:rPr>
          <w:sz w:val="24"/>
          <w:szCs w:val="24"/>
        </w:rPr>
      </w:pPr>
    </w:p>
    <w:p w:rsidR="009A6C91" w:rsidRPr="009A6C91" w:rsidRDefault="009A6C91" w:rsidP="00B72FE1">
      <w:pPr>
        <w:tabs>
          <w:tab w:val="left" w:pos="1545"/>
        </w:tabs>
        <w:spacing w:after="0" w:line="240" w:lineRule="auto"/>
        <w:ind w:left="1080"/>
        <w:rPr>
          <w:sz w:val="24"/>
          <w:szCs w:val="24"/>
        </w:rPr>
      </w:pPr>
      <w:r>
        <w:rPr>
          <w:sz w:val="24"/>
          <w:szCs w:val="24"/>
        </w:rPr>
        <w:t>Dr. Bernard p</w:t>
      </w:r>
      <w:r w:rsidRPr="009A6C91">
        <w:rPr>
          <w:sz w:val="24"/>
          <w:szCs w:val="24"/>
        </w:rPr>
        <w:t>rovided review of portions of the package pertaining to occupational exposure.</w:t>
      </w:r>
    </w:p>
    <w:p w:rsidR="009A6C91" w:rsidRPr="009A6C91" w:rsidRDefault="009A6C91" w:rsidP="00B72FE1">
      <w:pPr>
        <w:tabs>
          <w:tab w:val="left" w:pos="1545"/>
        </w:tabs>
        <w:spacing w:after="0" w:line="240" w:lineRule="auto"/>
        <w:ind w:left="360"/>
        <w:rPr>
          <w:sz w:val="24"/>
          <w:szCs w:val="24"/>
        </w:rPr>
      </w:pPr>
    </w:p>
    <w:p w:rsidR="009A6C91" w:rsidRPr="00F2353B" w:rsidRDefault="009A6C91">
      <w:pPr>
        <w:tabs>
          <w:tab w:val="left" w:pos="1545"/>
        </w:tabs>
        <w:ind w:left="360"/>
        <w:rPr>
          <w:sz w:val="24"/>
          <w:szCs w:val="24"/>
        </w:rPr>
      </w:pPr>
      <w:r w:rsidRPr="009A6C91">
        <w:rPr>
          <w:sz w:val="24"/>
          <w:szCs w:val="24"/>
        </w:rPr>
        <w:t xml:space="preserve">In the past </w:t>
      </w:r>
      <w:r w:rsidR="007B3A78">
        <w:rPr>
          <w:sz w:val="24"/>
          <w:szCs w:val="24"/>
        </w:rPr>
        <w:t>six</w:t>
      </w:r>
      <w:r w:rsidRPr="009A6C91">
        <w:rPr>
          <w:sz w:val="24"/>
          <w:szCs w:val="24"/>
        </w:rPr>
        <w:t xml:space="preserve"> years, ATSDR has not sought additional consultations because EI methods have been long established and have been successful for the stated goals of the EI program. ATSDR has completed over </w:t>
      </w:r>
      <w:r w:rsidR="00AF1245">
        <w:rPr>
          <w:sz w:val="24"/>
          <w:szCs w:val="24"/>
        </w:rPr>
        <w:t>200</w:t>
      </w:r>
      <w:r w:rsidRPr="009A6C91">
        <w:rPr>
          <w:sz w:val="24"/>
          <w:szCs w:val="24"/>
        </w:rPr>
        <w:t xml:space="preserve"> EIs over approximately 10 years. After 2005, ATSDR discovered that PRA clearance was required; therefore, 31 of those EIs were completed under </w:t>
      </w:r>
      <w:r w:rsidRPr="009A6C91">
        <w:rPr>
          <w:i/>
          <w:sz w:val="24"/>
          <w:szCs w:val="24"/>
        </w:rPr>
        <w:t xml:space="preserve">NCEH/ATSDR Exposure Investigations (EI) </w:t>
      </w:r>
      <w:r w:rsidRPr="009A6C91">
        <w:rPr>
          <w:sz w:val="24"/>
          <w:szCs w:val="24"/>
        </w:rPr>
        <w:t xml:space="preserve">(OMB Control No. 0923-0040, expiration date 12/31/2012). In the past </w:t>
      </w:r>
      <w:r w:rsidR="00F55A46">
        <w:rPr>
          <w:sz w:val="24"/>
          <w:szCs w:val="24"/>
        </w:rPr>
        <w:t>three</w:t>
      </w:r>
      <w:r w:rsidRPr="009A6C91">
        <w:rPr>
          <w:sz w:val="24"/>
          <w:szCs w:val="24"/>
        </w:rPr>
        <w:t xml:space="preserve"> years, ATSDR has completed </w:t>
      </w:r>
      <w:r w:rsidR="005967A9">
        <w:rPr>
          <w:sz w:val="24"/>
          <w:szCs w:val="24"/>
        </w:rPr>
        <w:t>4</w:t>
      </w:r>
      <w:r w:rsidR="005967A9" w:rsidRPr="009A6C91">
        <w:rPr>
          <w:sz w:val="24"/>
          <w:szCs w:val="24"/>
        </w:rPr>
        <w:t xml:space="preserve"> </w:t>
      </w:r>
      <w:r w:rsidRPr="009A6C91">
        <w:rPr>
          <w:sz w:val="24"/>
          <w:szCs w:val="24"/>
        </w:rPr>
        <w:t>EIs under the current generic clearance, OMB Control No. 0923-0048 (expiration date 0</w:t>
      </w:r>
      <w:r w:rsidR="00AF1245">
        <w:rPr>
          <w:sz w:val="24"/>
          <w:szCs w:val="24"/>
        </w:rPr>
        <w:t>3</w:t>
      </w:r>
      <w:r w:rsidRPr="009A6C91">
        <w:rPr>
          <w:sz w:val="24"/>
          <w:szCs w:val="24"/>
        </w:rPr>
        <w:t>/31/201</w:t>
      </w:r>
      <w:r w:rsidR="00AF1245">
        <w:rPr>
          <w:sz w:val="24"/>
          <w:szCs w:val="24"/>
        </w:rPr>
        <w:t>9</w:t>
      </w:r>
      <w:r w:rsidRPr="009A6C91">
        <w:rPr>
          <w:sz w:val="24"/>
          <w:szCs w:val="24"/>
        </w:rPr>
        <w:t>).</w:t>
      </w:r>
      <w:r w:rsidR="0061306C">
        <w:rPr>
          <w:sz w:val="24"/>
          <w:szCs w:val="24"/>
        </w:rPr>
        <w:t xml:space="preserve"> </w:t>
      </w:r>
    </w:p>
    <w:p w:rsidR="00B45002" w:rsidRDefault="00601F1A" w:rsidP="00601F1A">
      <w:pPr>
        <w:pStyle w:val="Heading1"/>
        <w:pBdr>
          <w:bottom w:val="none" w:sz="0" w:space="0" w:color="auto"/>
        </w:pBdr>
        <w:rPr>
          <w:color w:val="auto"/>
        </w:rPr>
      </w:pPr>
      <w:bookmarkStart w:id="11" w:name="_Toc43396019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rsidR="00F2353B" w:rsidRPr="00F2353B" w:rsidRDefault="00F2353B" w:rsidP="00F2353B"/>
    <w:p w:rsidR="00100D0E" w:rsidRPr="00D20211" w:rsidRDefault="00F2353B" w:rsidP="00B72FE1">
      <w:pPr>
        <w:tabs>
          <w:tab w:val="left" w:pos="1545"/>
        </w:tabs>
        <w:ind w:left="360"/>
        <w:rPr>
          <w:sz w:val="24"/>
          <w:szCs w:val="24"/>
        </w:rPr>
      </w:pPr>
      <w:r w:rsidRPr="00F2353B">
        <w:rPr>
          <w:sz w:val="24"/>
          <w:szCs w:val="24"/>
        </w:rPr>
        <w:t>Although E</w:t>
      </w:r>
      <w:r w:rsidR="00F26AD2">
        <w:rPr>
          <w:sz w:val="24"/>
          <w:szCs w:val="24"/>
        </w:rPr>
        <w:t>Is</w:t>
      </w:r>
      <w:r w:rsidRPr="00F2353B">
        <w:rPr>
          <w:sz w:val="24"/>
          <w:szCs w:val="24"/>
        </w:rPr>
        <w:t xml:space="preserve"> usually do not involve </w:t>
      </w:r>
      <w:r w:rsidR="009A5BFB">
        <w:rPr>
          <w:sz w:val="24"/>
          <w:szCs w:val="24"/>
        </w:rPr>
        <w:t>any payments</w:t>
      </w:r>
      <w:r w:rsidRPr="00F2353B">
        <w:rPr>
          <w:sz w:val="24"/>
          <w:szCs w:val="24"/>
        </w:rPr>
        <w:t xml:space="preserve">, occasionally ATSDR may request approval for monetary tokens of appreciation. </w:t>
      </w:r>
      <w:r w:rsidR="009A5BFB">
        <w:rPr>
          <w:sz w:val="24"/>
          <w:szCs w:val="24"/>
        </w:rPr>
        <w:t>For all</w:t>
      </w:r>
      <w:r w:rsidRPr="00F2353B">
        <w:rPr>
          <w:sz w:val="24"/>
          <w:szCs w:val="24"/>
        </w:rPr>
        <w:t xml:space="preserve"> instances</w:t>
      </w:r>
      <w:r w:rsidR="009A5BFB">
        <w:rPr>
          <w:sz w:val="24"/>
          <w:szCs w:val="24"/>
        </w:rPr>
        <w:t xml:space="preserve"> in which </w:t>
      </w:r>
      <w:r w:rsidR="00844BB6">
        <w:rPr>
          <w:sz w:val="24"/>
          <w:szCs w:val="24"/>
        </w:rPr>
        <w:t>incentives are</w:t>
      </w:r>
      <w:r w:rsidR="009A5BFB">
        <w:rPr>
          <w:sz w:val="24"/>
          <w:szCs w:val="24"/>
        </w:rPr>
        <w:t xml:space="preserve"> provided for participation</w:t>
      </w:r>
      <w:r w:rsidRPr="00F2353B">
        <w:rPr>
          <w:sz w:val="24"/>
          <w:szCs w:val="24"/>
        </w:rPr>
        <w:t xml:space="preserve">, </w:t>
      </w:r>
      <w:r w:rsidR="009A5BFB">
        <w:rPr>
          <w:sz w:val="24"/>
          <w:szCs w:val="24"/>
        </w:rPr>
        <w:t xml:space="preserve">a comprehensive </w:t>
      </w:r>
      <w:r w:rsidRPr="00F2353B">
        <w:rPr>
          <w:sz w:val="24"/>
          <w:szCs w:val="24"/>
        </w:rPr>
        <w:t>justification will be provided for the amount requested</w:t>
      </w:r>
      <w:r w:rsidR="009A5BFB">
        <w:rPr>
          <w:sz w:val="24"/>
          <w:szCs w:val="24"/>
        </w:rPr>
        <w:t xml:space="preserve"> describing why a token of appreciation is necessary and evidence supporting the </w:t>
      </w:r>
      <w:r w:rsidR="00844BB6">
        <w:rPr>
          <w:sz w:val="24"/>
          <w:szCs w:val="24"/>
        </w:rPr>
        <w:t xml:space="preserve">dollar </w:t>
      </w:r>
      <w:r w:rsidR="009A5BFB">
        <w:rPr>
          <w:sz w:val="24"/>
          <w:szCs w:val="24"/>
        </w:rPr>
        <w:t>amount</w:t>
      </w:r>
      <w:r w:rsidRPr="00F2353B">
        <w:rPr>
          <w:sz w:val="24"/>
          <w:szCs w:val="24"/>
        </w:rPr>
        <w:t xml:space="preserve">. If respondents participate in these kinds of studies remotely, via phone, or Internet, any proposed </w:t>
      </w:r>
      <w:r w:rsidR="00844BB6">
        <w:rPr>
          <w:sz w:val="24"/>
          <w:szCs w:val="24"/>
        </w:rPr>
        <w:t>incentive</w:t>
      </w:r>
      <w:r w:rsidR="009A5BFB" w:rsidRPr="00F2353B">
        <w:rPr>
          <w:sz w:val="24"/>
          <w:szCs w:val="24"/>
        </w:rPr>
        <w:t xml:space="preserve"> </w:t>
      </w:r>
      <w:r w:rsidR="00844BB6">
        <w:rPr>
          <w:sz w:val="24"/>
          <w:szCs w:val="24"/>
        </w:rPr>
        <w:t>must</w:t>
      </w:r>
      <w:r w:rsidRPr="00F2353B">
        <w:rPr>
          <w:sz w:val="24"/>
          <w:szCs w:val="24"/>
        </w:rPr>
        <w:t xml:space="preserve"> be justified to OMB and must be considerably less than that provided to respondents in in-person studies, who have to travel to the agency or other facility to participate. If such information collections include hard-to-reach groups and the agency plans to offer non-standard </w:t>
      </w:r>
      <w:r w:rsidR="009A5BFB">
        <w:rPr>
          <w:sz w:val="24"/>
          <w:szCs w:val="24"/>
        </w:rPr>
        <w:t>payments</w:t>
      </w:r>
      <w:r w:rsidRPr="00F2353B">
        <w:rPr>
          <w:sz w:val="24"/>
          <w:szCs w:val="24"/>
        </w:rPr>
        <w:t>, the Agency will provide OMB with additional justifications in the request for clearance of these specific activities.</w:t>
      </w:r>
    </w:p>
    <w:p w:rsidR="00B45002" w:rsidRPr="00D20211" w:rsidRDefault="00601F1A" w:rsidP="00601F1A">
      <w:pPr>
        <w:pStyle w:val="Heading1"/>
        <w:pBdr>
          <w:bottom w:val="none" w:sz="0" w:space="0" w:color="auto"/>
        </w:pBdr>
        <w:rPr>
          <w:color w:val="auto"/>
        </w:rPr>
      </w:pPr>
      <w:bookmarkStart w:id="12" w:name="_Toc43396019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rsidR="00CF7455" w:rsidRPr="00D20211" w:rsidRDefault="00CF7455" w:rsidP="00CF7455">
      <w:pPr>
        <w:autoSpaceDE w:val="0"/>
        <w:autoSpaceDN w:val="0"/>
        <w:adjustRightInd w:val="0"/>
        <w:spacing w:line="240" w:lineRule="auto"/>
        <w:rPr>
          <w:rFonts w:cs="ITCFranklinGothicStd-Book"/>
          <w:sz w:val="24"/>
          <w:szCs w:val="24"/>
          <w:u w:val="single"/>
        </w:rPr>
      </w:pPr>
    </w:p>
    <w:p w:rsidR="00F36E99" w:rsidRPr="00DC4062" w:rsidRDefault="007A57FD" w:rsidP="003D385C">
      <w:pPr>
        <w:tabs>
          <w:tab w:val="left" w:pos="1545"/>
        </w:tabs>
        <w:ind w:left="360"/>
        <w:rPr>
          <w:rFonts w:cs="ITCFranklinGothicStd-Book"/>
          <w:sz w:val="24"/>
          <w:szCs w:val="24"/>
        </w:rPr>
      </w:pPr>
      <w:r w:rsidRPr="00DC4062">
        <w:rPr>
          <w:rFonts w:cs="ITCFranklinGothicStd-Book"/>
          <w:sz w:val="24"/>
          <w:szCs w:val="24"/>
        </w:rPr>
        <w:t>The NCEH/ATSDR Information Systems Security Officer (ISSO)</w:t>
      </w:r>
      <w:r w:rsidR="00ED3BED" w:rsidRPr="00DC4062">
        <w:rPr>
          <w:rFonts w:cs="ITCFranklinGothicStd-Book"/>
          <w:sz w:val="24"/>
          <w:szCs w:val="24"/>
        </w:rPr>
        <w:t xml:space="preserve"> has reviewed the information collection and has</w:t>
      </w:r>
      <w:r w:rsidR="00763C8E" w:rsidRPr="00DC4062">
        <w:rPr>
          <w:rFonts w:cs="ITCFranklinGothicStd-Book"/>
          <w:sz w:val="24"/>
          <w:szCs w:val="24"/>
        </w:rPr>
        <w:t xml:space="preserve"> </w:t>
      </w:r>
      <w:r w:rsidR="00F36E99" w:rsidRPr="00DC4062">
        <w:rPr>
          <w:rFonts w:cs="ITCFranklinGothicStd-Book"/>
          <w:sz w:val="24"/>
          <w:szCs w:val="24"/>
        </w:rPr>
        <w:t xml:space="preserve">determined that the Privacy Act does apply. </w:t>
      </w:r>
      <w:r w:rsidR="00563D35" w:rsidRPr="00DC4062">
        <w:rPr>
          <w:rFonts w:cs="ITCFranklinGothicStd-Book"/>
          <w:sz w:val="24"/>
          <w:szCs w:val="24"/>
        </w:rPr>
        <w:t xml:space="preserve">There are no </w:t>
      </w:r>
      <w:r w:rsidR="00763C8E" w:rsidRPr="00DC4062">
        <w:rPr>
          <w:rFonts w:cs="ITCFranklinGothicStd-Book"/>
          <w:sz w:val="24"/>
          <w:szCs w:val="24"/>
        </w:rPr>
        <w:t xml:space="preserve">proposed </w:t>
      </w:r>
      <w:r w:rsidR="00563D35" w:rsidRPr="00DC4062">
        <w:rPr>
          <w:rFonts w:cs="ITCFranklinGothicStd-Book"/>
          <w:sz w:val="24"/>
          <w:szCs w:val="24"/>
        </w:rPr>
        <w:t xml:space="preserve">changes to the system. </w:t>
      </w:r>
      <w:r w:rsidR="00F36E99" w:rsidRPr="00DC4062">
        <w:rPr>
          <w:rFonts w:cs="ITCFranklinGothicStd-Book"/>
          <w:sz w:val="24"/>
          <w:szCs w:val="24"/>
        </w:rPr>
        <w:t xml:space="preserve">The applicable Privacy Act System of Records Notice (SORN) is No. </w:t>
      </w:r>
      <w:r w:rsidR="00F36E99" w:rsidRPr="00DC4062">
        <w:rPr>
          <w:sz w:val="24"/>
          <w:szCs w:val="24"/>
        </w:rPr>
        <w:t>09-19-0001, “Records of Persons Exposed or Potentially Exposed to Hazardous or Toxic Substances (retrievable by name or SSN)</w:t>
      </w:r>
      <w:r w:rsidR="00F36E99" w:rsidRPr="00DC4062">
        <w:rPr>
          <w:rFonts w:cs="ITCFranklinGothicStd-Book"/>
          <w:sz w:val="24"/>
          <w:szCs w:val="24"/>
        </w:rPr>
        <w:t>.</w:t>
      </w:r>
    </w:p>
    <w:p w:rsidR="002928DF" w:rsidRPr="00A73A59" w:rsidRDefault="002928DF" w:rsidP="00A73A59">
      <w:pPr>
        <w:autoSpaceDE w:val="0"/>
        <w:autoSpaceDN w:val="0"/>
        <w:adjustRightInd w:val="0"/>
        <w:spacing w:line="240" w:lineRule="auto"/>
        <w:ind w:left="360"/>
        <w:rPr>
          <w:rFonts w:cs="ITCFranklinGothicStd-Book"/>
          <w:sz w:val="24"/>
          <w:szCs w:val="24"/>
        </w:rPr>
        <w:sectPr w:rsidR="002928DF" w:rsidRPr="00A73A59" w:rsidSect="002928DF">
          <w:type w:val="continuous"/>
          <w:pgSz w:w="12240" w:h="15840" w:code="1"/>
          <w:pgMar w:top="1440" w:right="1440" w:bottom="1440" w:left="1440" w:header="720" w:footer="720" w:gutter="0"/>
          <w:cols w:space="720"/>
          <w:docGrid w:linePitch="360"/>
        </w:sectPr>
      </w:pPr>
      <w:r w:rsidRPr="00A73A59">
        <w:rPr>
          <w:rFonts w:cs="ITCFranklinGothicStd-Book"/>
          <w:sz w:val="24"/>
          <w:szCs w:val="24"/>
        </w:rPr>
        <w:t>The following IIF Categories apply</w:t>
      </w:r>
      <w:r w:rsidR="00EC5E2E" w:rsidRPr="00A73A59">
        <w:rPr>
          <w:rFonts w:cs="ITCFranklinGothicStd-Book"/>
          <w:sz w:val="24"/>
          <w:szCs w:val="24"/>
        </w:rPr>
        <w:t xml:space="preserve"> to this information collection</w:t>
      </w:r>
      <w:r w:rsidR="00D72EA8" w:rsidRPr="00A73A59">
        <w:rPr>
          <w:rFonts w:cs="ITCFranklinGothicStd-Book"/>
          <w:sz w:val="24"/>
          <w:szCs w:val="24"/>
        </w:rPr>
        <w:t xml:space="preserve"> (</w:t>
      </w:r>
      <w:r w:rsidR="00A73A59" w:rsidRPr="003717C7">
        <w:rPr>
          <w:rFonts w:cs="ITCFranklinGothicStd-Book"/>
          <w:b/>
          <w:sz w:val="24"/>
          <w:szCs w:val="24"/>
        </w:rPr>
        <w:t xml:space="preserve">Attachment </w:t>
      </w:r>
      <w:r w:rsidR="00836499" w:rsidRPr="003717C7">
        <w:rPr>
          <w:rFonts w:cs="ITCFranklinGothicStd-Book"/>
          <w:b/>
          <w:sz w:val="24"/>
          <w:szCs w:val="24"/>
        </w:rPr>
        <w:t>4</w:t>
      </w:r>
      <w:r w:rsidR="00D72EA8" w:rsidRPr="00A73A59">
        <w:rPr>
          <w:rFonts w:cs="ITCFranklinGothicStd-Book"/>
          <w:sz w:val="24"/>
          <w:szCs w:val="24"/>
        </w:rPr>
        <w:t>)</w:t>
      </w:r>
      <w:r w:rsidR="00E95E60" w:rsidRPr="00A73A59">
        <w:rPr>
          <w:rFonts w:cs="ITCFranklinGothicStd-Book"/>
          <w:sz w:val="24"/>
          <w:szCs w:val="24"/>
        </w:rPr>
        <w:t>:</w:t>
      </w:r>
    </w:p>
    <w:p w:rsidR="002928DF" w:rsidRPr="00D20211" w:rsidRDefault="002928DF" w:rsidP="002928DF">
      <w:pPr>
        <w:pStyle w:val="CommentText"/>
        <w:spacing w:after="0"/>
        <w:ind w:left="1512"/>
      </w:pPr>
      <w:r w:rsidRPr="00D20211">
        <w:rPr>
          <w:rFonts w:ascii="Segoe UI Symbol" w:hAnsi="Segoe UI Symbol" w:cs="Segoe UI Symbol"/>
        </w:rPr>
        <w:t>❑</w:t>
      </w:r>
      <w:r w:rsidRPr="00D20211">
        <w:t xml:space="preserve"> Name</w:t>
      </w:r>
    </w:p>
    <w:p w:rsidR="002928DF" w:rsidRPr="00D20211" w:rsidRDefault="002928DF" w:rsidP="002928DF">
      <w:pPr>
        <w:pStyle w:val="CommentText"/>
        <w:spacing w:after="0"/>
        <w:ind w:left="1512"/>
      </w:pPr>
      <w:r w:rsidRPr="00D20211">
        <w:rPr>
          <w:rFonts w:ascii="Segoe UI Symbol" w:hAnsi="Segoe UI Symbol" w:cs="Segoe UI Symbol"/>
        </w:rPr>
        <w:t>❑</w:t>
      </w:r>
      <w:r w:rsidRPr="00D20211">
        <w:t xml:space="preserve"> Date of Birth</w:t>
      </w:r>
    </w:p>
    <w:p w:rsidR="002928DF" w:rsidRPr="00D20211" w:rsidRDefault="002928DF" w:rsidP="002928DF">
      <w:pPr>
        <w:pStyle w:val="CommentText"/>
        <w:spacing w:after="0"/>
        <w:ind w:left="1512"/>
      </w:pPr>
      <w:r w:rsidRPr="00D20211">
        <w:rPr>
          <w:rFonts w:ascii="Segoe UI Symbol" w:hAnsi="Segoe UI Symbol" w:cs="Segoe UI Symbol"/>
        </w:rPr>
        <w:t>❑</w:t>
      </w:r>
      <w:r w:rsidRPr="00D20211">
        <w:t xml:space="preserve"> Mailing Address</w:t>
      </w:r>
    </w:p>
    <w:p w:rsidR="00A73A59" w:rsidRPr="00D20211" w:rsidRDefault="002928DF" w:rsidP="00A73A59">
      <w:pPr>
        <w:pStyle w:val="CommentText"/>
        <w:spacing w:after="0"/>
      </w:pPr>
      <w:r w:rsidRPr="00D20211">
        <w:rPr>
          <w:rFonts w:ascii="Segoe UI Symbol" w:hAnsi="Segoe UI Symbol" w:cs="Segoe UI Symbol"/>
        </w:rPr>
        <w:br w:type="column"/>
      </w:r>
      <w:r w:rsidR="00A73A59" w:rsidRPr="00D20211">
        <w:rPr>
          <w:rFonts w:ascii="Segoe UI Symbol" w:hAnsi="Segoe UI Symbol" w:cs="Segoe UI Symbol"/>
        </w:rPr>
        <w:t>❑</w:t>
      </w:r>
      <w:r w:rsidR="00A73A59">
        <w:t xml:space="preserve"> Phone Numbers</w:t>
      </w:r>
    </w:p>
    <w:p w:rsidR="002928DF" w:rsidRPr="00D20211" w:rsidRDefault="002928DF" w:rsidP="002928DF">
      <w:pPr>
        <w:pStyle w:val="CommentText"/>
        <w:spacing w:after="0"/>
      </w:pPr>
      <w:r w:rsidRPr="00D20211">
        <w:rPr>
          <w:rFonts w:ascii="Segoe UI Symbol" w:hAnsi="Segoe UI Symbol" w:cs="Segoe UI Symbol"/>
        </w:rPr>
        <w:t>❑</w:t>
      </w:r>
      <w:r w:rsidRPr="00D20211">
        <w:t xml:space="preserve"> Biological Specimens</w:t>
      </w:r>
    </w:p>
    <w:p w:rsidR="002928DF" w:rsidRPr="00D20211" w:rsidRDefault="002928DF" w:rsidP="00B72FE1">
      <w:pPr>
        <w:pStyle w:val="CommentText"/>
        <w:spacing w:after="0"/>
        <w:sectPr w:rsidR="002928DF" w:rsidRPr="00D20211" w:rsidSect="00F91C38">
          <w:type w:val="continuous"/>
          <w:pgSz w:w="12240" w:h="15840" w:code="1"/>
          <w:pgMar w:top="1440" w:right="1440" w:bottom="1440" w:left="1440" w:header="720" w:footer="720" w:gutter="0"/>
          <w:cols w:num="2" w:space="720"/>
          <w:docGrid w:linePitch="360"/>
        </w:sectPr>
      </w:pPr>
      <w:r w:rsidRPr="00D20211">
        <w:rPr>
          <w:rFonts w:ascii="Segoe UI Symbol" w:hAnsi="Segoe UI Symbol" w:cs="Segoe UI Symbol"/>
        </w:rPr>
        <w:t>❑</w:t>
      </w:r>
      <w:r w:rsidRPr="00D20211">
        <w:t xml:space="preserve"> Email Addres</w:t>
      </w:r>
      <w:r w:rsidR="0031787C">
        <w:t>s</w:t>
      </w:r>
    </w:p>
    <w:p w:rsidR="00C04509" w:rsidRDefault="00C04509" w:rsidP="00DA6BBB">
      <w:pPr>
        <w:ind w:left="360"/>
        <w:rPr>
          <w:sz w:val="24"/>
          <w:szCs w:val="24"/>
        </w:rPr>
      </w:pPr>
      <w:r>
        <w:rPr>
          <w:sz w:val="24"/>
          <w:szCs w:val="24"/>
        </w:rPr>
        <w:t>A Privacy Impact Assessment (PIA) form provides information that will be collected from respondents and how it will be secured (</w:t>
      </w:r>
      <w:r w:rsidRPr="00432FC8">
        <w:rPr>
          <w:b/>
          <w:sz w:val="24"/>
          <w:szCs w:val="24"/>
        </w:rPr>
        <w:t>Attachment 6</w:t>
      </w:r>
      <w:r>
        <w:rPr>
          <w:sz w:val="24"/>
          <w:szCs w:val="24"/>
        </w:rPr>
        <w:t>). A Privacy Act Statement is included in the consent package (</w:t>
      </w:r>
      <w:r w:rsidRPr="00432FC8">
        <w:rPr>
          <w:b/>
          <w:sz w:val="24"/>
          <w:szCs w:val="24"/>
        </w:rPr>
        <w:t>Attachment 5</w:t>
      </w:r>
      <w:r>
        <w:rPr>
          <w:sz w:val="24"/>
          <w:szCs w:val="24"/>
        </w:rPr>
        <w:t>).</w:t>
      </w:r>
    </w:p>
    <w:p w:rsidR="00044260" w:rsidRPr="00DA6BBB" w:rsidRDefault="00DA6BBB" w:rsidP="00DA6BBB">
      <w:pPr>
        <w:ind w:left="360"/>
        <w:rPr>
          <w:sz w:val="24"/>
          <w:szCs w:val="24"/>
        </w:rPr>
      </w:pPr>
      <w:r w:rsidRPr="00DA6BBB">
        <w:rPr>
          <w:sz w:val="24"/>
          <w:szCs w:val="24"/>
        </w:rPr>
        <w:t xml:space="preserve">ATSDR only collects information that will help us interpret the laboratory data and recognize likely exposure scenarios. Once we conduct a convenience sampling EI, we match the unique answers given by participants with their laboratory results or environmental samples to determine whether intervention is needed on an individual level. The information collection is therefore </w:t>
      </w:r>
      <w:r w:rsidRPr="00DA6BBB">
        <w:rPr>
          <w:i/>
          <w:sz w:val="24"/>
          <w:szCs w:val="24"/>
        </w:rPr>
        <w:t xml:space="preserve">inherently person- or location-specific. </w:t>
      </w:r>
      <w:r w:rsidRPr="00DA6BBB">
        <w:rPr>
          <w:bCs/>
          <w:iCs/>
          <w:sz w:val="24"/>
          <w:szCs w:val="24"/>
        </w:rPr>
        <w:t xml:space="preserve">Participation is completely voluntary; participants can stop participating in the EI at any time.  </w:t>
      </w:r>
    </w:p>
    <w:p w:rsidR="00DA6BBB" w:rsidRPr="00DA6BBB" w:rsidRDefault="00DA6BBB" w:rsidP="00B72FE1">
      <w:pPr>
        <w:ind w:left="360"/>
        <w:rPr>
          <w:sz w:val="24"/>
          <w:szCs w:val="24"/>
        </w:rPr>
      </w:pPr>
      <w:r w:rsidRPr="00DA6BBB">
        <w:rPr>
          <w:sz w:val="24"/>
          <w:szCs w:val="24"/>
        </w:rPr>
        <w:t xml:space="preserve">ATSDR uses the </w:t>
      </w:r>
      <w:r w:rsidR="00044260">
        <w:rPr>
          <w:sz w:val="24"/>
          <w:szCs w:val="24"/>
        </w:rPr>
        <w:t>IIF</w:t>
      </w:r>
      <w:r w:rsidRPr="00DA6BBB">
        <w:rPr>
          <w:sz w:val="24"/>
          <w:szCs w:val="24"/>
        </w:rPr>
        <w:t xml:space="preserve"> only to contact respondents. I</w:t>
      </w:r>
      <w:r w:rsidR="00044260">
        <w:rPr>
          <w:sz w:val="24"/>
          <w:szCs w:val="24"/>
        </w:rPr>
        <w:t>IF</w:t>
      </w:r>
      <w:r w:rsidRPr="00DA6BBB">
        <w:rPr>
          <w:sz w:val="24"/>
          <w:szCs w:val="24"/>
        </w:rPr>
        <w:t xml:space="preserve"> is necessary to facilitate the personal contact with respondents to conduct the survey, to obtain consent to participate, and to provide them their results. All </w:t>
      </w:r>
      <w:r w:rsidR="00044260">
        <w:rPr>
          <w:sz w:val="24"/>
          <w:szCs w:val="24"/>
        </w:rPr>
        <w:t>IIF</w:t>
      </w:r>
      <w:r w:rsidRPr="00DA6BBB">
        <w:rPr>
          <w:sz w:val="24"/>
          <w:szCs w:val="24"/>
        </w:rPr>
        <w:t xml:space="preserve"> maintained by the agency will be managed by ATSDR and is subject to the ATSDR Comprehensive Record Control Schedule (CRCS), B-371, which contains authorized disposition instructions for ATSDR's administrative and program records. </w:t>
      </w:r>
    </w:p>
    <w:p w:rsidR="00DA6BBB" w:rsidRPr="00DA6BBB" w:rsidRDefault="00DA6BBB" w:rsidP="00DA6BBB">
      <w:pPr>
        <w:tabs>
          <w:tab w:val="left" w:pos="1545"/>
        </w:tabs>
        <w:ind w:left="360"/>
        <w:rPr>
          <w:sz w:val="24"/>
          <w:szCs w:val="24"/>
        </w:rPr>
      </w:pPr>
      <w:r w:rsidRPr="00DA6BBB">
        <w:rPr>
          <w:sz w:val="24"/>
          <w:szCs w:val="24"/>
        </w:rPr>
        <w:t>For EIs completed by states, Sunshine Laws may apply. Sunshine Laws require openness in government, which may result in personal identification being accessible by the general public.  For those states with Sunshine Laws, the consent form will include a statement indicating that these laws may apply.</w:t>
      </w:r>
    </w:p>
    <w:p w:rsidR="00DA6BBB" w:rsidRDefault="00DA6BBB" w:rsidP="00DA6BBB">
      <w:pPr>
        <w:autoSpaceDE w:val="0"/>
        <w:autoSpaceDN w:val="0"/>
        <w:adjustRightInd w:val="0"/>
        <w:ind w:left="360"/>
        <w:rPr>
          <w:sz w:val="24"/>
          <w:szCs w:val="24"/>
        </w:rPr>
      </w:pPr>
      <w:r w:rsidRPr="00DA6BBB">
        <w:rPr>
          <w:sz w:val="24"/>
          <w:szCs w:val="24"/>
        </w:rPr>
        <w:t xml:space="preserve">Data are treated in a private manner, unless otherwise compelled by law. The paper document containing </w:t>
      </w:r>
      <w:r w:rsidR="00561D9D">
        <w:rPr>
          <w:sz w:val="24"/>
          <w:szCs w:val="24"/>
        </w:rPr>
        <w:t>IIF</w:t>
      </w:r>
      <w:r w:rsidRPr="00DA6BBB">
        <w:rPr>
          <w:sz w:val="24"/>
          <w:szCs w:val="24"/>
        </w:rPr>
        <w:t xml:space="preserve"> are kept in locked file cabinets at ATSDR. Access to computer files is password-protected and access is limited to authorized EI personnel. All staff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rsidR="00B45002" w:rsidRPr="00D20211" w:rsidRDefault="00601F1A" w:rsidP="00601F1A">
      <w:pPr>
        <w:pStyle w:val="Heading1"/>
        <w:pBdr>
          <w:bottom w:val="none" w:sz="0" w:space="0" w:color="auto"/>
        </w:pBdr>
        <w:rPr>
          <w:color w:val="auto"/>
        </w:rPr>
      </w:pPr>
      <w:bookmarkStart w:id="13" w:name="_Toc433960198"/>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rsidR="00B53975" w:rsidRPr="001F69B8" w:rsidRDefault="00B53975" w:rsidP="00B855BC">
      <w:pPr>
        <w:spacing w:line="240" w:lineRule="auto"/>
        <w:rPr>
          <w:sz w:val="24"/>
          <w:szCs w:val="24"/>
        </w:rPr>
      </w:pPr>
    </w:p>
    <w:p w:rsidR="001F69B8" w:rsidRPr="001F69B8" w:rsidRDefault="001F69B8" w:rsidP="001F69B8">
      <w:pPr>
        <w:tabs>
          <w:tab w:val="left" w:pos="1545"/>
        </w:tabs>
        <w:rPr>
          <w:sz w:val="24"/>
          <w:szCs w:val="24"/>
        </w:rPr>
      </w:pPr>
      <w:r w:rsidRPr="001F69B8">
        <w:rPr>
          <w:sz w:val="24"/>
          <w:szCs w:val="24"/>
        </w:rPr>
        <w:t>Federal Regulations for Protection of Human Subjects (45 CFR 46) state that “</w:t>
      </w:r>
      <w:r w:rsidRPr="00DA1B46">
        <w:rPr>
          <w:i/>
          <w:sz w:val="24"/>
          <w:szCs w:val="24"/>
        </w:rPr>
        <w:t>research means a systematic investigation, including research development, testing, and evaluation, designed to develop or contribute to generalizable knowledge.</w:t>
      </w:r>
      <w:r w:rsidRPr="001F69B8">
        <w:rPr>
          <w:sz w:val="24"/>
          <w:szCs w:val="24"/>
        </w:rPr>
        <w:t>” In contrast, EIs are generally intended to be systematic investigations but are not designed to develop or contribute to generalizable knowledge. An EI is considered a service, and not a health study. No comparison populations are used and the results of the investigation are site-specific and applicable only to the participants of the investigation.</w:t>
      </w:r>
    </w:p>
    <w:p w:rsidR="001F69B8" w:rsidRPr="001F69B8" w:rsidRDefault="001F69B8" w:rsidP="00B72FE1">
      <w:pPr>
        <w:tabs>
          <w:tab w:val="left" w:pos="1545"/>
        </w:tabs>
        <w:rPr>
          <w:sz w:val="24"/>
          <w:szCs w:val="24"/>
        </w:rPr>
      </w:pPr>
      <w:r w:rsidRPr="001F69B8">
        <w:rPr>
          <w:sz w:val="24"/>
          <w:szCs w:val="24"/>
        </w:rPr>
        <w:t>However, ATSDR does require that participants in EIs be fully informed of the potential risks and benefits of their participation and that the privacy of the participants’ information be protected. All consent forms will be EI-specific, and will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Pr="001F69B8">
        <w:rPr>
          <w:rStyle w:val="FootnoteReference"/>
          <w:rFonts w:asciiTheme="minorHAnsi" w:hAnsiTheme="minorHAnsi"/>
          <w:sz w:val="24"/>
          <w:szCs w:val="24"/>
        </w:rPr>
        <w:footnoteReference w:id="3"/>
      </w:r>
      <w:r w:rsidR="00F93CE5">
        <w:rPr>
          <w:sz w:val="24"/>
          <w:szCs w:val="24"/>
        </w:rPr>
        <w:t xml:space="preserve"> Examples of assent/consent/parental permission forms that may be used to conduct an EI and included in an OMB package are provided in </w:t>
      </w:r>
      <w:r w:rsidR="00F93CE5" w:rsidRPr="003717C7">
        <w:rPr>
          <w:b/>
          <w:sz w:val="24"/>
          <w:szCs w:val="24"/>
        </w:rPr>
        <w:t>Attachment 5</w:t>
      </w:r>
      <w:r w:rsidR="00F93CE5">
        <w:rPr>
          <w:sz w:val="24"/>
          <w:szCs w:val="24"/>
        </w:rPr>
        <w:t>.</w:t>
      </w:r>
      <w:r w:rsidR="00FA159B">
        <w:rPr>
          <w:sz w:val="24"/>
          <w:szCs w:val="24"/>
        </w:rPr>
        <w:t xml:space="preserve">  All consent forms accompanying a particular EI will be submitted as supplementary documentation in the generic submission.</w:t>
      </w:r>
    </w:p>
    <w:p w:rsidR="001F69B8" w:rsidRPr="001F69B8" w:rsidRDefault="001F69B8" w:rsidP="001F69B8">
      <w:pPr>
        <w:tabs>
          <w:tab w:val="left" w:pos="1545"/>
        </w:tabs>
        <w:rPr>
          <w:sz w:val="24"/>
          <w:szCs w:val="24"/>
        </w:rPr>
      </w:pPr>
      <w:r w:rsidRPr="001F69B8">
        <w:rPr>
          <w:sz w:val="24"/>
          <w:szCs w:val="24"/>
        </w:rPr>
        <w:t>Through convenience sampling, EIs are generally a non</w:t>
      </w:r>
      <w:r w:rsidR="001A6CC9">
        <w:rPr>
          <w:sz w:val="24"/>
          <w:szCs w:val="24"/>
        </w:rPr>
        <w:t>-</w:t>
      </w:r>
      <w:r w:rsidRPr="001F69B8">
        <w:rPr>
          <w:sz w:val="24"/>
          <w:szCs w:val="24"/>
        </w:rPr>
        <w:t>research activity and human subjects review by an Institutional Review Board (IRB) will not be required.</w:t>
      </w:r>
      <w:r w:rsidR="00F93CE5">
        <w:rPr>
          <w:sz w:val="24"/>
          <w:szCs w:val="24"/>
        </w:rPr>
        <w:t xml:space="preserve"> A</w:t>
      </w:r>
      <w:r w:rsidR="00F067F5">
        <w:rPr>
          <w:sz w:val="24"/>
          <w:szCs w:val="24"/>
        </w:rPr>
        <w:t xml:space="preserve"> program </w:t>
      </w:r>
      <w:r w:rsidR="009459EE">
        <w:rPr>
          <w:sz w:val="24"/>
          <w:szCs w:val="24"/>
        </w:rPr>
        <w:t>research determination</w:t>
      </w:r>
      <w:r w:rsidR="00F93CE5">
        <w:rPr>
          <w:sz w:val="24"/>
          <w:szCs w:val="24"/>
        </w:rPr>
        <w:t xml:space="preserve"> is provided in </w:t>
      </w:r>
      <w:r w:rsidR="00F93CE5" w:rsidRPr="003717C7">
        <w:rPr>
          <w:b/>
          <w:sz w:val="24"/>
          <w:szCs w:val="24"/>
        </w:rPr>
        <w:t xml:space="preserve">Attachment </w:t>
      </w:r>
      <w:r w:rsidR="00DE72A9">
        <w:rPr>
          <w:b/>
          <w:sz w:val="24"/>
          <w:szCs w:val="24"/>
        </w:rPr>
        <w:t>7.</w:t>
      </w:r>
      <w:r w:rsidR="00F93CE5">
        <w:rPr>
          <w:sz w:val="24"/>
          <w:szCs w:val="24"/>
        </w:rPr>
        <w:t xml:space="preserve"> </w:t>
      </w:r>
      <w:r w:rsidRPr="001F69B8">
        <w:rPr>
          <w:sz w:val="24"/>
          <w:szCs w:val="24"/>
        </w:rPr>
        <w:t xml:space="preserve">On occasion as indicated in the </w:t>
      </w:r>
      <w:r w:rsidRPr="001F69B8">
        <w:rPr>
          <w:i/>
          <w:sz w:val="24"/>
          <w:szCs w:val="24"/>
        </w:rPr>
        <w:t>Public Health Assessment Guidance Manual</w:t>
      </w:r>
      <w:r w:rsidRPr="001F69B8">
        <w:rPr>
          <w:sz w:val="24"/>
          <w:szCs w:val="24"/>
        </w:rPr>
        <w:t xml:space="preserve"> (ATSDR, 2005),</w:t>
      </w:r>
      <w:r w:rsidRPr="001F69B8">
        <w:rPr>
          <w:rStyle w:val="FootnoteReference"/>
          <w:rFonts w:asciiTheme="minorHAnsi" w:hAnsiTheme="minorHAnsi"/>
          <w:sz w:val="24"/>
          <w:szCs w:val="24"/>
        </w:rPr>
        <w:footnoteReference w:id="4"/>
      </w:r>
      <w:r w:rsidRPr="001F69B8">
        <w:rPr>
          <w:sz w:val="24"/>
          <w:szCs w:val="24"/>
        </w:rPr>
        <w:t xml:space="preserve"> state or CDC IRB review will be obtained if the purpose or methods of the EI is expanded to provide more than basic service (e.g., </w:t>
      </w:r>
      <w:r w:rsidR="00F067F5">
        <w:rPr>
          <w:sz w:val="24"/>
          <w:szCs w:val="24"/>
        </w:rPr>
        <w:t xml:space="preserve">secondary use of </w:t>
      </w:r>
      <w:r w:rsidR="00EC073D">
        <w:rPr>
          <w:sz w:val="24"/>
          <w:szCs w:val="24"/>
        </w:rPr>
        <w:t xml:space="preserve">identifiable </w:t>
      </w:r>
      <w:r w:rsidR="00F067F5">
        <w:rPr>
          <w:sz w:val="24"/>
          <w:szCs w:val="24"/>
        </w:rPr>
        <w:t>EI data to answer</w:t>
      </w:r>
      <w:r w:rsidRPr="001F69B8">
        <w:rPr>
          <w:sz w:val="24"/>
          <w:szCs w:val="24"/>
        </w:rPr>
        <w:t xml:space="preserve"> a research question, if vulnerable populations will be involved, or if circumstances would be considered greater than minimal risk in a research setting). </w:t>
      </w:r>
    </w:p>
    <w:p w:rsidR="001F69B8" w:rsidRPr="001F69B8" w:rsidRDefault="001F69B8" w:rsidP="001F69B8">
      <w:pPr>
        <w:tabs>
          <w:tab w:val="left" w:pos="1545"/>
        </w:tabs>
        <w:rPr>
          <w:sz w:val="24"/>
          <w:szCs w:val="24"/>
        </w:rPr>
      </w:pPr>
      <w:r w:rsidRPr="001F69B8">
        <w:rPr>
          <w:sz w:val="24"/>
          <w:szCs w:val="24"/>
        </w:rPr>
        <w:t>All ATSDR EIs are reviewed by the NCEH/ATSDR Human Subjects Coordinator who is designated to make human subjects research-or-non-research determinations on a</w:t>
      </w:r>
      <w:r w:rsidR="007B505D">
        <w:rPr>
          <w:sz w:val="24"/>
          <w:szCs w:val="24"/>
        </w:rPr>
        <w:t>n E</w:t>
      </w:r>
      <w:r w:rsidR="00EC073D">
        <w:rPr>
          <w:sz w:val="24"/>
          <w:szCs w:val="24"/>
        </w:rPr>
        <w:t>I</w:t>
      </w:r>
      <w:r w:rsidRPr="001F69B8">
        <w:rPr>
          <w:sz w:val="24"/>
          <w:szCs w:val="24"/>
        </w:rPr>
        <w:t>-by-</w:t>
      </w:r>
      <w:r w:rsidR="007B505D">
        <w:rPr>
          <w:sz w:val="24"/>
          <w:szCs w:val="24"/>
        </w:rPr>
        <w:t>EI</w:t>
      </w:r>
      <w:r w:rsidRPr="001F69B8">
        <w:rPr>
          <w:sz w:val="24"/>
          <w:szCs w:val="24"/>
        </w:rPr>
        <w:t xml:space="preserve"> basis. </w:t>
      </w:r>
    </w:p>
    <w:p w:rsidR="001F69B8" w:rsidRPr="001F69B8" w:rsidRDefault="001F69B8" w:rsidP="001F69B8">
      <w:pPr>
        <w:autoSpaceDE w:val="0"/>
        <w:autoSpaceDN w:val="0"/>
        <w:adjustRightInd w:val="0"/>
        <w:rPr>
          <w:sz w:val="24"/>
          <w:szCs w:val="24"/>
        </w:rPr>
      </w:pPr>
      <w:r w:rsidRPr="001F69B8">
        <w:rPr>
          <w:color w:val="000000"/>
          <w:sz w:val="24"/>
          <w:szCs w:val="24"/>
        </w:rPr>
        <w:t xml:space="preserve">ATSDR sometimes gathers information that may be considered sensitive about individual characteristics (e.g., gender, age, weight, ethnicity, and race) to assist with interpretation for biological samples. For example, if ethnicity and race information is collected, the individual’s laboratory results are compared to similar ethnicity and race results in the </w:t>
      </w:r>
      <w:r w:rsidRPr="001F69B8">
        <w:rPr>
          <w:i/>
          <w:iCs/>
          <w:color w:val="000000"/>
          <w:sz w:val="24"/>
          <w:szCs w:val="24"/>
        </w:rPr>
        <w:t xml:space="preserve">National Report on Human Exposure to Environmental Chemicals </w:t>
      </w:r>
      <w:r w:rsidRPr="001F69B8">
        <w:rPr>
          <w:iCs/>
          <w:color w:val="000000"/>
          <w:sz w:val="24"/>
          <w:szCs w:val="24"/>
        </w:rPr>
        <w:t>(see citation above)</w:t>
      </w:r>
      <w:r w:rsidRPr="001F69B8">
        <w:rPr>
          <w:color w:val="000000"/>
          <w:sz w:val="24"/>
          <w:szCs w:val="24"/>
        </w:rPr>
        <w:t xml:space="preserve">. </w:t>
      </w:r>
      <w:r w:rsidRPr="001F69B8">
        <w:rPr>
          <w:bCs/>
          <w:iCs/>
          <w:sz w:val="24"/>
          <w:szCs w:val="24"/>
        </w:rPr>
        <w:t>Beyond that, g</w:t>
      </w:r>
      <w:r w:rsidRPr="001F69B8">
        <w:rPr>
          <w:sz w:val="24"/>
          <w:szCs w:val="24"/>
        </w:rPr>
        <w:t xml:space="preserve">enerally, questions of a sensitive nature are not asked. </w:t>
      </w:r>
    </w:p>
    <w:p w:rsidR="001F69B8" w:rsidRPr="00F93CE5" w:rsidRDefault="001F69B8" w:rsidP="00B72FE1">
      <w:pPr>
        <w:autoSpaceDE w:val="0"/>
        <w:autoSpaceDN w:val="0"/>
        <w:adjustRightInd w:val="0"/>
        <w:rPr>
          <w:sz w:val="24"/>
          <w:szCs w:val="24"/>
        </w:rPr>
      </w:pPr>
      <w:r w:rsidRPr="001F69B8">
        <w:rPr>
          <w:sz w:val="24"/>
          <w:szCs w:val="24"/>
        </w:rPr>
        <w:t xml:space="preserve">Occasionally, we may need to ask sensitive questions on symptoms, medical outcomes, or drug and medication use to assist us in interpreting an individual’s laboratory results. ATSDR may also ask questions pertaining to recent or current pregnancy status for one of two reasons: 1) pregnancy makes a woman and her unborn child more vulnerable to the effects of some chemicals (e.g., lead) or 2) some blood tests require a large quantity of blood. For example it is generally difficult to collect a 70-ml blood sample for dioxins from a small child, pregnant woman, or an anemic or underweight person. </w:t>
      </w:r>
    </w:p>
    <w:p w:rsidR="001F69B8" w:rsidRPr="00F93CE5" w:rsidRDefault="001F69B8" w:rsidP="001F69B8">
      <w:pPr>
        <w:tabs>
          <w:tab w:val="left" w:pos="1545"/>
        </w:tabs>
        <w:rPr>
          <w:sz w:val="24"/>
          <w:szCs w:val="24"/>
        </w:rPr>
      </w:pPr>
      <w:r w:rsidRPr="00F93CE5">
        <w:rPr>
          <w:sz w:val="24"/>
          <w:szCs w:val="24"/>
        </w:rPr>
        <w:t>Social security numbers are not needed nor will be requested.</w:t>
      </w:r>
    </w:p>
    <w:p w:rsidR="00B45002" w:rsidRPr="00D20211" w:rsidRDefault="00601F1A" w:rsidP="00601F1A">
      <w:pPr>
        <w:pStyle w:val="Heading1"/>
        <w:pBdr>
          <w:bottom w:val="none" w:sz="0" w:space="0" w:color="auto"/>
        </w:pBdr>
        <w:rPr>
          <w:color w:val="auto"/>
        </w:rPr>
      </w:pPr>
      <w:bookmarkStart w:id="14" w:name="_Toc433960199"/>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rsidR="00ED72E9" w:rsidRPr="00D20211" w:rsidRDefault="00ED72E9" w:rsidP="00ED72E9">
      <w:pPr>
        <w:spacing w:line="240" w:lineRule="auto"/>
        <w:rPr>
          <w:sz w:val="24"/>
          <w:szCs w:val="24"/>
        </w:rPr>
      </w:pPr>
    </w:p>
    <w:p w:rsidR="00FA159B" w:rsidRDefault="0057192D" w:rsidP="005D0DDF">
      <w:pPr>
        <w:rPr>
          <w:bCs/>
          <w:sz w:val="24"/>
          <w:szCs w:val="24"/>
        </w:rPr>
      </w:pPr>
      <w:r w:rsidRPr="0057192D">
        <w:rPr>
          <w:sz w:val="24"/>
          <w:szCs w:val="24"/>
        </w:rPr>
        <w:t>A. Estimates of Annualized Burden Hours</w:t>
      </w:r>
    </w:p>
    <w:p w:rsidR="00FA159B" w:rsidRDefault="00FA159B" w:rsidP="0057192D">
      <w:pPr>
        <w:tabs>
          <w:tab w:val="center" w:pos="4680"/>
          <w:tab w:val="left" w:pos="7710"/>
        </w:tabs>
        <w:rPr>
          <w:bCs/>
          <w:sz w:val="24"/>
          <w:szCs w:val="24"/>
        </w:rPr>
      </w:pPr>
      <w:r>
        <w:rPr>
          <w:bCs/>
          <w:sz w:val="24"/>
          <w:szCs w:val="24"/>
        </w:rPr>
        <w:t>During the prior clearance period (</w:t>
      </w:r>
      <w:r w:rsidR="009B2D11">
        <w:rPr>
          <w:bCs/>
          <w:sz w:val="24"/>
          <w:szCs w:val="24"/>
        </w:rPr>
        <w:t>3</w:t>
      </w:r>
      <w:r>
        <w:rPr>
          <w:bCs/>
          <w:sz w:val="24"/>
          <w:szCs w:val="24"/>
        </w:rPr>
        <w:t>/3</w:t>
      </w:r>
      <w:r w:rsidR="009B2D11">
        <w:rPr>
          <w:bCs/>
          <w:sz w:val="24"/>
          <w:szCs w:val="24"/>
        </w:rPr>
        <w:t>1</w:t>
      </w:r>
      <w:r>
        <w:rPr>
          <w:bCs/>
          <w:sz w:val="24"/>
          <w:szCs w:val="24"/>
        </w:rPr>
        <w:t>/201</w:t>
      </w:r>
      <w:r w:rsidR="009B2D11">
        <w:rPr>
          <w:bCs/>
          <w:sz w:val="24"/>
          <w:szCs w:val="24"/>
        </w:rPr>
        <w:t>6</w:t>
      </w:r>
      <w:r>
        <w:rPr>
          <w:bCs/>
          <w:sz w:val="24"/>
          <w:szCs w:val="24"/>
        </w:rPr>
        <w:t xml:space="preserve">-submission date of this current extension request), </w:t>
      </w:r>
      <w:r w:rsidR="004B13A5">
        <w:rPr>
          <w:bCs/>
          <w:sz w:val="24"/>
          <w:szCs w:val="24"/>
        </w:rPr>
        <w:t xml:space="preserve">4 </w:t>
      </w:r>
      <w:r>
        <w:rPr>
          <w:bCs/>
          <w:sz w:val="24"/>
          <w:szCs w:val="24"/>
        </w:rPr>
        <w:t xml:space="preserve">generic EI sub-studies were submitted under this OMB control number, which resulted in a total burden of </w:t>
      </w:r>
      <w:r w:rsidR="000622F3">
        <w:rPr>
          <w:bCs/>
          <w:sz w:val="24"/>
          <w:szCs w:val="24"/>
        </w:rPr>
        <w:t xml:space="preserve">560 </w:t>
      </w:r>
      <w:r>
        <w:rPr>
          <w:bCs/>
          <w:sz w:val="24"/>
          <w:szCs w:val="24"/>
        </w:rPr>
        <w:t xml:space="preserve">hours. </w:t>
      </w:r>
      <w:r w:rsidR="002D5D7E">
        <w:rPr>
          <w:bCs/>
          <w:sz w:val="24"/>
          <w:szCs w:val="24"/>
        </w:rPr>
        <w:t>Based on funding, it is anticipated that approximately 12 convenience sampling EIs will be conducted each year that requires a survey.</w:t>
      </w:r>
    </w:p>
    <w:p w:rsidR="0057192D" w:rsidRPr="0057192D" w:rsidRDefault="0057192D" w:rsidP="0057192D">
      <w:pPr>
        <w:tabs>
          <w:tab w:val="center" w:pos="4680"/>
          <w:tab w:val="left" w:pos="7710"/>
        </w:tabs>
        <w:rPr>
          <w:bCs/>
          <w:sz w:val="24"/>
          <w:szCs w:val="24"/>
        </w:rPr>
      </w:pPr>
      <w:r w:rsidRPr="0057192D">
        <w:rPr>
          <w:bCs/>
          <w:sz w:val="24"/>
          <w:szCs w:val="24"/>
        </w:rPr>
        <w:t xml:space="preserve"> Generally, the number of participants per investigation ranges from 10 to 100. Therefore, we estimate that the maximum total number of respondents annually is 1,200 (12x100). Generally, we ask the questions once. </w:t>
      </w:r>
    </w:p>
    <w:p w:rsidR="0057192D" w:rsidRPr="0057192D" w:rsidRDefault="0057192D" w:rsidP="0057192D">
      <w:pPr>
        <w:tabs>
          <w:tab w:val="center" w:pos="4680"/>
          <w:tab w:val="left" w:pos="7710"/>
        </w:tabs>
        <w:rPr>
          <w:sz w:val="24"/>
          <w:szCs w:val="24"/>
          <w:u w:val="single"/>
        </w:rPr>
      </w:pPr>
      <w:r w:rsidRPr="0057192D">
        <w:rPr>
          <w:bCs/>
          <w:sz w:val="24"/>
          <w:szCs w:val="24"/>
        </w:rPr>
        <w:t xml:space="preserve">The time burden per respondent is estimated at 30 minutes. A typical survey may include up to 20 general questions taking less than 30 seconds each to respond and 20 more in-depth exposure specific questions requiring less than one minute each. This estimate is consistent with our results from EIs conducted in the past few years.  </w:t>
      </w:r>
      <w:r w:rsidRPr="0057192D">
        <w:rPr>
          <w:sz w:val="24"/>
          <w:szCs w:val="24"/>
        </w:rPr>
        <w:t>The total estimated annual burden hours are 600.</w:t>
      </w:r>
    </w:p>
    <w:p w:rsidR="0057192D" w:rsidRPr="0057192D" w:rsidRDefault="0057192D" w:rsidP="0057192D">
      <w:pPr>
        <w:tabs>
          <w:tab w:val="left" w:pos="1545"/>
        </w:tabs>
        <w:rPr>
          <w:b/>
          <w:sz w:val="24"/>
          <w:szCs w:val="24"/>
        </w:rPr>
      </w:pPr>
      <w:r w:rsidRPr="0057192D">
        <w:rPr>
          <w:sz w:val="24"/>
          <w:szCs w:val="24"/>
          <w:u w:val="single"/>
        </w:rPr>
        <w:t>Estimated Annualized Burden Hours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199"/>
        <w:gridCol w:w="1530"/>
        <w:gridCol w:w="1911"/>
        <w:gridCol w:w="1806"/>
        <w:gridCol w:w="1600"/>
      </w:tblGrid>
      <w:tr w:rsidR="0057192D" w:rsidRPr="0057192D" w:rsidTr="0057192D">
        <w:tc>
          <w:tcPr>
            <w:tcW w:w="1531"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Type of Respondents</w:t>
            </w:r>
          </w:p>
        </w:tc>
        <w:tc>
          <w:tcPr>
            <w:tcW w:w="1151" w:type="dxa"/>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Form Name</w:t>
            </w:r>
          </w:p>
        </w:tc>
        <w:tc>
          <w:tcPr>
            <w:tcW w:w="1531"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No. of Respondents</w:t>
            </w:r>
          </w:p>
        </w:tc>
        <w:tc>
          <w:tcPr>
            <w:tcW w:w="1924"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No. of Responses per Respondent</w:t>
            </w:r>
          </w:p>
        </w:tc>
        <w:tc>
          <w:tcPr>
            <w:tcW w:w="1822"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Average Burden per Response (in hours)</w:t>
            </w:r>
          </w:p>
        </w:tc>
        <w:tc>
          <w:tcPr>
            <w:tcW w:w="1617"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Total Burden (In Hours)</w:t>
            </w:r>
          </w:p>
        </w:tc>
      </w:tr>
      <w:tr w:rsidR="0057192D" w:rsidRPr="0057192D" w:rsidTr="0057192D">
        <w:tc>
          <w:tcPr>
            <w:tcW w:w="1531" w:type="dxa"/>
            <w:shd w:val="clear" w:color="auto" w:fill="auto"/>
            <w:vAlign w:val="center"/>
          </w:tcPr>
          <w:p w:rsidR="0057192D" w:rsidRPr="0057192D" w:rsidRDefault="0057192D" w:rsidP="00B72FE1">
            <w:pPr>
              <w:tabs>
                <w:tab w:val="left" w:pos="1545"/>
              </w:tabs>
              <w:spacing w:after="0" w:line="240" w:lineRule="auto"/>
              <w:rPr>
                <w:rFonts w:cs="Arial"/>
                <w:sz w:val="24"/>
                <w:szCs w:val="24"/>
              </w:rPr>
            </w:pPr>
            <w:r w:rsidRPr="0057192D">
              <w:rPr>
                <w:rFonts w:cs="Arial"/>
                <w:sz w:val="24"/>
                <w:szCs w:val="24"/>
              </w:rPr>
              <w:t xml:space="preserve">EI participants </w:t>
            </w:r>
          </w:p>
        </w:tc>
        <w:tc>
          <w:tcPr>
            <w:tcW w:w="1151" w:type="dxa"/>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Chemical Exposure Questions</w:t>
            </w:r>
          </w:p>
        </w:tc>
        <w:tc>
          <w:tcPr>
            <w:tcW w:w="1531"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1,200</w:t>
            </w:r>
          </w:p>
        </w:tc>
        <w:tc>
          <w:tcPr>
            <w:tcW w:w="1924"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1</w:t>
            </w:r>
          </w:p>
        </w:tc>
        <w:tc>
          <w:tcPr>
            <w:tcW w:w="1822"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30/60</w:t>
            </w:r>
          </w:p>
        </w:tc>
        <w:tc>
          <w:tcPr>
            <w:tcW w:w="1617" w:type="dxa"/>
            <w:shd w:val="clear" w:color="auto" w:fill="auto"/>
            <w:vAlign w:val="center"/>
          </w:tcPr>
          <w:p w:rsidR="0057192D" w:rsidRPr="0057192D" w:rsidRDefault="0057192D" w:rsidP="00B72FE1">
            <w:pPr>
              <w:tabs>
                <w:tab w:val="left" w:pos="1545"/>
              </w:tabs>
              <w:spacing w:after="0" w:line="240" w:lineRule="auto"/>
              <w:jc w:val="center"/>
              <w:rPr>
                <w:rFonts w:cs="Arial"/>
                <w:sz w:val="24"/>
                <w:szCs w:val="24"/>
              </w:rPr>
            </w:pPr>
            <w:r w:rsidRPr="0057192D">
              <w:rPr>
                <w:rFonts w:cs="Arial"/>
                <w:sz w:val="24"/>
                <w:szCs w:val="24"/>
              </w:rPr>
              <w:t>600</w:t>
            </w:r>
          </w:p>
        </w:tc>
      </w:tr>
    </w:tbl>
    <w:p w:rsidR="0057192D" w:rsidRDefault="0057192D" w:rsidP="00A148A3">
      <w:pPr>
        <w:autoSpaceDE w:val="0"/>
        <w:autoSpaceDN w:val="0"/>
        <w:adjustRightInd w:val="0"/>
        <w:spacing w:line="240" w:lineRule="auto"/>
        <w:ind w:left="360"/>
        <w:rPr>
          <w:rFonts w:cs="ITCFranklinGothicStd-DmCd"/>
          <w:sz w:val="24"/>
          <w:szCs w:val="24"/>
        </w:rPr>
      </w:pPr>
    </w:p>
    <w:p w:rsidR="00A50CA1" w:rsidRDefault="00A50CA1" w:rsidP="00B72FE1">
      <w:pPr>
        <w:rPr>
          <w:sz w:val="24"/>
          <w:szCs w:val="24"/>
        </w:rPr>
      </w:pPr>
    </w:p>
    <w:p w:rsidR="0057192D" w:rsidRPr="0057192D" w:rsidRDefault="0057192D" w:rsidP="00B72FE1">
      <w:pPr>
        <w:rPr>
          <w:b/>
          <w:sz w:val="24"/>
          <w:szCs w:val="24"/>
        </w:rPr>
      </w:pPr>
      <w:r w:rsidRPr="0057192D">
        <w:rPr>
          <w:sz w:val="24"/>
          <w:szCs w:val="24"/>
        </w:rPr>
        <w:t>B. Annualized Cost to Respondents</w:t>
      </w:r>
    </w:p>
    <w:p w:rsidR="0057192D" w:rsidRPr="00404F5C" w:rsidRDefault="0057192D" w:rsidP="0057192D">
      <w:pPr>
        <w:tabs>
          <w:tab w:val="center" w:pos="4680"/>
          <w:tab w:val="left" w:pos="7710"/>
        </w:tabs>
        <w:rPr>
          <w:rFonts w:cstheme="minorHAnsi"/>
          <w:color w:val="FF0000"/>
          <w:sz w:val="24"/>
          <w:szCs w:val="24"/>
        </w:rPr>
      </w:pPr>
      <w:r w:rsidRPr="00404F5C">
        <w:rPr>
          <w:rFonts w:cstheme="minorHAnsi"/>
          <w:sz w:val="24"/>
          <w:szCs w:val="24"/>
        </w:rPr>
        <w:t>Using a rate of $</w:t>
      </w:r>
      <w:r w:rsidR="00FF6D29" w:rsidRPr="00404F5C">
        <w:rPr>
          <w:rFonts w:cstheme="minorHAnsi"/>
          <w:sz w:val="24"/>
          <w:szCs w:val="24"/>
        </w:rPr>
        <w:t>24.34</w:t>
      </w:r>
      <w:r w:rsidRPr="00C30230">
        <w:rPr>
          <w:rFonts w:cstheme="minorHAnsi"/>
          <w:color w:val="000000"/>
          <w:sz w:val="24"/>
          <w:szCs w:val="24"/>
        </w:rPr>
        <w:t>/hr,</w:t>
      </w:r>
      <w:r w:rsidRPr="00C30230">
        <w:rPr>
          <w:rFonts w:cstheme="minorHAnsi"/>
          <w:sz w:val="24"/>
          <w:szCs w:val="24"/>
        </w:rPr>
        <w:t xml:space="preserve"> the annualized cost to respondents for the hour burdens for the collection of information is $</w:t>
      </w:r>
      <w:r w:rsidR="00FF6D29" w:rsidRPr="00F24E79">
        <w:rPr>
          <w:rFonts w:cstheme="minorHAnsi"/>
          <w:sz w:val="24"/>
          <w:szCs w:val="24"/>
        </w:rPr>
        <w:t>14,604</w:t>
      </w:r>
      <w:r w:rsidRPr="00F24E79">
        <w:rPr>
          <w:rFonts w:cstheme="minorHAnsi"/>
          <w:sz w:val="24"/>
          <w:szCs w:val="24"/>
        </w:rPr>
        <w:t xml:space="preserve">. The hourly wage rate is based on the U.S. Department of Labor, Bureau of Labor Statistics’ most current statistics </w:t>
      </w:r>
      <w:r w:rsidRPr="00427BDB">
        <w:rPr>
          <w:rFonts w:cstheme="minorHAnsi"/>
          <w:sz w:val="24"/>
          <w:szCs w:val="24"/>
        </w:rPr>
        <w:t>[May 201</w:t>
      </w:r>
      <w:r w:rsidR="00FF6D29" w:rsidRPr="00427BDB">
        <w:rPr>
          <w:rFonts w:cstheme="minorHAnsi"/>
          <w:sz w:val="24"/>
          <w:szCs w:val="24"/>
        </w:rPr>
        <w:t>7</w:t>
      </w:r>
      <w:r w:rsidRPr="00427BDB">
        <w:rPr>
          <w:rFonts w:cstheme="minorHAnsi"/>
          <w:sz w:val="24"/>
          <w:szCs w:val="24"/>
        </w:rPr>
        <w:t xml:space="preserve"> National Occupational Employment and Wage Estimates United States, </w:t>
      </w:r>
      <w:r w:rsidR="00FF6D29" w:rsidRPr="00427BDB">
        <w:rPr>
          <w:rFonts w:cstheme="minorHAnsi"/>
          <w:sz w:val="24"/>
          <w:szCs w:val="24"/>
        </w:rPr>
        <w:t xml:space="preserve">Online September 2018, </w:t>
      </w:r>
      <w:hyperlink r:id="rId12" w:history="1">
        <w:r w:rsidR="00FF6D29" w:rsidRPr="00DA6302">
          <w:rPr>
            <w:rStyle w:val="Hyperlink"/>
            <w:rFonts w:cstheme="minorHAnsi"/>
            <w:sz w:val="24"/>
            <w:szCs w:val="24"/>
          </w:rPr>
          <w:t>https://www.bls.gov/oes/current/oes_nat.htm</w:t>
        </w:r>
      </w:hyperlink>
      <w:r w:rsidRPr="00404F5C">
        <w:rPr>
          <w:rFonts w:cstheme="minorHAnsi"/>
          <w:sz w:val="24"/>
          <w:szCs w:val="24"/>
        </w:rPr>
        <w:t>].</w:t>
      </w:r>
    </w:p>
    <w:p w:rsidR="00C30230" w:rsidRDefault="00C30230" w:rsidP="0057192D">
      <w:pPr>
        <w:tabs>
          <w:tab w:val="center" w:pos="4680"/>
          <w:tab w:val="left" w:pos="7710"/>
        </w:tabs>
        <w:rPr>
          <w:color w:val="000000"/>
          <w:sz w:val="24"/>
          <w:szCs w:val="24"/>
          <w:u w:val="single"/>
        </w:rPr>
      </w:pPr>
    </w:p>
    <w:p w:rsidR="0057192D" w:rsidRPr="0057192D" w:rsidRDefault="0057192D" w:rsidP="0057192D">
      <w:pPr>
        <w:tabs>
          <w:tab w:val="center" w:pos="4680"/>
          <w:tab w:val="left" w:pos="7710"/>
        </w:tabs>
        <w:rPr>
          <w:sz w:val="24"/>
          <w:szCs w:val="24"/>
        </w:rPr>
      </w:pPr>
      <w:r w:rsidRPr="0057192D">
        <w:rPr>
          <w:color w:val="000000"/>
          <w:sz w:val="24"/>
          <w:szCs w:val="24"/>
          <w:u w:val="single"/>
        </w:rPr>
        <w:t xml:space="preserve">Estimated Annualized </w:t>
      </w:r>
      <w:r w:rsidRPr="0057192D">
        <w:rPr>
          <w:sz w:val="24"/>
          <w:szCs w:val="24"/>
          <w:u w:val="single"/>
        </w:rPr>
        <w:t>Burden Costs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260"/>
        <w:gridCol w:w="944"/>
        <w:gridCol w:w="1124"/>
        <w:gridCol w:w="1124"/>
        <w:gridCol w:w="1124"/>
        <w:gridCol w:w="1124"/>
        <w:gridCol w:w="1125"/>
      </w:tblGrid>
      <w:tr w:rsidR="0057192D" w:rsidRPr="0057192D" w:rsidTr="00DA6302">
        <w:tc>
          <w:tcPr>
            <w:tcW w:w="1525" w:type="dxa"/>
            <w:shd w:val="clear" w:color="auto" w:fill="auto"/>
            <w:vAlign w:val="center"/>
          </w:tcPr>
          <w:p w:rsidR="0057192D" w:rsidRPr="00C432CE" w:rsidRDefault="0057192D" w:rsidP="00B72FE1">
            <w:pPr>
              <w:tabs>
                <w:tab w:val="center" w:pos="4680"/>
                <w:tab w:val="left" w:pos="7710"/>
              </w:tabs>
              <w:spacing w:after="0" w:line="240" w:lineRule="auto"/>
              <w:jc w:val="center"/>
              <w:rPr>
                <w:sz w:val="22"/>
                <w:szCs w:val="22"/>
              </w:rPr>
            </w:pPr>
            <w:r w:rsidRPr="00C432CE">
              <w:rPr>
                <w:rFonts w:cs="Arial"/>
                <w:sz w:val="22"/>
                <w:szCs w:val="22"/>
              </w:rPr>
              <w:t>Type of Respondents</w:t>
            </w:r>
          </w:p>
        </w:tc>
        <w:tc>
          <w:tcPr>
            <w:tcW w:w="1260"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Form Name</w:t>
            </w:r>
          </w:p>
        </w:tc>
        <w:tc>
          <w:tcPr>
            <w:tcW w:w="944"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No. of Respondents</w:t>
            </w:r>
          </w:p>
        </w:tc>
        <w:tc>
          <w:tcPr>
            <w:tcW w:w="1124"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No. Responses per Respondent</w:t>
            </w:r>
          </w:p>
        </w:tc>
        <w:tc>
          <w:tcPr>
            <w:tcW w:w="1124" w:type="dxa"/>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Avg. Burden per Response (In hours)</w:t>
            </w:r>
          </w:p>
        </w:tc>
        <w:tc>
          <w:tcPr>
            <w:tcW w:w="1124" w:type="dxa"/>
            <w:shd w:val="clear" w:color="auto" w:fill="auto"/>
            <w:vAlign w:val="center"/>
          </w:tcPr>
          <w:p w:rsidR="0057192D" w:rsidRPr="00C432CE" w:rsidRDefault="0057192D" w:rsidP="00B72FE1">
            <w:pPr>
              <w:tabs>
                <w:tab w:val="left" w:pos="1545"/>
              </w:tabs>
              <w:spacing w:after="0" w:line="240" w:lineRule="auto"/>
              <w:jc w:val="center"/>
              <w:rPr>
                <w:rFonts w:cs="Arial"/>
                <w:sz w:val="22"/>
                <w:szCs w:val="22"/>
              </w:rPr>
            </w:pPr>
            <w:r w:rsidRPr="00C432CE">
              <w:rPr>
                <w:rFonts w:cs="Arial"/>
                <w:sz w:val="22"/>
                <w:szCs w:val="22"/>
              </w:rPr>
              <w:t>Total Burden Hours</w:t>
            </w:r>
          </w:p>
        </w:tc>
        <w:tc>
          <w:tcPr>
            <w:tcW w:w="1124" w:type="dxa"/>
            <w:shd w:val="clear" w:color="auto" w:fill="auto"/>
            <w:vAlign w:val="center"/>
          </w:tcPr>
          <w:p w:rsidR="0057192D" w:rsidRPr="00C432CE" w:rsidRDefault="0057192D" w:rsidP="00B72FE1">
            <w:pPr>
              <w:tabs>
                <w:tab w:val="center" w:pos="4680"/>
                <w:tab w:val="left" w:pos="7710"/>
              </w:tabs>
              <w:spacing w:after="0" w:line="240" w:lineRule="auto"/>
              <w:jc w:val="center"/>
              <w:rPr>
                <w:sz w:val="22"/>
                <w:szCs w:val="22"/>
              </w:rPr>
            </w:pPr>
            <w:r w:rsidRPr="00C432CE">
              <w:rPr>
                <w:rFonts w:cs="Arial"/>
                <w:sz w:val="22"/>
                <w:szCs w:val="22"/>
              </w:rPr>
              <w:t>Hourly Wage Rate</w:t>
            </w:r>
          </w:p>
        </w:tc>
        <w:tc>
          <w:tcPr>
            <w:tcW w:w="1125" w:type="dxa"/>
            <w:shd w:val="clear" w:color="auto" w:fill="auto"/>
            <w:vAlign w:val="center"/>
          </w:tcPr>
          <w:p w:rsidR="0057192D" w:rsidRPr="00C432CE" w:rsidRDefault="0057192D" w:rsidP="00B72FE1">
            <w:pPr>
              <w:tabs>
                <w:tab w:val="center" w:pos="4680"/>
                <w:tab w:val="left" w:pos="7710"/>
              </w:tabs>
              <w:spacing w:after="0" w:line="240" w:lineRule="auto"/>
              <w:jc w:val="center"/>
              <w:rPr>
                <w:sz w:val="22"/>
                <w:szCs w:val="22"/>
              </w:rPr>
            </w:pPr>
            <w:r w:rsidRPr="00C432CE">
              <w:rPr>
                <w:rFonts w:cs="Arial"/>
                <w:sz w:val="22"/>
                <w:szCs w:val="22"/>
              </w:rPr>
              <w:t>Total Respondent Costs</w:t>
            </w:r>
          </w:p>
        </w:tc>
      </w:tr>
      <w:tr w:rsidR="0057192D" w:rsidRPr="0057192D" w:rsidTr="00DA6302">
        <w:tc>
          <w:tcPr>
            <w:tcW w:w="1525" w:type="dxa"/>
            <w:shd w:val="clear" w:color="auto" w:fill="auto"/>
            <w:vAlign w:val="center"/>
          </w:tcPr>
          <w:p w:rsidR="0057192D" w:rsidRPr="00C432CE" w:rsidRDefault="0057192D" w:rsidP="00B72FE1">
            <w:pPr>
              <w:tabs>
                <w:tab w:val="center" w:pos="4680"/>
                <w:tab w:val="left" w:pos="7710"/>
              </w:tabs>
              <w:spacing w:after="0"/>
              <w:rPr>
                <w:rFonts w:cs="Arial"/>
                <w:sz w:val="22"/>
                <w:szCs w:val="22"/>
              </w:rPr>
            </w:pPr>
            <w:r w:rsidRPr="00C432CE">
              <w:rPr>
                <w:rFonts w:cs="Arial"/>
                <w:sz w:val="22"/>
                <w:szCs w:val="22"/>
              </w:rPr>
              <w:t>EI participants</w:t>
            </w:r>
          </w:p>
        </w:tc>
        <w:tc>
          <w:tcPr>
            <w:tcW w:w="1260"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Chemical Exposure Questions</w:t>
            </w:r>
          </w:p>
        </w:tc>
        <w:tc>
          <w:tcPr>
            <w:tcW w:w="944"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1,200</w:t>
            </w:r>
          </w:p>
        </w:tc>
        <w:tc>
          <w:tcPr>
            <w:tcW w:w="1124"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1</w:t>
            </w:r>
          </w:p>
        </w:tc>
        <w:tc>
          <w:tcPr>
            <w:tcW w:w="1124" w:type="dxa"/>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30/60</w:t>
            </w:r>
          </w:p>
        </w:tc>
        <w:tc>
          <w:tcPr>
            <w:tcW w:w="1124" w:type="dxa"/>
            <w:shd w:val="clear" w:color="auto" w:fill="auto"/>
            <w:vAlign w:val="center"/>
          </w:tcPr>
          <w:p w:rsidR="0057192D" w:rsidRPr="00C432CE" w:rsidRDefault="0057192D" w:rsidP="00B72FE1">
            <w:pPr>
              <w:tabs>
                <w:tab w:val="center" w:pos="4680"/>
                <w:tab w:val="left" w:pos="7710"/>
              </w:tabs>
              <w:spacing w:after="0"/>
              <w:jc w:val="center"/>
              <w:rPr>
                <w:rFonts w:cs="Arial"/>
                <w:sz w:val="22"/>
                <w:szCs w:val="22"/>
              </w:rPr>
            </w:pPr>
            <w:r w:rsidRPr="00C432CE">
              <w:rPr>
                <w:rFonts w:cs="Arial"/>
                <w:sz w:val="22"/>
                <w:szCs w:val="22"/>
              </w:rPr>
              <w:t>600</w:t>
            </w:r>
          </w:p>
        </w:tc>
        <w:tc>
          <w:tcPr>
            <w:tcW w:w="1124" w:type="dxa"/>
            <w:shd w:val="clear" w:color="auto" w:fill="auto"/>
            <w:vAlign w:val="center"/>
          </w:tcPr>
          <w:p w:rsidR="0057192D" w:rsidRPr="00C432CE" w:rsidRDefault="0057192D" w:rsidP="00FF6D29">
            <w:pPr>
              <w:tabs>
                <w:tab w:val="center" w:pos="4680"/>
                <w:tab w:val="left" w:pos="7710"/>
              </w:tabs>
              <w:spacing w:after="0"/>
              <w:jc w:val="center"/>
              <w:rPr>
                <w:rFonts w:cs="Arial"/>
                <w:sz w:val="22"/>
                <w:szCs w:val="22"/>
              </w:rPr>
            </w:pPr>
            <w:r w:rsidRPr="00C432CE">
              <w:rPr>
                <w:rFonts w:cs="Arial"/>
                <w:sz w:val="22"/>
                <w:szCs w:val="22"/>
              </w:rPr>
              <w:t>$</w:t>
            </w:r>
            <w:r w:rsidR="00FF6D29">
              <w:rPr>
                <w:rFonts w:cs="Arial"/>
                <w:sz w:val="22"/>
                <w:szCs w:val="22"/>
              </w:rPr>
              <w:t>24.34</w:t>
            </w:r>
          </w:p>
        </w:tc>
        <w:tc>
          <w:tcPr>
            <w:tcW w:w="1125" w:type="dxa"/>
            <w:shd w:val="clear" w:color="auto" w:fill="auto"/>
            <w:vAlign w:val="center"/>
          </w:tcPr>
          <w:p w:rsidR="0057192D" w:rsidRPr="00C432CE" w:rsidRDefault="0057192D" w:rsidP="00FF6D29">
            <w:pPr>
              <w:tabs>
                <w:tab w:val="center" w:pos="4680"/>
                <w:tab w:val="left" w:pos="7710"/>
              </w:tabs>
              <w:spacing w:after="0"/>
              <w:jc w:val="center"/>
              <w:rPr>
                <w:rFonts w:cs="Arial"/>
                <w:sz w:val="22"/>
                <w:szCs w:val="22"/>
              </w:rPr>
            </w:pPr>
            <w:r w:rsidRPr="00C432CE">
              <w:rPr>
                <w:rFonts w:cs="Arial"/>
                <w:sz w:val="22"/>
                <w:szCs w:val="22"/>
              </w:rPr>
              <w:t>$</w:t>
            </w:r>
            <w:r w:rsidR="00FF6D29">
              <w:rPr>
                <w:rFonts w:cs="Arial"/>
                <w:sz w:val="22"/>
                <w:szCs w:val="22"/>
              </w:rPr>
              <w:t>14,604</w:t>
            </w:r>
          </w:p>
        </w:tc>
      </w:tr>
    </w:tbl>
    <w:p w:rsidR="00ED72E9" w:rsidRPr="00D20211" w:rsidRDefault="00ED72E9" w:rsidP="00ED72E9"/>
    <w:p w:rsidR="00B45002" w:rsidRDefault="00601F1A" w:rsidP="00601F1A">
      <w:pPr>
        <w:pStyle w:val="Heading1"/>
        <w:pBdr>
          <w:bottom w:val="none" w:sz="0" w:space="0" w:color="auto"/>
        </w:pBdr>
        <w:rPr>
          <w:color w:val="auto"/>
        </w:rPr>
      </w:pPr>
      <w:bookmarkStart w:id="15" w:name="_Toc433960200"/>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5"/>
    </w:p>
    <w:p w:rsidR="00126C43" w:rsidRDefault="00126C43" w:rsidP="00126C43">
      <w:pPr>
        <w:tabs>
          <w:tab w:val="center" w:pos="4680"/>
          <w:tab w:val="left" w:pos="7710"/>
        </w:tabs>
      </w:pPr>
    </w:p>
    <w:p w:rsidR="00126C43" w:rsidRPr="00126C43" w:rsidRDefault="00126C43" w:rsidP="00126C43">
      <w:pPr>
        <w:tabs>
          <w:tab w:val="center" w:pos="4680"/>
          <w:tab w:val="left" w:pos="7710"/>
        </w:tabs>
        <w:rPr>
          <w:b/>
          <w:sz w:val="24"/>
          <w:szCs w:val="24"/>
        </w:rPr>
      </w:pPr>
      <w:r w:rsidRPr="00126C43">
        <w:rPr>
          <w:sz w:val="24"/>
          <w:szCs w:val="24"/>
        </w:rPr>
        <w:t>There are no other total annual cost burden to respondents or record keepers.</w:t>
      </w:r>
    </w:p>
    <w:p w:rsidR="00B45002" w:rsidRPr="00D20211" w:rsidRDefault="00601F1A" w:rsidP="00601F1A">
      <w:pPr>
        <w:pStyle w:val="Heading1"/>
        <w:pBdr>
          <w:bottom w:val="none" w:sz="0" w:space="0" w:color="auto"/>
        </w:pBdr>
        <w:rPr>
          <w:color w:val="auto"/>
        </w:rPr>
      </w:pPr>
      <w:bookmarkStart w:id="16" w:name="_Toc433960201"/>
      <w:r w:rsidRPr="00D20211">
        <w:rPr>
          <w:color w:val="auto"/>
        </w:rPr>
        <w:t>A.</w:t>
      </w:r>
      <w:r w:rsidR="00AC62CC" w:rsidRPr="00D20211">
        <w:rPr>
          <w:color w:val="auto"/>
        </w:rPr>
        <w:t xml:space="preserve">14.  </w:t>
      </w:r>
      <w:r w:rsidR="00B45002" w:rsidRPr="00D20211">
        <w:rPr>
          <w:color w:val="auto"/>
        </w:rPr>
        <w:t>Annualized Cost to the Federal Government</w:t>
      </w:r>
      <w:bookmarkEnd w:id="16"/>
    </w:p>
    <w:p w:rsidR="00DA5A96" w:rsidRPr="00D20211" w:rsidRDefault="00DA5A96" w:rsidP="00DA5A96"/>
    <w:p w:rsidR="00552D02" w:rsidRPr="00552D02" w:rsidRDefault="00552D02" w:rsidP="00552D02">
      <w:pPr>
        <w:tabs>
          <w:tab w:val="center" w:pos="4680"/>
          <w:tab w:val="left" w:pos="7710"/>
        </w:tabs>
        <w:rPr>
          <w:b/>
          <w:sz w:val="24"/>
          <w:szCs w:val="24"/>
        </w:rPr>
      </w:pPr>
      <w:r w:rsidRPr="00552D02">
        <w:rPr>
          <w:sz w:val="24"/>
          <w:szCs w:val="24"/>
        </w:rPr>
        <w:t>Costs for ATSDR personnel and cooperative agreement state personnel were estimated based on experience with previous EI activities.</w:t>
      </w:r>
      <w:r w:rsidRPr="00552D02">
        <w:rPr>
          <w:b/>
          <w:sz w:val="24"/>
          <w:szCs w:val="24"/>
        </w:rPr>
        <w:t xml:space="preserve">                                                                                 </w:t>
      </w:r>
    </w:p>
    <w:p w:rsidR="00552D02" w:rsidRPr="00552D02" w:rsidRDefault="00552D02" w:rsidP="00552D02">
      <w:pPr>
        <w:tabs>
          <w:tab w:val="left" w:pos="1545"/>
        </w:tabs>
        <w:rPr>
          <w:sz w:val="24"/>
          <w:szCs w:val="24"/>
        </w:rPr>
      </w:pPr>
      <w:r w:rsidRPr="00552D02">
        <w:rPr>
          <w:sz w:val="24"/>
          <w:szCs w:val="24"/>
        </w:rPr>
        <w:t>For the past 3 years, the annual budget for EIs has been $960,000. This includes: FTEs (including benefits), contractors, travel, per diem, and laboratory, supply, and equipment costs. We expect the budget to remain unchanged for the next three years.</w:t>
      </w:r>
    </w:p>
    <w:p w:rsidR="007F6CB2" w:rsidRDefault="00601F1A" w:rsidP="006C7820">
      <w:pPr>
        <w:pStyle w:val="Heading1"/>
        <w:rPr>
          <w:color w:val="auto"/>
        </w:rPr>
      </w:pPr>
      <w:bookmarkStart w:id="17" w:name="_Toc433960202"/>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rsidR="007F6CB2" w:rsidRPr="00D20211" w:rsidRDefault="001B3522" w:rsidP="00A51051">
      <w:pPr>
        <w:spacing w:line="240" w:lineRule="auto"/>
        <w:rPr>
          <w:sz w:val="24"/>
          <w:szCs w:val="24"/>
        </w:rPr>
      </w:pPr>
      <w:r w:rsidRPr="00D20211">
        <w:rPr>
          <w:sz w:val="24"/>
          <w:szCs w:val="24"/>
        </w:rPr>
        <w:t>T</w:t>
      </w:r>
      <w:r w:rsidR="007F6CB2" w:rsidRPr="00D20211">
        <w:rPr>
          <w:sz w:val="24"/>
          <w:szCs w:val="24"/>
        </w:rPr>
        <w:t>he burden has not changed from the burden shown in the current inventory.</w:t>
      </w:r>
    </w:p>
    <w:p w:rsidR="00B45002" w:rsidRPr="00D20211" w:rsidRDefault="00601F1A" w:rsidP="00601F1A">
      <w:pPr>
        <w:pStyle w:val="Heading1"/>
        <w:pBdr>
          <w:bottom w:val="none" w:sz="0" w:space="0" w:color="auto"/>
        </w:pBdr>
        <w:rPr>
          <w:color w:val="auto"/>
        </w:rPr>
      </w:pPr>
      <w:bookmarkStart w:id="18" w:name="_Toc433960203"/>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18"/>
    </w:p>
    <w:p w:rsidR="003248A4" w:rsidRPr="00D20211" w:rsidRDefault="003248A4" w:rsidP="003248A4"/>
    <w:p w:rsidR="00F04E5E" w:rsidRDefault="00B72FE1" w:rsidP="003248A4">
      <w:pPr>
        <w:spacing w:line="240" w:lineRule="auto"/>
        <w:rPr>
          <w:rFonts w:cs="ITCFranklinGothicStd-Book"/>
          <w:sz w:val="24"/>
          <w:szCs w:val="24"/>
        </w:rPr>
      </w:pPr>
      <w:r w:rsidRPr="00B72FE1">
        <w:rPr>
          <w:sz w:val="24"/>
          <w:szCs w:val="24"/>
        </w:rPr>
        <w:t xml:space="preserve">A project Time Schedule will be provided for each EI submitted under the generic clearance.  The Time Schedule for the EI will be variable, based on site-specific conditions.  The time frame for collecting the environmental and/or biological data for an EI can range from one day to several months, depending on the sampled medium and complexity of the EI.  The following is a general schedule that is anticipated for most EIs. </w:t>
      </w:r>
    </w:p>
    <w:p w:rsidR="003C21A1" w:rsidRPr="00D20211" w:rsidRDefault="003C21A1" w:rsidP="003248A4">
      <w:pPr>
        <w:spacing w:line="240" w:lineRule="auto"/>
        <w:rPr>
          <w:rFonts w:cs="ITCFranklinGothicStd-Book"/>
          <w:sz w:val="24"/>
          <w:szCs w:val="24"/>
        </w:rPr>
      </w:pPr>
      <w:r w:rsidRPr="00D20211">
        <w:rPr>
          <w:rFonts w:cs="ITCFranklinGothicStd-Book"/>
          <w:sz w:val="24"/>
          <w:szCs w:val="24"/>
        </w:rPr>
        <w:t>Table A.16.1</w:t>
      </w:r>
    </w:p>
    <w:tbl>
      <w:tblPr>
        <w:tblStyle w:val="TableGrid"/>
        <w:tblW w:w="0" w:type="auto"/>
        <w:tblLook w:val="04A0" w:firstRow="1" w:lastRow="0" w:firstColumn="1" w:lastColumn="0" w:noHBand="0" w:noVBand="1"/>
      </w:tblPr>
      <w:tblGrid>
        <w:gridCol w:w="4675"/>
        <w:gridCol w:w="4675"/>
      </w:tblGrid>
      <w:tr w:rsidR="00D20211" w:rsidRPr="00D20211" w:rsidTr="003C21A1">
        <w:tc>
          <w:tcPr>
            <w:tcW w:w="9350" w:type="dxa"/>
            <w:gridSpan w:val="2"/>
          </w:tcPr>
          <w:p w:rsidR="003C21A1" w:rsidRPr="006065B9" w:rsidRDefault="003C21A1" w:rsidP="003C21A1">
            <w:pPr>
              <w:jc w:val="center"/>
              <w:rPr>
                <w:sz w:val="24"/>
                <w:szCs w:val="24"/>
              </w:rPr>
            </w:pPr>
            <w:r w:rsidRPr="006065B9">
              <w:rPr>
                <w:sz w:val="24"/>
                <w:szCs w:val="24"/>
              </w:rPr>
              <w:t>Project Time Schedule</w:t>
            </w:r>
          </w:p>
        </w:tc>
      </w:tr>
      <w:tr w:rsidR="00D20211" w:rsidRPr="00D20211" w:rsidTr="003C21A1">
        <w:tc>
          <w:tcPr>
            <w:tcW w:w="4675" w:type="dxa"/>
          </w:tcPr>
          <w:p w:rsidR="003C21A1" w:rsidRPr="006065B9" w:rsidRDefault="003C21A1" w:rsidP="003C21A1">
            <w:pPr>
              <w:jc w:val="center"/>
              <w:rPr>
                <w:sz w:val="24"/>
                <w:szCs w:val="24"/>
              </w:rPr>
            </w:pPr>
            <w:r w:rsidRPr="006065B9">
              <w:rPr>
                <w:sz w:val="24"/>
                <w:szCs w:val="24"/>
              </w:rPr>
              <w:t>Activity</w:t>
            </w:r>
          </w:p>
        </w:tc>
        <w:tc>
          <w:tcPr>
            <w:tcW w:w="4675" w:type="dxa"/>
          </w:tcPr>
          <w:p w:rsidR="003C21A1" w:rsidRPr="006065B9" w:rsidRDefault="003C21A1" w:rsidP="003C21A1">
            <w:pPr>
              <w:jc w:val="center"/>
              <w:rPr>
                <w:sz w:val="24"/>
                <w:szCs w:val="24"/>
              </w:rPr>
            </w:pPr>
            <w:r w:rsidRPr="006065B9">
              <w:rPr>
                <w:sz w:val="24"/>
                <w:szCs w:val="24"/>
              </w:rPr>
              <w:t>Time Schedule</w:t>
            </w:r>
          </w:p>
        </w:tc>
      </w:tr>
      <w:tr w:rsidR="00D20211" w:rsidRPr="00D20211" w:rsidTr="003C21A1">
        <w:tc>
          <w:tcPr>
            <w:tcW w:w="4675" w:type="dxa"/>
          </w:tcPr>
          <w:p w:rsidR="00F30919" w:rsidRPr="006065B9" w:rsidRDefault="002F0763" w:rsidP="00F30919">
            <w:pPr>
              <w:jc w:val="center"/>
              <w:rPr>
                <w:sz w:val="24"/>
                <w:szCs w:val="24"/>
              </w:rPr>
            </w:pPr>
            <w:r>
              <w:rPr>
                <w:rFonts w:cs="ITCFranklinGothicStd-BkCd"/>
                <w:sz w:val="24"/>
                <w:szCs w:val="24"/>
              </w:rPr>
              <w:t>Start of Data Collection</w:t>
            </w:r>
          </w:p>
        </w:tc>
        <w:tc>
          <w:tcPr>
            <w:tcW w:w="4675" w:type="dxa"/>
          </w:tcPr>
          <w:p w:rsidR="00F30919" w:rsidRPr="006065B9" w:rsidRDefault="00F30919" w:rsidP="00F30919">
            <w:pPr>
              <w:jc w:val="center"/>
              <w:rPr>
                <w:sz w:val="24"/>
                <w:szCs w:val="24"/>
              </w:rPr>
            </w:pPr>
            <w:r w:rsidRPr="006065B9">
              <w:rPr>
                <w:rFonts w:cs="ITCFranklinGothicStd-BkCd"/>
                <w:sz w:val="24"/>
                <w:szCs w:val="24"/>
              </w:rPr>
              <w:t>1—2 months after OMB approval</w:t>
            </w:r>
          </w:p>
        </w:tc>
      </w:tr>
      <w:tr w:rsidR="00D20211" w:rsidRPr="00D20211" w:rsidTr="003C21A1">
        <w:tc>
          <w:tcPr>
            <w:tcW w:w="4675" w:type="dxa"/>
          </w:tcPr>
          <w:p w:rsidR="00F30919" w:rsidRPr="006065B9" w:rsidRDefault="002F0763" w:rsidP="00F30919">
            <w:pPr>
              <w:jc w:val="center"/>
              <w:rPr>
                <w:sz w:val="24"/>
                <w:szCs w:val="24"/>
              </w:rPr>
            </w:pPr>
            <w:r>
              <w:rPr>
                <w:rFonts w:cs="ITCFranklinGothicStd-BkCd"/>
                <w:sz w:val="24"/>
                <w:szCs w:val="24"/>
              </w:rPr>
              <w:t>Field Work</w:t>
            </w:r>
          </w:p>
        </w:tc>
        <w:tc>
          <w:tcPr>
            <w:tcW w:w="4675" w:type="dxa"/>
          </w:tcPr>
          <w:p w:rsidR="00F30919" w:rsidRPr="006065B9" w:rsidRDefault="00B0320A" w:rsidP="00F30919">
            <w:pPr>
              <w:jc w:val="center"/>
              <w:rPr>
                <w:sz w:val="24"/>
                <w:szCs w:val="24"/>
              </w:rPr>
            </w:pPr>
            <w:r>
              <w:rPr>
                <w:rFonts w:cs="ITCFranklinGothicStd-BkCd"/>
                <w:sz w:val="24"/>
                <w:szCs w:val="24"/>
              </w:rPr>
              <w:t>1</w:t>
            </w:r>
            <w:r w:rsidR="00F30919" w:rsidRPr="006065B9">
              <w:rPr>
                <w:rFonts w:cs="ITCFranklinGothicStd-BkCd"/>
                <w:sz w:val="24"/>
                <w:szCs w:val="24"/>
              </w:rPr>
              <w:t>—8 months after OMB approval</w:t>
            </w:r>
          </w:p>
        </w:tc>
      </w:tr>
      <w:tr w:rsidR="00D20211" w:rsidRPr="00D20211" w:rsidTr="003C21A1">
        <w:tc>
          <w:tcPr>
            <w:tcW w:w="4675" w:type="dxa"/>
          </w:tcPr>
          <w:p w:rsidR="00F30919" w:rsidRPr="006065B9" w:rsidRDefault="00B0320A" w:rsidP="00F30919">
            <w:pPr>
              <w:jc w:val="center"/>
              <w:rPr>
                <w:sz w:val="24"/>
                <w:szCs w:val="24"/>
              </w:rPr>
            </w:pPr>
            <w:r>
              <w:rPr>
                <w:rFonts w:cs="ITCFranklinGothicStd-BkCd"/>
                <w:sz w:val="24"/>
                <w:szCs w:val="24"/>
              </w:rPr>
              <w:t xml:space="preserve"> Analysis</w:t>
            </w:r>
          </w:p>
        </w:tc>
        <w:tc>
          <w:tcPr>
            <w:tcW w:w="4675" w:type="dxa"/>
          </w:tcPr>
          <w:p w:rsidR="00F30919" w:rsidRPr="006065B9" w:rsidRDefault="00F30919" w:rsidP="00B0320A">
            <w:pPr>
              <w:jc w:val="center"/>
              <w:rPr>
                <w:sz w:val="24"/>
                <w:szCs w:val="24"/>
              </w:rPr>
            </w:pPr>
            <w:r w:rsidRPr="006065B9">
              <w:rPr>
                <w:rFonts w:cs="ITCFranklinGothicStd-BkCd"/>
                <w:sz w:val="24"/>
                <w:szCs w:val="24"/>
              </w:rPr>
              <w:t>8—</w:t>
            </w:r>
            <w:r w:rsidR="00B0320A">
              <w:rPr>
                <w:rFonts w:cs="ITCFranklinGothicStd-BkCd"/>
                <w:sz w:val="24"/>
                <w:szCs w:val="24"/>
              </w:rPr>
              <w:t>12</w:t>
            </w:r>
            <w:r w:rsidRPr="006065B9">
              <w:rPr>
                <w:rFonts w:cs="ITCFranklinGothicStd-BkCd"/>
                <w:sz w:val="24"/>
                <w:szCs w:val="24"/>
              </w:rPr>
              <w:t xml:space="preserve"> months after OMB approval</w:t>
            </w:r>
          </w:p>
        </w:tc>
      </w:tr>
      <w:tr w:rsidR="00D20211" w:rsidRPr="00D20211" w:rsidTr="003C21A1">
        <w:tc>
          <w:tcPr>
            <w:tcW w:w="4675" w:type="dxa"/>
          </w:tcPr>
          <w:p w:rsidR="00F30919" w:rsidRPr="006065B9" w:rsidRDefault="00B0320A" w:rsidP="00F30919">
            <w:pPr>
              <w:jc w:val="center"/>
              <w:rPr>
                <w:sz w:val="24"/>
                <w:szCs w:val="24"/>
              </w:rPr>
            </w:pPr>
            <w:r>
              <w:rPr>
                <w:rFonts w:cs="ITCFranklinGothicStd-BkCd"/>
                <w:sz w:val="24"/>
                <w:szCs w:val="24"/>
              </w:rPr>
              <w:t>Respond to Participants</w:t>
            </w:r>
          </w:p>
        </w:tc>
        <w:tc>
          <w:tcPr>
            <w:tcW w:w="4675" w:type="dxa"/>
          </w:tcPr>
          <w:p w:rsidR="00F30919" w:rsidRPr="006065B9" w:rsidRDefault="00F30919" w:rsidP="00B0320A">
            <w:pPr>
              <w:jc w:val="center"/>
              <w:rPr>
                <w:sz w:val="24"/>
                <w:szCs w:val="24"/>
              </w:rPr>
            </w:pPr>
            <w:r w:rsidRPr="006065B9">
              <w:rPr>
                <w:rFonts w:cs="ITCFranklinGothicStd-BkCd"/>
                <w:sz w:val="24"/>
                <w:szCs w:val="24"/>
              </w:rPr>
              <w:t>1</w:t>
            </w:r>
            <w:r w:rsidR="00B0320A">
              <w:rPr>
                <w:rFonts w:cs="ITCFranklinGothicStd-BkCd"/>
                <w:sz w:val="24"/>
                <w:szCs w:val="24"/>
              </w:rPr>
              <w:t>2</w:t>
            </w: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 xml:space="preserve"> months after OMB approval</w:t>
            </w:r>
          </w:p>
        </w:tc>
      </w:tr>
      <w:tr w:rsidR="00D20211" w:rsidRPr="00D20211" w:rsidTr="003C21A1">
        <w:tc>
          <w:tcPr>
            <w:tcW w:w="4675" w:type="dxa"/>
          </w:tcPr>
          <w:p w:rsidR="00F30919" w:rsidRPr="006065B9" w:rsidRDefault="00B0320A" w:rsidP="00F30919">
            <w:pPr>
              <w:jc w:val="center"/>
              <w:rPr>
                <w:sz w:val="24"/>
                <w:szCs w:val="24"/>
              </w:rPr>
            </w:pPr>
            <w:r>
              <w:rPr>
                <w:rFonts w:cs="ITCFranklinGothicStd-BkCd"/>
                <w:sz w:val="24"/>
                <w:szCs w:val="24"/>
              </w:rPr>
              <w:t>Written Report</w:t>
            </w:r>
          </w:p>
        </w:tc>
        <w:tc>
          <w:tcPr>
            <w:tcW w:w="4675" w:type="dxa"/>
          </w:tcPr>
          <w:p w:rsidR="00F30919" w:rsidRPr="006065B9" w:rsidRDefault="00F30919" w:rsidP="00B0320A">
            <w:pPr>
              <w:jc w:val="center"/>
              <w:rPr>
                <w:sz w:val="24"/>
                <w:szCs w:val="24"/>
              </w:rPr>
            </w:pP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w:t>
            </w:r>
            <w:r w:rsidR="00B0320A">
              <w:rPr>
                <w:rFonts w:cs="ITCFranklinGothicStd-BkCd"/>
                <w:sz w:val="24"/>
                <w:szCs w:val="24"/>
              </w:rPr>
              <w:t>36</w:t>
            </w:r>
            <w:r w:rsidRPr="006065B9">
              <w:rPr>
                <w:rFonts w:cs="ITCFranklinGothicStd-BkCd"/>
                <w:sz w:val="24"/>
                <w:szCs w:val="24"/>
              </w:rPr>
              <w:t xml:space="preserve"> months after OMB approval</w:t>
            </w:r>
          </w:p>
        </w:tc>
      </w:tr>
    </w:tbl>
    <w:p w:rsidR="00F04E5E" w:rsidRPr="003717C7" w:rsidRDefault="00F04E5E" w:rsidP="003717C7"/>
    <w:p w:rsidR="00B45002" w:rsidRPr="00D20211" w:rsidRDefault="00601F1A" w:rsidP="00601F1A">
      <w:pPr>
        <w:pStyle w:val="Heading1"/>
        <w:pBdr>
          <w:bottom w:val="none" w:sz="0" w:space="0" w:color="auto"/>
        </w:pBdr>
        <w:rPr>
          <w:color w:val="auto"/>
        </w:rPr>
      </w:pPr>
      <w:bookmarkStart w:id="19" w:name="_Toc433960204"/>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19"/>
    </w:p>
    <w:p w:rsidR="005B6E55" w:rsidRPr="00D20211" w:rsidRDefault="005B6E55" w:rsidP="005B6E55"/>
    <w:p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expiration date is not inappropriate.</w:t>
      </w:r>
    </w:p>
    <w:p w:rsidR="00DC57CC" w:rsidRPr="00D20211" w:rsidRDefault="00601F1A" w:rsidP="00601F1A">
      <w:pPr>
        <w:pStyle w:val="Heading1"/>
        <w:pBdr>
          <w:bottom w:val="none" w:sz="0" w:space="0" w:color="auto"/>
        </w:pBdr>
        <w:rPr>
          <w:color w:val="auto"/>
        </w:rPr>
      </w:pPr>
      <w:bookmarkStart w:id="20" w:name="_Toc433960205"/>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0"/>
    </w:p>
    <w:p w:rsidR="008C154D" w:rsidRPr="00D20211" w:rsidRDefault="008C154D" w:rsidP="005B6E55">
      <w:pPr>
        <w:spacing w:line="240" w:lineRule="auto"/>
        <w:rPr>
          <w:sz w:val="24"/>
          <w:szCs w:val="24"/>
        </w:rPr>
      </w:pPr>
    </w:p>
    <w:p w:rsidR="001E595A" w:rsidRDefault="005B6E55" w:rsidP="00F93CE5">
      <w:pPr>
        <w:autoSpaceDE w:val="0"/>
        <w:autoSpaceDN w:val="0"/>
        <w:adjustRightInd w:val="0"/>
        <w:spacing w:line="240" w:lineRule="auto"/>
        <w:rPr>
          <w:rFonts w:cs="ITCFranklinGothicStd-Book"/>
          <w:sz w:val="24"/>
          <w:szCs w:val="24"/>
        </w:rPr>
      </w:pPr>
      <w:r w:rsidRPr="00D20211">
        <w:rPr>
          <w:rFonts w:cs="ITCFranklinGothicStd-Book"/>
          <w:sz w:val="24"/>
          <w:szCs w:val="24"/>
        </w:rPr>
        <w:t>There are no exceptions to the certification.</w:t>
      </w:r>
    </w:p>
    <w:p w:rsidR="003C14CE" w:rsidRPr="00F93CE5" w:rsidRDefault="003C14CE" w:rsidP="00F93CE5">
      <w:pPr>
        <w:autoSpaceDE w:val="0"/>
        <w:autoSpaceDN w:val="0"/>
        <w:adjustRightInd w:val="0"/>
        <w:spacing w:line="240" w:lineRule="auto"/>
        <w:rPr>
          <w:rFonts w:cs="ITCFranklinGothicStd-Book"/>
          <w:sz w:val="24"/>
          <w:szCs w:val="24"/>
        </w:rPr>
      </w:pPr>
    </w:p>
    <w:sectPr w:rsidR="003C14CE" w:rsidRPr="00F93CE5" w:rsidSect="00F91C3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3E" w:rsidRDefault="001E0C3E" w:rsidP="008B5D54">
      <w:r>
        <w:separator/>
      </w:r>
    </w:p>
  </w:endnote>
  <w:endnote w:type="continuationSeparator" w:id="0">
    <w:p w:rsidR="001E0C3E" w:rsidRDefault="001E0C3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05" w:rsidRDefault="00D90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05" w:rsidRDefault="00D904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05" w:rsidRDefault="00D90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3E" w:rsidRDefault="001E0C3E" w:rsidP="008B5D54">
      <w:r>
        <w:separator/>
      </w:r>
    </w:p>
  </w:footnote>
  <w:footnote w:type="continuationSeparator" w:id="0">
    <w:p w:rsidR="001E0C3E" w:rsidRDefault="001E0C3E" w:rsidP="008B5D54">
      <w:r>
        <w:continuationSeparator/>
      </w:r>
    </w:p>
  </w:footnote>
  <w:footnote w:id="1">
    <w:p w:rsidR="00D90405" w:rsidRPr="00A75CA3" w:rsidRDefault="00D90405" w:rsidP="005E0ADE">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r w:rsidRPr="00A75CA3">
        <w:rPr>
          <w:rFonts w:asciiTheme="minorHAnsi" w:hAnsiTheme="minorHAnsi"/>
          <w:color w:val="000000"/>
        </w:rPr>
        <w:t>Available at</w:t>
      </w:r>
      <w:r w:rsidRPr="00A75CA3">
        <w:rPr>
          <w:rFonts w:asciiTheme="minorHAnsi" w:hAnsiTheme="minorHAnsi"/>
          <w:color w:val="000000"/>
          <w:lang w:val="en"/>
        </w:rPr>
        <w:t xml:space="preserve">, </w:t>
      </w:r>
      <w:hyperlink r:id="rId1" w:history="1">
        <w:r w:rsidRPr="00A75CA3">
          <w:rPr>
            <w:rStyle w:val="Hyperlink"/>
            <w:rFonts w:asciiTheme="minorHAnsi" w:hAnsiTheme="minorHAnsi"/>
          </w:rPr>
          <w:t>http://www.atsdr.cdc.gov/HAC/PHAManual/toc.html</w:t>
        </w:r>
      </w:hyperlink>
      <w:r w:rsidRPr="00A75CA3">
        <w:rPr>
          <w:rStyle w:val="Hyperlink"/>
          <w:rFonts w:asciiTheme="minorHAnsi" w:hAnsiTheme="minorHAnsi"/>
        </w:rPr>
        <w:t>.</w:t>
      </w:r>
    </w:p>
  </w:footnote>
  <w:footnote w:id="2">
    <w:p w:rsidR="00D90405" w:rsidRPr="00A75CA3" w:rsidRDefault="00D90405" w:rsidP="0033105E">
      <w:pPr>
        <w:pStyle w:val="NormalWeb"/>
        <w:rPr>
          <w:rFonts w:asciiTheme="minorHAnsi" w:hAnsiTheme="minorHAnsi"/>
          <w:color w:val="000000"/>
          <w:sz w:val="20"/>
          <w:szCs w:val="20"/>
          <w:lang w:val="en"/>
        </w:rPr>
      </w:pPr>
      <w:r w:rsidRPr="0093769B">
        <w:rPr>
          <w:rStyle w:val="FootnoteReference"/>
          <w:rFonts w:asciiTheme="minorHAnsi" w:eastAsiaTheme="majorEastAsia" w:hAnsiTheme="minorHAnsi"/>
          <w:sz w:val="20"/>
          <w:szCs w:val="20"/>
        </w:rPr>
        <w:footnoteRef/>
      </w:r>
      <w:r w:rsidRPr="0093769B">
        <w:rPr>
          <w:rFonts w:asciiTheme="minorHAnsi" w:hAnsiTheme="minorHAnsi"/>
          <w:sz w:val="20"/>
          <w:szCs w:val="20"/>
        </w:rPr>
        <w:t xml:space="preserve"> </w:t>
      </w:r>
      <w:r w:rsidRPr="0093769B">
        <w:rPr>
          <w:rStyle w:val="Strong"/>
          <w:rFonts w:asciiTheme="minorHAnsi" w:eastAsiaTheme="majorEastAsia" w:hAnsiTheme="minorHAnsi"/>
          <w:i/>
          <w:color w:val="000000"/>
          <w:sz w:val="20"/>
          <w:szCs w:val="20"/>
          <w:lang w:val="en"/>
        </w:rPr>
        <w:t>Public health hazard categories</w:t>
      </w:r>
      <w:r w:rsidRPr="0093769B">
        <w:rPr>
          <w:rStyle w:val="Strong"/>
          <w:rFonts w:asciiTheme="minorHAnsi" w:eastAsiaTheme="majorEastAsia" w:hAnsiTheme="minorHAnsi"/>
          <w:color w:val="000000"/>
          <w:sz w:val="20"/>
          <w:szCs w:val="20"/>
          <w:lang w:val="en"/>
        </w:rPr>
        <w:t xml:space="preserve"> - </w:t>
      </w:r>
      <w:r w:rsidRPr="0093769B">
        <w:rPr>
          <w:rFonts w:asciiTheme="minorHAnsi" w:hAnsiTheme="minorHAnsi"/>
          <w:color w:val="000000"/>
          <w:sz w:val="20"/>
          <w:szCs w:val="20"/>
          <w:lang w:val="en"/>
        </w:rPr>
        <w:t xml:space="preserve">Public health hazard categories are statements used in PHAs about whether environmental conditions in a community are such that people could be harmed by conditions present at the site in the past, present, or future. One or more hazard categories might be appropriate for each site. There are five public health hazard categories (ATSDR, 2005). 1) </w:t>
      </w:r>
      <w:r w:rsidRPr="0093769B">
        <w:rPr>
          <w:rStyle w:val="Strong"/>
          <w:rFonts w:asciiTheme="minorHAnsi" w:eastAsiaTheme="majorEastAsia" w:hAnsiTheme="minorHAnsi"/>
          <w:i/>
          <w:color w:val="000000"/>
          <w:sz w:val="20"/>
          <w:szCs w:val="20"/>
          <w:lang w:val="en"/>
        </w:rPr>
        <w:t>No public health hazard</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A category used in ATSDR's public health assessment documents for sites where people have never and will never come into contact with harmful amounts of site-related substances.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2) </w:t>
      </w:r>
      <w:r w:rsidRPr="0093769B">
        <w:rPr>
          <w:rStyle w:val="Strong"/>
          <w:rFonts w:asciiTheme="minorHAnsi" w:eastAsiaTheme="majorEastAsia" w:hAnsiTheme="minorHAnsi"/>
          <w:i/>
          <w:color w:val="000000"/>
          <w:sz w:val="20"/>
          <w:szCs w:val="20"/>
          <w:lang w:val="en"/>
        </w:rPr>
        <w:t xml:space="preserve">No apparent 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human exposure to contaminated media might be occurring, might have occurred in the past, or might occur in the future, but where the exposure is not expected to cause any harmful health effects.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3) </w:t>
      </w:r>
      <w:r w:rsidRPr="0093769B">
        <w:rPr>
          <w:rStyle w:val="Strong"/>
          <w:rFonts w:asciiTheme="minorHAnsi" w:eastAsiaTheme="majorEastAsia" w:hAnsiTheme="minorHAnsi"/>
          <w:i/>
          <w:color w:val="000000"/>
          <w:sz w:val="20"/>
          <w:szCs w:val="20"/>
          <w:lang w:val="en"/>
        </w:rPr>
        <w:t>Indeterminate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xml:space="preserve">The category used in ATSDR's public health assessment documents when a professional judgment about the level of health hazard cannot be made because information critical to such a decision is lacking. 4) </w:t>
      </w:r>
      <w:r w:rsidRPr="0093769B">
        <w:rPr>
          <w:rStyle w:val="Strong"/>
          <w:rFonts w:asciiTheme="minorHAnsi" w:eastAsiaTheme="majorEastAsia" w:hAnsiTheme="minorHAnsi"/>
          <w:i/>
          <w:color w:val="000000"/>
          <w:sz w:val="20"/>
          <w:szCs w:val="20"/>
          <w:lang w:val="en"/>
        </w:rPr>
        <w:t xml:space="preserve">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 xml:space="preserve">A category used in ATSDR's public health assessments for sites that pose a public health hazard because of long-term exposures (greater than 1 year) to sufficiently high levels of hazardous substances or radionuclides that could result in harmful health effects. 5) </w:t>
      </w:r>
      <w:r w:rsidRPr="0093769B">
        <w:rPr>
          <w:rStyle w:val="Strong"/>
          <w:rFonts w:asciiTheme="minorHAnsi" w:eastAsiaTheme="majorEastAsia" w:hAnsiTheme="minorHAnsi"/>
          <w:i/>
          <w:color w:val="000000"/>
          <w:sz w:val="20"/>
          <w:szCs w:val="20"/>
          <w:lang w:val="en"/>
        </w:rPr>
        <w:t>Urgent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short-term exposures (less than 1 year) to hazardous substances or conditions could result in harmful health effects that require rapid intervention.</w:t>
      </w:r>
      <w:r w:rsidRPr="00A75CA3">
        <w:rPr>
          <w:rFonts w:asciiTheme="minorHAnsi" w:hAnsiTheme="minorHAnsi"/>
          <w:color w:val="000000"/>
          <w:sz w:val="20"/>
          <w:szCs w:val="20"/>
          <w:lang w:val="en"/>
        </w:rPr>
        <w:t xml:space="preserve"> </w:t>
      </w:r>
    </w:p>
    <w:p w:rsidR="00D90405" w:rsidRDefault="00D90405" w:rsidP="005E0ADE">
      <w:pPr>
        <w:pStyle w:val="FootnoteText"/>
      </w:pPr>
    </w:p>
  </w:footnote>
  <w:footnote w:id="3">
    <w:p w:rsidR="00D90405" w:rsidRPr="00A75CA3" w:rsidRDefault="00D90405" w:rsidP="001F69B8">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The APPLETREE cooperative agreement program (Award No.TS14-1403) specifies that funded state, tribal, and territorial partners are limited to conducting nonresearch EIs. For these, ATSDR may provide technical assistance. The ATSDR Science Support Branch may lead either nonresearch EIs or </w:t>
      </w:r>
      <w:r>
        <w:rPr>
          <w:rFonts w:asciiTheme="minorHAnsi" w:hAnsiTheme="minorHAnsi"/>
        </w:rPr>
        <w:t xml:space="preserve">nonresearch </w:t>
      </w:r>
      <w:r w:rsidRPr="00A75CA3">
        <w:rPr>
          <w:rFonts w:asciiTheme="minorHAnsi" w:hAnsiTheme="minorHAnsi"/>
        </w:rPr>
        <w:t>EIs expanded beyond basic service to include potential activities requiring institutional review board (IRB) approval.</w:t>
      </w:r>
    </w:p>
  </w:footnote>
  <w:footnote w:id="4">
    <w:p w:rsidR="00D90405" w:rsidRPr="00A75CA3" w:rsidRDefault="00D90405" w:rsidP="001F69B8">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hyperlink r:id="rId2" w:history="1">
        <w:r w:rsidRPr="00A75CA3">
          <w:rPr>
            <w:rStyle w:val="Hyperlink"/>
            <w:rFonts w:asciiTheme="minorHAnsi" w:hAnsiTheme="minorHAnsi"/>
          </w:rPr>
          <w:t>http://www.atsdr.cdc.gov/hac/PHAManual/PDFs/PHAGM_final1-27-05.pdf</w:t>
        </w:r>
      </w:hyperlink>
      <w:r w:rsidRPr="00A75CA3">
        <w:rPr>
          <w:rFonts w:asciiTheme="minorHAnsi" w:hAnsiTheme="minorHAnsi"/>
        </w:rPr>
        <w:t>. See Page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05" w:rsidRDefault="00D90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05" w:rsidRDefault="00D90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405" w:rsidRDefault="00D90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5A7DFD"/>
    <w:multiLevelType w:val="multilevel"/>
    <w:tmpl w:val="8C6819F4"/>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90916"/>
    <w:multiLevelType w:val="hybridMultilevel"/>
    <w:tmpl w:val="804ED732"/>
    <w:lvl w:ilvl="0" w:tplc="89C2682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0C8038F2"/>
    <w:multiLevelType w:val="hybridMultilevel"/>
    <w:tmpl w:val="BBF4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F5960"/>
    <w:multiLevelType w:val="hybridMultilevel"/>
    <w:tmpl w:val="FD38D7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8B581B"/>
    <w:multiLevelType w:val="hybridMultilevel"/>
    <w:tmpl w:val="D1566D2A"/>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56FD9"/>
    <w:multiLevelType w:val="hybridMultilevel"/>
    <w:tmpl w:val="5E2C4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92D"/>
    <w:multiLevelType w:val="hybridMultilevel"/>
    <w:tmpl w:val="49CA4D1A"/>
    <w:lvl w:ilvl="0" w:tplc="43FEE6F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D53F9"/>
    <w:multiLevelType w:val="hybridMultilevel"/>
    <w:tmpl w:val="78D06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4D7994"/>
    <w:multiLevelType w:val="hybridMultilevel"/>
    <w:tmpl w:val="ABDC8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8E486C"/>
    <w:multiLevelType w:val="hybridMultilevel"/>
    <w:tmpl w:val="583A36A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637AD8"/>
    <w:multiLevelType w:val="hybridMultilevel"/>
    <w:tmpl w:val="05E8D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2678A9"/>
    <w:multiLevelType w:val="hybridMultilevel"/>
    <w:tmpl w:val="5BE03D64"/>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4">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nsid w:val="44843BB9"/>
    <w:multiLevelType w:val="hybridMultilevel"/>
    <w:tmpl w:val="BFF0ED8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3D4F14"/>
    <w:multiLevelType w:val="hybridMultilevel"/>
    <w:tmpl w:val="B9F43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B2B46B8"/>
    <w:multiLevelType w:val="hybridMultilevel"/>
    <w:tmpl w:val="794485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7A1778"/>
    <w:multiLevelType w:val="hybridMultilevel"/>
    <w:tmpl w:val="2E20DD8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nsid w:val="6D68059C"/>
    <w:multiLevelType w:val="hybridMultilevel"/>
    <w:tmpl w:val="D0C01106"/>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nsid w:val="6EFE4BFA"/>
    <w:multiLevelType w:val="hybridMultilevel"/>
    <w:tmpl w:val="CC7C46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FD3D46"/>
    <w:multiLevelType w:val="hybridMultilevel"/>
    <w:tmpl w:val="6E647882"/>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6"/>
  </w:num>
  <w:num w:numId="3">
    <w:abstractNumId w:val="34"/>
  </w:num>
  <w:num w:numId="4">
    <w:abstractNumId w:val="15"/>
  </w:num>
  <w:num w:numId="5">
    <w:abstractNumId w:val="48"/>
  </w:num>
  <w:num w:numId="6">
    <w:abstractNumId w:val="22"/>
  </w:num>
  <w:num w:numId="7">
    <w:abstractNumId w:val="33"/>
  </w:num>
  <w:num w:numId="8">
    <w:abstractNumId w:val="36"/>
  </w:num>
  <w:num w:numId="9">
    <w:abstractNumId w:val="1"/>
  </w:num>
  <w:num w:numId="10">
    <w:abstractNumId w:val="39"/>
  </w:num>
  <w:num w:numId="11">
    <w:abstractNumId w:val="4"/>
  </w:num>
  <w:num w:numId="12">
    <w:abstractNumId w:val="16"/>
  </w:num>
  <w:num w:numId="13">
    <w:abstractNumId w:val="35"/>
  </w:num>
  <w:num w:numId="14">
    <w:abstractNumId w:val="29"/>
  </w:num>
  <w:num w:numId="15">
    <w:abstractNumId w:val="5"/>
  </w:num>
  <w:num w:numId="16">
    <w:abstractNumId w:val="40"/>
  </w:num>
  <w:num w:numId="17">
    <w:abstractNumId w:val="49"/>
  </w:num>
  <w:num w:numId="18">
    <w:abstractNumId w:val="13"/>
  </w:num>
  <w:num w:numId="19">
    <w:abstractNumId w:val="25"/>
  </w:num>
  <w:num w:numId="20">
    <w:abstractNumId w:val="12"/>
  </w:num>
  <w:num w:numId="21">
    <w:abstractNumId w:val="18"/>
  </w:num>
  <w:num w:numId="22">
    <w:abstractNumId w:val="30"/>
  </w:num>
  <w:num w:numId="23">
    <w:abstractNumId w:val="45"/>
  </w:num>
  <w:num w:numId="24">
    <w:abstractNumId w:val="8"/>
  </w:num>
  <w:num w:numId="25">
    <w:abstractNumId w:val="20"/>
  </w:num>
  <w:num w:numId="26">
    <w:abstractNumId w:val="38"/>
  </w:num>
  <w:num w:numId="27">
    <w:abstractNumId w:val="44"/>
  </w:num>
  <w:num w:numId="28">
    <w:abstractNumId w:val="24"/>
  </w:num>
  <w:num w:numId="29">
    <w:abstractNumId w:val="19"/>
  </w:num>
  <w:num w:numId="30">
    <w:abstractNumId w:val="31"/>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26"/>
  </w:num>
  <w:num w:numId="35">
    <w:abstractNumId w:val="47"/>
  </w:num>
  <w:num w:numId="36">
    <w:abstractNumId w:val="7"/>
  </w:num>
  <w:num w:numId="37">
    <w:abstractNumId w:val="17"/>
  </w:num>
  <w:num w:numId="38">
    <w:abstractNumId w:val="41"/>
  </w:num>
  <w:num w:numId="39">
    <w:abstractNumId w:val="42"/>
  </w:num>
  <w:num w:numId="40">
    <w:abstractNumId w:val="23"/>
  </w:num>
  <w:num w:numId="41">
    <w:abstractNumId w:val="32"/>
  </w:num>
  <w:num w:numId="42">
    <w:abstractNumId w:val="37"/>
  </w:num>
  <w:num w:numId="43">
    <w:abstractNumId w:val="11"/>
  </w:num>
  <w:num w:numId="44">
    <w:abstractNumId w:val="28"/>
  </w:num>
  <w:num w:numId="45">
    <w:abstractNumId w:val="2"/>
  </w:num>
  <w:num w:numId="46">
    <w:abstractNumId w:val="14"/>
  </w:num>
  <w:num w:numId="47">
    <w:abstractNumId w:val="10"/>
  </w:num>
  <w:num w:numId="48">
    <w:abstractNumId w:val="6"/>
  </w:num>
  <w:num w:numId="49">
    <w:abstractNumId w:val="21"/>
  </w:num>
  <w:num w:numId="50">
    <w:abstractNumId w:val="3"/>
  </w:num>
  <w:num w:numId="51">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689D"/>
    <w:rsid w:val="000071D1"/>
    <w:rsid w:val="00013DB5"/>
    <w:rsid w:val="0002168F"/>
    <w:rsid w:val="00026800"/>
    <w:rsid w:val="000273E9"/>
    <w:rsid w:val="00027B1B"/>
    <w:rsid w:val="00040E13"/>
    <w:rsid w:val="00040F4A"/>
    <w:rsid w:val="00041111"/>
    <w:rsid w:val="00044260"/>
    <w:rsid w:val="00045A02"/>
    <w:rsid w:val="00045A93"/>
    <w:rsid w:val="00047490"/>
    <w:rsid w:val="00051810"/>
    <w:rsid w:val="00051816"/>
    <w:rsid w:val="00051B38"/>
    <w:rsid w:val="000622F3"/>
    <w:rsid w:val="00064766"/>
    <w:rsid w:val="00065509"/>
    <w:rsid w:val="00070327"/>
    <w:rsid w:val="000712F6"/>
    <w:rsid w:val="00072010"/>
    <w:rsid w:val="00075A8C"/>
    <w:rsid w:val="00076C74"/>
    <w:rsid w:val="000771B9"/>
    <w:rsid w:val="0007753E"/>
    <w:rsid w:val="00094108"/>
    <w:rsid w:val="00094E12"/>
    <w:rsid w:val="000A16FA"/>
    <w:rsid w:val="000A204D"/>
    <w:rsid w:val="000A30A8"/>
    <w:rsid w:val="000A4BD7"/>
    <w:rsid w:val="000A5AC6"/>
    <w:rsid w:val="000A6E17"/>
    <w:rsid w:val="000A77B0"/>
    <w:rsid w:val="000B0207"/>
    <w:rsid w:val="000B14F2"/>
    <w:rsid w:val="000C37D4"/>
    <w:rsid w:val="000E7FAD"/>
    <w:rsid w:val="00100D0E"/>
    <w:rsid w:val="00102B2A"/>
    <w:rsid w:val="00103DFD"/>
    <w:rsid w:val="00104051"/>
    <w:rsid w:val="00105B40"/>
    <w:rsid w:val="00106836"/>
    <w:rsid w:val="00107476"/>
    <w:rsid w:val="00110839"/>
    <w:rsid w:val="00110D29"/>
    <w:rsid w:val="0011321F"/>
    <w:rsid w:val="00116841"/>
    <w:rsid w:val="001232E4"/>
    <w:rsid w:val="00123A3D"/>
    <w:rsid w:val="00124561"/>
    <w:rsid w:val="00126C43"/>
    <w:rsid w:val="001317DF"/>
    <w:rsid w:val="00132004"/>
    <w:rsid w:val="001324C6"/>
    <w:rsid w:val="001346BF"/>
    <w:rsid w:val="00135B7A"/>
    <w:rsid w:val="001372DB"/>
    <w:rsid w:val="0013764F"/>
    <w:rsid w:val="0014151A"/>
    <w:rsid w:val="001417E6"/>
    <w:rsid w:val="00142483"/>
    <w:rsid w:val="00147AEA"/>
    <w:rsid w:val="00147C52"/>
    <w:rsid w:val="00150025"/>
    <w:rsid w:val="0015103C"/>
    <w:rsid w:val="00151318"/>
    <w:rsid w:val="00157E41"/>
    <w:rsid w:val="00160A9B"/>
    <w:rsid w:val="001626E8"/>
    <w:rsid w:val="00163C21"/>
    <w:rsid w:val="00167A15"/>
    <w:rsid w:val="001727C1"/>
    <w:rsid w:val="00176AF4"/>
    <w:rsid w:val="00177ABE"/>
    <w:rsid w:val="001804FB"/>
    <w:rsid w:val="00185386"/>
    <w:rsid w:val="001855E3"/>
    <w:rsid w:val="00186009"/>
    <w:rsid w:val="001872E6"/>
    <w:rsid w:val="00196C12"/>
    <w:rsid w:val="001A15F9"/>
    <w:rsid w:val="001A4F23"/>
    <w:rsid w:val="001A51F0"/>
    <w:rsid w:val="001A5EC6"/>
    <w:rsid w:val="001A6CC9"/>
    <w:rsid w:val="001B2712"/>
    <w:rsid w:val="001B3522"/>
    <w:rsid w:val="001B734F"/>
    <w:rsid w:val="001C066E"/>
    <w:rsid w:val="001C1DD5"/>
    <w:rsid w:val="001C1EE7"/>
    <w:rsid w:val="001C268C"/>
    <w:rsid w:val="001C27CC"/>
    <w:rsid w:val="001C3DDC"/>
    <w:rsid w:val="001C3EBE"/>
    <w:rsid w:val="001C562C"/>
    <w:rsid w:val="001D391B"/>
    <w:rsid w:val="001D5105"/>
    <w:rsid w:val="001D56E7"/>
    <w:rsid w:val="001D657C"/>
    <w:rsid w:val="001D693B"/>
    <w:rsid w:val="001D75CC"/>
    <w:rsid w:val="001D79B7"/>
    <w:rsid w:val="001E0C3E"/>
    <w:rsid w:val="001E27D7"/>
    <w:rsid w:val="001E4026"/>
    <w:rsid w:val="001E595A"/>
    <w:rsid w:val="001F19FD"/>
    <w:rsid w:val="001F1D97"/>
    <w:rsid w:val="001F23DF"/>
    <w:rsid w:val="001F3995"/>
    <w:rsid w:val="001F4FFA"/>
    <w:rsid w:val="001F53D2"/>
    <w:rsid w:val="001F5BDA"/>
    <w:rsid w:val="001F69B8"/>
    <w:rsid w:val="00201308"/>
    <w:rsid w:val="00201AAB"/>
    <w:rsid w:val="00202C21"/>
    <w:rsid w:val="00203A62"/>
    <w:rsid w:val="00204DD3"/>
    <w:rsid w:val="0020541F"/>
    <w:rsid w:val="002064EF"/>
    <w:rsid w:val="00206A3D"/>
    <w:rsid w:val="00206AAE"/>
    <w:rsid w:val="00212CAD"/>
    <w:rsid w:val="00214343"/>
    <w:rsid w:val="00215202"/>
    <w:rsid w:val="00217843"/>
    <w:rsid w:val="002203E0"/>
    <w:rsid w:val="00227817"/>
    <w:rsid w:val="0023081C"/>
    <w:rsid w:val="00231951"/>
    <w:rsid w:val="00236267"/>
    <w:rsid w:val="0023630E"/>
    <w:rsid w:val="002369DA"/>
    <w:rsid w:val="00236AAD"/>
    <w:rsid w:val="002379B5"/>
    <w:rsid w:val="0024399D"/>
    <w:rsid w:val="00244F46"/>
    <w:rsid w:val="00251BD8"/>
    <w:rsid w:val="00254244"/>
    <w:rsid w:val="00257CB9"/>
    <w:rsid w:val="002605A1"/>
    <w:rsid w:val="00261399"/>
    <w:rsid w:val="00263DFC"/>
    <w:rsid w:val="00265663"/>
    <w:rsid w:val="002701E6"/>
    <w:rsid w:val="0027054A"/>
    <w:rsid w:val="00271118"/>
    <w:rsid w:val="00271C0C"/>
    <w:rsid w:val="002742F1"/>
    <w:rsid w:val="00274D11"/>
    <w:rsid w:val="002771FE"/>
    <w:rsid w:val="00283881"/>
    <w:rsid w:val="0028491D"/>
    <w:rsid w:val="00287A8C"/>
    <w:rsid w:val="00287B5A"/>
    <w:rsid w:val="00290F85"/>
    <w:rsid w:val="002928DF"/>
    <w:rsid w:val="002930EC"/>
    <w:rsid w:val="00294E11"/>
    <w:rsid w:val="002963AE"/>
    <w:rsid w:val="002A1AB0"/>
    <w:rsid w:val="002A3E2D"/>
    <w:rsid w:val="002A7697"/>
    <w:rsid w:val="002B1D7C"/>
    <w:rsid w:val="002B4569"/>
    <w:rsid w:val="002C06A1"/>
    <w:rsid w:val="002C0E76"/>
    <w:rsid w:val="002C1279"/>
    <w:rsid w:val="002C2A8D"/>
    <w:rsid w:val="002C645E"/>
    <w:rsid w:val="002C6753"/>
    <w:rsid w:val="002D3A9E"/>
    <w:rsid w:val="002D5D7E"/>
    <w:rsid w:val="002E0397"/>
    <w:rsid w:val="002E06C8"/>
    <w:rsid w:val="002E2E4E"/>
    <w:rsid w:val="002E3422"/>
    <w:rsid w:val="002E368A"/>
    <w:rsid w:val="002E3C81"/>
    <w:rsid w:val="002E4498"/>
    <w:rsid w:val="002E48A7"/>
    <w:rsid w:val="002E618B"/>
    <w:rsid w:val="002F0763"/>
    <w:rsid w:val="002F1EC0"/>
    <w:rsid w:val="002F31A8"/>
    <w:rsid w:val="002F3924"/>
    <w:rsid w:val="002F4AB5"/>
    <w:rsid w:val="00302CC4"/>
    <w:rsid w:val="003057DB"/>
    <w:rsid w:val="00306413"/>
    <w:rsid w:val="00307FE7"/>
    <w:rsid w:val="003113D2"/>
    <w:rsid w:val="00313B28"/>
    <w:rsid w:val="00314F48"/>
    <w:rsid w:val="00316980"/>
    <w:rsid w:val="0031787C"/>
    <w:rsid w:val="00320135"/>
    <w:rsid w:val="00320B22"/>
    <w:rsid w:val="003210B3"/>
    <w:rsid w:val="00323C10"/>
    <w:rsid w:val="003248A4"/>
    <w:rsid w:val="00326844"/>
    <w:rsid w:val="00330703"/>
    <w:rsid w:val="0033105E"/>
    <w:rsid w:val="00332993"/>
    <w:rsid w:val="00340A12"/>
    <w:rsid w:val="00340E99"/>
    <w:rsid w:val="00342BA4"/>
    <w:rsid w:val="00342D07"/>
    <w:rsid w:val="00346573"/>
    <w:rsid w:val="00346C4C"/>
    <w:rsid w:val="00346E41"/>
    <w:rsid w:val="003506B8"/>
    <w:rsid w:val="003507B3"/>
    <w:rsid w:val="00354A4E"/>
    <w:rsid w:val="00354E0E"/>
    <w:rsid w:val="00355B97"/>
    <w:rsid w:val="00360896"/>
    <w:rsid w:val="00360BBB"/>
    <w:rsid w:val="00361201"/>
    <w:rsid w:val="00361AF0"/>
    <w:rsid w:val="0036445D"/>
    <w:rsid w:val="003648A2"/>
    <w:rsid w:val="00364CCC"/>
    <w:rsid w:val="0036566F"/>
    <w:rsid w:val="00365885"/>
    <w:rsid w:val="00365B89"/>
    <w:rsid w:val="00366D0E"/>
    <w:rsid w:val="003712EB"/>
    <w:rsid w:val="003717C7"/>
    <w:rsid w:val="00373456"/>
    <w:rsid w:val="00376FC4"/>
    <w:rsid w:val="003810E2"/>
    <w:rsid w:val="00383848"/>
    <w:rsid w:val="00385207"/>
    <w:rsid w:val="00386C3A"/>
    <w:rsid w:val="00387C4A"/>
    <w:rsid w:val="00390A29"/>
    <w:rsid w:val="00390B2D"/>
    <w:rsid w:val="00391007"/>
    <w:rsid w:val="00391758"/>
    <w:rsid w:val="00391972"/>
    <w:rsid w:val="003924FB"/>
    <w:rsid w:val="00394893"/>
    <w:rsid w:val="003977AB"/>
    <w:rsid w:val="003A007B"/>
    <w:rsid w:val="003A0349"/>
    <w:rsid w:val="003A0A70"/>
    <w:rsid w:val="003A2F76"/>
    <w:rsid w:val="003A4B8F"/>
    <w:rsid w:val="003A5DD1"/>
    <w:rsid w:val="003B1968"/>
    <w:rsid w:val="003B2A57"/>
    <w:rsid w:val="003B3057"/>
    <w:rsid w:val="003C0795"/>
    <w:rsid w:val="003C0CED"/>
    <w:rsid w:val="003C14CE"/>
    <w:rsid w:val="003C21A1"/>
    <w:rsid w:val="003C4886"/>
    <w:rsid w:val="003C530B"/>
    <w:rsid w:val="003D385C"/>
    <w:rsid w:val="003D3E78"/>
    <w:rsid w:val="003D702E"/>
    <w:rsid w:val="003D7C7F"/>
    <w:rsid w:val="003E092D"/>
    <w:rsid w:val="003E7D3C"/>
    <w:rsid w:val="003F2C06"/>
    <w:rsid w:val="003F51BF"/>
    <w:rsid w:val="003F612D"/>
    <w:rsid w:val="003F6A54"/>
    <w:rsid w:val="003F7043"/>
    <w:rsid w:val="003F7954"/>
    <w:rsid w:val="003F7A9B"/>
    <w:rsid w:val="00404F5C"/>
    <w:rsid w:val="0040594D"/>
    <w:rsid w:val="00407AD4"/>
    <w:rsid w:val="00407B3E"/>
    <w:rsid w:val="00411D9C"/>
    <w:rsid w:val="00413951"/>
    <w:rsid w:val="004154B7"/>
    <w:rsid w:val="00416242"/>
    <w:rsid w:val="0042567B"/>
    <w:rsid w:val="00427BDB"/>
    <w:rsid w:val="004302E3"/>
    <w:rsid w:val="004302E9"/>
    <w:rsid w:val="00432FC8"/>
    <w:rsid w:val="00434368"/>
    <w:rsid w:val="00434825"/>
    <w:rsid w:val="00434990"/>
    <w:rsid w:val="00434A3F"/>
    <w:rsid w:val="00436064"/>
    <w:rsid w:val="004417A7"/>
    <w:rsid w:val="00441874"/>
    <w:rsid w:val="00441D1E"/>
    <w:rsid w:val="00442E8E"/>
    <w:rsid w:val="0044654D"/>
    <w:rsid w:val="00450735"/>
    <w:rsid w:val="004516F8"/>
    <w:rsid w:val="00451BBD"/>
    <w:rsid w:val="00453CF0"/>
    <w:rsid w:val="00455158"/>
    <w:rsid w:val="00455277"/>
    <w:rsid w:val="004558AD"/>
    <w:rsid w:val="0045726C"/>
    <w:rsid w:val="00462755"/>
    <w:rsid w:val="00462CB7"/>
    <w:rsid w:val="00463291"/>
    <w:rsid w:val="00465813"/>
    <w:rsid w:val="004677EB"/>
    <w:rsid w:val="0047610D"/>
    <w:rsid w:val="00476284"/>
    <w:rsid w:val="0047778A"/>
    <w:rsid w:val="00477BB5"/>
    <w:rsid w:val="00480FC6"/>
    <w:rsid w:val="00482B47"/>
    <w:rsid w:val="004834F8"/>
    <w:rsid w:val="00483E2D"/>
    <w:rsid w:val="004863C6"/>
    <w:rsid w:val="00486F93"/>
    <w:rsid w:val="0049091C"/>
    <w:rsid w:val="004939F0"/>
    <w:rsid w:val="00496470"/>
    <w:rsid w:val="00496C37"/>
    <w:rsid w:val="004976CC"/>
    <w:rsid w:val="004A0C8C"/>
    <w:rsid w:val="004A3C34"/>
    <w:rsid w:val="004A7B18"/>
    <w:rsid w:val="004B091D"/>
    <w:rsid w:val="004B13A5"/>
    <w:rsid w:val="004B1E79"/>
    <w:rsid w:val="004B2746"/>
    <w:rsid w:val="004B69EF"/>
    <w:rsid w:val="004B7E0F"/>
    <w:rsid w:val="004C37C5"/>
    <w:rsid w:val="004C604A"/>
    <w:rsid w:val="004C78BB"/>
    <w:rsid w:val="004D194E"/>
    <w:rsid w:val="004D21C9"/>
    <w:rsid w:val="004D3245"/>
    <w:rsid w:val="004D621C"/>
    <w:rsid w:val="004D6B87"/>
    <w:rsid w:val="004D7237"/>
    <w:rsid w:val="004E1D4C"/>
    <w:rsid w:val="004E29A9"/>
    <w:rsid w:val="004E3771"/>
    <w:rsid w:val="004E3F14"/>
    <w:rsid w:val="004E40CE"/>
    <w:rsid w:val="004E580C"/>
    <w:rsid w:val="004E5B73"/>
    <w:rsid w:val="004E62B1"/>
    <w:rsid w:val="004E7FB2"/>
    <w:rsid w:val="004F0165"/>
    <w:rsid w:val="004F1320"/>
    <w:rsid w:val="004F1D6F"/>
    <w:rsid w:val="004F3917"/>
    <w:rsid w:val="004F5FCE"/>
    <w:rsid w:val="004F7387"/>
    <w:rsid w:val="004F7591"/>
    <w:rsid w:val="005027A4"/>
    <w:rsid w:val="00510452"/>
    <w:rsid w:val="00514EA6"/>
    <w:rsid w:val="00522949"/>
    <w:rsid w:val="00523A2A"/>
    <w:rsid w:val="00524D01"/>
    <w:rsid w:val="00525695"/>
    <w:rsid w:val="00531A6D"/>
    <w:rsid w:val="0054007F"/>
    <w:rsid w:val="0054047D"/>
    <w:rsid w:val="0054053A"/>
    <w:rsid w:val="005407DB"/>
    <w:rsid w:val="00541808"/>
    <w:rsid w:val="00543DCF"/>
    <w:rsid w:val="00543FF4"/>
    <w:rsid w:val="005442F7"/>
    <w:rsid w:val="00544418"/>
    <w:rsid w:val="0054470C"/>
    <w:rsid w:val="005459BB"/>
    <w:rsid w:val="0055030C"/>
    <w:rsid w:val="00551931"/>
    <w:rsid w:val="00552D02"/>
    <w:rsid w:val="00561D9D"/>
    <w:rsid w:val="00563D35"/>
    <w:rsid w:val="005655A6"/>
    <w:rsid w:val="00566D2A"/>
    <w:rsid w:val="0057192D"/>
    <w:rsid w:val="00572450"/>
    <w:rsid w:val="005773F6"/>
    <w:rsid w:val="00581C29"/>
    <w:rsid w:val="00582703"/>
    <w:rsid w:val="0058290A"/>
    <w:rsid w:val="00583B69"/>
    <w:rsid w:val="00585152"/>
    <w:rsid w:val="005918F7"/>
    <w:rsid w:val="005967A9"/>
    <w:rsid w:val="00597B55"/>
    <w:rsid w:val="005A033A"/>
    <w:rsid w:val="005A1E38"/>
    <w:rsid w:val="005A5FA1"/>
    <w:rsid w:val="005B03EC"/>
    <w:rsid w:val="005B07B8"/>
    <w:rsid w:val="005B191C"/>
    <w:rsid w:val="005B610F"/>
    <w:rsid w:val="005B6239"/>
    <w:rsid w:val="005B6E55"/>
    <w:rsid w:val="005B7771"/>
    <w:rsid w:val="005C33C7"/>
    <w:rsid w:val="005C34DF"/>
    <w:rsid w:val="005C465C"/>
    <w:rsid w:val="005C7CF0"/>
    <w:rsid w:val="005D0DDF"/>
    <w:rsid w:val="005D31AE"/>
    <w:rsid w:val="005E0AD5"/>
    <w:rsid w:val="005E0ADE"/>
    <w:rsid w:val="005E69D1"/>
    <w:rsid w:val="005E7243"/>
    <w:rsid w:val="005F0539"/>
    <w:rsid w:val="005F2ADA"/>
    <w:rsid w:val="00601F1A"/>
    <w:rsid w:val="0060347C"/>
    <w:rsid w:val="00603C64"/>
    <w:rsid w:val="006065B9"/>
    <w:rsid w:val="00606634"/>
    <w:rsid w:val="006105E5"/>
    <w:rsid w:val="00610DFB"/>
    <w:rsid w:val="0061306C"/>
    <w:rsid w:val="0061311B"/>
    <w:rsid w:val="00614A15"/>
    <w:rsid w:val="00614ABC"/>
    <w:rsid w:val="00617C0E"/>
    <w:rsid w:val="006206E1"/>
    <w:rsid w:val="006223BF"/>
    <w:rsid w:val="00622648"/>
    <w:rsid w:val="00622886"/>
    <w:rsid w:val="00623105"/>
    <w:rsid w:val="00623EE7"/>
    <w:rsid w:val="006261A9"/>
    <w:rsid w:val="006316B5"/>
    <w:rsid w:val="006322DF"/>
    <w:rsid w:val="00637B9C"/>
    <w:rsid w:val="00637DF7"/>
    <w:rsid w:val="0064011A"/>
    <w:rsid w:val="0064474F"/>
    <w:rsid w:val="00644EA1"/>
    <w:rsid w:val="006453F6"/>
    <w:rsid w:val="006461D4"/>
    <w:rsid w:val="00647EBF"/>
    <w:rsid w:val="00653F5D"/>
    <w:rsid w:val="00654A1D"/>
    <w:rsid w:val="006562A8"/>
    <w:rsid w:val="006570C6"/>
    <w:rsid w:val="00662400"/>
    <w:rsid w:val="00664763"/>
    <w:rsid w:val="00664ABF"/>
    <w:rsid w:val="00666272"/>
    <w:rsid w:val="0066681D"/>
    <w:rsid w:val="006679B3"/>
    <w:rsid w:val="0067759A"/>
    <w:rsid w:val="0068062A"/>
    <w:rsid w:val="006806D2"/>
    <w:rsid w:val="00681BC2"/>
    <w:rsid w:val="00684E9A"/>
    <w:rsid w:val="006851AD"/>
    <w:rsid w:val="006855D0"/>
    <w:rsid w:val="006971FA"/>
    <w:rsid w:val="006A1D99"/>
    <w:rsid w:val="006B486C"/>
    <w:rsid w:val="006B5B71"/>
    <w:rsid w:val="006B6A68"/>
    <w:rsid w:val="006B7E68"/>
    <w:rsid w:val="006C00B3"/>
    <w:rsid w:val="006C448B"/>
    <w:rsid w:val="006C4FDD"/>
    <w:rsid w:val="006C51A7"/>
    <w:rsid w:val="006C528B"/>
    <w:rsid w:val="006C52D0"/>
    <w:rsid w:val="006C6445"/>
    <w:rsid w:val="006C6578"/>
    <w:rsid w:val="006C6F2C"/>
    <w:rsid w:val="006C7820"/>
    <w:rsid w:val="006D1B41"/>
    <w:rsid w:val="006D349D"/>
    <w:rsid w:val="006D35F6"/>
    <w:rsid w:val="006D3D2C"/>
    <w:rsid w:val="006D432C"/>
    <w:rsid w:val="006D4FB7"/>
    <w:rsid w:val="006E334B"/>
    <w:rsid w:val="006F125A"/>
    <w:rsid w:val="006F2B95"/>
    <w:rsid w:val="006F66B2"/>
    <w:rsid w:val="00702423"/>
    <w:rsid w:val="00702996"/>
    <w:rsid w:val="00702BFD"/>
    <w:rsid w:val="0070512A"/>
    <w:rsid w:val="007157E4"/>
    <w:rsid w:val="0072106B"/>
    <w:rsid w:val="0072405E"/>
    <w:rsid w:val="00725912"/>
    <w:rsid w:val="00726E14"/>
    <w:rsid w:val="00727EDB"/>
    <w:rsid w:val="00727F70"/>
    <w:rsid w:val="00734F65"/>
    <w:rsid w:val="00740EDF"/>
    <w:rsid w:val="007439A2"/>
    <w:rsid w:val="007504EA"/>
    <w:rsid w:val="007532D4"/>
    <w:rsid w:val="007541E5"/>
    <w:rsid w:val="00754C47"/>
    <w:rsid w:val="00754F1A"/>
    <w:rsid w:val="00755987"/>
    <w:rsid w:val="007565A5"/>
    <w:rsid w:val="00763C8E"/>
    <w:rsid w:val="00771A9A"/>
    <w:rsid w:val="007756CB"/>
    <w:rsid w:val="00780544"/>
    <w:rsid w:val="007829B4"/>
    <w:rsid w:val="0078366D"/>
    <w:rsid w:val="00783896"/>
    <w:rsid w:val="007841D0"/>
    <w:rsid w:val="007902BD"/>
    <w:rsid w:val="00790966"/>
    <w:rsid w:val="0079260A"/>
    <w:rsid w:val="00794160"/>
    <w:rsid w:val="0079794C"/>
    <w:rsid w:val="00797B1C"/>
    <w:rsid w:val="007A2363"/>
    <w:rsid w:val="007A422D"/>
    <w:rsid w:val="007A4BAC"/>
    <w:rsid w:val="007A57FD"/>
    <w:rsid w:val="007A5A11"/>
    <w:rsid w:val="007A5A47"/>
    <w:rsid w:val="007A6725"/>
    <w:rsid w:val="007A7A76"/>
    <w:rsid w:val="007A7DF3"/>
    <w:rsid w:val="007B1E0A"/>
    <w:rsid w:val="007B3A78"/>
    <w:rsid w:val="007B505D"/>
    <w:rsid w:val="007B5AA7"/>
    <w:rsid w:val="007C090F"/>
    <w:rsid w:val="007C145D"/>
    <w:rsid w:val="007C25FE"/>
    <w:rsid w:val="007C46F5"/>
    <w:rsid w:val="007C5BB8"/>
    <w:rsid w:val="007D206B"/>
    <w:rsid w:val="007D4152"/>
    <w:rsid w:val="007D4F53"/>
    <w:rsid w:val="007D55AD"/>
    <w:rsid w:val="007E36E8"/>
    <w:rsid w:val="007E6427"/>
    <w:rsid w:val="007F1D07"/>
    <w:rsid w:val="007F3330"/>
    <w:rsid w:val="007F6841"/>
    <w:rsid w:val="007F6CB2"/>
    <w:rsid w:val="007F7CAF"/>
    <w:rsid w:val="0080091A"/>
    <w:rsid w:val="00803390"/>
    <w:rsid w:val="00805875"/>
    <w:rsid w:val="00807133"/>
    <w:rsid w:val="0080765F"/>
    <w:rsid w:val="00810A9E"/>
    <w:rsid w:val="00817403"/>
    <w:rsid w:val="00820DBF"/>
    <w:rsid w:val="00821D80"/>
    <w:rsid w:val="0082222A"/>
    <w:rsid w:val="0082388A"/>
    <w:rsid w:val="00824698"/>
    <w:rsid w:val="008266BD"/>
    <w:rsid w:val="00830EB8"/>
    <w:rsid w:val="00832C83"/>
    <w:rsid w:val="00833D8D"/>
    <w:rsid w:val="00836499"/>
    <w:rsid w:val="00837C67"/>
    <w:rsid w:val="0084082A"/>
    <w:rsid w:val="00841214"/>
    <w:rsid w:val="00841F6B"/>
    <w:rsid w:val="00844BB6"/>
    <w:rsid w:val="00845576"/>
    <w:rsid w:val="008458FA"/>
    <w:rsid w:val="00846F82"/>
    <w:rsid w:val="00847DB7"/>
    <w:rsid w:val="0085194F"/>
    <w:rsid w:val="00853428"/>
    <w:rsid w:val="00853C63"/>
    <w:rsid w:val="008552A0"/>
    <w:rsid w:val="008606A3"/>
    <w:rsid w:val="00861D3A"/>
    <w:rsid w:val="008705D5"/>
    <w:rsid w:val="008777DD"/>
    <w:rsid w:val="00877F7C"/>
    <w:rsid w:val="008802C8"/>
    <w:rsid w:val="00882793"/>
    <w:rsid w:val="0088344A"/>
    <w:rsid w:val="00886ECD"/>
    <w:rsid w:val="00887415"/>
    <w:rsid w:val="008960B8"/>
    <w:rsid w:val="0089651E"/>
    <w:rsid w:val="008A254B"/>
    <w:rsid w:val="008A6EA6"/>
    <w:rsid w:val="008A7703"/>
    <w:rsid w:val="008B5D54"/>
    <w:rsid w:val="008B6A7E"/>
    <w:rsid w:val="008C0677"/>
    <w:rsid w:val="008C0720"/>
    <w:rsid w:val="008C154D"/>
    <w:rsid w:val="008C36BB"/>
    <w:rsid w:val="008C46E9"/>
    <w:rsid w:val="008C6811"/>
    <w:rsid w:val="008D1AE4"/>
    <w:rsid w:val="008D2B70"/>
    <w:rsid w:val="008D4FD2"/>
    <w:rsid w:val="008D678D"/>
    <w:rsid w:val="008E1058"/>
    <w:rsid w:val="008E3A6C"/>
    <w:rsid w:val="008E47E6"/>
    <w:rsid w:val="008E49FD"/>
    <w:rsid w:val="008E7A31"/>
    <w:rsid w:val="008F0707"/>
    <w:rsid w:val="008F26E1"/>
    <w:rsid w:val="008F6D26"/>
    <w:rsid w:val="008F6E48"/>
    <w:rsid w:val="0090078A"/>
    <w:rsid w:val="00901E43"/>
    <w:rsid w:val="00904FB6"/>
    <w:rsid w:val="0090515B"/>
    <w:rsid w:val="00905EE4"/>
    <w:rsid w:val="00906B16"/>
    <w:rsid w:val="0091320B"/>
    <w:rsid w:val="00913909"/>
    <w:rsid w:val="00915629"/>
    <w:rsid w:val="009163A4"/>
    <w:rsid w:val="0091651D"/>
    <w:rsid w:val="009253D4"/>
    <w:rsid w:val="00925F13"/>
    <w:rsid w:val="00927137"/>
    <w:rsid w:val="00930D68"/>
    <w:rsid w:val="00932BF5"/>
    <w:rsid w:val="009363D4"/>
    <w:rsid w:val="0093769B"/>
    <w:rsid w:val="00940376"/>
    <w:rsid w:val="00943FCF"/>
    <w:rsid w:val="009452BF"/>
    <w:rsid w:val="009459EE"/>
    <w:rsid w:val="00952BF9"/>
    <w:rsid w:val="009535EC"/>
    <w:rsid w:val="009577A5"/>
    <w:rsid w:val="00962A73"/>
    <w:rsid w:val="00963A1F"/>
    <w:rsid w:val="00964F8C"/>
    <w:rsid w:val="00965C2A"/>
    <w:rsid w:val="00975121"/>
    <w:rsid w:val="009758DC"/>
    <w:rsid w:val="00976EBB"/>
    <w:rsid w:val="0098061E"/>
    <w:rsid w:val="009831E2"/>
    <w:rsid w:val="00990A77"/>
    <w:rsid w:val="009948CC"/>
    <w:rsid w:val="009977B4"/>
    <w:rsid w:val="009A107B"/>
    <w:rsid w:val="009A379F"/>
    <w:rsid w:val="009A57A2"/>
    <w:rsid w:val="009A5BFB"/>
    <w:rsid w:val="009A6C91"/>
    <w:rsid w:val="009B26BF"/>
    <w:rsid w:val="009B2D11"/>
    <w:rsid w:val="009B46AF"/>
    <w:rsid w:val="009B4E9B"/>
    <w:rsid w:val="009B6C89"/>
    <w:rsid w:val="009B6DBA"/>
    <w:rsid w:val="009B765E"/>
    <w:rsid w:val="009C4626"/>
    <w:rsid w:val="009C49EF"/>
    <w:rsid w:val="009C654B"/>
    <w:rsid w:val="009C6CAA"/>
    <w:rsid w:val="009C7ACF"/>
    <w:rsid w:val="009D2718"/>
    <w:rsid w:val="009D43FB"/>
    <w:rsid w:val="009D6CD7"/>
    <w:rsid w:val="009D6EBD"/>
    <w:rsid w:val="009D73DE"/>
    <w:rsid w:val="009D7F7F"/>
    <w:rsid w:val="009E2A28"/>
    <w:rsid w:val="009E313A"/>
    <w:rsid w:val="009E4B22"/>
    <w:rsid w:val="009E7B1B"/>
    <w:rsid w:val="00A007C5"/>
    <w:rsid w:val="00A01CE9"/>
    <w:rsid w:val="00A036BD"/>
    <w:rsid w:val="00A10A8C"/>
    <w:rsid w:val="00A131F4"/>
    <w:rsid w:val="00A148A3"/>
    <w:rsid w:val="00A150EF"/>
    <w:rsid w:val="00A22372"/>
    <w:rsid w:val="00A226DC"/>
    <w:rsid w:val="00A22B44"/>
    <w:rsid w:val="00A22E60"/>
    <w:rsid w:val="00A233C5"/>
    <w:rsid w:val="00A30192"/>
    <w:rsid w:val="00A321C9"/>
    <w:rsid w:val="00A40E0B"/>
    <w:rsid w:val="00A414FE"/>
    <w:rsid w:val="00A43C9D"/>
    <w:rsid w:val="00A446D4"/>
    <w:rsid w:val="00A44E58"/>
    <w:rsid w:val="00A45AE6"/>
    <w:rsid w:val="00A50CA1"/>
    <w:rsid w:val="00A51051"/>
    <w:rsid w:val="00A518F1"/>
    <w:rsid w:val="00A520A5"/>
    <w:rsid w:val="00A54359"/>
    <w:rsid w:val="00A54AB1"/>
    <w:rsid w:val="00A54B92"/>
    <w:rsid w:val="00A561BB"/>
    <w:rsid w:val="00A578A7"/>
    <w:rsid w:val="00A6012F"/>
    <w:rsid w:val="00A609A6"/>
    <w:rsid w:val="00A635F0"/>
    <w:rsid w:val="00A64299"/>
    <w:rsid w:val="00A65244"/>
    <w:rsid w:val="00A6592C"/>
    <w:rsid w:val="00A65BAD"/>
    <w:rsid w:val="00A664B4"/>
    <w:rsid w:val="00A6728E"/>
    <w:rsid w:val="00A70A6F"/>
    <w:rsid w:val="00A71627"/>
    <w:rsid w:val="00A73A59"/>
    <w:rsid w:val="00A75CA3"/>
    <w:rsid w:val="00A76AE0"/>
    <w:rsid w:val="00A81AAF"/>
    <w:rsid w:val="00A84084"/>
    <w:rsid w:val="00A84859"/>
    <w:rsid w:val="00A85F25"/>
    <w:rsid w:val="00A866D5"/>
    <w:rsid w:val="00A90B82"/>
    <w:rsid w:val="00A931CD"/>
    <w:rsid w:val="00A94610"/>
    <w:rsid w:val="00A96751"/>
    <w:rsid w:val="00A96F70"/>
    <w:rsid w:val="00AA03E9"/>
    <w:rsid w:val="00AA2343"/>
    <w:rsid w:val="00AA2F28"/>
    <w:rsid w:val="00AA54F3"/>
    <w:rsid w:val="00AB09FF"/>
    <w:rsid w:val="00AB12D6"/>
    <w:rsid w:val="00AB1776"/>
    <w:rsid w:val="00AB18A6"/>
    <w:rsid w:val="00AB2DFE"/>
    <w:rsid w:val="00AB3C31"/>
    <w:rsid w:val="00AB3CEB"/>
    <w:rsid w:val="00AB46DB"/>
    <w:rsid w:val="00AC15F6"/>
    <w:rsid w:val="00AC4C7D"/>
    <w:rsid w:val="00AC5BD1"/>
    <w:rsid w:val="00AC62CC"/>
    <w:rsid w:val="00AC76C2"/>
    <w:rsid w:val="00AD362D"/>
    <w:rsid w:val="00AD4E9D"/>
    <w:rsid w:val="00AD5E41"/>
    <w:rsid w:val="00AD6A63"/>
    <w:rsid w:val="00AE0D27"/>
    <w:rsid w:val="00AE1D9F"/>
    <w:rsid w:val="00AE36F7"/>
    <w:rsid w:val="00AE5246"/>
    <w:rsid w:val="00AF0689"/>
    <w:rsid w:val="00AF1245"/>
    <w:rsid w:val="00AF3796"/>
    <w:rsid w:val="00AF7E84"/>
    <w:rsid w:val="00B0217E"/>
    <w:rsid w:val="00B0320A"/>
    <w:rsid w:val="00B04C37"/>
    <w:rsid w:val="00B04CD7"/>
    <w:rsid w:val="00B10E0C"/>
    <w:rsid w:val="00B128A4"/>
    <w:rsid w:val="00B15E05"/>
    <w:rsid w:val="00B209BD"/>
    <w:rsid w:val="00B2287C"/>
    <w:rsid w:val="00B266F0"/>
    <w:rsid w:val="00B31C4B"/>
    <w:rsid w:val="00B3235B"/>
    <w:rsid w:val="00B32586"/>
    <w:rsid w:val="00B362F9"/>
    <w:rsid w:val="00B366FC"/>
    <w:rsid w:val="00B405D8"/>
    <w:rsid w:val="00B40DFF"/>
    <w:rsid w:val="00B45002"/>
    <w:rsid w:val="00B45779"/>
    <w:rsid w:val="00B459A6"/>
    <w:rsid w:val="00B4706E"/>
    <w:rsid w:val="00B4734F"/>
    <w:rsid w:val="00B5095A"/>
    <w:rsid w:val="00B50EA9"/>
    <w:rsid w:val="00B53975"/>
    <w:rsid w:val="00B55735"/>
    <w:rsid w:val="00B56E8A"/>
    <w:rsid w:val="00B572CF"/>
    <w:rsid w:val="00B608AC"/>
    <w:rsid w:val="00B62148"/>
    <w:rsid w:val="00B655CA"/>
    <w:rsid w:val="00B65C2F"/>
    <w:rsid w:val="00B65C54"/>
    <w:rsid w:val="00B67D13"/>
    <w:rsid w:val="00B713EB"/>
    <w:rsid w:val="00B72FE1"/>
    <w:rsid w:val="00B753C2"/>
    <w:rsid w:val="00B81631"/>
    <w:rsid w:val="00B82B61"/>
    <w:rsid w:val="00B82D34"/>
    <w:rsid w:val="00B855BC"/>
    <w:rsid w:val="00B909F9"/>
    <w:rsid w:val="00B9184D"/>
    <w:rsid w:val="00B9186E"/>
    <w:rsid w:val="00B91B41"/>
    <w:rsid w:val="00B92BFB"/>
    <w:rsid w:val="00B9370C"/>
    <w:rsid w:val="00B95D90"/>
    <w:rsid w:val="00B97C3B"/>
    <w:rsid w:val="00BA0CB2"/>
    <w:rsid w:val="00BA1042"/>
    <w:rsid w:val="00BA2D35"/>
    <w:rsid w:val="00BA2DBE"/>
    <w:rsid w:val="00BA3350"/>
    <w:rsid w:val="00BA4A65"/>
    <w:rsid w:val="00BA60FD"/>
    <w:rsid w:val="00BA6BB7"/>
    <w:rsid w:val="00BB0E8E"/>
    <w:rsid w:val="00BB3447"/>
    <w:rsid w:val="00BB375A"/>
    <w:rsid w:val="00BB5AE3"/>
    <w:rsid w:val="00BB7DB3"/>
    <w:rsid w:val="00BC17AA"/>
    <w:rsid w:val="00BC44F1"/>
    <w:rsid w:val="00BD094E"/>
    <w:rsid w:val="00BD24A8"/>
    <w:rsid w:val="00BD4653"/>
    <w:rsid w:val="00BD5A55"/>
    <w:rsid w:val="00BD70C4"/>
    <w:rsid w:val="00BD7198"/>
    <w:rsid w:val="00BE035C"/>
    <w:rsid w:val="00BE14E2"/>
    <w:rsid w:val="00BE223E"/>
    <w:rsid w:val="00BE5BD0"/>
    <w:rsid w:val="00BE6013"/>
    <w:rsid w:val="00BE6F95"/>
    <w:rsid w:val="00BE76A2"/>
    <w:rsid w:val="00BE7F98"/>
    <w:rsid w:val="00BF041E"/>
    <w:rsid w:val="00BF3E5B"/>
    <w:rsid w:val="00BF4CCB"/>
    <w:rsid w:val="00BF54B7"/>
    <w:rsid w:val="00BF6C67"/>
    <w:rsid w:val="00C000CD"/>
    <w:rsid w:val="00C00DE8"/>
    <w:rsid w:val="00C03179"/>
    <w:rsid w:val="00C0357E"/>
    <w:rsid w:val="00C04509"/>
    <w:rsid w:val="00C0561A"/>
    <w:rsid w:val="00C10248"/>
    <w:rsid w:val="00C10594"/>
    <w:rsid w:val="00C10AE3"/>
    <w:rsid w:val="00C1136E"/>
    <w:rsid w:val="00C11E84"/>
    <w:rsid w:val="00C1323F"/>
    <w:rsid w:val="00C13936"/>
    <w:rsid w:val="00C13959"/>
    <w:rsid w:val="00C14779"/>
    <w:rsid w:val="00C17718"/>
    <w:rsid w:val="00C17A31"/>
    <w:rsid w:val="00C26766"/>
    <w:rsid w:val="00C30230"/>
    <w:rsid w:val="00C314B6"/>
    <w:rsid w:val="00C32985"/>
    <w:rsid w:val="00C35140"/>
    <w:rsid w:val="00C36D9E"/>
    <w:rsid w:val="00C378A0"/>
    <w:rsid w:val="00C409FC"/>
    <w:rsid w:val="00C432CE"/>
    <w:rsid w:val="00C50474"/>
    <w:rsid w:val="00C54298"/>
    <w:rsid w:val="00C564AD"/>
    <w:rsid w:val="00C56C35"/>
    <w:rsid w:val="00C63466"/>
    <w:rsid w:val="00C63A84"/>
    <w:rsid w:val="00C63AD7"/>
    <w:rsid w:val="00C70072"/>
    <w:rsid w:val="00C72C51"/>
    <w:rsid w:val="00C773A9"/>
    <w:rsid w:val="00C829E4"/>
    <w:rsid w:val="00C833F5"/>
    <w:rsid w:val="00C836A1"/>
    <w:rsid w:val="00C87025"/>
    <w:rsid w:val="00C929D2"/>
    <w:rsid w:val="00C92BCB"/>
    <w:rsid w:val="00CA2658"/>
    <w:rsid w:val="00CA2BE2"/>
    <w:rsid w:val="00CA4658"/>
    <w:rsid w:val="00CA72CD"/>
    <w:rsid w:val="00CA736B"/>
    <w:rsid w:val="00CB0BD9"/>
    <w:rsid w:val="00CB14BD"/>
    <w:rsid w:val="00CB17F2"/>
    <w:rsid w:val="00CB18A3"/>
    <w:rsid w:val="00CB3898"/>
    <w:rsid w:val="00CB3F82"/>
    <w:rsid w:val="00CB4B3C"/>
    <w:rsid w:val="00CB747C"/>
    <w:rsid w:val="00CC5E8D"/>
    <w:rsid w:val="00CD11AD"/>
    <w:rsid w:val="00CD2300"/>
    <w:rsid w:val="00CD61DE"/>
    <w:rsid w:val="00CD7A35"/>
    <w:rsid w:val="00CE4B47"/>
    <w:rsid w:val="00CE70D0"/>
    <w:rsid w:val="00CE71F8"/>
    <w:rsid w:val="00CE76C1"/>
    <w:rsid w:val="00CF24E4"/>
    <w:rsid w:val="00CF7412"/>
    <w:rsid w:val="00CF7455"/>
    <w:rsid w:val="00CF766A"/>
    <w:rsid w:val="00D00836"/>
    <w:rsid w:val="00D01949"/>
    <w:rsid w:val="00D0295E"/>
    <w:rsid w:val="00D02999"/>
    <w:rsid w:val="00D07EA8"/>
    <w:rsid w:val="00D12B9C"/>
    <w:rsid w:val="00D134C0"/>
    <w:rsid w:val="00D14962"/>
    <w:rsid w:val="00D150A8"/>
    <w:rsid w:val="00D16598"/>
    <w:rsid w:val="00D179EA"/>
    <w:rsid w:val="00D20211"/>
    <w:rsid w:val="00D2041B"/>
    <w:rsid w:val="00D21504"/>
    <w:rsid w:val="00D22285"/>
    <w:rsid w:val="00D22A94"/>
    <w:rsid w:val="00D234B1"/>
    <w:rsid w:val="00D30BDF"/>
    <w:rsid w:val="00D312D8"/>
    <w:rsid w:val="00D32500"/>
    <w:rsid w:val="00D40128"/>
    <w:rsid w:val="00D408B1"/>
    <w:rsid w:val="00D40D1B"/>
    <w:rsid w:val="00D431BD"/>
    <w:rsid w:val="00D476FA"/>
    <w:rsid w:val="00D51816"/>
    <w:rsid w:val="00D5249F"/>
    <w:rsid w:val="00D5424F"/>
    <w:rsid w:val="00D54C0F"/>
    <w:rsid w:val="00D5583A"/>
    <w:rsid w:val="00D62EE3"/>
    <w:rsid w:val="00D6445F"/>
    <w:rsid w:val="00D6587B"/>
    <w:rsid w:val="00D66728"/>
    <w:rsid w:val="00D67B08"/>
    <w:rsid w:val="00D72EA8"/>
    <w:rsid w:val="00D73C5A"/>
    <w:rsid w:val="00D80860"/>
    <w:rsid w:val="00D815D4"/>
    <w:rsid w:val="00D83A5F"/>
    <w:rsid w:val="00D84506"/>
    <w:rsid w:val="00D857BF"/>
    <w:rsid w:val="00D87606"/>
    <w:rsid w:val="00D90405"/>
    <w:rsid w:val="00D91D4C"/>
    <w:rsid w:val="00D938F7"/>
    <w:rsid w:val="00D9512F"/>
    <w:rsid w:val="00DA1B46"/>
    <w:rsid w:val="00DA1FD9"/>
    <w:rsid w:val="00DA2BC4"/>
    <w:rsid w:val="00DA42ED"/>
    <w:rsid w:val="00DA54A6"/>
    <w:rsid w:val="00DA5A96"/>
    <w:rsid w:val="00DA6118"/>
    <w:rsid w:val="00DA6302"/>
    <w:rsid w:val="00DA6BBB"/>
    <w:rsid w:val="00DB2341"/>
    <w:rsid w:val="00DB40A8"/>
    <w:rsid w:val="00DB4709"/>
    <w:rsid w:val="00DC4062"/>
    <w:rsid w:val="00DC57CC"/>
    <w:rsid w:val="00DC7E2A"/>
    <w:rsid w:val="00DD046B"/>
    <w:rsid w:val="00DD160E"/>
    <w:rsid w:val="00DD30E1"/>
    <w:rsid w:val="00DD528E"/>
    <w:rsid w:val="00DD5C03"/>
    <w:rsid w:val="00DD787D"/>
    <w:rsid w:val="00DD7989"/>
    <w:rsid w:val="00DD7ABB"/>
    <w:rsid w:val="00DD7E27"/>
    <w:rsid w:val="00DE0E6C"/>
    <w:rsid w:val="00DE4582"/>
    <w:rsid w:val="00DE5708"/>
    <w:rsid w:val="00DE72A9"/>
    <w:rsid w:val="00DF258E"/>
    <w:rsid w:val="00DF25B0"/>
    <w:rsid w:val="00DF2BF4"/>
    <w:rsid w:val="00DF5F5A"/>
    <w:rsid w:val="00E00EAC"/>
    <w:rsid w:val="00E04DCB"/>
    <w:rsid w:val="00E073FF"/>
    <w:rsid w:val="00E11F63"/>
    <w:rsid w:val="00E22E3A"/>
    <w:rsid w:val="00E25AB9"/>
    <w:rsid w:val="00E26D57"/>
    <w:rsid w:val="00E2725E"/>
    <w:rsid w:val="00E278FC"/>
    <w:rsid w:val="00E3707E"/>
    <w:rsid w:val="00E44C4F"/>
    <w:rsid w:val="00E47940"/>
    <w:rsid w:val="00E52423"/>
    <w:rsid w:val="00E52761"/>
    <w:rsid w:val="00E53CD8"/>
    <w:rsid w:val="00E64C21"/>
    <w:rsid w:val="00E665AD"/>
    <w:rsid w:val="00E71A5F"/>
    <w:rsid w:val="00E73243"/>
    <w:rsid w:val="00E733C0"/>
    <w:rsid w:val="00E73437"/>
    <w:rsid w:val="00E73BE0"/>
    <w:rsid w:val="00E747E6"/>
    <w:rsid w:val="00E75B19"/>
    <w:rsid w:val="00E75CE7"/>
    <w:rsid w:val="00E82C63"/>
    <w:rsid w:val="00E85215"/>
    <w:rsid w:val="00E857BB"/>
    <w:rsid w:val="00E90502"/>
    <w:rsid w:val="00E95E60"/>
    <w:rsid w:val="00EA0849"/>
    <w:rsid w:val="00EA18CA"/>
    <w:rsid w:val="00EA2AFC"/>
    <w:rsid w:val="00EA3339"/>
    <w:rsid w:val="00EA52EC"/>
    <w:rsid w:val="00EA538D"/>
    <w:rsid w:val="00EA55C0"/>
    <w:rsid w:val="00EA6B9A"/>
    <w:rsid w:val="00EA7430"/>
    <w:rsid w:val="00EB0B5C"/>
    <w:rsid w:val="00EB246C"/>
    <w:rsid w:val="00EB565B"/>
    <w:rsid w:val="00EB58A7"/>
    <w:rsid w:val="00EC073D"/>
    <w:rsid w:val="00EC1D86"/>
    <w:rsid w:val="00EC5E2E"/>
    <w:rsid w:val="00EC64FB"/>
    <w:rsid w:val="00ED0D0E"/>
    <w:rsid w:val="00ED3BED"/>
    <w:rsid w:val="00ED4142"/>
    <w:rsid w:val="00ED614F"/>
    <w:rsid w:val="00ED72E9"/>
    <w:rsid w:val="00ED73C0"/>
    <w:rsid w:val="00EE15A7"/>
    <w:rsid w:val="00EE2130"/>
    <w:rsid w:val="00EE2348"/>
    <w:rsid w:val="00EE7CF9"/>
    <w:rsid w:val="00EF0F25"/>
    <w:rsid w:val="00EF1013"/>
    <w:rsid w:val="00EF1E08"/>
    <w:rsid w:val="00EF1ECD"/>
    <w:rsid w:val="00EF274E"/>
    <w:rsid w:val="00EF4047"/>
    <w:rsid w:val="00EF674C"/>
    <w:rsid w:val="00EF7611"/>
    <w:rsid w:val="00F0210B"/>
    <w:rsid w:val="00F024E8"/>
    <w:rsid w:val="00F02CD0"/>
    <w:rsid w:val="00F04E5E"/>
    <w:rsid w:val="00F067F5"/>
    <w:rsid w:val="00F1279E"/>
    <w:rsid w:val="00F12AD6"/>
    <w:rsid w:val="00F13451"/>
    <w:rsid w:val="00F1603C"/>
    <w:rsid w:val="00F16DA0"/>
    <w:rsid w:val="00F1710D"/>
    <w:rsid w:val="00F20B48"/>
    <w:rsid w:val="00F219A6"/>
    <w:rsid w:val="00F226AD"/>
    <w:rsid w:val="00F2353B"/>
    <w:rsid w:val="00F23A4F"/>
    <w:rsid w:val="00F2476B"/>
    <w:rsid w:val="00F24E79"/>
    <w:rsid w:val="00F262CE"/>
    <w:rsid w:val="00F26AD2"/>
    <w:rsid w:val="00F30919"/>
    <w:rsid w:val="00F32FA5"/>
    <w:rsid w:val="00F33B65"/>
    <w:rsid w:val="00F36E99"/>
    <w:rsid w:val="00F546BB"/>
    <w:rsid w:val="00F55293"/>
    <w:rsid w:val="00F557E4"/>
    <w:rsid w:val="00F55A46"/>
    <w:rsid w:val="00F6029C"/>
    <w:rsid w:val="00F61266"/>
    <w:rsid w:val="00F63FAF"/>
    <w:rsid w:val="00F643DD"/>
    <w:rsid w:val="00F7214F"/>
    <w:rsid w:val="00F77C21"/>
    <w:rsid w:val="00F8030A"/>
    <w:rsid w:val="00F82AF2"/>
    <w:rsid w:val="00F84FB5"/>
    <w:rsid w:val="00F86B2F"/>
    <w:rsid w:val="00F86B72"/>
    <w:rsid w:val="00F90B8D"/>
    <w:rsid w:val="00F916B5"/>
    <w:rsid w:val="00F91C38"/>
    <w:rsid w:val="00F93CE5"/>
    <w:rsid w:val="00FA159B"/>
    <w:rsid w:val="00FA4342"/>
    <w:rsid w:val="00FA4DE0"/>
    <w:rsid w:val="00FA77F8"/>
    <w:rsid w:val="00FB25EB"/>
    <w:rsid w:val="00FB3333"/>
    <w:rsid w:val="00FB6BD6"/>
    <w:rsid w:val="00FC2F2A"/>
    <w:rsid w:val="00FC5B5A"/>
    <w:rsid w:val="00FD00E5"/>
    <w:rsid w:val="00FD7AA9"/>
    <w:rsid w:val="00FE1B08"/>
    <w:rsid w:val="00FE4142"/>
    <w:rsid w:val="00FE5AEA"/>
    <w:rsid w:val="00FE60FC"/>
    <w:rsid w:val="00FF0E18"/>
    <w:rsid w:val="00FF6D29"/>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B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ListParagraphChar">
    <w:name w:val="List Paragraph Char"/>
    <w:basedOn w:val="DefaultParagraphFont"/>
    <w:link w:val="ListParagraph"/>
    <w:uiPriority w:val="34"/>
    <w:locked/>
    <w:rsid w:val="00441D1E"/>
  </w:style>
  <w:style w:type="paragraph" w:styleId="FootnoteText">
    <w:name w:val="footnote text"/>
    <w:basedOn w:val="Normal"/>
    <w:link w:val="FootnoteTextChar"/>
    <w:uiPriority w:val="99"/>
    <w:semiHidden/>
    <w:unhideWhenUsed/>
    <w:rsid w:val="005E0A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E0ADE"/>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unhideWhenUsed/>
    <w:rsid w:val="005E0ADE"/>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ListParagraphChar">
    <w:name w:val="List Paragraph Char"/>
    <w:basedOn w:val="DefaultParagraphFont"/>
    <w:link w:val="ListParagraph"/>
    <w:uiPriority w:val="34"/>
    <w:locked/>
    <w:rsid w:val="00441D1E"/>
  </w:style>
  <w:style w:type="paragraph" w:styleId="FootnoteText">
    <w:name w:val="footnote text"/>
    <w:basedOn w:val="Normal"/>
    <w:link w:val="FootnoteTextChar"/>
    <w:uiPriority w:val="99"/>
    <w:semiHidden/>
    <w:unhideWhenUsed/>
    <w:rsid w:val="005E0A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E0ADE"/>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unhideWhenUsed/>
    <w:rsid w:val="005E0AD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93483">
      <w:bodyDiv w:val="1"/>
      <w:marLeft w:val="0"/>
      <w:marRight w:val="0"/>
      <w:marTop w:val="0"/>
      <w:marBottom w:val="0"/>
      <w:divBdr>
        <w:top w:val="none" w:sz="0" w:space="0" w:color="auto"/>
        <w:left w:val="none" w:sz="0" w:space="0" w:color="auto"/>
        <w:bottom w:val="none" w:sz="0" w:space="0" w:color="auto"/>
        <w:right w:val="none" w:sz="0" w:space="0" w:color="auto"/>
      </w:divBdr>
    </w:div>
    <w:div w:id="126974409">
      <w:bodyDiv w:val="1"/>
      <w:marLeft w:val="0"/>
      <w:marRight w:val="0"/>
      <w:marTop w:val="0"/>
      <w:marBottom w:val="0"/>
      <w:divBdr>
        <w:top w:val="none" w:sz="0" w:space="0" w:color="auto"/>
        <w:left w:val="none" w:sz="0" w:space="0" w:color="auto"/>
        <w:bottom w:val="none" w:sz="0" w:space="0" w:color="auto"/>
        <w:right w:val="none" w:sz="0" w:space="0" w:color="auto"/>
      </w:divBdr>
    </w:div>
    <w:div w:id="15650086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048375">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49103">
      <w:bodyDiv w:val="1"/>
      <w:marLeft w:val="0"/>
      <w:marRight w:val="0"/>
      <w:marTop w:val="0"/>
      <w:marBottom w:val="0"/>
      <w:divBdr>
        <w:top w:val="none" w:sz="0" w:space="0" w:color="auto"/>
        <w:left w:val="none" w:sz="0" w:space="0" w:color="auto"/>
        <w:bottom w:val="none" w:sz="0" w:space="0" w:color="auto"/>
        <w:right w:val="none" w:sz="0" w:space="0" w:color="auto"/>
      </w:divBdr>
    </w:div>
    <w:div w:id="58997346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35518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77970">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06147831">
      <w:bodyDiv w:val="1"/>
      <w:marLeft w:val="0"/>
      <w:marRight w:val="0"/>
      <w:marTop w:val="0"/>
      <w:marBottom w:val="0"/>
      <w:divBdr>
        <w:top w:val="none" w:sz="0" w:space="0" w:color="auto"/>
        <w:left w:val="none" w:sz="0" w:space="0" w:color="auto"/>
        <w:bottom w:val="none" w:sz="0" w:space="0" w:color="auto"/>
        <w:right w:val="none" w:sz="0" w:space="0" w:color="auto"/>
      </w:divBdr>
    </w:div>
    <w:div w:id="1129586876">
      <w:bodyDiv w:val="1"/>
      <w:marLeft w:val="0"/>
      <w:marRight w:val="0"/>
      <w:marTop w:val="0"/>
      <w:marBottom w:val="0"/>
      <w:divBdr>
        <w:top w:val="none" w:sz="0" w:space="0" w:color="auto"/>
        <w:left w:val="none" w:sz="0" w:space="0" w:color="auto"/>
        <w:bottom w:val="none" w:sz="0" w:space="0" w:color="auto"/>
        <w:right w:val="none" w:sz="0" w:space="0" w:color="auto"/>
      </w:divBdr>
    </w:div>
    <w:div w:id="1131361046">
      <w:bodyDiv w:val="1"/>
      <w:marLeft w:val="0"/>
      <w:marRight w:val="0"/>
      <w:marTop w:val="0"/>
      <w:marBottom w:val="0"/>
      <w:divBdr>
        <w:top w:val="none" w:sz="0" w:space="0" w:color="auto"/>
        <w:left w:val="none" w:sz="0" w:space="0" w:color="auto"/>
        <w:bottom w:val="none" w:sz="0" w:space="0" w:color="auto"/>
        <w:right w:val="none" w:sz="0" w:space="0" w:color="auto"/>
      </w:divBdr>
    </w:div>
    <w:div w:id="1156650023">
      <w:bodyDiv w:val="1"/>
      <w:marLeft w:val="0"/>
      <w:marRight w:val="0"/>
      <w:marTop w:val="0"/>
      <w:marBottom w:val="0"/>
      <w:divBdr>
        <w:top w:val="none" w:sz="0" w:space="0" w:color="auto"/>
        <w:left w:val="none" w:sz="0" w:space="0" w:color="auto"/>
        <w:bottom w:val="none" w:sz="0" w:space="0" w:color="auto"/>
        <w:right w:val="none" w:sz="0" w:space="0" w:color="auto"/>
      </w:divBdr>
    </w:div>
    <w:div w:id="1173884309">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11741">
      <w:bodyDiv w:val="1"/>
      <w:marLeft w:val="0"/>
      <w:marRight w:val="0"/>
      <w:marTop w:val="0"/>
      <w:marBottom w:val="0"/>
      <w:divBdr>
        <w:top w:val="none" w:sz="0" w:space="0" w:color="auto"/>
        <w:left w:val="none" w:sz="0" w:space="0" w:color="auto"/>
        <w:bottom w:val="none" w:sz="0" w:space="0" w:color="auto"/>
        <w:right w:val="none" w:sz="0" w:space="0" w:color="auto"/>
      </w:divBdr>
    </w:div>
    <w:div w:id="1361739497">
      <w:bodyDiv w:val="1"/>
      <w:marLeft w:val="0"/>
      <w:marRight w:val="0"/>
      <w:marTop w:val="0"/>
      <w:marBottom w:val="0"/>
      <w:divBdr>
        <w:top w:val="none" w:sz="0" w:space="0" w:color="auto"/>
        <w:left w:val="none" w:sz="0" w:space="0" w:color="auto"/>
        <w:bottom w:val="none" w:sz="0" w:space="0" w:color="auto"/>
        <w:right w:val="none" w:sz="0" w:space="0" w:color="auto"/>
      </w:divBdr>
    </w:div>
    <w:div w:id="1422066586">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88361">
      <w:bodyDiv w:val="1"/>
      <w:marLeft w:val="0"/>
      <w:marRight w:val="0"/>
      <w:marTop w:val="0"/>
      <w:marBottom w:val="0"/>
      <w:divBdr>
        <w:top w:val="none" w:sz="0" w:space="0" w:color="auto"/>
        <w:left w:val="none" w:sz="0" w:space="0" w:color="auto"/>
        <w:bottom w:val="none" w:sz="0" w:space="0" w:color="auto"/>
        <w:right w:val="none" w:sz="0" w:space="0" w:color="auto"/>
      </w:divBdr>
    </w:div>
    <w:div w:id="1845128162">
      <w:bodyDiv w:val="1"/>
      <w:marLeft w:val="0"/>
      <w:marRight w:val="0"/>
      <w:marTop w:val="0"/>
      <w:marBottom w:val="0"/>
      <w:divBdr>
        <w:top w:val="none" w:sz="0" w:space="0" w:color="auto"/>
        <w:left w:val="none" w:sz="0" w:space="0" w:color="auto"/>
        <w:bottom w:val="none" w:sz="0" w:space="0" w:color="auto"/>
        <w:right w:val="none" w:sz="0" w:space="0" w:color="auto"/>
      </w:divBdr>
    </w:div>
    <w:div w:id="1914076929">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763215">
      <w:bodyDiv w:val="1"/>
      <w:marLeft w:val="0"/>
      <w:marRight w:val="0"/>
      <w:marTop w:val="0"/>
      <w:marBottom w:val="0"/>
      <w:divBdr>
        <w:top w:val="none" w:sz="0" w:space="0" w:color="auto"/>
        <w:left w:val="none" w:sz="0" w:space="0" w:color="auto"/>
        <w:bottom w:val="none" w:sz="0" w:space="0" w:color="auto"/>
        <w:right w:val="none" w:sz="0" w:space="0" w:color="auto"/>
      </w:divBdr>
    </w:div>
    <w:div w:id="21142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exposurerepo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ederalregister.gov/articles/2012/11/15/2012-27533/statement-of-organization-functions-and-delegations-of-authorit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atsdr.cdc.gov/hac/PHAManual/PDFs/PHAGM_final1-27-05.pdf" TargetMode="External"/><Relationship Id="rId1" Type="http://schemas.openxmlformats.org/officeDocument/2006/relationships/hyperlink" Target="http://www.atsdr.cdc.gov/HAC/PHAManual/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393AC-D583-43C1-A0D1-0245B27A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2019-01-14T16:38:00Z</dcterms:created>
  <dcterms:modified xsi:type="dcterms:W3CDTF">2019-01-14T16:38:00Z</dcterms:modified>
</cp:coreProperties>
</file>