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72866" w14:textId="1DD10554" w:rsidR="00CA4CD6" w:rsidRDefault="00CA4CD6" w:rsidP="00A7661C">
      <w:pPr>
        <w:tabs>
          <w:tab w:val="center" w:pos="4680"/>
        </w:tabs>
        <w:jc w:val="center"/>
        <w:rPr>
          <w:b/>
          <w:bCs/>
        </w:rPr>
      </w:pPr>
      <w:bookmarkStart w:id="0" w:name="_GoBack"/>
      <w:bookmarkEnd w:id="0"/>
      <w:r>
        <w:rPr>
          <w:b/>
          <w:bCs/>
        </w:rPr>
        <w:t>SUPPORTING STATEMENT</w:t>
      </w:r>
    </w:p>
    <w:p w14:paraId="6A45A13A" w14:textId="77777777" w:rsidR="00CA4CD6" w:rsidRDefault="00CA4CD6" w:rsidP="00504745">
      <w:pPr>
        <w:tabs>
          <w:tab w:val="center" w:pos="4680"/>
        </w:tabs>
        <w:outlineLvl w:val="0"/>
      </w:pPr>
      <w:r>
        <w:rPr>
          <w:b/>
          <w:bCs/>
        </w:rPr>
        <w:tab/>
        <w:t>ENVIRONMENTAL PROTECTION AGENCY</w:t>
      </w:r>
    </w:p>
    <w:p w14:paraId="0C47158D" w14:textId="77777777" w:rsidR="00CA4CD6" w:rsidRDefault="00CA4CD6">
      <w:pPr>
        <w:tabs>
          <w:tab w:val="center" w:pos="4680"/>
        </w:tabs>
      </w:pPr>
      <w:r>
        <w:tab/>
      </w:r>
    </w:p>
    <w:p w14:paraId="1E126FC8" w14:textId="77777777" w:rsidR="00BE3AA3" w:rsidRDefault="00640BED" w:rsidP="00BE3AA3">
      <w:pPr>
        <w:jc w:val="center"/>
        <w:rPr>
          <w:b/>
          <w:bCs/>
        </w:rPr>
      </w:pPr>
      <w:r w:rsidRPr="00DA42D9">
        <w:rPr>
          <w:b/>
          <w:bCs/>
        </w:rPr>
        <w:t>NESHAP for Wet-Formed Fiberglass Mat Production</w:t>
      </w:r>
    </w:p>
    <w:p w14:paraId="44570FEA" w14:textId="79F28A3E" w:rsidR="00BE3AA3" w:rsidRDefault="00640BED" w:rsidP="00BE3AA3">
      <w:pPr>
        <w:jc w:val="center"/>
        <w:rPr>
          <w:b/>
        </w:rPr>
      </w:pPr>
      <w:r w:rsidRPr="00DA42D9">
        <w:rPr>
          <w:b/>
          <w:bCs/>
        </w:rPr>
        <w:t>(40 CFR Part 63, Subpart HHHH)</w:t>
      </w:r>
      <w:r w:rsidR="002B29A5" w:rsidRPr="00236DB3">
        <w:rPr>
          <w:b/>
          <w:color w:val="FF0000"/>
        </w:rPr>
        <w:t xml:space="preserve"> </w:t>
      </w:r>
      <w:r w:rsidR="002B29A5" w:rsidRPr="00236DB3">
        <w:rPr>
          <w:b/>
        </w:rPr>
        <w:t>(</w:t>
      </w:r>
      <w:r w:rsidR="000741C9">
        <w:rPr>
          <w:b/>
        </w:rPr>
        <w:t>Final Rule</w:t>
      </w:r>
      <w:r w:rsidR="002B29A5" w:rsidRPr="00236DB3">
        <w:rPr>
          <w:b/>
        </w:rPr>
        <w:t>)</w:t>
      </w:r>
    </w:p>
    <w:p w14:paraId="5B0A700E" w14:textId="755DE581" w:rsidR="00CA4CD6" w:rsidRDefault="000741C9" w:rsidP="00BE3AA3">
      <w:pPr>
        <w:jc w:val="center"/>
        <w:rPr>
          <w:b/>
        </w:rPr>
      </w:pPr>
      <w:r>
        <w:rPr>
          <w:b/>
        </w:rPr>
        <w:t>November</w:t>
      </w:r>
      <w:r w:rsidR="00BE3AA3">
        <w:rPr>
          <w:b/>
        </w:rPr>
        <w:t xml:space="preserve"> 2018</w:t>
      </w:r>
    </w:p>
    <w:p w14:paraId="3A79A014" w14:textId="77777777" w:rsidR="00171FD6" w:rsidRDefault="00171FD6" w:rsidP="00171FD6">
      <w:pPr>
        <w:rPr>
          <w:b/>
        </w:rPr>
      </w:pPr>
    </w:p>
    <w:p w14:paraId="66FEF4AF" w14:textId="77777777" w:rsidR="00171FD6" w:rsidRDefault="00171FD6" w:rsidP="00171FD6">
      <w:pPr>
        <w:rPr>
          <w:color w:val="000000"/>
        </w:rPr>
      </w:pPr>
      <w:r>
        <w:rPr>
          <w:b/>
        </w:rPr>
        <w:t>Part A of the Supporting Statement</w:t>
      </w:r>
    </w:p>
    <w:p w14:paraId="5DFDBA1C" w14:textId="77777777" w:rsidR="00CA4CD6" w:rsidRDefault="00CA4CD6">
      <w:pPr>
        <w:rPr>
          <w:color w:val="000000"/>
        </w:rPr>
      </w:pPr>
    </w:p>
    <w:p w14:paraId="69D9AA86" w14:textId="77777777" w:rsidR="00CA4CD6" w:rsidRDefault="00CA4CD6" w:rsidP="00504745">
      <w:pPr>
        <w:outlineLvl w:val="0"/>
        <w:rPr>
          <w:b/>
          <w:bCs/>
          <w:color w:val="000000"/>
        </w:rPr>
      </w:pPr>
      <w:r>
        <w:rPr>
          <w:b/>
          <w:bCs/>
          <w:color w:val="000000"/>
        </w:rPr>
        <w:t>1.  Identification of the Information Collection</w:t>
      </w:r>
    </w:p>
    <w:p w14:paraId="5E6FB52A" w14:textId="77777777" w:rsidR="00CA4CD6" w:rsidRDefault="00CA4CD6">
      <w:pPr>
        <w:rPr>
          <w:b/>
          <w:bCs/>
          <w:color w:val="000000"/>
        </w:rPr>
      </w:pPr>
    </w:p>
    <w:p w14:paraId="7E85E7F7" w14:textId="77777777" w:rsidR="00CA4CD6" w:rsidRDefault="00CA4CD6">
      <w:pPr>
        <w:ind w:firstLine="720"/>
        <w:rPr>
          <w:b/>
          <w:bCs/>
          <w:color w:val="000000"/>
        </w:rPr>
      </w:pPr>
      <w:r>
        <w:rPr>
          <w:b/>
          <w:bCs/>
          <w:color w:val="000000"/>
        </w:rPr>
        <w:t>1(a)  Title of the Information Collection</w:t>
      </w:r>
    </w:p>
    <w:p w14:paraId="7220FB85" w14:textId="77777777" w:rsidR="00CA4CD6" w:rsidRDefault="00CA4CD6">
      <w:pPr>
        <w:rPr>
          <w:b/>
          <w:bCs/>
          <w:color w:val="000000"/>
        </w:rPr>
      </w:pPr>
    </w:p>
    <w:p w14:paraId="765E02D7" w14:textId="431E5EDF" w:rsidR="00CA4CD6" w:rsidRPr="002B29A5" w:rsidRDefault="00171FD6" w:rsidP="00171FD6">
      <w:pPr>
        <w:ind w:firstLine="720"/>
        <w:rPr>
          <w:bCs/>
          <w:color w:val="000000"/>
        </w:rPr>
      </w:pPr>
      <w:r>
        <w:rPr>
          <w:bCs/>
        </w:rPr>
        <w:t>“</w:t>
      </w:r>
      <w:r w:rsidR="00640BED" w:rsidRPr="008F0E6C">
        <w:rPr>
          <w:bCs/>
        </w:rPr>
        <w:t>NESHAP for Wet-formed Fiberglass Mat Production (40 CFR Part 63, Subpart HHHH</w:t>
      </w:r>
      <w:r w:rsidR="00640BED" w:rsidRPr="00AF0D45">
        <w:rPr>
          <w:bCs/>
        </w:rPr>
        <w:t>)</w:t>
      </w:r>
      <w:r w:rsidR="00640BED" w:rsidRPr="00AF0D45" w:rsidDel="00640BED">
        <w:rPr>
          <w:bCs/>
          <w:color w:val="FF0000"/>
        </w:rPr>
        <w:t xml:space="preserve"> </w:t>
      </w:r>
      <w:r w:rsidR="002B29A5" w:rsidRPr="00AF0D45">
        <w:rPr>
          <w:bCs/>
        </w:rPr>
        <w:t>(</w:t>
      </w:r>
      <w:r w:rsidR="000513E6" w:rsidRPr="00AF0D45">
        <w:rPr>
          <w:bCs/>
        </w:rPr>
        <w:t>Final</w:t>
      </w:r>
      <w:r w:rsidR="000513E6">
        <w:rPr>
          <w:bCs/>
        </w:rPr>
        <w:t xml:space="preserve"> Rule</w:t>
      </w:r>
      <w:r w:rsidR="002B29A5" w:rsidRPr="004C5E95">
        <w:rPr>
          <w:bCs/>
        </w:rPr>
        <w:t>),</w:t>
      </w:r>
      <w:r>
        <w:rPr>
          <w:bCs/>
        </w:rPr>
        <w:t>”</w:t>
      </w:r>
      <w:r w:rsidR="002B29A5" w:rsidRPr="004C5E95">
        <w:rPr>
          <w:bCs/>
        </w:rPr>
        <w:t xml:space="preserve"> EPA ICR Number </w:t>
      </w:r>
      <w:r w:rsidR="00640BED">
        <w:rPr>
          <w:bCs/>
        </w:rPr>
        <w:t>1964.</w:t>
      </w:r>
      <w:r w:rsidR="001837E0" w:rsidRPr="004312E0">
        <w:rPr>
          <w:bCs/>
        </w:rPr>
        <w:t>09</w:t>
      </w:r>
      <w:r w:rsidR="00640BED" w:rsidRPr="001837E0">
        <w:rPr>
          <w:bCs/>
        </w:rPr>
        <w:t>,</w:t>
      </w:r>
      <w:r w:rsidR="002B29A5">
        <w:rPr>
          <w:bCs/>
          <w:color w:val="FF0000"/>
        </w:rPr>
        <w:t xml:space="preserve"> </w:t>
      </w:r>
      <w:r w:rsidR="002B29A5" w:rsidRPr="004C5E95">
        <w:rPr>
          <w:bCs/>
        </w:rPr>
        <w:t>OMB Control Number 2060-</w:t>
      </w:r>
      <w:r w:rsidR="00640BED">
        <w:rPr>
          <w:bCs/>
        </w:rPr>
        <w:t>0496</w:t>
      </w:r>
      <w:r w:rsidR="00640BED">
        <w:rPr>
          <w:bCs/>
          <w:color w:val="FF0000"/>
        </w:rPr>
        <w:t>.</w:t>
      </w:r>
      <w:r w:rsidR="002B29A5">
        <w:rPr>
          <w:bCs/>
          <w:color w:val="FF0000"/>
        </w:rPr>
        <w:t xml:space="preserve"> </w:t>
      </w:r>
    </w:p>
    <w:p w14:paraId="0F9FF71B" w14:textId="77777777" w:rsidR="00CA4CD6" w:rsidRDefault="00CA4CD6">
      <w:pPr>
        <w:rPr>
          <w:b/>
          <w:bCs/>
          <w:color w:val="000000"/>
        </w:rPr>
      </w:pPr>
    </w:p>
    <w:p w14:paraId="06D78A2C" w14:textId="77777777" w:rsidR="00CA4CD6" w:rsidRDefault="00CA4CD6">
      <w:pPr>
        <w:ind w:firstLine="720"/>
        <w:rPr>
          <w:color w:val="000000"/>
        </w:rPr>
      </w:pPr>
      <w:r>
        <w:rPr>
          <w:b/>
          <w:bCs/>
          <w:color w:val="000000"/>
        </w:rPr>
        <w:t>1(b)  Short Characterization/Abstract</w:t>
      </w:r>
    </w:p>
    <w:p w14:paraId="15DC78C7" w14:textId="77777777" w:rsidR="00CA4CD6" w:rsidRDefault="00CA4CD6" w:rsidP="00D6543A">
      <w:pPr>
        <w:ind w:firstLine="720"/>
        <w:rPr>
          <w:color w:val="000000"/>
        </w:rPr>
      </w:pPr>
      <w:r>
        <w:rPr>
          <w:color w:val="FF0000"/>
        </w:rPr>
        <w:tab/>
      </w:r>
    </w:p>
    <w:p w14:paraId="46122603" w14:textId="042C483D" w:rsidR="00656D06" w:rsidRDefault="00CA4CD6">
      <w:pPr>
        <w:ind w:firstLine="720"/>
      </w:pPr>
      <w:r>
        <w:rPr>
          <w:color w:val="000000"/>
        </w:rPr>
        <w:t xml:space="preserve">The </w:t>
      </w:r>
      <w:r w:rsidR="00E46B4B" w:rsidRPr="00E46B4B">
        <w:t>National Emission Standards for Hazardous Air Pollutants (NESHAP)</w:t>
      </w:r>
      <w:r>
        <w:rPr>
          <w:color w:val="FF0000"/>
        </w:rPr>
        <w:t xml:space="preserve"> </w:t>
      </w:r>
      <w:r>
        <w:rPr>
          <w:color w:val="000000"/>
        </w:rPr>
        <w:t xml:space="preserve">for </w:t>
      </w:r>
      <w:r w:rsidR="00640BED" w:rsidRPr="008F0E6C">
        <w:rPr>
          <w:bCs/>
        </w:rPr>
        <w:t>Wet-formed Fiberglass Mat Production</w:t>
      </w:r>
      <w:r w:rsidR="00640BED">
        <w:rPr>
          <w:color w:val="000000"/>
        </w:rPr>
        <w:t xml:space="preserve"> </w:t>
      </w:r>
      <w:r>
        <w:rPr>
          <w:color w:val="000000"/>
        </w:rPr>
        <w:t xml:space="preserve">were proposed on </w:t>
      </w:r>
      <w:r w:rsidR="00640BED">
        <w:rPr>
          <w:color w:val="000000"/>
        </w:rPr>
        <w:t>May 26, 2000</w:t>
      </w:r>
      <w:r>
        <w:rPr>
          <w:color w:val="000000"/>
        </w:rPr>
        <w:t xml:space="preserve">, promulgated on </w:t>
      </w:r>
      <w:r w:rsidR="00B116A5">
        <w:rPr>
          <w:color w:val="000000"/>
        </w:rPr>
        <w:t>April 11, 2002</w:t>
      </w:r>
      <w:r w:rsidR="003331DE">
        <w:rPr>
          <w:color w:val="000000"/>
        </w:rPr>
        <w:t>, and most</w:t>
      </w:r>
      <w:r w:rsidR="00D529C3">
        <w:rPr>
          <w:color w:val="000000"/>
        </w:rPr>
        <w:t xml:space="preserve"> </w:t>
      </w:r>
      <w:r w:rsidR="003331DE">
        <w:rPr>
          <w:color w:val="000000"/>
        </w:rPr>
        <w:t>recently amended on April 20, 2006</w:t>
      </w:r>
      <w:r w:rsidR="00D529C3">
        <w:rPr>
          <w:color w:val="000000"/>
        </w:rPr>
        <w:t xml:space="preserve">. The NESHAP is codified at 40 CFR </w:t>
      </w:r>
      <w:r w:rsidR="00656D06">
        <w:rPr>
          <w:color w:val="000000"/>
        </w:rPr>
        <w:t>P</w:t>
      </w:r>
      <w:r w:rsidR="00D529C3">
        <w:rPr>
          <w:color w:val="000000"/>
        </w:rPr>
        <w:t xml:space="preserve">art 63, </w:t>
      </w:r>
      <w:r w:rsidR="00656D06">
        <w:rPr>
          <w:color w:val="000000"/>
        </w:rPr>
        <w:t>S</w:t>
      </w:r>
      <w:r w:rsidR="00D529C3">
        <w:rPr>
          <w:color w:val="000000"/>
        </w:rPr>
        <w:t xml:space="preserve">ubpart HHHH. Amendments to the NESHAP are being </w:t>
      </w:r>
      <w:r w:rsidR="000741C9">
        <w:rPr>
          <w:color w:val="000000"/>
        </w:rPr>
        <w:t>finalized</w:t>
      </w:r>
      <w:r w:rsidR="00D529C3">
        <w:rPr>
          <w:color w:val="000000"/>
        </w:rPr>
        <w:t xml:space="preserve"> as a result of the residual risk and technology review (RTR) required under the Clean Air Act (CAA) (as discussed further below). </w:t>
      </w:r>
      <w:r>
        <w:rPr>
          <w:color w:val="000000"/>
        </w:rPr>
        <w:t xml:space="preserve">The </w:t>
      </w:r>
      <w:r w:rsidR="00D529C3">
        <w:rPr>
          <w:color w:val="000000"/>
        </w:rPr>
        <w:t>NESHAP</w:t>
      </w:r>
      <w:r>
        <w:rPr>
          <w:color w:val="000000"/>
        </w:rPr>
        <w:t xml:space="preserve"> </w:t>
      </w:r>
      <w:r w:rsidR="00B116A5">
        <w:t xml:space="preserve">apply to </w:t>
      </w:r>
      <w:r w:rsidR="00D529C3">
        <w:t xml:space="preserve">wet-formed fiberglass mat production facilities that emit greater than or equal to 10 tons per year (tpy) of any one hazardous air pollutant (HAP) or greater than or equal to 25 tpy of any combination of HAP. Affected sources include </w:t>
      </w:r>
      <w:r w:rsidR="00B116A5">
        <w:t xml:space="preserve">new and existing </w:t>
      </w:r>
      <w:r w:rsidR="00D529C3">
        <w:t xml:space="preserve">drying and curing ovens. The pollutants regulated </w:t>
      </w:r>
      <w:r w:rsidR="00656D06">
        <w:t xml:space="preserve">include organic HAP, using formaldehyde as a surrogate. </w:t>
      </w:r>
      <w:r w:rsidR="00656D06">
        <w:rPr>
          <w:color w:val="000000"/>
        </w:rPr>
        <w:t xml:space="preserve">New facilities include those that commenced construction or reconstruction after the date of the original proposal (May 26, 2000).  This information is being collected to assure compliance with 40 CFR </w:t>
      </w:r>
      <w:r w:rsidR="00656D06" w:rsidRPr="00E46B4B">
        <w:t>Part 63, Subpart HHHH.</w:t>
      </w:r>
    </w:p>
    <w:p w14:paraId="41491203" w14:textId="77777777" w:rsidR="00CA4CD6" w:rsidRPr="00084C60" w:rsidRDefault="00CA4CD6"/>
    <w:p w14:paraId="2B44DD86" w14:textId="77777777" w:rsidR="00CA4CD6" w:rsidRPr="00084C60" w:rsidRDefault="00E46B4B">
      <w:pPr>
        <w:ind w:firstLine="720"/>
      </w:pPr>
      <w:r w:rsidRPr="00E46B4B">
        <w:t xml:space="preserve">In general, all NESHAP require initial notifications, performance tests, and periodic reports by the owners/operators of the affected facilities. </w:t>
      </w:r>
      <w:r w:rsidR="005C6905">
        <w:t>Owners/operators</w:t>
      </w:r>
      <w:r w:rsidRPr="00E46B4B">
        <w:t xml:space="preserve"> are also required to maintain records of the occurrence and duration of any </w:t>
      </w:r>
      <w:r w:rsidR="005C6905">
        <w:t xml:space="preserve">failures to meet applicable standards, or </w:t>
      </w:r>
      <w:r w:rsidRPr="00E46B4B">
        <w:t xml:space="preserve">any period during which the monitoring system is inoperative. These notifications, reports, and records are essential in determining compliance, and are required of all </w:t>
      </w:r>
      <w:r w:rsidR="005C6905">
        <w:t>sources</w:t>
      </w:r>
      <w:r w:rsidRPr="00E46B4B">
        <w:t xml:space="preserve"> subject to NESHAP.</w:t>
      </w:r>
      <w:r w:rsidR="005C6905">
        <w:t xml:space="preserve"> A semiannual report is also required.</w:t>
      </w:r>
    </w:p>
    <w:p w14:paraId="0BF32EC1" w14:textId="77777777" w:rsidR="00CA4CD6" w:rsidRDefault="00CA4CD6">
      <w:pPr>
        <w:rPr>
          <w:color w:val="000000"/>
        </w:rPr>
      </w:pPr>
    </w:p>
    <w:p w14:paraId="0B556A1F" w14:textId="7D7CB2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w:t>
      </w:r>
      <w:r w:rsidR="005C6905">
        <w:rPr>
          <w:color w:val="000000"/>
        </w:rPr>
        <w:t xml:space="preserve"> or </w:t>
      </w:r>
      <w:r>
        <w:rPr>
          <w:color w:val="000000"/>
        </w:rPr>
        <w:t xml:space="preserve">operator subject to the provisions of this part shall maintain a file of these measurements, and retain the file for at </w:t>
      </w:r>
      <w:r w:rsidR="00E46B4B" w:rsidRPr="00E46B4B">
        <w:t xml:space="preserve">least </w:t>
      </w:r>
      <w:r w:rsidR="00266C1B">
        <w:t>5</w:t>
      </w:r>
      <w:r w:rsidR="00E46B4B" w:rsidRPr="00E46B4B">
        <w:t xml:space="preserve"> years following the date of such measurements, ma</w:t>
      </w:r>
      <w:r w:rsidR="004B49C8">
        <w:t>intenance reports, and records.</w:t>
      </w:r>
      <w:r w:rsidR="00E46B4B" w:rsidRPr="00E46B4B">
        <w:t xml:space="preserve"> All reports are s</w:t>
      </w:r>
      <w:r w:rsidR="006972E6">
        <w:t>ubmitted</w:t>
      </w:r>
      <w:r w:rsidR="00E46B4B" w:rsidRPr="00E46B4B">
        <w:t xml:space="preserve"> to</w:t>
      </w:r>
      <w:r>
        <w:rPr>
          <w:color w:val="000000"/>
        </w:rPr>
        <w:t xml:space="preserve"> the delegated state or local authority. In the event that there is no such delegated authority, the reports are s</w:t>
      </w:r>
      <w:r w:rsidR="006972E6">
        <w:rPr>
          <w:color w:val="000000"/>
        </w:rPr>
        <w:t>ubmitted</w:t>
      </w:r>
      <w:r>
        <w:rPr>
          <w:color w:val="000000"/>
        </w:rPr>
        <w:t xml:space="preserve"> directly to the U</w:t>
      </w:r>
      <w:r w:rsidR="005C6905">
        <w:rPr>
          <w:color w:val="000000"/>
        </w:rPr>
        <w:t xml:space="preserve">nited </w:t>
      </w:r>
      <w:r>
        <w:rPr>
          <w:color w:val="000000"/>
        </w:rPr>
        <w:t>S</w:t>
      </w:r>
      <w:r w:rsidR="005C6905">
        <w:rPr>
          <w:color w:val="000000"/>
        </w:rPr>
        <w:t>tates</w:t>
      </w:r>
      <w:r>
        <w:rPr>
          <w:color w:val="000000"/>
        </w:rPr>
        <w:t xml:space="preserve"> Environmental Protection Agency (EPA) regional office.</w:t>
      </w:r>
    </w:p>
    <w:p w14:paraId="66D4F017" w14:textId="77777777" w:rsidR="005C6905" w:rsidRDefault="005C6905">
      <w:pPr>
        <w:pBdr>
          <w:top w:val="single" w:sz="6" w:space="0" w:color="FFFFFF"/>
          <w:left w:val="single" w:sz="6" w:space="0" w:color="FFFFFF"/>
          <w:bottom w:val="single" w:sz="6" w:space="0" w:color="FFFFFF"/>
          <w:right w:val="single" w:sz="6" w:space="0" w:color="FFFFFF"/>
        </w:pBdr>
        <w:ind w:firstLine="720"/>
        <w:rPr>
          <w:color w:val="000000"/>
        </w:rPr>
      </w:pPr>
    </w:p>
    <w:p w14:paraId="120B917A" w14:textId="55A14A7C" w:rsidR="005C6905" w:rsidRDefault="005C6905">
      <w:pPr>
        <w:pBdr>
          <w:top w:val="single" w:sz="6" w:space="0" w:color="FFFFFF"/>
          <w:left w:val="single" w:sz="6" w:space="0" w:color="FFFFFF"/>
          <w:bottom w:val="single" w:sz="6" w:space="0" w:color="FFFFFF"/>
          <w:right w:val="single" w:sz="6" w:space="0" w:color="FFFFFF"/>
        </w:pBdr>
        <w:ind w:firstLine="720"/>
        <w:rPr>
          <w:color w:val="000000"/>
        </w:rPr>
      </w:pPr>
      <w:r w:rsidRPr="007075F9">
        <w:rPr>
          <w:color w:val="000000"/>
        </w:rPr>
        <w:t xml:space="preserve">The amendments to the rule eliminate the startup, shutdown, and malfunction (SSM) exemption; remove the SSM plan </w:t>
      </w:r>
      <w:r w:rsidR="0065555D" w:rsidRPr="007075F9">
        <w:rPr>
          <w:color w:val="000000"/>
        </w:rPr>
        <w:t xml:space="preserve">and periodic report </w:t>
      </w:r>
      <w:r w:rsidRPr="007075F9">
        <w:rPr>
          <w:color w:val="000000"/>
        </w:rPr>
        <w:t>requirement</w:t>
      </w:r>
      <w:r w:rsidR="0065555D" w:rsidRPr="007075F9">
        <w:rPr>
          <w:color w:val="000000"/>
        </w:rPr>
        <w:t>s</w:t>
      </w:r>
      <w:r w:rsidRPr="007075F9">
        <w:rPr>
          <w:color w:val="000000"/>
        </w:rPr>
        <w:t xml:space="preserve">; </w:t>
      </w:r>
      <w:r w:rsidR="000F1770" w:rsidRPr="007075F9">
        <w:rPr>
          <w:color w:val="000000"/>
        </w:rPr>
        <w:t>require</w:t>
      </w:r>
      <w:r w:rsidRPr="007075F9">
        <w:rPr>
          <w:color w:val="000000"/>
        </w:rPr>
        <w:t xml:space="preserve"> electronic submittal of performance test re</w:t>
      </w:r>
      <w:r w:rsidR="000D64AA" w:rsidRPr="007075F9">
        <w:rPr>
          <w:color w:val="000000"/>
        </w:rPr>
        <w:t>sults</w:t>
      </w:r>
      <w:r w:rsidRPr="007075F9">
        <w:rPr>
          <w:color w:val="000000"/>
        </w:rPr>
        <w:t xml:space="preserve">; </w:t>
      </w:r>
      <w:r w:rsidR="00536A73" w:rsidRPr="007075F9">
        <w:rPr>
          <w:color w:val="000000"/>
        </w:rPr>
        <w:t>r</w:t>
      </w:r>
      <w:r w:rsidR="00536A73" w:rsidRPr="007075F9">
        <w:t>equire that compliance reports be submitted on a semiannual basis in all instances, consistent with the General Provisions</w:t>
      </w:r>
      <w:r w:rsidR="006972E6" w:rsidRPr="007075F9">
        <w:rPr>
          <w:color w:val="000000"/>
        </w:rPr>
        <w:t xml:space="preserve">; </w:t>
      </w:r>
      <w:r w:rsidR="00A14F7B" w:rsidRPr="007075F9">
        <w:rPr>
          <w:rFonts w:cs="Courier New"/>
        </w:rPr>
        <w:t xml:space="preserve">reduce </w:t>
      </w:r>
      <w:r w:rsidR="00A14F7B" w:rsidRPr="007075F9">
        <w:rPr>
          <w:iCs/>
        </w:rPr>
        <w:t>the p</w:t>
      </w:r>
      <w:r w:rsidR="00A14F7B" w:rsidRPr="007075F9">
        <w:rPr>
          <w:color w:val="000000"/>
        </w:rPr>
        <w:t xml:space="preserve">arameter monitoring and recording requirements during use of </w:t>
      </w:r>
      <w:r w:rsidR="00A14F7B" w:rsidRPr="007075F9">
        <w:rPr>
          <w:color w:val="000000"/>
        </w:rPr>
        <w:lastRenderedPageBreak/>
        <w:t xml:space="preserve">binder containing no HAP; </w:t>
      </w:r>
      <w:r w:rsidRPr="007075F9">
        <w:rPr>
          <w:color w:val="000000"/>
        </w:rPr>
        <w:t xml:space="preserve">and </w:t>
      </w:r>
      <w:r w:rsidR="00210DD4" w:rsidRPr="007075F9">
        <w:rPr>
          <w:color w:val="000000"/>
        </w:rPr>
        <w:t xml:space="preserve">make miscellaneous </w:t>
      </w:r>
      <w:r w:rsidRPr="007075F9">
        <w:rPr>
          <w:color w:val="000000"/>
        </w:rPr>
        <w:t>technical and editorial changes. The remaining portions of the NESHAP remain unchanged.</w:t>
      </w:r>
      <w:r w:rsidR="007075F9">
        <w:rPr>
          <w:color w:val="000000"/>
        </w:rPr>
        <w:t xml:space="preserve"> This ICR reflects the burden associated with the existing collection</w:t>
      </w:r>
      <w:r w:rsidR="00E62F5B">
        <w:rPr>
          <w:color w:val="000000"/>
        </w:rPr>
        <w:t>, including changes to the burden associated with the amendments.</w:t>
      </w:r>
    </w:p>
    <w:p w14:paraId="60D8B7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5731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consultation with industry representatives</w:t>
      </w:r>
      <w:r w:rsidR="00C3612F">
        <w:rPr>
          <w:color w:val="000000"/>
        </w:rPr>
        <w:t xml:space="preserve"> and state/local agencies</w:t>
      </w:r>
      <w:r>
        <w:rPr>
          <w:color w:val="000000"/>
        </w:rPr>
        <w:t xml:space="preserve">, </w:t>
      </w:r>
      <w:r w:rsidR="009C7123">
        <w:rPr>
          <w:color w:val="000000"/>
        </w:rPr>
        <w:t xml:space="preserve">there are </w:t>
      </w:r>
      <w:r w:rsidR="00351A5B">
        <w:rPr>
          <w:color w:val="000000"/>
        </w:rPr>
        <w:t>seven</w:t>
      </w:r>
      <w:r w:rsidR="009C7123">
        <w:rPr>
          <w:color w:val="000000"/>
        </w:rPr>
        <w:t xml:space="preserve"> facilities subject to the standards. Five facilities have one affected drying and curing oven each and two facilities have two affected drying and curing </w:t>
      </w:r>
      <w:r w:rsidR="009C7123" w:rsidRPr="00473521">
        <w:rPr>
          <w:color w:val="000000"/>
        </w:rPr>
        <w:t>ovens each. E</w:t>
      </w:r>
      <w:r w:rsidRPr="00473521">
        <w:rPr>
          <w:color w:val="000000"/>
        </w:rPr>
        <w:t>ach plant site has only one respondent (i.e., the owner/operator).</w:t>
      </w:r>
      <w:r w:rsidR="009C7123" w:rsidRPr="00473521">
        <w:rPr>
          <w:color w:val="000000"/>
        </w:rPr>
        <w:t xml:space="preserve"> </w:t>
      </w:r>
      <w:r w:rsidR="00E10DA7" w:rsidRPr="00473521">
        <w:rPr>
          <w:color w:val="000000"/>
        </w:rPr>
        <w:t xml:space="preserve">Over the next </w:t>
      </w:r>
      <w:r w:rsidR="00266C1B" w:rsidRPr="00473521">
        <w:rPr>
          <w:color w:val="000000"/>
        </w:rPr>
        <w:t>3</w:t>
      </w:r>
      <w:r w:rsidR="00E10DA7" w:rsidRPr="00473521">
        <w:rPr>
          <w:color w:val="000000"/>
        </w:rPr>
        <w:t xml:space="preserve"> years, </w:t>
      </w:r>
      <w:r w:rsidR="00351A5B" w:rsidRPr="00473521">
        <w:rPr>
          <w:color w:val="000000"/>
        </w:rPr>
        <w:t>seven</w:t>
      </w:r>
      <w:r w:rsidRPr="00473521">
        <w:rPr>
          <w:color w:val="000000"/>
        </w:rPr>
        <w:t xml:space="preserve"> respondents </w:t>
      </w:r>
      <w:r w:rsidR="00E10DA7" w:rsidRPr="00473521">
        <w:rPr>
          <w:color w:val="000000"/>
        </w:rPr>
        <w:t>per year will be subject to the</w:t>
      </w:r>
      <w:r w:rsidR="0099357C" w:rsidRPr="00473521">
        <w:rPr>
          <w:color w:val="000000"/>
        </w:rPr>
        <w:t>se</w:t>
      </w:r>
      <w:r w:rsidR="00E10DA7" w:rsidRPr="00473521">
        <w:rPr>
          <w:color w:val="000000"/>
        </w:rPr>
        <w:t xml:space="preserve"> standard</w:t>
      </w:r>
      <w:r w:rsidR="0099357C" w:rsidRPr="00473521">
        <w:rPr>
          <w:color w:val="000000"/>
        </w:rPr>
        <w:t>s</w:t>
      </w:r>
      <w:r w:rsidRPr="00473521">
        <w:rPr>
          <w:color w:val="000000"/>
        </w:rPr>
        <w:t xml:space="preserve">, and </w:t>
      </w:r>
      <w:r w:rsidR="000C2C81" w:rsidRPr="00473521">
        <w:rPr>
          <w:color w:val="000000"/>
        </w:rPr>
        <w:t>no</w:t>
      </w:r>
      <w:r w:rsidRPr="00473521">
        <w:rPr>
          <w:color w:val="000000"/>
        </w:rPr>
        <w:t xml:space="preserve"> </w:t>
      </w:r>
      <w:r w:rsidR="00E10DA7" w:rsidRPr="00473521">
        <w:rPr>
          <w:color w:val="000000"/>
        </w:rPr>
        <w:t xml:space="preserve">additional </w:t>
      </w:r>
      <w:r w:rsidRPr="00473521">
        <w:rPr>
          <w:color w:val="000000"/>
        </w:rPr>
        <w:t xml:space="preserve">respondents </w:t>
      </w:r>
      <w:r w:rsidR="00E10DA7" w:rsidRPr="00473521">
        <w:rPr>
          <w:color w:val="000000"/>
        </w:rPr>
        <w:t xml:space="preserve">per year </w:t>
      </w:r>
      <w:r w:rsidRPr="00473521">
        <w:rPr>
          <w:color w:val="000000"/>
        </w:rPr>
        <w:t>will become</w:t>
      </w:r>
      <w:r>
        <w:rPr>
          <w:color w:val="000000"/>
        </w:rPr>
        <w:t xml:space="preserve"> subject to the</w:t>
      </w:r>
      <w:r w:rsidR="0099357C">
        <w:rPr>
          <w:color w:val="000000"/>
        </w:rPr>
        <w:t>se</w:t>
      </w:r>
      <w:r>
        <w:rPr>
          <w:color w:val="000000"/>
        </w:rPr>
        <w:t xml:space="preserve"> </w:t>
      </w:r>
      <w:r w:rsidR="00E10DA7">
        <w:rPr>
          <w:color w:val="000000"/>
        </w:rPr>
        <w:t>standard</w:t>
      </w:r>
      <w:r w:rsidR="0099357C">
        <w:rPr>
          <w:color w:val="000000"/>
        </w:rPr>
        <w:t>s</w:t>
      </w:r>
      <w:r w:rsidR="00351A5B">
        <w:rPr>
          <w:color w:val="000000"/>
        </w:rPr>
        <w:t xml:space="preserve">. None of the seven facilities </w:t>
      </w:r>
      <w:r w:rsidR="00407D21">
        <w:rPr>
          <w:color w:val="000000"/>
        </w:rPr>
        <w:t>are owned by state, local, or tribal governments or the Federal government. They are owned and operated by privately owned for-profit businesses.</w:t>
      </w:r>
    </w:p>
    <w:p w14:paraId="074CB22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5BBE51" w14:textId="77777777" w:rsidR="00CA4CD6" w:rsidRPr="00782D58" w:rsidRDefault="00E46B4B" w:rsidP="009C7123">
      <w:pPr>
        <w:pBdr>
          <w:top w:val="single" w:sz="6" w:space="0" w:color="FFFFFF"/>
          <w:left w:val="single" w:sz="6" w:space="0" w:color="FFFFFF"/>
          <w:bottom w:val="single" w:sz="6" w:space="0" w:color="FFFFFF"/>
          <w:right w:val="single" w:sz="6" w:space="0" w:color="FFFFFF"/>
        </w:pBdr>
        <w:ind w:firstLine="720"/>
      </w:pPr>
      <w:r w:rsidRPr="00E46B4B">
        <w:t xml:space="preserve">The Office of Management and Budget (OMB) approved the currently active ICR without any “Terms of Clearance.” </w:t>
      </w:r>
    </w:p>
    <w:p w14:paraId="6EA0E0B8" w14:textId="77777777" w:rsidR="002B29A5" w:rsidRPr="009D6567" w:rsidRDefault="002B29A5" w:rsidP="002B29A5">
      <w:pPr>
        <w:rPr>
          <w:color w:val="FF0000"/>
        </w:rPr>
      </w:pPr>
    </w:p>
    <w:p w14:paraId="2CD9F4FF"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w:t>
      </w:r>
      <w:r w:rsidR="004B49C8">
        <w:rPr>
          <w:b/>
          <w:bCs/>
          <w:color w:val="000000"/>
        </w:rPr>
        <w:t xml:space="preserve"> </w:t>
      </w:r>
      <w:r>
        <w:rPr>
          <w:b/>
          <w:bCs/>
          <w:color w:val="000000"/>
        </w:rPr>
        <w:t>and Use of the Collection</w:t>
      </w:r>
    </w:p>
    <w:p w14:paraId="4098A1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81DE5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233AEA0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62FBF4B" w14:textId="77777777" w:rsidR="00440235" w:rsidRDefault="00E46B4B">
      <w:pPr>
        <w:pBdr>
          <w:top w:val="single" w:sz="6" w:space="0" w:color="FFFFFF"/>
          <w:left w:val="single" w:sz="6" w:space="0" w:color="FFFFFF"/>
          <w:bottom w:val="single" w:sz="6" w:space="0" w:color="FFFFFF"/>
          <w:right w:val="single" w:sz="6" w:space="0" w:color="FFFFFF"/>
        </w:pBdr>
        <w:ind w:firstLine="720"/>
      </w:pPr>
      <w:r w:rsidRPr="00E46B4B">
        <w:t>Section 112 of the CAA</w:t>
      </w:r>
      <w:r w:rsidR="00440235">
        <w:t xml:space="preserve"> requires the EPA </w:t>
      </w:r>
      <w:r w:rsidRPr="00E46B4B">
        <w:t xml:space="preserve">to establish </w:t>
      </w:r>
      <w:r w:rsidR="00440235">
        <w:t>NESHAP</w:t>
      </w:r>
      <w:r w:rsidRPr="00E46B4B">
        <w:t xml:space="preserve"> for </w:t>
      </w:r>
      <w:r w:rsidR="00440235">
        <w:t>major sources of HAP that are listed for regulation under CAA section 112(c). A major source is a stationary source that emits or has the potential to emit more than 10 tpy of any single HAP or more than 25 tpy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 In the Administrator’s judgment, HAP emissions, including formaldehyde and methanol, from drying and curing ovens at wet-formed fiberglass mat production sources cause or contribute to air pollution that may reasonably be anticipated to endanger public health or welfare. Therefore, the NESHAP for this source category were promulgated at 40 CFR Part 63, Subpart HHHH in 2002.</w:t>
      </w:r>
    </w:p>
    <w:p w14:paraId="10CA6A0E" w14:textId="77777777" w:rsidR="00440235" w:rsidRDefault="00440235">
      <w:pPr>
        <w:pBdr>
          <w:top w:val="single" w:sz="6" w:space="0" w:color="FFFFFF"/>
          <w:left w:val="single" w:sz="6" w:space="0" w:color="FFFFFF"/>
          <w:bottom w:val="single" w:sz="6" w:space="0" w:color="FFFFFF"/>
          <w:right w:val="single" w:sz="6" w:space="0" w:color="FFFFFF"/>
        </w:pBdr>
        <w:ind w:firstLine="720"/>
      </w:pPr>
    </w:p>
    <w:p w14:paraId="40534B57" w14:textId="77777777" w:rsidR="00440235" w:rsidRDefault="00871E83">
      <w:pPr>
        <w:pBdr>
          <w:top w:val="single" w:sz="6" w:space="0" w:color="FFFFFF"/>
          <w:left w:val="single" w:sz="6" w:space="0" w:color="FFFFFF"/>
          <w:bottom w:val="single" w:sz="6" w:space="0" w:color="FFFFFF"/>
          <w:right w:val="single" w:sz="6" w:space="0" w:color="FFFFFF"/>
        </w:pBd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w:t>
      </w:r>
      <w:r w:rsidR="00DF5119">
        <w:t xml:space="preserve">the </w:t>
      </w:r>
      <w:r>
        <w:t>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14:paraId="567E218B" w14:textId="77777777" w:rsidR="00440235" w:rsidRDefault="00440235">
      <w:pPr>
        <w:pBdr>
          <w:top w:val="single" w:sz="6" w:space="0" w:color="FFFFFF"/>
          <w:left w:val="single" w:sz="6" w:space="0" w:color="FFFFFF"/>
          <w:bottom w:val="single" w:sz="6" w:space="0" w:color="FFFFFF"/>
          <w:right w:val="single" w:sz="6" w:space="0" w:color="FFFFFF"/>
        </w:pBdr>
        <w:ind w:firstLine="720"/>
      </w:pPr>
    </w:p>
    <w:p w14:paraId="3FD9C2A3" w14:textId="77777777" w:rsidR="00CA4CD6" w:rsidRPr="00782D58" w:rsidRDefault="00DF5119">
      <w:pPr>
        <w:pBdr>
          <w:top w:val="single" w:sz="6" w:space="0" w:color="FFFFFF"/>
          <w:left w:val="single" w:sz="6" w:space="0" w:color="FFFFFF"/>
          <w:bottom w:val="single" w:sz="6" w:space="0" w:color="FFFFFF"/>
          <w:right w:val="single" w:sz="6" w:space="0" w:color="FFFFFF"/>
        </w:pBdr>
        <w:ind w:firstLine="720"/>
      </w:pPr>
      <w:r>
        <w:t xml:space="preserve">Certain records and reports are necessary for the Administrator to confirm the compliance status of sources subject to NESHAP, identify any new or reconstructed sources subject to the standards, and </w:t>
      </w:r>
      <w:r>
        <w:lastRenderedPageBreak/>
        <w:t xml:space="preserve">confirm that the standards are being achieved on a continuous basis. These recordkeeping and reporting requirements are specifically authorized by section 114 of the CAA (42 U.S.C. 7414) and set out in the part 63 NESHAP General Provisions (40 CFR Part 63, Subpart A). CAA </w:t>
      </w:r>
      <w:r w:rsidR="00E46B4B" w:rsidRPr="00E46B4B">
        <w:t>section 114(a) states that the Administrator may require any owner</w:t>
      </w:r>
      <w:r>
        <w:t xml:space="preserve"> or </w:t>
      </w:r>
      <w:r w:rsidR="00E46B4B" w:rsidRPr="00E46B4B">
        <w:t xml:space="preserve">operator subject to any requirement of this Act to: </w:t>
      </w:r>
    </w:p>
    <w:p w14:paraId="200CCBB2" w14:textId="77777777" w:rsidR="00CA4CD6" w:rsidRPr="00782D58" w:rsidRDefault="00CA4CD6">
      <w:pPr>
        <w:pBdr>
          <w:top w:val="single" w:sz="6" w:space="0" w:color="FFFFFF"/>
          <w:left w:val="single" w:sz="6" w:space="0" w:color="FFFFFF"/>
          <w:bottom w:val="single" w:sz="6" w:space="0" w:color="FFFFFF"/>
          <w:right w:val="single" w:sz="6" w:space="0" w:color="FFFFFF"/>
        </w:pBdr>
      </w:pPr>
    </w:p>
    <w:p w14:paraId="25EF3565" w14:textId="77777777" w:rsidR="00CA4CD6" w:rsidRPr="00D85A85" w:rsidRDefault="00E46B4B" w:rsidP="00D85A85">
      <w:pPr>
        <w:pBdr>
          <w:top w:val="single" w:sz="6" w:space="0" w:color="FFFFFF"/>
          <w:left w:val="single" w:sz="6" w:space="0" w:color="FFFFFF"/>
          <w:bottom w:val="single" w:sz="6" w:space="0" w:color="FFFFFF"/>
          <w:right w:val="single" w:sz="6" w:space="0" w:color="FFFFFF"/>
        </w:pBdr>
        <w:ind w:left="1440" w:right="1440"/>
        <w:rPr>
          <w:color w:val="FF0000"/>
        </w:rPr>
      </w:pPr>
      <w:r w:rsidRPr="00E46B4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4E03357"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081E6DAC"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14:paraId="12620387"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552E13AE"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The control of emissions of HAP from drying and curing ovens at wet-formed fiberglass mat production facilities requires not only the installation of properly designed equipment, but also the operation and maintenance of that equipment. Emissions of HAP from these facilities are the result of operation of the affected sources.</w:t>
      </w:r>
    </w:p>
    <w:p w14:paraId="63B5D88B"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524140A2"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standards are achieved by the reduction of pollutant emissions using control technology. </w:t>
      </w:r>
      <w:r w:rsidRPr="00D6543A">
        <w:t>The notifications required in the standard</w:t>
      </w:r>
      <w:r>
        <w:t>s</w:t>
      </w:r>
      <w:r w:rsidRPr="00D6543A">
        <w:t xml:space="preserve">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w:t>
      </w:r>
      <w:r>
        <w:t>s</w:t>
      </w:r>
      <w:r w:rsidRPr="00D6543A">
        <w:t xml:space="preserve"> are being met.</w:t>
      </w:r>
    </w:p>
    <w:p w14:paraId="2C597586"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7EFE5404"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sidRPr="00D6543A">
        <w:t>Performance test</w:t>
      </w:r>
      <w:r w:rsidR="008F66C3">
        <w:t xml:space="preserve"> report</w:t>
      </w:r>
      <w:r w:rsidRPr="00D6543A">
        <w:t>s are</w:t>
      </w:r>
      <w:r w:rsidR="008F66C3">
        <w:t xml:space="preserve"> needed, as these are the Agency’s record of a source’s initial and ongoing capability to comply with the emission standards and serve as a record of the operating conditions under which compliance was achieved.</w:t>
      </w:r>
      <w:r w:rsidR="001A414A">
        <w:t xml:space="preserve"> The semiannual compliance reports are used for problem identification, as a check on source operation and maintenance, and for compliance determinations.</w:t>
      </w:r>
    </w:p>
    <w:p w14:paraId="7DEA2273"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1A387F81" w14:textId="77777777" w:rsidR="00CA4CD6" w:rsidRPr="001A414A" w:rsidRDefault="001A414A" w:rsidP="001A414A">
      <w:pPr>
        <w:pBdr>
          <w:top w:val="single" w:sz="6" w:space="0" w:color="FFFFFF"/>
          <w:left w:val="single" w:sz="6" w:space="2" w:color="FFFFFF"/>
          <w:bottom w:val="single" w:sz="6" w:space="0" w:color="FFFFFF"/>
          <w:right w:val="single" w:sz="6" w:space="0" w:color="FFFFFF"/>
        </w:pBdr>
        <w:ind w:firstLine="720"/>
      </w:pPr>
      <w:r>
        <w:rPr>
          <w:color w:val="000000"/>
        </w:rPr>
        <w:t xml:space="preserve">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w:t>
      </w:r>
      <w:r w:rsidR="00CA4CD6">
        <w:rPr>
          <w:color w:val="000000"/>
        </w:rPr>
        <w:t xml:space="preserve">The </w:t>
      </w:r>
      <w:r>
        <w:rPr>
          <w:color w:val="000000"/>
        </w:rPr>
        <w:t xml:space="preserve">information collected from </w:t>
      </w:r>
      <w:r w:rsidR="00CA4CD6">
        <w:rPr>
          <w:color w:val="000000"/>
        </w:rPr>
        <w:t xml:space="preserve">recordkeeping and </w:t>
      </w:r>
      <w:r w:rsidR="00CA4CD6" w:rsidRPr="00D6543A">
        <w:t xml:space="preserve">reporting requirements </w:t>
      </w:r>
      <w:r>
        <w:t xml:space="preserve">is also used for targeting inspections, and is of sufficient quality to be used </w:t>
      </w:r>
      <w:r w:rsidR="00CA4CD6" w:rsidRPr="00D6543A">
        <w:t xml:space="preserve">as evidence in </w:t>
      </w:r>
      <w:r>
        <w:t>court</w:t>
      </w:r>
      <w:r w:rsidR="00CA4CD6" w:rsidRPr="00D6543A">
        <w:t>.</w:t>
      </w:r>
    </w:p>
    <w:p w14:paraId="048036BB" w14:textId="77777777"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14:paraId="45C0669F" w14:textId="77777777"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012DAE91"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508EAB1F"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E46B4B" w:rsidRPr="00E46B4B">
        <w:t>Part 63,</w:t>
      </w:r>
      <w:r>
        <w:rPr>
          <w:color w:val="000000"/>
        </w:rPr>
        <w:t xml:space="preserve"> </w:t>
      </w:r>
      <w:r w:rsidR="006810C3">
        <w:rPr>
          <w:color w:val="000000"/>
        </w:rPr>
        <w:t>Subpart</w:t>
      </w:r>
      <w:r w:rsidR="003F1AFC">
        <w:rPr>
          <w:color w:val="000000"/>
        </w:rPr>
        <w:t xml:space="preserve"> </w:t>
      </w:r>
      <w:r w:rsidR="00782D58">
        <w:rPr>
          <w:color w:val="000000"/>
        </w:rPr>
        <w:t>HHHH</w:t>
      </w:r>
      <w:r>
        <w:rPr>
          <w:color w:val="000000"/>
        </w:rPr>
        <w:t>.</w:t>
      </w:r>
    </w:p>
    <w:p w14:paraId="0C4791D1"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30B1BDCB"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Nonduplication</w:t>
      </w:r>
    </w:p>
    <w:p w14:paraId="2DCAD76F"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59B78A20" w14:textId="1138CEA4"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If the subject standards have not been delegated, the information is s</w:t>
      </w:r>
      <w:r w:rsidR="005B4EA8">
        <w:rPr>
          <w:color w:val="000000"/>
        </w:rPr>
        <w:t>ubmitted</w:t>
      </w:r>
      <w:r>
        <w:rPr>
          <w:color w:val="000000"/>
        </w:rPr>
        <w:t xml:space="preserve"> directly to the appropriate EPA regional office. Otherwise, the information is s</w:t>
      </w:r>
      <w:r w:rsidR="005B4EA8">
        <w:rPr>
          <w:color w:val="000000"/>
        </w:rPr>
        <w:t>ubmitted</w:t>
      </w:r>
      <w:r>
        <w:rPr>
          <w:color w:val="000000"/>
        </w:rPr>
        <w:t xml:space="preserve"> directly to the delegated state or local agency. If a state or local agency has adopted its own similar standards to implement the Federal standards, a copy of the report submitted to the state or local agency can be s</w:t>
      </w:r>
      <w:r w:rsidR="005B4EA8">
        <w:rPr>
          <w:color w:val="000000"/>
        </w:rPr>
        <w:t>ubmitted</w:t>
      </w:r>
      <w:r>
        <w:rPr>
          <w:color w:val="000000"/>
        </w:rPr>
        <w:t xml:space="preserve"> to the Administrator in lieu of the report required by the Federal standards. Therefore, </w:t>
      </w:r>
      <w:r w:rsidR="003D3CE4">
        <w:rPr>
          <w:color w:val="000000"/>
        </w:rPr>
        <w:t>no</w:t>
      </w:r>
      <w:r>
        <w:rPr>
          <w:color w:val="000000"/>
        </w:rPr>
        <w:t xml:space="preserve"> duplication exist</w:t>
      </w:r>
      <w:r w:rsidR="003D3CE4">
        <w:rPr>
          <w:color w:val="000000"/>
        </w:rPr>
        <w:t>s</w:t>
      </w:r>
      <w:r>
        <w:rPr>
          <w:color w:val="000000"/>
        </w:rPr>
        <w:t>.</w:t>
      </w:r>
    </w:p>
    <w:p w14:paraId="713ACE6E"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780E45DF"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69B7C37"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25F91BBB" w14:textId="398C996B" w:rsidR="00CA4CD6" w:rsidRPr="002B6F98" w:rsidRDefault="00E62F5B" w:rsidP="0070510D">
      <w:pPr>
        <w:pBdr>
          <w:top w:val="single" w:sz="6" w:space="0" w:color="FFFFFF"/>
          <w:left w:val="single" w:sz="6" w:space="0" w:color="FFFFFF"/>
          <w:bottom w:val="single" w:sz="6" w:space="0" w:color="FFFFFF"/>
          <w:right w:val="single" w:sz="6" w:space="0" w:color="FFFFFF"/>
        </w:pBdr>
        <w:ind w:firstLine="720"/>
      </w:pPr>
      <w:r>
        <w:rPr>
          <w:color w:val="000000"/>
        </w:rPr>
        <w:t xml:space="preserve">This ICR was previously available for public review during the public comment period for the proposed amendments to Subpart HHHH, which were published in the </w:t>
      </w:r>
      <w:r>
        <w:rPr>
          <w:i/>
          <w:color w:val="000000"/>
        </w:rPr>
        <w:t xml:space="preserve">Federal </w:t>
      </w:r>
      <w:r w:rsidRPr="00E62F5B">
        <w:rPr>
          <w:i/>
          <w:color w:val="000000"/>
        </w:rPr>
        <w:t>Register</w:t>
      </w:r>
      <w:r w:rsidRPr="00E62F5B">
        <w:rPr>
          <w:color w:val="000000"/>
        </w:rPr>
        <w:t xml:space="preserve"> </w:t>
      </w:r>
      <w:r>
        <w:rPr>
          <w:color w:val="000000"/>
        </w:rPr>
        <w:t>(83 FR 14984) on April 6, 2018.</w:t>
      </w:r>
      <w:r w:rsidR="002B6F98">
        <w:rPr>
          <w:color w:val="000000"/>
        </w:rPr>
        <w:t xml:space="preserve"> </w:t>
      </w:r>
      <w:r w:rsidR="002B6F98">
        <w:t xml:space="preserve">We received one </w:t>
      </w:r>
      <w:r w:rsidR="002B6F98" w:rsidRPr="00761E0E">
        <w:t xml:space="preserve">comment </w:t>
      </w:r>
      <w:r w:rsidR="002B6F98">
        <w:t xml:space="preserve">that expressed concern that the </w:t>
      </w:r>
      <w:r w:rsidR="002B6F98" w:rsidRPr="00761E0E">
        <w:t>requirement to submit performance tests electronically could require duplicative or burdensome reporting</w:t>
      </w:r>
      <w:r w:rsidR="002B6F98">
        <w:t xml:space="preserve">, however, the commenter did not </w:t>
      </w:r>
      <w:r w:rsidR="0070510D">
        <w:t xml:space="preserve">specifically </w:t>
      </w:r>
      <w:r w:rsidR="002B6F98">
        <w:rPr>
          <w:color w:val="000000"/>
        </w:rPr>
        <w:t xml:space="preserve">address the burden </w:t>
      </w:r>
      <w:r w:rsidR="0070510D">
        <w:rPr>
          <w:color w:val="000000"/>
        </w:rPr>
        <w:t xml:space="preserve">or costs </w:t>
      </w:r>
      <w:r w:rsidR="002B6F98">
        <w:rPr>
          <w:color w:val="000000"/>
        </w:rPr>
        <w:t>published in the ICR</w:t>
      </w:r>
      <w:r w:rsidR="002B6F98" w:rsidRPr="00761E0E">
        <w:t xml:space="preserve">. After review of these comments, we determined that no changes </w:t>
      </w:r>
      <w:r w:rsidR="002B6F98">
        <w:t>a</w:t>
      </w:r>
      <w:r w:rsidR="002B6F98" w:rsidRPr="00761E0E">
        <w:t>re necessary. The comment and our specific responses can be found in the document</w:t>
      </w:r>
      <w:r w:rsidR="002B6F98">
        <w:t xml:space="preserve"> titled</w:t>
      </w:r>
      <w:r w:rsidR="002B6F98" w:rsidRPr="00761E0E">
        <w:t>, “Summary of Public Comments and Responses for Wet-Formed Fiberglass Mat Production Risk and Technology Review</w:t>
      </w:r>
      <w:r w:rsidR="002B6F98">
        <w:t>,</w:t>
      </w:r>
      <w:r w:rsidR="002B6F98" w:rsidRPr="00761E0E">
        <w:t xml:space="preserve">” which is available in the docket for </w:t>
      </w:r>
      <w:r w:rsidR="002B6F98">
        <w:t xml:space="preserve">the final rule at Docket ID Number </w:t>
      </w:r>
      <w:r w:rsidR="002B6F98" w:rsidRPr="005418F0">
        <w:t>EPA-HQ-OAR-20</w:t>
      </w:r>
      <w:r w:rsidR="002B6F98">
        <w:t>04</w:t>
      </w:r>
      <w:r w:rsidR="002B6F98" w:rsidRPr="005418F0">
        <w:t>-</w:t>
      </w:r>
      <w:r w:rsidR="002B6F98">
        <w:t>0</w:t>
      </w:r>
      <w:r w:rsidR="002B6F98" w:rsidRPr="005418F0">
        <w:t>30</w:t>
      </w:r>
      <w:r w:rsidR="002B6F98">
        <w:t>9.</w:t>
      </w:r>
      <w:r w:rsidR="002B6F98" w:rsidRPr="00761E0E">
        <w:t xml:space="preserve"> </w:t>
      </w:r>
      <w:r>
        <w:t xml:space="preserve"> </w:t>
      </w:r>
      <w:r w:rsidR="00CA4CD6">
        <w:rPr>
          <w:color w:val="FF0000"/>
        </w:rPr>
        <w:t xml:space="preserve"> </w:t>
      </w:r>
      <w:r w:rsidRPr="001D3E8A">
        <w:t>A</w:t>
      </w:r>
      <w:r w:rsidR="00C16F16">
        <w:t>dditionally, a</w:t>
      </w:r>
      <w:r w:rsidRPr="001D3E8A">
        <w:t xml:space="preserve">n announcement of a public comment period for the renewal of this ICR was published in the </w:t>
      </w:r>
      <w:r w:rsidRPr="001D3E8A">
        <w:rPr>
          <w:i/>
        </w:rPr>
        <w:t>Federal Register</w:t>
      </w:r>
      <w:r w:rsidRPr="001D3E8A">
        <w:t xml:space="preserve"> (82 FR 29558) on June 29, 2017. No comments were received on the burden published in the </w:t>
      </w:r>
      <w:r w:rsidRPr="001D3E8A">
        <w:rPr>
          <w:i/>
        </w:rPr>
        <w:t xml:space="preserve">Federal Register </w:t>
      </w:r>
      <w:r w:rsidRPr="001D3E8A">
        <w:t>for th</w:t>
      </w:r>
      <w:r w:rsidR="00C16F16">
        <w:t>e</w:t>
      </w:r>
      <w:r w:rsidRPr="001D3E8A">
        <w:t xml:space="preserve"> renewal</w:t>
      </w:r>
      <w:r w:rsidR="00C16F16">
        <w:t xml:space="preserve"> of this ICR</w:t>
      </w:r>
      <w:r w:rsidRPr="001D3E8A">
        <w:t xml:space="preserve">. </w:t>
      </w:r>
      <w:r w:rsidR="00A65EF9">
        <w:t>An additional notice will be published in the Federal Register when this ICR is submitted to OMB for review allowing 30-days for the public to submit comments on the ICR to OMB.</w:t>
      </w:r>
    </w:p>
    <w:p w14:paraId="60A98EED"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63DD0A90" w14:textId="77777777"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  Consultations</w:t>
      </w:r>
    </w:p>
    <w:p w14:paraId="31EB28CE" w14:textId="77777777" w:rsidR="00E53137" w:rsidRDefault="00E53137" w:rsidP="00D92F66">
      <w:pPr>
        <w:spacing w:line="244" w:lineRule="exact"/>
        <w:rPr>
          <w:color w:val="FF0000"/>
        </w:rPr>
      </w:pPr>
    </w:p>
    <w:p w14:paraId="25892F4B" w14:textId="77777777" w:rsidR="00CC45C6" w:rsidRPr="005B7448" w:rsidRDefault="005B7448" w:rsidP="005B7448">
      <w:pPr>
        <w:widowControl/>
        <w:ind w:firstLine="720"/>
      </w:pPr>
      <w:r>
        <w:t xml:space="preserve">Stakeholder outreach occurred with industry groups including Asphalt Roofing Manufacturers Association (ARMA) and member companies. This outreach is the basis for the number of affected facilities and industry growth over the next </w:t>
      </w:r>
      <w:r w:rsidR="00266C1B">
        <w:t>3</w:t>
      </w:r>
      <w:r>
        <w:t xml:space="preserve"> years. Further stakeholder and public input is expected through public comment and follow-up meetings with interested stakeholders.</w:t>
      </w:r>
    </w:p>
    <w:p w14:paraId="1AE81C87"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559B17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39D0F7F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C48955" w14:textId="0CADC8AE" w:rsidR="00CA4CD6" w:rsidRDefault="00C7259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2002 NESHAP required initial </w:t>
      </w:r>
      <w:r w:rsidR="008B4E58">
        <w:rPr>
          <w:color w:val="000000"/>
        </w:rPr>
        <w:t xml:space="preserve">compliance </w:t>
      </w:r>
      <w:r>
        <w:rPr>
          <w:color w:val="000000"/>
        </w:rPr>
        <w:t xml:space="preserve">notifications, semiannual compliance reports, and quarterly compliance reports </w:t>
      </w:r>
      <w:r w:rsidR="00817F13">
        <w:t>when deviations from applicable standards occurred</w:t>
      </w:r>
      <w:r w:rsidR="00817F13" w:rsidRPr="0063070C">
        <w:t xml:space="preserve">. </w:t>
      </w:r>
      <w:r w:rsidR="00B01594">
        <w:rPr>
          <w:color w:val="000000"/>
        </w:rPr>
        <w:t>The final rule re</w:t>
      </w:r>
      <w:r w:rsidR="00817F13">
        <w:rPr>
          <w:color w:val="000000"/>
        </w:rPr>
        <w:t>vises the</w:t>
      </w:r>
      <w:r w:rsidR="008B4E58">
        <w:rPr>
          <w:color w:val="000000"/>
        </w:rPr>
        <w:t xml:space="preserve"> reporting</w:t>
      </w:r>
      <w:r w:rsidR="00817F13">
        <w:rPr>
          <w:color w:val="000000"/>
        </w:rPr>
        <w:t xml:space="preserve"> provisions to re</w:t>
      </w:r>
      <w:r w:rsidR="00B01594">
        <w:rPr>
          <w:color w:val="000000"/>
        </w:rPr>
        <w:t>quire</w:t>
      </w:r>
      <w:r w:rsidR="00817F13">
        <w:rPr>
          <w:color w:val="000000"/>
        </w:rPr>
        <w:t xml:space="preserve"> </w:t>
      </w:r>
      <w:r w:rsidR="00B01594">
        <w:rPr>
          <w:color w:val="000000"/>
        </w:rPr>
        <w:t xml:space="preserve">that </w:t>
      </w:r>
      <w:r w:rsidR="00B01594" w:rsidRPr="007344CA">
        <w:t xml:space="preserve">compliance reports be submitted on a semiannual basis in all instances. </w:t>
      </w:r>
      <w:r w:rsidR="00817F13">
        <w:t>The EPA has determined that r</w:t>
      </w:r>
      <w:r w:rsidR="00B01594" w:rsidRPr="007344CA">
        <w:t>eporting on a semiannual basis will adequately provide a check on the operation and maintenance of process, control, and monitoring equipment and identify any problems with complying with rule requirements.</w:t>
      </w:r>
      <w:r w:rsidR="00B01594">
        <w:t xml:space="preserve"> </w:t>
      </w:r>
      <w:r w:rsidR="00CA4CD6">
        <w:rPr>
          <w:color w:val="000000"/>
        </w:rPr>
        <w:t xml:space="preserve">Less frequent information collection </w:t>
      </w:r>
      <w:r w:rsidR="00817F13">
        <w:rPr>
          <w:color w:val="000000"/>
        </w:rPr>
        <w:t xml:space="preserve">(e.g., annual collection) </w:t>
      </w:r>
      <w:r w:rsidR="00CA4CD6">
        <w:rPr>
          <w:color w:val="000000"/>
        </w:rPr>
        <w:t xml:space="preserve">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w:t>
      </w:r>
      <w:r w:rsidR="004B1F7C">
        <w:rPr>
          <w:color w:val="000000"/>
        </w:rPr>
        <w:t>likelihood of detecting poor</w:t>
      </w:r>
      <w:r w:rsidR="002C1F95">
        <w:rPr>
          <w:color w:val="000000"/>
        </w:rPr>
        <w:t xml:space="preserve"> </w:t>
      </w:r>
      <w:r w:rsidR="00CA4CD6">
        <w:rPr>
          <w:color w:val="000000"/>
        </w:rPr>
        <w:t xml:space="preserve">operation and maintenance of control equipment </w:t>
      </w:r>
      <w:r w:rsidR="004B1F7C">
        <w:rPr>
          <w:color w:val="000000"/>
        </w:rPr>
        <w:t>and noncompliance</w:t>
      </w:r>
      <w:r w:rsidR="002C1F95">
        <w:rPr>
          <w:color w:val="000000"/>
        </w:rPr>
        <w:t xml:space="preserve"> would </w:t>
      </w:r>
      <w:r w:rsidR="004B1F7C">
        <w:rPr>
          <w:color w:val="000000"/>
        </w:rPr>
        <w:t>decrease</w:t>
      </w:r>
      <w:r w:rsidR="002C1F95">
        <w:rPr>
          <w:color w:val="000000"/>
        </w:rPr>
        <w:t>.</w:t>
      </w:r>
    </w:p>
    <w:p w14:paraId="2ED53E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D9C5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4E7328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E32821" w14:textId="77777777" w:rsidR="00CA4CD6" w:rsidRDefault="00BE3E74">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hese reporting or recordk</w:t>
      </w:r>
      <w:r>
        <w:rPr>
          <w:color w:val="000000"/>
        </w:rPr>
        <w:t>eeping requirements</w:t>
      </w:r>
      <w:r w:rsidR="00101B40">
        <w:rPr>
          <w:color w:val="000000"/>
        </w:rPr>
        <w:t xml:space="preserve"> </w:t>
      </w:r>
      <w:r w:rsidR="00CA4CD6">
        <w:rPr>
          <w:color w:val="000000"/>
        </w:rPr>
        <w:t xml:space="preserve">violate any of the regulations </w:t>
      </w:r>
      <w:r>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14:paraId="4F8752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825F5F" w14:textId="77777777" w:rsidR="00CA4CD6" w:rsidRPr="00817AB9" w:rsidRDefault="00E46B4B">
      <w:pPr>
        <w:pBdr>
          <w:top w:val="single" w:sz="6" w:space="0" w:color="FFFFFF"/>
          <w:left w:val="single" w:sz="6" w:space="0" w:color="FFFFFF"/>
          <w:bottom w:val="single" w:sz="6" w:space="0" w:color="FFFFFF"/>
          <w:right w:val="single" w:sz="6" w:space="0" w:color="FFFFFF"/>
        </w:pBdr>
      </w:pPr>
      <w:r w:rsidRPr="00E46B4B">
        <w:tab/>
        <w:t xml:space="preserve">These standards require the respondents to maintain all records, including reports and notifications for at least </w:t>
      </w:r>
      <w:r w:rsidR="00266C1B">
        <w:t>5</w:t>
      </w:r>
      <w:r w:rsidRPr="00E46B4B">
        <w:t xml:space="preserve"> years. This is consistent with the General Provisions as applied to the standards. </w:t>
      </w:r>
      <w:r w:rsidR="00BE3E74">
        <w:t xml:space="preserve">The </w:t>
      </w:r>
      <w:r w:rsidRPr="00E46B4B">
        <w:t xml:space="preserve">EPA believes that the </w:t>
      </w:r>
      <w:r w:rsidR="00266C1B">
        <w:t>5</w:t>
      </w:r>
      <w:r w:rsidR="0053425C">
        <w:t>-</w:t>
      </w:r>
      <w:r w:rsidRPr="00E46B4B">
        <w:t xml:space="preserve">year records retention requirement is consistent with the Part 70 permit program and the </w:t>
      </w:r>
      <w:r w:rsidR="00BF3B0F">
        <w:t>5</w:t>
      </w:r>
      <w:r w:rsidR="0053425C">
        <w:t>-</w:t>
      </w:r>
      <w:r w:rsidRPr="00E46B4B">
        <w:t xml:space="preserve">year statute of limitations on which the permit program is based. The retention of records for </w:t>
      </w:r>
      <w:r w:rsidR="00BF3B0F">
        <w:t>5</w:t>
      </w:r>
      <w:r w:rsidRPr="00E46B4B">
        <w:t xml:space="preserve"> years allows </w:t>
      </w:r>
      <w:r w:rsidR="00BE3E74">
        <w:t xml:space="preserve">the </w:t>
      </w:r>
      <w:r w:rsidRPr="00E46B4B">
        <w:t>EPA to establish the compliance history of a source, any pattern of noncompliance</w:t>
      </w:r>
      <w:r w:rsidR="00BE3E74">
        <w:t>,</w:t>
      </w:r>
      <w:r w:rsidRPr="00E46B4B">
        <w:t xml:space="preserve"> and to determine the appropriate level of enforcement action. </w:t>
      </w:r>
      <w:r w:rsidR="00BE3E74">
        <w:t>The</w:t>
      </w:r>
      <w:r w:rsidRPr="00E46B4B">
        <w:t xml:space="preserve"> EPA has found that the most flagrant violators have violations extending beyond </w:t>
      </w:r>
      <w:r w:rsidR="00BF3B0F">
        <w:t>5</w:t>
      </w:r>
      <w:r w:rsidRPr="00E46B4B">
        <w:t xml:space="preserve"> years. In addition, </w:t>
      </w:r>
      <w:r w:rsidR="00BE3E74">
        <w:t xml:space="preserve">the </w:t>
      </w:r>
      <w:r w:rsidRPr="00E46B4B">
        <w:t>EPA would be prevented from pursuing the violators due to the destruction or nonexistence of essential records.</w:t>
      </w:r>
    </w:p>
    <w:p w14:paraId="459181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2B6C1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6EDF1AF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1ADAA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6D1FF8">
        <w:rPr>
          <w:color w:val="000000"/>
        </w:rPr>
        <w:t>C</w:t>
      </w:r>
      <w:r>
        <w:rPr>
          <w:color w:val="000000"/>
        </w:rPr>
        <w:t xml:space="preserve">hapter 1, </w:t>
      </w:r>
      <w:r w:rsidR="006D1FF8">
        <w:rPr>
          <w:color w:val="000000"/>
        </w:rPr>
        <w:t>P</w:t>
      </w:r>
      <w:r>
        <w:rPr>
          <w:color w:val="000000"/>
        </w:rPr>
        <w:t xml:space="preserve">art 2, </w:t>
      </w:r>
      <w:r w:rsidR="006D1FF8">
        <w:rPr>
          <w:color w:val="000000"/>
        </w:rPr>
        <w:t>S</w:t>
      </w:r>
      <w:r>
        <w:rPr>
          <w:color w:val="000000"/>
        </w:rPr>
        <w:t xml:space="preserve">ubpart B - Confidentiality of Business Information </w:t>
      </w:r>
      <w:r w:rsidR="0053425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sidRPr="006D1FF8">
        <w:rPr>
          <w:color w:val="000000"/>
        </w:rPr>
        <w:t>FR</w:t>
      </w:r>
      <w:r>
        <w:rPr>
          <w:color w:val="000000"/>
        </w:rPr>
        <w:t xml:space="preserve"> 40000, September 8, 1978; 43 </w:t>
      </w:r>
      <w:r w:rsidRPr="006D1FF8">
        <w:rPr>
          <w:color w:val="000000"/>
        </w:rPr>
        <w:t>FR</w:t>
      </w:r>
      <w:r>
        <w:rPr>
          <w:color w:val="000000"/>
        </w:rPr>
        <w:t xml:space="preserve"> 42251, September 20, 1978; 44 </w:t>
      </w:r>
      <w:r w:rsidRPr="006D1FF8">
        <w:rPr>
          <w:color w:val="000000"/>
        </w:rPr>
        <w:t>FR</w:t>
      </w:r>
      <w:r>
        <w:rPr>
          <w:color w:val="000000"/>
        </w:rPr>
        <w:t xml:space="preserve"> 17674, March 23, 1979).</w:t>
      </w:r>
    </w:p>
    <w:p w14:paraId="21427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AC657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29BCCA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A0A71F" w14:textId="77777777" w:rsidR="00CA4CD6" w:rsidRDefault="006D1FF8">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he</w:t>
      </w:r>
      <w:r>
        <w:rPr>
          <w:color w:val="000000"/>
        </w:rPr>
        <w:t>se</w:t>
      </w:r>
      <w:r w:rsidR="00CA4CD6">
        <w:rPr>
          <w:color w:val="000000"/>
        </w:rPr>
        <w:t xml:space="preserve"> reporting or recordkeeping requirements </w:t>
      </w:r>
      <w:r>
        <w:rPr>
          <w:color w:val="000000"/>
        </w:rPr>
        <w:t>contain</w:t>
      </w:r>
      <w:r w:rsidR="00B46A57">
        <w:rPr>
          <w:color w:val="000000"/>
        </w:rPr>
        <w:t xml:space="preserve"> </w:t>
      </w:r>
      <w:r w:rsidR="00CA4CD6">
        <w:rPr>
          <w:color w:val="000000"/>
        </w:rPr>
        <w:t>sensitive questions.</w:t>
      </w:r>
    </w:p>
    <w:p w14:paraId="10382B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F8F60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4B02BAA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BFE2F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w:t>
      </w:r>
      <w:r w:rsidR="006D1FF8">
        <w:rPr>
          <w:b/>
          <w:bCs/>
          <w:color w:val="000000"/>
        </w:rPr>
        <w:t>NAICS</w:t>
      </w:r>
      <w:r>
        <w:rPr>
          <w:b/>
          <w:bCs/>
          <w:color w:val="000000"/>
        </w:rPr>
        <w:t xml:space="preserve"> Codes</w:t>
      </w:r>
    </w:p>
    <w:p w14:paraId="567354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84CD5" w14:textId="77777777" w:rsidR="00CC45C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D660A8">
        <w:rPr>
          <w:color w:val="000000"/>
        </w:rPr>
        <w:t xml:space="preserve">owners or operators of </w:t>
      </w:r>
      <w:r w:rsidR="00DD3B8F">
        <w:rPr>
          <w:color w:val="000000"/>
        </w:rPr>
        <w:t xml:space="preserve">facilities that produce </w:t>
      </w:r>
      <w:r w:rsidR="00D660A8">
        <w:rPr>
          <w:color w:val="000000"/>
        </w:rPr>
        <w:t>wet-formed fiberglass mat</w:t>
      </w:r>
      <w:r w:rsidR="009979A4">
        <w:rPr>
          <w:color w:val="000000"/>
        </w:rPr>
        <w:t xml:space="preserve"> subject to 40 CFR Part 63, Subpart HHHH</w:t>
      </w:r>
      <w:r w:rsidR="00D660A8">
        <w:rPr>
          <w:color w:val="000000"/>
        </w:rPr>
        <w:t>.</w:t>
      </w:r>
      <w:r>
        <w:rPr>
          <w:color w:val="000000"/>
        </w:rPr>
        <w:t xml:space="preserve"> The </w:t>
      </w:r>
      <w:r w:rsidR="006D1FF8">
        <w:rPr>
          <w:color w:val="000000"/>
        </w:rPr>
        <w:t>North American Industry Classification System (NAICS) codes for</w:t>
      </w:r>
      <w:r>
        <w:rPr>
          <w:color w:val="000000"/>
        </w:rPr>
        <w:t xml:space="preserve"> respondents affected by the standards is </w:t>
      </w:r>
      <w:r w:rsidR="006D1FF8">
        <w:rPr>
          <w:color w:val="000000"/>
        </w:rPr>
        <w:t>327212</w:t>
      </w:r>
      <w:r w:rsidR="00E34595">
        <w:rPr>
          <w:color w:val="000000"/>
        </w:rPr>
        <w:t>.</w:t>
      </w:r>
    </w:p>
    <w:p w14:paraId="04F8487F" w14:textId="77777777" w:rsidR="0017154A" w:rsidRDefault="0017154A">
      <w:pPr>
        <w:pBdr>
          <w:top w:val="single" w:sz="6" w:space="0" w:color="FFFFFF"/>
          <w:left w:val="single" w:sz="6" w:space="0" w:color="FFFFFF"/>
          <w:bottom w:val="single" w:sz="6" w:space="0" w:color="FFFFFF"/>
          <w:right w:val="single" w:sz="6" w:space="0" w:color="FFFFFF"/>
        </w:pBdr>
        <w:ind w:firstLine="720"/>
        <w:rPr>
          <w:color w:val="000000"/>
        </w:rPr>
      </w:pPr>
    </w:p>
    <w:p w14:paraId="4401DDB1" w14:textId="77777777" w:rsidR="00CA4CD6" w:rsidRPr="00716071" w:rsidRDefault="00CA4CD6" w:rsidP="008D73D3">
      <w:pPr>
        <w:pBdr>
          <w:top w:val="single" w:sz="6" w:space="0" w:color="FFFFFF"/>
          <w:left w:val="single" w:sz="6" w:space="0" w:color="FFFFFF"/>
          <w:bottom w:val="single" w:sz="6" w:space="0" w:color="FFFFFF"/>
          <w:right w:val="single" w:sz="6" w:space="0" w:color="FFFFFF"/>
        </w:pBdr>
        <w:ind w:firstLine="720"/>
      </w:pPr>
      <w:r>
        <w:rPr>
          <w:b/>
          <w:bCs/>
          <w:color w:val="000000"/>
        </w:rPr>
        <w:t>4(b)  Information Requested</w:t>
      </w:r>
      <w:r>
        <w:rPr>
          <w:color w:val="000000"/>
        </w:rPr>
        <w:t xml:space="preserve"> </w:t>
      </w:r>
    </w:p>
    <w:p w14:paraId="16A2B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C37EC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5E395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F0D6CC" w14:textId="77777777" w:rsidR="00CA4CD6" w:rsidRDefault="00AE7170">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data i</w:t>
      </w:r>
      <w:r w:rsidR="00CA4CD6">
        <w:rPr>
          <w:color w:val="000000"/>
        </w:rPr>
        <w:t xml:space="preserve">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Pr>
          <w:color w:val="000000"/>
        </w:rPr>
        <w:t>are</w:t>
      </w:r>
      <w:r w:rsidR="00CA4CD6">
        <w:rPr>
          <w:color w:val="000000"/>
        </w:rPr>
        <w:t xml:space="preserve"> required by</w:t>
      </w:r>
      <w:r w:rsidR="00CA4CD6">
        <w:rPr>
          <w:color w:val="FF0000"/>
        </w:rPr>
        <w:t xml:space="preserve"> </w:t>
      </w:r>
      <w:r>
        <w:t>40 CFR Part 63, Subpart HHHH. Subpart HHHH references 40 CFR Part 63, Subpart A for several general reporting and recordkeeping requirements that apply for all NESHAP.</w:t>
      </w:r>
      <w:r w:rsidR="00CA4CD6">
        <w:rPr>
          <w:color w:val="000000"/>
        </w:rPr>
        <w:t xml:space="preserve">  </w:t>
      </w:r>
    </w:p>
    <w:p w14:paraId="706D339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61F04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A6784D">
        <w:rPr>
          <w:color w:val="000000"/>
        </w:rPr>
        <w:t xml:space="preserve">notifications and </w:t>
      </w:r>
      <w:r>
        <w:rPr>
          <w:color w:val="000000"/>
        </w:rPr>
        <w:t>reports:</w:t>
      </w:r>
    </w:p>
    <w:p w14:paraId="504B3F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238462D" w14:textId="77777777" w:rsidTr="0028303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1D52F5F" w14:textId="77777777" w:rsidR="00CA4CD6" w:rsidRPr="00CF2B37" w:rsidRDefault="00CA4CD6">
            <w:pPr>
              <w:spacing w:line="120" w:lineRule="exact"/>
            </w:pPr>
          </w:p>
          <w:p w14:paraId="1A874394" w14:textId="77777777" w:rsidR="00CA4CD6" w:rsidRPr="00CF2B37" w:rsidRDefault="00CA4CD6" w:rsidP="008221C5">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28303A">
              <w:rPr>
                <w:b/>
              </w:rPr>
              <w:t>/Reports</w:t>
            </w:r>
          </w:p>
        </w:tc>
      </w:tr>
      <w:tr w:rsidR="00A6784D" w:rsidRPr="00CF2B37" w14:paraId="05C30A88"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E91C24" w14:textId="77777777" w:rsidR="00A6784D" w:rsidRPr="00A6784D" w:rsidRDefault="00A6784D">
            <w:pPr>
              <w:pBdr>
                <w:top w:val="single" w:sz="6" w:space="0" w:color="FFFFFF"/>
                <w:left w:val="single" w:sz="6" w:space="0" w:color="FFFFFF"/>
                <w:bottom w:val="single" w:sz="6" w:space="0" w:color="FFFFFF"/>
                <w:right w:val="single" w:sz="6" w:space="0" w:color="FFFFFF"/>
              </w:pBdr>
              <w:spacing w:after="58"/>
              <w:rPr>
                <w:b/>
              </w:rPr>
            </w:pPr>
            <w:r w:rsidRPr="00A6784D">
              <w:rPr>
                <w:b/>
              </w:rPr>
              <w:t>Requirement</w:t>
            </w:r>
          </w:p>
        </w:tc>
        <w:tc>
          <w:tcPr>
            <w:tcW w:w="2340" w:type="dxa"/>
            <w:tcBorders>
              <w:top w:val="single" w:sz="7" w:space="0" w:color="000000"/>
              <w:left w:val="single" w:sz="7" w:space="0" w:color="000000"/>
              <w:bottom w:val="single" w:sz="7" w:space="0" w:color="000000"/>
              <w:right w:val="single" w:sz="7" w:space="0" w:color="000000"/>
            </w:tcBorders>
            <w:vAlign w:val="center"/>
          </w:tcPr>
          <w:p w14:paraId="30E96B38" w14:textId="77777777" w:rsidR="00A6784D" w:rsidRPr="00A6784D" w:rsidRDefault="00A6784D">
            <w:pPr>
              <w:pBdr>
                <w:top w:val="single" w:sz="6" w:space="0" w:color="FFFFFF"/>
                <w:left w:val="single" w:sz="6" w:space="0" w:color="FFFFFF"/>
                <w:bottom w:val="single" w:sz="6" w:space="0" w:color="FFFFFF"/>
                <w:right w:val="single" w:sz="6" w:space="0" w:color="FFFFFF"/>
              </w:pBdr>
              <w:spacing w:after="58"/>
              <w:rPr>
                <w:b/>
              </w:rPr>
            </w:pPr>
            <w:r w:rsidRPr="00A6784D">
              <w:rPr>
                <w:b/>
              </w:rPr>
              <w:t>Regulation Reference (40 CFR Part 63)</w:t>
            </w:r>
          </w:p>
        </w:tc>
      </w:tr>
      <w:tr w:rsidR="00A6784D" w:rsidRPr="00CF2B37" w14:paraId="6E4C8307"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677A5F3" w14:textId="77777777" w:rsidR="00A6784D" w:rsidRDefault="00A6784D">
            <w:pPr>
              <w:pBdr>
                <w:top w:val="single" w:sz="6" w:space="0" w:color="FFFFFF"/>
                <w:left w:val="single" w:sz="6" w:space="0" w:color="FFFFFF"/>
                <w:bottom w:val="single" w:sz="6" w:space="0" w:color="FFFFFF"/>
                <w:right w:val="single" w:sz="6" w:space="0" w:color="FFFFFF"/>
              </w:pBdr>
              <w:spacing w:after="58"/>
            </w:pPr>
            <w:r>
              <w:t>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57262B00" w14:textId="77777777" w:rsidR="00A6784D" w:rsidRDefault="00A6784D">
            <w:pPr>
              <w:pBdr>
                <w:top w:val="single" w:sz="6" w:space="0" w:color="FFFFFF"/>
                <w:left w:val="single" w:sz="6" w:space="0" w:color="FFFFFF"/>
                <w:bottom w:val="single" w:sz="6" w:space="0" w:color="FFFFFF"/>
                <w:right w:val="single" w:sz="6" w:space="0" w:color="FFFFFF"/>
              </w:pBdr>
              <w:spacing w:after="58"/>
            </w:pPr>
            <w:r>
              <w:t>63.5(d)</w:t>
            </w:r>
          </w:p>
        </w:tc>
      </w:tr>
      <w:tr w:rsidR="008F277E" w:rsidRPr="00CF2B37" w14:paraId="29D8EB1E"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84B9031" w14:textId="77777777" w:rsidR="008F277E" w:rsidRPr="00CF2B37" w:rsidRDefault="008F277E" w:rsidP="00DD77F9">
            <w:pPr>
              <w:pBdr>
                <w:top w:val="single" w:sz="6" w:space="0" w:color="FFFFFF"/>
                <w:left w:val="single" w:sz="6" w:space="0" w:color="FFFFFF"/>
                <w:bottom w:val="single" w:sz="6" w:space="0" w:color="FFFFFF"/>
                <w:right w:val="single" w:sz="6" w:space="0" w:color="FFFFFF"/>
              </w:pBdr>
              <w:spacing w:after="58"/>
            </w:pPr>
            <w:r>
              <w:t xml:space="preserve">Initial </w:t>
            </w:r>
            <w:r w:rsidR="00DD77F9">
              <w:t>a</w:t>
            </w:r>
            <w:r w:rsidR="008221C5">
              <w:t>pplicability of standard</w:t>
            </w:r>
          </w:p>
        </w:tc>
        <w:tc>
          <w:tcPr>
            <w:tcW w:w="2340" w:type="dxa"/>
            <w:tcBorders>
              <w:top w:val="single" w:sz="7" w:space="0" w:color="000000"/>
              <w:left w:val="single" w:sz="7" w:space="0" w:color="000000"/>
              <w:bottom w:val="single" w:sz="7" w:space="0" w:color="000000"/>
              <w:right w:val="single" w:sz="7" w:space="0" w:color="000000"/>
            </w:tcBorders>
            <w:vAlign w:val="center"/>
          </w:tcPr>
          <w:p w14:paraId="55E769F6" w14:textId="77777777" w:rsidR="008F277E" w:rsidRPr="00CF2B37" w:rsidRDefault="008F277E" w:rsidP="008221C5">
            <w:pPr>
              <w:pBdr>
                <w:top w:val="single" w:sz="6" w:space="0" w:color="FFFFFF"/>
                <w:left w:val="single" w:sz="6" w:space="0" w:color="FFFFFF"/>
                <w:bottom w:val="single" w:sz="6" w:space="0" w:color="FFFFFF"/>
                <w:right w:val="single" w:sz="6" w:space="0" w:color="FFFFFF"/>
              </w:pBdr>
              <w:spacing w:after="58"/>
            </w:pPr>
            <w:r>
              <w:t>63.9(b)</w:t>
            </w:r>
            <w:r w:rsidR="00DD77F9">
              <w:t>(1), (2)</w:t>
            </w:r>
          </w:p>
        </w:tc>
      </w:tr>
      <w:tr w:rsidR="008221C5" w:rsidRPr="00CF2B37" w14:paraId="1F7448FE"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01C0B532" w14:textId="77777777" w:rsidR="008221C5" w:rsidRDefault="008221C5">
            <w:pPr>
              <w:pBdr>
                <w:top w:val="single" w:sz="6" w:space="0" w:color="FFFFFF"/>
                <w:left w:val="single" w:sz="6" w:space="0" w:color="FFFFFF"/>
                <w:bottom w:val="single" w:sz="6" w:space="0" w:color="FFFFFF"/>
                <w:right w:val="single" w:sz="6" w:space="0" w:color="FFFFFF"/>
              </w:pBdr>
              <w:spacing w:after="58"/>
            </w:pPr>
            <w:r>
              <w:t>Actual startup</w:t>
            </w:r>
          </w:p>
        </w:tc>
        <w:tc>
          <w:tcPr>
            <w:tcW w:w="2340" w:type="dxa"/>
            <w:tcBorders>
              <w:top w:val="single" w:sz="7" w:space="0" w:color="000000"/>
              <w:left w:val="single" w:sz="7" w:space="0" w:color="000000"/>
              <w:bottom w:val="single" w:sz="7" w:space="0" w:color="000000"/>
              <w:right w:val="single" w:sz="7" w:space="0" w:color="000000"/>
            </w:tcBorders>
          </w:tcPr>
          <w:p w14:paraId="58F3E3BA" w14:textId="77777777" w:rsidR="008221C5" w:rsidRDefault="008221C5">
            <w:pPr>
              <w:pBdr>
                <w:top w:val="single" w:sz="6" w:space="0" w:color="FFFFFF"/>
                <w:left w:val="single" w:sz="6" w:space="0" w:color="FFFFFF"/>
                <w:bottom w:val="single" w:sz="6" w:space="0" w:color="FFFFFF"/>
                <w:right w:val="single" w:sz="6" w:space="0" w:color="FFFFFF"/>
              </w:pBdr>
              <w:spacing w:after="58"/>
            </w:pPr>
            <w:r>
              <w:t>63.9(b)(4)(v)</w:t>
            </w:r>
          </w:p>
        </w:tc>
      </w:tr>
      <w:tr w:rsidR="00DD77F9" w:rsidRPr="00CF2B37" w14:paraId="0406F499"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4B20EA66" w14:textId="77777777" w:rsidR="00DD77F9" w:rsidRDefault="00DD77F9">
            <w:pPr>
              <w:pBdr>
                <w:top w:val="single" w:sz="6" w:space="0" w:color="FFFFFF"/>
                <w:left w:val="single" w:sz="6" w:space="0" w:color="FFFFFF"/>
                <w:bottom w:val="single" w:sz="6" w:space="0" w:color="FFFFFF"/>
                <w:right w:val="single" w:sz="6" w:space="0" w:color="FFFFFF"/>
              </w:pBdr>
              <w:spacing w:after="58"/>
            </w:pPr>
            <w:r>
              <w:t>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48CD38C0" w14:textId="77777777" w:rsidR="00DD77F9" w:rsidRDefault="00DD77F9">
            <w:pPr>
              <w:pBdr>
                <w:top w:val="single" w:sz="6" w:space="0" w:color="FFFFFF"/>
                <w:left w:val="single" w:sz="6" w:space="0" w:color="FFFFFF"/>
                <w:bottom w:val="single" w:sz="6" w:space="0" w:color="FFFFFF"/>
                <w:right w:val="single" w:sz="6" w:space="0" w:color="FFFFFF"/>
              </w:pBdr>
              <w:spacing w:after="58"/>
            </w:pPr>
            <w:r>
              <w:t>63.9(d)</w:t>
            </w:r>
          </w:p>
        </w:tc>
      </w:tr>
      <w:tr w:rsidR="00DD77F9" w:rsidRPr="00CF2B37" w14:paraId="7D46816F"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19E232B4" w14:textId="77777777" w:rsidR="00DD77F9" w:rsidRDefault="00DD77F9">
            <w:pPr>
              <w:pBdr>
                <w:top w:val="single" w:sz="6" w:space="0" w:color="FFFFFF"/>
                <w:left w:val="single" w:sz="6" w:space="0" w:color="FFFFFF"/>
                <w:bottom w:val="single" w:sz="6" w:space="0" w:color="FFFFFF"/>
                <w:right w:val="single" w:sz="6" w:space="0" w:color="FFFFFF"/>
              </w:pBdr>
              <w:spacing w:after="58"/>
            </w:pPr>
            <w:r>
              <w:t>Performance test</w:t>
            </w:r>
          </w:p>
        </w:tc>
        <w:tc>
          <w:tcPr>
            <w:tcW w:w="2340" w:type="dxa"/>
            <w:tcBorders>
              <w:top w:val="single" w:sz="7" w:space="0" w:color="000000"/>
              <w:left w:val="single" w:sz="7" w:space="0" w:color="000000"/>
              <w:bottom w:val="single" w:sz="7" w:space="0" w:color="000000"/>
              <w:right w:val="single" w:sz="7" w:space="0" w:color="000000"/>
            </w:tcBorders>
          </w:tcPr>
          <w:p w14:paraId="15BFE1CF" w14:textId="77777777" w:rsidR="00DD77F9" w:rsidRDefault="00DD77F9">
            <w:pPr>
              <w:pBdr>
                <w:top w:val="single" w:sz="6" w:space="0" w:color="FFFFFF"/>
                <w:left w:val="single" w:sz="6" w:space="0" w:color="FFFFFF"/>
                <w:bottom w:val="single" w:sz="6" w:space="0" w:color="FFFFFF"/>
                <w:right w:val="single" w:sz="6" w:space="0" w:color="FFFFFF"/>
              </w:pBdr>
              <w:spacing w:after="58"/>
            </w:pPr>
            <w:r>
              <w:t>63.7(b), 63.9(e)</w:t>
            </w:r>
          </w:p>
        </w:tc>
      </w:tr>
      <w:tr w:rsidR="00DD77F9" w:rsidRPr="00CF2B37" w14:paraId="73E3BFAE"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14E08B38" w14:textId="77777777" w:rsidR="00DD77F9" w:rsidRDefault="0028303A">
            <w:pPr>
              <w:pBdr>
                <w:top w:val="single" w:sz="6" w:space="0" w:color="FFFFFF"/>
                <w:left w:val="single" w:sz="6" w:space="0" w:color="FFFFFF"/>
                <w:bottom w:val="single" w:sz="6" w:space="0" w:color="FFFFFF"/>
                <w:right w:val="single" w:sz="6" w:space="0" w:color="FFFFFF"/>
              </w:pBdr>
              <w:spacing w:after="58"/>
            </w:pPr>
            <w:r>
              <w:t>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05499B9E" w14:textId="77777777" w:rsidR="00DD77F9" w:rsidRDefault="0028303A">
            <w:pPr>
              <w:pBdr>
                <w:top w:val="single" w:sz="6" w:space="0" w:color="FFFFFF"/>
                <w:left w:val="single" w:sz="6" w:space="0" w:color="FFFFFF"/>
                <w:bottom w:val="single" w:sz="6" w:space="0" w:color="FFFFFF"/>
                <w:right w:val="single" w:sz="6" w:space="0" w:color="FFFFFF"/>
              </w:pBdr>
              <w:spacing w:after="58"/>
            </w:pPr>
            <w:r>
              <w:t>63.10(d)(2), 63.3000(d)</w:t>
            </w:r>
          </w:p>
        </w:tc>
      </w:tr>
      <w:tr w:rsidR="0028303A" w:rsidRPr="00CF2B37" w14:paraId="288FA5A2"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033D7AC3" w14:textId="77777777" w:rsidR="0028303A" w:rsidRDefault="00973A1F">
            <w:pPr>
              <w:pBdr>
                <w:top w:val="single" w:sz="6" w:space="0" w:color="FFFFFF"/>
                <w:left w:val="single" w:sz="6" w:space="0" w:color="FFFFFF"/>
                <w:bottom w:val="single" w:sz="6" w:space="0" w:color="FFFFFF"/>
                <w:right w:val="single" w:sz="6" w:space="0" w:color="FFFFFF"/>
              </w:pBdr>
              <w:spacing w:after="58"/>
            </w:pPr>
            <w:r>
              <w:t>Electronic submittal of performance test data</w:t>
            </w:r>
          </w:p>
        </w:tc>
        <w:tc>
          <w:tcPr>
            <w:tcW w:w="2340" w:type="dxa"/>
            <w:tcBorders>
              <w:top w:val="single" w:sz="7" w:space="0" w:color="000000"/>
              <w:left w:val="single" w:sz="7" w:space="0" w:color="000000"/>
              <w:bottom w:val="single" w:sz="7" w:space="0" w:color="000000"/>
              <w:right w:val="single" w:sz="7" w:space="0" w:color="000000"/>
            </w:tcBorders>
          </w:tcPr>
          <w:p w14:paraId="689B4AC0" w14:textId="77777777" w:rsidR="0028303A" w:rsidRDefault="00973A1F">
            <w:pPr>
              <w:pBdr>
                <w:top w:val="single" w:sz="6" w:space="0" w:color="FFFFFF"/>
                <w:left w:val="single" w:sz="6" w:space="0" w:color="FFFFFF"/>
                <w:bottom w:val="single" w:sz="6" w:space="0" w:color="FFFFFF"/>
                <w:right w:val="single" w:sz="6" w:space="0" w:color="FFFFFF"/>
              </w:pBdr>
              <w:spacing w:after="58"/>
            </w:pPr>
            <w:r>
              <w:t>63.3000(d)(1)</w:t>
            </w:r>
          </w:p>
        </w:tc>
      </w:tr>
      <w:tr w:rsidR="0028303A" w:rsidRPr="00CF2B37" w14:paraId="12816984"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29D20854" w14:textId="77777777" w:rsidR="0028303A" w:rsidRDefault="00973A1F">
            <w:pPr>
              <w:pBdr>
                <w:top w:val="single" w:sz="6" w:space="0" w:color="FFFFFF"/>
                <w:left w:val="single" w:sz="6" w:space="0" w:color="FFFFFF"/>
                <w:bottom w:val="single" w:sz="6" w:space="0" w:color="FFFFFF"/>
                <w:right w:val="single" w:sz="6" w:space="0" w:color="FFFFFF"/>
              </w:pBdr>
              <w:spacing w:after="58"/>
            </w:pPr>
            <w:r>
              <w:t xml:space="preserve">Continuous monitoring system </w:t>
            </w:r>
            <w:r w:rsidR="00C22EFF">
              <w:t xml:space="preserve">(CMS) </w:t>
            </w:r>
            <w:r>
              <w:t>performance evaluation</w:t>
            </w:r>
          </w:p>
        </w:tc>
        <w:tc>
          <w:tcPr>
            <w:tcW w:w="2340" w:type="dxa"/>
            <w:tcBorders>
              <w:top w:val="single" w:sz="7" w:space="0" w:color="000000"/>
              <w:left w:val="single" w:sz="7" w:space="0" w:color="000000"/>
              <w:bottom w:val="single" w:sz="7" w:space="0" w:color="000000"/>
              <w:right w:val="single" w:sz="7" w:space="0" w:color="000000"/>
            </w:tcBorders>
          </w:tcPr>
          <w:p w14:paraId="79963523" w14:textId="77777777" w:rsidR="0028303A" w:rsidRDefault="00973A1F">
            <w:pPr>
              <w:pBdr>
                <w:top w:val="single" w:sz="6" w:space="0" w:color="FFFFFF"/>
                <w:left w:val="single" w:sz="6" w:space="0" w:color="FFFFFF"/>
                <w:bottom w:val="single" w:sz="6" w:space="0" w:color="FFFFFF"/>
                <w:right w:val="single" w:sz="6" w:space="0" w:color="FFFFFF"/>
              </w:pBdr>
              <w:spacing w:after="58"/>
            </w:pPr>
            <w:r>
              <w:t>63.9(g)</w:t>
            </w:r>
          </w:p>
        </w:tc>
      </w:tr>
      <w:tr w:rsidR="00973A1F" w:rsidRPr="00CF2B37" w14:paraId="7733A68F"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09B9B2B7" w14:textId="77777777" w:rsidR="00973A1F" w:rsidRDefault="00850BC0" w:rsidP="00850BC0">
            <w:pPr>
              <w:pBdr>
                <w:top w:val="single" w:sz="6" w:space="0" w:color="FFFFFF"/>
                <w:left w:val="single" w:sz="6" w:space="0" w:color="FFFFFF"/>
                <w:bottom w:val="single" w:sz="6" w:space="0" w:color="FFFFFF"/>
                <w:right w:val="single" w:sz="6" w:space="0" w:color="FFFFFF"/>
              </w:pBdr>
              <w:spacing w:after="58"/>
            </w:pPr>
            <w:r>
              <w:t>P</w:t>
            </w:r>
            <w:r w:rsidR="00973A1F">
              <w:t>erformance evaluation</w:t>
            </w:r>
            <w:r>
              <w:t xml:space="preserve"> results</w:t>
            </w:r>
          </w:p>
        </w:tc>
        <w:tc>
          <w:tcPr>
            <w:tcW w:w="2340" w:type="dxa"/>
            <w:tcBorders>
              <w:top w:val="single" w:sz="7" w:space="0" w:color="000000"/>
              <w:left w:val="single" w:sz="7" w:space="0" w:color="000000"/>
              <w:bottom w:val="single" w:sz="7" w:space="0" w:color="000000"/>
              <w:right w:val="single" w:sz="7" w:space="0" w:color="000000"/>
            </w:tcBorders>
          </w:tcPr>
          <w:p w14:paraId="3409CE14" w14:textId="77777777" w:rsidR="00973A1F" w:rsidRDefault="00850BC0">
            <w:pPr>
              <w:pBdr>
                <w:top w:val="single" w:sz="6" w:space="0" w:color="FFFFFF"/>
                <w:left w:val="single" w:sz="6" w:space="0" w:color="FFFFFF"/>
                <w:bottom w:val="single" w:sz="6" w:space="0" w:color="FFFFFF"/>
                <w:right w:val="single" w:sz="6" w:space="0" w:color="FFFFFF"/>
              </w:pBdr>
              <w:spacing w:after="58"/>
            </w:pPr>
            <w:r>
              <w:t xml:space="preserve">63.10(e)(2), </w:t>
            </w:r>
            <w:r w:rsidR="00973A1F">
              <w:t>63.3000(e)</w:t>
            </w:r>
          </w:p>
        </w:tc>
      </w:tr>
      <w:tr w:rsidR="008F277E" w:rsidRPr="00CF2B37" w14:paraId="2A420804"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1389BF3A" w14:textId="77777777" w:rsidR="008F277E" w:rsidRPr="00CF2B37" w:rsidRDefault="00973A1F" w:rsidP="00973A1F">
            <w:pPr>
              <w:pBdr>
                <w:top w:val="single" w:sz="6" w:space="0" w:color="FFFFFF"/>
                <w:left w:val="single" w:sz="6" w:space="0" w:color="FFFFFF"/>
                <w:bottom w:val="single" w:sz="6" w:space="0" w:color="FFFFFF"/>
                <w:right w:val="single" w:sz="6" w:space="0" w:color="FFFFFF"/>
              </w:pBdr>
              <w:spacing w:after="58"/>
            </w:pPr>
            <w:r>
              <w:t>C</w:t>
            </w:r>
            <w:r w:rsidR="008F277E">
              <w:t>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14:paraId="2679D08A" w14:textId="77777777" w:rsidR="008F277E" w:rsidRPr="00CF2B37" w:rsidRDefault="008F277E">
            <w:pPr>
              <w:pBdr>
                <w:top w:val="single" w:sz="6" w:space="0" w:color="FFFFFF"/>
                <w:left w:val="single" w:sz="6" w:space="0" w:color="FFFFFF"/>
                <w:bottom w:val="single" w:sz="6" w:space="0" w:color="FFFFFF"/>
                <w:right w:val="single" w:sz="6" w:space="0" w:color="FFFFFF"/>
              </w:pBdr>
              <w:spacing w:after="58"/>
            </w:pPr>
            <w:r>
              <w:t>63.9(h), 63.3000(b)</w:t>
            </w:r>
          </w:p>
        </w:tc>
      </w:tr>
      <w:tr w:rsidR="00850BC0" w:rsidRPr="00CF2B37" w14:paraId="7BEE8045"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423A38AD"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 xml:space="preserve">Semiannual compliance reports </w:t>
            </w:r>
          </w:p>
        </w:tc>
        <w:tc>
          <w:tcPr>
            <w:tcW w:w="2340" w:type="dxa"/>
            <w:tcBorders>
              <w:top w:val="single" w:sz="7" w:space="0" w:color="000000"/>
              <w:left w:val="single" w:sz="7" w:space="0" w:color="000000"/>
              <w:bottom w:val="single" w:sz="7" w:space="0" w:color="000000"/>
              <w:right w:val="single" w:sz="7" w:space="0" w:color="000000"/>
            </w:tcBorders>
          </w:tcPr>
          <w:p w14:paraId="4E9D19AA" w14:textId="77777777" w:rsidR="00850BC0" w:rsidRPr="00CF2B37" w:rsidRDefault="00850BC0" w:rsidP="003D1D2F">
            <w:pPr>
              <w:pBdr>
                <w:top w:val="single" w:sz="6" w:space="0" w:color="FFFFFF"/>
                <w:left w:val="single" w:sz="6" w:space="0" w:color="FFFFFF"/>
                <w:bottom w:val="single" w:sz="6" w:space="0" w:color="FFFFFF"/>
                <w:right w:val="single" w:sz="6" w:space="0" w:color="FFFFFF"/>
              </w:pBdr>
              <w:spacing w:after="58"/>
            </w:pPr>
            <w:r>
              <w:t>63.3000(c)</w:t>
            </w:r>
            <w:r w:rsidR="003D1D2F">
              <w:t>, 63.10(e)(3)</w:t>
            </w:r>
          </w:p>
        </w:tc>
      </w:tr>
      <w:tr w:rsidR="00850BC0" w:rsidRPr="00CF2B37" w14:paraId="77E08E67"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07BBDE64"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Request for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4D4F579A"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63.9(c)</w:t>
            </w:r>
          </w:p>
        </w:tc>
      </w:tr>
      <w:tr w:rsidR="00850BC0" w:rsidRPr="00CF2B37" w14:paraId="39764EAE"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7CC3EEFD"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03B45D92"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63.9(j)</w:t>
            </w:r>
          </w:p>
        </w:tc>
      </w:tr>
    </w:tbl>
    <w:p w14:paraId="0AB53C3C" w14:textId="77777777" w:rsidR="00CA4CD6" w:rsidRDefault="00CA4CD6" w:rsidP="00850BC0">
      <w:pPr>
        <w:pBdr>
          <w:top w:val="single" w:sz="6" w:space="0" w:color="FFFFFF"/>
          <w:left w:val="single" w:sz="6" w:space="0" w:color="FFFFFF"/>
          <w:bottom w:val="single" w:sz="6" w:space="0" w:color="FFFFFF"/>
          <w:right w:val="single" w:sz="6" w:space="0" w:color="FFFFFF"/>
        </w:pBdr>
        <w:rPr>
          <w:color w:val="000000"/>
        </w:rPr>
      </w:pPr>
    </w:p>
    <w:p w14:paraId="65D4872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255227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07E4CB8F" w14:textId="77777777" w:rsidTr="0001003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BB03067" w14:textId="77777777" w:rsidR="00CA4CD6" w:rsidRPr="00CF2B37" w:rsidRDefault="00CA4CD6">
            <w:pPr>
              <w:spacing w:line="120" w:lineRule="exact"/>
            </w:pPr>
          </w:p>
          <w:p w14:paraId="113DB8B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B30F4" w:rsidRPr="00CF2B37" w14:paraId="541C3812"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6F61D675" w14:textId="77777777" w:rsidR="000B30F4" w:rsidRPr="00CF2B37" w:rsidRDefault="00BF3B0F" w:rsidP="00BF3B0F">
            <w:pPr>
              <w:pBdr>
                <w:top w:val="single" w:sz="6" w:space="0" w:color="FFFFFF"/>
                <w:left w:val="single" w:sz="6" w:space="0" w:color="FFFFFF"/>
                <w:bottom w:val="single" w:sz="6" w:space="0" w:color="FFFFFF"/>
                <w:right w:val="single" w:sz="6" w:space="0" w:color="FFFFFF"/>
              </w:pBdr>
              <w:spacing w:after="58"/>
            </w:pPr>
            <w:r>
              <w:t>5</w:t>
            </w:r>
            <w:r w:rsidR="000B30F4">
              <w:t>-year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176D3879" w14:textId="77777777" w:rsidR="000B30F4" w:rsidRPr="00CF2B37" w:rsidRDefault="000B30F4" w:rsidP="000B30F4">
            <w:pPr>
              <w:pBdr>
                <w:top w:val="single" w:sz="6" w:space="0" w:color="FFFFFF"/>
                <w:left w:val="single" w:sz="6" w:space="0" w:color="FFFFFF"/>
                <w:bottom w:val="single" w:sz="6" w:space="0" w:color="FFFFFF"/>
                <w:right w:val="single" w:sz="6" w:space="0" w:color="FFFFFF"/>
              </w:pBdr>
              <w:spacing w:after="58"/>
            </w:pPr>
            <w:r>
              <w:t>63.10(b)(1), 63.2999(a)</w:t>
            </w:r>
          </w:p>
        </w:tc>
      </w:tr>
      <w:tr w:rsidR="000B30F4" w:rsidRPr="00CF2B37" w14:paraId="1C3485B8"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599FFAA1" w14:textId="77777777" w:rsidR="000B30F4" w:rsidRPr="00CF2B37" w:rsidRDefault="000B30F4" w:rsidP="00B43B5F">
            <w:pPr>
              <w:pBdr>
                <w:top w:val="single" w:sz="6" w:space="0" w:color="FFFFFF"/>
                <w:left w:val="single" w:sz="6" w:space="0" w:color="FFFFFF"/>
                <w:bottom w:val="single" w:sz="6" w:space="0" w:color="FFFFFF"/>
                <w:right w:val="single" w:sz="6" w:space="0" w:color="FFFFFF"/>
              </w:pBdr>
              <w:spacing w:after="58"/>
            </w:pPr>
            <w:r>
              <w:t>Records of maintenance o</w:t>
            </w:r>
            <w:r w:rsidR="00B43B5F">
              <w:t>n</w:t>
            </w:r>
            <w:r>
              <w:t xml:space="preserve"> air pollution control </w:t>
            </w:r>
            <w:r w:rsidR="00B43B5F">
              <w:t xml:space="preserve">and monitoring </w:t>
            </w:r>
            <w:r>
              <w:t>equipment</w:t>
            </w:r>
          </w:p>
        </w:tc>
        <w:tc>
          <w:tcPr>
            <w:tcW w:w="2250" w:type="dxa"/>
            <w:tcBorders>
              <w:top w:val="single" w:sz="7" w:space="0" w:color="000000"/>
              <w:left w:val="single" w:sz="7" w:space="0" w:color="000000"/>
              <w:bottom w:val="single" w:sz="7" w:space="0" w:color="000000"/>
              <w:right w:val="single" w:sz="7" w:space="0" w:color="000000"/>
            </w:tcBorders>
          </w:tcPr>
          <w:p w14:paraId="695EE880" w14:textId="77777777" w:rsidR="000B30F4" w:rsidRDefault="000B30F4" w:rsidP="000B30F4">
            <w:pPr>
              <w:pBdr>
                <w:top w:val="single" w:sz="6" w:space="0" w:color="FFFFFF"/>
                <w:left w:val="single" w:sz="6" w:space="0" w:color="FFFFFF"/>
                <w:bottom w:val="single" w:sz="6" w:space="0" w:color="FFFFFF"/>
                <w:right w:val="single" w:sz="6" w:space="0" w:color="FFFFFF"/>
              </w:pBdr>
              <w:spacing w:after="58"/>
            </w:pPr>
            <w:r>
              <w:t>63.10(b)(2)(iii)</w:t>
            </w:r>
            <w:r w:rsidR="00B43B5F">
              <w:t>,</w:t>
            </w:r>
          </w:p>
          <w:p w14:paraId="790A538F" w14:textId="77777777" w:rsidR="00B43B5F" w:rsidRPr="00CF2B37" w:rsidRDefault="00B43B5F" w:rsidP="000B30F4">
            <w:pPr>
              <w:pBdr>
                <w:top w:val="single" w:sz="6" w:space="0" w:color="FFFFFF"/>
                <w:left w:val="single" w:sz="6" w:space="0" w:color="FFFFFF"/>
                <w:bottom w:val="single" w:sz="6" w:space="0" w:color="FFFFFF"/>
                <w:right w:val="single" w:sz="6" w:space="0" w:color="FFFFFF"/>
              </w:pBdr>
              <w:spacing w:after="58"/>
            </w:pPr>
            <w:r>
              <w:t>63.2998(d)</w:t>
            </w:r>
          </w:p>
        </w:tc>
      </w:tr>
      <w:tr w:rsidR="000B30F4" w:rsidRPr="00CF2B37" w14:paraId="236BAEC2"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25FAA58F" w14:textId="77777777" w:rsidR="000B30F4" w:rsidRPr="00CF2B37" w:rsidRDefault="000B30F4" w:rsidP="00C22EFF">
            <w:pPr>
              <w:pBdr>
                <w:top w:val="single" w:sz="6" w:space="0" w:color="FFFFFF"/>
                <w:left w:val="single" w:sz="6" w:space="0" w:color="FFFFFF"/>
                <w:bottom w:val="single" w:sz="6" w:space="0" w:color="FFFFFF"/>
                <w:right w:val="single" w:sz="6" w:space="0" w:color="FFFFFF"/>
              </w:pBdr>
              <w:spacing w:after="58"/>
            </w:pPr>
            <w:r>
              <w:t xml:space="preserve">Records of performance tests, </w:t>
            </w:r>
            <w:r w:rsidR="00C22EFF">
              <w:t>CMS performance evaluations, m</w:t>
            </w:r>
            <w:r>
              <w:t>easurements, calibrations, and adjustments</w:t>
            </w:r>
          </w:p>
        </w:tc>
        <w:tc>
          <w:tcPr>
            <w:tcW w:w="2250" w:type="dxa"/>
            <w:tcBorders>
              <w:top w:val="single" w:sz="7" w:space="0" w:color="000000"/>
              <w:left w:val="single" w:sz="7" w:space="0" w:color="000000"/>
              <w:bottom w:val="single" w:sz="7" w:space="0" w:color="000000"/>
              <w:right w:val="single" w:sz="7" w:space="0" w:color="000000"/>
            </w:tcBorders>
          </w:tcPr>
          <w:p w14:paraId="1BAE1DE4" w14:textId="77777777" w:rsidR="00514931" w:rsidRDefault="000B30F4" w:rsidP="000B30F4">
            <w:pPr>
              <w:pBdr>
                <w:top w:val="single" w:sz="6" w:space="0" w:color="FFFFFF"/>
                <w:left w:val="single" w:sz="6" w:space="0" w:color="FFFFFF"/>
                <w:bottom w:val="single" w:sz="6" w:space="0" w:color="FFFFFF"/>
                <w:right w:val="single" w:sz="6" w:space="0" w:color="FFFFFF"/>
              </w:pBdr>
              <w:spacing w:after="58"/>
            </w:pPr>
            <w:r>
              <w:t>63.10(b)(2)(vi-xi),</w:t>
            </w:r>
            <w:r w:rsidR="00514931">
              <w:t xml:space="preserve"> (xiii),</w:t>
            </w:r>
          </w:p>
          <w:p w14:paraId="01BD7D7D" w14:textId="77777777" w:rsidR="000B30F4" w:rsidRDefault="000B30F4" w:rsidP="000B30F4">
            <w:pPr>
              <w:pBdr>
                <w:top w:val="single" w:sz="6" w:space="0" w:color="FFFFFF"/>
                <w:left w:val="single" w:sz="6" w:space="0" w:color="FFFFFF"/>
                <w:bottom w:val="single" w:sz="6" w:space="0" w:color="FFFFFF"/>
                <w:right w:val="single" w:sz="6" w:space="0" w:color="FFFFFF"/>
              </w:pBdr>
              <w:spacing w:after="58"/>
            </w:pPr>
            <w:r>
              <w:t xml:space="preserve"> 63.10(c)(1), (5-8), (10-14)</w:t>
            </w:r>
          </w:p>
          <w:p w14:paraId="5D83C6BA" w14:textId="77777777" w:rsidR="00C22EFF" w:rsidRPr="00CF2B37" w:rsidRDefault="00C22EFF" w:rsidP="000B30F4">
            <w:pPr>
              <w:pBdr>
                <w:top w:val="single" w:sz="6" w:space="0" w:color="FFFFFF"/>
                <w:left w:val="single" w:sz="6" w:space="0" w:color="FFFFFF"/>
                <w:bottom w:val="single" w:sz="6" w:space="0" w:color="FFFFFF"/>
                <w:right w:val="single" w:sz="6" w:space="0" w:color="FFFFFF"/>
              </w:pBdr>
              <w:spacing w:after="58"/>
            </w:pPr>
            <w:r>
              <w:t>63.10(d)(2), (e)</w:t>
            </w:r>
            <w:r w:rsidR="00963300">
              <w:t>(2), (3)</w:t>
            </w:r>
          </w:p>
        </w:tc>
      </w:tr>
      <w:tr w:rsidR="0099229B" w:rsidRPr="00CF2B37" w14:paraId="0B44391C"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751C0324" w14:textId="77777777" w:rsidR="0099229B" w:rsidRDefault="0099229B" w:rsidP="0099229B">
            <w:pPr>
              <w:pBdr>
                <w:top w:val="single" w:sz="6" w:space="0" w:color="FFFFFF"/>
                <w:left w:val="single" w:sz="6" w:space="0" w:color="FFFFFF"/>
                <w:bottom w:val="single" w:sz="6" w:space="0" w:color="FFFFFF"/>
                <w:right w:val="single" w:sz="6" w:space="0" w:color="FFFFFF"/>
              </w:pBdr>
              <w:spacing w:after="58"/>
            </w:pPr>
            <w:r>
              <w:t>Operation, maintenance, and monitoring (OMM) plan</w:t>
            </w:r>
          </w:p>
        </w:tc>
        <w:tc>
          <w:tcPr>
            <w:tcW w:w="2250" w:type="dxa"/>
            <w:tcBorders>
              <w:top w:val="single" w:sz="7" w:space="0" w:color="000000"/>
              <w:left w:val="single" w:sz="7" w:space="0" w:color="000000"/>
              <w:bottom w:val="single" w:sz="7" w:space="0" w:color="000000"/>
              <w:right w:val="single" w:sz="7" w:space="0" w:color="000000"/>
            </w:tcBorders>
          </w:tcPr>
          <w:p w14:paraId="4EB184E6" w14:textId="77777777" w:rsidR="0099229B" w:rsidRDefault="0099229B" w:rsidP="0099229B">
            <w:pPr>
              <w:pBdr>
                <w:top w:val="single" w:sz="6" w:space="0" w:color="FFFFFF"/>
                <w:left w:val="single" w:sz="6" w:space="0" w:color="FFFFFF"/>
                <w:bottom w:val="single" w:sz="6" w:space="0" w:color="FFFFFF"/>
                <w:right w:val="single" w:sz="6" w:space="0" w:color="FFFFFF"/>
              </w:pBdr>
              <w:spacing w:after="58"/>
            </w:pPr>
            <w:r>
              <w:t>63.2998(b)</w:t>
            </w:r>
          </w:p>
        </w:tc>
      </w:tr>
      <w:tr w:rsidR="000B30F4" w:rsidRPr="00CF2B37" w14:paraId="36151D52"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534F9A92" w14:textId="77777777" w:rsidR="000B30F4" w:rsidRPr="00CF2B37" w:rsidRDefault="00B43B5F" w:rsidP="000B30F4">
            <w:pPr>
              <w:pBdr>
                <w:top w:val="single" w:sz="6" w:space="0" w:color="FFFFFF"/>
                <w:left w:val="single" w:sz="6" w:space="0" w:color="FFFFFF"/>
                <w:bottom w:val="single" w:sz="6" w:space="0" w:color="FFFFFF"/>
                <w:right w:val="single" w:sz="6" w:space="0" w:color="FFFFFF"/>
              </w:pBdr>
              <w:spacing w:after="58"/>
            </w:pPr>
            <w:r>
              <w:t>Records of monitored parameter values for operating limits</w:t>
            </w:r>
          </w:p>
        </w:tc>
        <w:tc>
          <w:tcPr>
            <w:tcW w:w="2250" w:type="dxa"/>
            <w:tcBorders>
              <w:top w:val="single" w:sz="7" w:space="0" w:color="000000"/>
              <w:left w:val="single" w:sz="7" w:space="0" w:color="000000"/>
              <w:bottom w:val="single" w:sz="7" w:space="0" w:color="000000"/>
              <w:right w:val="single" w:sz="7" w:space="0" w:color="000000"/>
            </w:tcBorders>
          </w:tcPr>
          <w:p w14:paraId="2FE9C41B" w14:textId="77777777" w:rsidR="000B30F4" w:rsidRPr="00CF2B37" w:rsidRDefault="00B43B5F" w:rsidP="000B30F4">
            <w:pPr>
              <w:pBdr>
                <w:top w:val="single" w:sz="6" w:space="0" w:color="FFFFFF"/>
                <w:left w:val="single" w:sz="6" w:space="0" w:color="FFFFFF"/>
                <w:bottom w:val="single" w:sz="6" w:space="0" w:color="FFFFFF"/>
                <w:right w:val="single" w:sz="6" w:space="0" w:color="FFFFFF"/>
              </w:pBdr>
              <w:spacing w:after="58"/>
            </w:pPr>
            <w:r>
              <w:t>63.2998(c)</w:t>
            </w:r>
          </w:p>
        </w:tc>
      </w:tr>
      <w:tr w:rsidR="00B43B5F" w:rsidRPr="00CF2B37" w14:paraId="6E0DC5C7"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6312A0A3" w14:textId="77777777" w:rsidR="00B43B5F" w:rsidRPr="00CF2B37" w:rsidRDefault="00B43B5F" w:rsidP="00B43B5F">
            <w:pPr>
              <w:pBdr>
                <w:top w:val="single" w:sz="6" w:space="0" w:color="FFFFFF"/>
                <w:left w:val="single" w:sz="6" w:space="0" w:color="FFFFFF"/>
                <w:bottom w:val="single" w:sz="6" w:space="0" w:color="FFFFFF"/>
                <w:right w:val="single" w:sz="6" w:space="0" w:color="FFFFFF"/>
              </w:pBdr>
              <w:spacing w:after="58"/>
            </w:pPr>
            <w:r>
              <w:t>Documentation of initial notifications and notifications of compliance status</w:t>
            </w:r>
          </w:p>
        </w:tc>
        <w:tc>
          <w:tcPr>
            <w:tcW w:w="2250" w:type="dxa"/>
            <w:tcBorders>
              <w:top w:val="single" w:sz="7" w:space="0" w:color="000000"/>
              <w:left w:val="single" w:sz="7" w:space="0" w:color="000000"/>
              <w:bottom w:val="single" w:sz="7" w:space="0" w:color="000000"/>
              <w:right w:val="single" w:sz="7" w:space="0" w:color="000000"/>
            </w:tcBorders>
          </w:tcPr>
          <w:p w14:paraId="5CA982DA" w14:textId="77777777" w:rsidR="00B43B5F" w:rsidRPr="00CF2B37" w:rsidRDefault="00B43B5F" w:rsidP="00B43B5F">
            <w:pPr>
              <w:pBdr>
                <w:top w:val="single" w:sz="6" w:space="0" w:color="FFFFFF"/>
                <w:left w:val="single" w:sz="6" w:space="0" w:color="FFFFFF"/>
                <w:bottom w:val="single" w:sz="6" w:space="0" w:color="FFFFFF"/>
                <w:right w:val="single" w:sz="6" w:space="0" w:color="FFFFFF"/>
              </w:pBdr>
              <w:spacing w:after="58"/>
            </w:pPr>
            <w:r>
              <w:t>63.10(b)(2)(xiv)</w:t>
            </w:r>
          </w:p>
        </w:tc>
      </w:tr>
      <w:tr w:rsidR="00961D52" w:rsidRPr="00CF2B37" w14:paraId="13959B42"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169424E" w14:textId="77777777" w:rsidR="00961D52" w:rsidRDefault="00961D52" w:rsidP="00B43B5F">
            <w:pPr>
              <w:pBdr>
                <w:top w:val="single" w:sz="6" w:space="0" w:color="FFFFFF"/>
                <w:left w:val="single" w:sz="6" w:space="0" w:color="FFFFFF"/>
                <w:bottom w:val="single" w:sz="6" w:space="0" w:color="FFFFFF"/>
                <w:right w:val="single" w:sz="6" w:space="0" w:color="FFFFFF"/>
              </w:pBdr>
              <w:spacing w:after="58"/>
            </w:pPr>
            <w:r>
              <w:t>Number of failures to meet applicable standards</w:t>
            </w:r>
          </w:p>
          <w:p w14:paraId="5E216A19" w14:textId="77777777" w:rsidR="00961D52" w:rsidRDefault="00961D52" w:rsidP="00961D52">
            <w:pPr>
              <w:pBdr>
                <w:top w:val="single" w:sz="6" w:space="0" w:color="FFFFFF"/>
                <w:left w:val="single" w:sz="6" w:space="0" w:color="FFFFFF"/>
                <w:bottom w:val="single" w:sz="6" w:space="0" w:color="FFFFFF"/>
                <w:right w:val="single" w:sz="6" w:space="0" w:color="FFFFFF"/>
              </w:pBdr>
              <w:spacing w:after="58"/>
            </w:pPr>
            <w:r>
              <w:t>For each failure: date, time, and duration; cause; a list of affected sources or equipment, noncompliant emissions estimates, and method used to estimate emissions; and actions taken to minimize emissions and corrective actions taken to return affected unit to normal operation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2F03106" w14:textId="77777777" w:rsidR="00961D52" w:rsidRDefault="00854189" w:rsidP="00854189">
            <w:pPr>
              <w:pBdr>
                <w:top w:val="single" w:sz="6" w:space="0" w:color="FFFFFF"/>
                <w:left w:val="single" w:sz="6" w:space="0" w:color="FFFFFF"/>
                <w:bottom w:val="single" w:sz="6" w:space="0" w:color="FFFFFF"/>
                <w:right w:val="single" w:sz="6" w:space="0" w:color="FFFFFF"/>
              </w:pBdr>
              <w:spacing w:after="58"/>
            </w:pPr>
            <w:r>
              <w:t>63.2998(e)</w:t>
            </w:r>
          </w:p>
        </w:tc>
      </w:tr>
      <w:tr w:rsidR="00B43B5F" w:rsidRPr="00CF2B37" w14:paraId="78076B4C"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D71F1EA" w14:textId="77777777" w:rsidR="00B43B5F" w:rsidRPr="00CF2B37" w:rsidRDefault="00A72F5B" w:rsidP="00B43B5F">
            <w:pPr>
              <w:pBdr>
                <w:top w:val="single" w:sz="6" w:space="0" w:color="FFFFFF"/>
                <w:left w:val="single" w:sz="6" w:space="0" w:color="FFFFFF"/>
                <w:bottom w:val="single" w:sz="6" w:space="0" w:color="FFFFFF"/>
                <w:right w:val="single" w:sz="6" w:space="0" w:color="FFFFFF"/>
              </w:pBdr>
              <w:spacing w:after="58"/>
            </w:pPr>
            <w:r>
              <w:t>Documentation for applicability determinations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75A8E07" w14:textId="77777777" w:rsidR="00B43B5F" w:rsidRPr="00CF2B37" w:rsidRDefault="00A72F5B" w:rsidP="00B43B5F">
            <w:pPr>
              <w:pBdr>
                <w:top w:val="single" w:sz="6" w:space="0" w:color="FFFFFF"/>
                <w:left w:val="single" w:sz="6" w:space="0" w:color="FFFFFF"/>
                <w:bottom w:val="single" w:sz="6" w:space="0" w:color="FFFFFF"/>
                <w:right w:val="single" w:sz="6" w:space="0" w:color="FFFFFF"/>
              </w:pBdr>
              <w:spacing w:after="58"/>
            </w:pPr>
            <w:r>
              <w:t>63.10(b)(3)</w:t>
            </w:r>
          </w:p>
        </w:tc>
      </w:tr>
      <w:tr w:rsidR="00514931" w:rsidRPr="00CF2B37" w14:paraId="34538B07"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4FAC2AC2" w14:textId="77777777" w:rsidR="00514931" w:rsidRPr="00CF2B37" w:rsidRDefault="00514931" w:rsidP="00514931">
            <w:pPr>
              <w:pBdr>
                <w:top w:val="single" w:sz="6" w:space="0" w:color="FFFFFF"/>
                <w:left w:val="single" w:sz="6" w:space="0" w:color="FFFFFF"/>
                <w:bottom w:val="single" w:sz="6" w:space="0" w:color="FFFFFF"/>
                <w:right w:val="single" w:sz="6" w:space="0" w:color="FFFFFF"/>
              </w:pBdr>
              <w:spacing w:after="58"/>
            </w:pPr>
            <w:r>
              <w:t>Documentation required for waiver of recordkeeping or reporting requirements (if applicable)</w:t>
            </w:r>
          </w:p>
        </w:tc>
        <w:tc>
          <w:tcPr>
            <w:tcW w:w="2250" w:type="dxa"/>
            <w:tcBorders>
              <w:top w:val="single" w:sz="7" w:space="0" w:color="000000"/>
              <w:left w:val="single" w:sz="7" w:space="0" w:color="000000"/>
              <w:bottom w:val="single" w:sz="7" w:space="0" w:color="000000"/>
              <w:right w:val="single" w:sz="7" w:space="0" w:color="000000"/>
            </w:tcBorders>
          </w:tcPr>
          <w:p w14:paraId="1AF140E6" w14:textId="77777777" w:rsidR="00514931" w:rsidRPr="00CF2B37" w:rsidRDefault="00514931" w:rsidP="00514931">
            <w:pPr>
              <w:pBdr>
                <w:top w:val="single" w:sz="6" w:space="0" w:color="FFFFFF"/>
                <w:left w:val="single" w:sz="6" w:space="0" w:color="FFFFFF"/>
                <w:bottom w:val="single" w:sz="6" w:space="0" w:color="FFFFFF"/>
                <w:right w:val="single" w:sz="6" w:space="0" w:color="FFFFFF"/>
              </w:pBdr>
              <w:spacing w:after="58"/>
            </w:pPr>
            <w:r>
              <w:t>63.10(b)(2)(xii)</w:t>
            </w:r>
          </w:p>
        </w:tc>
      </w:tr>
    </w:tbl>
    <w:p w14:paraId="04094C5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C31D7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1F4E595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C622DE" w14:textId="77777777" w:rsidR="00CA4CD6" w:rsidRDefault="00EC561E" w:rsidP="000F7B07">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sources</w:t>
      </w:r>
      <w:r w:rsidR="00CA4CD6">
        <w:rPr>
          <w:color w:val="000000"/>
        </w:rPr>
        <w:t xml:space="preserve"> are using monitoring equipment that </w:t>
      </w:r>
      <w:r>
        <w:rPr>
          <w:color w:val="000000"/>
        </w:rPr>
        <w:t>provides a</w:t>
      </w:r>
      <w:r w:rsidR="00CA4CD6">
        <w:rPr>
          <w:color w:val="000000"/>
        </w:rPr>
        <w:t>utomat</w:t>
      </w:r>
      <w:r>
        <w:rPr>
          <w:color w:val="000000"/>
        </w:rPr>
        <w:t>ed</w:t>
      </w:r>
      <w:r w:rsidR="00CA4CD6">
        <w:rPr>
          <w:color w:val="000000"/>
        </w:rPr>
        <w:t xml:space="preserve"> parameter data</w:t>
      </w:r>
      <w:r>
        <w:rPr>
          <w:color w:val="000000"/>
        </w:rPr>
        <w:t xml:space="preserve"> (e.g., control device parameter monitoring)</w:t>
      </w:r>
      <w:r w:rsidR="00CA4CD6">
        <w:rPr>
          <w:color w:val="000000"/>
        </w:rPr>
        <w:t xml:space="preserve">. Although personnel at the </w:t>
      </w:r>
      <w:r>
        <w:rPr>
          <w:color w:val="000000"/>
        </w:rPr>
        <w:t>f</w:t>
      </w:r>
      <w:r w:rsidR="00CA4CD6">
        <w:rPr>
          <w:color w:val="000000"/>
        </w:rPr>
        <w:t>acilit</w:t>
      </w:r>
      <w:r>
        <w:rPr>
          <w:color w:val="000000"/>
        </w:rPr>
        <w:t xml:space="preserve">ies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w:t>
      </w:r>
      <w:r w:rsidRPr="003D1D2F">
        <w:rPr>
          <w:color w:val="000000"/>
        </w:rPr>
        <w:t xml:space="preserve">equipment </w:t>
      </w:r>
      <w:r w:rsidR="00CA4CD6" w:rsidRPr="003D1D2F">
        <w:rPr>
          <w:color w:val="000000"/>
        </w:rPr>
        <w:t xml:space="preserve">has </w:t>
      </w:r>
      <w:r w:rsidR="00CA4CD6" w:rsidRPr="00F51A49">
        <w:rPr>
          <w:color w:val="000000"/>
        </w:rPr>
        <w:t>significantly reduced the burden associated with monitoring and recordkeeping.</w:t>
      </w:r>
      <w:r w:rsidRPr="00F51A49">
        <w:rPr>
          <w:color w:val="000000"/>
        </w:rPr>
        <w:t xml:space="preserve"> As part of the RTR amendments, respondents would be required to use the EPA’s Electronic Reporting Tool (ERT) to submit performance test reports for test methods supported by the ERT.</w:t>
      </w:r>
      <w:r w:rsidR="00A13854" w:rsidRPr="00F51A49">
        <w:rPr>
          <w:rStyle w:val="FootnoteReference"/>
          <w:color w:val="000000"/>
          <w:vertAlign w:val="superscript"/>
        </w:rPr>
        <w:footnoteReference w:id="1"/>
      </w:r>
      <w:r w:rsidR="00CA4CD6" w:rsidRPr="00F51A49">
        <w:rPr>
          <w:color w:val="000000"/>
          <w:vertAlign w:val="superscript"/>
        </w:rPr>
        <w:t xml:space="preserve"> </w:t>
      </w:r>
      <w:r w:rsidR="00F51A49" w:rsidRPr="00F51A49">
        <w:rPr>
          <w:color w:val="000000"/>
        </w:rPr>
        <w:t>The ERT</w:t>
      </w:r>
      <w:r w:rsidR="00F51A49">
        <w:rPr>
          <w:color w:val="000000"/>
        </w:rPr>
        <w:t xml:space="preserve"> can be accessed </w:t>
      </w:r>
      <w:r w:rsidR="003D1D2F" w:rsidRPr="003D1D2F">
        <w:rPr>
          <w:color w:val="000000"/>
        </w:rPr>
        <w:t xml:space="preserve">via the </w:t>
      </w:r>
      <w:r w:rsidR="003D1D2F" w:rsidRPr="003D1D2F">
        <w:t>Compliance and Emissions Data Reporting Interface (CEDRI)</w:t>
      </w:r>
      <w:r w:rsidR="00F51A49">
        <w:t xml:space="preserve"> and </w:t>
      </w:r>
      <w:r w:rsidR="003D1D2F" w:rsidRPr="003D1D2F">
        <w:t>CEDRI can be accessed through the EPA’s Central Data Exchang</w:t>
      </w:r>
      <w:r w:rsidR="00F51A49">
        <w:t>e (CDX) (https://cdx.epa.gov/).</w:t>
      </w:r>
    </w:p>
    <w:p w14:paraId="1B346456" w14:textId="77777777" w:rsidR="0053425C" w:rsidRDefault="0053425C"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3F9E7D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65412B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23ECFEE6" w14:textId="77777777" w:rsidTr="0002227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02BF780" w14:textId="77777777" w:rsidR="00CA4CD6" w:rsidRDefault="00CA4CD6">
            <w:pPr>
              <w:spacing w:line="120" w:lineRule="exact"/>
              <w:rPr>
                <w:color w:val="000000"/>
              </w:rPr>
            </w:pPr>
          </w:p>
          <w:p w14:paraId="01C2A97E"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3FFE03B8"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55FB72E8" w14:textId="77777777" w:rsidR="00CA4CD6" w:rsidRDefault="00CA4CD6">
            <w:pPr>
              <w:spacing w:line="120" w:lineRule="exact"/>
              <w:rPr>
                <w:b/>
                <w:bCs/>
                <w:color w:val="000000"/>
              </w:rPr>
            </w:pPr>
          </w:p>
          <w:p w14:paraId="2A740559" w14:textId="77777777" w:rsidR="00CA4CD6" w:rsidRDefault="009F4737" w:rsidP="009F4737">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and understand</w:t>
            </w:r>
            <w:r w:rsidR="0053425C">
              <w:rPr>
                <w:color w:val="000000"/>
              </w:rPr>
              <w:t xml:space="preserve"> the r</w:t>
            </w:r>
            <w:r>
              <w:rPr>
                <w:color w:val="000000"/>
              </w:rPr>
              <w:t>ule</w:t>
            </w:r>
            <w:r w:rsidR="0053425C">
              <w:rPr>
                <w:color w:val="000000"/>
              </w:rPr>
              <w:t xml:space="preserve"> requirements</w:t>
            </w:r>
            <w:r w:rsidR="00CA4CD6">
              <w:rPr>
                <w:color w:val="000000"/>
              </w:rPr>
              <w:t>.</w:t>
            </w:r>
          </w:p>
        </w:tc>
      </w:tr>
      <w:tr w:rsidR="00CA4CD6" w14:paraId="7E74485A"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0EE18243" w14:textId="77777777" w:rsidR="00CA4CD6" w:rsidRDefault="00CA4CD6">
            <w:pPr>
              <w:spacing w:line="120" w:lineRule="exact"/>
              <w:rPr>
                <w:color w:val="000000"/>
              </w:rPr>
            </w:pPr>
          </w:p>
          <w:p w14:paraId="7C4F04B3" w14:textId="77777777" w:rsidR="00CA4CD6" w:rsidRDefault="00CA4CD6" w:rsidP="009F4737">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w:t>
            </w:r>
            <w:r w:rsidR="00E46B4B" w:rsidRPr="00E46B4B">
              <w:t>.</w:t>
            </w:r>
            <w:r w:rsidRPr="00B16C07">
              <w:rPr>
                <w:color w:val="FF0000"/>
              </w:rPr>
              <w:t xml:space="preserve"> </w:t>
            </w:r>
          </w:p>
        </w:tc>
      </w:tr>
      <w:tr w:rsidR="00CA4CD6" w14:paraId="2DC21E73"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4E089251" w14:textId="77777777" w:rsidR="00CA4CD6" w:rsidRDefault="00CA4CD6">
            <w:pPr>
              <w:spacing w:line="120" w:lineRule="exact"/>
              <w:rPr>
                <w:color w:val="000000"/>
              </w:rPr>
            </w:pPr>
          </w:p>
          <w:p w14:paraId="39E1FD60" w14:textId="77777777" w:rsidR="00CA4CD6" w:rsidRDefault="009F4737" w:rsidP="009F4737">
            <w:pPr>
              <w:pBdr>
                <w:top w:val="single" w:sz="6" w:space="0" w:color="FFFFFF"/>
                <w:left w:val="single" w:sz="6" w:space="0" w:color="FFFFFF"/>
                <w:bottom w:val="single" w:sz="6" w:space="0" w:color="FFFFFF"/>
                <w:right w:val="single" w:sz="6" w:space="0" w:color="FFFFFF"/>
              </w:pBdr>
              <w:spacing w:after="55"/>
              <w:rPr>
                <w:color w:val="000000"/>
              </w:rPr>
            </w:pPr>
            <w:r>
              <w:rPr>
                <w:color w:val="000000"/>
              </w:rPr>
              <w:t>Conduct</w:t>
            </w:r>
            <w:r w:rsidR="00CA4CD6">
              <w:rPr>
                <w:color w:val="000000"/>
              </w:rPr>
              <w:t xml:space="preserve"> performance test</w:t>
            </w:r>
            <w:r>
              <w:rPr>
                <w:color w:val="000000"/>
              </w:rPr>
              <w:t xml:space="preserve">s </w:t>
            </w:r>
            <w:r w:rsidRPr="005B4EA8">
              <w:rPr>
                <w:color w:val="000000"/>
              </w:rPr>
              <w:t>using EPA</w:t>
            </w:r>
            <w:r w:rsidR="00CA4CD6" w:rsidRPr="005B4EA8">
              <w:rPr>
                <w:color w:val="000000"/>
              </w:rPr>
              <w:t xml:space="preserve"> Reference Method</w:t>
            </w:r>
            <w:r w:rsidRPr="005B4EA8">
              <w:rPr>
                <w:color w:val="000000"/>
              </w:rPr>
              <w:t>s</w:t>
            </w:r>
            <w:r w:rsidR="00CA4CD6" w:rsidRPr="005B4EA8">
              <w:rPr>
                <w:color w:val="000000"/>
              </w:rPr>
              <w:t xml:space="preserve"> </w:t>
            </w:r>
            <w:r w:rsidR="00084C60" w:rsidRPr="005B4EA8">
              <w:rPr>
                <w:color w:val="000000"/>
              </w:rPr>
              <w:t xml:space="preserve">1, 2, </w:t>
            </w:r>
            <w:r w:rsidRPr="005B4EA8">
              <w:rPr>
                <w:color w:val="000000"/>
              </w:rPr>
              <w:t xml:space="preserve">3 or 3A, 4, </w:t>
            </w:r>
            <w:r w:rsidR="00084C60" w:rsidRPr="005B4EA8">
              <w:rPr>
                <w:color w:val="000000"/>
              </w:rPr>
              <w:t>and 316</w:t>
            </w:r>
            <w:r w:rsidR="00CA4CD6" w:rsidRPr="005B4EA8">
              <w:rPr>
                <w:color w:val="000000"/>
              </w:rPr>
              <w:t xml:space="preserve">, </w:t>
            </w:r>
            <w:r w:rsidRPr="005B4EA8">
              <w:rPr>
                <w:color w:val="000000"/>
              </w:rPr>
              <w:t xml:space="preserve">318, or 320, </w:t>
            </w:r>
            <w:r w:rsidR="00CA4CD6" w:rsidRPr="005B4EA8">
              <w:rPr>
                <w:color w:val="000000"/>
              </w:rPr>
              <w:t>and repeat performance test</w:t>
            </w:r>
            <w:r w:rsidR="00CA4CD6">
              <w:rPr>
                <w:color w:val="000000"/>
              </w:rPr>
              <w:t>s if necessary.</w:t>
            </w:r>
          </w:p>
        </w:tc>
      </w:tr>
      <w:tr w:rsidR="00CA4CD6" w14:paraId="52598C81"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0B16DBB3" w14:textId="77777777" w:rsidR="00CA4CD6" w:rsidRDefault="00CA4CD6">
            <w:pPr>
              <w:spacing w:line="120" w:lineRule="exact"/>
              <w:rPr>
                <w:color w:val="000000"/>
              </w:rPr>
            </w:pPr>
          </w:p>
          <w:p w14:paraId="06F7252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2BA39823"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50701F4F" w14:textId="77777777" w:rsidR="00CA4CD6" w:rsidRDefault="00CA4CD6">
            <w:pPr>
              <w:spacing w:line="120" w:lineRule="exact"/>
              <w:rPr>
                <w:color w:val="000000"/>
              </w:rPr>
            </w:pPr>
          </w:p>
          <w:p w14:paraId="786DE97F" w14:textId="77777777" w:rsidR="00CA4CD6" w:rsidRDefault="0002227F">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 record system (e.g., develop, acquire, install, and utilize technology and systems for the purpose of collecting, validating, verifying, processing, maintaining, disclosing and providing information; adjust the existing ways to comply with any previously applicable instructions and requirements).</w:t>
            </w:r>
          </w:p>
        </w:tc>
      </w:tr>
      <w:tr w:rsidR="00CA4CD6" w14:paraId="5D23ECEA"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3E1038E1" w14:textId="77777777" w:rsidR="00CA4CD6" w:rsidRDefault="00CA4CD6">
            <w:pPr>
              <w:spacing w:line="120" w:lineRule="exact"/>
              <w:rPr>
                <w:color w:val="000000"/>
              </w:rPr>
            </w:pPr>
          </w:p>
          <w:p w14:paraId="0F62D221" w14:textId="77777777" w:rsidR="00CA4CD6" w:rsidRDefault="0002227F">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3DE83A08"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4644BE4D" w14:textId="77777777" w:rsidR="00CA4CD6" w:rsidRDefault="00CA4CD6">
            <w:pPr>
              <w:spacing w:line="120" w:lineRule="exact"/>
              <w:rPr>
                <w:color w:val="000000"/>
              </w:rPr>
            </w:pPr>
          </w:p>
          <w:p w14:paraId="56455C0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AF7959D" w14:textId="77777777" w:rsidTr="0002227F">
        <w:trPr>
          <w:jc w:val="center"/>
        </w:trPr>
        <w:tc>
          <w:tcPr>
            <w:tcW w:w="9360" w:type="dxa"/>
            <w:tcBorders>
              <w:top w:val="single" w:sz="7" w:space="0" w:color="000000"/>
              <w:left w:val="single" w:sz="7" w:space="0" w:color="000000"/>
              <w:bottom w:val="single" w:sz="7" w:space="0" w:color="000000"/>
              <w:right w:val="single" w:sz="7" w:space="0" w:color="000000"/>
            </w:tcBorders>
          </w:tcPr>
          <w:p w14:paraId="1107154F" w14:textId="77777777" w:rsidR="00CA4CD6" w:rsidRDefault="00CA4CD6">
            <w:pPr>
              <w:spacing w:line="120" w:lineRule="exact"/>
              <w:rPr>
                <w:color w:val="000000"/>
              </w:rPr>
            </w:pPr>
          </w:p>
          <w:p w14:paraId="57C9275A"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73393C8" w14:textId="77777777" w:rsidR="00CA4CD6" w:rsidRPr="008D73D3" w:rsidRDefault="00CA4CD6">
      <w:pPr>
        <w:pBdr>
          <w:top w:val="single" w:sz="6" w:space="0" w:color="FFFFFF"/>
          <w:left w:val="single" w:sz="6" w:space="0" w:color="FFFFFF"/>
          <w:bottom w:val="single" w:sz="6" w:space="0" w:color="FFFFFF"/>
          <w:right w:val="single" w:sz="6" w:space="0" w:color="FFFFFF"/>
        </w:pBdr>
      </w:pPr>
    </w:p>
    <w:p w14:paraId="40B9412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1E04C19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784A57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76CB87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24280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5735B">
        <w:rPr>
          <w:color w:val="000000"/>
        </w:rPr>
        <w:t>:</w:t>
      </w:r>
    </w:p>
    <w:p w14:paraId="7B201C1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6FCB3EA3"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19E3455A" w14:textId="77777777" w:rsidR="00CA4CD6" w:rsidRDefault="00CA4CD6">
            <w:pPr>
              <w:spacing w:line="120" w:lineRule="exact"/>
              <w:rPr>
                <w:color w:val="000000"/>
              </w:rPr>
            </w:pPr>
          </w:p>
          <w:p w14:paraId="3EE845D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4A1405E" w14:textId="77777777">
        <w:tc>
          <w:tcPr>
            <w:tcW w:w="9360" w:type="dxa"/>
            <w:tcBorders>
              <w:top w:val="single" w:sz="7" w:space="0" w:color="000000"/>
              <w:left w:val="single" w:sz="7" w:space="0" w:color="000000"/>
              <w:bottom w:val="single" w:sz="6" w:space="0" w:color="FFFFFF"/>
              <w:right w:val="single" w:sz="7" w:space="0" w:color="000000"/>
            </w:tcBorders>
          </w:tcPr>
          <w:p w14:paraId="632ED9A4" w14:textId="77777777" w:rsidR="00CA4CD6" w:rsidRDefault="00CA4CD6">
            <w:pPr>
              <w:spacing w:line="120" w:lineRule="exact"/>
              <w:rPr>
                <w:color w:val="000000"/>
              </w:rPr>
            </w:pPr>
          </w:p>
          <w:p w14:paraId="17604E1C" w14:textId="77777777" w:rsidR="00CA4CD6" w:rsidRDefault="00F205A0">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including notifications of construction/reconstruction, actual startup, applicability of standard, performance test, performance evaluation, and compliance status.</w:t>
            </w:r>
          </w:p>
        </w:tc>
      </w:tr>
      <w:tr w:rsidR="00CA4CD6" w14:paraId="0586D29F" w14:textId="77777777">
        <w:tc>
          <w:tcPr>
            <w:tcW w:w="9360" w:type="dxa"/>
            <w:tcBorders>
              <w:top w:val="single" w:sz="7" w:space="0" w:color="000000"/>
              <w:left w:val="single" w:sz="7" w:space="0" w:color="000000"/>
              <w:bottom w:val="single" w:sz="6" w:space="0" w:color="FFFFFF"/>
              <w:right w:val="single" w:sz="7" w:space="0" w:color="000000"/>
            </w:tcBorders>
          </w:tcPr>
          <w:p w14:paraId="192F38D5" w14:textId="77777777" w:rsidR="00CA4CD6" w:rsidRDefault="00CA4CD6" w:rsidP="00CC45C6">
            <w:pPr>
              <w:keepNext/>
              <w:keepLines/>
              <w:spacing w:line="120" w:lineRule="exact"/>
              <w:rPr>
                <w:color w:val="000000"/>
              </w:rPr>
            </w:pPr>
          </w:p>
          <w:p w14:paraId="43A3FF52" w14:textId="77777777" w:rsidR="00CA4CD6" w:rsidRDefault="00F4157E" w:rsidP="00F205A0">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reports, including performance test reports and </w:t>
            </w:r>
            <w:r w:rsidR="00F205A0">
              <w:rPr>
                <w:color w:val="000000"/>
              </w:rPr>
              <w:t>semiannual compliance</w:t>
            </w:r>
            <w:r>
              <w:rPr>
                <w:color w:val="000000"/>
              </w:rPr>
              <w:t xml:space="preserve"> reports, required to be submitted by industry.</w:t>
            </w:r>
          </w:p>
        </w:tc>
      </w:tr>
      <w:tr w:rsidR="00CA4CD6" w14:paraId="0F620531" w14:textId="77777777">
        <w:tc>
          <w:tcPr>
            <w:tcW w:w="9360" w:type="dxa"/>
            <w:tcBorders>
              <w:top w:val="single" w:sz="7" w:space="0" w:color="000000"/>
              <w:left w:val="single" w:sz="7" w:space="0" w:color="000000"/>
              <w:bottom w:val="single" w:sz="7" w:space="0" w:color="000000"/>
              <w:right w:val="single" w:sz="7" w:space="0" w:color="000000"/>
            </w:tcBorders>
          </w:tcPr>
          <w:p w14:paraId="204ACB78" w14:textId="77777777" w:rsidR="00CA4CD6" w:rsidRDefault="00CA4CD6">
            <w:pPr>
              <w:spacing w:line="120" w:lineRule="exact"/>
              <w:rPr>
                <w:color w:val="000000"/>
              </w:rPr>
            </w:pPr>
          </w:p>
          <w:p w14:paraId="706C8CCA" w14:textId="77777777" w:rsidR="00CA4CD6" w:rsidRDefault="00CA4CD6" w:rsidP="008D4907">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F205A0">
              <w:rPr>
                <w:color w:val="000000"/>
              </w:rPr>
              <w:t>Enforcement and Compliance History Online (</w:t>
            </w:r>
            <w:r w:rsidR="0036229C">
              <w:rPr>
                <w:color w:val="000000"/>
              </w:rPr>
              <w:t>ECHO</w:t>
            </w:r>
            <w:r w:rsidR="00F205A0">
              <w:rPr>
                <w:color w:val="000000"/>
              </w:rPr>
              <w:t>)</w:t>
            </w:r>
            <w:r w:rsidR="0036229C">
              <w:rPr>
                <w:color w:val="000000"/>
              </w:rPr>
              <w:t xml:space="preserve">. </w:t>
            </w:r>
          </w:p>
        </w:tc>
      </w:tr>
    </w:tbl>
    <w:p w14:paraId="3E6DDA2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757E51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21FC56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963B4F" w14:textId="275B61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002D0774">
        <w:t xml:space="preserve">inspect the source </w:t>
      </w:r>
      <w:r w:rsidRPr="008D73D3">
        <w:t>to determine whether the pollution control devices are p</w:t>
      </w:r>
      <w:r w:rsidR="008D73D3" w:rsidRPr="008D73D3">
        <w:t>roperly installed and operated.</w:t>
      </w:r>
      <w:r w:rsidR="008D4907">
        <w:t xml:space="preserve"> </w:t>
      </w:r>
      <w:r w:rsidRPr="008D73D3">
        <w:t>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w:t>
      </w:r>
      <w:r w:rsidR="008D4907">
        <w:t>d for compliance d</w:t>
      </w:r>
      <w:r w:rsidRPr="008D73D3">
        <w:t>eterminations</w:t>
      </w:r>
      <w:r>
        <w:rPr>
          <w:color w:val="FF0000"/>
        </w:rPr>
        <w:t>.</w:t>
      </w:r>
    </w:p>
    <w:p w14:paraId="666E275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E7B55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8D4907">
        <w:rPr>
          <w:color w:val="000000"/>
        </w:rPr>
        <w:t xml:space="preserve">entered into the EPA’s ECHO, which is operated and maintained by the </w:t>
      </w:r>
      <w:r>
        <w:rPr>
          <w:color w:val="000000"/>
        </w:rPr>
        <w:t xml:space="preserve">EPA's Office of </w:t>
      </w:r>
      <w:r w:rsidR="00F27B55">
        <w:rPr>
          <w:color w:val="000000"/>
        </w:rPr>
        <w:t xml:space="preserve">Enforcement and </w:t>
      </w:r>
      <w:r>
        <w:rPr>
          <w:color w:val="000000"/>
        </w:rPr>
        <w:t>Compliance</w:t>
      </w:r>
      <w:r w:rsidR="00F27B55">
        <w:rPr>
          <w:color w:val="000000"/>
        </w:rPr>
        <w:t xml:space="preserve"> Assurance</w:t>
      </w:r>
      <w:r>
        <w:rPr>
          <w:color w:val="000000"/>
        </w:rPr>
        <w:t xml:space="preserve">. </w:t>
      </w:r>
      <w:r w:rsidR="00F27B55">
        <w:rPr>
          <w:color w:val="000000"/>
        </w:rPr>
        <w:t>ECHO</w:t>
      </w:r>
      <w:r w:rsidR="004C701D">
        <w:rPr>
          <w:color w:val="000000"/>
        </w:rPr>
        <w:t xml:space="preserve"> </w:t>
      </w:r>
      <w:r>
        <w:rPr>
          <w:color w:val="000000"/>
        </w:rPr>
        <w:t xml:space="preserve">is </w:t>
      </w:r>
      <w:r w:rsidR="00F27B55">
        <w:rPr>
          <w:color w:val="000000"/>
        </w:rPr>
        <w:t xml:space="preserve">the </w:t>
      </w:r>
      <w:r>
        <w:rPr>
          <w:color w:val="000000"/>
        </w:rPr>
        <w:t>EPA</w:t>
      </w:r>
      <w:r w:rsidR="004C701D">
        <w:rPr>
          <w:color w:val="000000"/>
        </w:rPr>
        <w:t>’</w:t>
      </w:r>
      <w:r>
        <w:rPr>
          <w:color w:val="000000"/>
        </w:rPr>
        <w:t xml:space="preserve">s database </w:t>
      </w:r>
      <w:r w:rsidR="00F27B55">
        <w:rPr>
          <w:color w:val="000000"/>
        </w:rPr>
        <w:t xml:space="preserve">to provide integrated compliance and enforcement information for about 800,000 regulated facilities nationwide. The EPA uses ECHO for </w:t>
      </w:r>
      <w:r>
        <w:rPr>
          <w:color w:val="000000"/>
        </w:rPr>
        <w:t xml:space="preserve">tracking air pollution compliance and enforcement by local and state regulatory agencies, EPA regional offices and EPA headquarters. </w:t>
      </w:r>
      <w:r w:rsidR="00F27B55">
        <w:rPr>
          <w:color w:val="000000"/>
        </w:rPr>
        <w:t>The</w:t>
      </w:r>
      <w:r>
        <w:rPr>
          <w:color w:val="000000"/>
        </w:rPr>
        <w:t xml:space="preserve"> EPA and its delegated Authorities can edit, store, retrieve and analyze the data.</w:t>
      </w:r>
      <w:r w:rsidR="00F27B55">
        <w:rPr>
          <w:color w:val="000000"/>
        </w:rPr>
        <w:t xml:space="preserve"> ECHO allows users (including the public) to search and obtain information on permits data, inspections, violations, enforcement actions, and penalties.</w:t>
      </w:r>
    </w:p>
    <w:p w14:paraId="162536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B63E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BF3B0F">
        <w:rPr>
          <w:color w:val="000000"/>
        </w:rPr>
        <w:t>5</w:t>
      </w:r>
      <w:r>
        <w:rPr>
          <w:color w:val="000000"/>
        </w:rPr>
        <w:t xml:space="preserve"> years.</w:t>
      </w:r>
    </w:p>
    <w:p w14:paraId="668412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CFAE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01544CC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A1299CE" w14:textId="77777777" w:rsidR="00CA4CD6" w:rsidRPr="00084C60" w:rsidRDefault="00084C60">
      <w:pPr>
        <w:pBdr>
          <w:top w:val="single" w:sz="6" w:space="0" w:color="FFFFFF"/>
          <w:left w:val="single" w:sz="6" w:space="0" w:color="FFFFFF"/>
          <w:bottom w:val="single" w:sz="6" w:space="0" w:color="FFFFFF"/>
          <w:right w:val="single" w:sz="6" w:space="0" w:color="FFFFFF"/>
        </w:pBdr>
      </w:pPr>
      <w:r>
        <w:rPr>
          <w:color w:val="FF0000"/>
        </w:rPr>
        <w:tab/>
      </w:r>
      <w:r w:rsidR="00E46B4B" w:rsidRPr="00E46B4B">
        <w:t>A</w:t>
      </w:r>
      <w:r w:rsidR="00F27B55">
        <w:t>ll</w:t>
      </w:r>
      <w:r w:rsidR="00E46B4B" w:rsidRPr="00E46B4B">
        <w:t xml:space="preserve"> </w:t>
      </w:r>
      <w:r w:rsidR="00F27B55">
        <w:t xml:space="preserve">current </w:t>
      </w:r>
      <w:r w:rsidR="00E46B4B" w:rsidRPr="00E46B4B">
        <w:t>respondents are large entities (i.e., large businesses). However, the impact on small entities (i.e., small businesses) was taken into consideration during the development of the regulation</w:t>
      </w:r>
      <w:r w:rsidR="00F27B55">
        <w:t xml:space="preserve"> because, at that time, two </w:t>
      </w:r>
      <w:r w:rsidR="00E45BE2">
        <w:t xml:space="preserve">small entities were anticipated to be </w:t>
      </w:r>
      <w:r>
        <w:t>subject to th</w:t>
      </w:r>
      <w:r w:rsidR="00F27B55">
        <w:t>e</w:t>
      </w:r>
      <w:r>
        <w:t xml:space="preserve"> NESHAP</w:t>
      </w:r>
      <w:r w:rsidR="00E45BE2">
        <w:t>.</w:t>
      </w:r>
      <w:r w:rsidRPr="00084C60" w:rsidDel="00084C60">
        <w:t xml:space="preserve"> </w:t>
      </w:r>
      <w:r w:rsidR="00E46B4B" w:rsidRPr="00E46B4B">
        <w:t xml:space="preserve">Due to technical considerations involving the process operations and the types of control equipment employed, the recordkeeping and reporting requirements </w:t>
      </w:r>
      <w:r w:rsidR="00E45BE2">
        <w:t>promulgated were</w:t>
      </w:r>
      <w:r w:rsidR="00E46B4B" w:rsidRPr="00E46B4B">
        <w:t xml:space="preserve"> the same for both small and large entities. The Agency considers these </w:t>
      </w:r>
      <w:r w:rsidR="00F27B55">
        <w:t xml:space="preserve">requirements </w:t>
      </w:r>
      <w:r w:rsidR="00E46B4B" w:rsidRPr="00E46B4B">
        <w:t>to be the minimum needed to ensure compliance</w:t>
      </w:r>
      <w:r w:rsidR="00A37E71">
        <w:t>, and any future respondents that are small entities would be subject to the requirements.</w:t>
      </w:r>
    </w:p>
    <w:p w14:paraId="56A3450F" w14:textId="77777777" w:rsidR="00084C60" w:rsidRDefault="00084C60">
      <w:pPr>
        <w:pBdr>
          <w:top w:val="single" w:sz="6" w:space="0" w:color="FFFFFF"/>
          <w:left w:val="single" w:sz="6" w:space="0" w:color="FFFFFF"/>
          <w:bottom w:val="single" w:sz="6" w:space="0" w:color="FFFFFF"/>
          <w:right w:val="single" w:sz="6" w:space="0" w:color="FFFFFF"/>
        </w:pBdr>
        <w:ind w:firstLine="720"/>
        <w:rPr>
          <w:b/>
          <w:bCs/>
          <w:color w:val="000000"/>
        </w:rPr>
      </w:pPr>
    </w:p>
    <w:p w14:paraId="509D31E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98FED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95CED0" w14:textId="08DBCAC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D30388">
        <w:rPr>
          <w:color w:val="000000"/>
        </w:rPr>
        <w:t xml:space="preserve">in </w:t>
      </w:r>
      <w:r>
        <w:rPr>
          <w:color w:val="000000"/>
        </w:rPr>
        <w:t xml:space="preserve">Table 1: </w:t>
      </w:r>
      <w:r w:rsidR="00CF2B37" w:rsidRPr="00724BC7">
        <w:t>Annual Respondent Burden and Cost –</w:t>
      </w:r>
      <w:r>
        <w:rPr>
          <w:color w:val="000000"/>
        </w:rPr>
        <w:t xml:space="preserve"> </w:t>
      </w:r>
      <w:r w:rsidR="00084C60" w:rsidRPr="008B1498">
        <w:rPr>
          <w:bCs/>
        </w:rPr>
        <w:t xml:space="preserve">NESHAP for Wet-formed Fiberglass Mat Production (40 CFR </w:t>
      </w:r>
      <w:r w:rsidR="00084C60">
        <w:rPr>
          <w:bCs/>
        </w:rPr>
        <w:t>P</w:t>
      </w:r>
      <w:r w:rsidR="00084C60" w:rsidRPr="008B1498">
        <w:rPr>
          <w:bCs/>
        </w:rPr>
        <w:t xml:space="preserve">art 63, </w:t>
      </w:r>
      <w:r w:rsidR="00084C60">
        <w:rPr>
          <w:bCs/>
        </w:rPr>
        <w:t>S</w:t>
      </w:r>
      <w:r w:rsidR="00084C60" w:rsidRPr="008B1498">
        <w:rPr>
          <w:bCs/>
        </w:rPr>
        <w:t>ubpart HHHH) (</w:t>
      </w:r>
      <w:r w:rsidR="000513E6">
        <w:rPr>
          <w:bCs/>
        </w:rPr>
        <w:t>Final Rule</w:t>
      </w:r>
      <w:r w:rsidR="00084C60" w:rsidRPr="008B1498">
        <w:rPr>
          <w:bCs/>
        </w:rPr>
        <w:t>)</w:t>
      </w:r>
      <w:r w:rsidR="00084C60">
        <w:rPr>
          <w:bCs/>
        </w:rPr>
        <w:t>.</w:t>
      </w:r>
    </w:p>
    <w:p w14:paraId="4B2BE09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D53272A"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A126634"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1EE79AC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3628AAF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13493A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w:t>
      </w:r>
      <w:r w:rsidR="00D30388">
        <w:rPr>
          <w:color w:val="000000"/>
        </w:rPr>
        <w:t xml:space="preserve"> </w:t>
      </w:r>
      <w:r>
        <w:rPr>
          <w:color w:val="000000"/>
        </w:rPr>
        <w:t>a collection of information unless it displays a currently valid OMB Control Number.</w:t>
      </w:r>
    </w:p>
    <w:p w14:paraId="6912905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839404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17641E1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6E23B14" w14:textId="67755EF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w:t>
      </w:r>
      <w:r w:rsidR="00BF3B0F">
        <w:rPr>
          <w:color w:val="000000"/>
        </w:rPr>
        <w:t>3</w:t>
      </w:r>
      <w:r>
        <w:rPr>
          <w:color w:val="000000"/>
        </w:rPr>
        <w:t xml:space="preserve"> years from these recordkeeping and reporting requirement</w:t>
      </w:r>
      <w:r w:rsidR="004C701D">
        <w:rPr>
          <w:color w:val="000000"/>
        </w:rPr>
        <w:t xml:space="preserve">s is estimated </w:t>
      </w:r>
      <w:r w:rsidR="004C701D" w:rsidRPr="00F22FD3">
        <w:rPr>
          <w:color w:val="000000"/>
        </w:rPr>
        <w:t xml:space="preserve">to be </w:t>
      </w:r>
      <w:r w:rsidR="00473521" w:rsidRPr="00F22FD3">
        <w:rPr>
          <w:color w:val="000000"/>
        </w:rPr>
        <w:t>1,</w:t>
      </w:r>
      <w:r w:rsidR="00C77049">
        <w:rPr>
          <w:color w:val="000000"/>
        </w:rPr>
        <w:t>47</w:t>
      </w:r>
      <w:r w:rsidR="0078747C" w:rsidRPr="00F22FD3">
        <w:rPr>
          <w:color w:val="000000"/>
        </w:rPr>
        <w:t>0</w:t>
      </w:r>
      <w:r w:rsidR="004C701D" w:rsidRPr="00F22FD3">
        <w:rPr>
          <w:color w:val="000000"/>
        </w:rPr>
        <w:t xml:space="preserve"> </w:t>
      </w:r>
      <w:r w:rsidR="006D7DF4" w:rsidRPr="00F22FD3">
        <w:rPr>
          <w:color w:val="000000"/>
        </w:rPr>
        <w:t>hours</w:t>
      </w:r>
      <w:r w:rsidR="006D7DF4" w:rsidRPr="000F7B07">
        <w:rPr>
          <w:color w:val="000000"/>
        </w:rPr>
        <w:t xml:space="preserve"> per year </w:t>
      </w:r>
      <w:r w:rsidR="004C701D" w:rsidRPr="000F7B07">
        <w:rPr>
          <w:color w:val="000000"/>
        </w:rPr>
        <w:t>(</w:t>
      </w:r>
      <w:r w:rsidRPr="000F7B07">
        <w:rPr>
          <w:color w:val="000000"/>
        </w:rPr>
        <w:t>Total</w:t>
      </w:r>
      <w:r>
        <w:rPr>
          <w:color w:val="000000"/>
        </w:rPr>
        <w:t xml:space="preserve"> Labor Hours from Table 1).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E46B4B" w:rsidRPr="00E46B4B">
        <w:t>NESHAP</w:t>
      </w:r>
      <w:r>
        <w:rPr>
          <w:color w:val="000000"/>
        </w:rPr>
        <w:t xml:space="preserve"> program, the previously approved ICR, and any comments received.</w:t>
      </w:r>
    </w:p>
    <w:p w14:paraId="6001645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073B4B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61E909DA"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442BD892"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612033D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B7211BB" w14:textId="77777777" w:rsidR="00C9656E"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p>
    <w:p w14:paraId="521EFD1D" w14:textId="77777777" w:rsidR="00C9656E" w:rsidRDefault="00C9656E" w:rsidP="00C9656E">
      <w:pPr>
        <w:pBdr>
          <w:top w:val="single" w:sz="6" w:space="1" w:color="FFFFFF"/>
          <w:left w:val="single" w:sz="6" w:space="0" w:color="FFFFFF"/>
          <w:bottom w:val="single" w:sz="6" w:space="0" w:color="FFFFFF"/>
          <w:right w:val="single" w:sz="6" w:space="0" w:color="FFFFFF"/>
        </w:pBdr>
        <w:rPr>
          <w:color w:val="000000"/>
        </w:rPr>
      </w:pPr>
    </w:p>
    <w:tbl>
      <w:tblPr>
        <w:tblStyle w:val="TableGrid"/>
        <w:tblW w:w="9350" w:type="dxa"/>
        <w:tblLook w:val="04A0" w:firstRow="1" w:lastRow="0" w:firstColumn="1" w:lastColumn="0" w:noHBand="0" w:noVBand="1"/>
      </w:tblPr>
      <w:tblGrid>
        <w:gridCol w:w="1795"/>
        <w:gridCol w:w="1620"/>
        <w:gridCol w:w="3240"/>
        <w:gridCol w:w="2695"/>
      </w:tblGrid>
      <w:tr w:rsidR="00FA5DAD" w14:paraId="0A9390DE" w14:textId="77777777" w:rsidTr="00FA5DAD">
        <w:trPr>
          <w:trHeight w:val="413"/>
        </w:trPr>
        <w:tc>
          <w:tcPr>
            <w:tcW w:w="1795" w:type="dxa"/>
            <w:vAlign w:val="bottom"/>
          </w:tcPr>
          <w:p w14:paraId="09E114A2" w14:textId="33F1CDF7" w:rsidR="00FA5DAD" w:rsidRPr="00C9656E" w:rsidRDefault="00FA5DAD" w:rsidP="00FA5DAD">
            <w:pPr>
              <w:jc w:val="center"/>
              <w:rPr>
                <w:color w:val="000000"/>
              </w:rPr>
            </w:pPr>
            <w:r w:rsidRPr="00C9656E">
              <w:rPr>
                <w:b/>
                <w:bCs/>
              </w:rPr>
              <w:t xml:space="preserve">Civilian </w:t>
            </w:r>
            <w:r>
              <w:rPr>
                <w:b/>
                <w:bCs/>
              </w:rPr>
              <w:t>Labor Category</w:t>
            </w:r>
          </w:p>
        </w:tc>
        <w:tc>
          <w:tcPr>
            <w:tcW w:w="1620" w:type="dxa"/>
            <w:vAlign w:val="bottom"/>
          </w:tcPr>
          <w:p w14:paraId="1AE14F30" w14:textId="5CA987D7" w:rsidR="00FA5DAD" w:rsidRPr="00FA5DAD" w:rsidRDefault="00FA5DAD" w:rsidP="00FA5DAD">
            <w:pPr>
              <w:jc w:val="center"/>
              <w:rPr>
                <w:b/>
                <w:color w:val="000000"/>
              </w:rPr>
            </w:pPr>
            <w:r w:rsidRPr="00FA5DAD">
              <w:rPr>
                <w:b/>
                <w:color w:val="000000"/>
              </w:rPr>
              <w:t>Occupational Code</w:t>
            </w:r>
          </w:p>
        </w:tc>
        <w:tc>
          <w:tcPr>
            <w:tcW w:w="3240" w:type="dxa"/>
            <w:vAlign w:val="bottom"/>
          </w:tcPr>
          <w:p w14:paraId="242C6DCC" w14:textId="6DA47289" w:rsidR="00FA5DAD" w:rsidRPr="00FA5DAD" w:rsidRDefault="00FA5DAD" w:rsidP="00FA5DAD">
            <w:pPr>
              <w:jc w:val="center"/>
              <w:rPr>
                <w:b/>
                <w:color w:val="000000"/>
              </w:rPr>
            </w:pPr>
            <w:r w:rsidRPr="00FA5DAD">
              <w:rPr>
                <w:b/>
                <w:bCs/>
                <w:color w:val="000000"/>
              </w:rPr>
              <w:t>BLS Mean Wage Estimate, in 2016$</w:t>
            </w:r>
            <w:r w:rsidRPr="00FA5DAD">
              <w:rPr>
                <w:b/>
                <w:bCs/>
                <w:position w:val="8"/>
                <w:vertAlign w:val="superscript"/>
              </w:rPr>
              <w:t>a</w:t>
            </w:r>
          </w:p>
        </w:tc>
        <w:tc>
          <w:tcPr>
            <w:tcW w:w="2695" w:type="dxa"/>
            <w:vAlign w:val="bottom"/>
          </w:tcPr>
          <w:p w14:paraId="4C41923A" w14:textId="3F180C3E" w:rsidR="00FA5DAD" w:rsidRPr="00FA5DAD" w:rsidRDefault="00FA5DAD" w:rsidP="00FA5DAD">
            <w:pPr>
              <w:jc w:val="center"/>
              <w:rPr>
                <w:b/>
                <w:color w:val="000000"/>
              </w:rPr>
            </w:pPr>
            <w:r w:rsidRPr="00FA5DAD">
              <w:rPr>
                <w:b/>
                <w:bCs/>
                <w:color w:val="000000"/>
              </w:rPr>
              <w:t>Loaded Wage (+110%), in 2016$</w:t>
            </w:r>
          </w:p>
        </w:tc>
      </w:tr>
      <w:tr w:rsidR="00FA5DAD" w14:paraId="23298F82" w14:textId="77777777" w:rsidTr="00FA5DAD">
        <w:tc>
          <w:tcPr>
            <w:tcW w:w="1795" w:type="dxa"/>
          </w:tcPr>
          <w:p w14:paraId="5A29474C" w14:textId="77777777" w:rsidR="00FA5DAD" w:rsidRPr="00C9656E" w:rsidRDefault="00FA5DAD" w:rsidP="00FA5DAD">
            <w:pPr>
              <w:rPr>
                <w:color w:val="000000"/>
              </w:rPr>
            </w:pPr>
            <w:r w:rsidRPr="00C9656E">
              <w:t>Managerial</w:t>
            </w:r>
          </w:p>
        </w:tc>
        <w:tc>
          <w:tcPr>
            <w:tcW w:w="1620" w:type="dxa"/>
          </w:tcPr>
          <w:p w14:paraId="7CA126B7" w14:textId="487EF5E6" w:rsidR="00FA5DAD" w:rsidRPr="00C9656E" w:rsidRDefault="00FA5DAD" w:rsidP="00FA5DAD">
            <w:pPr>
              <w:jc w:val="center"/>
              <w:rPr>
                <w:color w:val="000000"/>
              </w:rPr>
            </w:pPr>
            <w:r>
              <w:t>11-1021</w:t>
            </w:r>
          </w:p>
        </w:tc>
        <w:tc>
          <w:tcPr>
            <w:tcW w:w="3240" w:type="dxa"/>
            <w:vAlign w:val="center"/>
          </w:tcPr>
          <w:p w14:paraId="6EAD188E" w14:textId="751DC4A0" w:rsidR="00FA5DAD" w:rsidRPr="00C9656E" w:rsidRDefault="00FA5DAD" w:rsidP="00FA5DAD">
            <w:pPr>
              <w:jc w:val="center"/>
              <w:rPr>
                <w:color w:val="000000"/>
              </w:rPr>
            </w:pPr>
            <w:r>
              <w:rPr>
                <w:color w:val="000000"/>
              </w:rPr>
              <w:t>$58.70</w:t>
            </w:r>
          </w:p>
        </w:tc>
        <w:tc>
          <w:tcPr>
            <w:tcW w:w="2695" w:type="dxa"/>
            <w:vAlign w:val="center"/>
          </w:tcPr>
          <w:p w14:paraId="276D3225" w14:textId="1C7B17ED" w:rsidR="00FA5DAD" w:rsidRPr="00C9656E" w:rsidRDefault="00FA5DAD" w:rsidP="00FA5DAD">
            <w:pPr>
              <w:jc w:val="center"/>
              <w:rPr>
                <w:color w:val="000000"/>
              </w:rPr>
            </w:pPr>
            <w:r>
              <w:rPr>
                <w:color w:val="000000"/>
              </w:rPr>
              <w:t>$123.27</w:t>
            </w:r>
          </w:p>
        </w:tc>
      </w:tr>
      <w:tr w:rsidR="00FA5DAD" w14:paraId="74314361" w14:textId="77777777" w:rsidTr="00FA5DAD">
        <w:tc>
          <w:tcPr>
            <w:tcW w:w="1795" w:type="dxa"/>
          </w:tcPr>
          <w:p w14:paraId="0C732E72" w14:textId="77777777" w:rsidR="00FA5DAD" w:rsidRPr="00C9656E" w:rsidRDefault="00FA5DAD" w:rsidP="00FA5DAD">
            <w:pPr>
              <w:rPr>
                <w:color w:val="000000"/>
              </w:rPr>
            </w:pPr>
            <w:r>
              <w:rPr>
                <w:color w:val="000000"/>
              </w:rPr>
              <w:t>Technical</w:t>
            </w:r>
          </w:p>
        </w:tc>
        <w:tc>
          <w:tcPr>
            <w:tcW w:w="1620" w:type="dxa"/>
          </w:tcPr>
          <w:p w14:paraId="39C97214" w14:textId="51420FFD" w:rsidR="00FA5DAD" w:rsidRPr="00C9656E" w:rsidRDefault="00FA5DAD" w:rsidP="00FA5DAD">
            <w:pPr>
              <w:jc w:val="center"/>
              <w:rPr>
                <w:color w:val="000000"/>
              </w:rPr>
            </w:pPr>
            <w:r>
              <w:t>51-8090</w:t>
            </w:r>
          </w:p>
        </w:tc>
        <w:tc>
          <w:tcPr>
            <w:tcW w:w="3240" w:type="dxa"/>
            <w:vAlign w:val="center"/>
          </w:tcPr>
          <w:p w14:paraId="242ACCC1" w14:textId="4812DA35" w:rsidR="00FA5DAD" w:rsidRPr="00C9656E" w:rsidRDefault="00FA5DAD" w:rsidP="00FA5DAD">
            <w:pPr>
              <w:jc w:val="center"/>
              <w:rPr>
                <w:color w:val="000000"/>
              </w:rPr>
            </w:pPr>
            <w:r>
              <w:t>$30.65</w:t>
            </w:r>
          </w:p>
        </w:tc>
        <w:tc>
          <w:tcPr>
            <w:tcW w:w="2695" w:type="dxa"/>
            <w:vAlign w:val="center"/>
          </w:tcPr>
          <w:p w14:paraId="6ECAC695" w14:textId="2F4B95B8" w:rsidR="00FA5DAD" w:rsidRPr="00C9656E" w:rsidRDefault="00FA5DAD" w:rsidP="00FA5DAD">
            <w:pPr>
              <w:jc w:val="center"/>
              <w:rPr>
                <w:color w:val="000000"/>
              </w:rPr>
            </w:pPr>
            <w:r>
              <w:t>$64.37</w:t>
            </w:r>
          </w:p>
        </w:tc>
      </w:tr>
      <w:tr w:rsidR="00FA5DAD" w14:paraId="3E9920CE" w14:textId="77777777" w:rsidTr="00FA5DAD">
        <w:tc>
          <w:tcPr>
            <w:tcW w:w="1795" w:type="dxa"/>
          </w:tcPr>
          <w:p w14:paraId="20F2D534" w14:textId="77777777" w:rsidR="00FA5DAD" w:rsidRPr="00C9656E" w:rsidRDefault="00FA5DAD" w:rsidP="00FA5DAD">
            <w:pPr>
              <w:rPr>
                <w:color w:val="000000"/>
              </w:rPr>
            </w:pPr>
            <w:r>
              <w:rPr>
                <w:color w:val="000000"/>
              </w:rPr>
              <w:t>Clerical</w:t>
            </w:r>
          </w:p>
        </w:tc>
        <w:tc>
          <w:tcPr>
            <w:tcW w:w="1620" w:type="dxa"/>
          </w:tcPr>
          <w:p w14:paraId="1EE9F433" w14:textId="78F8D205" w:rsidR="00FA5DAD" w:rsidRPr="00C9656E" w:rsidRDefault="00FA5DAD" w:rsidP="00FA5DAD">
            <w:pPr>
              <w:jc w:val="center"/>
              <w:rPr>
                <w:color w:val="000000"/>
              </w:rPr>
            </w:pPr>
            <w:r>
              <w:t>43-6010</w:t>
            </w:r>
          </w:p>
        </w:tc>
        <w:tc>
          <w:tcPr>
            <w:tcW w:w="3240" w:type="dxa"/>
            <w:vAlign w:val="center"/>
          </w:tcPr>
          <w:p w14:paraId="5CBE62BD" w14:textId="530AB4FC" w:rsidR="00FA5DAD" w:rsidRPr="00C9656E" w:rsidRDefault="00FA5DAD" w:rsidP="00FA5DAD">
            <w:pPr>
              <w:jc w:val="center"/>
              <w:rPr>
                <w:color w:val="000000"/>
              </w:rPr>
            </w:pPr>
            <w:r>
              <w:rPr>
                <w:color w:val="000000"/>
              </w:rPr>
              <w:t>$19.39</w:t>
            </w:r>
          </w:p>
        </w:tc>
        <w:tc>
          <w:tcPr>
            <w:tcW w:w="2695" w:type="dxa"/>
            <w:vAlign w:val="center"/>
          </w:tcPr>
          <w:p w14:paraId="02F65149" w14:textId="6504110D" w:rsidR="00FA5DAD" w:rsidRPr="00C9656E" w:rsidRDefault="00FA5DAD" w:rsidP="00FA5DAD">
            <w:pPr>
              <w:jc w:val="center"/>
              <w:rPr>
                <w:color w:val="000000"/>
              </w:rPr>
            </w:pPr>
            <w:r>
              <w:rPr>
                <w:color w:val="000000"/>
              </w:rPr>
              <w:t>$40.72</w:t>
            </w:r>
          </w:p>
        </w:tc>
      </w:tr>
    </w:tbl>
    <w:p w14:paraId="138C5D07" w14:textId="6A55A354" w:rsidR="002712EB" w:rsidRDefault="002712EB" w:rsidP="00C9656E">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r w:rsidR="00681356" w:rsidRPr="00681356">
        <w:rPr>
          <w:color w:val="000000"/>
          <w:vertAlign w:val="superscript"/>
        </w:rPr>
        <w:t>a</w:t>
      </w:r>
      <w:r w:rsidR="00681356">
        <w:rPr>
          <w:color w:val="000000"/>
        </w:rPr>
        <w:t xml:space="preserve"> </w:t>
      </w:r>
      <w:r w:rsidR="00FA5DAD" w:rsidRPr="0041623E">
        <w:rPr>
          <w:color w:val="000000"/>
          <w:u w:val="single"/>
        </w:rPr>
        <w:t>https://www.bls.gov/oes/current/oes_nat.htm#00-0000</w:t>
      </w:r>
    </w:p>
    <w:p w14:paraId="0AD9860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55F75BA9" w14:textId="165B80E2" w:rsidR="002712EB" w:rsidRDefault="00FA5DAD" w:rsidP="0068135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t xml:space="preserve">survey titled </w:t>
      </w:r>
      <w:r w:rsidRPr="0041623E">
        <w:rPr>
          <w:i/>
        </w:rPr>
        <w:t xml:space="preserve">May </w:t>
      </w:r>
      <w:r w:rsidRPr="0041623E">
        <w:rPr>
          <w:i/>
          <w:iCs/>
        </w:rPr>
        <w:t>2</w:t>
      </w:r>
      <w:r>
        <w:rPr>
          <w:i/>
          <w:iCs/>
        </w:rPr>
        <w:t>016 National Occupational Employment and Wage Estimates United States</w:t>
      </w:r>
      <w:r>
        <w:rPr>
          <w:color w:val="000000"/>
        </w:rPr>
        <w:t>.”</w:t>
      </w:r>
      <w:r w:rsidR="002712EB">
        <w:rPr>
          <w:color w:val="000000"/>
        </w:rPr>
        <w:t xml:space="preserve"> </w:t>
      </w:r>
      <w:r>
        <w:rPr>
          <w:color w:val="000000"/>
        </w:rPr>
        <w:t xml:space="preserve">The rates are from column 8, “Mean hourly wage.” The rates have been increased by 110 percent to account for the benefit </w:t>
      </w:r>
      <w:r w:rsidRPr="009C411D">
        <w:rPr>
          <w:color w:val="000000"/>
        </w:rPr>
        <w:t>packages available to those employed by private industry.</w:t>
      </w:r>
    </w:p>
    <w:p w14:paraId="0D84472D" w14:textId="77777777" w:rsidR="00C9656E" w:rsidRDefault="00C9656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6AB489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(ii)  Estimating Capital/Startup and Operation and Maintenance </w:t>
      </w:r>
      <w:r w:rsidR="00AE2B78">
        <w:rPr>
          <w:b/>
          <w:bCs/>
          <w:color w:val="000000"/>
        </w:rPr>
        <w:t xml:space="preserve">(O&amp;M) </w:t>
      </w:r>
      <w:r>
        <w:rPr>
          <w:b/>
          <w:bCs/>
          <w:color w:val="000000"/>
        </w:rPr>
        <w:t>Costs</w:t>
      </w:r>
    </w:p>
    <w:p w14:paraId="140C8806" w14:textId="77777777" w:rsidR="0093753C" w:rsidRPr="00781276" w:rsidRDefault="0093753C">
      <w:pPr>
        <w:pBdr>
          <w:top w:val="single" w:sz="6" w:space="0" w:color="FFFFFF"/>
          <w:left w:val="single" w:sz="6" w:space="0" w:color="FFFFFF"/>
          <w:bottom w:val="single" w:sz="6" w:space="0" w:color="FFFFFF"/>
          <w:right w:val="single" w:sz="6" w:space="0" w:color="FFFFFF"/>
        </w:pBdr>
        <w:ind w:firstLine="720"/>
      </w:pPr>
    </w:p>
    <w:p w14:paraId="3FCB0660" w14:textId="77777777" w:rsidR="00CA4CD6" w:rsidRPr="0093753C" w:rsidRDefault="00E46B4B">
      <w:pPr>
        <w:pBdr>
          <w:top w:val="single" w:sz="6" w:space="0" w:color="FFFFFF"/>
          <w:left w:val="single" w:sz="6" w:space="0" w:color="FFFFFF"/>
          <w:bottom w:val="single" w:sz="6" w:space="0" w:color="FFFFFF"/>
          <w:right w:val="single" w:sz="6" w:space="0" w:color="FFFFFF"/>
        </w:pBdr>
        <w:ind w:firstLine="720"/>
      </w:pPr>
      <w:r w:rsidRPr="00781276">
        <w:t xml:space="preserve">The </w:t>
      </w:r>
      <w:r w:rsidRPr="00E46B4B">
        <w:t>only costs to the regulated industry resulting from information collection activities required by the subject standard are labor costs. There are no capital/startup or operation and maintenance costs.</w:t>
      </w:r>
      <w:r w:rsidR="0040790E">
        <w:t xml:space="preserve"> The capital/startup costs are one-time costs when a facility becomes subject to the regulation. </w:t>
      </w:r>
      <w:r w:rsidR="00AE2B78">
        <w:t>Existing sources are in compliance with initial rule requirements and no new sources are anticipated to be constructed over the 3-year period of this ICR. The annual O&amp;M costs are the ongoing costs to maintain the CMS. No O&amp;M costs are being attributed to industry as a result of this rule because the use of temperature monitors on thermal oxidizers are necessary to determine whether they are operating properly.</w:t>
      </w:r>
    </w:p>
    <w:p w14:paraId="6AC0738E" w14:textId="77777777" w:rsidR="00CA4CD6" w:rsidRPr="0093753C" w:rsidRDefault="00CA4CD6">
      <w:pPr>
        <w:pBdr>
          <w:top w:val="single" w:sz="6" w:space="0" w:color="FFFFFF"/>
          <w:left w:val="single" w:sz="6" w:space="0" w:color="FFFFFF"/>
          <w:bottom w:val="single" w:sz="6" w:space="0" w:color="FFFFFF"/>
          <w:right w:val="single" w:sz="6" w:space="0" w:color="FFFFFF"/>
        </w:pBdr>
      </w:pPr>
    </w:p>
    <w:p w14:paraId="741DF0E4" w14:textId="77777777" w:rsidR="00CA4CD6" w:rsidRPr="0093753C" w:rsidRDefault="00E46B4B" w:rsidP="00504745">
      <w:pPr>
        <w:pBdr>
          <w:top w:val="single" w:sz="6" w:space="0" w:color="FFFFFF"/>
          <w:left w:val="single" w:sz="6" w:space="0" w:color="FFFFFF"/>
          <w:bottom w:val="single" w:sz="6" w:space="0" w:color="FFFFFF"/>
          <w:right w:val="single" w:sz="6" w:space="0" w:color="FFFFFF"/>
        </w:pBdr>
        <w:ind w:firstLine="1440"/>
        <w:outlineLvl w:val="0"/>
      </w:pPr>
      <w:r w:rsidRPr="00E46B4B">
        <w:rPr>
          <w:b/>
          <w:bCs/>
        </w:rPr>
        <w:t xml:space="preserve">(iii)  Capital/Startup vs. </w:t>
      </w:r>
      <w:r w:rsidR="00AE2B78">
        <w:rPr>
          <w:b/>
          <w:bCs/>
        </w:rPr>
        <w:t>O&amp;M</w:t>
      </w:r>
      <w:r w:rsidRPr="00E46B4B">
        <w:rPr>
          <w:b/>
          <w:bCs/>
        </w:rPr>
        <w:t xml:space="preserve"> Costs</w:t>
      </w:r>
    </w:p>
    <w:p w14:paraId="3BAF40A8" w14:textId="77777777" w:rsidR="00CA4CD6" w:rsidRPr="0093753C" w:rsidRDefault="00CA4CD6">
      <w:pPr>
        <w:pBdr>
          <w:top w:val="single" w:sz="6" w:space="0" w:color="FFFFFF"/>
          <w:left w:val="single" w:sz="6" w:space="0" w:color="FFFFFF"/>
          <w:bottom w:val="single" w:sz="6" w:space="0" w:color="FFFFFF"/>
          <w:right w:val="single" w:sz="6" w:space="0" w:color="FFFFFF"/>
        </w:pBdr>
      </w:pPr>
    </w:p>
    <w:p w14:paraId="4D50412D" w14:textId="77777777" w:rsidR="00CC45C6" w:rsidRDefault="00E46B4B">
      <w:pPr>
        <w:pBdr>
          <w:top w:val="single" w:sz="6" w:space="0" w:color="FFFFFF"/>
          <w:left w:val="single" w:sz="6" w:space="0" w:color="FFFFFF"/>
          <w:bottom w:val="single" w:sz="6" w:space="0" w:color="FFFFFF"/>
          <w:right w:val="single" w:sz="6" w:space="0" w:color="FFFFFF"/>
        </w:pBdr>
        <w:ind w:firstLine="720"/>
      </w:pPr>
      <w:r w:rsidRPr="00E46B4B">
        <w:t xml:space="preserve">The only type of industry costs associated with the information collection activity in the regulations </w:t>
      </w:r>
      <w:r w:rsidR="00CC45C6">
        <w:t>is</w:t>
      </w:r>
      <w:r w:rsidR="00CC45C6" w:rsidRPr="00E46B4B">
        <w:t xml:space="preserve"> </w:t>
      </w:r>
      <w:r w:rsidRPr="00E46B4B">
        <w:t xml:space="preserve">labor cost. There are no capital/startup or </w:t>
      </w:r>
      <w:r w:rsidR="002267AE">
        <w:t>O&amp;M</w:t>
      </w:r>
      <w:r w:rsidRPr="00E46B4B">
        <w:t xml:space="preserve"> costs.</w:t>
      </w:r>
    </w:p>
    <w:p w14:paraId="1AE13484" w14:textId="77777777" w:rsidR="002267AE" w:rsidRPr="00781276" w:rsidRDefault="002267AE">
      <w:pPr>
        <w:pBdr>
          <w:top w:val="single" w:sz="6" w:space="0" w:color="FFFFFF"/>
          <w:left w:val="single" w:sz="6" w:space="0" w:color="FFFFFF"/>
          <w:bottom w:val="single" w:sz="6" w:space="0" w:color="FFFFFF"/>
          <w:right w:val="single" w:sz="6" w:space="0" w:color="FFFFFF"/>
        </w:pBdr>
        <w:ind w:firstLine="720"/>
      </w:pPr>
    </w:p>
    <w:p w14:paraId="4CA8654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1276">
        <w:rPr>
          <w:b/>
          <w:bCs/>
        </w:rPr>
        <w:t xml:space="preserve">6(c)  </w:t>
      </w:r>
      <w:r>
        <w:rPr>
          <w:b/>
          <w:bCs/>
          <w:color w:val="000000"/>
        </w:rPr>
        <w:t>Estimating Agency Burden and Cost</w:t>
      </w:r>
    </w:p>
    <w:p w14:paraId="734206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01F3B6" w14:textId="00420C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analysis of the reported information. </w:t>
      </w:r>
      <w:r w:rsidR="00ED34D6">
        <w:rPr>
          <w:color w:val="000000"/>
        </w:rPr>
        <w:t>Publication and distribution of the information are part of the ECHO program. Examination of records maintained by the respondents will occur as part of the periodic inspection of sources, which is part of the</w:t>
      </w:r>
      <w:r>
        <w:rPr>
          <w:color w:val="000000"/>
        </w:rPr>
        <w:t xml:space="preserve"> EPA's overall co</w:t>
      </w:r>
      <w:r w:rsidR="00AF6FD2">
        <w:rPr>
          <w:color w:val="000000"/>
        </w:rPr>
        <w:t>mpliance and enforcement program.</w:t>
      </w:r>
      <w:r w:rsidR="00454637">
        <w:rPr>
          <w:color w:val="000000"/>
        </w:rPr>
        <w:t xml:space="preserve"> </w:t>
      </w:r>
      <w:r w:rsidR="00454637" w:rsidRPr="000F7B07">
        <w:rPr>
          <w:color w:val="000000"/>
        </w:rPr>
        <w:t>T</w:t>
      </w:r>
      <w:r w:rsidRPr="000F7B07">
        <w:rPr>
          <w:color w:val="000000"/>
        </w:rPr>
        <w:t xml:space="preserve">he average annual Agency cost during the </w:t>
      </w:r>
      <w:r w:rsidR="00BF3B0F" w:rsidRPr="000F7B07">
        <w:rPr>
          <w:color w:val="000000"/>
        </w:rPr>
        <w:t>3</w:t>
      </w:r>
      <w:r w:rsidRPr="000F7B07">
        <w:rPr>
          <w:color w:val="000000"/>
        </w:rPr>
        <w:t xml:space="preserve"> years of the ICR is estimated </w:t>
      </w:r>
      <w:r w:rsidRPr="0019774E">
        <w:rPr>
          <w:color w:val="000000"/>
        </w:rPr>
        <w:t>to be $</w:t>
      </w:r>
      <w:r w:rsidR="00DF74CD" w:rsidRPr="0019774E">
        <w:rPr>
          <w:color w:val="000000"/>
        </w:rPr>
        <w:t>8</w:t>
      </w:r>
      <w:r w:rsidR="008C6279" w:rsidRPr="0019774E">
        <w:rPr>
          <w:color w:val="000000"/>
        </w:rPr>
        <w:t>,</w:t>
      </w:r>
      <w:r w:rsidR="00DF74CD" w:rsidRPr="0019774E">
        <w:rPr>
          <w:color w:val="000000"/>
        </w:rPr>
        <w:t>4</w:t>
      </w:r>
      <w:r w:rsidR="00224448">
        <w:rPr>
          <w:color w:val="000000"/>
        </w:rPr>
        <w:t>0</w:t>
      </w:r>
      <w:r w:rsidR="001D5B68" w:rsidRPr="0019774E">
        <w:rPr>
          <w:color w:val="000000"/>
        </w:rPr>
        <w:t>0</w:t>
      </w:r>
      <w:r w:rsidRPr="0019774E">
        <w:rPr>
          <w:color w:val="000000"/>
        </w:rPr>
        <w:t>.</w:t>
      </w:r>
      <w:r>
        <w:rPr>
          <w:color w:val="000000"/>
        </w:rPr>
        <w:t xml:space="preserve">  </w:t>
      </w:r>
    </w:p>
    <w:p w14:paraId="30EF78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F3F82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383E26F" w14:textId="77777777" w:rsidR="00AF6FD2" w:rsidRDefault="00AF6FD2" w:rsidP="00AF6FD2">
      <w:pPr>
        <w:pBdr>
          <w:top w:val="single" w:sz="6" w:space="1" w:color="FFFFFF"/>
          <w:left w:val="single" w:sz="6" w:space="0" w:color="FFFFFF"/>
          <w:bottom w:val="single" w:sz="6" w:space="0" w:color="FFFFFF"/>
          <w:right w:val="single" w:sz="6" w:space="0" w:color="FFFFFF"/>
        </w:pBdr>
        <w:ind w:firstLine="720"/>
        <w:rPr>
          <w:color w:val="000000"/>
        </w:rPr>
      </w:pPr>
    </w:p>
    <w:p w14:paraId="35929650" w14:textId="77777777" w:rsidR="00AF6FD2" w:rsidRDefault="00AF6FD2" w:rsidP="00AF6FD2">
      <w:pPr>
        <w:pBdr>
          <w:top w:val="single" w:sz="6" w:space="1"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2965"/>
        <w:gridCol w:w="2340"/>
        <w:gridCol w:w="2160"/>
        <w:gridCol w:w="1885"/>
      </w:tblGrid>
      <w:tr w:rsidR="00AF6FD2" w14:paraId="67B057B3" w14:textId="77777777" w:rsidTr="00454637">
        <w:trPr>
          <w:trHeight w:val="413"/>
        </w:trPr>
        <w:tc>
          <w:tcPr>
            <w:tcW w:w="2965" w:type="dxa"/>
            <w:vAlign w:val="bottom"/>
          </w:tcPr>
          <w:p w14:paraId="539D5AAC" w14:textId="77777777" w:rsidR="00AF6FD2" w:rsidRPr="00C9656E" w:rsidRDefault="00454637" w:rsidP="00351A5B">
            <w:pPr>
              <w:jc w:val="center"/>
              <w:rPr>
                <w:color w:val="000000"/>
              </w:rPr>
            </w:pPr>
            <w:r>
              <w:rPr>
                <w:b/>
                <w:bCs/>
              </w:rPr>
              <w:t>Agency</w:t>
            </w:r>
            <w:r w:rsidR="00AF6FD2" w:rsidRPr="00C9656E">
              <w:rPr>
                <w:b/>
                <w:bCs/>
              </w:rPr>
              <w:t xml:space="preserve"> Worker Rates</w:t>
            </w:r>
          </w:p>
        </w:tc>
        <w:tc>
          <w:tcPr>
            <w:tcW w:w="2340" w:type="dxa"/>
            <w:vAlign w:val="bottom"/>
          </w:tcPr>
          <w:p w14:paraId="56AC49A1" w14:textId="77777777" w:rsidR="00AF6FD2" w:rsidRPr="00C9656E" w:rsidRDefault="00AF6FD2" w:rsidP="00351A5B">
            <w:pPr>
              <w:jc w:val="center"/>
              <w:rPr>
                <w:color w:val="000000"/>
              </w:rPr>
            </w:pPr>
            <w:r w:rsidRPr="00C9656E">
              <w:rPr>
                <w:b/>
                <w:bCs/>
              </w:rPr>
              <w:t>Labor Rates, $/hr</w:t>
            </w:r>
            <w:r w:rsidRPr="00C9656E">
              <w:rPr>
                <w:b/>
                <w:bCs/>
                <w:position w:val="8"/>
                <w:vertAlign w:val="superscript"/>
              </w:rPr>
              <w:t>a</w:t>
            </w:r>
          </w:p>
        </w:tc>
        <w:tc>
          <w:tcPr>
            <w:tcW w:w="2160" w:type="dxa"/>
            <w:vAlign w:val="bottom"/>
          </w:tcPr>
          <w:p w14:paraId="2A919AD4" w14:textId="77777777" w:rsidR="00AF6FD2" w:rsidRPr="00C9656E" w:rsidRDefault="00454637" w:rsidP="00351A5B">
            <w:pPr>
              <w:jc w:val="center"/>
              <w:rPr>
                <w:color w:val="000000"/>
              </w:rPr>
            </w:pPr>
            <w:r>
              <w:rPr>
                <w:b/>
                <w:bCs/>
              </w:rPr>
              <w:t>6</w:t>
            </w:r>
            <w:r w:rsidR="00AF6FD2" w:rsidRPr="00C9656E">
              <w:rPr>
                <w:b/>
                <w:bCs/>
              </w:rPr>
              <w:t>0% Overhead</w:t>
            </w:r>
          </w:p>
        </w:tc>
        <w:tc>
          <w:tcPr>
            <w:tcW w:w="1885" w:type="dxa"/>
            <w:vAlign w:val="bottom"/>
          </w:tcPr>
          <w:p w14:paraId="2EED7BBA" w14:textId="77777777" w:rsidR="00AF6FD2" w:rsidRPr="00C9656E" w:rsidRDefault="00AF6FD2" w:rsidP="00351A5B">
            <w:pPr>
              <w:jc w:val="center"/>
              <w:rPr>
                <w:color w:val="000000"/>
              </w:rPr>
            </w:pPr>
            <w:r w:rsidRPr="00C9656E">
              <w:rPr>
                <w:b/>
                <w:bCs/>
              </w:rPr>
              <w:t>Total, $/hr</w:t>
            </w:r>
          </w:p>
        </w:tc>
      </w:tr>
      <w:tr w:rsidR="00AF6FD2" w14:paraId="543045DB" w14:textId="77777777" w:rsidTr="00454637">
        <w:tc>
          <w:tcPr>
            <w:tcW w:w="2965" w:type="dxa"/>
          </w:tcPr>
          <w:p w14:paraId="732152A7" w14:textId="77777777" w:rsidR="00AF6FD2" w:rsidRPr="00C9656E" w:rsidRDefault="00AF6FD2" w:rsidP="00351A5B">
            <w:pPr>
              <w:rPr>
                <w:color w:val="000000"/>
              </w:rPr>
            </w:pPr>
            <w:r w:rsidRPr="00C9656E">
              <w:t>Managerial</w:t>
            </w:r>
            <w:r w:rsidR="00454637">
              <w:t xml:space="preserve"> </w:t>
            </w:r>
            <w:r w:rsidR="00454637" w:rsidRPr="0004223A">
              <w:rPr>
                <w:color w:val="000000"/>
              </w:rPr>
              <w:t>(GS-13, step 5)</w:t>
            </w:r>
          </w:p>
        </w:tc>
        <w:tc>
          <w:tcPr>
            <w:tcW w:w="2340" w:type="dxa"/>
          </w:tcPr>
          <w:p w14:paraId="606CCEB2" w14:textId="77777777" w:rsidR="00AF6FD2" w:rsidRPr="00C9656E" w:rsidRDefault="00AF6FD2" w:rsidP="00454637">
            <w:pPr>
              <w:jc w:val="center"/>
              <w:rPr>
                <w:color w:val="000000"/>
              </w:rPr>
            </w:pPr>
            <w:r w:rsidRPr="00C9656E">
              <w:t>$</w:t>
            </w:r>
            <w:r w:rsidR="00454637">
              <w:t>40</w:t>
            </w:r>
            <w:r w:rsidRPr="00C9656E">
              <w:t>.</w:t>
            </w:r>
            <w:r w:rsidR="00454637">
              <w:t>5</w:t>
            </w:r>
            <w:r w:rsidRPr="00C9656E">
              <w:t>0</w:t>
            </w:r>
          </w:p>
        </w:tc>
        <w:tc>
          <w:tcPr>
            <w:tcW w:w="2160" w:type="dxa"/>
          </w:tcPr>
          <w:p w14:paraId="49427095" w14:textId="77777777" w:rsidR="00AF6FD2" w:rsidRPr="00C9656E" w:rsidRDefault="00AF6FD2" w:rsidP="00454637">
            <w:pPr>
              <w:jc w:val="center"/>
              <w:rPr>
                <w:color w:val="000000"/>
              </w:rPr>
            </w:pPr>
            <w:r w:rsidRPr="00C9656E">
              <w:t>$</w:t>
            </w:r>
            <w:r w:rsidR="00454637">
              <w:t>2</w:t>
            </w:r>
            <w:r>
              <w:t>4</w:t>
            </w:r>
            <w:r w:rsidRPr="00C9656E">
              <w:t>.</w:t>
            </w:r>
            <w:r w:rsidR="00454637">
              <w:t>30</w:t>
            </w:r>
          </w:p>
        </w:tc>
        <w:tc>
          <w:tcPr>
            <w:tcW w:w="1885" w:type="dxa"/>
          </w:tcPr>
          <w:p w14:paraId="14E5EFE1" w14:textId="77777777" w:rsidR="00AF6FD2" w:rsidRPr="00C9656E" w:rsidRDefault="00AF6FD2" w:rsidP="00454637">
            <w:pPr>
              <w:jc w:val="center"/>
              <w:rPr>
                <w:color w:val="000000"/>
              </w:rPr>
            </w:pPr>
            <w:r w:rsidRPr="00C9656E">
              <w:t>$</w:t>
            </w:r>
            <w:r w:rsidR="00454637">
              <w:t>64</w:t>
            </w:r>
            <w:r w:rsidRPr="00C9656E">
              <w:t>.</w:t>
            </w:r>
            <w:r w:rsidR="00454637">
              <w:t>80</w:t>
            </w:r>
          </w:p>
        </w:tc>
      </w:tr>
      <w:tr w:rsidR="00AF6FD2" w14:paraId="54DC5A1F" w14:textId="77777777" w:rsidTr="00454637">
        <w:tc>
          <w:tcPr>
            <w:tcW w:w="2965" w:type="dxa"/>
          </w:tcPr>
          <w:p w14:paraId="5AF4C876" w14:textId="77777777" w:rsidR="00AF6FD2" w:rsidRPr="00C9656E" w:rsidRDefault="00AF6FD2" w:rsidP="00351A5B">
            <w:pPr>
              <w:rPr>
                <w:color w:val="000000"/>
              </w:rPr>
            </w:pPr>
            <w:r>
              <w:rPr>
                <w:color w:val="000000"/>
              </w:rPr>
              <w:t>Technical</w:t>
            </w:r>
            <w:r w:rsidR="00454637">
              <w:rPr>
                <w:color w:val="000000"/>
              </w:rPr>
              <w:t xml:space="preserve"> </w:t>
            </w:r>
            <w:r w:rsidR="00454637" w:rsidRPr="0004223A">
              <w:rPr>
                <w:color w:val="000000"/>
              </w:rPr>
              <w:t>(GS-12, step 1)</w:t>
            </w:r>
          </w:p>
        </w:tc>
        <w:tc>
          <w:tcPr>
            <w:tcW w:w="2340" w:type="dxa"/>
          </w:tcPr>
          <w:p w14:paraId="7BBB31E7" w14:textId="77777777" w:rsidR="00AF6FD2" w:rsidRPr="00C9656E" w:rsidRDefault="00AF6FD2" w:rsidP="00454637">
            <w:pPr>
              <w:jc w:val="center"/>
              <w:rPr>
                <w:color w:val="000000"/>
              </w:rPr>
            </w:pPr>
            <w:r w:rsidRPr="00C9656E">
              <w:t>$</w:t>
            </w:r>
            <w:r>
              <w:t>3</w:t>
            </w:r>
            <w:r w:rsidR="00454637">
              <w:t>0</w:t>
            </w:r>
            <w:r w:rsidRPr="00C9656E">
              <w:t>.</w:t>
            </w:r>
            <w:r>
              <w:t>0</w:t>
            </w:r>
            <w:r w:rsidR="00454637">
              <w:t>5</w:t>
            </w:r>
          </w:p>
        </w:tc>
        <w:tc>
          <w:tcPr>
            <w:tcW w:w="2160" w:type="dxa"/>
          </w:tcPr>
          <w:p w14:paraId="57765F5B" w14:textId="77777777" w:rsidR="00AF6FD2" w:rsidRPr="00C9656E" w:rsidRDefault="00AF6FD2" w:rsidP="00454637">
            <w:pPr>
              <w:jc w:val="center"/>
              <w:rPr>
                <w:color w:val="000000"/>
              </w:rPr>
            </w:pPr>
            <w:r w:rsidRPr="00C9656E">
              <w:t>$</w:t>
            </w:r>
            <w:r w:rsidR="00454637">
              <w:t>18</w:t>
            </w:r>
            <w:r w:rsidRPr="00C9656E">
              <w:t>.</w:t>
            </w:r>
            <w:r w:rsidR="00454637">
              <w:t>03</w:t>
            </w:r>
          </w:p>
        </w:tc>
        <w:tc>
          <w:tcPr>
            <w:tcW w:w="1885" w:type="dxa"/>
          </w:tcPr>
          <w:p w14:paraId="73350A63" w14:textId="77777777" w:rsidR="00AF6FD2" w:rsidRPr="00C9656E" w:rsidRDefault="00AF6FD2" w:rsidP="00454637">
            <w:pPr>
              <w:jc w:val="center"/>
              <w:rPr>
                <w:color w:val="000000"/>
              </w:rPr>
            </w:pPr>
            <w:r w:rsidRPr="00C9656E">
              <w:t>$</w:t>
            </w:r>
            <w:r w:rsidR="00454637">
              <w:t>48</w:t>
            </w:r>
            <w:r w:rsidRPr="00C9656E">
              <w:t>.</w:t>
            </w:r>
            <w:r w:rsidR="00454637">
              <w:t>0</w:t>
            </w:r>
            <w:r>
              <w:t>8</w:t>
            </w:r>
          </w:p>
        </w:tc>
      </w:tr>
      <w:tr w:rsidR="00AF6FD2" w14:paraId="13068A04" w14:textId="77777777" w:rsidTr="00454637">
        <w:tc>
          <w:tcPr>
            <w:tcW w:w="2965" w:type="dxa"/>
          </w:tcPr>
          <w:p w14:paraId="247A2F4E" w14:textId="77777777" w:rsidR="00AF6FD2" w:rsidRPr="00C9656E" w:rsidRDefault="00AF6FD2" w:rsidP="00351A5B">
            <w:pPr>
              <w:rPr>
                <w:color w:val="000000"/>
              </w:rPr>
            </w:pPr>
            <w:r>
              <w:rPr>
                <w:color w:val="000000"/>
              </w:rPr>
              <w:t>Clerical</w:t>
            </w:r>
            <w:r w:rsidR="00454637">
              <w:rPr>
                <w:color w:val="000000"/>
              </w:rPr>
              <w:t xml:space="preserve"> </w:t>
            </w:r>
            <w:r w:rsidR="00454637" w:rsidRPr="0004223A">
              <w:rPr>
                <w:color w:val="000000"/>
              </w:rPr>
              <w:t>(GS-6, step 3)</w:t>
            </w:r>
          </w:p>
        </w:tc>
        <w:tc>
          <w:tcPr>
            <w:tcW w:w="2340" w:type="dxa"/>
          </w:tcPr>
          <w:p w14:paraId="7E758738" w14:textId="77777777" w:rsidR="00AF6FD2" w:rsidRPr="00C9656E" w:rsidRDefault="00AF6FD2" w:rsidP="00454637">
            <w:pPr>
              <w:jc w:val="center"/>
              <w:rPr>
                <w:color w:val="000000"/>
              </w:rPr>
            </w:pPr>
            <w:r w:rsidRPr="00C9656E">
              <w:t>$</w:t>
            </w:r>
            <w:r w:rsidR="00454637">
              <w:t>1</w:t>
            </w:r>
            <w:r>
              <w:t>6</w:t>
            </w:r>
            <w:r w:rsidRPr="00C9656E">
              <w:t>.</w:t>
            </w:r>
            <w:r w:rsidR="00454637">
              <w:t>26</w:t>
            </w:r>
          </w:p>
        </w:tc>
        <w:tc>
          <w:tcPr>
            <w:tcW w:w="2160" w:type="dxa"/>
          </w:tcPr>
          <w:p w14:paraId="7DD15EE9" w14:textId="77777777" w:rsidR="00AF6FD2" w:rsidRPr="00C9656E" w:rsidRDefault="00AF6FD2" w:rsidP="00454637">
            <w:pPr>
              <w:jc w:val="center"/>
              <w:rPr>
                <w:color w:val="000000"/>
              </w:rPr>
            </w:pPr>
            <w:r w:rsidRPr="00C9656E">
              <w:t>$</w:t>
            </w:r>
            <w:r w:rsidR="00454637">
              <w:t>9</w:t>
            </w:r>
            <w:r w:rsidRPr="00C9656E">
              <w:t>.</w:t>
            </w:r>
            <w:r>
              <w:t>7</w:t>
            </w:r>
            <w:r w:rsidR="00454637">
              <w:t>6</w:t>
            </w:r>
          </w:p>
        </w:tc>
        <w:tc>
          <w:tcPr>
            <w:tcW w:w="1885" w:type="dxa"/>
          </w:tcPr>
          <w:p w14:paraId="6432FC51" w14:textId="77777777" w:rsidR="00AF6FD2" w:rsidRPr="00C9656E" w:rsidRDefault="00AF6FD2" w:rsidP="00454637">
            <w:pPr>
              <w:jc w:val="center"/>
              <w:rPr>
                <w:color w:val="000000"/>
              </w:rPr>
            </w:pPr>
            <w:r w:rsidRPr="00C9656E">
              <w:t>$</w:t>
            </w:r>
            <w:r w:rsidR="00454637">
              <w:t>26</w:t>
            </w:r>
            <w:r w:rsidRPr="00C9656E">
              <w:t>.</w:t>
            </w:r>
            <w:r w:rsidR="00454637">
              <w:t>02</w:t>
            </w:r>
          </w:p>
        </w:tc>
      </w:tr>
    </w:tbl>
    <w:p w14:paraId="7CE98614" w14:textId="77777777" w:rsidR="00AF6FD2" w:rsidRPr="00454637" w:rsidRDefault="00AF6FD2" w:rsidP="00454637">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rPr>
        <w:t xml:space="preserve"> </w:t>
      </w:r>
      <w:r w:rsidRPr="00681356">
        <w:rPr>
          <w:color w:val="000000"/>
          <w:vertAlign w:val="superscript"/>
        </w:rPr>
        <w:t>a</w:t>
      </w:r>
      <w:r>
        <w:rPr>
          <w:color w:val="000000"/>
        </w:rPr>
        <w:t xml:space="preserve"> </w:t>
      </w:r>
      <w:r w:rsidR="00454637" w:rsidRPr="00E34490">
        <w:rPr>
          <w:color w:val="000000"/>
          <w:sz w:val="22"/>
          <w:szCs w:val="22"/>
        </w:rPr>
        <w:t>https://www.opm.gov/policy-data-oversight/pay-leave/salaries-wages/salary-tables/pdf/2016/GS_h.pdf</w:t>
      </w:r>
    </w:p>
    <w:p w14:paraId="25C9AA2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922C08" w14:textId="71EF7626" w:rsidR="00CA4CD6" w:rsidRDefault="00CA4CD6" w:rsidP="0045463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454637">
        <w:rPr>
          <w:color w:val="000000"/>
        </w:rPr>
        <w:t>7</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3753C" w:rsidRPr="00B319B8">
        <w:rPr>
          <w:bCs/>
        </w:rPr>
        <w:t>NESHAP for Wet-formed Fiberglass Mat Production (40 CFR Part 63, Subpart HHHH) (</w:t>
      </w:r>
      <w:r w:rsidR="000513E6">
        <w:rPr>
          <w:bCs/>
        </w:rPr>
        <w:t>Final Rule</w:t>
      </w:r>
      <w:r w:rsidR="0093753C" w:rsidRPr="00B319B8">
        <w:rPr>
          <w:bCs/>
        </w:rPr>
        <w:t>).</w:t>
      </w:r>
    </w:p>
    <w:p w14:paraId="36B004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B3FFE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296D81A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913049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E61292">
        <w:rPr>
          <w:color w:val="000000"/>
        </w:rPr>
        <w:t>there are 7</w:t>
      </w:r>
      <w:r>
        <w:rPr>
          <w:color w:val="000000"/>
        </w:rPr>
        <w:t xml:space="preserve"> existing respondents </w:t>
      </w:r>
      <w:r w:rsidR="00E61292">
        <w:rPr>
          <w:color w:val="000000"/>
        </w:rPr>
        <w:t xml:space="preserve">currently </w:t>
      </w:r>
      <w:r>
        <w:rPr>
          <w:color w:val="000000"/>
        </w:rPr>
        <w:t>subject to the standard</w:t>
      </w:r>
      <w:r w:rsidR="00E61292">
        <w:rPr>
          <w:color w:val="000000"/>
        </w:rPr>
        <w:t>, all of which will keep records and submit reports</w:t>
      </w:r>
      <w:r>
        <w:rPr>
          <w:color w:val="000000"/>
        </w:rPr>
        <w:t xml:space="preserve">. It is estimated that </w:t>
      </w:r>
      <w:r w:rsidR="0093753C">
        <w:rPr>
          <w:color w:val="000000"/>
        </w:rPr>
        <w:t>no</w:t>
      </w:r>
      <w:r w:rsidR="00E61292">
        <w:rPr>
          <w:color w:val="000000"/>
        </w:rPr>
        <w:t xml:space="preserve"> additional </w:t>
      </w:r>
      <w:r>
        <w:rPr>
          <w:color w:val="000000"/>
        </w:rPr>
        <w:t>respondents will become subject</w:t>
      </w:r>
      <w:r w:rsidR="00E61292">
        <w:rPr>
          <w:color w:val="000000"/>
        </w:rPr>
        <w:t xml:space="preserve"> to the regulation in the next 3 years</w:t>
      </w:r>
      <w:r>
        <w:rPr>
          <w:color w:val="000000"/>
        </w:rPr>
        <w:t xml:space="preserve">. The </w:t>
      </w:r>
      <w:r w:rsidR="00E61292">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4A50C3">
        <w:rPr>
          <w:color w:val="000000"/>
        </w:rPr>
        <w:t>3</w:t>
      </w:r>
      <w:r>
        <w:rPr>
          <w:color w:val="000000"/>
        </w:rPr>
        <w:t xml:space="preserve"> years covered by this ICR</w:t>
      </w:r>
      <w:r w:rsidR="00D30388">
        <w:rPr>
          <w:color w:val="000000"/>
        </w:rPr>
        <w:t>:</w:t>
      </w:r>
      <w:r>
        <w:rPr>
          <w:color w:val="000000"/>
        </w:rPr>
        <w:t xml:space="preserve">  </w:t>
      </w:r>
    </w:p>
    <w:p w14:paraId="19A3B5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62"/>
        <w:gridCol w:w="1648"/>
      </w:tblGrid>
      <w:tr w:rsidR="00A73600" w14:paraId="15550927" w14:textId="77777777" w:rsidTr="00AA28A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386677CA" w14:textId="77777777" w:rsidR="00CA4CD6" w:rsidRDefault="00CA4CD6" w:rsidP="00CC45C6">
            <w:pPr>
              <w:keepNext/>
              <w:keepLines/>
              <w:spacing w:line="120" w:lineRule="exact"/>
              <w:rPr>
                <w:color w:val="000000"/>
              </w:rPr>
            </w:pPr>
          </w:p>
          <w:p w14:paraId="4E0E4AB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6BE59993" w14:textId="77777777" w:rsidTr="00AA28AA">
        <w:tc>
          <w:tcPr>
            <w:tcW w:w="900" w:type="dxa"/>
            <w:tcBorders>
              <w:top w:val="single" w:sz="7" w:space="0" w:color="000000"/>
              <w:left w:val="single" w:sz="7" w:space="0" w:color="000000"/>
              <w:bottom w:val="single" w:sz="6" w:space="0" w:color="FFFFFF"/>
              <w:right w:val="single" w:sz="6" w:space="0" w:color="FFFFFF"/>
            </w:tcBorders>
          </w:tcPr>
          <w:p w14:paraId="7A4CD942" w14:textId="77777777" w:rsidR="00CA4CD6" w:rsidRDefault="00CA4CD6" w:rsidP="00CC45C6">
            <w:pPr>
              <w:keepNext/>
              <w:keepLines/>
              <w:spacing w:line="120" w:lineRule="exact"/>
              <w:rPr>
                <w:b/>
                <w:bCs/>
                <w:color w:val="000000"/>
              </w:rPr>
            </w:pPr>
          </w:p>
          <w:p w14:paraId="7137ACBD"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FEAC0EC" w14:textId="77777777" w:rsidR="00CA4CD6" w:rsidRDefault="00CA4CD6" w:rsidP="00CC45C6">
            <w:pPr>
              <w:keepNext/>
              <w:keepLines/>
              <w:spacing w:line="120" w:lineRule="exact"/>
              <w:rPr>
                <w:color w:val="000000"/>
                <w:sz w:val="18"/>
                <w:szCs w:val="18"/>
              </w:rPr>
            </w:pPr>
          </w:p>
          <w:p w14:paraId="6BF81E1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8A711AD" w14:textId="77777777" w:rsidR="00CA4CD6" w:rsidRDefault="00CA4CD6" w:rsidP="00CC45C6">
            <w:pPr>
              <w:keepNext/>
              <w:keepLines/>
              <w:spacing w:line="120" w:lineRule="exact"/>
              <w:rPr>
                <w:color w:val="000000"/>
                <w:sz w:val="18"/>
                <w:szCs w:val="18"/>
              </w:rPr>
            </w:pPr>
          </w:p>
          <w:p w14:paraId="2C5DF20A"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2B1B3B75" w14:textId="77777777" w:rsidR="00CA4CD6" w:rsidRDefault="00CA4CD6" w:rsidP="00CC45C6">
            <w:pPr>
              <w:keepNext/>
              <w:keepLines/>
              <w:spacing w:line="120" w:lineRule="exact"/>
              <w:rPr>
                <w:color w:val="000000"/>
                <w:sz w:val="18"/>
                <w:szCs w:val="18"/>
              </w:rPr>
            </w:pPr>
          </w:p>
          <w:p w14:paraId="4EC4B877"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7F59B90" w14:textId="77777777" w:rsidTr="00AA28AA">
        <w:tc>
          <w:tcPr>
            <w:tcW w:w="900" w:type="dxa"/>
            <w:tcBorders>
              <w:top w:val="single" w:sz="7" w:space="0" w:color="000000"/>
              <w:left w:val="single" w:sz="7" w:space="0" w:color="000000"/>
              <w:bottom w:val="single" w:sz="8" w:space="0" w:color="000000"/>
              <w:right w:val="single" w:sz="6" w:space="0" w:color="FFFFFF"/>
            </w:tcBorders>
          </w:tcPr>
          <w:p w14:paraId="62418F44" w14:textId="77777777" w:rsidR="00CA4CD6" w:rsidRDefault="00CA4CD6" w:rsidP="00CC45C6">
            <w:pPr>
              <w:keepNext/>
              <w:keepLines/>
              <w:spacing w:line="120" w:lineRule="exact"/>
              <w:rPr>
                <w:color w:val="000000"/>
                <w:sz w:val="18"/>
                <w:szCs w:val="18"/>
              </w:rPr>
            </w:pPr>
          </w:p>
          <w:p w14:paraId="08220F1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1DA930E8"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EC6086C" w14:textId="77777777" w:rsidR="00CA4CD6" w:rsidRDefault="00CA4CD6" w:rsidP="00CC45C6">
            <w:pPr>
              <w:keepNext/>
              <w:keepLines/>
              <w:spacing w:line="120" w:lineRule="exact"/>
              <w:rPr>
                <w:color w:val="000000"/>
                <w:sz w:val="20"/>
                <w:szCs w:val="20"/>
              </w:rPr>
            </w:pPr>
          </w:p>
          <w:p w14:paraId="0E3E16C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EFC16AB"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27FEAA8A" w14:textId="77777777" w:rsidR="00CA4CD6" w:rsidRDefault="00CA4CD6" w:rsidP="00CC45C6">
            <w:pPr>
              <w:keepNext/>
              <w:keepLines/>
              <w:spacing w:line="120" w:lineRule="exact"/>
              <w:rPr>
                <w:color w:val="000000"/>
                <w:sz w:val="20"/>
                <w:szCs w:val="20"/>
              </w:rPr>
            </w:pPr>
          </w:p>
          <w:p w14:paraId="6FE132E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D6A4EF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2641034" w14:textId="77777777" w:rsidR="00CA4CD6" w:rsidRDefault="00CA4CD6" w:rsidP="00CC45C6">
            <w:pPr>
              <w:keepNext/>
              <w:keepLines/>
              <w:spacing w:line="120" w:lineRule="exact"/>
              <w:rPr>
                <w:color w:val="000000"/>
                <w:sz w:val="20"/>
                <w:szCs w:val="20"/>
              </w:rPr>
            </w:pPr>
          </w:p>
          <w:p w14:paraId="33CE76C1"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2AE981E"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w:t>
            </w:r>
            <w:r w:rsidR="00AA28AA">
              <w:rPr>
                <w:color w:val="000000"/>
                <w:sz w:val="20"/>
                <w:szCs w:val="20"/>
              </w:rPr>
              <w:t xml:space="preserve"> Existing </w:t>
            </w:r>
            <w:r>
              <w:rPr>
                <w:color w:val="000000"/>
                <w:sz w:val="20"/>
                <w:szCs w:val="20"/>
              </w:rPr>
              <w:t>Respondents that keep records but do not submit reports</w:t>
            </w:r>
          </w:p>
        </w:tc>
        <w:tc>
          <w:tcPr>
            <w:tcW w:w="1862" w:type="dxa"/>
            <w:tcBorders>
              <w:top w:val="single" w:sz="8" w:space="0" w:color="000000"/>
              <w:left w:val="single" w:sz="8" w:space="0" w:color="000000"/>
              <w:bottom w:val="single" w:sz="8" w:space="0" w:color="000000"/>
              <w:right w:val="single" w:sz="4" w:space="0" w:color="auto"/>
            </w:tcBorders>
          </w:tcPr>
          <w:p w14:paraId="4F0E6DBF" w14:textId="77777777" w:rsidR="00CA4CD6" w:rsidRDefault="00CA4CD6" w:rsidP="00CC45C6">
            <w:pPr>
              <w:keepNext/>
              <w:keepLines/>
              <w:spacing w:line="120" w:lineRule="exact"/>
              <w:rPr>
                <w:color w:val="000000"/>
                <w:sz w:val="20"/>
                <w:szCs w:val="20"/>
              </w:rPr>
            </w:pPr>
          </w:p>
          <w:p w14:paraId="779510B9"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CAF8F55"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648" w:type="dxa"/>
            <w:tcBorders>
              <w:top w:val="single" w:sz="7" w:space="0" w:color="000000"/>
              <w:left w:val="single" w:sz="4" w:space="0" w:color="auto"/>
              <w:bottom w:val="single" w:sz="8" w:space="0" w:color="000000"/>
              <w:right w:val="single" w:sz="7" w:space="0" w:color="000000"/>
            </w:tcBorders>
          </w:tcPr>
          <w:p w14:paraId="661A68BF" w14:textId="77777777" w:rsidR="00CA4CD6" w:rsidRDefault="00CA4CD6" w:rsidP="00CC45C6">
            <w:pPr>
              <w:keepNext/>
              <w:keepLines/>
              <w:spacing w:line="120" w:lineRule="exact"/>
              <w:rPr>
                <w:color w:val="000000"/>
                <w:sz w:val="20"/>
                <w:szCs w:val="20"/>
              </w:rPr>
            </w:pPr>
          </w:p>
          <w:p w14:paraId="1E31626C"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7998673"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07C7D2FB"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3753C" w14:paraId="008CF0D6" w14:textId="77777777" w:rsidTr="00AA28AA">
        <w:tc>
          <w:tcPr>
            <w:tcW w:w="900" w:type="dxa"/>
            <w:tcBorders>
              <w:top w:val="single" w:sz="8" w:space="0" w:color="000000"/>
              <w:left w:val="single" w:sz="8" w:space="0" w:color="000000"/>
              <w:bottom w:val="single" w:sz="6" w:space="0" w:color="000000"/>
              <w:right w:val="single" w:sz="6" w:space="0" w:color="000000"/>
            </w:tcBorders>
          </w:tcPr>
          <w:p w14:paraId="445D9584" w14:textId="77777777" w:rsidR="0093753C" w:rsidRDefault="0093753C" w:rsidP="00CC45C6">
            <w:pPr>
              <w:keepNext/>
              <w:keepLines/>
              <w:spacing w:line="120" w:lineRule="exact"/>
              <w:rPr>
                <w:color w:val="000000"/>
                <w:sz w:val="20"/>
                <w:szCs w:val="20"/>
              </w:rPr>
            </w:pPr>
          </w:p>
          <w:p w14:paraId="553DB741"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BAC0B56" w14:textId="77777777" w:rsidR="0093753C" w:rsidRDefault="0093753C" w:rsidP="00CC45C6">
            <w:pPr>
              <w:keepNext/>
              <w:keepLines/>
              <w:spacing w:line="120" w:lineRule="exact"/>
              <w:rPr>
                <w:color w:val="000000"/>
                <w:sz w:val="18"/>
                <w:szCs w:val="18"/>
              </w:rPr>
            </w:pPr>
          </w:p>
          <w:p w14:paraId="523BAA19"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55F96257" w14:textId="77777777" w:rsidR="0093753C" w:rsidRDefault="0093753C" w:rsidP="00CC45C6">
            <w:pPr>
              <w:keepNext/>
              <w:keepLines/>
              <w:spacing w:line="120" w:lineRule="exact"/>
              <w:rPr>
                <w:color w:val="000000"/>
                <w:sz w:val="18"/>
                <w:szCs w:val="18"/>
              </w:rPr>
            </w:pPr>
          </w:p>
          <w:p w14:paraId="5B3E749A"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p>
        </w:tc>
        <w:tc>
          <w:tcPr>
            <w:tcW w:w="2070" w:type="dxa"/>
            <w:tcBorders>
              <w:top w:val="single" w:sz="8" w:space="0" w:color="000000"/>
              <w:left w:val="single" w:sz="6" w:space="0" w:color="000000"/>
              <w:bottom w:val="single" w:sz="6" w:space="0" w:color="000000"/>
              <w:right w:val="single" w:sz="6" w:space="0" w:color="000000"/>
            </w:tcBorders>
          </w:tcPr>
          <w:p w14:paraId="060C1F5A" w14:textId="77777777" w:rsidR="0093753C" w:rsidRDefault="0093753C" w:rsidP="00CC45C6">
            <w:pPr>
              <w:keepNext/>
              <w:keepLines/>
              <w:spacing w:line="120" w:lineRule="exact"/>
              <w:rPr>
                <w:color w:val="000000"/>
                <w:sz w:val="18"/>
                <w:szCs w:val="18"/>
              </w:rPr>
            </w:pPr>
          </w:p>
          <w:p w14:paraId="1A1B6649"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62" w:type="dxa"/>
            <w:tcBorders>
              <w:top w:val="single" w:sz="8" w:space="0" w:color="000000"/>
              <w:left w:val="single" w:sz="6" w:space="0" w:color="000000"/>
              <w:bottom w:val="single" w:sz="6" w:space="0" w:color="000000"/>
              <w:right w:val="single" w:sz="6" w:space="0" w:color="000000"/>
            </w:tcBorders>
          </w:tcPr>
          <w:p w14:paraId="282FC6E7" w14:textId="77777777" w:rsidR="0093753C" w:rsidRDefault="0093753C" w:rsidP="00CC45C6">
            <w:pPr>
              <w:keepNext/>
              <w:keepLines/>
              <w:spacing w:line="120" w:lineRule="exact"/>
              <w:rPr>
                <w:color w:val="000000"/>
                <w:sz w:val="18"/>
                <w:szCs w:val="18"/>
              </w:rPr>
            </w:pPr>
          </w:p>
          <w:p w14:paraId="4BEE513A"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48" w:type="dxa"/>
            <w:tcBorders>
              <w:top w:val="single" w:sz="8" w:space="0" w:color="000000"/>
              <w:left w:val="single" w:sz="6" w:space="0" w:color="000000"/>
              <w:bottom w:val="single" w:sz="6" w:space="0" w:color="000000"/>
              <w:right w:val="single" w:sz="8" w:space="0" w:color="000000"/>
            </w:tcBorders>
          </w:tcPr>
          <w:p w14:paraId="10AEF896" w14:textId="77777777" w:rsidR="0093753C" w:rsidRDefault="0093753C" w:rsidP="00CC45C6">
            <w:pPr>
              <w:keepNext/>
              <w:keepLines/>
              <w:spacing w:line="120" w:lineRule="exact"/>
              <w:rPr>
                <w:color w:val="000000"/>
                <w:sz w:val="18"/>
                <w:szCs w:val="18"/>
              </w:rPr>
            </w:pPr>
          </w:p>
          <w:p w14:paraId="23835628"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p>
        </w:tc>
      </w:tr>
      <w:tr w:rsidR="0093753C" w14:paraId="4EE3BBCB" w14:textId="77777777" w:rsidTr="00AA28AA">
        <w:tc>
          <w:tcPr>
            <w:tcW w:w="900" w:type="dxa"/>
            <w:tcBorders>
              <w:top w:val="single" w:sz="6" w:space="0" w:color="000000"/>
              <w:left w:val="single" w:sz="8" w:space="0" w:color="000000"/>
              <w:bottom w:val="single" w:sz="6" w:space="0" w:color="000000"/>
              <w:right w:val="single" w:sz="6" w:space="0" w:color="000000"/>
            </w:tcBorders>
          </w:tcPr>
          <w:p w14:paraId="39FFECFA" w14:textId="77777777" w:rsidR="0093753C" w:rsidRDefault="0093753C" w:rsidP="00CC45C6">
            <w:pPr>
              <w:keepNext/>
              <w:keepLines/>
              <w:spacing w:line="120" w:lineRule="exact"/>
              <w:rPr>
                <w:color w:val="000000"/>
                <w:sz w:val="18"/>
                <w:szCs w:val="18"/>
              </w:rPr>
            </w:pPr>
          </w:p>
          <w:p w14:paraId="2A33053F"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25CF956" w14:textId="77777777" w:rsidR="0093753C" w:rsidRDefault="0093753C" w:rsidP="00CC45C6">
            <w:pPr>
              <w:keepNext/>
              <w:keepLines/>
              <w:spacing w:line="120" w:lineRule="exact"/>
              <w:rPr>
                <w:color w:val="000000"/>
                <w:sz w:val="18"/>
                <w:szCs w:val="18"/>
              </w:rPr>
            </w:pPr>
          </w:p>
          <w:p w14:paraId="43D61B9A"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7EDC81B" w14:textId="77777777" w:rsidR="0093753C" w:rsidRDefault="0093753C" w:rsidP="00CC45C6">
            <w:pPr>
              <w:keepNext/>
              <w:keepLines/>
              <w:spacing w:line="120" w:lineRule="exact"/>
              <w:rPr>
                <w:color w:val="000000"/>
                <w:sz w:val="18"/>
                <w:szCs w:val="18"/>
              </w:rPr>
            </w:pPr>
          </w:p>
          <w:p w14:paraId="4822602A"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tcPr>
          <w:p w14:paraId="69D0197A" w14:textId="77777777" w:rsidR="0093753C" w:rsidRDefault="0093753C" w:rsidP="00CC45C6">
            <w:pPr>
              <w:keepNext/>
              <w:keepLines/>
              <w:spacing w:line="120" w:lineRule="exact"/>
              <w:rPr>
                <w:color w:val="000000"/>
                <w:sz w:val="18"/>
                <w:szCs w:val="18"/>
              </w:rPr>
            </w:pPr>
          </w:p>
          <w:p w14:paraId="6F6E3E93"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6" w:space="0" w:color="000000"/>
              <w:right w:val="single" w:sz="6" w:space="0" w:color="000000"/>
            </w:tcBorders>
          </w:tcPr>
          <w:p w14:paraId="736384C3" w14:textId="77777777" w:rsidR="0093753C" w:rsidRDefault="0093753C" w:rsidP="00CC45C6">
            <w:pPr>
              <w:keepNext/>
              <w:keepLines/>
              <w:spacing w:line="120" w:lineRule="exact"/>
              <w:rPr>
                <w:color w:val="000000"/>
                <w:sz w:val="18"/>
                <w:szCs w:val="18"/>
              </w:rPr>
            </w:pPr>
          </w:p>
          <w:p w14:paraId="4BE91451"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6" w:space="0" w:color="000000"/>
              <w:right w:val="single" w:sz="8" w:space="0" w:color="000000"/>
            </w:tcBorders>
          </w:tcPr>
          <w:p w14:paraId="47BD3B6C" w14:textId="77777777" w:rsidR="0093753C" w:rsidRDefault="0093753C" w:rsidP="00CC45C6">
            <w:pPr>
              <w:keepNext/>
              <w:keepLines/>
              <w:spacing w:line="120" w:lineRule="exact"/>
              <w:rPr>
                <w:color w:val="000000"/>
                <w:sz w:val="18"/>
                <w:szCs w:val="18"/>
              </w:rPr>
            </w:pPr>
          </w:p>
          <w:p w14:paraId="419D6976" w14:textId="77777777" w:rsidR="0093753C" w:rsidRDefault="00AA28AA"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p>
        </w:tc>
      </w:tr>
      <w:tr w:rsidR="0093753C" w14:paraId="4E722198" w14:textId="77777777" w:rsidTr="00AA28AA">
        <w:tc>
          <w:tcPr>
            <w:tcW w:w="900" w:type="dxa"/>
            <w:tcBorders>
              <w:top w:val="single" w:sz="6" w:space="0" w:color="000000"/>
              <w:left w:val="single" w:sz="8" w:space="0" w:color="000000"/>
              <w:bottom w:val="single" w:sz="6" w:space="0" w:color="000000"/>
              <w:right w:val="single" w:sz="6" w:space="0" w:color="000000"/>
            </w:tcBorders>
          </w:tcPr>
          <w:p w14:paraId="11A8321E" w14:textId="77777777" w:rsidR="0093753C" w:rsidRDefault="0093753C" w:rsidP="00CC45C6">
            <w:pPr>
              <w:keepNext/>
              <w:keepLines/>
              <w:spacing w:line="120" w:lineRule="exact"/>
              <w:rPr>
                <w:color w:val="000000"/>
                <w:sz w:val="18"/>
                <w:szCs w:val="18"/>
              </w:rPr>
            </w:pPr>
          </w:p>
          <w:p w14:paraId="7C97546E"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48EEE41" w14:textId="77777777" w:rsidR="0093753C" w:rsidRDefault="0093753C" w:rsidP="00CC45C6">
            <w:pPr>
              <w:keepNext/>
              <w:keepLines/>
              <w:spacing w:line="120" w:lineRule="exact"/>
              <w:rPr>
                <w:color w:val="000000"/>
                <w:sz w:val="18"/>
                <w:szCs w:val="18"/>
              </w:rPr>
            </w:pPr>
          </w:p>
          <w:p w14:paraId="0A571BD8"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AD3D3FB" w14:textId="77777777" w:rsidR="0093753C" w:rsidRDefault="0093753C" w:rsidP="00CC45C6">
            <w:pPr>
              <w:keepNext/>
              <w:keepLines/>
              <w:spacing w:line="120" w:lineRule="exact"/>
              <w:rPr>
                <w:color w:val="000000"/>
                <w:sz w:val="18"/>
                <w:szCs w:val="18"/>
              </w:rPr>
            </w:pPr>
          </w:p>
          <w:p w14:paraId="3B782BF6"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tcPr>
          <w:p w14:paraId="0C3B45CD" w14:textId="77777777" w:rsidR="0093753C" w:rsidRDefault="0093753C" w:rsidP="00CC45C6">
            <w:pPr>
              <w:keepNext/>
              <w:keepLines/>
              <w:spacing w:line="120" w:lineRule="exact"/>
              <w:rPr>
                <w:color w:val="000000"/>
                <w:sz w:val="18"/>
                <w:szCs w:val="18"/>
              </w:rPr>
            </w:pPr>
          </w:p>
          <w:p w14:paraId="58F17D3F"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6" w:space="0" w:color="000000"/>
              <w:right w:val="single" w:sz="6" w:space="0" w:color="000000"/>
            </w:tcBorders>
          </w:tcPr>
          <w:p w14:paraId="435EC76F" w14:textId="77777777" w:rsidR="0093753C" w:rsidRDefault="0093753C" w:rsidP="00CC45C6">
            <w:pPr>
              <w:keepNext/>
              <w:keepLines/>
              <w:spacing w:line="120" w:lineRule="exact"/>
              <w:rPr>
                <w:color w:val="000000"/>
                <w:sz w:val="18"/>
                <w:szCs w:val="18"/>
              </w:rPr>
            </w:pPr>
          </w:p>
          <w:p w14:paraId="2615B63B"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6" w:space="0" w:color="000000"/>
              <w:right w:val="single" w:sz="8" w:space="0" w:color="000000"/>
            </w:tcBorders>
          </w:tcPr>
          <w:p w14:paraId="29FCC529" w14:textId="77777777" w:rsidR="0093753C" w:rsidRDefault="0093753C" w:rsidP="00CC45C6">
            <w:pPr>
              <w:keepNext/>
              <w:keepLines/>
              <w:spacing w:line="120" w:lineRule="exact"/>
              <w:rPr>
                <w:color w:val="000000"/>
                <w:sz w:val="18"/>
                <w:szCs w:val="18"/>
              </w:rPr>
            </w:pPr>
          </w:p>
          <w:p w14:paraId="6124738F" w14:textId="77777777" w:rsidR="0093753C" w:rsidRDefault="00AA28AA"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w:t>
            </w:r>
          </w:p>
        </w:tc>
      </w:tr>
      <w:tr w:rsidR="0093753C" w14:paraId="3DB1E4EC" w14:textId="77777777" w:rsidTr="00AA28AA">
        <w:tc>
          <w:tcPr>
            <w:tcW w:w="900" w:type="dxa"/>
            <w:tcBorders>
              <w:top w:val="single" w:sz="6" w:space="0" w:color="000000"/>
              <w:left w:val="single" w:sz="8" w:space="0" w:color="000000"/>
              <w:bottom w:val="single" w:sz="8" w:space="0" w:color="000000"/>
              <w:right w:val="single" w:sz="6" w:space="0" w:color="000000"/>
            </w:tcBorders>
          </w:tcPr>
          <w:p w14:paraId="0B7FAC99" w14:textId="77777777" w:rsidR="0093753C" w:rsidRDefault="0093753C" w:rsidP="00CC45C6">
            <w:pPr>
              <w:keepNext/>
              <w:keepLines/>
              <w:spacing w:line="120" w:lineRule="exact"/>
              <w:rPr>
                <w:color w:val="000000"/>
                <w:sz w:val="18"/>
                <w:szCs w:val="18"/>
              </w:rPr>
            </w:pPr>
          </w:p>
          <w:p w14:paraId="3C0D1E08"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5E45F870" w14:textId="77777777" w:rsidR="0093753C" w:rsidRDefault="0093753C" w:rsidP="00CC45C6">
            <w:pPr>
              <w:keepNext/>
              <w:keepLines/>
              <w:spacing w:line="120" w:lineRule="exact"/>
              <w:rPr>
                <w:color w:val="000000"/>
                <w:sz w:val="18"/>
                <w:szCs w:val="18"/>
              </w:rPr>
            </w:pPr>
          </w:p>
          <w:p w14:paraId="3D58D13B"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135F9788" w14:textId="77777777" w:rsidR="0093753C" w:rsidRDefault="0093753C" w:rsidP="00CC45C6">
            <w:pPr>
              <w:keepNext/>
              <w:keepLines/>
              <w:spacing w:line="120" w:lineRule="exact"/>
              <w:rPr>
                <w:color w:val="000000"/>
                <w:sz w:val="18"/>
                <w:szCs w:val="18"/>
              </w:rPr>
            </w:pPr>
          </w:p>
          <w:p w14:paraId="554500BD"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8" w:space="0" w:color="000000"/>
              <w:right w:val="single" w:sz="6" w:space="0" w:color="000000"/>
            </w:tcBorders>
          </w:tcPr>
          <w:p w14:paraId="533A45AD" w14:textId="77777777" w:rsidR="0093753C" w:rsidRDefault="0093753C" w:rsidP="00CC45C6">
            <w:pPr>
              <w:keepNext/>
              <w:keepLines/>
              <w:spacing w:line="120" w:lineRule="exact"/>
              <w:rPr>
                <w:color w:val="000000"/>
                <w:sz w:val="18"/>
                <w:szCs w:val="18"/>
              </w:rPr>
            </w:pPr>
          </w:p>
          <w:p w14:paraId="7D8FD0B7"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8" w:space="0" w:color="000000"/>
              <w:right w:val="single" w:sz="6" w:space="0" w:color="000000"/>
            </w:tcBorders>
          </w:tcPr>
          <w:p w14:paraId="1146F8A4" w14:textId="77777777" w:rsidR="0093753C" w:rsidRDefault="0093753C" w:rsidP="00CC45C6">
            <w:pPr>
              <w:keepNext/>
              <w:keepLines/>
              <w:spacing w:line="120" w:lineRule="exact"/>
              <w:rPr>
                <w:color w:val="000000"/>
                <w:sz w:val="18"/>
                <w:szCs w:val="18"/>
              </w:rPr>
            </w:pPr>
          </w:p>
          <w:p w14:paraId="6ABD5E4D"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8" w:space="0" w:color="000000"/>
              <w:right w:val="single" w:sz="8" w:space="0" w:color="000000"/>
            </w:tcBorders>
          </w:tcPr>
          <w:p w14:paraId="7DD7AF0C" w14:textId="77777777" w:rsidR="0093753C" w:rsidRDefault="0093753C" w:rsidP="00CC45C6">
            <w:pPr>
              <w:keepNext/>
              <w:keepLines/>
              <w:spacing w:line="120" w:lineRule="exact"/>
              <w:rPr>
                <w:color w:val="000000"/>
                <w:sz w:val="18"/>
                <w:szCs w:val="18"/>
              </w:rPr>
            </w:pPr>
          </w:p>
          <w:p w14:paraId="566361F5" w14:textId="77777777" w:rsidR="0093753C" w:rsidRDefault="00AA28AA"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18"/>
                <w:szCs w:val="18"/>
              </w:rPr>
              <w:t>7</w:t>
            </w:r>
          </w:p>
        </w:tc>
      </w:tr>
    </w:tbl>
    <w:p w14:paraId="6CA801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w:t>
      </w:r>
      <w:r w:rsidR="00AA28AA">
        <w:rPr>
          <w:color w:val="000000"/>
          <w:sz w:val="20"/>
          <w:szCs w:val="20"/>
        </w:rPr>
        <w:t xml:space="preserve"> and</w:t>
      </w:r>
      <w:r>
        <w:rPr>
          <w:color w:val="000000"/>
          <w:sz w:val="20"/>
          <w:szCs w:val="20"/>
        </w:rPr>
        <w:t xml:space="preserve"> reconstructed affected facilities.</w:t>
      </w:r>
      <w:r>
        <w:rPr>
          <w:color w:val="FF0000"/>
          <w:sz w:val="20"/>
          <w:szCs w:val="20"/>
        </w:rPr>
        <w:t xml:space="preserve">  </w:t>
      </w:r>
    </w:p>
    <w:p w14:paraId="044709CC"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344F7F59"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4A50C3">
        <w:rPr>
          <w:color w:val="000000"/>
        </w:rPr>
        <w:t>3-</w:t>
      </w:r>
      <w:r w:rsidR="00CA4CD6">
        <w:rPr>
          <w:color w:val="000000"/>
        </w:rPr>
        <w:t xml:space="preserve">year period of this ICR is </w:t>
      </w:r>
      <w:r w:rsidR="00A32076">
        <w:rPr>
          <w:color w:val="000000"/>
        </w:rPr>
        <w:t>7</w:t>
      </w:r>
      <w:r w:rsidR="00507EC5">
        <w:rPr>
          <w:color w:val="000000"/>
        </w:rPr>
        <w:t xml:space="preserve">. </w:t>
      </w:r>
    </w:p>
    <w:p w14:paraId="68D54190" w14:textId="77777777"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14:paraId="58410F0C" w14:textId="77777777" w:rsidR="00CC45C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52EB221D" w14:textId="77777777" w:rsidR="00CC45C6" w:rsidRDefault="00CC45C6">
      <w:pPr>
        <w:pBdr>
          <w:top w:val="single" w:sz="6" w:space="0" w:color="FFFFFF"/>
          <w:left w:val="single" w:sz="6" w:space="0" w:color="FFFFFF"/>
          <w:bottom w:val="single" w:sz="6" w:space="0" w:color="FFFFFF"/>
          <w:right w:val="single" w:sz="6" w:space="0" w:color="FFFFFF"/>
        </w:pBdr>
        <w:ind w:firstLine="720"/>
        <w:rPr>
          <w:color w:val="000000"/>
        </w:rPr>
      </w:pPr>
    </w:p>
    <w:tbl>
      <w:tblPr>
        <w:tblW w:w="9450"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970"/>
        <w:gridCol w:w="1260"/>
        <w:gridCol w:w="1111"/>
        <w:gridCol w:w="1890"/>
        <w:gridCol w:w="2219"/>
      </w:tblGrid>
      <w:tr w:rsidR="00A73600" w14:paraId="51F6D9BA" w14:textId="77777777" w:rsidTr="00C52D3C">
        <w:trPr>
          <w:tblHeader/>
        </w:trPr>
        <w:tc>
          <w:tcPr>
            <w:tcW w:w="9450" w:type="dxa"/>
            <w:gridSpan w:val="5"/>
          </w:tcPr>
          <w:p w14:paraId="21889BD0" w14:textId="77777777" w:rsidR="00CA4CD6" w:rsidRDefault="00CA4CD6">
            <w:pPr>
              <w:spacing w:line="120" w:lineRule="exact"/>
              <w:rPr>
                <w:color w:val="000000"/>
              </w:rPr>
            </w:pPr>
          </w:p>
          <w:p w14:paraId="10CE35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2CF8740D" w14:textId="77777777" w:rsidTr="00C52D3C">
        <w:tc>
          <w:tcPr>
            <w:tcW w:w="2970" w:type="dxa"/>
          </w:tcPr>
          <w:p w14:paraId="060B8340" w14:textId="77777777" w:rsidR="00CA4CD6" w:rsidRDefault="00CA4CD6" w:rsidP="0035325B">
            <w:pPr>
              <w:spacing w:line="120" w:lineRule="exact"/>
              <w:jc w:val="center"/>
              <w:rPr>
                <w:b/>
                <w:bCs/>
                <w:color w:val="000000"/>
                <w:sz w:val="18"/>
                <w:szCs w:val="18"/>
              </w:rPr>
            </w:pPr>
          </w:p>
          <w:p w14:paraId="02B6D71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B66409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CC95D7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4128E72" w14:textId="77777777" w:rsidR="00CA4CD6" w:rsidRDefault="00CA4CD6" w:rsidP="0035325B">
            <w:pPr>
              <w:spacing w:line="120" w:lineRule="exact"/>
              <w:jc w:val="center"/>
              <w:rPr>
                <w:color w:val="000000"/>
                <w:sz w:val="18"/>
                <w:szCs w:val="18"/>
              </w:rPr>
            </w:pPr>
          </w:p>
          <w:p w14:paraId="46EF6F7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A9365E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3B9CBB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11" w:type="dxa"/>
          </w:tcPr>
          <w:p w14:paraId="79C972DD" w14:textId="77777777" w:rsidR="00CA4CD6" w:rsidRDefault="00CA4CD6" w:rsidP="0035325B">
            <w:pPr>
              <w:spacing w:line="120" w:lineRule="exact"/>
              <w:jc w:val="center"/>
              <w:rPr>
                <w:color w:val="000000"/>
                <w:sz w:val="18"/>
                <w:szCs w:val="18"/>
              </w:rPr>
            </w:pPr>
          </w:p>
          <w:p w14:paraId="40486F6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5E6006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3AA6EA5"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4C639A1D" w14:textId="77777777" w:rsidR="00CA4CD6" w:rsidRDefault="00CA4CD6" w:rsidP="0035325B">
            <w:pPr>
              <w:spacing w:line="120" w:lineRule="exact"/>
              <w:jc w:val="center"/>
              <w:rPr>
                <w:color w:val="000000"/>
                <w:sz w:val="18"/>
                <w:szCs w:val="18"/>
              </w:rPr>
            </w:pPr>
          </w:p>
          <w:p w14:paraId="241C332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68E28F1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219" w:type="dxa"/>
          </w:tcPr>
          <w:p w14:paraId="569778B5" w14:textId="77777777" w:rsidR="00CA4CD6" w:rsidRDefault="00CA4CD6" w:rsidP="0035325B">
            <w:pPr>
              <w:spacing w:line="120" w:lineRule="exact"/>
              <w:jc w:val="center"/>
              <w:rPr>
                <w:color w:val="000000"/>
                <w:sz w:val="18"/>
                <w:szCs w:val="18"/>
              </w:rPr>
            </w:pPr>
          </w:p>
          <w:p w14:paraId="0BFEA96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3B65CC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46119E73"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F20B7" w14:paraId="066DAB14" w14:textId="77777777" w:rsidTr="00C52D3C">
        <w:tc>
          <w:tcPr>
            <w:tcW w:w="2970" w:type="dxa"/>
            <w:vAlign w:val="center"/>
          </w:tcPr>
          <w:p w14:paraId="5288DB22" w14:textId="77777777" w:rsidR="001F20B7" w:rsidRDefault="001F20B7" w:rsidP="001F20B7">
            <w:pPr>
              <w:pBdr>
                <w:top w:val="single" w:sz="6" w:space="0" w:color="FFFFFF"/>
                <w:left w:val="single" w:sz="6" w:space="0" w:color="FFFFFF"/>
                <w:bottom w:val="single" w:sz="6" w:space="0" w:color="FFFFFF"/>
                <w:right w:val="single" w:sz="6" w:space="0" w:color="FFFFFF"/>
              </w:pBdr>
              <w:rPr>
                <w:sz w:val="20"/>
              </w:rPr>
            </w:pPr>
            <w:r>
              <w:rPr>
                <w:sz w:val="20"/>
              </w:rPr>
              <w:t>Notification of 5-year performance test/retest</w:t>
            </w:r>
          </w:p>
        </w:tc>
        <w:tc>
          <w:tcPr>
            <w:tcW w:w="1260" w:type="dxa"/>
            <w:vAlign w:val="center"/>
          </w:tcPr>
          <w:p w14:paraId="674B7AF8" w14:textId="77777777" w:rsidR="001F20B7" w:rsidRDefault="001F20B7" w:rsidP="00473521">
            <w:pPr>
              <w:pBdr>
                <w:top w:val="single" w:sz="6" w:space="0" w:color="FFFFFF"/>
                <w:left w:val="single" w:sz="6" w:space="0" w:color="FFFFFF"/>
                <w:bottom w:val="single" w:sz="6" w:space="0" w:color="FFFFFF"/>
                <w:right w:val="single" w:sz="6" w:space="0" w:color="FFFFFF"/>
              </w:pBdr>
              <w:jc w:val="center"/>
              <w:rPr>
                <w:sz w:val="20"/>
              </w:rPr>
            </w:pPr>
            <w:r>
              <w:rPr>
                <w:sz w:val="20"/>
              </w:rPr>
              <w:t>2.</w:t>
            </w:r>
            <w:r w:rsidR="00473521">
              <w:rPr>
                <w:sz w:val="20"/>
              </w:rPr>
              <w:t>16</w:t>
            </w:r>
          </w:p>
        </w:tc>
        <w:tc>
          <w:tcPr>
            <w:tcW w:w="1111" w:type="dxa"/>
            <w:vAlign w:val="center"/>
          </w:tcPr>
          <w:p w14:paraId="55B9713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sz w:val="20"/>
              </w:rPr>
            </w:pPr>
            <w:r>
              <w:rPr>
                <w:sz w:val="20"/>
              </w:rPr>
              <w:t>1</w:t>
            </w:r>
          </w:p>
        </w:tc>
        <w:tc>
          <w:tcPr>
            <w:tcW w:w="1890" w:type="dxa"/>
            <w:vAlign w:val="center"/>
          </w:tcPr>
          <w:p w14:paraId="4638D46C"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219" w:type="dxa"/>
            <w:vAlign w:val="center"/>
          </w:tcPr>
          <w:p w14:paraId="0D3A08BB" w14:textId="77777777" w:rsidR="001F20B7" w:rsidRDefault="001F20B7" w:rsidP="00473521">
            <w:pPr>
              <w:pBdr>
                <w:top w:val="single" w:sz="6" w:space="0" w:color="FFFFFF"/>
                <w:left w:val="single" w:sz="6" w:space="0" w:color="FFFFFF"/>
                <w:bottom w:val="single" w:sz="6" w:space="0" w:color="FFFFFF"/>
                <w:right w:val="single" w:sz="6" w:space="0" w:color="FFFFFF"/>
              </w:pBdr>
              <w:jc w:val="center"/>
              <w:rPr>
                <w:sz w:val="20"/>
              </w:rPr>
            </w:pPr>
            <w:r>
              <w:rPr>
                <w:sz w:val="20"/>
              </w:rPr>
              <w:t>2.</w:t>
            </w:r>
            <w:r w:rsidR="00473521">
              <w:rPr>
                <w:sz w:val="20"/>
              </w:rPr>
              <w:t>16</w:t>
            </w:r>
          </w:p>
        </w:tc>
      </w:tr>
      <w:tr w:rsidR="001F20B7" w14:paraId="6CAEEF6C" w14:textId="77777777" w:rsidTr="00C52D3C">
        <w:tc>
          <w:tcPr>
            <w:tcW w:w="2970" w:type="dxa"/>
            <w:vAlign w:val="center"/>
          </w:tcPr>
          <w:p w14:paraId="3848DA22"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r>
              <w:rPr>
                <w:sz w:val="20"/>
              </w:rPr>
              <w:t>Report of performance test/retest</w:t>
            </w:r>
          </w:p>
        </w:tc>
        <w:tc>
          <w:tcPr>
            <w:tcW w:w="1260" w:type="dxa"/>
            <w:vAlign w:val="center"/>
          </w:tcPr>
          <w:p w14:paraId="5DE52936" w14:textId="77777777" w:rsidR="001F20B7" w:rsidRDefault="001F20B7" w:rsidP="0047352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r w:rsidR="00473521">
              <w:rPr>
                <w:sz w:val="20"/>
              </w:rPr>
              <w:t>16</w:t>
            </w:r>
          </w:p>
        </w:tc>
        <w:tc>
          <w:tcPr>
            <w:tcW w:w="1111" w:type="dxa"/>
            <w:vAlign w:val="center"/>
          </w:tcPr>
          <w:p w14:paraId="3B6AD4CF"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0C72DB06"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219" w:type="dxa"/>
            <w:vAlign w:val="center"/>
          </w:tcPr>
          <w:p w14:paraId="2D493625" w14:textId="77777777" w:rsidR="001F20B7" w:rsidRDefault="001F20B7" w:rsidP="0047352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r w:rsidR="00473521">
              <w:rPr>
                <w:sz w:val="20"/>
              </w:rPr>
              <w:t>16</w:t>
            </w:r>
          </w:p>
        </w:tc>
      </w:tr>
      <w:tr w:rsidR="001F20B7" w14:paraId="2E22C8B7" w14:textId="77777777" w:rsidTr="00C52D3C">
        <w:tc>
          <w:tcPr>
            <w:tcW w:w="2970" w:type="dxa"/>
            <w:vAlign w:val="center"/>
          </w:tcPr>
          <w:p w14:paraId="0E23F51A"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r>
              <w:rPr>
                <w:sz w:val="20"/>
              </w:rPr>
              <w:t>Semiannual compliance reports</w:t>
            </w:r>
          </w:p>
        </w:tc>
        <w:tc>
          <w:tcPr>
            <w:tcW w:w="1260" w:type="dxa"/>
            <w:vAlign w:val="center"/>
          </w:tcPr>
          <w:p w14:paraId="147EAB7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7</w:t>
            </w:r>
          </w:p>
        </w:tc>
        <w:tc>
          <w:tcPr>
            <w:tcW w:w="1111" w:type="dxa"/>
            <w:vAlign w:val="center"/>
          </w:tcPr>
          <w:p w14:paraId="5A84662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p>
        </w:tc>
        <w:tc>
          <w:tcPr>
            <w:tcW w:w="1890" w:type="dxa"/>
            <w:vAlign w:val="center"/>
          </w:tcPr>
          <w:p w14:paraId="244F6D97"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219" w:type="dxa"/>
            <w:vAlign w:val="center"/>
          </w:tcPr>
          <w:p w14:paraId="162BECA9"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14</w:t>
            </w:r>
          </w:p>
        </w:tc>
      </w:tr>
      <w:tr w:rsidR="001F20B7" w14:paraId="5DBDAC04" w14:textId="77777777" w:rsidTr="00C52D3C">
        <w:tc>
          <w:tcPr>
            <w:tcW w:w="2970" w:type="dxa"/>
            <w:vAlign w:val="center"/>
          </w:tcPr>
          <w:p w14:paraId="077AEC9A"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11D37470"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11" w:type="dxa"/>
            <w:vAlign w:val="center"/>
          </w:tcPr>
          <w:p w14:paraId="7826B1C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7F7EBE89"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219" w:type="dxa"/>
            <w:vAlign w:val="center"/>
          </w:tcPr>
          <w:p w14:paraId="3C60843B"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1F20B7" w14:paraId="34795F2D" w14:textId="77777777" w:rsidTr="00C52D3C">
        <w:tc>
          <w:tcPr>
            <w:tcW w:w="2970" w:type="dxa"/>
          </w:tcPr>
          <w:p w14:paraId="507CF476" w14:textId="77777777" w:rsidR="001F20B7" w:rsidRDefault="001F20B7" w:rsidP="001F20B7">
            <w:pPr>
              <w:spacing w:line="120" w:lineRule="exact"/>
              <w:rPr>
                <w:color w:val="000000"/>
                <w:sz w:val="18"/>
                <w:szCs w:val="18"/>
              </w:rPr>
            </w:pPr>
          </w:p>
          <w:p w14:paraId="64BB38FE"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7D865836" w14:textId="77777777" w:rsidR="001F20B7" w:rsidRDefault="001F20B7" w:rsidP="001F20B7">
            <w:pPr>
              <w:spacing w:line="120" w:lineRule="exact"/>
              <w:rPr>
                <w:color w:val="000000"/>
                <w:sz w:val="18"/>
                <w:szCs w:val="18"/>
              </w:rPr>
            </w:pPr>
          </w:p>
          <w:p w14:paraId="25F31E0F"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11" w:type="dxa"/>
          </w:tcPr>
          <w:p w14:paraId="7AD4E476" w14:textId="77777777" w:rsidR="001F20B7" w:rsidRDefault="001F20B7" w:rsidP="001F20B7">
            <w:pPr>
              <w:spacing w:line="120" w:lineRule="exact"/>
              <w:rPr>
                <w:color w:val="000000"/>
                <w:sz w:val="18"/>
                <w:szCs w:val="18"/>
              </w:rPr>
            </w:pPr>
          </w:p>
          <w:p w14:paraId="544D79DA"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3B488B1E" w14:textId="77777777" w:rsidR="001F20B7" w:rsidRDefault="001F20B7" w:rsidP="001F20B7">
            <w:pPr>
              <w:spacing w:line="120" w:lineRule="exact"/>
              <w:rPr>
                <w:color w:val="000000"/>
                <w:sz w:val="18"/>
                <w:szCs w:val="18"/>
              </w:rPr>
            </w:pPr>
          </w:p>
          <w:p w14:paraId="690DDF74"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219" w:type="dxa"/>
          </w:tcPr>
          <w:p w14:paraId="54425203" w14:textId="77777777" w:rsidR="001F20B7" w:rsidRDefault="001F20B7" w:rsidP="001F20B7">
            <w:pPr>
              <w:spacing w:line="120" w:lineRule="exact"/>
              <w:rPr>
                <w:color w:val="000000"/>
                <w:sz w:val="18"/>
                <w:szCs w:val="18"/>
              </w:rPr>
            </w:pPr>
          </w:p>
          <w:p w14:paraId="0F511403" w14:textId="77777777" w:rsidR="001F20B7" w:rsidRDefault="008E145B" w:rsidP="00134040">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0F7B07">
              <w:rPr>
                <w:sz w:val="20"/>
              </w:rPr>
              <w:t>1</w:t>
            </w:r>
            <w:r w:rsidR="00134040" w:rsidRPr="000F7B07">
              <w:rPr>
                <w:sz w:val="20"/>
              </w:rPr>
              <w:t>8</w:t>
            </w:r>
            <w:r w:rsidR="001F20B7" w:rsidRPr="000F7B07">
              <w:rPr>
                <w:sz w:val="20"/>
              </w:rPr>
              <w:t>.</w:t>
            </w:r>
            <w:r w:rsidR="00134040" w:rsidRPr="000F7B07">
              <w:rPr>
                <w:sz w:val="20"/>
              </w:rPr>
              <w:t>3</w:t>
            </w:r>
            <w:r w:rsidRPr="000F7B07">
              <w:rPr>
                <w:sz w:val="20"/>
              </w:rPr>
              <w:t>2</w:t>
            </w:r>
          </w:p>
        </w:tc>
      </w:tr>
    </w:tbl>
    <w:p w14:paraId="2F45220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366658" w14:textId="77777777" w:rsidR="00CA4CD6" w:rsidRPr="000F7B07"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0F7B07">
        <w:rPr>
          <w:color w:val="000000"/>
        </w:rPr>
        <w:t xml:space="preserve">is </w:t>
      </w:r>
      <w:r w:rsidR="00134040" w:rsidRPr="000F7B07">
        <w:rPr>
          <w:color w:val="000000"/>
        </w:rPr>
        <w:t>18</w:t>
      </w:r>
      <w:r w:rsidRPr="000F7B07">
        <w:rPr>
          <w:color w:val="000000"/>
        </w:rPr>
        <w:t xml:space="preserve">.  </w:t>
      </w:r>
    </w:p>
    <w:p w14:paraId="6400F99C" w14:textId="77777777" w:rsidR="00CA4CD6" w:rsidRPr="000F7B07" w:rsidRDefault="00CA4CD6">
      <w:pPr>
        <w:pBdr>
          <w:top w:val="single" w:sz="6" w:space="0" w:color="FFFFFF"/>
          <w:left w:val="single" w:sz="6" w:space="0" w:color="FFFFFF"/>
          <w:bottom w:val="single" w:sz="6" w:space="0" w:color="FFFFFF"/>
          <w:right w:val="single" w:sz="6" w:space="0" w:color="FFFFFF"/>
        </w:pBdr>
        <w:rPr>
          <w:color w:val="000000"/>
        </w:rPr>
      </w:pPr>
    </w:p>
    <w:p w14:paraId="1474C5FE" w14:textId="6BE011A3"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F7B07">
        <w:rPr>
          <w:color w:val="000000"/>
        </w:rPr>
        <w:t xml:space="preserve">The total annual labor costs </w:t>
      </w:r>
      <w:r w:rsidRPr="00F22FD3">
        <w:rPr>
          <w:color w:val="000000"/>
        </w:rPr>
        <w:t xml:space="preserve">are </w:t>
      </w:r>
      <w:r w:rsidR="008C6279" w:rsidRPr="00F22FD3">
        <w:rPr>
          <w:color w:val="000000"/>
        </w:rPr>
        <w:t>$</w:t>
      </w:r>
      <w:r w:rsidR="008D366E" w:rsidRPr="00F22FD3">
        <w:rPr>
          <w:color w:val="000000"/>
        </w:rPr>
        <w:t>9</w:t>
      </w:r>
      <w:r w:rsidR="00C77049">
        <w:rPr>
          <w:color w:val="000000"/>
        </w:rPr>
        <w:t>5</w:t>
      </w:r>
      <w:r w:rsidR="00CC45C6" w:rsidRPr="00F22FD3">
        <w:rPr>
          <w:color w:val="000000"/>
        </w:rPr>
        <w:t>,</w:t>
      </w:r>
      <w:r w:rsidR="00C77049">
        <w:rPr>
          <w:color w:val="000000"/>
        </w:rPr>
        <w:t>5</w:t>
      </w:r>
      <w:r w:rsidR="0078747C" w:rsidRPr="00F22FD3">
        <w:rPr>
          <w:color w:val="000000"/>
        </w:rPr>
        <w:t>00</w:t>
      </w:r>
      <w:r w:rsidRPr="00F22FD3">
        <w:rPr>
          <w:color w:val="000000"/>
        </w:rPr>
        <w:t>.</w:t>
      </w:r>
      <w:r w:rsidR="00507EC5" w:rsidRPr="008D366E">
        <w:rPr>
          <w:color w:val="000000"/>
        </w:rPr>
        <w:t xml:space="preserve">  </w:t>
      </w:r>
      <w:r w:rsidRPr="008D366E">
        <w:rPr>
          <w:color w:val="000000"/>
        </w:rPr>
        <w:t>Details</w:t>
      </w:r>
      <w:r w:rsidRPr="00450456">
        <w:rPr>
          <w:color w:val="000000"/>
        </w:rPr>
        <w:t xml:space="preserve"> regarding these estimates may be found </w:t>
      </w:r>
      <w:r w:rsidR="007A458D" w:rsidRPr="00450456">
        <w:rPr>
          <w:color w:val="000000"/>
        </w:rPr>
        <w:t xml:space="preserve">below </w:t>
      </w:r>
      <w:r w:rsidR="0035325B" w:rsidRPr="00450456">
        <w:rPr>
          <w:color w:val="000000"/>
        </w:rPr>
        <w:t>in Table 1:</w:t>
      </w:r>
      <w:r w:rsidRPr="00450456">
        <w:rPr>
          <w:color w:val="000000"/>
        </w:rPr>
        <w:t xml:space="preserve"> Annual Respondent Burden and Cost</w:t>
      </w:r>
      <w:r w:rsidR="00CF2B37" w:rsidRPr="00450456">
        <w:rPr>
          <w:color w:val="000000"/>
        </w:rPr>
        <w:t xml:space="preserve"> –</w:t>
      </w:r>
      <w:r w:rsidRPr="00450456">
        <w:rPr>
          <w:color w:val="000000"/>
        </w:rPr>
        <w:t xml:space="preserve"> </w:t>
      </w:r>
      <w:r w:rsidR="00E769F5" w:rsidRPr="00450456">
        <w:rPr>
          <w:bCs/>
        </w:rPr>
        <w:t>NESHAP for Wet-formed Fiberglass Mat Production (40 CFR Part 63, Subpart HHHH) (Renewal).</w:t>
      </w:r>
    </w:p>
    <w:p w14:paraId="5EDC5F76"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FF0000"/>
        </w:rPr>
      </w:pPr>
    </w:p>
    <w:p w14:paraId="474728EE" w14:textId="77777777"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0456">
        <w:rPr>
          <w:b/>
          <w:bCs/>
          <w:color w:val="000000"/>
        </w:rPr>
        <w:t>6(e)  Bottom Line Burden Hours and Cost Tables</w:t>
      </w:r>
    </w:p>
    <w:p w14:paraId="0FF9FDFE"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0491B05A" w14:textId="77777777"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 xml:space="preserve">The detailed bottom line burden hours and cost calculations for the respondents and the Agency are shown in Tables 1 and 2, respectively, and summarized below.  </w:t>
      </w:r>
    </w:p>
    <w:p w14:paraId="64270D36"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4932CA60" w14:textId="77777777" w:rsidR="00CA4CD6" w:rsidRPr="0045045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450456">
        <w:rPr>
          <w:b/>
          <w:bCs/>
          <w:color w:val="000000"/>
        </w:rPr>
        <w:t>(i) Respondent Tally</w:t>
      </w:r>
    </w:p>
    <w:p w14:paraId="3C8AA515"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2DEBF929" w14:textId="435E2F91" w:rsidR="00144F35" w:rsidRPr="0045045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 xml:space="preserve">The total annual labor </w:t>
      </w:r>
      <w:r w:rsidR="002C416A" w:rsidRPr="00450456">
        <w:rPr>
          <w:color w:val="000000"/>
        </w:rPr>
        <w:t xml:space="preserve">hours </w:t>
      </w:r>
      <w:r w:rsidR="002C416A" w:rsidRPr="00F22FD3">
        <w:rPr>
          <w:color w:val="000000"/>
        </w:rPr>
        <w:t>are</w:t>
      </w:r>
      <w:r w:rsidRPr="00F22FD3">
        <w:rPr>
          <w:color w:val="000000"/>
        </w:rPr>
        <w:t xml:space="preserve"> </w:t>
      </w:r>
      <w:r w:rsidR="008E145B" w:rsidRPr="00F22FD3">
        <w:rPr>
          <w:color w:val="000000"/>
        </w:rPr>
        <w:t>1</w:t>
      </w:r>
      <w:r w:rsidR="00CC45C6" w:rsidRPr="00F22FD3">
        <w:rPr>
          <w:color w:val="000000"/>
        </w:rPr>
        <w:t>,</w:t>
      </w:r>
      <w:r w:rsidR="00C77049">
        <w:rPr>
          <w:color w:val="000000"/>
        </w:rPr>
        <w:t>47</w:t>
      </w:r>
      <w:r w:rsidR="0078747C" w:rsidRPr="00F22FD3">
        <w:rPr>
          <w:color w:val="000000"/>
        </w:rPr>
        <w:t>0</w:t>
      </w:r>
      <w:r w:rsidRPr="00F22FD3">
        <w:rPr>
          <w:color w:val="000000"/>
        </w:rPr>
        <w:t>.</w:t>
      </w:r>
      <w:r w:rsidR="00781276" w:rsidRPr="00F22FD3">
        <w:rPr>
          <w:color w:val="000000"/>
        </w:rPr>
        <w:t xml:space="preserve"> </w:t>
      </w:r>
      <w:r w:rsidRPr="00F22FD3">
        <w:rPr>
          <w:color w:val="000000"/>
        </w:rPr>
        <w:t>Details</w:t>
      </w:r>
      <w:r w:rsidRPr="00450456">
        <w:rPr>
          <w:color w:val="000000"/>
        </w:rPr>
        <w:t xml:space="preserve"> regarding these estimates may be found </w:t>
      </w:r>
      <w:r w:rsidR="00D30388" w:rsidRPr="00450456">
        <w:rPr>
          <w:color w:val="000000"/>
        </w:rPr>
        <w:t xml:space="preserve">below </w:t>
      </w:r>
      <w:r w:rsidRPr="00450456">
        <w:rPr>
          <w:color w:val="000000"/>
        </w:rPr>
        <w:t xml:space="preserve">in </w:t>
      </w:r>
      <w:r w:rsidR="00E769F5" w:rsidRPr="00450456">
        <w:rPr>
          <w:color w:val="000000"/>
        </w:rPr>
        <w:t xml:space="preserve">Table 1: Annual Respondent Burden and Cost – </w:t>
      </w:r>
      <w:r w:rsidR="00E769F5" w:rsidRPr="00450456">
        <w:rPr>
          <w:bCs/>
        </w:rPr>
        <w:t>NESHAP for Wet-formed Fiberglass Mat Production (40 CFR Part 63, Subpart HHHH) (</w:t>
      </w:r>
      <w:r w:rsidR="000513E6">
        <w:rPr>
          <w:bCs/>
        </w:rPr>
        <w:t>Final Rule</w:t>
      </w:r>
      <w:r w:rsidR="00E769F5" w:rsidRPr="00450456">
        <w:rPr>
          <w:bCs/>
        </w:rPr>
        <w:t>).</w:t>
      </w:r>
      <w:r w:rsidRPr="00450456">
        <w:rPr>
          <w:color w:val="000000"/>
        </w:rPr>
        <w:t xml:space="preserve">  </w:t>
      </w:r>
    </w:p>
    <w:p w14:paraId="50C26E43" w14:textId="77777777" w:rsidR="00D30388" w:rsidRPr="00450456" w:rsidRDefault="00D30388" w:rsidP="0021722B">
      <w:pPr>
        <w:pBdr>
          <w:top w:val="single" w:sz="6" w:space="0" w:color="FFFFFF"/>
          <w:left w:val="single" w:sz="6" w:space="0" w:color="FFFFFF"/>
          <w:bottom w:val="single" w:sz="6" w:space="0" w:color="FFFFFF"/>
          <w:right w:val="single" w:sz="6" w:space="0" w:color="FFFFFF"/>
        </w:pBdr>
        <w:ind w:firstLine="720"/>
        <w:rPr>
          <w:color w:val="000000"/>
        </w:rPr>
      </w:pPr>
    </w:p>
    <w:p w14:paraId="4E0CEE69" w14:textId="77777777" w:rsidR="00D30388" w:rsidRPr="00450456" w:rsidRDefault="00D30388" w:rsidP="0021722B">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61230577" w14:textId="77777777" w:rsidR="00144F35" w:rsidRPr="00450456"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7957F79" w14:textId="52A5F512" w:rsidR="00CA4CD6" w:rsidRPr="000F7B07"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 xml:space="preserve">Furthermore, the annual public reporting and recordkeeping burden for this collection of information is estimated to </w:t>
      </w:r>
      <w:r w:rsidRPr="00F22FD3">
        <w:rPr>
          <w:color w:val="000000"/>
        </w:rPr>
        <w:t xml:space="preserve">average </w:t>
      </w:r>
      <w:r w:rsidR="00E50952" w:rsidRPr="00F22FD3">
        <w:rPr>
          <w:color w:val="000000"/>
        </w:rPr>
        <w:t>8</w:t>
      </w:r>
      <w:r w:rsidR="00E50952">
        <w:rPr>
          <w:color w:val="000000"/>
        </w:rPr>
        <w:t>0</w:t>
      </w:r>
      <w:r w:rsidR="00E50952" w:rsidRPr="00F22FD3">
        <w:rPr>
          <w:color w:val="000000"/>
        </w:rPr>
        <w:t xml:space="preserve"> </w:t>
      </w:r>
      <w:r w:rsidRPr="00F22FD3">
        <w:rPr>
          <w:color w:val="000000"/>
        </w:rPr>
        <w:t>hours</w:t>
      </w:r>
      <w:r w:rsidRPr="000F7B07">
        <w:rPr>
          <w:color w:val="000000"/>
        </w:rPr>
        <w:t xml:space="preserve"> per response</w:t>
      </w:r>
      <w:r w:rsidR="0021722B" w:rsidRPr="000F7B07">
        <w:rPr>
          <w:color w:val="000000"/>
        </w:rPr>
        <w:t>.</w:t>
      </w:r>
    </w:p>
    <w:p w14:paraId="5D48053E" w14:textId="77777777" w:rsidR="0021722B" w:rsidRPr="000F7B07"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EFE15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F7B07">
        <w:rPr>
          <w:color w:val="000000"/>
        </w:rPr>
        <w:t>The total annual capital/startup and O&amp;M costs to</w:t>
      </w:r>
      <w:r>
        <w:rPr>
          <w:color w:val="000000"/>
        </w:rPr>
        <w:t xml:space="preserve"> the regulated entity are </w:t>
      </w:r>
      <w:r w:rsidR="00E769F5">
        <w:rPr>
          <w:color w:val="000000"/>
        </w:rPr>
        <w:t>$0</w:t>
      </w:r>
      <w:r w:rsidR="00507EC5">
        <w:rPr>
          <w:color w:val="000000"/>
        </w:rPr>
        <w:t xml:space="preserve">. </w:t>
      </w:r>
      <w:r>
        <w:rPr>
          <w:color w:val="000000"/>
        </w:rPr>
        <w:t>The cost calculations are detailed in Section 6(b)(iii), Capital/Startup vs. Operation and Maintenance (O&amp;M) Costs.</w:t>
      </w:r>
    </w:p>
    <w:p w14:paraId="649A4A5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0E22607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57DAA66B"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7A2F28C4" w14:textId="29854D18" w:rsidR="00CA4CD6" w:rsidRPr="00781276" w:rsidRDefault="00CA4CD6" w:rsidP="00144F35">
      <w:pPr>
        <w:pBdr>
          <w:top w:val="single" w:sz="6" w:space="0" w:color="FFFFFF"/>
          <w:left w:val="single" w:sz="6" w:space="0" w:color="FFFFFF"/>
          <w:bottom w:val="single" w:sz="6" w:space="0" w:color="FFFFFF"/>
          <w:right w:val="single" w:sz="6" w:space="0" w:color="FFFFFF"/>
        </w:pBdr>
        <w:ind w:firstLine="720"/>
      </w:pPr>
      <w:r w:rsidRPr="00781276">
        <w:t xml:space="preserve">The average annual Agency burden and cost over </w:t>
      </w:r>
      <w:r w:rsidR="004A50C3" w:rsidRPr="00781276">
        <w:t xml:space="preserve">the </w:t>
      </w:r>
      <w:r w:rsidRPr="00781276">
        <w:t xml:space="preserve">next </w:t>
      </w:r>
      <w:r w:rsidR="004A50C3" w:rsidRPr="00781276">
        <w:t xml:space="preserve">3 </w:t>
      </w:r>
      <w:r w:rsidRPr="00781276">
        <w:t xml:space="preserve">years is estimated to be </w:t>
      </w:r>
      <w:r w:rsidR="00DF74CD" w:rsidRPr="00781276">
        <w:t>180</w:t>
      </w:r>
      <w:r w:rsidR="001D5B68" w:rsidRPr="00781276">
        <w:t xml:space="preserve"> </w:t>
      </w:r>
      <w:r w:rsidRPr="00781276">
        <w:t xml:space="preserve">labor hours at a </w:t>
      </w:r>
      <w:r w:rsidRPr="0019774E">
        <w:t xml:space="preserve">cost of </w:t>
      </w:r>
      <w:r w:rsidR="00DA0EAB" w:rsidRPr="0019774E">
        <w:t>$</w:t>
      </w:r>
      <w:r w:rsidR="00DF74CD" w:rsidRPr="0019774E">
        <w:t>8</w:t>
      </w:r>
      <w:r w:rsidR="00DA0EAB" w:rsidRPr="0019774E">
        <w:t>,</w:t>
      </w:r>
      <w:r w:rsidR="00DF74CD" w:rsidRPr="0019774E">
        <w:t>4</w:t>
      </w:r>
      <w:r w:rsidR="00224448">
        <w:t>0</w:t>
      </w:r>
      <w:r w:rsidR="001D5B68" w:rsidRPr="0019774E">
        <w:t>0</w:t>
      </w:r>
      <w:r w:rsidR="00144F35" w:rsidRPr="0019774E">
        <w:t>. See</w:t>
      </w:r>
      <w:r w:rsidR="00144F35" w:rsidRPr="00781276">
        <w:t xml:space="preserve"> Table 2: </w:t>
      </w:r>
      <w:r w:rsidR="00CF2B37" w:rsidRPr="00781276">
        <w:t>Average Annual EPA Burden and Cost –</w:t>
      </w:r>
      <w:r w:rsidR="00144F35" w:rsidRPr="00781276">
        <w:t xml:space="preserve"> </w:t>
      </w:r>
      <w:r w:rsidR="00E769F5" w:rsidRPr="00781276">
        <w:rPr>
          <w:bCs/>
        </w:rPr>
        <w:t>NESHAP for Wet-formed Fiberglass Mat Production (40 CFR Part 63, Subpart HHHH) (Renewal).</w:t>
      </w:r>
    </w:p>
    <w:p w14:paraId="7E3BD57E"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587A515C" w14:textId="5C5B75E0" w:rsidR="00676820" w:rsidRPr="00781276" w:rsidRDefault="00676820" w:rsidP="00781276">
      <w:pPr>
        <w:pBdr>
          <w:top w:val="single" w:sz="6" w:space="0" w:color="FFFFFF"/>
          <w:left w:val="single" w:sz="6" w:space="0" w:color="FFFFFF"/>
          <w:bottom w:val="single" w:sz="6" w:space="0" w:color="FFFFFF"/>
          <w:right w:val="single" w:sz="6" w:space="0" w:color="FFFFFF"/>
        </w:pBdr>
        <w:ind w:firstLine="720"/>
      </w:pPr>
      <w:r w:rsidRPr="0078127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rsidR="00781276">
        <w:t xml:space="preserve"> </w:t>
      </w:r>
    </w:p>
    <w:p w14:paraId="679029BC" w14:textId="77777777" w:rsidR="00676820" w:rsidRPr="00781276" w:rsidRDefault="00676820">
      <w:pPr>
        <w:pBdr>
          <w:top w:val="single" w:sz="6" w:space="0" w:color="FFFFFF"/>
          <w:left w:val="single" w:sz="6" w:space="0" w:color="FFFFFF"/>
          <w:bottom w:val="single" w:sz="6" w:space="0" w:color="FFFFFF"/>
          <w:right w:val="single" w:sz="6" w:space="0" w:color="FFFFFF"/>
        </w:pBdr>
        <w:ind w:firstLine="720"/>
        <w:rPr>
          <w:b/>
          <w:bCs/>
        </w:rPr>
      </w:pPr>
    </w:p>
    <w:p w14:paraId="209E000B" w14:textId="77777777" w:rsidR="00CA4CD6" w:rsidRPr="00781276" w:rsidRDefault="00CA4CD6">
      <w:pPr>
        <w:pBdr>
          <w:top w:val="single" w:sz="6" w:space="0" w:color="FFFFFF"/>
          <w:left w:val="single" w:sz="6" w:space="0" w:color="FFFFFF"/>
          <w:bottom w:val="single" w:sz="6" w:space="0" w:color="FFFFFF"/>
          <w:right w:val="single" w:sz="6" w:space="0" w:color="FFFFFF"/>
        </w:pBdr>
        <w:ind w:firstLine="720"/>
      </w:pPr>
      <w:r w:rsidRPr="00781276">
        <w:rPr>
          <w:b/>
          <w:bCs/>
        </w:rPr>
        <w:t>6(f)  Reasons for Change in Burden</w:t>
      </w:r>
    </w:p>
    <w:p w14:paraId="68746B4D"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554569D9" w14:textId="25209DCB" w:rsidR="0065555D" w:rsidRDefault="00DA0EAB" w:rsidP="0065555D">
      <w:pPr>
        <w:ind w:firstLine="720"/>
      </w:pPr>
      <w:bookmarkStart w:id="1" w:name="_Hlk532466665"/>
      <w:r w:rsidRPr="00781276">
        <w:t>Th</w:t>
      </w:r>
      <w:r w:rsidR="00A65EF9">
        <w:t>e</w:t>
      </w:r>
      <w:r w:rsidR="0065555D" w:rsidRPr="00781276">
        <w:t xml:space="preserve"> amendments to the NESHAP for Wet-Formed Fiberglass Mat Production (40 CFR, Part 63, Subpart HHHH)</w:t>
      </w:r>
      <w:r w:rsidR="00A65EF9">
        <w:t xml:space="preserve"> addressed in this ICR</w:t>
      </w:r>
      <w:r w:rsidR="0065555D" w:rsidRPr="00781276">
        <w:t xml:space="preserve"> (1) adjust references to the Part 63 General Provisions </w:t>
      </w:r>
      <w:r w:rsidR="0065555D" w:rsidRPr="00C3612F">
        <w:t>(40 CFR, Part 63, Subpart A) and revise</w:t>
      </w:r>
      <w:r w:rsidR="0065555D">
        <w:t xml:space="preserve"> provisions in the NESHAP (40 CFR Part 63, Subpart HHHH) </w:t>
      </w:r>
      <w:r w:rsidR="0065555D" w:rsidRPr="000D04B9">
        <w:t xml:space="preserve">to remove the </w:t>
      </w:r>
      <w:r w:rsidR="0065555D">
        <w:t>SSM</w:t>
      </w:r>
      <w:r w:rsidR="0065555D" w:rsidRPr="000D04B9">
        <w:t xml:space="preserve"> exemption</w:t>
      </w:r>
      <w:r w:rsidR="0065555D">
        <w:t xml:space="preserve"> and SSM plan and </w:t>
      </w:r>
      <w:r w:rsidR="00C3612F">
        <w:t xml:space="preserve">periodic </w:t>
      </w:r>
      <w:r w:rsidR="0065555D">
        <w:t>report requirements</w:t>
      </w:r>
      <w:r w:rsidR="0065555D" w:rsidRPr="000D04B9">
        <w:t>;</w:t>
      </w:r>
      <w:r w:rsidR="0065555D">
        <w:rPr>
          <w:color w:val="000000"/>
        </w:rPr>
        <w:t xml:space="preserve"> </w:t>
      </w:r>
      <w:r w:rsidR="00C3612F">
        <w:rPr>
          <w:color w:val="000000"/>
        </w:rPr>
        <w:t xml:space="preserve">(2) </w:t>
      </w:r>
      <w:r w:rsidR="000F1770">
        <w:rPr>
          <w:color w:val="000000"/>
        </w:rPr>
        <w:t>require</w:t>
      </w:r>
      <w:r w:rsidR="0065555D">
        <w:rPr>
          <w:color w:val="000000"/>
        </w:rPr>
        <w:t xml:space="preserve"> electronic submittal of performance test re</w:t>
      </w:r>
      <w:r w:rsidR="000D64AA">
        <w:rPr>
          <w:color w:val="000000"/>
        </w:rPr>
        <w:t>sult</w:t>
      </w:r>
      <w:r w:rsidR="0065555D">
        <w:rPr>
          <w:color w:val="000000"/>
        </w:rPr>
        <w:t xml:space="preserve">s; </w:t>
      </w:r>
      <w:r w:rsidR="00590480">
        <w:rPr>
          <w:color w:val="000000"/>
        </w:rPr>
        <w:t xml:space="preserve">(3) reduce the frequency of compliance reports </w:t>
      </w:r>
      <w:r w:rsidR="002050D8">
        <w:rPr>
          <w:color w:val="000000"/>
        </w:rPr>
        <w:t xml:space="preserve">from a quarterly basis </w:t>
      </w:r>
      <w:r w:rsidR="00590480">
        <w:rPr>
          <w:color w:val="000000"/>
        </w:rPr>
        <w:t xml:space="preserve">to a semiannual basis when there are deviations from applicable standards; </w:t>
      </w:r>
      <w:r w:rsidR="00A14F7B">
        <w:rPr>
          <w:color w:val="000000"/>
        </w:rPr>
        <w:t xml:space="preserve">(4) </w:t>
      </w:r>
      <w:r w:rsidR="00A14F7B">
        <w:rPr>
          <w:rFonts w:cs="Courier New"/>
        </w:rPr>
        <w:t xml:space="preserve">reduce </w:t>
      </w:r>
      <w:r w:rsidR="00A14F7B">
        <w:rPr>
          <w:iCs/>
        </w:rPr>
        <w:t>the p</w:t>
      </w:r>
      <w:r w:rsidR="00A14F7B" w:rsidRPr="00252745">
        <w:rPr>
          <w:color w:val="000000"/>
        </w:rPr>
        <w:t xml:space="preserve">arameter </w:t>
      </w:r>
      <w:r w:rsidR="00A14F7B">
        <w:rPr>
          <w:color w:val="000000"/>
        </w:rPr>
        <w:t>m</w:t>
      </w:r>
      <w:r w:rsidR="00A14F7B" w:rsidRPr="00252745">
        <w:rPr>
          <w:color w:val="000000"/>
        </w:rPr>
        <w:t xml:space="preserve">onitoring and </w:t>
      </w:r>
      <w:r w:rsidR="00A14F7B">
        <w:rPr>
          <w:color w:val="000000"/>
        </w:rPr>
        <w:t>r</w:t>
      </w:r>
      <w:r w:rsidR="00A14F7B" w:rsidRPr="00252745">
        <w:rPr>
          <w:color w:val="000000"/>
        </w:rPr>
        <w:t xml:space="preserve">ecording </w:t>
      </w:r>
      <w:r w:rsidR="00A14F7B">
        <w:rPr>
          <w:color w:val="000000"/>
        </w:rPr>
        <w:t>requirements d</w:t>
      </w:r>
      <w:r w:rsidR="00A14F7B" w:rsidRPr="00252745">
        <w:rPr>
          <w:color w:val="000000"/>
        </w:rPr>
        <w:t xml:space="preserve">uring </w:t>
      </w:r>
      <w:r w:rsidR="00A14F7B">
        <w:rPr>
          <w:color w:val="000000"/>
        </w:rPr>
        <w:t>use of b</w:t>
      </w:r>
      <w:r w:rsidR="00A14F7B" w:rsidRPr="00252745">
        <w:rPr>
          <w:color w:val="000000"/>
        </w:rPr>
        <w:t xml:space="preserve">inder </w:t>
      </w:r>
      <w:r w:rsidR="00A14F7B">
        <w:rPr>
          <w:color w:val="000000"/>
        </w:rPr>
        <w:t>c</w:t>
      </w:r>
      <w:r w:rsidR="00A14F7B" w:rsidRPr="00252745">
        <w:rPr>
          <w:color w:val="000000"/>
        </w:rPr>
        <w:t xml:space="preserve">ontaining </w:t>
      </w:r>
      <w:r w:rsidR="00A14F7B">
        <w:rPr>
          <w:color w:val="000000"/>
        </w:rPr>
        <w:t>n</w:t>
      </w:r>
      <w:r w:rsidR="00A14F7B" w:rsidRPr="00252745">
        <w:rPr>
          <w:color w:val="000000"/>
        </w:rPr>
        <w:t>o HAP</w:t>
      </w:r>
      <w:r w:rsidR="00A14F7B">
        <w:rPr>
          <w:color w:val="000000"/>
        </w:rPr>
        <w:t xml:space="preserve">; </w:t>
      </w:r>
      <w:r w:rsidR="0065555D">
        <w:rPr>
          <w:color w:val="000000"/>
        </w:rPr>
        <w:t xml:space="preserve">and </w:t>
      </w:r>
      <w:r w:rsidR="00C3612F">
        <w:rPr>
          <w:color w:val="000000"/>
        </w:rPr>
        <w:t>(</w:t>
      </w:r>
      <w:r w:rsidR="00A14F7B">
        <w:rPr>
          <w:color w:val="000000"/>
        </w:rPr>
        <w:t>5</w:t>
      </w:r>
      <w:r w:rsidR="00C3612F">
        <w:rPr>
          <w:color w:val="000000"/>
        </w:rPr>
        <w:t xml:space="preserve">) make </w:t>
      </w:r>
      <w:r w:rsidR="0065555D">
        <w:rPr>
          <w:color w:val="000000"/>
        </w:rPr>
        <w:t>technical and editorial changes</w:t>
      </w:r>
      <w:r w:rsidR="00C5364A">
        <w:rPr>
          <w:color w:val="000000"/>
        </w:rPr>
        <w:t>.</w:t>
      </w:r>
      <w:r w:rsidR="0065555D" w:rsidRPr="000D04B9">
        <w:t xml:space="preserve"> </w:t>
      </w:r>
      <w:r w:rsidR="0065555D">
        <w:t>Where applicable, a</w:t>
      </w:r>
      <w:r w:rsidR="0065555D" w:rsidRPr="000D04B9">
        <w:t xml:space="preserve">djustments for these amendments are reflected </w:t>
      </w:r>
      <w:r w:rsidR="0065555D">
        <w:t>in Tables 1 and 2 of this ICR.</w:t>
      </w:r>
    </w:p>
    <w:p w14:paraId="62FA93DB" w14:textId="77777777" w:rsidR="0065555D" w:rsidRPr="000D04B9" w:rsidRDefault="0065555D" w:rsidP="0065555D">
      <w:pPr>
        <w:ind w:firstLine="720"/>
      </w:pPr>
    </w:p>
    <w:p w14:paraId="42071339" w14:textId="4FA164D5" w:rsidR="0065555D" w:rsidRPr="000D04B9" w:rsidRDefault="0065555D" w:rsidP="0065555D">
      <w:pPr>
        <w:ind w:firstLine="720"/>
      </w:pPr>
      <w:r w:rsidRPr="000D04B9">
        <w:t xml:space="preserve">The number of </w:t>
      </w:r>
      <w:r w:rsidR="00C3612F">
        <w:t xml:space="preserve">facilities </w:t>
      </w:r>
      <w:r w:rsidR="00253454">
        <w:t xml:space="preserve">subject to the standards </w:t>
      </w:r>
      <w:r w:rsidRPr="000D04B9">
        <w:t xml:space="preserve">changed </w:t>
      </w:r>
      <w:r w:rsidR="0032074B">
        <w:t>b</w:t>
      </w:r>
      <w:r w:rsidR="0032074B">
        <w:rPr>
          <w:color w:val="000000"/>
        </w:rPr>
        <w:t xml:space="preserve">ased on consultation with industry representatives and state/local agencies. </w:t>
      </w:r>
      <w:r w:rsidR="00253454">
        <w:rPr>
          <w:color w:val="000000"/>
        </w:rPr>
        <w:t>C</w:t>
      </w:r>
      <w:r w:rsidRPr="000D04B9">
        <w:t>onsolidation</w:t>
      </w:r>
      <w:r w:rsidR="00A95CCB">
        <w:t xml:space="preserve"> within the industry and instances where facilities reduced their HAP emissions to below major source thresholds prior to the compliance date </w:t>
      </w:r>
      <w:r w:rsidRPr="000D04B9">
        <w:t xml:space="preserve">reduced the number of </w:t>
      </w:r>
      <w:r w:rsidR="00253454">
        <w:t>affected facilities</w:t>
      </w:r>
      <w:r w:rsidRPr="000D04B9">
        <w:t xml:space="preserve"> </w:t>
      </w:r>
      <w:r w:rsidR="00253454">
        <w:t xml:space="preserve">to </w:t>
      </w:r>
      <w:r w:rsidR="00C3612F">
        <w:rPr>
          <w:color w:val="000000"/>
        </w:rPr>
        <w:t xml:space="preserve">seven </w:t>
      </w:r>
      <w:r w:rsidR="00253454">
        <w:rPr>
          <w:color w:val="000000"/>
        </w:rPr>
        <w:t>that are</w:t>
      </w:r>
      <w:r w:rsidR="00C3612F">
        <w:rPr>
          <w:color w:val="000000"/>
        </w:rPr>
        <w:t xml:space="preserve"> </w:t>
      </w:r>
      <w:r w:rsidR="00A95CCB">
        <w:rPr>
          <w:color w:val="000000"/>
        </w:rPr>
        <w:t xml:space="preserve">currently </w:t>
      </w:r>
      <w:r w:rsidR="00C3612F">
        <w:rPr>
          <w:color w:val="000000"/>
        </w:rPr>
        <w:t xml:space="preserve">subject to the standards. Five facilities have one affected drying and curing oven each and two facilities have two affected drying and curing </w:t>
      </w:r>
      <w:r w:rsidR="00C3612F" w:rsidRPr="00473521">
        <w:rPr>
          <w:color w:val="000000"/>
        </w:rPr>
        <w:t>ovens each.</w:t>
      </w:r>
    </w:p>
    <w:p w14:paraId="2479434E" w14:textId="77777777" w:rsidR="0065555D" w:rsidRPr="000D04B9" w:rsidRDefault="0065555D" w:rsidP="0065555D">
      <w:pPr>
        <w:ind w:firstLine="720"/>
      </w:pPr>
    </w:p>
    <w:p w14:paraId="5B17D9C1" w14:textId="43F4FD3F" w:rsidR="00835FC4" w:rsidRDefault="00A65EF9" w:rsidP="0065555D">
      <w:pPr>
        <w:pBdr>
          <w:top w:val="single" w:sz="6" w:space="0" w:color="FFFFFF"/>
          <w:left w:val="single" w:sz="6" w:space="0" w:color="FFFFFF"/>
          <w:bottom w:val="single" w:sz="6" w:space="0" w:color="FFFFFF"/>
          <w:right w:val="single" w:sz="6" w:space="0" w:color="FFFFFF"/>
        </w:pBdr>
        <w:ind w:firstLine="720"/>
        <w:rPr>
          <w:color w:val="000000"/>
        </w:rPr>
      </w:pPr>
      <w:r>
        <w:t>T</w:t>
      </w:r>
      <w:r w:rsidR="0065555D">
        <w:t xml:space="preserve">he burden estimate for reading and understanding </w:t>
      </w:r>
      <w:r w:rsidR="0065555D" w:rsidRPr="00F22FD3">
        <w:t xml:space="preserve">the rule requirements was </w:t>
      </w:r>
      <w:r w:rsidR="00450456" w:rsidRPr="00F22FD3">
        <w:t>adjusted</w:t>
      </w:r>
      <w:r w:rsidR="0065555D" w:rsidRPr="00F22FD3">
        <w:t xml:space="preserve"> to reflect the time it would take industry to review the amended rule</w:t>
      </w:r>
      <w:r w:rsidR="00F22FD3">
        <w:t>,</w:t>
      </w:r>
      <w:r w:rsidR="00F22FD3" w:rsidRPr="00F22FD3">
        <w:t xml:space="preserve"> including </w:t>
      </w:r>
      <w:r w:rsidR="00F22FD3">
        <w:t xml:space="preserve">becoming familiar with </w:t>
      </w:r>
      <w:r w:rsidR="00F22FD3" w:rsidRPr="00F22FD3">
        <w:t>the new requirement to electronically submit performance test results</w:t>
      </w:r>
      <w:r w:rsidR="0065555D" w:rsidRPr="00F22FD3">
        <w:t xml:space="preserve">. </w:t>
      </w:r>
      <w:r w:rsidR="00B267C5" w:rsidRPr="00F22FD3">
        <w:t>Burden estimates were removed</w:t>
      </w:r>
      <w:r w:rsidR="00B267C5" w:rsidRPr="002050D8">
        <w:t xml:space="preserve"> for developing SSM plans and submitting periodic SSM reports.</w:t>
      </w:r>
      <w:r w:rsidR="00B267C5">
        <w:t xml:space="preserve"> </w:t>
      </w:r>
      <w:r w:rsidR="00C77049">
        <w:t xml:space="preserve">We estimate that the burden associated with </w:t>
      </w:r>
      <w:r w:rsidR="00D6284E">
        <w:t>the</w:t>
      </w:r>
      <w:r w:rsidR="00C77049">
        <w:t xml:space="preserve"> separate recordkeeping requirements for periods of SSM </w:t>
      </w:r>
      <w:r w:rsidR="00D6284E">
        <w:t xml:space="preserve">that are being removed </w:t>
      </w:r>
      <w:r w:rsidR="00992A4D">
        <w:t xml:space="preserve">to be approximately the same as the burden associated with </w:t>
      </w:r>
      <w:r w:rsidR="00D6284E">
        <w:t xml:space="preserve">the </w:t>
      </w:r>
      <w:r w:rsidR="00992A4D">
        <w:t xml:space="preserve">recordkeeping requirements for </w:t>
      </w:r>
      <w:r w:rsidR="00EA7B18">
        <w:t xml:space="preserve">deviations from rule requirements and, therefore, did not adjust burden for </w:t>
      </w:r>
      <w:r w:rsidR="00D6284E">
        <w:t>recordkeeping and semiannual compliance reporting</w:t>
      </w:r>
      <w:r w:rsidR="00EA7B18">
        <w:t>.</w:t>
      </w:r>
      <w:r w:rsidR="00992A4D">
        <w:t xml:space="preserve"> </w:t>
      </w:r>
      <w:r w:rsidR="00A243A4">
        <w:t>The</w:t>
      </w:r>
      <w:r w:rsidR="00A13EDF">
        <w:t xml:space="preserve"> b</w:t>
      </w:r>
      <w:r w:rsidR="0065555D">
        <w:t xml:space="preserve">urden estimate </w:t>
      </w:r>
      <w:r w:rsidR="00A243A4">
        <w:t xml:space="preserve">for performance test report submittal </w:t>
      </w:r>
      <w:r w:rsidR="0065555D">
        <w:t>w</w:t>
      </w:r>
      <w:r w:rsidR="00A13EDF">
        <w:t>as</w:t>
      </w:r>
      <w:r w:rsidR="0065555D">
        <w:t xml:space="preserve"> </w:t>
      </w:r>
      <w:r w:rsidR="00B267C5">
        <w:t>not adjusted t</w:t>
      </w:r>
      <w:r w:rsidR="00A243A4">
        <w:t>o account for the new requirement that</w:t>
      </w:r>
      <w:r w:rsidR="0065555D">
        <w:t xml:space="preserve"> </w:t>
      </w:r>
      <w:r w:rsidR="00A243A4">
        <w:t xml:space="preserve">results of performance tests </w:t>
      </w:r>
      <w:r w:rsidR="00257AF1">
        <w:t xml:space="preserve">would </w:t>
      </w:r>
      <w:r w:rsidR="00A243A4">
        <w:t>be</w:t>
      </w:r>
      <w:r w:rsidR="0065555D">
        <w:t xml:space="preserve"> report</w:t>
      </w:r>
      <w:r w:rsidR="00A243A4">
        <w:t>ed electronically</w:t>
      </w:r>
      <w:r w:rsidR="0065555D">
        <w:t xml:space="preserve"> through CEDRI using the ERT</w:t>
      </w:r>
      <w:r w:rsidR="00FE4CC6">
        <w:t>. T</w:t>
      </w:r>
      <w:r w:rsidR="00B267C5">
        <w:t xml:space="preserve">he burden estimate of four hours in the current ICR </w:t>
      </w:r>
      <w:r w:rsidR="00FE4CC6">
        <w:t>for</w:t>
      </w:r>
      <w:r w:rsidR="00B267C5">
        <w:t xml:space="preserve"> </w:t>
      </w:r>
      <w:r w:rsidR="00FE4CC6">
        <w:t xml:space="preserve">paper format </w:t>
      </w:r>
      <w:r w:rsidR="00B267C5">
        <w:t>submit</w:t>
      </w:r>
      <w:r w:rsidR="00FE4CC6">
        <w:t xml:space="preserve">tal of performance test results </w:t>
      </w:r>
      <w:r w:rsidR="00B267C5">
        <w:t xml:space="preserve">is </w:t>
      </w:r>
      <w:r w:rsidR="00FE4CC6">
        <w:t>an appropriate estimate for electronic submittal of performance test results</w:t>
      </w:r>
      <w:r w:rsidR="00A13EDF">
        <w:t>.</w:t>
      </w:r>
      <w:r w:rsidR="00014A7D">
        <w:rPr>
          <w:rFonts w:cstheme="minorHAnsi"/>
        </w:rPr>
        <w:t xml:space="preserve"> </w:t>
      </w:r>
      <w:r w:rsidR="002050D8" w:rsidRPr="002050D8">
        <w:t>The b</w:t>
      </w:r>
      <w:r w:rsidR="00590480" w:rsidRPr="002050D8">
        <w:t xml:space="preserve">urden estimate for </w:t>
      </w:r>
      <w:r w:rsidR="002050D8" w:rsidRPr="002050D8">
        <w:t>reducing</w:t>
      </w:r>
      <w:r w:rsidR="002050D8">
        <w:t xml:space="preserve"> the frequency of compliance reports </w:t>
      </w:r>
      <w:r w:rsidR="002050D8">
        <w:rPr>
          <w:color w:val="000000"/>
        </w:rPr>
        <w:t>from a quarterly basis to a semiannual basis</w:t>
      </w:r>
      <w:r w:rsidR="002050D8">
        <w:t xml:space="preserve"> for facilities with instances of failing to meet applicable standards was not adjusted because the burden estimate in the current ICR is already based on semiannual reporting and does not, therefore, need adjusting.</w:t>
      </w:r>
      <w:r w:rsidR="00A14F7B">
        <w:t xml:space="preserve"> There also was no adjustment in burden for </w:t>
      </w:r>
      <w:r w:rsidR="00A14F7B">
        <w:rPr>
          <w:rFonts w:cs="Courier New"/>
        </w:rPr>
        <w:t xml:space="preserve">reducing </w:t>
      </w:r>
      <w:r w:rsidR="00A14F7B">
        <w:rPr>
          <w:iCs/>
        </w:rPr>
        <w:t>the p</w:t>
      </w:r>
      <w:r w:rsidR="00A14F7B" w:rsidRPr="00252745">
        <w:rPr>
          <w:color w:val="000000"/>
        </w:rPr>
        <w:t xml:space="preserve">arameter </w:t>
      </w:r>
      <w:r w:rsidR="00A14F7B">
        <w:rPr>
          <w:color w:val="000000"/>
        </w:rPr>
        <w:t>m</w:t>
      </w:r>
      <w:r w:rsidR="00A14F7B" w:rsidRPr="00252745">
        <w:rPr>
          <w:color w:val="000000"/>
        </w:rPr>
        <w:t xml:space="preserve">onitoring and </w:t>
      </w:r>
      <w:r w:rsidR="00A14F7B">
        <w:rPr>
          <w:color w:val="000000"/>
        </w:rPr>
        <w:t>r</w:t>
      </w:r>
      <w:r w:rsidR="00A14F7B" w:rsidRPr="00252745">
        <w:rPr>
          <w:color w:val="000000"/>
        </w:rPr>
        <w:t xml:space="preserve">ecording </w:t>
      </w:r>
      <w:r w:rsidR="00A14F7B">
        <w:rPr>
          <w:color w:val="000000"/>
        </w:rPr>
        <w:t>requirements d</w:t>
      </w:r>
      <w:r w:rsidR="00A14F7B" w:rsidRPr="00252745">
        <w:rPr>
          <w:color w:val="000000"/>
        </w:rPr>
        <w:t xml:space="preserve">uring </w:t>
      </w:r>
      <w:r w:rsidR="00A14F7B">
        <w:rPr>
          <w:color w:val="000000"/>
        </w:rPr>
        <w:t>use of b</w:t>
      </w:r>
      <w:r w:rsidR="00A14F7B" w:rsidRPr="00252745">
        <w:rPr>
          <w:color w:val="000000"/>
        </w:rPr>
        <w:t xml:space="preserve">inder </w:t>
      </w:r>
      <w:r w:rsidR="00A14F7B">
        <w:rPr>
          <w:color w:val="000000"/>
        </w:rPr>
        <w:t>c</w:t>
      </w:r>
      <w:r w:rsidR="00A14F7B" w:rsidRPr="00252745">
        <w:rPr>
          <w:color w:val="000000"/>
        </w:rPr>
        <w:t xml:space="preserve">ontaining </w:t>
      </w:r>
      <w:r w:rsidR="00A14F7B">
        <w:rPr>
          <w:color w:val="000000"/>
        </w:rPr>
        <w:t>n</w:t>
      </w:r>
      <w:r w:rsidR="00A14F7B" w:rsidRPr="00252745">
        <w:rPr>
          <w:color w:val="000000"/>
        </w:rPr>
        <w:t>o HAP</w:t>
      </w:r>
      <w:r w:rsidR="00A14F7B">
        <w:rPr>
          <w:color w:val="000000"/>
        </w:rPr>
        <w:t xml:space="preserve"> because it is not known if, or how often, binder containing no HAP will be used.</w:t>
      </w:r>
    </w:p>
    <w:bookmarkEnd w:id="1"/>
    <w:p w14:paraId="31696632" w14:textId="026B3C6C" w:rsidR="004C6C7C" w:rsidRDefault="004C6C7C" w:rsidP="004C6C7C">
      <w:pPr>
        <w:pBdr>
          <w:top w:val="single" w:sz="6" w:space="0" w:color="FFFFFF"/>
          <w:left w:val="single" w:sz="6" w:space="0" w:color="FFFFFF"/>
          <w:bottom w:val="single" w:sz="6" w:space="0" w:color="FFFFFF"/>
          <w:right w:val="single" w:sz="6" w:space="0" w:color="FFFFFF"/>
        </w:pBdr>
        <w:rPr>
          <w:color w:val="000000"/>
        </w:rPr>
      </w:pPr>
    </w:p>
    <w:p w14:paraId="41BB929B" w14:textId="77777777" w:rsidR="004C6C7C" w:rsidRPr="009758A4" w:rsidRDefault="004C6C7C" w:rsidP="004C6C7C">
      <w:pPr>
        <w:rPr>
          <w:rFonts w:cstheme="minorHAnsi"/>
          <w:u w:val="single"/>
        </w:rPr>
      </w:pPr>
      <w:r w:rsidRPr="009758A4">
        <w:rPr>
          <w:rFonts w:cstheme="minorHAnsi"/>
          <w:b/>
          <w:u w:val="single"/>
        </w:rPr>
        <w:t>Impacts to Affected Entities</w:t>
      </w:r>
    </w:p>
    <w:p w14:paraId="53F4244A" w14:textId="77777777" w:rsidR="004C6C7C" w:rsidRDefault="004C6C7C" w:rsidP="004C6C7C">
      <w:pPr>
        <w:rPr>
          <w:rFonts w:cstheme="minorHAnsi"/>
        </w:rPr>
      </w:pPr>
    </w:p>
    <w:p w14:paraId="58211EDF" w14:textId="77777777" w:rsidR="004C6C7C" w:rsidRDefault="004C6C7C" w:rsidP="007C1FD0">
      <w:pPr>
        <w:ind w:firstLine="720"/>
        <w:rPr>
          <w:rFonts w:cstheme="minorHAnsi"/>
        </w:rPr>
      </w:pPr>
      <w:r>
        <w:t>To estimate the costs associated with these changes to recordkeeping and reporting requirements, information previously developed as part of the Information Collection Request (ICR) process was consulted.</w:t>
      </w:r>
      <w:r w:rsidRPr="00ED7F0C">
        <w:rPr>
          <w:rStyle w:val="FootnoteReference"/>
          <w:vertAlign w:val="superscript"/>
        </w:rPr>
        <w:footnoteReference w:id="2"/>
      </w:r>
    </w:p>
    <w:p w14:paraId="09AA31BF" w14:textId="77777777" w:rsidR="004C6C7C" w:rsidRDefault="004C6C7C" w:rsidP="004C6C7C">
      <w:pPr>
        <w:rPr>
          <w:rFonts w:cstheme="minorHAnsi"/>
        </w:rPr>
      </w:pPr>
    </w:p>
    <w:p w14:paraId="614332F8" w14:textId="2EBB6D01" w:rsidR="004C6C7C" w:rsidRDefault="004C6C7C" w:rsidP="007C1FD0">
      <w:pPr>
        <w:ind w:firstLine="720"/>
      </w:pPr>
      <w:r w:rsidRPr="00FE3D5F">
        <w:rPr>
          <w:rFonts w:cstheme="minorHAnsi"/>
        </w:rPr>
        <w:t>The removal of the SSM exemption would result in the emissions standards in the rule applying at all times. Based on discussions with affected entities, we believe facilities are already operating control technologies during</w:t>
      </w:r>
      <w:r>
        <w:t xml:space="preserve"> all periods of that wet-formed fiberglass mat is being produced and therefore would incur no costs associated with additional operation of controls. We </w:t>
      </w:r>
      <w:r w:rsidR="000741C9">
        <w:t xml:space="preserve">are </w:t>
      </w:r>
      <w:r>
        <w:t>eliminat</w:t>
      </w:r>
      <w:r w:rsidR="000741C9">
        <w:t>ing</w:t>
      </w:r>
      <w:r>
        <w:t xml:space="preserve"> the requirement for the development of a SSM plan as required under 40 CFR 63.2986(g)(3). The 2002 NESHAP required this plan to be developed by the compliance date of April 11, 2005, for existing sources and April 11, 2002 or startup, for new or reconstructed sources, with no requirement for updates to the plan. Because there is no requirement for updates, no cost savings are estimated for the removal of this provision. All affected facilities are anticipated to experience a small cost savings associated with the removal of recordkeeping and reporting requirements specific to SSM events. Currently, facilities are required to maintain SSM records, as outlined under 40 CFR 63.2998(e)(5) and (f), and report on SSM events under 63.3000(c)(5) (iv) and (vii), and 63.3000(e).</w:t>
      </w:r>
    </w:p>
    <w:p w14:paraId="6A0731FA" w14:textId="77777777" w:rsidR="004C6C7C" w:rsidRDefault="004C6C7C" w:rsidP="004C6C7C"/>
    <w:p w14:paraId="31153484" w14:textId="77777777" w:rsidR="004C6C7C" w:rsidRDefault="004C6C7C" w:rsidP="007C1FD0">
      <w:pPr>
        <w:ind w:firstLine="720"/>
      </w:pPr>
      <w:r>
        <w:t>Eight hours have been estimated for affected facilities to read and understand the requirements of the amended rule.</w:t>
      </w:r>
      <w:r>
        <w:rPr>
          <w:color w:val="000000"/>
        </w:rPr>
        <w:t xml:space="preserve"> </w:t>
      </w:r>
    </w:p>
    <w:p w14:paraId="158C66A0" w14:textId="77777777" w:rsidR="004C6C7C" w:rsidRDefault="004C6C7C" w:rsidP="004C6C7C">
      <w:r>
        <w:t xml:space="preserve">  </w:t>
      </w:r>
    </w:p>
    <w:p w14:paraId="4649C438" w14:textId="3F3B9F67" w:rsidR="004C6C7C" w:rsidRDefault="00ED7F0C" w:rsidP="007C1FD0">
      <w:pPr>
        <w:ind w:firstLine="720"/>
      </w:pPr>
      <w:r>
        <w:t>The tables</w:t>
      </w:r>
      <w:r w:rsidR="004C6C7C">
        <w:t xml:space="preserve"> below summarize the ICR renewal burden estimates associated with (1) SSM recordkeeping and reporting requirements that this action eliminate</w:t>
      </w:r>
      <w:r w:rsidR="000741C9">
        <w:t>s</w:t>
      </w:r>
      <w:r w:rsidR="004C6C7C">
        <w:t>; and (2) review of the amended rule by affected facilities. These figures have been adjusted to reflect seven responding facilities, and updated labor rates have also been used.</w:t>
      </w:r>
    </w:p>
    <w:p w14:paraId="6F038378" w14:textId="77777777" w:rsidR="007C1FD0" w:rsidRDefault="007C1FD0" w:rsidP="004C6C7C"/>
    <w:p w14:paraId="36B60275" w14:textId="423A3053" w:rsidR="004C6C7C" w:rsidRDefault="004C6C7C" w:rsidP="007C1FD0">
      <w:pPr>
        <w:ind w:firstLine="720"/>
      </w:pPr>
      <w:r>
        <w:rPr>
          <w:color w:val="000000"/>
        </w:rPr>
        <w:t xml:space="preserve">Labor rates were updated using the United States Department of Labor, Bureau of Labor Statistics, </w:t>
      </w:r>
      <w:r>
        <w:t xml:space="preserve">survey titled </w:t>
      </w:r>
      <w:r w:rsidRPr="0041623E">
        <w:rPr>
          <w:i/>
        </w:rPr>
        <w:t xml:space="preserve">May </w:t>
      </w:r>
      <w:r w:rsidRPr="0041623E">
        <w:rPr>
          <w:i/>
          <w:iCs/>
        </w:rPr>
        <w:t>2</w:t>
      </w:r>
      <w:r>
        <w:rPr>
          <w:i/>
          <w:iCs/>
        </w:rPr>
        <w:t>016 National Occupational Employment and Wage Estimates United States</w:t>
      </w:r>
      <w:r>
        <w:rPr>
          <w:color w:val="000000"/>
        </w:rPr>
        <w:t>.”</w:t>
      </w:r>
      <w:r w:rsidRPr="00ED7F0C">
        <w:rPr>
          <w:rStyle w:val="FootnoteReference"/>
          <w:color w:val="000000"/>
          <w:vertAlign w:val="superscript"/>
        </w:rPr>
        <w:footnoteReference w:id="3"/>
      </w:r>
      <w:r w:rsidRPr="00ED7F0C">
        <w:rPr>
          <w:color w:val="000000"/>
          <w:vertAlign w:val="superscript"/>
        </w:rPr>
        <w:t xml:space="preserve"> </w:t>
      </w:r>
      <w:r>
        <w:rPr>
          <w:color w:val="000000"/>
        </w:rPr>
        <w:t xml:space="preserve">The rates are from column 8, “Mean hourly wage.” The rates have been increased by 110 percent to account for the benefit </w:t>
      </w:r>
      <w:r w:rsidRPr="009C411D">
        <w:rPr>
          <w:color w:val="000000"/>
        </w:rPr>
        <w:t>packages available to those employed by private industry.</w:t>
      </w:r>
      <w:r w:rsidRPr="009C411D">
        <w:t xml:space="preserve">  </w:t>
      </w:r>
    </w:p>
    <w:p w14:paraId="4D5CB558" w14:textId="77777777" w:rsidR="004C6C7C" w:rsidRDefault="004C6C7C">
      <w:pPr>
        <w:widowControl/>
        <w:autoSpaceDE/>
        <w:autoSpaceDN/>
        <w:adjustRightInd/>
      </w:pPr>
      <w:r>
        <w:br w:type="page"/>
      </w:r>
    </w:p>
    <w:p w14:paraId="6B9B03EF" w14:textId="77777777" w:rsidR="007C1FD0" w:rsidRDefault="007C1FD0" w:rsidP="004C6C7C">
      <w:pPr>
        <w:rPr>
          <w:b/>
        </w:rPr>
        <w:sectPr w:rsidR="007C1FD0" w:rsidSect="004C6C7C">
          <w:type w:val="continuous"/>
          <w:pgSz w:w="12240" w:h="15840"/>
          <w:pgMar w:top="1440" w:right="1080" w:bottom="1440" w:left="1080" w:header="720" w:footer="720" w:gutter="0"/>
          <w:cols w:space="720"/>
          <w:docGrid w:linePitch="360"/>
        </w:sectPr>
      </w:pPr>
    </w:p>
    <w:p w14:paraId="78C11C36" w14:textId="6B080026" w:rsidR="004C6C7C" w:rsidRPr="009C411D" w:rsidRDefault="004C6C7C" w:rsidP="00ED7F0C">
      <w:pPr>
        <w:ind w:left="2340"/>
        <w:rPr>
          <w:b/>
        </w:rPr>
      </w:pPr>
      <w:r w:rsidRPr="009C411D">
        <w:rPr>
          <w:b/>
        </w:rPr>
        <w:t>Wage Rate by Labor Category (201</w:t>
      </w:r>
      <w:r>
        <w:rPr>
          <w:b/>
        </w:rPr>
        <w:t>6</w:t>
      </w:r>
      <w:r w:rsidRPr="009C411D">
        <w:rPr>
          <w:b/>
        </w:rPr>
        <w:t>$)</w:t>
      </w:r>
    </w:p>
    <w:tbl>
      <w:tblPr>
        <w:tblStyle w:val="GridTable1Light"/>
        <w:tblW w:w="8370" w:type="dxa"/>
        <w:jc w:val="center"/>
        <w:tblLook w:val="04A0" w:firstRow="1" w:lastRow="0" w:firstColumn="1" w:lastColumn="0" w:noHBand="0" w:noVBand="1"/>
      </w:tblPr>
      <w:tblGrid>
        <w:gridCol w:w="1348"/>
        <w:gridCol w:w="1889"/>
        <w:gridCol w:w="2700"/>
        <w:gridCol w:w="2433"/>
      </w:tblGrid>
      <w:tr w:rsidR="004C6C7C" w:rsidRPr="009C411D" w14:paraId="11381567" w14:textId="77777777" w:rsidTr="00AF0D45">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23643CEE" w14:textId="77777777" w:rsidR="004C6C7C" w:rsidRPr="009C411D" w:rsidRDefault="004C6C7C" w:rsidP="00AF0D45">
            <w:pPr>
              <w:keepNext/>
              <w:rPr>
                <w:rFonts w:ascii="Times New Roman" w:eastAsia="Times New Roman" w:hAnsi="Times New Roman" w:cs="Times New Roman"/>
              </w:rPr>
            </w:pPr>
          </w:p>
        </w:tc>
        <w:tc>
          <w:tcPr>
            <w:tcW w:w="1890" w:type="dxa"/>
          </w:tcPr>
          <w:p w14:paraId="57822CEF" w14:textId="77777777" w:rsidR="004C6C7C" w:rsidRPr="009C411D" w:rsidRDefault="004C6C7C" w:rsidP="00AF0D45">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Occupational Code</w:t>
            </w:r>
          </w:p>
        </w:tc>
        <w:tc>
          <w:tcPr>
            <w:tcW w:w="2700" w:type="dxa"/>
            <w:noWrap/>
            <w:vAlign w:val="center"/>
            <w:hideMark/>
          </w:tcPr>
          <w:p w14:paraId="3802A8B0" w14:textId="77777777" w:rsidR="004C6C7C" w:rsidRPr="00A17CC0" w:rsidRDefault="004C6C7C" w:rsidP="00AF0D45">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17CC0">
              <w:rPr>
                <w:bCs w:val="0"/>
                <w:color w:val="000000"/>
              </w:rPr>
              <w:t>BLS Mean Wage Estimate, in 2016$</w:t>
            </w:r>
          </w:p>
        </w:tc>
        <w:tc>
          <w:tcPr>
            <w:tcW w:w="2435" w:type="dxa"/>
            <w:vAlign w:val="center"/>
          </w:tcPr>
          <w:p w14:paraId="590E35F0" w14:textId="77777777" w:rsidR="004C6C7C" w:rsidRPr="00A17CC0" w:rsidRDefault="004C6C7C" w:rsidP="00AF0D45">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17CC0">
              <w:rPr>
                <w:bCs w:val="0"/>
                <w:color w:val="000000"/>
              </w:rPr>
              <w:t>Loaded Wage (+110%), in 2016$</w:t>
            </w:r>
          </w:p>
        </w:tc>
      </w:tr>
      <w:tr w:rsidR="004C6C7C" w:rsidRPr="009C411D" w14:paraId="3D3D8C47" w14:textId="77777777" w:rsidTr="00AF0D45">
        <w:trPr>
          <w:trHeight w:val="281"/>
          <w:jc w:val="center"/>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2F99C265" w14:textId="77777777" w:rsidR="004C6C7C" w:rsidRPr="009C411D" w:rsidRDefault="004C6C7C" w:rsidP="00AF0D45">
            <w:pPr>
              <w:keepNext/>
              <w:rPr>
                <w:rFonts w:ascii="Calibri" w:eastAsia="Times New Roman" w:hAnsi="Calibri" w:cs="Times New Roman"/>
                <w:color w:val="000000"/>
              </w:rPr>
            </w:pPr>
            <w:r w:rsidRPr="009C411D">
              <w:rPr>
                <w:rFonts w:ascii="Calibri" w:eastAsia="Times New Roman" w:hAnsi="Calibri" w:cs="Times New Roman"/>
                <w:color w:val="000000"/>
              </w:rPr>
              <w:t>Technical</w:t>
            </w:r>
          </w:p>
        </w:tc>
        <w:tc>
          <w:tcPr>
            <w:tcW w:w="1890" w:type="dxa"/>
          </w:tcPr>
          <w:p w14:paraId="38C37C73" w14:textId="77777777" w:rsidR="004C6C7C" w:rsidRPr="009C411D" w:rsidRDefault="004C6C7C" w:rsidP="00AF0D45">
            <w:pPr>
              <w:keepNext/>
              <w:tabs>
                <w:tab w:val="decimal" w:pos="0"/>
                <w:tab w:val="decimal" w:pos="85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51-8090</w:t>
            </w:r>
          </w:p>
        </w:tc>
        <w:tc>
          <w:tcPr>
            <w:tcW w:w="2700" w:type="dxa"/>
            <w:noWrap/>
            <w:vAlign w:val="center"/>
            <w:hideMark/>
          </w:tcPr>
          <w:p w14:paraId="3E8A26DD" w14:textId="77777777" w:rsidR="004C6C7C" w:rsidRPr="009C411D" w:rsidRDefault="004C6C7C" w:rsidP="00AF0D45">
            <w:pPr>
              <w:keepNext/>
              <w:tabs>
                <w:tab w:val="decimal" w:pos="0"/>
                <w:tab w:val="decimal" w:pos="85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$30.65</w:t>
            </w:r>
          </w:p>
        </w:tc>
        <w:tc>
          <w:tcPr>
            <w:tcW w:w="2435" w:type="dxa"/>
            <w:vAlign w:val="center"/>
          </w:tcPr>
          <w:p w14:paraId="5501B304" w14:textId="77777777" w:rsidR="004C6C7C" w:rsidRPr="009C411D" w:rsidRDefault="004C6C7C" w:rsidP="00AF0D45">
            <w:pPr>
              <w:keepNext/>
              <w:tabs>
                <w:tab w:val="decimal" w:pos="40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$64.37</w:t>
            </w:r>
          </w:p>
        </w:tc>
      </w:tr>
      <w:tr w:rsidR="004C6C7C" w:rsidRPr="009C411D" w14:paraId="2D3463E0" w14:textId="77777777" w:rsidTr="00AF0D45">
        <w:trPr>
          <w:trHeight w:val="281"/>
          <w:jc w:val="center"/>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7D3B41E0" w14:textId="77777777" w:rsidR="004C6C7C" w:rsidRPr="009C411D" w:rsidRDefault="004C6C7C" w:rsidP="00AF0D45">
            <w:pPr>
              <w:keepNext/>
              <w:rPr>
                <w:rFonts w:ascii="Calibri" w:eastAsia="Times New Roman" w:hAnsi="Calibri" w:cs="Times New Roman"/>
                <w:color w:val="000000"/>
              </w:rPr>
            </w:pPr>
            <w:r w:rsidRPr="009C411D">
              <w:rPr>
                <w:rFonts w:ascii="Calibri" w:eastAsia="Times New Roman" w:hAnsi="Calibri" w:cs="Times New Roman"/>
                <w:color w:val="000000"/>
              </w:rPr>
              <w:t>Managerial</w:t>
            </w:r>
          </w:p>
        </w:tc>
        <w:tc>
          <w:tcPr>
            <w:tcW w:w="1890" w:type="dxa"/>
          </w:tcPr>
          <w:p w14:paraId="655B3685" w14:textId="77777777" w:rsidR="004C6C7C" w:rsidRPr="009C411D" w:rsidRDefault="004C6C7C" w:rsidP="00AF0D45">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11-1021</w:t>
            </w:r>
          </w:p>
        </w:tc>
        <w:tc>
          <w:tcPr>
            <w:tcW w:w="2700" w:type="dxa"/>
            <w:noWrap/>
            <w:vAlign w:val="center"/>
            <w:hideMark/>
          </w:tcPr>
          <w:p w14:paraId="774767CD" w14:textId="77777777" w:rsidR="004C6C7C" w:rsidRPr="009C411D" w:rsidRDefault="004C6C7C" w:rsidP="00AF0D45">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color w:val="000000"/>
              </w:rPr>
              <w:t>$58.70</w:t>
            </w:r>
          </w:p>
        </w:tc>
        <w:tc>
          <w:tcPr>
            <w:tcW w:w="2435" w:type="dxa"/>
            <w:vAlign w:val="center"/>
          </w:tcPr>
          <w:p w14:paraId="09661B5D" w14:textId="77777777" w:rsidR="004C6C7C" w:rsidRPr="009C411D" w:rsidRDefault="004C6C7C" w:rsidP="00AF0D45">
            <w:pPr>
              <w:keepNext/>
              <w:tabs>
                <w:tab w:val="decimal" w:pos="40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color w:val="000000"/>
              </w:rPr>
              <w:t>$123.27</w:t>
            </w:r>
          </w:p>
        </w:tc>
      </w:tr>
      <w:tr w:rsidR="004C6C7C" w:rsidRPr="00DE1262" w14:paraId="1AAAC2FF" w14:textId="77777777" w:rsidTr="00AF0D45">
        <w:trPr>
          <w:trHeight w:val="281"/>
          <w:jc w:val="center"/>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4DE85ED7" w14:textId="77777777" w:rsidR="004C6C7C" w:rsidRPr="009C411D" w:rsidRDefault="004C6C7C" w:rsidP="00AF0D45">
            <w:pPr>
              <w:rPr>
                <w:rFonts w:ascii="Calibri" w:eastAsia="Times New Roman" w:hAnsi="Calibri" w:cs="Times New Roman"/>
                <w:color w:val="000000"/>
              </w:rPr>
            </w:pPr>
            <w:r w:rsidRPr="009C411D">
              <w:rPr>
                <w:rFonts w:ascii="Calibri" w:eastAsia="Times New Roman" w:hAnsi="Calibri" w:cs="Times New Roman"/>
                <w:color w:val="000000"/>
              </w:rPr>
              <w:t>Clerical</w:t>
            </w:r>
          </w:p>
        </w:tc>
        <w:tc>
          <w:tcPr>
            <w:tcW w:w="1890" w:type="dxa"/>
          </w:tcPr>
          <w:p w14:paraId="668B4F78" w14:textId="77777777" w:rsidR="004C6C7C" w:rsidRPr="009C411D" w:rsidRDefault="004C6C7C" w:rsidP="00AF0D45">
            <w:pPr>
              <w:tabs>
                <w:tab w:val="decimal" w:pos="0"/>
                <w:tab w:val="decimal" w:pos="856"/>
                <w:tab w:val="decimal" w:pos="136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43-6010</w:t>
            </w:r>
          </w:p>
        </w:tc>
        <w:tc>
          <w:tcPr>
            <w:tcW w:w="2700" w:type="dxa"/>
            <w:noWrap/>
            <w:vAlign w:val="center"/>
            <w:hideMark/>
          </w:tcPr>
          <w:p w14:paraId="0974A7FB" w14:textId="77777777" w:rsidR="004C6C7C" w:rsidRPr="009C411D" w:rsidRDefault="004C6C7C" w:rsidP="00AF0D45">
            <w:pPr>
              <w:tabs>
                <w:tab w:val="decimal" w:pos="0"/>
                <w:tab w:val="decimal" w:pos="856"/>
                <w:tab w:val="decimal" w:pos="136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color w:val="000000"/>
              </w:rPr>
              <w:t>$19.39</w:t>
            </w:r>
          </w:p>
        </w:tc>
        <w:tc>
          <w:tcPr>
            <w:tcW w:w="2435" w:type="dxa"/>
            <w:vAlign w:val="center"/>
          </w:tcPr>
          <w:p w14:paraId="5B5D058C" w14:textId="77777777" w:rsidR="004C6C7C" w:rsidRPr="009C411D" w:rsidRDefault="004C6C7C" w:rsidP="00AF0D45">
            <w:pPr>
              <w:tabs>
                <w:tab w:val="decimal" w:pos="40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color w:val="000000"/>
              </w:rPr>
              <w:t>$40.72</w:t>
            </w:r>
          </w:p>
        </w:tc>
      </w:tr>
    </w:tbl>
    <w:p w14:paraId="24078323" w14:textId="77777777" w:rsidR="004C6C7C" w:rsidRDefault="004C6C7C" w:rsidP="004C6C7C"/>
    <w:p w14:paraId="13112284" w14:textId="6D5EF866" w:rsidR="007C1FD0" w:rsidRDefault="004C6C7C" w:rsidP="004C6C7C">
      <w:r w:rsidRPr="00C80F59">
        <w:t>As shown</w:t>
      </w:r>
      <w:r w:rsidR="00ED7F0C">
        <w:t xml:space="preserve"> in the table</w:t>
      </w:r>
      <w:r w:rsidRPr="00C80F59">
        <w:t xml:space="preserve"> </w:t>
      </w:r>
      <w:r w:rsidR="00ED7F0C">
        <w:t>below</w:t>
      </w:r>
      <w:r w:rsidRPr="00C80F59">
        <w:t xml:space="preserve">, </w:t>
      </w:r>
      <w:r>
        <w:t xml:space="preserve">these changes to recordkeeping and reporting requirements are estimated to result in a total industry-wide annual </w:t>
      </w:r>
      <w:r w:rsidRPr="00175576">
        <w:t>cost of $2</w:t>
      </w:r>
      <w:r>
        <w:t>0</w:t>
      </w:r>
      <w:r w:rsidRPr="00175576">
        <w:t>0.</w:t>
      </w:r>
    </w:p>
    <w:p w14:paraId="4401B6E9" w14:textId="77777777" w:rsidR="007C1FD0" w:rsidRDefault="007C1FD0" w:rsidP="004C6C7C">
      <w:pPr>
        <w:rPr>
          <w:b/>
        </w:rPr>
      </w:pPr>
    </w:p>
    <w:p w14:paraId="2D0DCF61" w14:textId="05BA2DC2" w:rsidR="004C6C7C" w:rsidRPr="00A400BB" w:rsidRDefault="004C6C7C" w:rsidP="004C6C7C">
      <w:pPr>
        <w:rPr>
          <w:b/>
        </w:rPr>
      </w:pPr>
      <w:r>
        <w:rPr>
          <w:b/>
        </w:rPr>
        <w:t>Annual Respondent Burden and Cost (2016$)</w:t>
      </w:r>
    </w:p>
    <w:tbl>
      <w:tblPr>
        <w:tblStyle w:val="TableGrid"/>
        <w:tblW w:w="13045" w:type="dxa"/>
        <w:tblLook w:val="04A0" w:firstRow="1" w:lastRow="0" w:firstColumn="1" w:lastColumn="0" w:noHBand="0" w:noVBand="1"/>
      </w:tblPr>
      <w:tblGrid>
        <w:gridCol w:w="1469"/>
        <w:gridCol w:w="1416"/>
        <w:gridCol w:w="1790"/>
        <w:gridCol w:w="1363"/>
        <w:gridCol w:w="1523"/>
        <w:gridCol w:w="1216"/>
        <w:gridCol w:w="1563"/>
        <w:gridCol w:w="1355"/>
        <w:gridCol w:w="1350"/>
      </w:tblGrid>
      <w:tr w:rsidR="004C6C7C" w14:paraId="699D653F" w14:textId="77777777" w:rsidTr="007C1FD0">
        <w:tc>
          <w:tcPr>
            <w:tcW w:w="1469" w:type="dxa"/>
            <w:vAlign w:val="center"/>
          </w:tcPr>
          <w:p w14:paraId="05D98C1E" w14:textId="77777777" w:rsidR="004C6C7C" w:rsidRPr="008B6F68" w:rsidRDefault="004C6C7C" w:rsidP="00AF0D45">
            <w:pPr>
              <w:jc w:val="center"/>
              <w:rPr>
                <w:b/>
              </w:rPr>
            </w:pPr>
            <w:r w:rsidRPr="008B6F68">
              <w:rPr>
                <w:b/>
              </w:rPr>
              <w:t>Burden Item</w:t>
            </w:r>
          </w:p>
        </w:tc>
        <w:tc>
          <w:tcPr>
            <w:tcW w:w="1416" w:type="dxa"/>
          </w:tcPr>
          <w:p w14:paraId="05E10024" w14:textId="77777777" w:rsidR="004C6C7C" w:rsidRDefault="004C6C7C" w:rsidP="00AF0D45">
            <w:pPr>
              <w:jc w:val="center"/>
              <w:rPr>
                <w:b/>
              </w:rPr>
            </w:pPr>
            <w:r>
              <w:rPr>
                <w:b/>
              </w:rPr>
              <w:t>(A)</w:t>
            </w:r>
          </w:p>
          <w:p w14:paraId="23CF231F" w14:textId="77777777" w:rsidR="004C6C7C" w:rsidRPr="008B6F68" w:rsidRDefault="004C6C7C" w:rsidP="00AF0D45">
            <w:pPr>
              <w:jc w:val="center"/>
              <w:rPr>
                <w:b/>
              </w:rPr>
            </w:pPr>
            <w:r>
              <w:rPr>
                <w:b/>
              </w:rPr>
              <w:t>Person-</w:t>
            </w:r>
            <w:r w:rsidRPr="008B6F68">
              <w:rPr>
                <w:b/>
              </w:rPr>
              <w:t>Hours per Occurrence</w:t>
            </w:r>
          </w:p>
        </w:tc>
        <w:tc>
          <w:tcPr>
            <w:tcW w:w="1790" w:type="dxa"/>
          </w:tcPr>
          <w:p w14:paraId="5C831F05" w14:textId="77777777" w:rsidR="004C6C7C" w:rsidRDefault="004C6C7C" w:rsidP="00AF0D45">
            <w:pPr>
              <w:jc w:val="center"/>
              <w:rPr>
                <w:b/>
              </w:rPr>
            </w:pPr>
            <w:r>
              <w:rPr>
                <w:b/>
              </w:rPr>
              <w:t>(B)</w:t>
            </w:r>
          </w:p>
          <w:p w14:paraId="2D49FCF3" w14:textId="77777777" w:rsidR="004C6C7C" w:rsidRPr="008B6F68" w:rsidRDefault="004C6C7C" w:rsidP="00AF0D45">
            <w:pPr>
              <w:jc w:val="center"/>
              <w:rPr>
                <w:b/>
              </w:rPr>
            </w:pPr>
            <w:r w:rsidRPr="008B6F68">
              <w:rPr>
                <w:b/>
              </w:rPr>
              <w:t>No. of Occurrences per respondent per year</w:t>
            </w:r>
          </w:p>
        </w:tc>
        <w:tc>
          <w:tcPr>
            <w:tcW w:w="1363" w:type="dxa"/>
          </w:tcPr>
          <w:p w14:paraId="0A79D2F8" w14:textId="77777777" w:rsidR="004C6C7C" w:rsidRDefault="004C6C7C" w:rsidP="00AF0D45">
            <w:pPr>
              <w:jc w:val="center"/>
              <w:rPr>
                <w:b/>
              </w:rPr>
            </w:pPr>
            <w:r>
              <w:rPr>
                <w:b/>
              </w:rPr>
              <w:t>(C)</w:t>
            </w:r>
          </w:p>
          <w:p w14:paraId="7E9F1BA7" w14:textId="77777777" w:rsidR="004C6C7C" w:rsidRPr="008B6F68" w:rsidRDefault="004C6C7C" w:rsidP="00AF0D45">
            <w:pPr>
              <w:jc w:val="center"/>
              <w:rPr>
                <w:b/>
              </w:rPr>
            </w:pPr>
            <w:r w:rsidRPr="008B6F68">
              <w:rPr>
                <w:b/>
              </w:rPr>
              <w:t>Hours per respondent per year</w:t>
            </w:r>
          </w:p>
        </w:tc>
        <w:tc>
          <w:tcPr>
            <w:tcW w:w="1523" w:type="dxa"/>
          </w:tcPr>
          <w:p w14:paraId="38F4D246" w14:textId="77777777" w:rsidR="004C6C7C" w:rsidRDefault="004C6C7C" w:rsidP="00AF0D45">
            <w:pPr>
              <w:jc w:val="center"/>
              <w:rPr>
                <w:b/>
              </w:rPr>
            </w:pPr>
            <w:r>
              <w:rPr>
                <w:b/>
              </w:rPr>
              <w:t>(D)</w:t>
            </w:r>
          </w:p>
          <w:p w14:paraId="2333A3F8" w14:textId="77777777" w:rsidR="004C6C7C" w:rsidRPr="008B6F68" w:rsidRDefault="004C6C7C" w:rsidP="00AF0D45">
            <w:pPr>
              <w:jc w:val="center"/>
              <w:rPr>
                <w:b/>
              </w:rPr>
            </w:pPr>
            <w:r w:rsidRPr="008B6F68">
              <w:rPr>
                <w:b/>
              </w:rPr>
              <w:t>Respondents per year</w:t>
            </w:r>
          </w:p>
        </w:tc>
        <w:tc>
          <w:tcPr>
            <w:tcW w:w="1216" w:type="dxa"/>
          </w:tcPr>
          <w:p w14:paraId="0F262116" w14:textId="77777777" w:rsidR="004C6C7C" w:rsidRDefault="004C6C7C" w:rsidP="00AF0D45">
            <w:pPr>
              <w:jc w:val="center"/>
              <w:rPr>
                <w:b/>
              </w:rPr>
            </w:pPr>
            <w:r>
              <w:rPr>
                <w:b/>
              </w:rPr>
              <w:t>(E)</w:t>
            </w:r>
          </w:p>
          <w:p w14:paraId="44D0011D" w14:textId="77777777" w:rsidR="004C6C7C" w:rsidRDefault="004C6C7C" w:rsidP="00AF0D45">
            <w:pPr>
              <w:jc w:val="center"/>
              <w:rPr>
                <w:b/>
              </w:rPr>
            </w:pPr>
            <w:r w:rsidRPr="008B6F68">
              <w:rPr>
                <w:b/>
              </w:rPr>
              <w:t xml:space="preserve">Technical Hours per </w:t>
            </w:r>
            <w:r>
              <w:rPr>
                <w:b/>
              </w:rPr>
              <w:t>y</w:t>
            </w:r>
            <w:r w:rsidRPr="008B6F68">
              <w:rPr>
                <w:b/>
              </w:rPr>
              <w:t>ear</w:t>
            </w:r>
          </w:p>
          <w:p w14:paraId="7AC7913E" w14:textId="77777777" w:rsidR="004C6C7C" w:rsidRPr="008B6F68" w:rsidRDefault="004C6C7C" w:rsidP="00AF0D45">
            <w:pPr>
              <w:jc w:val="center"/>
              <w:rPr>
                <w:b/>
              </w:rPr>
            </w:pPr>
            <w:r>
              <w:rPr>
                <w:b/>
              </w:rPr>
              <w:t>(=C*D)</w:t>
            </w:r>
          </w:p>
        </w:tc>
        <w:tc>
          <w:tcPr>
            <w:tcW w:w="1563" w:type="dxa"/>
          </w:tcPr>
          <w:p w14:paraId="551C0450" w14:textId="77777777" w:rsidR="004C6C7C" w:rsidRDefault="004C6C7C" w:rsidP="00AF0D45">
            <w:pPr>
              <w:jc w:val="center"/>
              <w:rPr>
                <w:b/>
              </w:rPr>
            </w:pPr>
            <w:r>
              <w:rPr>
                <w:b/>
              </w:rPr>
              <w:t>(F)</w:t>
            </w:r>
          </w:p>
          <w:p w14:paraId="2EDE5697" w14:textId="77777777" w:rsidR="004C6C7C" w:rsidRDefault="004C6C7C" w:rsidP="00AF0D45">
            <w:pPr>
              <w:jc w:val="center"/>
              <w:rPr>
                <w:b/>
              </w:rPr>
            </w:pPr>
            <w:r>
              <w:rPr>
                <w:b/>
              </w:rPr>
              <w:t>Management Hours per y</w:t>
            </w:r>
            <w:r w:rsidRPr="008B6F68">
              <w:rPr>
                <w:b/>
              </w:rPr>
              <w:t>ear</w:t>
            </w:r>
          </w:p>
          <w:p w14:paraId="22ACBD6B" w14:textId="77777777" w:rsidR="004C6C7C" w:rsidRPr="008B6F68" w:rsidRDefault="004C6C7C" w:rsidP="00AF0D45">
            <w:pPr>
              <w:jc w:val="center"/>
              <w:rPr>
                <w:b/>
              </w:rPr>
            </w:pPr>
            <w:r>
              <w:rPr>
                <w:b/>
              </w:rPr>
              <w:t>(=E*0.05)</w:t>
            </w:r>
          </w:p>
        </w:tc>
        <w:tc>
          <w:tcPr>
            <w:tcW w:w="1355" w:type="dxa"/>
          </w:tcPr>
          <w:p w14:paraId="57EB6E30" w14:textId="77777777" w:rsidR="004C6C7C" w:rsidRDefault="004C6C7C" w:rsidP="00AF0D45">
            <w:pPr>
              <w:jc w:val="center"/>
              <w:rPr>
                <w:b/>
              </w:rPr>
            </w:pPr>
            <w:r>
              <w:rPr>
                <w:b/>
              </w:rPr>
              <w:t>(G)</w:t>
            </w:r>
          </w:p>
          <w:p w14:paraId="7DEF09BD" w14:textId="77777777" w:rsidR="004C6C7C" w:rsidRDefault="004C6C7C" w:rsidP="00AF0D45">
            <w:pPr>
              <w:jc w:val="center"/>
              <w:rPr>
                <w:b/>
              </w:rPr>
            </w:pPr>
            <w:r w:rsidRPr="008B6F68">
              <w:rPr>
                <w:b/>
              </w:rPr>
              <w:t>Clerical Hours per year</w:t>
            </w:r>
          </w:p>
          <w:p w14:paraId="5655A3DA" w14:textId="77777777" w:rsidR="004C6C7C" w:rsidRPr="008B6F68" w:rsidRDefault="004C6C7C" w:rsidP="00AF0D45">
            <w:pPr>
              <w:jc w:val="center"/>
              <w:rPr>
                <w:b/>
              </w:rPr>
            </w:pPr>
            <w:r>
              <w:rPr>
                <w:b/>
              </w:rPr>
              <w:t>(=E*0.1)</w:t>
            </w:r>
          </w:p>
        </w:tc>
        <w:tc>
          <w:tcPr>
            <w:tcW w:w="1350" w:type="dxa"/>
          </w:tcPr>
          <w:p w14:paraId="2E7BB657" w14:textId="77777777" w:rsidR="004C6C7C" w:rsidRDefault="004C6C7C" w:rsidP="00AF0D45">
            <w:pPr>
              <w:jc w:val="center"/>
              <w:rPr>
                <w:b/>
              </w:rPr>
            </w:pPr>
            <w:r>
              <w:rPr>
                <w:b/>
              </w:rPr>
              <w:t>(H)</w:t>
            </w:r>
          </w:p>
          <w:p w14:paraId="5B0F00C5" w14:textId="77777777" w:rsidR="004C6C7C" w:rsidRPr="008B6F68" w:rsidRDefault="004C6C7C" w:rsidP="00AF0D45">
            <w:pPr>
              <w:jc w:val="center"/>
              <w:rPr>
                <w:b/>
              </w:rPr>
            </w:pPr>
            <w:r w:rsidRPr="008B6F68">
              <w:rPr>
                <w:b/>
              </w:rPr>
              <w:t>Cost</w:t>
            </w:r>
          </w:p>
        </w:tc>
      </w:tr>
      <w:tr w:rsidR="004C6C7C" w14:paraId="7F2442F8" w14:textId="77777777" w:rsidTr="007C1FD0">
        <w:tc>
          <w:tcPr>
            <w:tcW w:w="1469" w:type="dxa"/>
          </w:tcPr>
          <w:p w14:paraId="5642205D" w14:textId="77777777" w:rsidR="004C6C7C" w:rsidRPr="00B93ACF" w:rsidRDefault="004C6C7C" w:rsidP="007C1FD0">
            <w:pPr>
              <w:rPr>
                <w:vertAlign w:val="superscript"/>
              </w:rPr>
            </w:pPr>
            <w:r>
              <w:t>Startup, shutdown, malfunction report</w:t>
            </w:r>
            <w:r>
              <w:rPr>
                <w:vertAlign w:val="superscript"/>
              </w:rPr>
              <w:t>(a)</w:t>
            </w:r>
          </w:p>
        </w:tc>
        <w:tc>
          <w:tcPr>
            <w:tcW w:w="1416" w:type="dxa"/>
            <w:vAlign w:val="center"/>
          </w:tcPr>
          <w:p w14:paraId="41E08101" w14:textId="77777777" w:rsidR="004C6C7C" w:rsidRDefault="004C6C7C" w:rsidP="00AF0D45">
            <w:pPr>
              <w:jc w:val="center"/>
            </w:pPr>
            <w:r>
              <w:t>(8)</w:t>
            </w:r>
          </w:p>
        </w:tc>
        <w:tc>
          <w:tcPr>
            <w:tcW w:w="1790" w:type="dxa"/>
            <w:vAlign w:val="center"/>
          </w:tcPr>
          <w:p w14:paraId="5CC1C872" w14:textId="77777777" w:rsidR="004C6C7C" w:rsidRDefault="004C6C7C" w:rsidP="00AF0D45">
            <w:pPr>
              <w:jc w:val="center"/>
            </w:pPr>
            <w:r>
              <w:t>(2)</w:t>
            </w:r>
          </w:p>
        </w:tc>
        <w:tc>
          <w:tcPr>
            <w:tcW w:w="1363" w:type="dxa"/>
            <w:vAlign w:val="center"/>
          </w:tcPr>
          <w:p w14:paraId="1133A964" w14:textId="77777777" w:rsidR="004C6C7C" w:rsidRDefault="004C6C7C" w:rsidP="00AF0D45">
            <w:pPr>
              <w:jc w:val="center"/>
            </w:pPr>
            <w:r>
              <w:t>(16)</w:t>
            </w:r>
          </w:p>
        </w:tc>
        <w:tc>
          <w:tcPr>
            <w:tcW w:w="1523" w:type="dxa"/>
            <w:vAlign w:val="center"/>
          </w:tcPr>
          <w:p w14:paraId="05F60AFE" w14:textId="77777777" w:rsidR="004C6C7C" w:rsidRDefault="004C6C7C" w:rsidP="00AF0D45">
            <w:pPr>
              <w:jc w:val="center"/>
            </w:pPr>
            <w:r>
              <w:t>(1)</w:t>
            </w:r>
          </w:p>
        </w:tc>
        <w:tc>
          <w:tcPr>
            <w:tcW w:w="1216" w:type="dxa"/>
            <w:vAlign w:val="center"/>
          </w:tcPr>
          <w:p w14:paraId="4B106573" w14:textId="77777777" w:rsidR="004C6C7C" w:rsidRDefault="004C6C7C" w:rsidP="00AF0D45">
            <w:pPr>
              <w:jc w:val="center"/>
            </w:pPr>
            <w:r>
              <w:t>(16)</w:t>
            </w:r>
          </w:p>
        </w:tc>
        <w:tc>
          <w:tcPr>
            <w:tcW w:w="1563" w:type="dxa"/>
            <w:vAlign w:val="center"/>
          </w:tcPr>
          <w:p w14:paraId="4F10C8F0" w14:textId="77777777" w:rsidR="004C6C7C" w:rsidRDefault="004C6C7C" w:rsidP="00AF0D45">
            <w:pPr>
              <w:jc w:val="center"/>
            </w:pPr>
            <w:r>
              <w:t>(0.8)</w:t>
            </w:r>
          </w:p>
        </w:tc>
        <w:tc>
          <w:tcPr>
            <w:tcW w:w="1355" w:type="dxa"/>
            <w:vAlign w:val="center"/>
          </w:tcPr>
          <w:p w14:paraId="51F9890F" w14:textId="77777777" w:rsidR="004C6C7C" w:rsidRDefault="004C6C7C" w:rsidP="00AF0D45">
            <w:pPr>
              <w:jc w:val="center"/>
            </w:pPr>
            <w:r>
              <w:t>(1.6)</w:t>
            </w:r>
          </w:p>
        </w:tc>
        <w:tc>
          <w:tcPr>
            <w:tcW w:w="1350" w:type="dxa"/>
            <w:vAlign w:val="center"/>
          </w:tcPr>
          <w:p w14:paraId="6D0BF789" w14:textId="77777777" w:rsidR="004C6C7C" w:rsidRDefault="004C6C7C" w:rsidP="00AF0D45">
            <w:pPr>
              <w:jc w:val="center"/>
            </w:pPr>
            <w:r>
              <w:t>($1,194)</w:t>
            </w:r>
          </w:p>
        </w:tc>
      </w:tr>
      <w:tr w:rsidR="004C6C7C" w14:paraId="358C1325" w14:textId="77777777" w:rsidTr="007C1FD0">
        <w:tc>
          <w:tcPr>
            <w:tcW w:w="1469" w:type="dxa"/>
          </w:tcPr>
          <w:p w14:paraId="2D2A1C35" w14:textId="77777777" w:rsidR="004C6C7C" w:rsidRPr="00DA5DB6" w:rsidRDefault="004C6C7C" w:rsidP="007C1FD0">
            <w:pPr>
              <w:rPr>
                <w:vertAlign w:val="superscript"/>
              </w:rPr>
            </w:pPr>
            <w:r w:rsidRPr="00DA5DB6">
              <w:t>Review amended rule requirements</w:t>
            </w:r>
            <w:r>
              <w:t xml:space="preserve"> </w:t>
            </w:r>
            <w:r>
              <w:rPr>
                <w:vertAlign w:val="superscript"/>
              </w:rPr>
              <w:t>(b)</w:t>
            </w:r>
          </w:p>
        </w:tc>
        <w:tc>
          <w:tcPr>
            <w:tcW w:w="1416" w:type="dxa"/>
            <w:vAlign w:val="center"/>
          </w:tcPr>
          <w:p w14:paraId="4388D753" w14:textId="77777777" w:rsidR="004C6C7C" w:rsidRDefault="004C6C7C" w:rsidP="00AF0D45">
            <w:pPr>
              <w:jc w:val="center"/>
            </w:pPr>
            <w:r>
              <w:t>8</w:t>
            </w:r>
          </w:p>
        </w:tc>
        <w:tc>
          <w:tcPr>
            <w:tcW w:w="1790" w:type="dxa"/>
            <w:vAlign w:val="center"/>
          </w:tcPr>
          <w:p w14:paraId="73B95C39" w14:textId="77777777" w:rsidR="004C6C7C" w:rsidRDefault="004C6C7C" w:rsidP="00AF0D45">
            <w:pPr>
              <w:jc w:val="center"/>
            </w:pPr>
            <w:r>
              <w:t>1</w:t>
            </w:r>
          </w:p>
        </w:tc>
        <w:tc>
          <w:tcPr>
            <w:tcW w:w="1363" w:type="dxa"/>
            <w:vAlign w:val="center"/>
          </w:tcPr>
          <w:p w14:paraId="2913E514" w14:textId="77777777" w:rsidR="004C6C7C" w:rsidRDefault="004C6C7C" w:rsidP="00AF0D45">
            <w:pPr>
              <w:jc w:val="center"/>
            </w:pPr>
            <w:r>
              <w:t>8</w:t>
            </w:r>
          </w:p>
        </w:tc>
        <w:tc>
          <w:tcPr>
            <w:tcW w:w="1523" w:type="dxa"/>
            <w:vAlign w:val="center"/>
          </w:tcPr>
          <w:p w14:paraId="7B47F92B" w14:textId="77777777" w:rsidR="004C6C7C" w:rsidRDefault="004C6C7C" w:rsidP="00AF0D45">
            <w:pPr>
              <w:jc w:val="center"/>
            </w:pPr>
            <w:r>
              <w:t>2.33</w:t>
            </w:r>
          </w:p>
        </w:tc>
        <w:tc>
          <w:tcPr>
            <w:tcW w:w="1216" w:type="dxa"/>
            <w:vAlign w:val="center"/>
          </w:tcPr>
          <w:p w14:paraId="132EDCB6" w14:textId="77777777" w:rsidR="004C6C7C" w:rsidRDefault="004C6C7C" w:rsidP="00AF0D45">
            <w:pPr>
              <w:jc w:val="center"/>
            </w:pPr>
            <w:r>
              <w:t>18.64</w:t>
            </w:r>
          </w:p>
        </w:tc>
        <w:tc>
          <w:tcPr>
            <w:tcW w:w="1563" w:type="dxa"/>
            <w:vAlign w:val="center"/>
          </w:tcPr>
          <w:p w14:paraId="07D5EFC9" w14:textId="77777777" w:rsidR="004C6C7C" w:rsidRDefault="004C6C7C" w:rsidP="00AF0D45">
            <w:pPr>
              <w:jc w:val="center"/>
            </w:pPr>
            <w:r>
              <w:t>0.93</w:t>
            </w:r>
          </w:p>
        </w:tc>
        <w:tc>
          <w:tcPr>
            <w:tcW w:w="1355" w:type="dxa"/>
            <w:vAlign w:val="center"/>
          </w:tcPr>
          <w:p w14:paraId="355CB84E" w14:textId="77777777" w:rsidR="004C6C7C" w:rsidRDefault="004C6C7C" w:rsidP="00AF0D45">
            <w:pPr>
              <w:jc w:val="center"/>
            </w:pPr>
            <w:r>
              <w:t>1.86</w:t>
            </w:r>
          </w:p>
        </w:tc>
        <w:tc>
          <w:tcPr>
            <w:tcW w:w="1350" w:type="dxa"/>
            <w:vAlign w:val="center"/>
          </w:tcPr>
          <w:p w14:paraId="41174A59" w14:textId="77777777" w:rsidR="004C6C7C" w:rsidRDefault="004C6C7C" w:rsidP="00AF0D45">
            <w:pPr>
              <w:jc w:val="center"/>
            </w:pPr>
            <w:r>
              <w:t>$1,390</w:t>
            </w:r>
          </w:p>
        </w:tc>
      </w:tr>
      <w:tr w:rsidR="004C6C7C" w14:paraId="41FCE843" w14:textId="77777777" w:rsidTr="007C1FD0">
        <w:tc>
          <w:tcPr>
            <w:tcW w:w="1469" w:type="dxa"/>
          </w:tcPr>
          <w:p w14:paraId="59C751F9" w14:textId="77777777" w:rsidR="004C6C7C" w:rsidRDefault="004C6C7C" w:rsidP="007C1FD0">
            <w:r>
              <w:t>Total Burden and Cost</w:t>
            </w:r>
          </w:p>
          <w:p w14:paraId="4EA0AE00" w14:textId="77777777" w:rsidR="004C6C7C" w:rsidRPr="000648D6" w:rsidRDefault="004C6C7C" w:rsidP="007C1FD0">
            <w:r>
              <w:t>rounded</w:t>
            </w:r>
          </w:p>
        </w:tc>
        <w:tc>
          <w:tcPr>
            <w:tcW w:w="1416" w:type="dxa"/>
          </w:tcPr>
          <w:p w14:paraId="05400919" w14:textId="77777777" w:rsidR="004C6C7C" w:rsidRDefault="004C6C7C" w:rsidP="00AF0D45">
            <w:pPr>
              <w:jc w:val="center"/>
            </w:pPr>
          </w:p>
        </w:tc>
        <w:tc>
          <w:tcPr>
            <w:tcW w:w="1790" w:type="dxa"/>
          </w:tcPr>
          <w:p w14:paraId="04A9C86C" w14:textId="77777777" w:rsidR="004C6C7C" w:rsidRDefault="004C6C7C" w:rsidP="00AF0D45">
            <w:pPr>
              <w:jc w:val="center"/>
            </w:pPr>
          </w:p>
        </w:tc>
        <w:tc>
          <w:tcPr>
            <w:tcW w:w="1363" w:type="dxa"/>
          </w:tcPr>
          <w:p w14:paraId="007A7D87" w14:textId="77777777" w:rsidR="004C6C7C" w:rsidRDefault="004C6C7C" w:rsidP="00AF0D45">
            <w:pPr>
              <w:jc w:val="center"/>
            </w:pPr>
          </w:p>
        </w:tc>
        <w:tc>
          <w:tcPr>
            <w:tcW w:w="1523" w:type="dxa"/>
          </w:tcPr>
          <w:p w14:paraId="762E508C" w14:textId="77777777" w:rsidR="004C6C7C" w:rsidRDefault="004C6C7C" w:rsidP="00AF0D45">
            <w:pPr>
              <w:jc w:val="center"/>
            </w:pPr>
          </w:p>
        </w:tc>
        <w:tc>
          <w:tcPr>
            <w:tcW w:w="4134" w:type="dxa"/>
            <w:gridSpan w:val="3"/>
          </w:tcPr>
          <w:p w14:paraId="69D50704" w14:textId="77777777" w:rsidR="004C6C7C" w:rsidRDefault="004C6C7C" w:rsidP="00AF0D45">
            <w:pPr>
              <w:jc w:val="center"/>
            </w:pPr>
            <w:r>
              <w:t>3.03</w:t>
            </w:r>
          </w:p>
          <w:p w14:paraId="2C7B0915" w14:textId="77777777" w:rsidR="004C6C7C" w:rsidRDefault="004C6C7C" w:rsidP="00AF0D45">
            <w:pPr>
              <w:jc w:val="center"/>
            </w:pPr>
            <w:r>
              <w:t>3</w:t>
            </w:r>
          </w:p>
        </w:tc>
        <w:tc>
          <w:tcPr>
            <w:tcW w:w="1350" w:type="dxa"/>
          </w:tcPr>
          <w:p w14:paraId="0718424C" w14:textId="77777777" w:rsidR="004C6C7C" w:rsidRDefault="004C6C7C" w:rsidP="00AF0D45">
            <w:pPr>
              <w:jc w:val="center"/>
            </w:pPr>
            <w:r>
              <w:t>$196</w:t>
            </w:r>
          </w:p>
          <w:p w14:paraId="48B42504" w14:textId="77777777" w:rsidR="004C6C7C" w:rsidRDefault="004C6C7C" w:rsidP="00AF0D45">
            <w:pPr>
              <w:jc w:val="center"/>
            </w:pPr>
            <w:r>
              <w:t>$200</w:t>
            </w:r>
          </w:p>
        </w:tc>
      </w:tr>
    </w:tbl>
    <w:p w14:paraId="1E673C11" w14:textId="77777777" w:rsidR="004C6C7C" w:rsidRPr="007C1FD0" w:rsidRDefault="004C6C7C" w:rsidP="007C1FD0">
      <w:pPr>
        <w:pStyle w:val="ListParagraph"/>
        <w:widowControl/>
        <w:numPr>
          <w:ilvl w:val="0"/>
          <w:numId w:val="5"/>
        </w:numPr>
        <w:autoSpaceDE/>
        <w:autoSpaceDN/>
        <w:adjustRightInd/>
        <w:spacing w:after="200"/>
        <w:rPr>
          <w:sz w:val="20"/>
          <w:szCs w:val="20"/>
        </w:rPr>
      </w:pPr>
      <w:r w:rsidRPr="007C1FD0">
        <w:rPr>
          <w:sz w:val="20"/>
          <w:szCs w:val="20"/>
        </w:rPr>
        <w:t>The currently approved ICR assumed that 15 percent of respondents will have a startup, shutdown, or malfunction occur that is not managed according to the regulation. Given that there are now an estimated 7 affected facilities, this results in an estimate of 1 respondent per year.</w:t>
      </w:r>
    </w:p>
    <w:p w14:paraId="64F00F65" w14:textId="77777777" w:rsidR="007C1FD0" w:rsidRPr="007C1FD0" w:rsidRDefault="004C6C7C" w:rsidP="007C1FD0">
      <w:pPr>
        <w:pStyle w:val="ListParagraph"/>
        <w:widowControl/>
        <w:numPr>
          <w:ilvl w:val="0"/>
          <w:numId w:val="5"/>
        </w:numPr>
        <w:autoSpaceDE/>
        <w:autoSpaceDN/>
        <w:adjustRightInd/>
        <w:spacing w:after="200"/>
        <w:rPr>
          <w:sz w:val="20"/>
          <w:szCs w:val="20"/>
        </w:rPr>
        <w:sectPr w:rsidR="007C1FD0" w:rsidRPr="007C1FD0" w:rsidSect="007C1FD0">
          <w:headerReference w:type="default" r:id="rId9"/>
          <w:pgSz w:w="15840" w:h="12240" w:orient="landscape"/>
          <w:pgMar w:top="1440" w:right="1350" w:bottom="1440" w:left="1440" w:header="1350" w:footer="1440" w:gutter="0"/>
          <w:cols w:space="720"/>
          <w:noEndnote/>
          <w:titlePg/>
          <w:docGrid w:linePitch="326"/>
        </w:sectPr>
      </w:pPr>
      <w:r w:rsidRPr="007C1FD0">
        <w:rPr>
          <w:sz w:val="20"/>
          <w:szCs w:val="20"/>
        </w:rPr>
        <w:t>There are an estimated 7 respondents.  Estimate assumes that, on average each year, the number of respondents reviewing the amended rule is 2.33 respondents per year (7 / 3) years = 2.33.</w:t>
      </w:r>
    </w:p>
    <w:p w14:paraId="3D09B9D3" w14:textId="78A1494F" w:rsidR="004C6C7C" w:rsidRDefault="004C6C7C">
      <w:pPr>
        <w:widowControl/>
        <w:autoSpaceDE/>
        <w:autoSpaceDN/>
        <w:adjustRightInd/>
        <w:rPr>
          <w:color w:val="000000"/>
        </w:rPr>
      </w:pPr>
    </w:p>
    <w:p w14:paraId="392A9F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3323C56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58F5E7" w14:textId="76D0F0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w:t>
      </w:r>
      <w:r w:rsidRPr="000F7B07">
        <w:rPr>
          <w:color w:val="000000"/>
        </w:rPr>
        <w:t xml:space="preserve">estimated to </w:t>
      </w:r>
      <w:r w:rsidRPr="00F22FD3">
        <w:rPr>
          <w:color w:val="000000"/>
        </w:rPr>
        <w:t xml:space="preserve">average </w:t>
      </w:r>
      <w:r w:rsidR="00E50952" w:rsidRPr="00F22FD3">
        <w:rPr>
          <w:color w:val="000000"/>
        </w:rPr>
        <w:t>8</w:t>
      </w:r>
      <w:r w:rsidR="00E50952">
        <w:rPr>
          <w:color w:val="000000"/>
        </w:rPr>
        <w:t>0</w:t>
      </w:r>
      <w:r w:rsidR="00E50952" w:rsidRPr="00F22FD3">
        <w:rPr>
          <w:color w:val="000000"/>
        </w:rPr>
        <w:t xml:space="preserve"> </w:t>
      </w:r>
      <w:r w:rsidRPr="00F22FD3">
        <w:rPr>
          <w:color w:val="000000"/>
        </w:rPr>
        <w:t>hours per</w:t>
      </w:r>
      <w:r w:rsidRPr="000F7B07">
        <w:rPr>
          <w:color w:val="000000"/>
        </w:rPr>
        <w:t xml:space="preserve"> response. Burden</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35DE97E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77466D"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75D58994" w14:textId="77777777" w:rsidR="006741F7" w:rsidRPr="00354C15" w:rsidRDefault="006741F7" w:rsidP="00354C15"/>
    <w:p w14:paraId="1C0BE5A2" w14:textId="489C54DB" w:rsidR="00AD1DDA" w:rsidRPr="00D41098" w:rsidRDefault="00FB0650" w:rsidP="00D41098">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407D21">
        <w:t xml:space="preserve">the </w:t>
      </w:r>
      <w:r w:rsidR="00CA4CD6" w:rsidRPr="00354C15">
        <w:t>EPA has established a public docket for th</w:t>
      </w:r>
      <w:r w:rsidR="001837E0">
        <w:t>e final rule RTR at</w:t>
      </w:r>
      <w:r w:rsidR="00CA4CD6" w:rsidRPr="00354C15">
        <w:t xml:space="preserve"> Docket ID Number </w:t>
      </w:r>
      <w:r w:rsidR="0035325B">
        <w:t>EPA-HQ-O</w:t>
      </w:r>
      <w:r w:rsidR="00407D21">
        <w:t>AR</w:t>
      </w:r>
      <w:r w:rsidR="0035325B">
        <w:t>-20</w:t>
      </w:r>
      <w:r w:rsidR="00407D21">
        <w:t>0</w:t>
      </w:r>
      <w:r w:rsidR="00686C80">
        <w:t>4</w:t>
      </w:r>
      <w:r w:rsidR="00E46B4B" w:rsidRPr="00E46B4B">
        <w:t>-0</w:t>
      </w:r>
      <w:r w:rsidR="00407D21">
        <w:t>3</w:t>
      </w:r>
      <w:r w:rsidR="00E46B4B" w:rsidRPr="00E46B4B">
        <w:t>09.</w:t>
      </w:r>
      <w:r w:rsidR="001837E0">
        <w:t xml:space="preserve"> The docket for the</w:t>
      </w:r>
      <w:r w:rsidR="00E54549">
        <w:t xml:space="preserve"> </w:t>
      </w:r>
      <w:r w:rsidR="00A24740">
        <w:t>existing collection</w:t>
      </w:r>
      <w:r w:rsidR="001837E0">
        <w:t xml:space="preserve"> is at Docket ID Number </w:t>
      </w:r>
      <w:r w:rsidR="001837E0" w:rsidRPr="001837E0">
        <w:t>EPA-HQ-OECA-2014-0079</w:t>
      </w:r>
      <w:r w:rsidR="001837E0">
        <w:t>.</w:t>
      </w:r>
      <w:r w:rsidR="00354C15">
        <w:rPr>
          <w:color w:val="FF0000"/>
        </w:rPr>
        <w:t xml:space="preserve"> </w:t>
      </w:r>
      <w:r w:rsidR="00354C15" w:rsidRPr="00354C15">
        <w:t xml:space="preserve">An electronic version of the public docket is available at </w:t>
      </w:r>
      <w:hyperlink r:id="rId10" w:history="1">
        <w:r w:rsidR="00377D7F" w:rsidRPr="004A4434">
          <w:rPr>
            <w:rStyle w:val="Hyperlink"/>
            <w:color w:val="auto"/>
          </w:rPr>
          <w:t>http://www.regulations.gov/</w:t>
        </w:r>
      </w:hyperlink>
      <w:r w:rsidR="00676820" w:rsidRPr="004A4434">
        <w:rPr>
          <w:rStyle w:val="Hyperlink"/>
          <w:color w:val="auto"/>
        </w:rPr>
        <w:t>,</w:t>
      </w:r>
      <w:r w:rsidR="00377D7F" w:rsidRPr="004A4434">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w:t>
      </w:r>
      <w:r w:rsidR="00D41098">
        <w:t>EPA Docket Center</w:t>
      </w:r>
      <w:r w:rsidR="00CA4CD6" w:rsidRPr="00354C15">
        <w:t xml:space="preserve">, </w:t>
      </w:r>
      <w:r w:rsidR="00D41098">
        <w:t>EPA</w:t>
      </w:r>
      <w:r w:rsidR="00D95819" w:rsidRPr="000E187E">
        <w:t xml:space="preserve"> West, Room </w:t>
      </w:r>
      <w:r w:rsidR="00D95819">
        <w:t>3334</w:t>
      </w:r>
      <w:r w:rsidR="00CA4CD6" w:rsidRPr="00354C15">
        <w:t>, 1301 Constitution Ave., NW, Washington, DC. The EPA Docket Center Public Reading Room is open from 8:30 a.m. to 4:30 p.m., Monday through Fri</w:t>
      </w:r>
      <w:r w:rsidR="00D41098">
        <w:t xml:space="preserve">day, excluding legal holidays.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41098">
        <w:t>4</w:t>
      </w:r>
      <w:r w:rsidR="00676820">
        <w:t>2</w:t>
      </w:r>
      <w:r w:rsidR="00354C15">
        <w:t xml:space="preserve">. </w:t>
      </w:r>
      <w:r w:rsidR="00D41098">
        <w:t>Send comments to the Office of Information and Regulatory Affairs,</w:t>
      </w:r>
      <w:r w:rsidR="00CA4CD6">
        <w:t xml:space="preserve"> Office of Management and Budget, </w:t>
      </w:r>
      <w:r w:rsidR="00D41098">
        <w:t xml:space="preserve">Attention: Desk Officer for EPA, </w:t>
      </w:r>
      <w:r w:rsidR="00CA4CD6">
        <w:t xml:space="preserve">725 17th Street, NW, Washington, DC 20503. Please include the EPA Docket ID Number </w:t>
      </w:r>
      <w:r w:rsidR="00686C80">
        <w:t>EPA-HQ-OA</w:t>
      </w:r>
      <w:r w:rsidR="00D41098">
        <w:t>R</w:t>
      </w:r>
      <w:r w:rsidR="00686C80">
        <w:t>-20</w:t>
      </w:r>
      <w:r w:rsidR="00D41098">
        <w:t>0</w:t>
      </w:r>
      <w:r w:rsidR="00686C80">
        <w:t>4</w:t>
      </w:r>
      <w:r w:rsidR="00686C80" w:rsidRPr="00686C80">
        <w:t>-0</w:t>
      </w:r>
      <w:r w:rsidR="00D41098">
        <w:t>3</w:t>
      </w:r>
      <w:r w:rsidR="00686C80" w:rsidRPr="00686C80">
        <w:t>09</w:t>
      </w:r>
      <w:r w:rsidR="00CA4CD6">
        <w:t xml:space="preserve"> </w:t>
      </w:r>
      <w:r w:rsidR="001837E0">
        <w:t xml:space="preserve">or </w:t>
      </w:r>
      <w:r w:rsidR="001837E0" w:rsidRPr="001837E0">
        <w:t>EPA-HQ-OECA-2014-0079</w:t>
      </w:r>
      <w:r w:rsidR="001837E0">
        <w:t xml:space="preserve"> </w:t>
      </w:r>
      <w:r w:rsidR="00CA4CD6">
        <w:t xml:space="preserve">and OMB Control Number </w:t>
      </w:r>
      <w:r w:rsidR="00686C80">
        <w:t>2060-0496</w:t>
      </w:r>
      <w:r w:rsidR="00CA4CD6">
        <w:t xml:space="preserve"> in any correspondence.</w:t>
      </w:r>
    </w:p>
    <w:p w14:paraId="0F753CDD" w14:textId="77777777" w:rsidR="00AD1DDA" w:rsidRDefault="00AD1DDA" w:rsidP="00504745">
      <w:pPr>
        <w:outlineLvl w:val="0"/>
        <w:rPr>
          <w:b/>
          <w:bCs/>
          <w:color w:val="000000"/>
        </w:rPr>
      </w:pPr>
    </w:p>
    <w:p w14:paraId="1FACA8ED" w14:textId="77777777" w:rsidR="00F340DF" w:rsidRDefault="00CA4CD6" w:rsidP="00504745">
      <w:pPr>
        <w:outlineLvl w:val="0"/>
        <w:rPr>
          <w:b/>
          <w:bCs/>
          <w:color w:val="000000"/>
        </w:rPr>
      </w:pPr>
      <w:r>
        <w:rPr>
          <w:b/>
          <w:bCs/>
          <w:color w:val="000000"/>
        </w:rPr>
        <w:t>Part B of the Supporting Statement</w:t>
      </w:r>
    </w:p>
    <w:p w14:paraId="3DD9603E" w14:textId="77777777" w:rsidR="00F340DF" w:rsidRDefault="00F340DF" w:rsidP="00F340DF">
      <w:pPr>
        <w:rPr>
          <w:b/>
          <w:bCs/>
          <w:color w:val="000000"/>
        </w:rPr>
      </w:pPr>
    </w:p>
    <w:p w14:paraId="574E03B0" w14:textId="77777777" w:rsidR="00CA4CD6" w:rsidRDefault="00CA4CD6" w:rsidP="00F340DF">
      <w:pPr>
        <w:rPr>
          <w:color w:val="000000"/>
        </w:rPr>
      </w:pPr>
      <w:r>
        <w:rPr>
          <w:color w:val="000000"/>
        </w:rPr>
        <w:t>This part is not applicable because no statistical methods were used in collecting this information.</w:t>
      </w:r>
    </w:p>
    <w:p w14:paraId="66F0569E" w14:textId="77777777" w:rsidR="00144F35" w:rsidRDefault="00144F35" w:rsidP="00F340DF">
      <w:pPr>
        <w:rPr>
          <w:color w:val="000000"/>
        </w:rPr>
        <w:sectPr w:rsidR="00144F35" w:rsidSect="007C1FD0">
          <w:pgSz w:w="12240" w:h="15840"/>
          <w:pgMar w:top="1350" w:right="1440" w:bottom="1440" w:left="1440" w:header="1350" w:footer="1440" w:gutter="0"/>
          <w:cols w:space="720"/>
          <w:noEndnote/>
          <w:titlePg/>
          <w:docGrid w:linePitch="326"/>
        </w:sectPr>
      </w:pPr>
    </w:p>
    <w:p w14:paraId="2D37E9E1" w14:textId="177BCF93" w:rsidR="00686C80" w:rsidRDefault="00686C80" w:rsidP="00560AAA">
      <w:pPr>
        <w:jc w:val="center"/>
        <w:rPr>
          <w:b/>
          <w:bCs/>
          <w:color w:val="000000"/>
        </w:rPr>
      </w:pPr>
      <w:r w:rsidRPr="00686C80">
        <w:rPr>
          <w:b/>
          <w:bCs/>
          <w:color w:val="000000"/>
        </w:rPr>
        <w:t>Table 1: Annual Respondent Burden and Cost – NESHAP for Wet-formed Fiberglass Mat Production (40 CFR Part 63, Subpart HHHH) (</w:t>
      </w:r>
      <w:r w:rsidR="000513E6">
        <w:rPr>
          <w:b/>
          <w:bCs/>
          <w:color w:val="000000"/>
        </w:rPr>
        <w:t>Final Rule</w:t>
      </w:r>
      <w:r w:rsidRPr="00686C80">
        <w:rPr>
          <w:b/>
          <w:bCs/>
          <w:color w:val="000000"/>
        </w:rPr>
        <w:t>)</w:t>
      </w:r>
    </w:p>
    <w:p w14:paraId="55142797" w14:textId="77777777" w:rsidR="00144F35" w:rsidRDefault="00144F35" w:rsidP="00F340DF">
      <w:pPr>
        <w:rPr>
          <w:b/>
          <w:bCs/>
          <w:color w:val="000000"/>
        </w:rPr>
      </w:pPr>
    </w:p>
    <w:tbl>
      <w:tblPr>
        <w:tblW w:w="14707" w:type="dxa"/>
        <w:jc w:val="center"/>
        <w:tblCellMar>
          <w:left w:w="0" w:type="dxa"/>
          <w:right w:w="0" w:type="dxa"/>
        </w:tblCellMar>
        <w:tblLook w:val="04A0" w:firstRow="1" w:lastRow="0" w:firstColumn="1" w:lastColumn="0" w:noHBand="0" w:noVBand="1"/>
      </w:tblPr>
      <w:tblGrid>
        <w:gridCol w:w="4205"/>
        <w:gridCol w:w="1350"/>
        <w:gridCol w:w="1440"/>
        <w:gridCol w:w="1440"/>
        <w:gridCol w:w="1260"/>
        <w:gridCol w:w="1274"/>
        <w:gridCol w:w="1260"/>
        <w:gridCol w:w="1024"/>
        <w:gridCol w:w="1454"/>
      </w:tblGrid>
      <w:tr w:rsidR="00686C80" w:rsidRPr="0070510D" w14:paraId="0ADAEB2E" w14:textId="77777777" w:rsidTr="007E70E3">
        <w:trPr>
          <w:trHeight w:val="1785"/>
          <w:tblHeader/>
          <w:jc w:val="center"/>
        </w:trPr>
        <w:tc>
          <w:tcPr>
            <w:tcW w:w="420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013FB74F" w14:textId="77777777" w:rsidR="00686C80" w:rsidRPr="0070510D" w:rsidRDefault="00686C80">
            <w:pPr>
              <w:jc w:val="center"/>
              <w:rPr>
                <w:b/>
                <w:bCs/>
                <w:color w:val="000000"/>
                <w:sz w:val="20"/>
                <w:szCs w:val="20"/>
              </w:rPr>
            </w:pPr>
            <w:r w:rsidRPr="0070510D">
              <w:rPr>
                <w:b/>
                <w:bCs/>
                <w:color w:val="000000"/>
                <w:sz w:val="20"/>
                <w:szCs w:val="20"/>
              </w:rPr>
              <w:t>Burden item</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467F0F3" w14:textId="77777777" w:rsidR="00686C80" w:rsidRPr="0070510D" w:rsidRDefault="00686C80">
            <w:pPr>
              <w:jc w:val="center"/>
              <w:rPr>
                <w:b/>
                <w:bCs/>
                <w:color w:val="000000"/>
                <w:sz w:val="20"/>
                <w:szCs w:val="20"/>
              </w:rPr>
            </w:pPr>
            <w:r w:rsidRPr="0070510D">
              <w:rPr>
                <w:b/>
                <w:bCs/>
                <w:color w:val="000000"/>
                <w:sz w:val="20"/>
                <w:szCs w:val="20"/>
              </w:rPr>
              <w:t xml:space="preserve">(A) </w:t>
            </w:r>
          </w:p>
          <w:p w14:paraId="229343F1" w14:textId="77777777" w:rsidR="00686C80" w:rsidRPr="0070510D" w:rsidRDefault="00686C80">
            <w:pPr>
              <w:jc w:val="center"/>
              <w:rPr>
                <w:b/>
                <w:bCs/>
                <w:color w:val="000000"/>
                <w:sz w:val="20"/>
                <w:szCs w:val="20"/>
              </w:rPr>
            </w:pPr>
            <w:r w:rsidRPr="0070510D">
              <w:rPr>
                <w:b/>
                <w:bCs/>
                <w:color w:val="000000"/>
                <w:sz w:val="20"/>
                <w:szCs w:val="20"/>
              </w:rPr>
              <w:t>Person-hours per occurrence</w:t>
            </w:r>
          </w:p>
        </w:tc>
        <w:tc>
          <w:tcPr>
            <w:tcW w:w="144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6A2333A" w14:textId="77777777" w:rsidR="00686C80" w:rsidRPr="0070510D" w:rsidRDefault="00686C80">
            <w:pPr>
              <w:jc w:val="center"/>
              <w:rPr>
                <w:b/>
                <w:bCs/>
                <w:color w:val="000000"/>
                <w:sz w:val="20"/>
                <w:szCs w:val="20"/>
              </w:rPr>
            </w:pPr>
            <w:r w:rsidRPr="0070510D">
              <w:rPr>
                <w:b/>
                <w:bCs/>
                <w:color w:val="000000"/>
                <w:sz w:val="20"/>
                <w:szCs w:val="20"/>
              </w:rPr>
              <w:t>(B)</w:t>
            </w:r>
          </w:p>
          <w:p w14:paraId="1793F4E1" w14:textId="0C2E1B61" w:rsidR="00686C80" w:rsidRPr="0070510D" w:rsidRDefault="00686C80" w:rsidP="00781276">
            <w:pPr>
              <w:jc w:val="center"/>
              <w:rPr>
                <w:b/>
                <w:bCs/>
                <w:color w:val="000000"/>
                <w:sz w:val="20"/>
                <w:szCs w:val="20"/>
              </w:rPr>
            </w:pPr>
            <w:r w:rsidRPr="0070510D">
              <w:rPr>
                <w:b/>
                <w:bCs/>
                <w:color w:val="000000"/>
                <w:sz w:val="20"/>
                <w:szCs w:val="20"/>
              </w:rPr>
              <w:t>No. Of occurrences per respondent per year</w:t>
            </w:r>
          </w:p>
        </w:tc>
        <w:tc>
          <w:tcPr>
            <w:tcW w:w="144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22260B6F" w14:textId="77777777" w:rsidR="00686C80" w:rsidRPr="0070510D" w:rsidRDefault="00686C80">
            <w:pPr>
              <w:jc w:val="center"/>
              <w:rPr>
                <w:b/>
                <w:bCs/>
                <w:color w:val="000000"/>
                <w:sz w:val="20"/>
                <w:szCs w:val="20"/>
              </w:rPr>
            </w:pPr>
            <w:r w:rsidRPr="0070510D">
              <w:rPr>
                <w:b/>
                <w:bCs/>
                <w:color w:val="000000"/>
                <w:sz w:val="20"/>
                <w:szCs w:val="20"/>
              </w:rPr>
              <w:t xml:space="preserve">(C) </w:t>
            </w:r>
          </w:p>
          <w:p w14:paraId="2891592F" w14:textId="77777777" w:rsidR="00686C80" w:rsidRPr="0070510D" w:rsidRDefault="00686C80">
            <w:pPr>
              <w:jc w:val="center"/>
              <w:rPr>
                <w:b/>
                <w:bCs/>
                <w:color w:val="000000"/>
                <w:sz w:val="20"/>
                <w:szCs w:val="20"/>
              </w:rPr>
            </w:pPr>
            <w:r w:rsidRPr="0070510D">
              <w:rPr>
                <w:b/>
                <w:bCs/>
                <w:color w:val="000000"/>
                <w:sz w:val="20"/>
                <w:szCs w:val="20"/>
              </w:rPr>
              <w:t xml:space="preserve">Person-hours per respondent per year </w:t>
            </w:r>
          </w:p>
          <w:p w14:paraId="6B173694" w14:textId="77777777" w:rsidR="00686C80" w:rsidRPr="0070510D" w:rsidRDefault="00686C80">
            <w:pPr>
              <w:jc w:val="center"/>
              <w:rPr>
                <w:b/>
                <w:bCs/>
                <w:color w:val="000000"/>
                <w:sz w:val="20"/>
                <w:szCs w:val="20"/>
              </w:rPr>
            </w:pPr>
            <w:r w:rsidRPr="0070510D">
              <w:rPr>
                <w:b/>
                <w:bCs/>
                <w:color w:val="000000"/>
                <w:sz w:val="20"/>
                <w:szCs w:val="20"/>
              </w:rPr>
              <w:t>(C=AxB)</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7495AD6F" w14:textId="77777777" w:rsidR="00686C80" w:rsidRPr="0070510D" w:rsidRDefault="00686C80">
            <w:pPr>
              <w:jc w:val="center"/>
              <w:rPr>
                <w:b/>
                <w:bCs/>
                <w:color w:val="000000"/>
                <w:sz w:val="20"/>
                <w:szCs w:val="20"/>
              </w:rPr>
            </w:pPr>
            <w:r w:rsidRPr="0070510D">
              <w:rPr>
                <w:b/>
                <w:bCs/>
                <w:color w:val="000000"/>
                <w:sz w:val="20"/>
                <w:szCs w:val="20"/>
              </w:rPr>
              <w:t xml:space="preserve">(D) </w:t>
            </w:r>
          </w:p>
          <w:p w14:paraId="2D2B5F81" w14:textId="77777777" w:rsidR="00686C80" w:rsidRPr="0070510D" w:rsidRDefault="00686C80">
            <w:pPr>
              <w:jc w:val="center"/>
              <w:rPr>
                <w:b/>
                <w:bCs/>
                <w:color w:val="000000"/>
                <w:sz w:val="20"/>
                <w:szCs w:val="20"/>
              </w:rPr>
            </w:pPr>
            <w:r w:rsidRPr="0070510D">
              <w:rPr>
                <w:b/>
                <w:bCs/>
                <w:color w:val="000000"/>
                <w:sz w:val="20"/>
                <w:szCs w:val="20"/>
              </w:rPr>
              <w:t xml:space="preserve">Respondents per year </w:t>
            </w:r>
            <w:r w:rsidRPr="0070510D">
              <w:rPr>
                <w:b/>
                <w:bCs/>
                <w:color w:val="000000"/>
                <w:sz w:val="20"/>
                <w:szCs w:val="20"/>
                <w:vertAlign w:val="superscript"/>
              </w:rPr>
              <w:t>a</w:t>
            </w:r>
          </w:p>
        </w:tc>
        <w:tc>
          <w:tcPr>
            <w:tcW w:w="127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73FBAC28" w14:textId="77777777" w:rsidR="003A7D1B" w:rsidRPr="0070510D" w:rsidRDefault="00686C80">
            <w:pPr>
              <w:jc w:val="center"/>
              <w:rPr>
                <w:b/>
                <w:bCs/>
                <w:color w:val="000000"/>
                <w:sz w:val="20"/>
                <w:szCs w:val="20"/>
              </w:rPr>
            </w:pPr>
            <w:r w:rsidRPr="0070510D">
              <w:rPr>
                <w:b/>
                <w:bCs/>
                <w:color w:val="000000"/>
                <w:sz w:val="20"/>
                <w:szCs w:val="20"/>
              </w:rPr>
              <w:t xml:space="preserve">(E) </w:t>
            </w:r>
          </w:p>
          <w:p w14:paraId="190861A3" w14:textId="77777777" w:rsidR="00686C80" w:rsidRPr="0070510D" w:rsidRDefault="00686C80">
            <w:pPr>
              <w:jc w:val="center"/>
              <w:rPr>
                <w:b/>
                <w:bCs/>
                <w:color w:val="000000"/>
                <w:sz w:val="20"/>
                <w:szCs w:val="20"/>
              </w:rPr>
            </w:pPr>
            <w:r w:rsidRPr="0070510D">
              <w:rPr>
                <w:b/>
                <w:bCs/>
                <w:color w:val="000000"/>
                <w:sz w:val="20"/>
                <w:szCs w:val="20"/>
              </w:rPr>
              <w:t>Technical person-hours per year (E=CxD)</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71965B4A" w14:textId="77777777" w:rsidR="00686C80" w:rsidRPr="0070510D" w:rsidRDefault="00686C80">
            <w:pPr>
              <w:jc w:val="center"/>
              <w:rPr>
                <w:b/>
                <w:bCs/>
                <w:color w:val="000000"/>
                <w:sz w:val="20"/>
                <w:szCs w:val="20"/>
              </w:rPr>
            </w:pPr>
            <w:r w:rsidRPr="0070510D">
              <w:rPr>
                <w:b/>
                <w:bCs/>
                <w:color w:val="000000"/>
                <w:sz w:val="20"/>
                <w:szCs w:val="20"/>
              </w:rPr>
              <w:t>(F) Management person-hours per year (Ex0.05)</w:t>
            </w:r>
          </w:p>
        </w:tc>
        <w:tc>
          <w:tcPr>
            <w:tcW w:w="102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3039251D" w14:textId="77777777" w:rsidR="00686C80" w:rsidRPr="0070510D" w:rsidRDefault="00686C80">
            <w:pPr>
              <w:jc w:val="center"/>
              <w:rPr>
                <w:b/>
                <w:bCs/>
                <w:color w:val="000000"/>
                <w:sz w:val="20"/>
                <w:szCs w:val="20"/>
              </w:rPr>
            </w:pPr>
            <w:r w:rsidRPr="0070510D">
              <w:rPr>
                <w:b/>
                <w:bCs/>
                <w:color w:val="000000"/>
                <w:sz w:val="20"/>
                <w:szCs w:val="20"/>
              </w:rPr>
              <w:t>(G) Clerical person-hours per year (Ex0.1)</w:t>
            </w:r>
          </w:p>
        </w:tc>
        <w:tc>
          <w:tcPr>
            <w:tcW w:w="145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1B518D7F" w14:textId="77777777" w:rsidR="00686C80" w:rsidRPr="0070510D" w:rsidRDefault="00686C80">
            <w:pPr>
              <w:jc w:val="center"/>
              <w:rPr>
                <w:b/>
                <w:bCs/>
                <w:color w:val="000000"/>
                <w:sz w:val="20"/>
                <w:szCs w:val="20"/>
              </w:rPr>
            </w:pPr>
            <w:r w:rsidRPr="0070510D">
              <w:rPr>
                <w:b/>
                <w:bCs/>
                <w:color w:val="000000"/>
                <w:sz w:val="20"/>
                <w:szCs w:val="20"/>
              </w:rPr>
              <w:t xml:space="preserve">(H) Cost, </w:t>
            </w:r>
          </w:p>
          <w:p w14:paraId="22AE1150" w14:textId="77777777" w:rsidR="00686C80" w:rsidRPr="0070510D" w:rsidRDefault="00686C80">
            <w:pPr>
              <w:jc w:val="center"/>
              <w:rPr>
                <w:b/>
                <w:bCs/>
                <w:color w:val="000000"/>
                <w:sz w:val="20"/>
                <w:szCs w:val="20"/>
              </w:rPr>
            </w:pPr>
            <w:r w:rsidRPr="0070510D">
              <w:rPr>
                <w:b/>
                <w:bCs/>
                <w:color w:val="000000"/>
                <w:sz w:val="20"/>
                <w:szCs w:val="20"/>
              </w:rPr>
              <w:t xml:space="preserve">$ </w:t>
            </w:r>
            <w:r w:rsidRPr="0070510D">
              <w:rPr>
                <w:b/>
                <w:bCs/>
                <w:color w:val="000000"/>
                <w:sz w:val="20"/>
                <w:szCs w:val="20"/>
                <w:vertAlign w:val="superscript"/>
              </w:rPr>
              <w:t>b</w:t>
            </w:r>
          </w:p>
        </w:tc>
      </w:tr>
      <w:tr w:rsidR="00686C80" w:rsidRPr="0070510D" w14:paraId="678F7047"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0B7CF145" w14:textId="77777777" w:rsidR="00686C80" w:rsidRPr="0070510D" w:rsidRDefault="00686C80">
            <w:pPr>
              <w:rPr>
                <w:color w:val="000000"/>
                <w:sz w:val="20"/>
                <w:szCs w:val="20"/>
              </w:rPr>
            </w:pPr>
            <w:r w:rsidRPr="0070510D">
              <w:rPr>
                <w:color w:val="000000"/>
                <w:sz w:val="20"/>
                <w:szCs w:val="20"/>
              </w:rPr>
              <w:t>1.  Applications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340A853" w14:textId="77777777" w:rsidR="00686C80" w:rsidRPr="0070510D" w:rsidRDefault="00686C80" w:rsidP="00990001">
            <w:pPr>
              <w:jc w:val="center"/>
              <w:rPr>
                <w:color w:val="000000"/>
                <w:sz w:val="20"/>
                <w:szCs w:val="20"/>
              </w:rPr>
            </w:pPr>
            <w:r w:rsidRPr="0070510D">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2866432"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8BECF85"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B2BF6CF" w14:textId="77777777" w:rsidR="00686C80" w:rsidRPr="0070510D"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0A846B5"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2AD499E" w14:textId="77777777" w:rsidR="00686C80" w:rsidRPr="0070510D"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CEE379E" w14:textId="77777777" w:rsidR="00686C80" w:rsidRPr="0070510D"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59D8A71A" w14:textId="77777777" w:rsidR="00686C80" w:rsidRPr="0070510D" w:rsidRDefault="00686C80">
            <w:pPr>
              <w:jc w:val="right"/>
              <w:rPr>
                <w:color w:val="000000"/>
                <w:sz w:val="20"/>
                <w:szCs w:val="20"/>
              </w:rPr>
            </w:pPr>
            <w:r w:rsidRPr="0070510D">
              <w:rPr>
                <w:color w:val="000000"/>
                <w:sz w:val="20"/>
                <w:szCs w:val="20"/>
              </w:rPr>
              <w:t> </w:t>
            </w:r>
          </w:p>
        </w:tc>
      </w:tr>
      <w:tr w:rsidR="00686C80" w:rsidRPr="0070510D" w14:paraId="51BBE1A8"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04D339D9" w14:textId="77777777" w:rsidR="00686C80" w:rsidRPr="0070510D" w:rsidRDefault="00686C80" w:rsidP="006D5C6F">
            <w:pPr>
              <w:rPr>
                <w:color w:val="000000"/>
                <w:sz w:val="20"/>
                <w:szCs w:val="20"/>
              </w:rPr>
            </w:pPr>
            <w:r w:rsidRPr="0070510D">
              <w:rPr>
                <w:color w:val="000000"/>
                <w:sz w:val="20"/>
                <w:szCs w:val="20"/>
              </w:rPr>
              <w:t xml:space="preserve">2.  Survey and </w:t>
            </w:r>
            <w:r w:rsidR="006D5C6F" w:rsidRPr="0070510D">
              <w:rPr>
                <w:color w:val="000000"/>
                <w:sz w:val="20"/>
                <w:szCs w:val="20"/>
              </w:rPr>
              <w:t>s</w:t>
            </w:r>
            <w:r w:rsidRPr="0070510D">
              <w:rPr>
                <w:color w:val="000000"/>
                <w:sz w:val="20"/>
                <w:szCs w:val="20"/>
              </w:rPr>
              <w:t>tudies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65EFC72" w14:textId="77777777" w:rsidR="00686C80" w:rsidRPr="0070510D" w:rsidRDefault="00686C80" w:rsidP="00990001">
            <w:pPr>
              <w:jc w:val="center"/>
              <w:rPr>
                <w:color w:val="000000"/>
                <w:sz w:val="20"/>
                <w:szCs w:val="20"/>
              </w:rPr>
            </w:pPr>
            <w:r w:rsidRPr="0070510D">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07673F"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810C0D1"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C1DF2D" w14:textId="77777777" w:rsidR="00686C80" w:rsidRPr="0070510D"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99BA59A"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32CE048" w14:textId="77777777" w:rsidR="00686C80" w:rsidRPr="0070510D"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BA5141A" w14:textId="77777777" w:rsidR="00686C80" w:rsidRPr="0070510D"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07012382" w14:textId="77777777" w:rsidR="00686C80" w:rsidRPr="0070510D" w:rsidRDefault="00686C80">
            <w:pPr>
              <w:jc w:val="right"/>
              <w:rPr>
                <w:color w:val="000000"/>
                <w:sz w:val="20"/>
                <w:szCs w:val="20"/>
              </w:rPr>
            </w:pPr>
            <w:r w:rsidRPr="0070510D">
              <w:rPr>
                <w:color w:val="000000"/>
                <w:sz w:val="20"/>
                <w:szCs w:val="20"/>
              </w:rPr>
              <w:t> </w:t>
            </w:r>
          </w:p>
        </w:tc>
      </w:tr>
      <w:tr w:rsidR="00686C80" w:rsidRPr="0070510D" w14:paraId="07C99756"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FCCC30C" w14:textId="77777777" w:rsidR="00686C80" w:rsidRPr="0070510D" w:rsidRDefault="006E0464" w:rsidP="00B73F4A">
            <w:pPr>
              <w:rPr>
                <w:color w:val="000000"/>
                <w:sz w:val="20"/>
                <w:szCs w:val="20"/>
              </w:rPr>
            </w:pPr>
            <w:r w:rsidRPr="0070510D">
              <w:rPr>
                <w:color w:val="000000"/>
                <w:sz w:val="20"/>
                <w:szCs w:val="20"/>
              </w:rPr>
              <w:t>3</w:t>
            </w:r>
            <w:r w:rsidR="00686C80" w:rsidRPr="0070510D">
              <w:rPr>
                <w:color w:val="000000"/>
                <w:sz w:val="20"/>
                <w:szCs w:val="20"/>
              </w:rPr>
              <w:t xml:space="preserve">.  Reporting </w:t>
            </w:r>
            <w:r w:rsidR="00B73F4A" w:rsidRPr="0070510D">
              <w:rPr>
                <w:color w:val="000000"/>
                <w:sz w:val="20"/>
                <w:szCs w:val="20"/>
              </w:rPr>
              <w:t>r</w:t>
            </w:r>
            <w:r w:rsidR="00686C80" w:rsidRPr="0070510D">
              <w:rPr>
                <w:color w:val="000000"/>
                <w:sz w:val="20"/>
                <w:szCs w:val="20"/>
              </w:rPr>
              <w:t>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D63751B"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B906D2A"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EB8D4B9"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3C5AFB3" w14:textId="77777777" w:rsidR="00686C80" w:rsidRPr="0070510D"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1F22E7C"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2EE1752" w14:textId="77777777" w:rsidR="00686C80" w:rsidRPr="0070510D"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01A18B" w14:textId="77777777" w:rsidR="00686C80" w:rsidRPr="0070510D"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509F3BE5" w14:textId="77777777" w:rsidR="00686C80" w:rsidRPr="0070510D" w:rsidRDefault="00686C80">
            <w:pPr>
              <w:rPr>
                <w:color w:val="000000"/>
                <w:sz w:val="20"/>
                <w:szCs w:val="20"/>
              </w:rPr>
            </w:pPr>
            <w:r w:rsidRPr="0070510D">
              <w:rPr>
                <w:color w:val="000000"/>
                <w:sz w:val="20"/>
                <w:szCs w:val="20"/>
              </w:rPr>
              <w:t> </w:t>
            </w:r>
          </w:p>
        </w:tc>
      </w:tr>
      <w:tr w:rsidR="00686C80" w:rsidRPr="007E70E3" w14:paraId="15136BC5"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5BBF7B3C" w14:textId="77777777" w:rsidR="00686C80" w:rsidRPr="0070510D" w:rsidRDefault="006D5C6F" w:rsidP="001C6C1B">
            <w:pPr>
              <w:rPr>
                <w:sz w:val="20"/>
                <w:szCs w:val="20"/>
              </w:rPr>
            </w:pPr>
            <w:r w:rsidRPr="0070510D">
              <w:rPr>
                <w:sz w:val="20"/>
                <w:szCs w:val="20"/>
              </w:rPr>
              <w:t xml:space="preserve">  </w:t>
            </w:r>
            <w:r w:rsidR="00686C80" w:rsidRPr="0070510D">
              <w:rPr>
                <w:sz w:val="20"/>
                <w:szCs w:val="20"/>
              </w:rPr>
              <w:t xml:space="preserve">A.  Read </w:t>
            </w:r>
            <w:r w:rsidR="001C6C1B" w:rsidRPr="0070510D">
              <w:rPr>
                <w:sz w:val="20"/>
                <w:szCs w:val="20"/>
              </w:rPr>
              <w:t xml:space="preserve">and understand rule requirements </w:t>
            </w:r>
            <w:r w:rsidR="00813875" w:rsidRPr="0070510D">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E78117" w14:textId="73B7CE25" w:rsidR="00686C80" w:rsidRPr="0070510D" w:rsidRDefault="00954CB8" w:rsidP="00990001">
            <w:pPr>
              <w:jc w:val="center"/>
              <w:rPr>
                <w:color w:val="000000"/>
                <w:sz w:val="20"/>
                <w:szCs w:val="20"/>
              </w:rPr>
            </w:pPr>
            <w:r w:rsidRPr="0070510D">
              <w:rPr>
                <w:color w:val="000000"/>
                <w:sz w:val="20"/>
                <w:szCs w:val="20"/>
              </w:rPr>
              <w:t>8</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503675" w14:textId="77777777" w:rsidR="00686C80" w:rsidRPr="0070510D" w:rsidRDefault="00686C80"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F45FDF2" w14:textId="5EBF4FA1" w:rsidR="00686C80" w:rsidRPr="0070510D" w:rsidRDefault="00954CB8" w:rsidP="00990001">
            <w:pPr>
              <w:jc w:val="center"/>
              <w:rPr>
                <w:color w:val="000000"/>
                <w:sz w:val="20"/>
                <w:szCs w:val="20"/>
              </w:rPr>
            </w:pPr>
            <w:r w:rsidRPr="0070510D">
              <w:rPr>
                <w:color w:val="000000"/>
                <w:sz w:val="20"/>
                <w:szCs w:val="20"/>
              </w:rPr>
              <w:t>8</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2C05C8" w14:textId="77777777" w:rsidR="00686C80" w:rsidRPr="0070510D" w:rsidRDefault="00002093" w:rsidP="00990001">
            <w:pPr>
              <w:jc w:val="center"/>
              <w:rPr>
                <w:color w:val="000000"/>
                <w:sz w:val="20"/>
                <w:szCs w:val="20"/>
              </w:rPr>
            </w:pPr>
            <w:r w:rsidRPr="0070510D">
              <w:rPr>
                <w:color w:val="000000"/>
                <w:sz w:val="20"/>
                <w:szCs w:val="20"/>
              </w:rPr>
              <w:t>2.3</w:t>
            </w:r>
            <w:r w:rsidR="00990001" w:rsidRPr="0070510D">
              <w:rPr>
                <w:color w:val="000000"/>
                <w:sz w:val="20"/>
                <w:szCs w:val="20"/>
              </w:rPr>
              <w:t>3</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2E68D77" w14:textId="19C0A851" w:rsidR="00686C80" w:rsidRPr="0070510D" w:rsidRDefault="00954CB8" w:rsidP="00954CB8">
            <w:pPr>
              <w:jc w:val="center"/>
              <w:rPr>
                <w:color w:val="000000"/>
                <w:sz w:val="20"/>
                <w:szCs w:val="20"/>
              </w:rPr>
            </w:pPr>
            <w:r w:rsidRPr="0070510D">
              <w:rPr>
                <w:color w:val="000000"/>
                <w:sz w:val="20"/>
                <w:szCs w:val="20"/>
              </w:rPr>
              <w:t>18</w:t>
            </w:r>
            <w:r w:rsidR="00B73F4A" w:rsidRPr="0070510D">
              <w:rPr>
                <w:color w:val="000000"/>
                <w:sz w:val="20"/>
                <w:szCs w:val="20"/>
              </w:rPr>
              <w:t>.</w:t>
            </w:r>
            <w:r w:rsidRPr="0070510D">
              <w:rPr>
                <w:color w:val="000000"/>
                <w:sz w:val="20"/>
                <w:szCs w:val="20"/>
              </w:rPr>
              <w:t>64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1CDF6D4" w14:textId="56BFAD14" w:rsidR="00686C80" w:rsidRPr="00C16F16" w:rsidRDefault="00954CB8" w:rsidP="00954CB8">
            <w:pPr>
              <w:jc w:val="center"/>
              <w:rPr>
                <w:color w:val="000000"/>
                <w:sz w:val="20"/>
                <w:szCs w:val="20"/>
              </w:rPr>
            </w:pPr>
            <w:r w:rsidRPr="0070510D">
              <w:rPr>
                <w:color w:val="000000"/>
                <w:sz w:val="20"/>
                <w:szCs w:val="20"/>
              </w:rPr>
              <w:t>0</w:t>
            </w:r>
            <w:r w:rsidR="007F2B6A" w:rsidRPr="0070510D">
              <w:rPr>
                <w:color w:val="000000"/>
                <w:sz w:val="20"/>
                <w:szCs w:val="20"/>
              </w:rPr>
              <w:t>.</w:t>
            </w:r>
            <w:r w:rsidRPr="0070510D">
              <w:rPr>
                <w:color w:val="000000"/>
                <w:sz w:val="20"/>
                <w:szCs w:val="20"/>
              </w:rPr>
              <w:t>93</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58312BD" w14:textId="031B700B" w:rsidR="00686C80" w:rsidRPr="00E50952" w:rsidRDefault="00954CB8" w:rsidP="00954CB8">
            <w:pPr>
              <w:jc w:val="center"/>
              <w:rPr>
                <w:color w:val="000000"/>
                <w:sz w:val="20"/>
                <w:szCs w:val="20"/>
              </w:rPr>
            </w:pPr>
            <w:r w:rsidRPr="00E50952">
              <w:rPr>
                <w:color w:val="000000"/>
                <w:sz w:val="20"/>
                <w:szCs w:val="20"/>
              </w:rPr>
              <w:t>1</w:t>
            </w:r>
            <w:r w:rsidR="007F2B6A" w:rsidRPr="00E50952">
              <w:rPr>
                <w:color w:val="000000"/>
                <w:sz w:val="20"/>
                <w:szCs w:val="20"/>
              </w:rPr>
              <w:t>.</w:t>
            </w:r>
            <w:r w:rsidRPr="00E50952">
              <w:rPr>
                <w:color w:val="000000"/>
                <w:sz w:val="20"/>
                <w:szCs w:val="20"/>
              </w:rPr>
              <w:t>86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1072898C" w14:textId="73E3B007" w:rsidR="00686C80" w:rsidRPr="007E70E3" w:rsidRDefault="00603243" w:rsidP="00224448">
            <w:pPr>
              <w:jc w:val="right"/>
              <w:rPr>
                <w:color w:val="000000"/>
                <w:sz w:val="20"/>
                <w:szCs w:val="20"/>
              </w:rPr>
            </w:pPr>
            <w:r w:rsidRPr="007E70E3">
              <w:rPr>
                <w:color w:val="000000"/>
                <w:sz w:val="20"/>
                <w:szCs w:val="20"/>
              </w:rPr>
              <w:t>$</w:t>
            </w:r>
            <w:r w:rsidR="00224448" w:rsidRPr="007E70E3">
              <w:rPr>
                <w:color w:val="000000"/>
                <w:sz w:val="20"/>
                <w:szCs w:val="20"/>
              </w:rPr>
              <w:t>1</w:t>
            </w:r>
            <w:r w:rsidR="004811FF" w:rsidRPr="007E70E3">
              <w:rPr>
                <w:color w:val="000000"/>
                <w:sz w:val="20"/>
                <w:szCs w:val="20"/>
              </w:rPr>
              <w:t>,</w:t>
            </w:r>
            <w:r w:rsidR="00954CB8" w:rsidRPr="007E70E3">
              <w:rPr>
                <w:color w:val="000000"/>
                <w:sz w:val="20"/>
                <w:szCs w:val="20"/>
              </w:rPr>
              <w:t>3</w:t>
            </w:r>
            <w:r w:rsidR="00224448" w:rsidRPr="007E70E3">
              <w:rPr>
                <w:color w:val="000000"/>
                <w:sz w:val="20"/>
                <w:szCs w:val="20"/>
              </w:rPr>
              <w:t>90</w:t>
            </w:r>
            <w:r w:rsidR="00DC095C" w:rsidRPr="007E70E3">
              <w:rPr>
                <w:color w:val="000000"/>
                <w:sz w:val="20"/>
                <w:szCs w:val="20"/>
              </w:rPr>
              <w:t>.</w:t>
            </w:r>
            <w:r w:rsidR="00224448" w:rsidRPr="007E70E3">
              <w:rPr>
                <w:color w:val="000000"/>
                <w:sz w:val="20"/>
                <w:szCs w:val="20"/>
              </w:rPr>
              <w:t>24</w:t>
            </w:r>
          </w:p>
        </w:tc>
      </w:tr>
      <w:tr w:rsidR="00686C80" w:rsidRPr="007E70E3" w14:paraId="70FDBD83"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51A28FA" w14:textId="77777777" w:rsidR="00686C80" w:rsidRPr="007E70E3" w:rsidRDefault="006D5C6F" w:rsidP="00B73F4A">
            <w:pPr>
              <w:rPr>
                <w:color w:val="000000"/>
                <w:sz w:val="20"/>
                <w:szCs w:val="20"/>
              </w:rPr>
            </w:pPr>
            <w:r w:rsidRPr="007E70E3">
              <w:rPr>
                <w:color w:val="000000"/>
                <w:sz w:val="20"/>
                <w:szCs w:val="20"/>
              </w:rPr>
              <w:t xml:space="preserve">  </w:t>
            </w:r>
            <w:r w:rsidR="00686C80" w:rsidRPr="007E70E3">
              <w:rPr>
                <w:color w:val="000000"/>
                <w:sz w:val="20"/>
                <w:szCs w:val="20"/>
              </w:rPr>
              <w:t>B.  Required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7A2D270" w14:textId="77777777" w:rsidR="00686C80" w:rsidRPr="007E70E3"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C7007CD" w14:textId="77777777" w:rsidR="00686C80" w:rsidRPr="007E70E3"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E819B7" w14:textId="77777777" w:rsidR="00686C80" w:rsidRPr="007E70E3"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32F5DF1" w14:textId="77777777" w:rsidR="00686C80" w:rsidRPr="007E70E3"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33C5EF" w14:textId="77777777" w:rsidR="00686C80" w:rsidRPr="007E70E3"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C3D446D" w14:textId="77777777" w:rsidR="00686C80" w:rsidRPr="007E70E3"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5770B4D" w14:textId="77777777" w:rsidR="00686C80" w:rsidRPr="007E70E3"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2F94CA2" w14:textId="77777777" w:rsidR="00686C80" w:rsidRPr="007E70E3" w:rsidRDefault="00686C80">
            <w:pPr>
              <w:rPr>
                <w:color w:val="000000"/>
                <w:sz w:val="20"/>
                <w:szCs w:val="20"/>
              </w:rPr>
            </w:pPr>
            <w:r w:rsidRPr="007E70E3">
              <w:rPr>
                <w:color w:val="000000"/>
                <w:sz w:val="20"/>
                <w:szCs w:val="20"/>
              </w:rPr>
              <w:t> </w:t>
            </w:r>
          </w:p>
        </w:tc>
      </w:tr>
      <w:tr w:rsidR="00686C80" w:rsidRPr="0070510D" w14:paraId="667B6B4C" w14:textId="77777777" w:rsidTr="007E70E3">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515C428D" w14:textId="648493A6" w:rsidR="00686C80" w:rsidRPr="0070510D" w:rsidRDefault="002B6F98" w:rsidP="000134B6">
            <w:pPr>
              <w:ind w:left="720"/>
              <w:rPr>
                <w:color w:val="000000"/>
                <w:sz w:val="20"/>
                <w:szCs w:val="20"/>
              </w:rPr>
            </w:pPr>
            <w:r w:rsidRPr="007E70E3">
              <w:rPr>
                <w:color w:val="000000"/>
                <w:sz w:val="20"/>
                <w:szCs w:val="20"/>
              </w:rPr>
              <w:t xml:space="preserve">i. </w:t>
            </w:r>
            <w:r w:rsidR="00686C80" w:rsidRPr="007E70E3">
              <w:rPr>
                <w:color w:val="000000"/>
                <w:sz w:val="20"/>
                <w:szCs w:val="20"/>
              </w:rPr>
              <w:t xml:space="preserve">Initial performance tests </w:t>
            </w:r>
            <w:r w:rsidR="00813875" w:rsidRPr="0070510D">
              <w:rPr>
                <w:color w:val="000000"/>
                <w:vertAlign w:val="superscript"/>
              </w:rPr>
              <w:t>d</w:t>
            </w:r>
            <w:r w:rsidR="00686C80" w:rsidRPr="0070510D">
              <w:rPr>
                <w:color w:val="000000"/>
                <w:sz w:val="20"/>
                <w:szCs w:val="20"/>
                <w:vertAlign w:val="superscript"/>
              </w:rPr>
              <w:t xml:space="preserve"> </w:t>
            </w:r>
            <w:r w:rsidR="00686C80" w:rsidRPr="0070510D">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71EDB8" w14:textId="77777777" w:rsidR="00686C80" w:rsidRPr="0070510D" w:rsidRDefault="00686C80" w:rsidP="00990001">
            <w:pPr>
              <w:jc w:val="center"/>
              <w:rPr>
                <w:color w:val="000000"/>
                <w:sz w:val="20"/>
                <w:szCs w:val="20"/>
              </w:rPr>
            </w:pPr>
            <w:r w:rsidRPr="0070510D">
              <w:rPr>
                <w:color w:val="000000"/>
                <w:sz w:val="20"/>
                <w:szCs w:val="20"/>
              </w:rPr>
              <w:t>200</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CB98529" w14:textId="77777777" w:rsidR="00686C80" w:rsidRPr="0070510D" w:rsidRDefault="00686C80"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4363D27" w14:textId="77777777" w:rsidR="00686C80" w:rsidRPr="0070510D" w:rsidRDefault="00686C80" w:rsidP="00990001">
            <w:pPr>
              <w:jc w:val="center"/>
              <w:rPr>
                <w:color w:val="000000"/>
                <w:sz w:val="20"/>
                <w:szCs w:val="20"/>
              </w:rPr>
            </w:pPr>
            <w:r w:rsidRPr="0070510D">
              <w:rPr>
                <w:color w:val="000000"/>
                <w:sz w:val="20"/>
                <w:szCs w:val="20"/>
              </w:rPr>
              <w:t>200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FD4D10B" w14:textId="77777777" w:rsidR="00686C80" w:rsidRPr="0070510D" w:rsidRDefault="00686C80" w:rsidP="00990001">
            <w:pPr>
              <w:jc w:val="center"/>
              <w:rPr>
                <w:color w:val="000000"/>
                <w:sz w:val="20"/>
                <w:szCs w:val="20"/>
              </w:rPr>
            </w:pPr>
            <w:r w:rsidRPr="0070510D">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2645E99" w14:textId="77777777" w:rsidR="00686C80" w:rsidRPr="0070510D" w:rsidRDefault="00686C80" w:rsidP="00990001">
            <w:pPr>
              <w:jc w:val="center"/>
              <w:rPr>
                <w:color w:val="000000"/>
                <w:sz w:val="20"/>
                <w:szCs w:val="20"/>
              </w:rPr>
            </w:pPr>
            <w:r w:rsidRPr="0070510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F8DF7FD" w14:textId="77777777" w:rsidR="00686C80" w:rsidRPr="0070510D" w:rsidRDefault="00686C80" w:rsidP="00990001">
            <w:pPr>
              <w:jc w:val="center"/>
              <w:rPr>
                <w:color w:val="000000"/>
                <w:sz w:val="20"/>
                <w:szCs w:val="20"/>
              </w:rPr>
            </w:pPr>
            <w:r w:rsidRPr="0070510D">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46F67AC" w14:textId="77777777" w:rsidR="00686C80" w:rsidRPr="0070510D" w:rsidRDefault="00686C80" w:rsidP="00990001">
            <w:pPr>
              <w:jc w:val="center"/>
              <w:rPr>
                <w:color w:val="000000"/>
                <w:sz w:val="20"/>
                <w:szCs w:val="20"/>
              </w:rPr>
            </w:pPr>
            <w:r w:rsidRPr="0070510D">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60E90541" w14:textId="77777777" w:rsidR="00686C80" w:rsidRPr="0070510D" w:rsidRDefault="00686C80">
            <w:pPr>
              <w:jc w:val="right"/>
              <w:rPr>
                <w:color w:val="000000"/>
                <w:sz w:val="20"/>
                <w:szCs w:val="20"/>
              </w:rPr>
            </w:pPr>
            <w:r w:rsidRPr="0070510D">
              <w:rPr>
                <w:color w:val="000000"/>
                <w:sz w:val="20"/>
                <w:szCs w:val="20"/>
              </w:rPr>
              <w:t>$0</w:t>
            </w:r>
          </w:p>
        </w:tc>
      </w:tr>
      <w:tr w:rsidR="008B6C7B" w:rsidRPr="0070510D" w14:paraId="420FF4F5" w14:textId="77777777" w:rsidTr="007E70E3">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7D036E6" w14:textId="568963B3" w:rsidR="008B6C7B" w:rsidRPr="0070510D" w:rsidRDefault="002B6F98" w:rsidP="000134B6">
            <w:pPr>
              <w:ind w:left="720"/>
              <w:rPr>
                <w:color w:val="000000"/>
                <w:sz w:val="20"/>
                <w:szCs w:val="20"/>
              </w:rPr>
            </w:pPr>
            <w:r w:rsidRPr="0070510D">
              <w:rPr>
                <w:color w:val="000000"/>
                <w:sz w:val="20"/>
                <w:szCs w:val="20"/>
              </w:rPr>
              <w:t xml:space="preserve">ii. </w:t>
            </w:r>
            <w:r w:rsidR="008B6C7B" w:rsidRPr="0070510D">
              <w:rPr>
                <w:color w:val="000000"/>
                <w:sz w:val="20"/>
                <w:szCs w:val="20"/>
              </w:rPr>
              <w:t>5-year performance test</w:t>
            </w:r>
            <w:r w:rsidR="008B6C7B" w:rsidRPr="0070510D">
              <w:rPr>
                <w:color w:val="000000"/>
                <w:vertAlign w:val="superscript"/>
              </w:rPr>
              <w:t xml:space="preserve"> </w:t>
            </w:r>
            <w:r w:rsidR="00813875" w:rsidRPr="0070510D">
              <w:rPr>
                <w:color w:val="000000"/>
                <w:vertAlign w:val="superscript"/>
              </w:rPr>
              <w:t>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9D6EBCB" w14:textId="77777777" w:rsidR="008B6C7B" w:rsidRPr="0070510D" w:rsidRDefault="008B6C7B" w:rsidP="00990001">
            <w:pPr>
              <w:jc w:val="center"/>
              <w:rPr>
                <w:color w:val="000000"/>
                <w:sz w:val="20"/>
                <w:szCs w:val="20"/>
              </w:rPr>
            </w:pPr>
            <w:r w:rsidRPr="0070510D">
              <w:rPr>
                <w:color w:val="000000"/>
                <w:sz w:val="20"/>
                <w:szCs w:val="20"/>
              </w:rPr>
              <w:t>221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520CD92" w14:textId="77777777" w:rsidR="008B6C7B" w:rsidRPr="0070510D" w:rsidRDefault="008B6C7B"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67B3993" w14:textId="77777777" w:rsidR="008B6C7B" w:rsidRPr="0070510D" w:rsidRDefault="008B6C7B" w:rsidP="00990001">
            <w:pPr>
              <w:jc w:val="center"/>
              <w:rPr>
                <w:color w:val="000000"/>
                <w:sz w:val="20"/>
                <w:szCs w:val="20"/>
              </w:rPr>
            </w:pPr>
            <w:r w:rsidRPr="0070510D">
              <w:rPr>
                <w:color w:val="000000"/>
                <w:sz w:val="20"/>
                <w:szCs w:val="20"/>
              </w:rPr>
              <w:t>221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05C8696" w14:textId="77777777" w:rsidR="008B6C7B" w:rsidRPr="0070510D" w:rsidRDefault="00C1026C" w:rsidP="00990001">
            <w:pPr>
              <w:jc w:val="center"/>
              <w:rPr>
                <w:color w:val="000000"/>
                <w:sz w:val="20"/>
                <w:szCs w:val="20"/>
              </w:rPr>
            </w:pPr>
            <w:r w:rsidRPr="0070510D">
              <w:rPr>
                <w:color w:val="000000"/>
                <w:sz w:val="20"/>
                <w:szCs w:val="20"/>
              </w:rPr>
              <w:t>1.8</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8A3D539" w14:textId="77777777" w:rsidR="008B6C7B" w:rsidRPr="0070510D" w:rsidRDefault="00B73F4A" w:rsidP="00990001">
            <w:pPr>
              <w:jc w:val="center"/>
              <w:rPr>
                <w:color w:val="000000"/>
                <w:sz w:val="20"/>
                <w:szCs w:val="20"/>
              </w:rPr>
            </w:pPr>
            <w:r w:rsidRPr="0070510D">
              <w:rPr>
                <w:color w:val="000000"/>
                <w:sz w:val="20"/>
                <w:szCs w:val="20"/>
              </w:rPr>
              <w:t>397.8</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037D667" w14:textId="77777777" w:rsidR="008B6C7B" w:rsidRPr="0070510D" w:rsidRDefault="007F2B6A" w:rsidP="00990001">
            <w:pPr>
              <w:jc w:val="center"/>
              <w:rPr>
                <w:color w:val="000000"/>
                <w:sz w:val="20"/>
                <w:szCs w:val="20"/>
              </w:rPr>
            </w:pPr>
            <w:r w:rsidRPr="0070510D">
              <w:rPr>
                <w:color w:val="000000"/>
                <w:sz w:val="20"/>
                <w:szCs w:val="20"/>
              </w:rPr>
              <w:t>19.89</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9292070" w14:textId="77777777" w:rsidR="008B6C7B" w:rsidRPr="00C16F16" w:rsidRDefault="007F2B6A" w:rsidP="00990001">
            <w:pPr>
              <w:jc w:val="center"/>
              <w:rPr>
                <w:color w:val="000000"/>
                <w:sz w:val="20"/>
                <w:szCs w:val="20"/>
              </w:rPr>
            </w:pPr>
            <w:r w:rsidRPr="00C16F16">
              <w:rPr>
                <w:color w:val="000000"/>
                <w:sz w:val="20"/>
                <w:szCs w:val="20"/>
              </w:rPr>
              <w:t>39.78</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09CE1533" w14:textId="56B72FCC" w:rsidR="008B6C7B" w:rsidRPr="007E70E3" w:rsidRDefault="00603243" w:rsidP="00224448">
            <w:pPr>
              <w:jc w:val="right"/>
              <w:rPr>
                <w:color w:val="000000"/>
                <w:sz w:val="20"/>
                <w:szCs w:val="20"/>
              </w:rPr>
            </w:pPr>
            <w:r w:rsidRPr="00E50952">
              <w:rPr>
                <w:color w:val="000000"/>
                <w:sz w:val="20"/>
                <w:szCs w:val="20"/>
              </w:rPr>
              <w:t>$</w:t>
            </w:r>
            <w:r w:rsidR="00224448" w:rsidRPr="00E50952">
              <w:rPr>
                <w:color w:val="000000"/>
                <w:sz w:val="20"/>
                <w:szCs w:val="20"/>
              </w:rPr>
              <w:t>2</w:t>
            </w:r>
            <w:r w:rsidR="00673042" w:rsidRPr="00E50952">
              <w:rPr>
                <w:color w:val="000000"/>
                <w:sz w:val="20"/>
                <w:szCs w:val="20"/>
              </w:rPr>
              <w:t>9</w:t>
            </w:r>
            <w:r w:rsidR="004811FF" w:rsidRPr="00E50952">
              <w:rPr>
                <w:color w:val="000000"/>
                <w:sz w:val="20"/>
                <w:szCs w:val="20"/>
              </w:rPr>
              <w:t>,</w:t>
            </w:r>
            <w:r w:rsidR="00224448" w:rsidRPr="00E50952">
              <w:rPr>
                <w:color w:val="000000"/>
                <w:sz w:val="20"/>
                <w:szCs w:val="20"/>
              </w:rPr>
              <w:t>67</w:t>
            </w:r>
            <w:r w:rsidR="00673042" w:rsidRPr="00E50952">
              <w:rPr>
                <w:color w:val="000000"/>
                <w:sz w:val="20"/>
                <w:szCs w:val="20"/>
              </w:rPr>
              <w:t>8</w:t>
            </w:r>
            <w:r w:rsidR="004811FF" w:rsidRPr="007E70E3">
              <w:rPr>
                <w:color w:val="000000"/>
                <w:sz w:val="20"/>
                <w:szCs w:val="20"/>
              </w:rPr>
              <w:t>.</w:t>
            </w:r>
            <w:r w:rsidR="00224448" w:rsidRPr="007E70E3">
              <w:rPr>
                <w:color w:val="000000"/>
                <w:sz w:val="20"/>
                <w:szCs w:val="20"/>
              </w:rPr>
              <w:t>0</w:t>
            </w:r>
            <w:r w:rsidR="00673042" w:rsidRPr="007E70E3">
              <w:rPr>
                <w:color w:val="000000"/>
                <w:sz w:val="20"/>
                <w:szCs w:val="20"/>
              </w:rPr>
              <w:t>7</w:t>
            </w:r>
          </w:p>
        </w:tc>
      </w:tr>
      <w:tr w:rsidR="008B6C7B" w:rsidRPr="0070510D" w14:paraId="345F45D7" w14:textId="77777777" w:rsidTr="007E70E3">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9353404" w14:textId="4080A6F3" w:rsidR="008B6C7B" w:rsidRPr="0070510D" w:rsidRDefault="002B6F98" w:rsidP="000134B6">
            <w:pPr>
              <w:ind w:left="720"/>
              <w:rPr>
                <w:color w:val="000000"/>
                <w:sz w:val="20"/>
                <w:szCs w:val="20"/>
              </w:rPr>
            </w:pPr>
            <w:r w:rsidRPr="0070510D">
              <w:rPr>
                <w:color w:val="000000"/>
                <w:sz w:val="20"/>
                <w:szCs w:val="20"/>
              </w:rPr>
              <w:t xml:space="preserve">iii. </w:t>
            </w:r>
            <w:r w:rsidR="008B6C7B" w:rsidRPr="0070510D">
              <w:rPr>
                <w:color w:val="000000"/>
                <w:sz w:val="20"/>
                <w:szCs w:val="20"/>
              </w:rPr>
              <w:t>Repeat of performance test</w:t>
            </w:r>
            <w:r w:rsidR="008B6C7B" w:rsidRPr="0070510D">
              <w:rPr>
                <w:color w:val="000000"/>
                <w:vertAlign w:val="superscript"/>
              </w:rPr>
              <w:t xml:space="preserve"> </w:t>
            </w:r>
            <w:r w:rsidR="00813875" w:rsidRPr="0070510D">
              <w:rPr>
                <w:color w:val="000000"/>
                <w:vertAlign w:val="superscript"/>
              </w:rPr>
              <w:t>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9197591" w14:textId="77777777" w:rsidR="008B6C7B" w:rsidRPr="0070510D" w:rsidRDefault="008B6C7B" w:rsidP="00990001">
            <w:pPr>
              <w:jc w:val="center"/>
              <w:rPr>
                <w:color w:val="000000"/>
                <w:sz w:val="20"/>
                <w:szCs w:val="20"/>
              </w:rPr>
            </w:pPr>
            <w:r w:rsidRPr="0070510D">
              <w:rPr>
                <w:color w:val="000000"/>
                <w:sz w:val="20"/>
                <w:szCs w:val="20"/>
              </w:rPr>
              <w:t>221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BFF5BF" w14:textId="77777777" w:rsidR="008B6C7B" w:rsidRPr="0070510D" w:rsidRDefault="008B6C7B"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F437175" w14:textId="77777777" w:rsidR="008B6C7B" w:rsidRPr="0070510D" w:rsidRDefault="008B6C7B" w:rsidP="00990001">
            <w:pPr>
              <w:jc w:val="center"/>
              <w:rPr>
                <w:color w:val="000000"/>
                <w:sz w:val="20"/>
                <w:szCs w:val="20"/>
              </w:rPr>
            </w:pPr>
            <w:r w:rsidRPr="0070510D">
              <w:rPr>
                <w:color w:val="000000"/>
                <w:sz w:val="20"/>
                <w:szCs w:val="20"/>
              </w:rPr>
              <w:t>221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96483DF" w14:textId="77777777" w:rsidR="008B6C7B" w:rsidRPr="0070510D" w:rsidRDefault="00C1026C" w:rsidP="00990001">
            <w:pPr>
              <w:jc w:val="center"/>
              <w:rPr>
                <w:color w:val="000000"/>
                <w:sz w:val="20"/>
                <w:szCs w:val="20"/>
              </w:rPr>
            </w:pPr>
            <w:r w:rsidRPr="0070510D">
              <w:rPr>
                <w:color w:val="000000"/>
                <w:sz w:val="20"/>
                <w:szCs w:val="20"/>
              </w:rPr>
              <w:t>0.36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023F134" w14:textId="77777777" w:rsidR="008B6C7B" w:rsidRPr="0070510D" w:rsidRDefault="00B73F4A" w:rsidP="00990001">
            <w:pPr>
              <w:jc w:val="center"/>
              <w:rPr>
                <w:color w:val="000000"/>
                <w:sz w:val="20"/>
                <w:szCs w:val="20"/>
              </w:rPr>
            </w:pPr>
            <w:r w:rsidRPr="0070510D">
              <w:rPr>
                <w:color w:val="000000"/>
                <w:sz w:val="20"/>
                <w:szCs w:val="20"/>
              </w:rPr>
              <w:t>79.56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DE94703" w14:textId="77777777" w:rsidR="008B6C7B" w:rsidRPr="0070510D" w:rsidRDefault="007F2B6A" w:rsidP="00990001">
            <w:pPr>
              <w:jc w:val="center"/>
              <w:rPr>
                <w:color w:val="000000"/>
                <w:sz w:val="20"/>
                <w:szCs w:val="20"/>
              </w:rPr>
            </w:pPr>
            <w:r w:rsidRPr="0070510D">
              <w:rPr>
                <w:color w:val="000000"/>
                <w:sz w:val="20"/>
                <w:szCs w:val="20"/>
              </w:rPr>
              <w:t>3.98</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955FFE0" w14:textId="77777777" w:rsidR="008B6C7B" w:rsidRPr="00C16F16" w:rsidRDefault="007F2B6A" w:rsidP="00990001">
            <w:pPr>
              <w:jc w:val="center"/>
              <w:rPr>
                <w:color w:val="000000"/>
                <w:sz w:val="20"/>
                <w:szCs w:val="20"/>
              </w:rPr>
            </w:pPr>
            <w:r w:rsidRPr="00C16F16">
              <w:rPr>
                <w:color w:val="000000"/>
                <w:sz w:val="20"/>
                <w:szCs w:val="20"/>
              </w:rPr>
              <w:t>7.96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034620A7" w14:textId="6552D662" w:rsidR="008B6C7B" w:rsidRPr="007E70E3" w:rsidRDefault="00603243" w:rsidP="00224448">
            <w:pPr>
              <w:jc w:val="right"/>
              <w:rPr>
                <w:color w:val="000000"/>
                <w:sz w:val="20"/>
                <w:szCs w:val="20"/>
              </w:rPr>
            </w:pPr>
            <w:r w:rsidRPr="00E50952">
              <w:rPr>
                <w:color w:val="000000"/>
                <w:sz w:val="20"/>
                <w:szCs w:val="20"/>
              </w:rPr>
              <w:t>$</w:t>
            </w:r>
            <w:r w:rsidR="00224448" w:rsidRPr="00E50952">
              <w:rPr>
                <w:color w:val="000000"/>
                <w:sz w:val="20"/>
                <w:szCs w:val="20"/>
              </w:rPr>
              <w:t>5</w:t>
            </w:r>
            <w:r w:rsidR="004811FF" w:rsidRPr="00E50952">
              <w:rPr>
                <w:color w:val="000000"/>
                <w:sz w:val="20"/>
                <w:szCs w:val="20"/>
              </w:rPr>
              <w:t>,</w:t>
            </w:r>
            <w:r w:rsidR="00673042" w:rsidRPr="00E50952">
              <w:rPr>
                <w:color w:val="000000"/>
                <w:sz w:val="20"/>
                <w:szCs w:val="20"/>
              </w:rPr>
              <w:t>9</w:t>
            </w:r>
            <w:r w:rsidR="00224448" w:rsidRPr="00E50952">
              <w:rPr>
                <w:color w:val="000000"/>
                <w:sz w:val="20"/>
                <w:szCs w:val="20"/>
              </w:rPr>
              <w:t>36</w:t>
            </w:r>
            <w:r w:rsidR="004811FF" w:rsidRPr="00E50952">
              <w:rPr>
                <w:color w:val="000000"/>
                <w:sz w:val="20"/>
                <w:szCs w:val="20"/>
              </w:rPr>
              <w:t>.</w:t>
            </w:r>
            <w:r w:rsidR="00224448" w:rsidRPr="007E70E3">
              <w:rPr>
                <w:color w:val="000000"/>
                <w:sz w:val="20"/>
                <w:szCs w:val="20"/>
              </w:rPr>
              <w:t>0</w:t>
            </w:r>
            <w:r w:rsidR="00673042" w:rsidRPr="007E70E3">
              <w:rPr>
                <w:color w:val="000000"/>
                <w:sz w:val="20"/>
                <w:szCs w:val="20"/>
              </w:rPr>
              <w:t>2</w:t>
            </w:r>
          </w:p>
        </w:tc>
      </w:tr>
      <w:tr w:rsidR="00686C80" w:rsidRPr="0070510D" w14:paraId="0B579E3B" w14:textId="77777777" w:rsidTr="007E70E3">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607122A" w14:textId="2AD17EF2" w:rsidR="00686C80" w:rsidRPr="0070510D" w:rsidRDefault="002B6F98" w:rsidP="000134B6">
            <w:pPr>
              <w:ind w:left="720"/>
              <w:rPr>
                <w:color w:val="000000"/>
                <w:sz w:val="20"/>
                <w:szCs w:val="20"/>
              </w:rPr>
            </w:pPr>
            <w:r w:rsidRPr="0070510D">
              <w:rPr>
                <w:color w:val="000000"/>
                <w:sz w:val="20"/>
                <w:szCs w:val="20"/>
              </w:rPr>
              <w:t xml:space="preserve">iv. </w:t>
            </w:r>
            <w:r w:rsidR="00686C80" w:rsidRPr="0070510D">
              <w:rPr>
                <w:color w:val="000000"/>
                <w:sz w:val="20"/>
                <w:szCs w:val="20"/>
              </w:rPr>
              <w:t xml:space="preserve">Monitoring of operations and equipment </w:t>
            </w:r>
            <w:r w:rsidR="00813875" w:rsidRPr="0070510D">
              <w:rPr>
                <w:color w:val="000000"/>
                <w:vertAlign w:val="superscript"/>
              </w:rPr>
              <w:t>e</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850A390" w14:textId="77777777" w:rsidR="00686C80" w:rsidRPr="0070510D" w:rsidRDefault="00141EE5" w:rsidP="00990001">
            <w:pPr>
              <w:jc w:val="center"/>
              <w:rPr>
                <w:color w:val="000000"/>
                <w:sz w:val="20"/>
                <w:szCs w:val="20"/>
              </w:rPr>
            </w:pPr>
            <w:r w:rsidRPr="0070510D">
              <w:rPr>
                <w:color w:val="000000"/>
                <w:sz w:val="20"/>
                <w:szCs w:val="20"/>
              </w:rPr>
              <w:t>See 4</w:t>
            </w:r>
            <w:r w:rsidR="00686C80" w:rsidRPr="0070510D">
              <w:rPr>
                <w:color w:val="000000"/>
                <w:sz w:val="20"/>
                <w:szCs w:val="20"/>
              </w:rPr>
              <w:t>E</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89F77AB"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8BEC957"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A3EEFDC" w14:textId="77777777" w:rsidR="00686C80" w:rsidRPr="0070510D"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B84C249"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F1E2B8E" w14:textId="77777777" w:rsidR="00686C80" w:rsidRPr="0070510D"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379D9E6" w14:textId="77777777" w:rsidR="00686C80" w:rsidRPr="0070510D"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4A93B60" w14:textId="77777777" w:rsidR="00686C80" w:rsidRPr="0070510D" w:rsidRDefault="00686C80">
            <w:pPr>
              <w:rPr>
                <w:color w:val="000000"/>
                <w:sz w:val="20"/>
                <w:szCs w:val="20"/>
              </w:rPr>
            </w:pPr>
            <w:r w:rsidRPr="0070510D">
              <w:rPr>
                <w:color w:val="000000"/>
                <w:sz w:val="20"/>
                <w:szCs w:val="20"/>
              </w:rPr>
              <w:t> </w:t>
            </w:r>
          </w:p>
        </w:tc>
      </w:tr>
      <w:tr w:rsidR="00686C80" w:rsidRPr="0070510D" w14:paraId="01D8FFD4"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B5DF46E" w14:textId="47A38C39" w:rsidR="00686C80" w:rsidRPr="0070510D" w:rsidRDefault="002B6F98" w:rsidP="000134B6">
            <w:pPr>
              <w:ind w:left="720"/>
              <w:rPr>
                <w:color w:val="000000"/>
                <w:sz w:val="20"/>
                <w:szCs w:val="20"/>
              </w:rPr>
            </w:pPr>
            <w:r w:rsidRPr="0070510D">
              <w:rPr>
                <w:color w:val="000000"/>
                <w:sz w:val="20"/>
                <w:szCs w:val="20"/>
              </w:rPr>
              <w:t xml:space="preserve">v. </w:t>
            </w:r>
            <w:r w:rsidR="00686C80" w:rsidRPr="0070510D">
              <w:rPr>
                <w:color w:val="000000"/>
                <w:sz w:val="20"/>
                <w:szCs w:val="20"/>
              </w:rPr>
              <w:t>Opera</w:t>
            </w:r>
            <w:r w:rsidR="00B73F4A" w:rsidRPr="0070510D">
              <w:rPr>
                <w:color w:val="000000"/>
                <w:sz w:val="20"/>
                <w:szCs w:val="20"/>
              </w:rPr>
              <w:t xml:space="preserve">tion, maintenance, monitoring </w:t>
            </w:r>
            <w:r w:rsidR="00686C80" w:rsidRPr="0070510D">
              <w:rPr>
                <w:color w:val="000000"/>
                <w:sz w:val="20"/>
                <w:szCs w:val="20"/>
              </w:rPr>
              <w:t>plan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E77063E" w14:textId="77777777" w:rsidR="00686C80" w:rsidRPr="0070510D" w:rsidRDefault="00686C80" w:rsidP="00990001">
            <w:pPr>
              <w:jc w:val="center"/>
              <w:rPr>
                <w:color w:val="000000"/>
                <w:sz w:val="20"/>
                <w:szCs w:val="20"/>
              </w:rPr>
            </w:pPr>
            <w:r w:rsidRPr="0070510D">
              <w:rPr>
                <w:color w:val="000000"/>
                <w:sz w:val="20"/>
                <w:szCs w:val="20"/>
              </w:rPr>
              <w:t>40</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73729AD" w14:textId="77777777" w:rsidR="00686C80" w:rsidRPr="0070510D" w:rsidRDefault="00686C80"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A46B1AD" w14:textId="77777777" w:rsidR="00686C80" w:rsidRPr="0070510D" w:rsidRDefault="00686C80" w:rsidP="00990001">
            <w:pPr>
              <w:jc w:val="center"/>
              <w:rPr>
                <w:color w:val="000000"/>
                <w:sz w:val="20"/>
                <w:szCs w:val="20"/>
              </w:rPr>
            </w:pPr>
            <w:r w:rsidRPr="0070510D">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51B4644" w14:textId="77777777" w:rsidR="00686C80" w:rsidRPr="0070510D" w:rsidRDefault="00686C80" w:rsidP="00990001">
            <w:pPr>
              <w:jc w:val="center"/>
              <w:rPr>
                <w:color w:val="000000"/>
                <w:sz w:val="20"/>
                <w:szCs w:val="20"/>
              </w:rPr>
            </w:pPr>
            <w:r w:rsidRPr="0070510D">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636178" w14:textId="77777777" w:rsidR="00686C80" w:rsidRPr="0070510D" w:rsidRDefault="00686C80" w:rsidP="00990001">
            <w:pPr>
              <w:jc w:val="center"/>
              <w:rPr>
                <w:color w:val="000000"/>
                <w:sz w:val="20"/>
                <w:szCs w:val="20"/>
              </w:rPr>
            </w:pPr>
            <w:r w:rsidRPr="0070510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99EE600" w14:textId="77777777" w:rsidR="00686C80" w:rsidRPr="0070510D" w:rsidRDefault="00686C80" w:rsidP="00990001">
            <w:pPr>
              <w:jc w:val="center"/>
              <w:rPr>
                <w:color w:val="000000"/>
                <w:sz w:val="20"/>
                <w:szCs w:val="20"/>
              </w:rPr>
            </w:pPr>
            <w:r w:rsidRPr="0070510D">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FEA6AB1" w14:textId="77777777" w:rsidR="00686C80" w:rsidRPr="0070510D" w:rsidRDefault="00686C80" w:rsidP="00990001">
            <w:pPr>
              <w:jc w:val="center"/>
              <w:rPr>
                <w:color w:val="000000"/>
                <w:sz w:val="20"/>
                <w:szCs w:val="20"/>
              </w:rPr>
            </w:pPr>
            <w:r w:rsidRPr="0070510D">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7F0BC6DD" w14:textId="77777777" w:rsidR="00686C80" w:rsidRPr="0070510D" w:rsidRDefault="00686C80">
            <w:pPr>
              <w:jc w:val="right"/>
              <w:rPr>
                <w:color w:val="000000"/>
                <w:sz w:val="20"/>
                <w:szCs w:val="20"/>
              </w:rPr>
            </w:pPr>
            <w:r w:rsidRPr="0070510D">
              <w:rPr>
                <w:color w:val="000000"/>
                <w:sz w:val="20"/>
                <w:szCs w:val="20"/>
              </w:rPr>
              <w:t>$0</w:t>
            </w:r>
          </w:p>
        </w:tc>
      </w:tr>
      <w:tr w:rsidR="00686C80" w:rsidRPr="0070510D" w14:paraId="1EF12CCA"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CDB1F16" w14:textId="77777777" w:rsidR="00686C80" w:rsidRPr="0070510D" w:rsidRDefault="006D5C6F" w:rsidP="006D5C6F">
            <w:pPr>
              <w:rPr>
                <w:color w:val="000000"/>
                <w:sz w:val="20"/>
                <w:szCs w:val="20"/>
              </w:rPr>
            </w:pPr>
            <w:r w:rsidRPr="0070510D">
              <w:rPr>
                <w:color w:val="000000"/>
                <w:sz w:val="20"/>
                <w:szCs w:val="20"/>
              </w:rPr>
              <w:t xml:space="preserve"> </w:t>
            </w:r>
            <w:r w:rsidR="00B73F4A" w:rsidRPr="0070510D">
              <w:rPr>
                <w:color w:val="000000"/>
                <w:sz w:val="20"/>
                <w:szCs w:val="20"/>
              </w:rPr>
              <w:t xml:space="preserve">  </w:t>
            </w:r>
            <w:r w:rsidRPr="0070510D">
              <w:rPr>
                <w:color w:val="000000"/>
                <w:sz w:val="20"/>
                <w:szCs w:val="20"/>
              </w:rPr>
              <w:t>C. Create information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D447C3D" w14:textId="77777777" w:rsidR="00686C80" w:rsidRPr="0070510D" w:rsidRDefault="00B73F4A" w:rsidP="00990001">
            <w:pPr>
              <w:jc w:val="center"/>
              <w:rPr>
                <w:color w:val="000000"/>
                <w:sz w:val="20"/>
                <w:szCs w:val="20"/>
              </w:rPr>
            </w:pPr>
            <w:r w:rsidRPr="0070510D">
              <w:rPr>
                <w:color w:val="000000"/>
                <w:sz w:val="20"/>
                <w:szCs w:val="20"/>
              </w:rPr>
              <w:t>See 3B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75F1AA2"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68D970A"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0E81A79" w14:textId="77777777" w:rsidR="00686C80" w:rsidRPr="0070510D"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34C6482"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4B88CD2" w14:textId="77777777" w:rsidR="00686C80" w:rsidRPr="0070510D"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6FF139B" w14:textId="77777777" w:rsidR="00686C80" w:rsidRPr="0070510D"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129FFE73" w14:textId="77777777" w:rsidR="00686C80" w:rsidRPr="0070510D" w:rsidRDefault="00686C80">
            <w:pPr>
              <w:jc w:val="right"/>
              <w:rPr>
                <w:color w:val="000000"/>
                <w:sz w:val="20"/>
                <w:szCs w:val="20"/>
              </w:rPr>
            </w:pPr>
          </w:p>
        </w:tc>
      </w:tr>
      <w:tr w:rsidR="00686C80" w:rsidRPr="0070510D" w14:paraId="4B0C8BCD"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54FFEE7" w14:textId="77777777" w:rsidR="00686C80" w:rsidRPr="0070510D" w:rsidRDefault="00686C80" w:rsidP="00B73F4A">
            <w:pPr>
              <w:rPr>
                <w:color w:val="000000"/>
                <w:sz w:val="20"/>
                <w:szCs w:val="20"/>
              </w:rPr>
            </w:pPr>
            <w:r w:rsidRPr="0070510D">
              <w:rPr>
                <w:color w:val="000000"/>
                <w:sz w:val="20"/>
                <w:szCs w:val="20"/>
              </w:rPr>
              <w:t xml:space="preserve">   D.  Gather </w:t>
            </w:r>
            <w:r w:rsidR="00B73F4A" w:rsidRPr="0070510D">
              <w:rPr>
                <w:color w:val="000000"/>
                <w:sz w:val="20"/>
                <w:szCs w:val="20"/>
              </w:rPr>
              <w:t>e</w:t>
            </w:r>
            <w:r w:rsidRPr="0070510D">
              <w:rPr>
                <w:color w:val="000000"/>
                <w:sz w:val="20"/>
                <w:szCs w:val="20"/>
              </w:rPr>
              <w:t xml:space="preserve">xisting </w:t>
            </w:r>
            <w:r w:rsidR="00B73F4A" w:rsidRPr="0070510D">
              <w:rPr>
                <w:color w:val="000000"/>
                <w:sz w:val="20"/>
                <w:szCs w:val="20"/>
              </w:rPr>
              <w:t>i</w:t>
            </w:r>
            <w:r w:rsidRPr="0070510D">
              <w:rPr>
                <w:color w:val="000000"/>
                <w:sz w:val="20"/>
                <w:szCs w:val="20"/>
              </w:rPr>
              <w:t>nformation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8F29C45" w14:textId="77777777" w:rsidR="00686C80" w:rsidRPr="0070510D" w:rsidRDefault="00141EE5" w:rsidP="00990001">
            <w:pPr>
              <w:jc w:val="center"/>
              <w:rPr>
                <w:color w:val="000000"/>
                <w:sz w:val="20"/>
                <w:szCs w:val="20"/>
              </w:rPr>
            </w:pPr>
            <w:r w:rsidRPr="0070510D">
              <w:rPr>
                <w:color w:val="000000"/>
                <w:sz w:val="20"/>
                <w:szCs w:val="20"/>
              </w:rPr>
              <w:t>See 3</w:t>
            </w:r>
            <w:r w:rsidR="00686C80" w:rsidRPr="0070510D">
              <w:rPr>
                <w:color w:val="000000"/>
                <w:sz w:val="20"/>
                <w:szCs w:val="20"/>
              </w:rPr>
              <w:t>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E61A6F5"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4EDF11"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D075C0" w14:textId="77777777" w:rsidR="00686C80" w:rsidRPr="0070510D"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F423A24" w14:textId="77777777" w:rsidR="00686C80" w:rsidRPr="0070510D" w:rsidRDefault="00686C80" w:rsidP="00990001">
            <w:pPr>
              <w:jc w:val="center"/>
              <w:rPr>
                <w:rFonts w:ascii="Calibri" w:hAnsi="Calibri"/>
                <w:color w:val="000000"/>
                <w:sz w:val="22"/>
                <w:szCs w:val="22"/>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ABD466E" w14:textId="77777777" w:rsidR="00686C80" w:rsidRPr="0070510D"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A43AB27" w14:textId="77777777" w:rsidR="00686C80" w:rsidRPr="0070510D"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6109ABB1" w14:textId="77777777" w:rsidR="00686C80" w:rsidRPr="0070510D" w:rsidRDefault="00686C80">
            <w:pPr>
              <w:rPr>
                <w:color w:val="000000"/>
                <w:sz w:val="20"/>
                <w:szCs w:val="20"/>
              </w:rPr>
            </w:pPr>
            <w:r w:rsidRPr="0070510D">
              <w:rPr>
                <w:color w:val="000000"/>
                <w:sz w:val="20"/>
                <w:szCs w:val="20"/>
              </w:rPr>
              <w:t> </w:t>
            </w:r>
          </w:p>
        </w:tc>
      </w:tr>
      <w:tr w:rsidR="00686C80" w:rsidRPr="0070510D" w14:paraId="1BB85EA5" w14:textId="77777777" w:rsidTr="007E70E3">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B5C23E5" w14:textId="77777777" w:rsidR="00686C80" w:rsidRPr="0070510D" w:rsidRDefault="00686C80" w:rsidP="00100F24">
            <w:pPr>
              <w:rPr>
                <w:color w:val="000000"/>
                <w:sz w:val="20"/>
                <w:szCs w:val="20"/>
              </w:rPr>
            </w:pPr>
            <w:r w:rsidRPr="0070510D">
              <w:rPr>
                <w:color w:val="000000"/>
                <w:sz w:val="20"/>
                <w:szCs w:val="20"/>
              </w:rPr>
              <w:t xml:space="preserve">   E.  Write report </w:t>
            </w:r>
            <w:r w:rsidRPr="0070510D">
              <w:rPr>
                <w:color w:val="000000"/>
                <w:vertAlign w:val="superscript"/>
              </w:rPr>
              <w:t xml:space="preserve">a, </w:t>
            </w:r>
            <w:r w:rsidR="00813875" w:rsidRPr="0070510D">
              <w:rPr>
                <w:color w:val="000000"/>
                <w:vertAlign w:val="superscript"/>
              </w:rPr>
              <w:t>d</w:t>
            </w:r>
            <w:r w:rsidRPr="0070510D">
              <w:rPr>
                <w:color w:val="000000"/>
                <w:sz w:val="20"/>
                <w:szCs w:val="20"/>
                <w:vertAlign w:val="superscript"/>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8D9DBA9"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8CCC992" w14:textId="77777777" w:rsidR="00686C80" w:rsidRPr="0070510D"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35DC473" w14:textId="77777777" w:rsidR="00686C80" w:rsidRPr="0070510D" w:rsidRDefault="00686C80" w:rsidP="00990001">
            <w:pPr>
              <w:jc w:val="center"/>
              <w:rPr>
                <w:rFonts w:ascii="Calibri" w:hAnsi="Calibri"/>
                <w:color w:val="000000"/>
                <w:sz w:val="22"/>
                <w:szCs w:val="22"/>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F464485" w14:textId="77777777" w:rsidR="00686C80" w:rsidRPr="0070510D"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5BF8CDE" w14:textId="77777777" w:rsidR="00686C80" w:rsidRPr="0070510D"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08BDF5D" w14:textId="77777777" w:rsidR="00686C80" w:rsidRPr="0070510D"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104CDE6" w14:textId="77777777" w:rsidR="00686C80" w:rsidRPr="0070510D"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05BC599" w14:textId="77777777" w:rsidR="00686C80" w:rsidRPr="0070510D" w:rsidRDefault="00686C80">
            <w:pPr>
              <w:rPr>
                <w:color w:val="000000"/>
                <w:sz w:val="20"/>
                <w:szCs w:val="20"/>
              </w:rPr>
            </w:pPr>
            <w:r w:rsidRPr="0070510D">
              <w:rPr>
                <w:color w:val="000000"/>
                <w:sz w:val="20"/>
                <w:szCs w:val="20"/>
              </w:rPr>
              <w:t> </w:t>
            </w:r>
          </w:p>
        </w:tc>
      </w:tr>
      <w:tr w:rsidR="00686C80" w:rsidRPr="0070510D" w14:paraId="2794C604" w14:textId="77777777" w:rsidTr="007E70E3">
        <w:trPr>
          <w:trHeight w:val="31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0B138E2D" w14:textId="1960168B" w:rsidR="00686C80" w:rsidRPr="0070510D" w:rsidRDefault="00AE21E3" w:rsidP="000134B6">
            <w:pPr>
              <w:ind w:left="720"/>
              <w:rPr>
                <w:color w:val="000000"/>
                <w:sz w:val="20"/>
                <w:szCs w:val="20"/>
              </w:rPr>
            </w:pPr>
            <w:r w:rsidRPr="0070510D">
              <w:rPr>
                <w:color w:val="000000"/>
                <w:sz w:val="20"/>
                <w:szCs w:val="20"/>
              </w:rPr>
              <w:t xml:space="preserve">i. </w:t>
            </w:r>
            <w:r w:rsidR="00990001" w:rsidRPr="0070510D">
              <w:rPr>
                <w:color w:val="000000"/>
                <w:sz w:val="20"/>
                <w:szCs w:val="20"/>
              </w:rPr>
              <w:t>Notification of construction/reconstruction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8420A99" w14:textId="77777777" w:rsidR="00686C80" w:rsidRPr="0070510D" w:rsidRDefault="00686C80" w:rsidP="00990001">
            <w:pPr>
              <w:jc w:val="center"/>
              <w:rPr>
                <w:color w:val="000000"/>
                <w:sz w:val="20"/>
                <w:szCs w:val="20"/>
              </w:rPr>
            </w:pPr>
            <w:r w:rsidRPr="0070510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89D5689" w14:textId="77777777" w:rsidR="00686C80" w:rsidRPr="0070510D" w:rsidRDefault="00686C80"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70DC67E" w14:textId="77777777" w:rsidR="00686C80" w:rsidRPr="0070510D" w:rsidRDefault="00686C80" w:rsidP="00990001">
            <w:pPr>
              <w:jc w:val="center"/>
              <w:rPr>
                <w:color w:val="000000"/>
                <w:sz w:val="20"/>
                <w:szCs w:val="20"/>
              </w:rPr>
            </w:pPr>
            <w:r w:rsidRPr="0070510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684D239" w14:textId="77777777" w:rsidR="00686C80" w:rsidRPr="0070510D" w:rsidRDefault="00686C80" w:rsidP="00990001">
            <w:pPr>
              <w:jc w:val="center"/>
              <w:rPr>
                <w:color w:val="000000"/>
                <w:sz w:val="20"/>
                <w:szCs w:val="20"/>
              </w:rPr>
            </w:pPr>
            <w:r w:rsidRPr="0070510D">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081B7B1" w14:textId="77777777" w:rsidR="00686C80" w:rsidRPr="0070510D" w:rsidRDefault="00686C80" w:rsidP="00990001">
            <w:pPr>
              <w:jc w:val="center"/>
              <w:rPr>
                <w:color w:val="000000"/>
                <w:sz w:val="20"/>
                <w:szCs w:val="20"/>
              </w:rPr>
            </w:pPr>
            <w:r w:rsidRPr="0070510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70B2C1" w14:textId="77777777" w:rsidR="00686C80" w:rsidRPr="0070510D" w:rsidRDefault="00686C80" w:rsidP="00990001">
            <w:pPr>
              <w:jc w:val="center"/>
              <w:rPr>
                <w:color w:val="000000"/>
                <w:sz w:val="20"/>
                <w:szCs w:val="20"/>
              </w:rPr>
            </w:pPr>
            <w:r w:rsidRPr="0070510D">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D866B76" w14:textId="77777777" w:rsidR="00686C80" w:rsidRPr="0070510D" w:rsidRDefault="00686C80" w:rsidP="00990001">
            <w:pPr>
              <w:jc w:val="center"/>
              <w:rPr>
                <w:color w:val="000000"/>
                <w:sz w:val="20"/>
                <w:szCs w:val="20"/>
              </w:rPr>
            </w:pPr>
            <w:r w:rsidRPr="0070510D">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78D53D12" w14:textId="77777777" w:rsidR="00686C80" w:rsidRPr="0070510D" w:rsidRDefault="00686C80">
            <w:pPr>
              <w:jc w:val="right"/>
              <w:rPr>
                <w:color w:val="000000"/>
                <w:sz w:val="20"/>
                <w:szCs w:val="20"/>
              </w:rPr>
            </w:pPr>
            <w:r w:rsidRPr="0070510D">
              <w:rPr>
                <w:color w:val="000000"/>
                <w:sz w:val="20"/>
                <w:szCs w:val="20"/>
              </w:rPr>
              <w:t>$0</w:t>
            </w:r>
          </w:p>
        </w:tc>
      </w:tr>
      <w:tr w:rsidR="00686C80" w:rsidRPr="0070510D" w14:paraId="75B4E61B"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117D3F47" w14:textId="39A6258E" w:rsidR="00686C80" w:rsidRPr="0070510D" w:rsidRDefault="00AE21E3" w:rsidP="000134B6">
            <w:pPr>
              <w:ind w:left="720"/>
              <w:rPr>
                <w:color w:val="000000"/>
                <w:sz w:val="20"/>
                <w:szCs w:val="20"/>
              </w:rPr>
            </w:pPr>
            <w:r w:rsidRPr="0070510D">
              <w:rPr>
                <w:color w:val="000000"/>
                <w:sz w:val="20"/>
                <w:szCs w:val="20"/>
              </w:rPr>
              <w:t xml:space="preserve">ii. </w:t>
            </w:r>
            <w:r w:rsidR="00686C80" w:rsidRPr="0070510D">
              <w:rPr>
                <w:color w:val="000000"/>
                <w:sz w:val="20"/>
                <w:szCs w:val="20"/>
              </w:rPr>
              <w:t>Notification of actual startup</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CF146A3" w14:textId="77777777" w:rsidR="00686C80" w:rsidRPr="0070510D" w:rsidRDefault="00686C80" w:rsidP="00990001">
            <w:pPr>
              <w:jc w:val="center"/>
              <w:rPr>
                <w:color w:val="000000"/>
                <w:sz w:val="20"/>
                <w:szCs w:val="20"/>
              </w:rPr>
            </w:pPr>
            <w:r w:rsidRPr="0070510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F2F8567" w14:textId="77777777" w:rsidR="00686C80" w:rsidRPr="0070510D" w:rsidRDefault="00686C80"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D1D7E01" w14:textId="77777777" w:rsidR="00686C80" w:rsidRPr="0070510D" w:rsidRDefault="00686C80" w:rsidP="00990001">
            <w:pPr>
              <w:jc w:val="center"/>
              <w:rPr>
                <w:color w:val="000000"/>
                <w:sz w:val="20"/>
                <w:szCs w:val="20"/>
              </w:rPr>
            </w:pPr>
            <w:r w:rsidRPr="0070510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F77F867" w14:textId="77777777" w:rsidR="00686C80" w:rsidRPr="0070510D" w:rsidRDefault="00686C80" w:rsidP="00990001">
            <w:pPr>
              <w:jc w:val="center"/>
              <w:rPr>
                <w:color w:val="000000"/>
                <w:sz w:val="20"/>
                <w:szCs w:val="20"/>
              </w:rPr>
            </w:pPr>
            <w:r w:rsidRPr="0070510D">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88173FD" w14:textId="77777777" w:rsidR="00686C80" w:rsidRPr="0070510D" w:rsidRDefault="00686C80" w:rsidP="00990001">
            <w:pPr>
              <w:jc w:val="center"/>
              <w:rPr>
                <w:color w:val="000000"/>
                <w:sz w:val="20"/>
                <w:szCs w:val="20"/>
              </w:rPr>
            </w:pPr>
            <w:r w:rsidRPr="0070510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94B9264" w14:textId="77777777" w:rsidR="00686C80" w:rsidRPr="0070510D" w:rsidRDefault="00686C80" w:rsidP="00990001">
            <w:pPr>
              <w:jc w:val="center"/>
              <w:rPr>
                <w:color w:val="000000"/>
                <w:sz w:val="20"/>
                <w:szCs w:val="20"/>
              </w:rPr>
            </w:pPr>
            <w:r w:rsidRPr="0070510D">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33BEC3A" w14:textId="77777777" w:rsidR="00686C80" w:rsidRPr="0070510D" w:rsidRDefault="00686C80" w:rsidP="00990001">
            <w:pPr>
              <w:jc w:val="center"/>
              <w:rPr>
                <w:color w:val="000000"/>
                <w:sz w:val="20"/>
                <w:szCs w:val="20"/>
              </w:rPr>
            </w:pPr>
            <w:r w:rsidRPr="0070510D">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5CE26E78" w14:textId="77777777" w:rsidR="00686C80" w:rsidRPr="0070510D" w:rsidRDefault="00686C80">
            <w:pPr>
              <w:jc w:val="right"/>
              <w:rPr>
                <w:color w:val="000000"/>
                <w:sz w:val="20"/>
                <w:szCs w:val="20"/>
              </w:rPr>
            </w:pPr>
            <w:r w:rsidRPr="0070510D">
              <w:rPr>
                <w:color w:val="000000"/>
                <w:sz w:val="20"/>
                <w:szCs w:val="20"/>
              </w:rPr>
              <w:t>$0</w:t>
            </w:r>
          </w:p>
        </w:tc>
      </w:tr>
      <w:tr w:rsidR="00686C80" w:rsidRPr="0070510D" w14:paraId="17EEAA27"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7EC84F5" w14:textId="41B34FD7" w:rsidR="00686C80" w:rsidRPr="0070510D" w:rsidRDefault="00AE21E3" w:rsidP="000134B6">
            <w:pPr>
              <w:ind w:left="720"/>
              <w:rPr>
                <w:color w:val="000000"/>
                <w:sz w:val="20"/>
                <w:szCs w:val="20"/>
              </w:rPr>
            </w:pPr>
            <w:r w:rsidRPr="0070510D">
              <w:rPr>
                <w:color w:val="000000"/>
                <w:sz w:val="20"/>
                <w:szCs w:val="20"/>
              </w:rPr>
              <w:t xml:space="preserve">iii. </w:t>
            </w:r>
            <w:r w:rsidR="00686C80" w:rsidRPr="0070510D">
              <w:rPr>
                <w:color w:val="000000"/>
                <w:sz w:val="20"/>
                <w:szCs w:val="20"/>
              </w:rPr>
              <w:t xml:space="preserve">Notification of </w:t>
            </w:r>
            <w:r w:rsidR="00100F24" w:rsidRPr="0070510D">
              <w:rPr>
                <w:color w:val="000000"/>
                <w:sz w:val="20"/>
                <w:szCs w:val="20"/>
              </w:rPr>
              <w:t>applicability of standard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7B57B42" w14:textId="77777777" w:rsidR="00686C80" w:rsidRPr="0070510D" w:rsidRDefault="00686C80" w:rsidP="00990001">
            <w:pPr>
              <w:jc w:val="center"/>
              <w:rPr>
                <w:color w:val="000000"/>
                <w:sz w:val="20"/>
                <w:szCs w:val="20"/>
              </w:rPr>
            </w:pPr>
            <w:r w:rsidRPr="0070510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84634B1" w14:textId="77777777" w:rsidR="00686C80" w:rsidRPr="0070510D" w:rsidRDefault="00686C80"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8606077" w14:textId="77777777" w:rsidR="00686C80" w:rsidRPr="0070510D" w:rsidRDefault="00686C80" w:rsidP="00990001">
            <w:pPr>
              <w:jc w:val="center"/>
              <w:rPr>
                <w:color w:val="000000"/>
                <w:sz w:val="20"/>
                <w:szCs w:val="20"/>
              </w:rPr>
            </w:pPr>
            <w:r w:rsidRPr="0070510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46179DD" w14:textId="77777777" w:rsidR="00686C80" w:rsidRPr="0070510D" w:rsidRDefault="00686C80" w:rsidP="00990001">
            <w:pPr>
              <w:jc w:val="center"/>
              <w:rPr>
                <w:color w:val="000000"/>
                <w:sz w:val="20"/>
                <w:szCs w:val="20"/>
              </w:rPr>
            </w:pPr>
            <w:r w:rsidRPr="0070510D">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A8CFBCF" w14:textId="77777777" w:rsidR="00686C80" w:rsidRPr="0070510D" w:rsidRDefault="00686C80" w:rsidP="00990001">
            <w:pPr>
              <w:jc w:val="center"/>
              <w:rPr>
                <w:color w:val="000000"/>
                <w:sz w:val="20"/>
                <w:szCs w:val="20"/>
              </w:rPr>
            </w:pPr>
            <w:r w:rsidRPr="0070510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DA51CF3" w14:textId="77777777" w:rsidR="00686C80" w:rsidRPr="0070510D" w:rsidRDefault="00686C80" w:rsidP="00990001">
            <w:pPr>
              <w:jc w:val="center"/>
              <w:rPr>
                <w:color w:val="000000"/>
                <w:sz w:val="20"/>
                <w:szCs w:val="20"/>
              </w:rPr>
            </w:pPr>
            <w:r w:rsidRPr="0070510D">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546D93" w14:textId="77777777" w:rsidR="00686C80" w:rsidRPr="0070510D" w:rsidRDefault="00686C80" w:rsidP="00990001">
            <w:pPr>
              <w:jc w:val="center"/>
              <w:rPr>
                <w:color w:val="000000"/>
                <w:sz w:val="20"/>
                <w:szCs w:val="20"/>
              </w:rPr>
            </w:pPr>
            <w:r w:rsidRPr="0070510D">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7BFC44F7" w14:textId="77777777" w:rsidR="00686C80" w:rsidRPr="0070510D" w:rsidRDefault="00686C80">
            <w:pPr>
              <w:jc w:val="right"/>
              <w:rPr>
                <w:color w:val="000000"/>
                <w:sz w:val="20"/>
                <w:szCs w:val="20"/>
              </w:rPr>
            </w:pPr>
            <w:r w:rsidRPr="0070510D">
              <w:rPr>
                <w:color w:val="000000"/>
                <w:sz w:val="20"/>
                <w:szCs w:val="20"/>
              </w:rPr>
              <w:t>$0</w:t>
            </w:r>
          </w:p>
        </w:tc>
      </w:tr>
      <w:tr w:rsidR="008B6C7B" w:rsidRPr="0070510D" w14:paraId="401FFBE7"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A024C4C" w14:textId="16C777C7" w:rsidR="008B6C7B" w:rsidRPr="0070510D" w:rsidRDefault="00AE21E3" w:rsidP="000134B6">
            <w:pPr>
              <w:ind w:left="720"/>
              <w:rPr>
                <w:color w:val="000000"/>
                <w:sz w:val="20"/>
                <w:szCs w:val="20"/>
              </w:rPr>
            </w:pPr>
            <w:r w:rsidRPr="0070510D">
              <w:rPr>
                <w:color w:val="000000"/>
                <w:sz w:val="20"/>
                <w:szCs w:val="20"/>
              </w:rPr>
              <w:t xml:space="preserve">iv. </w:t>
            </w:r>
            <w:r w:rsidR="008B6C7B" w:rsidRPr="0070510D">
              <w:rPr>
                <w:color w:val="000000"/>
                <w:sz w:val="20"/>
                <w:szCs w:val="20"/>
              </w:rPr>
              <w:t>Notification of performance test</w:t>
            </w:r>
            <w:r w:rsidR="00990001" w:rsidRPr="0070510D">
              <w:rPr>
                <w:color w:val="000000"/>
                <w:sz w:val="20"/>
                <w:szCs w:val="20"/>
              </w:rPr>
              <w:t>/retest</w:t>
            </w:r>
            <w:r w:rsidR="008B6C7B" w:rsidRPr="0070510D">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535C6F2" w14:textId="77777777" w:rsidR="008B6C7B" w:rsidRPr="0070510D" w:rsidRDefault="008B6C7B" w:rsidP="00990001">
            <w:pPr>
              <w:jc w:val="center"/>
              <w:rPr>
                <w:color w:val="000000"/>
                <w:sz w:val="20"/>
                <w:szCs w:val="20"/>
              </w:rPr>
            </w:pPr>
            <w:r w:rsidRPr="0070510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B1DE264" w14:textId="77777777" w:rsidR="008B6C7B" w:rsidRPr="007E70E3" w:rsidRDefault="008B6C7B" w:rsidP="00990001">
            <w:pPr>
              <w:jc w:val="center"/>
              <w:rPr>
                <w:color w:val="000000"/>
                <w:sz w:val="20"/>
                <w:szCs w:val="20"/>
              </w:rPr>
            </w:pPr>
            <w:r w:rsidRPr="007E70E3">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483042C" w14:textId="77777777" w:rsidR="008B6C7B" w:rsidRPr="007E70E3" w:rsidRDefault="008B6C7B" w:rsidP="00990001">
            <w:pPr>
              <w:jc w:val="center"/>
              <w:rPr>
                <w:color w:val="000000"/>
                <w:sz w:val="20"/>
                <w:szCs w:val="20"/>
              </w:rPr>
            </w:pPr>
            <w:r w:rsidRPr="007E70E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143F0E9" w14:textId="77777777" w:rsidR="008B6C7B" w:rsidRPr="0070510D" w:rsidRDefault="00990001" w:rsidP="00990001">
            <w:pPr>
              <w:jc w:val="center"/>
              <w:rPr>
                <w:color w:val="000000"/>
                <w:sz w:val="20"/>
                <w:szCs w:val="20"/>
              </w:rPr>
            </w:pPr>
            <w:r w:rsidRPr="0070510D">
              <w:rPr>
                <w:color w:val="000000"/>
                <w:sz w:val="20"/>
                <w:szCs w:val="20"/>
              </w:rPr>
              <w:t>2.16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67E0E2F" w14:textId="77777777" w:rsidR="008B6C7B" w:rsidRPr="0070510D" w:rsidRDefault="00990001" w:rsidP="00990001">
            <w:pPr>
              <w:jc w:val="center"/>
              <w:rPr>
                <w:color w:val="000000"/>
                <w:sz w:val="20"/>
                <w:szCs w:val="20"/>
              </w:rPr>
            </w:pPr>
            <w:r w:rsidRPr="0070510D">
              <w:rPr>
                <w:color w:val="000000"/>
                <w:sz w:val="20"/>
                <w:szCs w:val="20"/>
              </w:rPr>
              <w:t>4</w:t>
            </w:r>
            <w:r w:rsidR="008B6C7B" w:rsidRPr="0070510D">
              <w:rPr>
                <w:color w:val="000000"/>
                <w:sz w:val="20"/>
                <w:szCs w:val="20"/>
              </w:rPr>
              <w:t>.</w:t>
            </w:r>
            <w:r w:rsidRPr="0070510D">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CF2FE83" w14:textId="77777777" w:rsidR="008B6C7B" w:rsidRPr="0070510D" w:rsidRDefault="007F2B6A" w:rsidP="00990001">
            <w:pPr>
              <w:jc w:val="center"/>
              <w:rPr>
                <w:color w:val="000000"/>
                <w:sz w:val="20"/>
                <w:szCs w:val="20"/>
              </w:rPr>
            </w:pPr>
            <w:r w:rsidRPr="0070510D">
              <w:rPr>
                <w:color w:val="000000"/>
                <w:sz w:val="20"/>
                <w:szCs w:val="20"/>
              </w:rPr>
              <w:t>0.22</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11AAE79" w14:textId="77777777" w:rsidR="008B6C7B" w:rsidRPr="00C16F16" w:rsidRDefault="007F2B6A" w:rsidP="00990001">
            <w:pPr>
              <w:jc w:val="center"/>
              <w:rPr>
                <w:color w:val="000000"/>
                <w:sz w:val="20"/>
                <w:szCs w:val="20"/>
              </w:rPr>
            </w:pPr>
            <w:r w:rsidRPr="00C16F16">
              <w:rPr>
                <w:color w:val="000000"/>
                <w:sz w:val="20"/>
                <w:szCs w:val="20"/>
              </w:rPr>
              <w:t>0.43</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07A42B5B" w14:textId="120C789F" w:rsidR="008B6C7B" w:rsidRPr="007E70E3" w:rsidRDefault="00603243" w:rsidP="00224448">
            <w:pPr>
              <w:jc w:val="right"/>
              <w:rPr>
                <w:color w:val="000000"/>
                <w:sz w:val="20"/>
                <w:szCs w:val="20"/>
              </w:rPr>
            </w:pPr>
            <w:r w:rsidRPr="00E50952">
              <w:rPr>
                <w:color w:val="000000"/>
                <w:sz w:val="20"/>
                <w:szCs w:val="20"/>
              </w:rPr>
              <w:t>$</w:t>
            </w:r>
            <w:r w:rsidR="00673042" w:rsidRPr="00E50952">
              <w:rPr>
                <w:color w:val="000000"/>
                <w:sz w:val="20"/>
                <w:szCs w:val="20"/>
              </w:rPr>
              <w:t>3</w:t>
            </w:r>
            <w:r w:rsidR="00224448" w:rsidRPr="00E50952">
              <w:rPr>
                <w:color w:val="000000"/>
                <w:sz w:val="20"/>
                <w:szCs w:val="20"/>
              </w:rPr>
              <w:t>22</w:t>
            </w:r>
            <w:r w:rsidR="00597F9C" w:rsidRPr="00E50952">
              <w:rPr>
                <w:color w:val="000000"/>
                <w:sz w:val="20"/>
                <w:szCs w:val="20"/>
              </w:rPr>
              <w:t>.</w:t>
            </w:r>
            <w:r w:rsidR="00224448" w:rsidRPr="00E50952">
              <w:rPr>
                <w:color w:val="000000"/>
                <w:sz w:val="20"/>
                <w:szCs w:val="20"/>
              </w:rPr>
              <w:t>71</w:t>
            </w:r>
          </w:p>
        </w:tc>
      </w:tr>
      <w:tr w:rsidR="00686C80" w:rsidRPr="0070510D" w14:paraId="3DEDD4BD"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60FAF73" w14:textId="461B2A21" w:rsidR="00686C80" w:rsidRPr="0070510D" w:rsidRDefault="00AE21E3" w:rsidP="000134B6">
            <w:pPr>
              <w:ind w:left="720"/>
              <w:rPr>
                <w:color w:val="000000"/>
                <w:sz w:val="20"/>
                <w:szCs w:val="20"/>
              </w:rPr>
            </w:pPr>
            <w:r w:rsidRPr="0070510D">
              <w:rPr>
                <w:color w:val="000000"/>
                <w:sz w:val="20"/>
                <w:szCs w:val="20"/>
              </w:rPr>
              <w:t xml:space="preserve">v. </w:t>
            </w:r>
            <w:r w:rsidR="00990001" w:rsidRPr="0070510D">
              <w:rPr>
                <w:color w:val="000000"/>
                <w:sz w:val="20"/>
                <w:szCs w:val="20"/>
              </w:rPr>
              <w:t>Notification of compliance status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2CAA326" w14:textId="77777777" w:rsidR="00686C80" w:rsidRPr="0070510D" w:rsidRDefault="00686C80" w:rsidP="00990001">
            <w:pPr>
              <w:jc w:val="center"/>
              <w:rPr>
                <w:color w:val="000000"/>
                <w:sz w:val="20"/>
                <w:szCs w:val="20"/>
              </w:rPr>
            </w:pPr>
            <w:r w:rsidRPr="0070510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2E1B082" w14:textId="77777777" w:rsidR="00686C80" w:rsidRPr="0070510D" w:rsidRDefault="00686C80" w:rsidP="00990001">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73D64E9" w14:textId="77777777" w:rsidR="00686C80" w:rsidRPr="0070510D" w:rsidRDefault="00686C80" w:rsidP="00990001">
            <w:pPr>
              <w:jc w:val="center"/>
              <w:rPr>
                <w:color w:val="000000"/>
                <w:sz w:val="20"/>
                <w:szCs w:val="20"/>
              </w:rPr>
            </w:pPr>
            <w:r w:rsidRPr="0070510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95517E2" w14:textId="77777777" w:rsidR="00686C80" w:rsidRPr="0070510D" w:rsidRDefault="00686C80" w:rsidP="00990001">
            <w:pPr>
              <w:jc w:val="center"/>
              <w:rPr>
                <w:color w:val="000000"/>
                <w:sz w:val="20"/>
                <w:szCs w:val="20"/>
              </w:rPr>
            </w:pPr>
            <w:r w:rsidRPr="0070510D">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0821FC2" w14:textId="77777777" w:rsidR="00686C80" w:rsidRPr="0070510D" w:rsidRDefault="00686C80" w:rsidP="00990001">
            <w:pPr>
              <w:jc w:val="center"/>
              <w:rPr>
                <w:color w:val="000000"/>
                <w:sz w:val="20"/>
                <w:szCs w:val="20"/>
              </w:rPr>
            </w:pPr>
            <w:r w:rsidRPr="0070510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B09031C" w14:textId="77777777" w:rsidR="00686C80" w:rsidRPr="0070510D" w:rsidRDefault="00686C80" w:rsidP="00990001">
            <w:pPr>
              <w:jc w:val="center"/>
              <w:rPr>
                <w:color w:val="000000"/>
                <w:sz w:val="20"/>
                <w:szCs w:val="20"/>
              </w:rPr>
            </w:pPr>
            <w:r w:rsidRPr="0070510D">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3C91467" w14:textId="77777777" w:rsidR="00686C80" w:rsidRPr="0070510D" w:rsidRDefault="00686C80" w:rsidP="00990001">
            <w:pPr>
              <w:jc w:val="center"/>
              <w:rPr>
                <w:color w:val="000000"/>
                <w:sz w:val="20"/>
                <w:szCs w:val="20"/>
              </w:rPr>
            </w:pPr>
            <w:r w:rsidRPr="0070510D">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1420807C" w14:textId="77777777" w:rsidR="00686C80" w:rsidRPr="0070510D" w:rsidRDefault="00686C80">
            <w:pPr>
              <w:jc w:val="right"/>
              <w:rPr>
                <w:color w:val="000000"/>
                <w:sz w:val="20"/>
                <w:szCs w:val="20"/>
              </w:rPr>
            </w:pPr>
            <w:r w:rsidRPr="0070510D">
              <w:rPr>
                <w:color w:val="000000"/>
                <w:sz w:val="20"/>
                <w:szCs w:val="20"/>
              </w:rPr>
              <w:t>$0</w:t>
            </w:r>
          </w:p>
        </w:tc>
      </w:tr>
      <w:tr w:rsidR="008B6C7B" w:rsidRPr="0070510D" w14:paraId="11DF423B"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68071945" w14:textId="6400EDAA" w:rsidR="008B6C7B" w:rsidRPr="0070510D" w:rsidRDefault="00AE21E3" w:rsidP="000134B6">
            <w:pPr>
              <w:ind w:left="720"/>
              <w:rPr>
                <w:color w:val="000000"/>
                <w:sz w:val="20"/>
                <w:szCs w:val="20"/>
              </w:rPr>
            </w:pPr>
            <w:r w:rsidRPr="0070510D">
              <w:rPr>
                <w:color w:val="000000"/>
                <w:sz w:val="20"/>
                <w:szCs w:val="20"/>
              </w:rPr>
              <w:t xml:space="preserve">vi. </w:t>
            </w:r>
            <w:r w:rsidR="008B6C7B" w:rsidRPr="0070510D">
              <w:rPr>
                <w:color w:val="000000"/>
                <w:sz w:val="20"/>
                <w:szCs w:val="20"/>
              </w:rPr>
              <w:t>Report of performance test</w:t>
            </w:r>
            <w:r w:rsidR="00100F24" w:rsidRPr="0070510D">
              <w:rPr>
                <w:color w:val="000000"/>
                <w:sz w:val="20"/>
                <w:szCs w:val="20"/>
              </w:rPr>
              <w:t>/retest</w:t>
            </w:r>
            <w:r w:rsidR="008B6C7B" w:rsidRPr="0070510D">
              <w:rPr>
                <w:color w:val="000000"/>
                <w:sz w:val="20"/>
                <w:szCs w:val="20"/>
              </w:rPr>
              <w:t xml:space="preserve"> </w:t>
            </w:r>
            <w:r w:rsidR="000134B6" w:rsidRPr="0070510D">
              <w:rPr>
                <w:color w:val="000000"/>
                <w:sz w:val="20"/>
                <w:szCs w:val="20"/>
              </w:rPr>
              <w:t xml:space="preserve">(through </w:t>
            </w:r>
            <w:r w:rsidR="00AB2A03" w:rsidRPr="0070510D">
              <w:rPr>
                <w:color w:val="000000"/>
                <w:sz w:val="20"/>
                <w:szCs w:val="20"/>
              </w:rPr>
              <w:t xml:space="preserve">CEDRI using </w:t>
            </w:r>
            <w:r w:rsidR="000134B6" w:rsidRPr="0070510D">
              <w:rPr>
                <w:color w:val="000000"/>
                <w:sz w:val="20"/>
                <w:szCs w:val="20"/>
              </w:rPr>
              <w:t xml:space="preserve">ERT) </w:t>
            </w:r>
            <w:r w:rsidR="00813875" w:rsidRPr="0070510D">
              <w:rPr>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3615843" w14:textId="71134315" w:rsidR="008B6C7B" w:rsidRPr="0070510D" w:rsidRDefault="00AB3545" w:rsidP="00AB3545">
            <w:pPr>
              <w:jc w:val="center"/>
              <w:rPr>
                <w:color w:val="000000"/>
                <w:sz w:val="20"/>
                <w:szCs w:val="20"/>
              </w:rPr>
            </w:pPr>
            <w:r w:rsidRPr="0070510D">
              <w:rPr>
                <w:color w:val="000000"/>
                <w:sz w:val="20"/>
                <w:szCs w:val="20"/>
              </w:rPr>
              <w:t>4</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883E744" w14:textId="77777777" w:rsidR="008B6C7B" w:rsidRPr="0070510D" w:rsidRDefault="008B6C7B">
            <w:pPr>
              <w:jc w:val="center"/>
              <w:rPr>
                <w:color w:val="000000"/>
                <w:sz w:val="20"/>
                <w:szCs w:val="20"/>
              </w:rPr>
            </w:pPr>
            <w:r w:rsidRPr="0070510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74C0F50" w14:textId="7CFF610E" w:rsidR="008B6C7B" w:rsidRPr="0070510D" w:rsidRDefault="00AB3545" w:rsidP="00AB3545">
            <w:pPr>
              <w:jc w:val="center"/>
              <w:rPr>
                <w:color w:val="000000"/>
                <w:sz w:val="20"/>
                <w:szCs w:val="20"/>
              </w:rPr>
            </w:pPr>
            <w:r w:rsidRPr="0070510D">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BF47AC1" w14:textId="77777777" w:rsidR="008B6C7B" w:rsidRPr="0070510D" w:rsidRDefault="008B6C7B" w:rsidP="00A054FE">
            <w:pPr>
              <w:jc w:val="center"/>
              <w:rPr>
                <w:color w:val="000000"/>
                <w:sz w:val="20"/>
                <w:szCs w:val="20"/>
              </w:rPr>
            </w:pPr>
            <w:r w:rsidRPr="0070510D">
              <w:rPr>
                <w:color w:val="000000"/>
                <w:sz w:val="20"/>
                <w:szCs w:val="20"/>
              </w:rPr>
              <w:t>2.</w:t>
            </w:r>
            <w:r w:rsidR="00A054FE" w:rsidRPr="0070510D">
              <w:rPr>
                <w:color w:val="000000"/>
                <w:sz w:val="20"/>
                <w:szCs w:val="20"/>
              </w:rPr>
              <w:t>16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D162059" w14:textId="5101DF10" w:rsidR="008B6C7B" w:rsidRPr="0070510D" w:rsidRDefault="00AB3545" w:rsidP="00AB3545">
            <w:pPr>
              <w:jc w:val="center"/>
              <w:rPr>
                <w:color w:val="000000"/>
                <w:sz w:val="20"/>
                <w:szCs w:val="20"/>
              </w:rPr>
            </w:pPr>
            <w:r w:rsidRPr="0070510D">
              <w:rPr>
                <w:color w:val="000000"/>
                <w:sz w:val="20"/>
                <w:szCs w:val="20"/>
              </w:rPr>
              <w:t>8</w:t>
            </w:r>
            <w:r w:rsidR="00F67E19" w:rsidRPr="0070510D">
              <w:rPr>
                <w:color w:val="000000"/>
                <w:sz w:val="20"/>
                <w:szCs w:val="20"/>
              </w:rPr>
              <w:t>.6</w:t>
            </w:r>
            <w:r w:rsidRPr="0070510D">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4E3AED4" w14:textId="1742C9BB" w:rsidR="008B6C7B" w:rsidRPr="0070510D" w:rsidRDefault="00F67E19" w:rsidP="00AB3545">
            <w:pPr>
              <w:jc w:val="center"/>
              <w:rPr>
                <w:color w:val="000000"/>
                <w:sz w:val="20"/>
                <w:szCs w:val="20"/>
              </w:rPr>
            </w:pPr>
            <w:r w:rsidRPr="0070510D">
              <w:rPr>
                <w:color w:val="000000"/>
                <w:sz w:val="20"/>
                <w:szCs w:val="20"/>
              </w:rPr>
              <w:t>0.</w:t>
            </w:r>
            <w:r w:rsidR="00AB3545" w:rsidRPr="0070510D">
              <w:rPr>
                <w:color w:val="000000"/>
                <w:sz w:val="20"/>
                <w:szCs w:val="20"/>
              </w:rPr>
              <w:t>43</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DB6D334" w14:textId="79154033" w:rsidR="008B6C7B" w:rsidRPr="00E50952" w:rsidRDefault="00AB3545" w:rsidP="00AB3545">
            <w:pPr>
              <w:jc w:val="center"/>
              <w:rPr>
                <w:color w:val="000000"/>
                <w:sz w:val="20"/>
                <w:szCs w:val="20"/>
              </w:rPr>
            </w:pPr>
            <w:r w:rsidRPr="00C16F16">
              <w:rPr>
                <w:color w:val="000000"/>
                <w:sz w:val="20"/>
                <w:szCs w:val="20"/>
              </w:rPr>
              <w:t>0</w:t>
            </w:r>
            <w:r w:rsidR="00F67E19" w:rsidRPr="00C16F16">
              <w:rPr>
                <w:color w:val="000000"/>
                <w:sz w:val="20"/>
                <w:szCs w:val="20"/>
              </w:rPr>
              <w:t>.</w:t>
            </w:r>
            <w:r w:rsidRPr="00E50952">
              <w:rPr>
                <w:color w:val="000000"/>
                <w:sz w:val="20"/>
                <w:szCs w:val="20"/>
              </w:rPr>
              <w:t>86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19D16A14" w14:textId="02094CEA" w:rsidR="008B6C7B" w:rsidRPr="007E70E3" w:rsidRDefault="00603243" w:rsidP="00AB3545">
            <w:pPr>
              <w:jc w:val="right"/>
              <w:rPr>
                <w:color w:val="000000"/>
                <w:sz w:val="20"/>
                <w:szCs w:val="20"/>
              </w:rPr>
            </w:pPr>
            <w:r w:rsidRPr="00E50952">
              <w:rPr>
                <w:color w:val="000000"/>
                <w:sz w:val="20"/>
                <w:szCs w:val="20"/>
              </w:rPr>
              <w:t>$</w:t>
            </w:r>
            <w:r w:rsidR="00AB3545" w:rsidRPr="00E50952">
              <w:rPr>
                <w:color w:val="000000"/>
                <w:sz w:val="20"/>
                <w:szCs w:val="20"/>
              </w:rPr>
              <w:t>644</w:t>
            </w:r>
            <w:r w:rsidR="00E44973" w:rsidRPr="00E50952">
              <w:rPr>
                <w:color w:val="000000"/>
                <w:sz w:val="20"/>
                <w:szCs w:val="20"/>
              </w:rPr>
              <w:t>.</w:t>
            </w:r>
            <w:r w:rsidR="00224448" w:rsidRPr="007E70E3">
              <w:rPr>
                <w:color w:val="000000"/>
                <w:sz w:val="20"/>
                <w:szCs w:val="20"/>
              </w:rPr>
              <w:t>1</w:t>
            </w:r>
            <w:r w:rsidR="00AB3545" w:rsidRPr="007E70E3">
              <w:rPr>
                <w:color w:val="000000"/>
                <w:sz w:val="20"/>
                <w:szCs w:val="20"/>
              </w:rPr>
              <w:t>9</w:t>
            </w:r>
          </w:p>
        </w:tc>
      </w:tr>
      <w:tr w:rsidR="00A73C0A" w:rsidRPr="0070510D" w14:paraId="506C8A9C" w14:textId="77777777" w:rsidTr="007E70E3">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tcPr>
          <w:p w14:paraId="3CFC976B" w14:textId="30E47C26" w:rsidR="00A73C0A" w:rsidRPr="0070510D" w:rsidRDefault="00AE21E3" w:rsidP="00E16824">
            <w:pPr>
              <w:ind w:left="720"/>
              <w:rPr>
                <w:color w:val="000000"/>
                <w:sz w:val="20"/>
                <w:szCs w:val="20"/>
              </w:rPr>
            </w:pPr>
            <w:r w:rsidRPr="0070510D">
              <w:rPr>
                <w:color w:val="000000"/>
                <w:sz w:val="20"/>
                <w:szCs w:val="20"/>
              </w:rPr>
              <w:t xml:space="preserve">vii. </w:t>
            </w:r>
            <w:r w:rsidR="000F32F5" w:rsidRPr="0070510D">
              <w:rPr>
                <w:color w:val="000000"/>
                <w:sz w:val="20"/>
                <w:szCs w:val="20"/>
              </w:rPr>
              <w:t xml:space="preserve">Semiannual </w:t>
            </w:r>
            <w:r w:rsidR="007F2D5D" w:rsidRPr="0070510D">
              <w:rPr>
                <w:color w:val="000000"/>
                <w:sz w:val="20"/>
                <w:szCs w:val="20"/>
              </w:rPr>
              <w:t xml:space="preserve">compliance </w:t>
            </w:r>
            <w:r w:rsidR="000F32F5" w:rsidRPr="0070510D">
              <w:rPr>
                <w:color w:val="000000"/>
                <w:sz w:val="20"/>
                <w:szCs w:val="20"/>
              </w:rPr>
              <w:t>r</w:t>
            </w:r>
            <w:r w:rsidR="00A73C0A" w:rsidRPr="0070510D">
              <w:rPr>
                <w:color w:val="000000"/>
                <w:sz w:val="20"/>
                <w:szCs w:val="20"/>
              </w:rPr>
              <w:t xml:space="preserve">eport </w:t>
            </w:r>
            <w:r w:rsidR="007F2D5D" w:rsidRPr="0070510D">
              <w:rPr>
                <w:color w:val="000000"/>
                <w:sz w:val="20"/>
                <w:szCs w:val="20"/>
              </w:rPr>
              <w:t xml:space="preserve">with </w:t>
            </w:r>
            <w:r w:rsidR="000F32F5" w:rsidRPr="0070510D">
              <w:rPr>
                <w:sz w:val="20"/>
                <w:szCs w:val="20"/>
              </w:rPr>
              <w:t>instance</w:t>
            </w:r>
            <w:r w:rsidR="007F2D5D" w:rsidRPr="0070510D">
              <w:rPr>
                <w:sz w:val="20"/>
                <w:szCs w:val="20"/>
              </w:rPr>
              <w:t>s</w:t>
            </w:r>
            <w:r w:rsidR="000F32F5" w:rsidRPr="0070510D">
              <w:rPr>
                <w:sz w:val="20"/>
                <w:szCs w:val="20"/>
              </w:rPr>
              <w:t xml:space="preserve"> </w:t>
            </w:r>
            <w:r w:rsidR="007F2D5D" w:rsidRPr="0070510D">
              <w:rPr>
                <w:sz w:val="20"/>
                <w:szCs w:val="20"/>
              </w:rPr>
              <w:t>of failure</w:t>
            </w:r>
            <w:r w:rsidR="000F32F5" w:rsidRPr="0070510D">
              <w:rPr>
                <w:sz w:val="20"/>
                <w:szCs w:val="20"/>
              </w:rPr>
              <w:t xml:space="preserve"> to meet applicable standard</w:t>
            </w:r>
            <w:r w:rsidR="00E16824" w:rsidRPr="0070510D">
              <w:rPr>
                <w:sz w:val="20"/>
                <w:szCs w:val="20"/>
              </w:rPr>
              <w:t>s</w:t>
            </w:r>
            <w:r w:rsidR="000F32F5" w:rsidRPr="0070510D">
              <w:rPr>
                <w:color w:val="000000"/>
                <w:sz w:val="20"/>
                <w:szCs w:val="20"/>
              </w:rPr>
              <w:t xml:space="preserve"> </w:t>
            </w:r>
            <w:r w:rsidR="00813875" w:rsidRPr="0070510D">
              <w:rPr>
                <w:color w:val="000000"/>
                <w:vertAlign w:val="superscript"/>
              </w:rPr>
              <w:t>g</w:t>
            </w:r>
            <w:r w:rsidR="00A73C0A" w:rsidRPr="0070510D">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149B060" w14:textId="77777777" w:rsidR="00A73C0A" w:rsidRPr="0070510D" w:rsidRDefault="00A73C0A" w:rsidP="00A73C0A">
            <w:pPr>
              <w:jc w:val="center"/>
              <w:rPr>
                <w:color w:val="000000"/>
                <w:sz w:val="20"/>
                <w:szCs w:val="20"/>
              </w:rPr>
            </w:pPr>
            <w:r w:rsidRPr="0070510D">
              <w:rPr>
                <w:color w:val="000000"/>
                <w:sz w:val="20"/>
                <w:szCs w:val="20"/>
              </w:rPr>
              <w:t>16</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30017CF" w14:textId="77777777" w:rsidR="00A73C0A" w:rsidRPr="0070510D" w:rsidRDefault="00A73C0A" w:rsidP="00A73C0A">
            <w:pPr>
              <w:jc w:val="center"/>
              <w:rPr>
                <w:color w:val="000000"/>
                <w:sz w:val="20"/>
                <w:szCs w:val="20"/>
              </w:rPr>
            </w:pPr>
            <w:r w:rsidRPr="0070510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59E3E3B" w14:textId="77777777" w:rsidR="00A73C0A" w:rsidRPr="0070510D" w:rsidRDefault="00A73C0A" w:rsidP="00A73C0A">
            <w:pPr>
              <w:jc w:val="center"/>
              <w:rPr>
                <w:color w:val="000000"/>
                <w:sz w:val="20"/>
                <w:szCs w:val="20"/>
              </w:rPr>
            </w:pPr>
            <w:r w:rsidRPr="0070510D">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2C65C10" w14:textId="77777777" w:rsidR="00A73C0A" w:rsidRPr="0070510D" w:rsidRDefault="00AB2A03" w:rsidP="00AB2A03">
            <w:pPr>
              <w:jc w:val="center"/>
              <w:rPr>
                <w:color w:val="000000"/>
                <w:sz w:val="20"/>
                <w:szCs w:val="20"/>
              </w:rPr>
            </w:pPr>
            <w:r w:rsidRPr="0070510D">
              <w:rPr>
                <w:color w:val="000000"/>
                <w:sz w:val="20"/>
                <w:szCs w:val="20"/>
              </w:rPr>
              <w:t>1</w:t>
            </w:r>
            <w:r w:rsidR="000F32F5" w:rsidRPr="0070510D">
              <w:rPr>
                <w:color w:val="000000"/>
                <w:sz w:val="20"/>
                <w:szCs w:val="20"/>
              </w:rPr>
              <w:t>.</w:t>
            </w:r>
            <w:r w:rsidRPr="0070510D">
              <w:rPr>
                <w:color w:val="000000"/>
                <w:sz w:val="20"/>
                <w:szCs w:val="20"/>
              </w:rPr>
              <w:t>4</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EC6AAC1" w14:textId="77777777" w:rsidR="00A73C0A" w:rsidRPr="0070510D" w:rsidRDefault="00F67E19" w:rsidP="00A73C0A">
            <w:pPr>
              <w:jc w:val="center"/>
              <w:rPr>
                <w:color w:val="000000"/>
                <w:sz w:val="20"/>
                <w:szCs w:val="20"/>
              </w:rPr>
            </w:pPr>
            <w:r w:rsidRPr="0070510D">
              <w:rPr>
                <w:color w:val="000000"/>
                <w:sz w:val="20"/>
                <w:szCs w:val="20"/>
              </w:rPr>
              <w:t>44.8</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69178E4" w14:textId="77777777" w:rsidR="00A73C0A" w:rsidRPr="0070510D" w:rsidRDefault="00F67E19" w:rsidP="00A73C0A">
            <w:pPr>
              <w:jc w:val="center"/>
              <w:rPr>
                <w:color w:val="000000"/>
                <w:sz w:val="20"/>
                <w:szCs w:val="20"/>
              </w:rPr>
            </w:pPr>
            <w:r w:rsidRPr="0070510D">
              <w:rPr>
                <w:color w:val="000000"/>
                <w:sz w:val="20"/>
                <w:szCs w:val="20"/>
              </w:rPr>
              <w:t>2.24</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5D7A74E" w14:textId="77777777" w:rsidR="00A73C0A" w:rsidRPr="0070510D" w:rsidRDefault="00F67E19" w:rsidP="00A73C0A">
            <w:pPr>
              <w:jc w:val="center"/>
              <w:rPr>
                <w:color w:val="000000"/>
                <w:sz w:val="20"/>
                <w:szCs w:val="20"/>
              </w:rPr>
            </w:pPr>
            <w:r w:rsidRPr="0070510D">
              <w:rPr>
                <w:color w:val="000000"/>
                <w:sz w:val="20"/>
                <w:szCs w:val="20"/>
              </w:rPr>
              <w:t>4.48</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4D3A4B6E" w14:textId="238ECF93" w:rsidR="00A73C0A" w:rsidRPr="0070510D" w:rsidRDefault="00603243" w:rsidP="00224448">
            <w:pPr>
              <w:jc w:val="right"/>
              <w:rPr>
                <w:color w:val="000000"/>
                <w:sz w:val="20"/>
                <w:szCs w:val="20"/>
              </w:rPr>
            </w:pPr>
            <w:r w:rsidRPr="0070510D">
              <w:rPr>
                <w:color w:val="000000"/>
                <w:sz w:val="20"/>
                <w:szCs w:val="20"/>
              </w:rPr>
              <w:t>$</w:t>
            </w:r>
            <w:r w:rsidR="00224448" w:rsidRPr="0070510D">
              <w:rPr>
                <w:color w:val="000000"/>
                <w:sz w:val="20"/>
                <w:szCs w:val="20"/>
              </w:rPr>
              <w:t>3</w:t>
            </w:r>
            <w:r w:rsidR="00E44973" w:rsidRPr="0070510D">
              <w:rPr>
                <w:color w:val="000000"/>
                <w:sz w:val="20"/>
                <w:szCs w:val="20"/>
              </w:rPr>
              <w:t>,</w:t>
            </w:r>
            <w:r w:rsidR="00224448" w:rsidRPr="0070510D">
              <w:rPr>
                <w:color w:val="000000"/>
                <w:sz w:val="20"/>
                <w:szCs w:val="20"/>
              </w:rPr>
              <w:t>3</w:t>
            </w:r>
            <w:r w:rsidR="00673042" w:rsidRPr="0070510D">
              <w:rPr>
                <w:color w:val="000000"/>
                <w:sz w:val="20"/>
                <w:szCs w:val="20"/>
              </w:rPr>
              <w:t>4</w:t>
            </w:r>
            <w:r w:rsidR="00224448" w:rsidRPr="0070510D">
              <w:rPr>
                <w:color w:val="000000"/>
                <w:sz w:val="20"/>
                <w:szCs w:val="20"/>
              </w:rPr>
              <w:t>2</w:t>
            </w:r>
            <w:r w:rsidR="00E44973" w:rsidRPr="0070510D">
              <w:rPr>
                <w:color w:val="000000"/>
                <w:sz w:val="20"/>
                <w:szCs w:val="20"/>
              </w:rPr>
              <w:t>.</w:t>
            </w:r>
            <w:r w:rsidR="00224448" w:rsidRPr="0070510D">
              <w:rPr>
                <w:color w:val="000000"/>
                <w:sz w:val="20"/>
                <w:szCs w:val="20"/>
              </w:rPr>
              <w:t>33</w:t>
            </w:r>
          </w:p>
        </w:tc>
      </w:tr>
      <w:tr w:rsidR="00A73C0A" w:rsidRPr="0070510D" w14:paraId="46EB4E02" w14:textId="77777777" w:rsidTr="007E70E3">
        <w:trPr>
          <w:trHeight w:val="31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tcPr>
          <w:p w14:paraId="6F0E5FBB" w14:textId="2EE6DA28" w:rsidR="00A73C0A" w:rsidRPr="0070510D" w:rsidRDefault="00AE21E3" w:rsidP="00E16824">
            <w:pPr>
              <w:ind w:left="720"/>
              <w:rPr>
                <w:color w:val="000000"/>
                <w:sz w:val="20"/>
                <w:szCs w:val="20"/>
              </w:rPr>
            </w:pPr>
            <w:r w:rsidRPr="0070510D">
              <w:rPr>
                <w:color w:val="000000"/>
                <w:sz w:val="20"/>
                <w:szCs w:val="20"/>
              </w:rPr>
              <w:t xml:space="preserve">viii. </w:t>
            </w:r>
            <w:r w:rsidR="00E16824" w:rsidRPr="0070510D">
              <w:rPr>
                <w:color w:val="000000"/>
                <w:sz w:val="20"/>
                <w:szCs w:val="20"/>
              </w:rPr>
              <w:t>Semiannual compliance report with no instances of failure to meet applicable standard</w:t>
            </w:r>
            <w:r w:rsidR="00A73C0A" w:rsidRPr="0070510D">
              <w:rPr>
                <w:color w:val="000000"/>
                <w:sz w:val="20"/>
                <w:szCs w:val="20"/>
              </w:rPr>
              <w:t xml:space="preserve">s </w:t>
            </w:r>
            <w:r w:rsidR="00813875" w:rsidRPr="0070510D">
              <w:rPr>
                <w:color w:val="000000"/>
                <w:vertAlign w:val="superscript"/>
              </w:rPr>
              <w:t>g</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57B79B4" w14:textId="77777777" w:rsidR="00A73C0A" w:rsidRPr="0070510D" w:rsidRDefault="00A73C0A" w:rsidP="00A73C0A">
            <w:pPr>
              <w:jc w:val="center"/>
              <w:rPr>
                <w:color w:val="000000"/>
                <w:sz w:val="20"/>
                <w:szCs w:val="20"/>
              </w:rPr>
            </w:pPr>
            <w:r w:rsidRPr="0070510D">
              <w:rPr>
                <w:color w:val="000000"/>
                <w:sz w:val="20"/>
                <w:szCs w:val="20"/>
              </w:rPr>
              <w:t>8</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CF8B01A" w14:textId="77777777" w:rsidR="00A73C0A" w:rsidRPr="0070510D" w:rsidRDefault="00A73C0A" w:rsidP="00A73C0A">
            <w:pPr>
              <w:jc w:val="center"/>
              <w:rPr>
                <w:color w:val="000000"/>
                <w:sz w:val="20"/>
                <w:szCs w:val="20"/>
              </w:rPr>
            </w:pPr>
            <w:r w:rsidRPr="0070510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B88BAC0" w14:textId="77777777" w:rsidR="00A73C0A" w:rsidRPr="0070510D" w:rsidRDefault="00A73C0A" w:rsidP="00A73C0A">
            <w:pPr>
              <w:jc w:val="center"/>
              <w:rPr>
                <w:color w:val="000000"/>
                <w:sz w:val="20"/>
                <w:szCs w:val="20"/>
              </w:rPr>
            </w:pPr>
            <w:r w:rsidRPr="0070510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7712168" w14:textId="77777777" w:rsidR="00A73C0A" w:rsidRPr="0070510D" w:rsidRDefault="00AB2A03" w:rsidP="00AB2A03">
            <w:pPr>
              <w:jc w:val="center"/>
              <w:rPr>
                <w:color w:val="000000"/>
                <w:sz w:val="20"/>
                <w:szCs w:val="20"/>
              </w:rPr>
            </w:pPr>
            <w:r w:rsidRPr="0070510D">
              <w:rPr>
                <w:color w:val="000000"/>
                <w:sz w:val="20"/>
                <w:szCs w:val="20"/>
              </w:rPr>
              <w:t>5</w:t>
            </w:r>
            <w:r w:rsidR="00A73C0A" w:rsidRPr="0070510D">
              <w:rPr>
                <w:color w:val="000000"/>
                <w:sz w:val="20"/>
                <w:szCs w:val="20"/>
              </w:rPr>
              <w:t>.</w:t>
            </w:r>
            <w:r w:rsidRPr="0070510D">
              <w:rPr>
                <w:color w:val="000000"/>
                <w:sz w:val="20"/>
                <w:szCs w:val="20"/>
              </w:rPr>
              <w:t>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A1B5B77" w14:textId="77777777" w:rsidR="00A73C0A" w:rsidRPr="0070510D" w:rsidRDefault="00F67E19" w:rsidP="00A73C0A">
            <w:pPr>
              <w:jc w:val="center"/>
              <w:rPr>
                <w:color w:val="000000"/>
                <w:sz w:val="20"/>
                <w:szCs w:val="20"/>
              </w:rPr>
            </w:pPr>
            <w:r w:rsidRPr="0070510D">
              <w:rPr>
                <w:color w:val="000000"/>
                <w:sz w:val="20"/>
                <w:szCs w:val="20"/>
              </w:rPr>
              <w:t>89.6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6909F0C" w14:textId="77777777" w:rsidR="00A73C0A" w:rsidRPr="0070510D" w:rsidRDefault="00F67E19" w:rsidP="00A73C0A">
            <w:pPr>
              <w:jc w:val="center"/>
              <w:rPr>
                <w:color w:val="000000"/>
                <w:sz w:val="20"/>
                <w:szCs w:val="20"/>
              </w:rPr>
            </w:pPr>
            <w:r w:rsidRPr="0070510D">
              <w:rPr>
                <w:color w:val="000000"/>
                <w:sz w:val="20"/>
                <w:szCs w:val="20"/>
              </w:rPr>
              <w:t>4.48</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5327FC1" w14:textId="77777777" w:rsidR="00A73C0A" w:rsidRPr="0070510D" w:rsidRDefault="00F67E19" w:rsidP="00A73C0A">
            <w:pPr>
              <w:jc w:val="center"/>
              <w:rPr>
                <w:color w:val="000000"/>
                <w:sz w:val="20"/>
                <w:szCs w:val="20"/>
              </w:rPr>
            </w:pPr>
            <w:r w:rsidRPr="0070510D">
              <w:rPr>
                <w:color w:val="000000"/>
                <w:sz w:val="20"/>
                <w:szCs w:val="20"/>
              </w:rPr>
              <w:t>8.96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7D5BD445" w14:textId="0EBC49A3" w:rsidR="00A73C0A" w:rsidRPr="0070510D" w:rsidRDefault="00603243" w:rsidP="00224448">
            <w:pPr>
              <w:jc w:val="right"/>
              <w:rPr>
                <w:color w:val="000000"/>
                <w:sz w:val="20"/>
                <w:szCs w:val="20"/>
              </w:rPr>
            </w:pPr>
            <w:r w:rsidRPr="0070510D">
              <w:rPr>
                <w:color w:val="000000"/>
                <w:sz w:val="20"/>
                <w:szCs w:val="20"/>
              </w:rPr>
              <w:t>$</w:t>
            </w:r>
            <w:r w:rsidR="00224448" w:rsidRPr="0070510D">
              <w:rPr>
                <w:color w:val="000000"/>
                <w:sz w:val="20"/>
                <w:szCs w:val="20"/>
              </w:rPr>
              <w:t>6</w:t>
            </w:r>
            <w:r w:rsidR="00901464" w:rsidRPr="0070510D">
              <w:rPr>
                <w:color w:val="000000"/>
                <w:sz w:val="20"/>
                <w:szCs w:val="20"/>
              </w:rPr>
              <w:t>,</w:t>
            </w:r>
            <w:r w:rsidR="00673042" w:rsidRPr="0070510D">
              <w:rPr>
                <w:color w:val="000000"/>
                <w:sz w:val="20"/>
                <w:szCs w:val="20"/>
              </w:rPr>
              <w:t>68</w:t>
            </w:r>
            <w:r w:rsidR="00224448" w:rsidRPr="0070510D">
              <w:rPr>
                <w:color w:val="000000"/>
                <w:sz w:val="20"/>
                <w:szCs w:val="20"/>
              </w:rPr>
              <w:t>4</w:t>
            </w:r>
            <w:r w:rsidR="00901464" w:rsidRPr="0070510D">
              <w:rPr>
                <w:color w:val="000000"/>
                <w:sz w:val="20"/>
                <w:szCs w:val="20"/>
              </w:rPr>
              <w:t>.</w:t>
            </w:r>
            <w:r w:rsidR="00224448" w:rsidRPr="0070510D">
              <w:rPr>
                <w:color w:val="000000"/>
                <w:sz w:val="20"/>
                <w:szCs w:val="20"/>
              </w:rPr>
              <w:t>65</w:t>
            </w:r>
          </w:p>
        </w:tc>
      </w:tr>
      <w:tr w:rsidR="00686C80" w:rsidRPr="007E70E3" w14:paraId="7793B1D1"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C1C6EC7" w14:textId="77777777" w:rsidR="00686C80" w:rsidRPr="007E70E3" w:rsidRDefault="00E46B4B">
            <w:pPr>
              <w:rPr>
                <w:b/>
                <w:bCs/>
                <w:i/>
                <w:color w:val="000000"/>
                <w:sz w:val="20"/>
                <w:szCs w:val="20"/>
              </w:rPr>
            </w:pPr>
            <w:r w:rsidRPr="007E70E3">
              <w:rPr>
                <w:b/>
                <w:bCs/>
                <w:i/>
                <w:color w:val="000000"/>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9D2B024" w14:textId="77777777" w:rsidR="00686C80" w:rsidRPr="007E70E3" w:rsidRDefault="00E46B4B">
            <w:pPr>
              <w:rPr>
                <w:rFonts w:ascii="Calibri" w:hAnsi="Calibri"/>
                <w:i/>
                <w:color w:val="000000"/>
                <w:sz w:val="22"/>
                <w:szCs w:val="22"/>
              </w:rPr>
            </w:pPr>
            <w:r w:rsidRPr="007E70E3">
              <w:rPr>
                <w:rFonts w:ascii="Calibri" w:hAnsi="Calibri"/>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2BC4BD7" w14:textId="77777777" w:rsidR="00686C80" w:rsidRPr="007E70E3" w:rsidRDefault="00E46B4B">
            <w:pPr>
              <w:rPr>
                <w:rFonts w:ascii="Calibri" w:hAnsi="Calibri"/>
                <w:i/>
                <w:color w:val="000000"/>
                <w:sz w:val="22"/>
                <w:szCs w:val="22"/>
              </w:rPr>
            </w:pPr>
            <w:r w:rsidRPr="007E70E3">
              <w:rPr>
                <w:rFonts w:ascii="Calibri" w:hAnsi="Calibri"/>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CB64D33" w14:textId="77777777" w:rsidR="00686C80" w:rsidRPr="007E70E3" w:rsidRDefault="00E46B4B">
            <w:pPr>
              <w:rPr>
                <w:rFonts w:ascii="Calibri" w:hAnsi="Calibri"/>
                <w:i/>
                <w:color w:val="000000"/>
                <w:sz w:val="22"/>
                <w:szCs w:val="22"/>
              </w:rPr>
            </w:pPr>
            <w:r w:rsidRPr="007E70E3">
              <w:rPr>
                <w:rFonts w:ascii="Calibri" w:hAnsi="Calibri"/>
                <w: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8BC6C0D" w14:textId="77777777" w:rsidR="00686C80" w:rsidRPr="007E70E3" w:rsidRDefault="00E46B4B">
            <w:pPr>
              <w:rPr>
                <w:rFonts w:ascii="Calibri" w:hAnsi="Calibri"/>
                <w:i/>
                <w:color w:val="000000"/>
                <w:sz w:val="22"/>
                <w:szCs w:val="22"/>
              </w:rPr>
            </w:pPr>
            <w:r w:rsidRPr="007E70E3">
              <w:rPr>
                <w:rFonts w:ascii="Calibri" w:hAnsi="Calibri"/>
                <w:i/>
                <w:color w:val="000000"/>
                <w:sz w:val="22"/>
                <w:szCs w:val="22"/>
              </w:rPr>
              <w:t> </w:t>
            </w:r>
          </w:p>
        </w:tc>
        <w:tc>
          <w:tcPr>
            <w:tcW w:w="3558" w:type="dxa"/>
            <w:gridSpan w:val="3"/>
            <w:tcBorders>
              <w:top w:val="single" w:sz="4" w:space="0" w:color="auto"/>
              <w:left w:val="nil"/>
              <w:bottom w:val="single" w:sz="4" w:space="0" w:color="auto"/>
              <w:right w:val="single" w:sz="4" w:space="0" w:color="000000"/>
            </w:tcBorders>
            <w:shd w:val="clear" w:color="auto" w:fill="auto"/>
            <w:noWrap/>
            <w:tcMar>
              <w:top w:w="12" w:type="dxa"/>
              <w:left w:w="12" w:type="dxa"/>
              <w:bottom w:w="0" w:type="dxa"/>
              <w:right w:w="12" w:type="dxa"/>
            </w:tcMar>
            <w:vAlign w:val="center"/>
            <w:hideMark/>
          </w:tcPr>
          <w:p w14:paraId="1F8A165A" w14:textId="39A6FB82" w:rsidR="00686C80" w:rsidRPr="007E70E3" w:rsidRDefault="007E70E3" w:rsidP="00AB3545">
            <w:pPr>
              <w:jc w:val="center"/>
              <w:rPr>
                <w:b/>
                <w:bCs/>
                <w:i/>
                <w:color w:val="000000"/>
                <w:sz w:val="20"/>
                <w:szCs w:val="20"/>
              </w:rPr>
            </w:pPr>
            <w:r>
              <w:rPr>
                <w:b/>
                <w:bCs/>
                <w:i/>
                <w:color w:val="000000"/>
                <w:sz w:val="20"/>
                <w:szCs w:val="20"/>
              </w:rPr>
              <w:t>740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F883631" w14:textId="560B8989" w:rsidR="00686C80" w:rsidRPr="007E70E3" w:rsidRDefault="00901464" w:rsidP="00AB3545">
            <w:pPr>
              <w:jc w:val="right"/>
              <w:rPr>
                <w:b/>
                <w:bCs/>
                <w:i/>
                <w:color w:val="000000"/>
                <w:sz w:val="20"/>
                <w:szCs w:val="20"/>
              </w:rPr>
            </w:pPr>
            <w:r w:rsidRPr="007E70E3">
              <w:rPr>
                <w:b/>
                <w:bCs/>
                <w:i/>
                <w:color w:val="000000"/>
                <w:sz w:val="20"/>
                <w:szCs w:val="20"/>
              </w:rPr>
              <w:t>$</w:t>
            </w:r>
            <w:r w:rsidR="00224448" w:rsidRPr="007E70E3">
              <w:rPr>
                <w:b/>
                <w:bCs/>
                <w:i/>
                <w:color w:val="000000"/>
                <w:sz w:val="20"/>
                <w:szCs w:val="20"/>
              </w:rPr>
              <w:t>4</w:t>
            </w:r>
            <w:r w:rsidR="00AB3545" w:rsidRPr="007E70E3">
              <w:rPr>
                <w:b/>
                <w:bCs/>
                <w:i/>
                <w:color w:val="000000"/>
                <w:sz w:val="20"/>
                <w:szCs w:val="20"/>
              </w:rPr>
              <w:t>7</w:t>
            </w:r>
            <w:r w:rsidRPr="007E70E3">
              <w:rPr>
                <w:b/>
                <w:bCs/>
                <w:i/>
                <w:color w:val="000000"/>
                <w:sz w:val="20"/>
                <w:szCs w:val="20"/>
              </w:rPr>
              <w:t>,</w:t>
            </w:r>
            <w:r w:rsidR="00AB3545" w:rsidRPr="007E70E3">
              <w:rPr>
                <w:b/>
                <w:bCs/>
                <w:i/>
                <w:color w:val="000000"/>
                <w:sz w:val="20"/>
                <w:szCs w:val="20"/>
              </w:rPr>
              <w:t>998</w:t>
            </w:r>
            <w:r w:rsidRPr="007E70E3">
              <w:rPr>
                <w:b/>
                <w:bCs/>
                <w:i/>
                <w:color w:val="000000"/>
                <w:sz w:val="20"/>
                <w:szCs w:val="20"/>
              </w:rPr>
              <w:t>.</w:t>
            </w:r>
            <w:r w:rsidR="00AB3545" w:rsidRPr="007E70E3">
              <w:rPr>
                <w:b/>
                <w:bCs/>
                <w:i/>
                <w:color w:val="000000"/>
                <w:sz w:val="20"/>
                <w:szCs w:val="20"/>
              </w:rPr>
              <w:t>2</w:t>
            </w:r>
            <w:r w:rsidR="007E70E3">
              <w:rPr>
                <w:b/>
                <w:bCs/>
                <w:i/>
                <w:color w:val="000000"/>
                <w:sz w:val="20"/>
                <w:szCs w:val="20"/>
              </w:rPr>
              <w:t>0</w:t>
            </w:r>
          </w:p>
        </w:tc>
      </w:tr>
      <w:tr w:rsidR="00686C80" w:rsidRPr="0070510D" w14:paraId="14F76D95"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8198BB8" w14:textId="77777777" w:rsidR="00686C80" w:rsidRPr="007E70E3" w:rsidRDefault="006E0464">
            <w:pPr>
              <w:rPr>
                <w:color w:val="000000"/>
                <w:sz w:val="20"/>
                <w:szCs w:val="20"/>
              </w:rPr>
            </w:pPr>
            <w:r w:rsidRPr="007E70E3">
              <w:rPr>
                <w:color w:val="000000"/>
                <w:sz w:val="20"/>
                <w:szCs w:val="20"/>
              </w:rPr>
              <w:t>4</w:t>
            </w:r>
            <w:r w:rsidR="00686C80" w:rsidRPr="007E70E3">
              <w:rPr>
                <w:color w:val="000000"/>
                <w:sz w:val="20"/>
                <w:szCs w:val="20"/>
              </w:rPr>
              <w:t>.  Recordkeeping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7120829" w14:textId="77777777" w:rsidR="00686C80" w:rsidRPr="007E70E3" w:rsidRDefault="00686C80">
            <w:pPr>
              <w:jc w:val="center"/>
              <w:rPr>
                <w:color w:val="000000"/>
                <w:sz w:val="20"/>
                <w:szCs w:val="20"/>
              </w:rPr>
            </w:pPr>
            <w:r w:rsidRPr="007E70E3">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9CFB92D" w14:textId="77777777" w:rsidR="00686C80" w:rsidRPr="0070510D" w:rsidRDefault="00686C80">
            <w:pPr>
              <w:jc w:val="center"/>
              <w:rPr>
                <w:color w:val="000000"/>
                <w:sz w:val="20"/>
                <w:szCs w:val="20"/>
              </w:rPr>
            </w:pPr>
            <w:r w:rsidRPr="0070510D">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0FFDA9A" w14:textId="77777777" w:rsidR="00686C80" w:rsidRPr="0070510D" w:rsidRDefault="00686C80">
            <w:pPr>
              <w:jc w:val="center"/>
              <w:rPr>
                <w:color w:val="000000"/>
                <w:sz w:val="20"/>
                <w:szCs w:val="20"/>
              </w:rPr>
            </w:pPr>
            <w:r w:rsidRPr="0070510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27204F6" w14:textId="77777777" w:rsidR="00686C80" w:rsidRPr="0070510D" w:rsidRDefault="00686C80">
            <w:pPr>
              <w:jc w:val="center"/>
              <w:rPr>
                <w:color w:val="000000"/>
                <w:sz w:val="20"/>
                <w:szCs w:val="20"/>
              </w:rPr>
            </w:pPr>
            <w:r w:rsidRPr="0070510D">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3521FE" w14:textId="77777777" w:rsidR="00686C80" w:rsidRPr="0070510D" w:rsidRDefault="00686C80">
            <w:pPr>
              <w:jc w:val="center"/>
              <w:rPr>
                <w:color w:val="000000"/>
                <w:sz w:val="20"/>
                <w:szCs w:val="20"/>
              </w:rPr>
            </w:pPr>
            <w:r w:rsidRPr="0070510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65D1D6" w14:textId="77777777" w:rsidR="00686C80" w:rsidRPr="0070510D" w:rsidRDefault="00686C80">
            <w:pPr>
              <w:jc w:val="center"/>
              <w:rPr>
                <w:color w:val="000000"/>
                <w:sz w:val="20"/>
                <w:szCs w:val="20"/>
              </w:rPr>
            </w:pPr>
            <w:r w:rsidRPr="0070510D">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D2FB9EF" w14:textId="77777777" w:rsidR="00686C80" w:rsidRPr="0070510D" w:rsidRDefault="00686C80">
            <w:pPr>
              <w:jc w:val="center"/>
              <w:rPr>
                <w:color w:val="000000"/>
                <w:sz w:val="20"/>
                <w:szCs w:val="20"/>
              </w:rPr>
            </w:pPr>
            <w:r w:rsidRPr="0070510D">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3AFCF2B2" w14:textId="77777777" w:rsidR="00686C80" w:rsidRPr="0070510D" w:rsidRDefault="00686C80">
            <w:pPr>
              <w:jc w:val="right"/>
              <w:rPr>
                <w:color w:val="000000"/>
                <w:sz w:val="20"/>
                <w:szCs w:val="20"/>
              </w:rPr>
            </w:pPr>
            <w:r w:rsidRPr="0070510D">
              <w:rPr>
                <w:color w:val="000000"/>
                <w:sz w:val="20"/>
                <w:szCs w:val="20"/>
              </w:rPr>
              <w:t> </w:t>
            </w:r>
          </w:p>
        </w:tc>
      </w:tr>
      <w:tr w:rsidR="00686C80" w:rsidRPr="0070510D" w14:paraId="76D56D2B"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333BB93" w14:textId="77777777" w:rsidR="00686C80" w:rsidRPr="0070510D" w:rsidRDefault="00686C80">
            <w:pPr>
              <w:rPr>
                <w:color w:val="000000"/>
                <w:sz w:val="20"/>
                <w:szCs w:val="20"/>
              </w:rPr>
            </w:pPr>
            <w:r w:rsidRPr="0070510D">
              <w:rPr>
                <w:color w:val="000000"/>
                <w:sz w:val="20"/>
                <w:szCs w:val="20"/>
              </w:rPr>
              <w:t xml:space="preserve">  A.  Read instructions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2AFFD6D" w14:textId="77777777" w:rsidR="00686C80" w:rsidRPr="0070510D" w:rsidRDefault="00141EE5">
            <w:pPr>
              <w:rPr>
                <w:color w:val="000000"/>
                <w:sz w:val="20"/>
                <w:szCs w:val="20"/>
              </w:rPr>
            </w:pPr>
            <w:r w:rsidRPr="0070510D">
              <w:rPr>
                <w:color w:val="000000"/>
                <w:sz w:val="20"/>
                <w:szCs w:val="20"/>
              </w:rPr>
              <w:t>See 3</w:t>
            </w:r>
            <w:r w:rsidR="00686C80" w:rsidRPr="0070510D">
              <w:rPr>
                <w:color w:val="000000"/>
                <w:sz w:val="20"/>
                <w:szCs w:val="20"/>
              </w:rPr>
              <w:t>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499FE5C" w14:textId="77777777" w:rsidR="00686C80" w:rsidRPr="0070510D" w:rsidRDefault="00686C80">
            <w:pPr>
              <w:rPr>
                <w:color w:val="000000"/>
                <w:sz w:val="20"/>
                <w:szCs w:val="20"/>
              </w:rPr>
            </w:pPr>
            <w:r w:rsidRPr="0070510D">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2BFFF5E" w14:textId="77777777" w:rsidR="00686C80" w:rsidRPr="0070510D" w:rsidRDefault="00686C80">
            <w:pPr>
              <w:jc w:val="center"/>
              <w:rPr>
                <w:color w:val="000000"/>
                <w:sz w:val="20"/>
                <w:szCs w:val="20"/>
              </w:rPr>
            </w:pPr>
            <w:r w:rsidRPr="0070510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AB47ADD" w14:textId="77777777" w:rsidR="00686C80" w:rsidRPr="0070510D" w:rsidRDefault="00686C80">
            <w:pPr>
              <w:jc w:val="center"/>
              <w:rPr>
                <w:color w:val="000000"/>
                <w:sz w:val="20"/>
                <w:szCs w:val="20"/>
              </w:rPr>
            </w:pPr>
            <w:r w:rsidRPr="0070510D">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8DA2F3A" w14:textId="77777777" w:rsidR="00686C80" w:rsidRPr="0070510D" w:rsidRDefault="00686C80">
            <w:pPr>
              <w:jc w:val="center"/>
              <w:rPr>
                <w:color w:val="000000"/>
                <w:sz w:val="20"/>
                <w:szCs w:val="20"/>
              </w:rPr>
            </w:pPr>
            <w:r w:rsidRPr="0070510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528DB9" w14:textId="77777777" w:rsidR="00686C80" w:rsidRPr="0070510D" w:rsidRDefault="00686C80">
            <w:pPr>
              <w:jc w:val="center"/>
              <w:rPr>
                <w:color w:val="000000"/>
                <w:sz w:val="20"/>
                <w:szCs w:val="20"/>
              </w:rPr>
            </w:pPr>
            <w:r w:rsidRPr="0070510D">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B13E13F" w14:textId="77777777" w:rsidR="00686C80" w:rsidRPr="0070510D" w:rsidRDefault="00686C80">
            <w:pPr>
              <w:jc w:val="center"/>
              <w:rPr>
                <w:color w:val="000000"/>
                <w:sz w:val="20"/>
                <w:szCs w:val="20"/>
              </w:rPr>
            </w:pPr>
            <w:r w:rsidRPr="0070510D">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4B53595" w14:textId="77777777" w:rsidR="00686C80" w:rsidRPr="0070510D" w:rsidRDefault="00686C80">
            <w:pPr>
              <w:jc w:val="right"/>
              <w:rPr>
                <w:color w:val="000000"/>
                <w:sz w:val="20"/>
                <w:szCs w:val="20"/>
              </w:rPr>
            </w:pPr>
            <w:r w:rsidRPr="0070510D">
              <w:rPr>
                <w:color w:val="000000"/>
                <w:sz w:val="20"/>
                <w:szCs w:val="20"/>
              </w:rPr>
              <w:t> </w:t>
            </w:r>
          </w:p>
        </w:tc>
      </w:tr>
      <w:tr w:rsidR="00686C80" w:rsidRPr="0070510D" w14:paraId="02D10B81"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4C9F4DE" w14:textId="77777777" w:rsidR="00686C80" w:rsidRPr="0070510D" w:rsidRDefault="00686C80">
            <w:pPr>
              <w:rPr>
                <w:color w:val="000000"/>
                <w:sz w:val="20"/>
                <w:szCs w:val="20"/>
              </w:rPr>
            </w:pPr>
            <w:r w:rsidRPr="0070510D">
              <w:rPr>
                <w:color w:val="000000"/>
                <w:sz w:val="20"/>
                <w:szCs w:val="20"/>
              </w:rPr>
              <w:t xml:space="preserve">  B.  Plan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C3D85F" w14:textId="77777777" w:rsidR="00686C80" w:rsidRPr="0070510D" w:rsidRDefault="00141EE5">
            <w:pPr>
              <w:rPr>
                <w:color w:val="000000"/>
                <w:sz w:val="20"/>
                <w:szCs w:val="20"/>
              </w:rPr>
            </w:pPr>
            <w:r w:rsidRPr="0070510D">
              <w:rPr>
                <w:color w:val="000000"/>
                <w:sz w:val="20"/>
                <w:szCs w:val="20"/>
              </w:rPr>
              <w:t>See 3</w:t>
            </w:r>
            <w:r w:rsidR="00686C80" w:rsidRPr="0070510D">
              <w:rPr>
                <w:color w:val="000000"/>
                <w:sz w:val="20"/>
                <w:szCs w:val="20"/>
              </w:rPr>
              <w:t>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E506165" w14:textId="77777777" w:rsidR="00686C80" w:rsidRPr="0070510D" w:rsidRDefault="00686C80">
            <w:pPr>
              <w:rPr>
                <w:color w:val="000000"/>
                <w:sz w:val="20"/>
                <w:szCs w:val="20"/>
              </w:rPr>
            </w:pPr>
            <w:r w:rsidRPr="0070510D">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CB531F7" w14:textId="77777777" w:rsidR="00686C80" w:rsidRPr="0070510D" w:rsidRDefault="00686C80">
            <w:pPr>
              <w:jc w:val="center"/>
              <w:rPr>
                <w:color w:val="000000"/>
                <w:sz w:val="20"/>
                <w:szCs w:val="20"/>
              </w:rPr>
            </w:pPr>
            <w:r w:rsidRPr="0070510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E4AAC25" w14:textId="77777777" w:rsidR="00686C80" w:rsidRPr="0070510D" w:rsidRDefault="00686C80">
            <w:pPr>
              <w:jc w:val="center"/>
              <w:rPr>
                <w:color w:val="000000"/>
                <w:sz w:val="20"/>
                <w:szCs w:val="20"/>
              </w:rPr>
            </w:pPr>
            <w:r w:rsidRPr="0070510D">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1BAD200" w14:textId="77777777" w:rsidR="00686C80" w:rsidRPr="0070510D" w:rsidRDefault="00686C80">
            <w:pPr>
              <w:jc w:val="center"/>
              <w:rPr>
                <w:color w:val="000000"/>
                <w:sz w:val="20"/>
                <w:szCs w:val="20"/>
              </w:rPr>
            </w:pPr>
            <w:r w:rsidRPr="0070510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716F335" w14:textId="77777777" w:rsidR="00686C80" w:rsidRPr="0070510D" w:rsidRDefault="00686C80">
            <w:pPr>
              <w:jc w:val="center"/>
              <w:rPr>
                <w:color w:val="000000"/>
                <w:sz w:val="20"/>
                <w:szCs w:val="20"/>
              </w:rPr>
            </w:pPr>
            <w:r w:rsidRPr="0070510D">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67D34B6" w14:textId="77777777" w:rsidR="00686C80" w:rsidRPr="0070510D" w:rsidRDefault="00686C80">
            <w:pPr>
              <w:jc w:val="center"/>
              <w:rPr>
                <w:color w:val="000000"/>
                <w:sz w:val="20"/>
                <w:szCs w:val="20"/>
              </w:rPr>
            </w:pPr>
            <w:r w:rsidRPr="0070510D">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C5C0FA5" w14:textId="77777777" w:rsidR="00686C80" w:rsidRPr="0070510D" w:rsidRDefault="00686C80">
            <w:pPr>
              <w:jc w:val="right"/>
              <w:rPr>
                <w:color w:val="000000"/>
                <w:sz w:val="20"/>
                <w:szCs w:val="20"/>
              </w:rPr>
            </w:pPr>
            <w:r w:rsidRPr="0070510D">
              <w:rPr>
                <w:color w:val="000000"/>
                <w:sz w:val="20"/>
                <w:szCs w:val="20"/>
              </w:rPr>
              <w:t> </w:t>
            </w:r>
          </w:p>
        </w:tc>
      </w:tr>
      <w:tr w:rsidR="00686C80" w:rsidRPr="0070510D" w14:paraId="5B269544"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8B3102F" w14:textId="77777777" w:rsidR="00686C80" w:rsidRPr="0070510D" w:rsidRDefault="00686C80">
            <w:pPr>
              <w:rPr>
                <w:color w:val="000000"/>
                <w:sz w:val="20"/>
                <w:szCs w:val="20"/>
              </w:rPr>
            </w:pPr>
            <w:r w:rsidRPr="0070510D">
              <w:rPr>
                <w:color w:val="000000"/>
                <w:sz w:val="20"/>
                <w:szCs w:val="20"/>
              </w:rPr>
              <w:t xml:space="preserve">  C.  Implement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8809704" w14:textId="77777777" w:rsidR="00686C80" w:rsidRPr="0070510D" w:rsidRDefault="00141EE5">
            <w:pPr>
              <w:rPr>
                <w:color w:val="000000"/>
                <w:sz w:val="20"/>
                <w:szCs w:val="20"/>
              </w:rPr>
            </w:pPr>
            <w:r w:rsidRPr="0070510D">
              <w:rPr>
                <w:color w:val="000000"/>
                <w:sz w:val="20"/>
                <w:szCs w:val="20"/>
              </w:rPr>
              <w:t>See 3</w:t>
            </w:r>
            <w:r w:rsidR="00686C80" w:rsidRPr="0070510D">
              <w:rPr>
                <w:color w:val="000000"/>
                <w:sz w:val="20"/>
                <w:szCs w:val="20"/>
              </w:rPr>
              <w:t>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82E7148" w14:textId="77777777" w:rsidR="00686C80" w:rsidRPr="0070510D" w:rsidRDefault="00686C80">
            <w:pPr>
              <w:rPr>
                <w:color w:val="000000"/>
                <w:sz w:val="20"/>
                <w:szCs w:val="20"/>
              </w:rPr>
            </w:pPr>
            <w:r w:rsidRPr="0070510D">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8BCC8AD" w14:textId="77777777" w:rsidR="00686C80" w:rsidRPr="0070510D" w:rsidRDefault="00686C80">
            <w:pPr>
              <w:jc w:val="center"/>
              <w:rPr>
                <w:color w:val="000000"/>
                <w:sz w:val="20"/>
                <w:szCs w:val="20"/>
              </w:rPr>
            </w:pPr>
            <w:r w:rsidRPr="0070510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D6B4F84" w14:textId="77777777" w:rsidR="00686C80" w:rsidRPr="0070510D" w:rsidRDefault="00686C80">
            <w:pPr>
              <w:jc w:val="center"/>
              <w:rPr>
                <w:color w:val="000000"/>
                <w:sz w:val="20"/>
                <w:szCs w:val="20"/>
              </w:rPr>
            </w:pPr>
            <w:r w:rsidRPr="0070510D">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8D65D69" w14:textId="77777777" w:rsidR="00686C80" w:rsidRPr="00C16F16" w:rsidRDefault="00686C80">
            <w:pPr>
              <w:jc w:val="center"/>
              <w:rPr>
                <w:color w:val="000000"/>
                <w:sz w:val="20"/>
                <w:szCs w:val="20"/>
              </w:rPr>
            </w:pPr>
            <w:r w:rsidRPr="00C16F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2CA52B2" w14:textId="77777777" w:rsidR="00686C80" w:rsidRPr="00E50952" w:rsidRDefault="00686C80">
            <w:pPr>
              <w:jc w:val="center"/>
              <w:rPr>
                <w:color w:val="000000"/>
                <w:sz w:val="20"/>
                <w:szCs w:val="20"/>
              </w:rPr>
            </w:pPr>
            <w:r w:rsidRPr="00E50952">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6D3506F" w14:textId="77777777" w:rsidR="00686C80" w:rsidRPr="00E50952" w:rsidRDefault="00686C80">
            <w:pPr>
              <w:jc w:val="center"/>
              <w:rPr>
                <w:color w:val="000000"/>
                <w:sz w:val="20"/>
                <w:szCs w:val="20"/>
              </w:rPr>
            </w:pPr>
            <w:r w:rsidRPr="00E50952">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73C156A9" w14:textId="77777777" w:rsidR="00686C80" w:rsidRPr="007E70E3" w:rsidRDefault="00686C80">
            <w:pPr>
              <w:jc w:val="right"/>
              <w:rPr>
                <w:color w:val="000000"/>
                <w:sz w:val="20"/>
                <w:szCs w:val="20"/>
              </w:rPr>
            </w:pPr>
            <w:r w:rsidRPr="007E70E3">
              <w:rPr>
                <w:color w:val="000000"/>
                <w:sz w:val="20"/>
                <w:szCs w:val="20"/>
              </w:rPr>
              <w:t> </w:t>
            </w:r>
          </w:p>
        </w:tc>
      </w:tr>
      <w:tr w:rsidR="00686C80" w:rsidRPr="0070510D" w14:paraId="447A607B"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23945EA" w14:textId="77777777" w:rsidR="00686C80" w:rsidRPr="0070510D" w:rsidRDefault="00686C80">
            <w:pPr>
              <w:rPr>
                <w:color w:val="000000"/>
                <w:sz w:val="20"/>
                <w:szCs w:val="20"/>
              </w:rPr>
            </w:pPr>
            <w:r w:rsidRPr="0070510D">
              <w:rPr>
                <w:color w:val="000000"/>
                <w:sz w:val="20"/>
                <w:szCs w:val="20"/>
              </w:rPr>
              <w:t xml:space="preserve">  D.  Develop record system</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A3C17A6" w14:textId="77777777" w:rsidR="00686C80" w:rsidRPr="0070510D" w:rsidRDefault="00686C80">
            <w:pPr>
              <w:rPr>
                <w:color w:val="000000"/>
                <w:sz w:val="20"/>
                <w:szCs w:val="20"/>
              </w:rPr>
            </w:pPr>
            <w:r w:rsidRPr="0070510D">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E63F5AD" w14:textId="77777777" w:rsidR="00686C80" w:rsidRPr="0070510D" w:rsidRDefault="00686C80">
            <w:pPr>
              <w:rPr>
                <w:color w:val="000000"/>
                <w:sz w:val="20"/>
                <w:szCs w:val="20"/>
              </w:rPr>
            </w:pPr>
            <w:r w:rsidRPr="0070510D">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D4B46F"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A1ABDD9"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EF1F82A" w14:textId="77777777" w:rsidR="00686C80" w:rsidRPr="007E70E3" w:rsidRDefault="00686C80">
            <w:pPr>
              <w:rPr>
                <w:rFonts w:ascii="Calibri" w:hAnsi="Calibri"/>
                <w:color w:val="000000"/>
                <w:sz w:val="22"/>
                <w:szCs w:val="22"/>
              </w:rPr>
            </w:pPr>
            <w:r w:rsidRPr="0070510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3CA1DED" w14:textId="77777777" w:rsidR="00686C80" w:rsidRPr="007E70E3" w:rsidRDefault="00686C80">
            <w:pPr>
              <w:rPr>
                <w:rFonts w:ascii="Calibri" w:hAnsi="Calibri"/>
                <w:color w:val="000000"/>
                <w:sz w:val="22"/>
                <w:szCs w:val="22"/>
              </w:rPr>
            </w:pPr>
            <w:r w:rsidRPr="007E70E3">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EAEF8E"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6EF4E822" w14:textId="77777777" w:rsidR="00686C80" w:rsidRPr="0070510D" w:rsidRDefault="00686C80">
            <w:pPr>
              <w:jc w:val="right"/>
              <w:rPr>
                <w:color w:val="000000"/>
                <w:sz w:val="20"/>
                <w:szCs w:val="20"/>
              </w:rPr>
            </w:pPr>
            <w:r w:rsidRPr="0070510D">
              <w:rPr>
                <w:color w:val="000000"/>
                <w:sz w:val="20"/>
                <w:szCs w:val="20"/>
              </w:rPr>
              <w:t> </w:t>
            </w:r>
          </w:p>
        </w:tc>
      </w:tr>
      <w:tr w:rsidR="00686C80" w:rsidRPr="0070510D" w14:paraId="19F3A657" w14:textId="77777777" w:rsidTr="007E70E3">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5D4198A" w14:textId="77777777" w:rsidR="00686C80" w:rsidRPr="0070510D" w:rsidRDefault="00686C80">
            <w:pPr>
              <w:rPr>
                <w:color w:val="000000"/>
                <w:sz w:val="20"/>
                <w:szCs w:val="20"/>
              </w:rPr>
            </w:pPr>
            <w:r w:rsidRPr="0070510D">
              <w:rPr>
                <w:color w:val="000000"/>
                <w:sz w:val="20"/>
                <w:szCs w:val="20"/>
              </w:rPr>
              <w:t xml:space="preserve">  E.  Time to enter and transmit all information required by the rule </w:t>
            </w:r>
            <w:r w:rsidR="00813875" w:rsidRPr="0070510D">
              <w:rPr>
                <w:color w:val="000000"/>
                <w:vertAlign w:val="superscript"/>
              </w:rPr>
              <w:t>h</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4E48837" w14:textId="77777777" w:rsidR="00686C80" w:rsidRPr="0070510D" w:rsidRDefault="00686C80">
            <w:pPr>
              <w:jc w:val="center"/>
              <w:rPr>
                <w:color w:val="000000"/>
                <w:sz w:val="20"/>
                <w:szCs w:val="20"/>
              </w:rPr>
            </w:pPr>
            <w:r w:rsidRPr="0070510D">
              <w:rPr>
                <w:color w:val="000000"/>
                <w:sz w:val="20"/>
                <w:szCs w:val="20"/>
              </w:rPr>
              <w:t>1.75</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E4A91F3" w14:textId="77777777" w:rsidR="00686C80" w:rsidRPr="0070510D" w:rsidRDefault="00686C80">
            <w:pPr>
              <w:jc w:val="center"/>
              <w:rPr>
                <w:color w:val="000000"/>
                <w:sz w:val="20"/>
                <w:szCs w:val="20"/>
              </w:rPr>
            </w:pPr>
            <w:r w:rsidRPr="0070510D">
              <w:rPr>
                <w:color w:val="000000"/>
                <w:sz w:val="20"/>
                <w:szCs w:val="20"/>
              </w:rPr>
              <w:t>52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DCE0DA9" w14:textId="77777777" w:rsidR="00686C80" w:rsidRPr="0070510D" w:rsidRDefault="00686C80">
            <w:pPr>
              <w:jc w:val="center"/>
              <w:rPr>
                <w:color w:val="000000"/>
                <w:sz w:val="20"/>
                <w:szCs w:val="20"/>
              </w:rPr>
            </w:pPr>
            <w:r w:rsidRPr="0070510D">
              <w:rPr>
                <w:color w:val="000000"/>
                <w:sz w:val="20"/>
                <w:szCs w:val="20"/>
              </w:rPr>
              <w:t>91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4EF0C4D" w14:textId="77777777" w:rsidR="00686C80" w:rsidRPr="0070510D" w:rsidRDefault="001E2321" w:rsidP="001E2321">
            <w:pPr>
              <w:jc w:val="center"/>
              <w:rPr>
                <w:color w:val="000000"/>
                <w:sz w:val="20"/>
                <w:szCs w:val="20"/>
              </w:rPr>
            </w:pPr>
            <w:r w:rsidRPr="0070510D">
              <w:rPr>
                <w:color w:val="000000"/>
                <w:sz w:val="20"/>
                <w:szCs w:val="20"/>
              </w:rPr>
              <w:t>7</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1B79BD9" w14:textId="77777777" w:rsidR="00686C80" w:rsidRPr="0070510D" w:rsidRDefault="008467DB">
            <w:pPr>
              <w:jc w:val="center"/>
              <w:rPr>
                <w:color w:val="000000"/>
                <w:sz w:val="20"/>
                <w:szCs w:val="20"/>
              </w:rPr>
            </w:pPr>
            <w:r w:rsidRPr="0070510D">
              <w:rPr>
                <w:color w:val="000000"/>
                <w:sz w:val="20"/>
                <w:szCs w:val="20"/>
              </w:rPr>
              <w:t>637</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BE29E4F" w14:textId="77777777" w:rsidR="00686C80" w:rsidRPr="0070510D" w:rsidRDefault="008467DB">
            <w:pPr>
              <w:jc w:val="center"/>
              <w:rPr>
                <w:color w:val="000000"/>
                <w:sz w:val="20"/>
                <w:szCs w:val="20"/>
              </w:rPr>
            </w:pPr>
            <w:r w:rsidRPr="0070510D">
              <w:rPr>
                <w:color w:val="000000"/>
                <w:sz w:val="20"/>
                <w:szCs w:val="20"/>
              </w:rPr>
              <w:t>31.85</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FE02BAA" w14:textId="77777777" w:rsidR="00686C80" w:rsidRPr="0070510D" w:rsidRDefault="008467DB">
            <w:pPr>
              <w:jc w:val="center"/>
              <w:rPr>
                <w:color w:val="000000"/>
                <w:sz w:val="20"/>
                <w:szCs w:val="20"/>
              </w:rPr>
            </w:pPr>
            <w:r w:rsidRPr="0070510D">
              <w:rPr>
                <w:color w:val="000000"/>
                <w:sz w:val="20"/>
                <w:szCs w:val="20"/>
              </w:rPr>
              <w:t>63.7</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5F8196A" w14:textId="5AE35B58" w:rsidR="00686C80" w:rsidRPr="0070510D" w:rsidRDefault="00906FA3" w:rsidP="00224448">
            <w:pPr>
              <w:jc w:val="right"/>
              <w:rPr>
                <w:color w:val="000000"/>
                <w:sz w:val="20"/>
                <w:szCs w:val="20"/>
              </w:rPr>
            </w:pPr>
            <w:r w:rsidRPr="0070510D">
              <w:rPr>
                <w:color w:val="000000"/>
                <w:sz w:val="20"/>
                <w:szCs w:val="20"/>
              </w:rPr>
              <w:t>$</w:t>
            </w:r>
            <w:r w:rsidR="00224448" w:rsidRPr="0070510D">
              <w:rPr>
                <w:color w:val="000000"/>
                <w:sz w:val="20"/>
                <w:szCs w:val="20"/>
              </w:rPr>
              <w:t>4</w:t>
            </w:r>
            <w:r w:rsidRPr="0070510D">
              <w:rPr>
                <w:color w:val="000000"/>
                <w:sz w:val="20"/>
                <w:szCs w:val="20"/>
              </w:rPr>
              <w:t>7,</w:t>
            </w:r>
            <w:r w:rsidR="00224448" w:rsidRPr="0070510D">
              <w:rPr>
                <w:color w:val="000000"/>
                <w:sz w:val="20"/>
                <w:szCs w:val="20"/>
              </w:rPr>
              <w:t>52</w:t>
            </w:r>
            <w:r w:rsidRPr="0070510D">
              <w:rPr>
                <w:color w:val="000000"/>
                <w:sz w:val="20"/>
                <w:szCs w:val="20"/>
              </w:rPr>
              <w:t>3.</w:t>
            </w:r>
            <w:r w:rsidR="00224448" w:rsidRPr="0070510D">
              <w:rPr>
                <w:color w:val="000000"/>
                <w:sz w:val="20"/>
                <w:szCs w:val="20"/>
              </w:rPr>
              <w:t>70</w:t>
            </w:r>
          </w:p>
        </w:tc>
      </w:tr>
      <w:tr w:rsidR="00686C80" w:rsidRPr="0070510D" w14:paraId="79B23C6B"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3411F3D" w14:textId="77777777" w:rsidR="00686C80" w:rsidRPr="0070510D" w:rsidRDefault="00686C80">
            <w:pPr>
              <w:rPr>
                <w:color w:val="000000"/>
                <w:sz w:val="20"/>
                <w:szCs w:val="20"/>
              </w:rPr>
            </w:pPr>
            <w:r w:rsidRPr="0070510D">
              <w:rPr>
                <w:color w:val="000000"/>
                <w:sz w:val="20"/>
                <w:szCs w:val="20"/>
              </w:rPr>
              <w:t xml:space="preserve">  F.  Time to train personnel</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4583383" w14:textId="77777777" w:rsidR="00686C80" w:rsidRPr="0070510D" w:rsidRDefault="00686C80">
            <w:pPr>
              <w:rPr>
                <w:color w:val="000000"/>
                <w:sz w:val="20"/>
                <w:szCs w:val="20"/>
              </w:rPr>
            </w:pPr>
            <w:r w:rsidRPr="0070510D">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6BD05F4"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C9A218E"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0061C1B"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570F148"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8E516D8" w14:textId="77777777" w:rsidR="00686C80" w:rsidRPr="007E70E3" w:rsidRDefault="00686C80">
            <w:pPr>
              <w:rPr>
                <w:rFonts w:ascii="Calibri" w:hAnsi="Calibri"/>
                <w:color w:val="000000"/>
                <w:sz w:val="22"/>
                <w:szCs w:val="22"/>
              </w:rPr>
            </w:pPr>
            <w:r w:rsidRPr="0070510D">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7AA5319" w14:textId="77777777" w:rsidR="00686C80" w:rsidRPr="007E70E3" w:rsidRDefault="00686C80">
            <w:pPr>
              <w:rPr>
                <w:rFonts w:ascii="Calibri" w:hAnsi="Calibri"/>
                <w:color w:val="000000"/>
                <w:sz w:val="22"/>
                <w:szCs w:val="22"/>
              </w:rPr>
            </w:pPr>
            <w:r w:rsidRPr="007E70E3">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0C42CCAA" w14:textId="77777777" w:rsidR="00686C80" w:rsidRPr="0070510D" w:rsidRDefault="00686C80">
            <w:pPr>
              <w:rPr>
                <w:color w:val="000000"/>
                <w:sz w:val="20"/>
                <w:szCs w:val="20"/>
              </w:rPr>
            </w:pPr>
            <w:r w:rsidRPr="0070510D">
              <w:rPr>
                <w:color w:val="000000"/>
                <w:sz w:val="20"/>
                <w:szCs w:val="20"/>
              </w:rPr>
              <w:t> </w:t>
            </w:r>
          </w:p>
        </w:tc>
      </w:tr>
      <w:tr w:rsidR="00686C80" w:rsidRPr="0070510D" w14:paraId="135DFD1A"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5C4CA95" w14:textId="77777777" w:rsidR="00686C80" w:rsidRPr="0070510D" w:rsidRDefault="00686C80">
            <w:pPr>
              <w:rPr>
                <w:color w:val="000000"/>
                <w:sz w:val="20"/>
                <w:szCs w:val="20"/>
              </w:rPr>
            </w:pPr>
            <w:r w:rsidRPr="0070510D">
              <w:rPr>
                <w:color w:val="000000"/>
                <w:sz w:val="20"/>
                <w:szCs w:val="20"/>
              </w:rPr>
              <w:t xml:space="preserve">  G. Time for audits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99C9DC2" w14:textId="77777777" w:rsidR="00686C80" w:rsidRPr="0070510D" w:rsidRDefault="00686C80">
            <w:pPr>
              <w:rPr>
                <w:color w:val="000000"/>
                <w:sz w:val="20"/>
                <w:szCs w:val="20"/>
              </w:rPr>
            </w:pPr>
            <w:r w:rsidRPr="0070510D">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85CD6F7"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CAFCA7A"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EF770D5"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5B04BEF"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75DDE47"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7250416" w14:textId="77777777" w:rsidR="00686C80" w:rsidRPr="0070510D" w:rsidRDefault="00686C80">
            <w:pPr>
              <w:rPr>
                <w:rFonts w:ascii="Calibri" w:hAnsi="Calibri"/>
                <w:color w:val="000000"/>
                <w:sz w:val="22"/>
                <w:szCs w:val="22"/>
              </w:rPr>
            </w:pPr>
            <w:r w:rsidRPr="0070510D">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21AA5F8" w14:textId="77777777" w:rsidR="00686C80" w:rsidRPr="0070510D" w:rsidRDefault="00686C80">
            <w:pPr>
              <w:jc w:val="right"/>
              <w:rPr>
                <w:color w:val="000000"/>
                <w:sz w:val="20"/>
                <w:szCs w:val="20"/>
              </w:rPr>
            </w:pPr>
            <w:r w:rsidRPr="0070510D">
              <w:rPr>
                <w:color w:val="000000"/>
                <w:sz w:val="20"/>
                <w:szCs w:val="20"/>
              </w:rPr>
              <w:t> </w:t>
            </w:r>
          </w:p>
        </w:tc>
      </w:tr>
      <w:tr w:rsidR="00686C80" w:rsidRPr="0070510D" w14:paraId="5A704EB2"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17C39867" w14:textId="77777777" w:rsidR="00686C80" w:rsidRPr="0070510D" w:rsidRDefault="00E46B4B">
            <w:pPr>
              <w:rPr>
                <w:b/>
                <w:bCs/>
                <w:i/>
                <w:color w:val="000000"/>
                <w:sz w:val="20"/>
                <w:szCs w:val="20"/>
              </w:rPr>
            </w:pPr>
            <w:r w:rsidRPr="0070510D">
              <w:rPr>
                <w:b/>
                <w:bCs/>
                <w:i/>
                <w:color w:val="000000"/>
                <w:sz w:val="20"/>
                <w:szCs w:val="20"/>
              </w:rPr>
              <w:t>Subtotal for Recordkeeping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45BA659C" w14:textId="77777777" w:rsidR="00686C80" w:rsidRPr="0070510D" w:rsidRDefault="00E46B4B">
            <w:pPr>
              <w:rPr>
                <w:rFonts w:ascii="Calibri" w:hAnsi="Calibri"/>
                <w:b/>
                <w:bCs/>
                <w:i/>
                <w:color w:val="000000"/>
                <w:sz w:val="22"/>
                <w:szCs w:val="22"/>
              </w:rPr>
            </w:pPr>
            <w:r w:rsidRPr="0070510D">
              <w:rPr>
                <w:rFonts w:ascii="Calibri" w:hAnsi="Calibri"/>
                <w:b/>
                <w:bCs/>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AD8E25F" w14:textId="77777777" w:rsidR="00686C80" w:rsidRPr="0070510D" w:rsidRDefault="00E46B4B">
            <w:pPr>
              <w:rPr>
                <w:rFonts w:ascii="Calibri" w:hAnsi="Calibri"/>
                <w:b/>
                <w:bCs/>
                <w:i/>
                <w:color w:val="000000"/>
                <w:sz w:val="22"/>
                <w:szCs w:val="22"/>
              </w:rPr>
            </w:pPr>
            <w:r w:rsidRPr="0070510D">
              <w:rPr>
                <w:rFonts w:ascii="Calibri" w:hAnsi="Calibri"/>
                <w:b/>
                <w:bCs/>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D71220B" w14:textId="77777777" w:rsidR="00686C80" w:rsidRPr="0070510D" w:rsidRDefault="00E46B4B">
            <w:pPr>
              <w:rPr>
                <w:rFonts w:ascii="Calibri" w:hAnsi="Calibri"/>
                <w:b/>
                <w:bCs/>
                <w:i/>
                <w:color w:val="000000"/>
                <w:sz w:val="22"/>
                <w:szCs w:val="22"/>
              </w:rPr>
            </w:pPr>
            <w:r w:rsidRPr="0070510D">
              <w:rPr>
                <w:rFonts w:ascii="Calibri" w:hAnsi="Calibri"/>
                <w:b/>
                <w:bCs/>
                <w: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4833B711" w14:textId="77777777" w:rsidR="00686C80" w:rsidRPr="0070510D" w:rsidRDefault="00E46B4B">
            <w:pPr>
              <w:rPr>
                <w:rFonts w:ascii="Calibri" w:hAnsi="Calibri"/>
                <w:b/>
                <w:bCs/>
                <w:i/>
                <w:color w:val="000000"/>
                <w:sz w:val="22"/>
                <w:szCs w:val="22"/>
              </w:rPr>
            </w:pPr>
            <w:r w:rsidRPr="0070510D">
              <w:rPr>
                <w:rFonts w:ascii="Calibri" w:hAnsi="Calibri"/>
                <w:b/>
                <w:bCs/>
                <w:i/>
                <w:color w:val="000000"/>
                <w:sz w:val="22"/>
                <w:szCs w:val="22"/>
              </w:rPr>
              <w:t> </w:t>
            </w:r>
          </w:p>
        </w:tc>
        <w:tc>
          <w:tcPr>
            <w:tcW w:w="3558" w:type="dxa"/>
            <w:gridSpan w:val="3"/>
            <w:tcBorders>
              <w:top w:val="single" w:sz="4" w:space="0" w:color="auto"/>
              <w:left w:val="nil"/>
              <w:bottom w:val="single" w:sz="4" w:space="0" w:color="auto"/>
              <w:right w:val="single" w:sz="4" w:space="0" w:color="000000"/>
            </w:tcBorders>
            <w:shd w:val="clear" w:color="auto" w:fill="auto"/>
            <w:noWrap/>
            <w:tcMar>
              <w:top w:w="12" w:type="dxa"/>
              <w:left w:w="12" w:type="dxa"/>
              <w:bottom w:w="0" w:type="dxa"/>
              <w:right w:w="12" w:type="dxa"/>
            </w:tcMar>
            <w:vAlign w:val="bottom"/>
            <w:hideMark/>
          </w:tcPr>
          <w:p w14:paraId="0302F46D" w14:textId="1A59F6BD" w:rsidR="00686C80" w:rsidRPr="007E70E3" w:rsidRDefault="007E70E3">
            <w:pPr>
              <w:jc w:val="center"/>
              <w:rPr>
                <w:b/>
                <w:bCs/>
                <w:i/>
                <w:color w:val="000000"/>
                <w:sz w:val="20"/>
                <w:szCs w:val="20"/>
              </w:rPr>
            </w:pPr>
            <w:r w:rsidRPr="007E70E3">
              <w:rPr>
                <w:b/>
                <w:bCs/>
                <w:i/>
                <w:color w:val="000000"/>
                <w:sz w:val="20"/>
                <w:szCs w:val="20"/>
              </w:rPr>
              <w:t>73</w:t>
            </w:r>
            <w:r>
              <w:rPr>
                <w:b/>
                <w:bCs/>
                <w:i/>
                <w:color w:val="000000"/>
                <w:sz w:val="20"/>
                <w:szCs w:val="20"/>
              </w:rPr>
              <w:t>3</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2367A6A2" w14:textId="34953E4B" w:rsidR="00686C80" w:rsidRPr="007E70E3" w:rsidRDefault="00E46B4B" w:rsidP="00224448">
            <w:pPr>
              <w:jc w:val="right"/>
              <w:rPr>
                <w:b/>
                <w:bCs/>
                <w:i/>
                <w:color w:val="000000"/>
                <w:sz w:val="20"/>
                <w:szCs w:val="20"/>
              </w:rPr>
            </w:pPr>
            <w:r w:rsidRPr="007E70E3">
              <w:rPr>
                <w:b/>
                <w:bCs/>
                <w:i/>
                <w:color w:val="000000"/>
                <w:sz w:val="20"/>
                <w:szCs w:val="20"/>
              </w:rPr>
              <w:t>$</w:t>
            </w:r>
            <w:r w:rsidR="00224448" w:rsidRPr="007E70E3">
              <w:rPr>
                <w:b/>
                <w:bCs/>
                <w:i/>
                <w:color w:val="000000"/>
                <w:sz w:val="20"/>
                <w:szCs w:val="20"/>
              </w:rPr>
              <w:t>4</w:t>
            </w:r>
            <w:r w:rsidR="00906FA3" w:rsidRPr="007E70E3">
              <w:rPr>
                <w:b/>
                <w:bCs/>
                <w:i/>
                <w:color w:val="000000"/>
                <w:sz w:val="20"/>
                <w:szCs w:val="20"/>
              </w:rPr>
              <w:t>7</w:t>
            </w:r>
            <w:r w:rsidR="00901464" w:rsidRPr="007E70E3">
              <w:rPr>
                <w:b/>
                <w:bCs/>
                <w:i/>
                <w:color w:val="000000"/>
                <w:sz w:val="20"/>
                <w:szCs w:val="20"/>
              </w:rPr>
              <w:t>,</w:t>
            </w:r>
            <w:r w:rsidR="00224448" w:rsidRPr="007E70E3">
              <w:rPr>
                <w:b/>
                <w:bCs/>
                <w:i/>
                <w:color w:val="000000"/>
                <w:sz w:val="20"/>
                <w:szCs w:val="20"/>
              </w:rPr>
              <w:t>52</w:t>
            </w:r>
            <w:r w:rsidR="00906FA3" w:rsidRPr="007E70E3">
              <w:rPr>
                <w:b/>
                <w:bCs/>
                <w:i/>
                <w:color w:val="000000"/>
                <w:sz w:val="20"/>
                <w:szCs w:val="20"/>
              </w:rPr>
              <w:t>3</w:t>
            </w:r>
            <w:r w:rsidR="00901464" w:rsidRPr="007E70E3">
              <w:rPr>
                <w:b/>
                <w:bCs/>
                <w:i/>
                <w:color w:val="000000"/>
                <w:sz w:val="20"/>
                <w:szCs w:val="20"/>
              </w:rPr>
              <w:t>.</w:t>
            </w:r>
            <w:r w:rsidR="00224448" w:rsidRPr="007E70E3">
              <w:rPr>
                <w:b/>
                <w:bCs/>
                <w:i/>
                <w:color w:val="000000"/>
                <w:sz w:val="20"/>
                <w:szCs w:val="20"/>
              </w:rPr>
              <w:t>70</w:t>
            </w:r>
          </w:p>
        </w:tc>
      </w:tr>
      <w:tr w:rsidR="00686C80" w:rsidRPr="0070510D" w14:paraId="7787CD75" w14:textId="77777777" w:rsidTr="007E70E3">
        <w:trPr>
          <w:trHeight w:val="300"/>
          <w:jc w:val="center"/>
        </w:trPr>
        <w:tc>
          <w:tcPr>
            <w:tcW w:w="4205" w:type="dxa"/>
            <w:tcBorders>
              <w:top w:val="nil"/>
              <w:left w:val="single" w:sz="4" w:space="0" w:color="auto"/>
              <w:bottom w:val="nil"/>
              <w:right w:val="single" w:sz="4" w:space="0" w:color="auto"/>
            </w:tcBorders>
            <w:shd w:val="clear" w:color="auto" w:fill="auto"/>
            <w:noWrap/>
            <w:tcMar>
              <w:top w:w="12" w:type="dxa"/>
              <w:left w:w="12" w:type="dxa"/>
              <w:bottom w:w="0" w:type="dxa"/>
              <w:right w:w="12" w:type="dxa"/>
            </w:tcMar>
            <w:hideMark/>
          </w:tcPr>
          <w:p w14:paraId="2187FC33" w14:textId="77777777" w:rsidR="00686C80" w:rsidRPr="007E70E3" w:rsidRDefault="00686C80">
            <w:pPr>
              <w:rPr>
                <w:b/>
                <w:bCs/>
                <w:color w:val="000000"/>
                <w:sz w:val="20"/>
                <w:szCs w:val="20"/>
              </w:rPr>
            </w:pPr>
            <w:r w:rsidRPr="007E70E3">
              <w:rPr>
                <w:b/>
                <w:bCs/>
                <w:color w:val="000000"/>
                <w:sz w:val="20"/>
                <w:szCs w:val="20"/>
              </w:rPr>
              <w:t>TOTAL LABOR BURDEN AND COSTS</w:t>
            </w: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78E2FBD4" w14:textId="77777777" w:rsidR="00686C80" w:rsidRPr="007E70E3" w:rsidRDefault="00686C80">
            <w:pPr>
              <w:rPr>
                <w:rFonts w:ascii="Calibri" w:hAnsi="Calibri"/>
                <w:b/>
                <w:bCs/>
                <w:color w:val="000000"/>
                <w:sz w:val="22"/>
                <w:szCs w:val="22"/>
              </w:rPr>
            </w:pPr>
            <w:r w:rsidRPr="007E70E3">
              <w:rPr>
                <w:rFonts w:ascii="Calibri" w:hAnsi="Calibri"/>
                <w:b/>
                <w:bCs/>
                <w:color w:val="000000"/>
                <w:sz w:val="22"/>
                <w:szCs w:val="22"/>
              </w:rPr>
              <w:t> </w:t>
            </w:r>
          </w:p>
        </w:tc>
        <w:tc>
          <w:tcPr>
            <w:tcW w:w="144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36E3E2E9" w14:textId="77777777" w:rsidR="00686C80" w:rsidRPr="0070510D" w:rsidRDefault="00686C80">
            <w:pPr>
              <w:rPr>
                <w:rFonts w:ascii="Calibri" w:hAnsi="Calibri"/>
                <w:b/>
                <w:bCs/>
                <w:color w:val="000000"/>
                <w:sz w:val="22"/>
                <w:szCs w:val="22"/>
              </w:rPr>
            </w:pPr>
            <w:r w:rsidRPr="0070510D">
              <w:rPr>
                <w:rFonts w:ascii="Calibri" w:hAnsi="Calibri"/>
                <w:b/>
                <w:bCs/>
                <w:color w:val="000000"/>
                <w:sz w:val="22"/>
                <w:szCs w:val="22"/>
              </w:rPr>
              <w:t> </w:t>
            </w:r>
          </w:p>
        </w:tc>
        <w:tc>
          <w:tcPr>
            <w:tcW w:w="144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5F84D7E3" w14:textId="77777777" w:rsidR="00686C80" w:rsidRPr="0070510D" w:rsidRDefault="00686C80">
            <w:pPr>
              <w:rPr>
                <w:rFonts w:ascii="Calibri" w:hAnsi="Calibri"/>
                <w:b/>
                <w:bCs/>
                <w:color w:val="000000"/>
                <w:sz w:val="22"/>
                <w:szCs w:val="22"/>
              </w:rPr>
            </w:pPr>
            <w:r w:rsidRPr="0070510D">
              <w:rPr>
                <w:rFonts w:ascii="Calibri" w:hAnsi="Calibri"/>
                <w:b/>
                <w:bCs/>
                <w:color w:val="000000"/>
                <w:sz w:val="22"/>
                <w:szCs w:val="22"/>
              </w:rPr>
              <w:t> </w:t>
            </w:r>
          </w:p>
        </w:tc>
        <w:tc>
          <w:tcPr>
            <w:tcW w:w="126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065B181A" w14:textId="77777777" w:rsidR="00686C80" w:rsidRPr="007E70E3" w:rsidRDefault="00686C80">
            <w:pPr>
              <w:rPr>
                <w:rFonts w:ascii="Calibri" w:hAnsi="Calibri"/>
                <w:b/>
                <w:bCs/>
                <w:color w:val="000000"/>
                <w:sz w:val="22"/>
                <w:szCs w:val="22"/>
              </w:rPr>
            </w:pPr>
            <w:r w:rsidRPr="0070510D">
              <w:rPr>
                <w:rFonts w:ascii="Calibri" w:hAnsi="Calibri"/>
                <w:b/>
                <w:bCs/>
                <w:color w:val="000000"/>
                <w:sz w:val="22"/>
                <w:szCs w:val="22"/>
              </w:rPr>
              <w:t> </w:t>
            </w:r>
          </w:p>
        </w:tc>
        <w:tc>
          <w:tcPr>
            <w:tcW w:w="3558" w:type="dxa"/>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bottom"/>
          </w:tcPr>
          <w:p w14:paraId="6FB861DA" w14:textId="445037AE" w:rsidR="00686C80" w:rsidRPr="007E70E3" w:rsidRDefault="00686C80" w:rsidP="00AB3545">
            <w:pPr>
              <w:jc w:val="center"/>
              <w:rPr>
                <w:bCs/>
                <w:color w:val="000000"/>
                <w:sz w:val="20"/>
                <w:szCs w:val="20"/>
              </w:rPr>
            </w:pPr>
          </w:p>
        </w:tc>
        <w:tc>
          <w:tcPr>
            <w:tcW w:w="1454" w:type="dxa"/>
            <w:tcBorders>
              <w:top w:val="nil"/>
              <w:left w:val="nil"/>
              <w:bottom w:val="nil"/>
              <w:right w:val="single" w:sz="4" w:space="0" w:color="auto"/>
            </w:tcBorders>
            <w:shd w:val="clear" w:color="auto" w:fill="auto"/>
            <w:noWrap/>
            <w:tcMar>
              <w:top w:w="12" w:type="dxa"/>
              <w:left w:w="12" w:type="dxa"/>
              <w:bottom w:w="0" w:type="dxa"/>
              <w:right w:w="12" w:type="dxa"/>
            </w:tcMar>
            <w:vAlign w:val="bottom"/>
          </w:tcPr>
          <w:p w14:paraId="0F8EE22F" w14:textId="273BA70D" w:rsidR="00686C80" w:rsidRPr="0070510D" w:rsidRDefault="00686C80" w:rsidP="00AB3545">
            <w:pPr>
              <w:jc w:val="right"/>
              <w:rPr>
                <w:bCs/>
                <w:color w:val="000000"/>
                <w:sz w:val="20"/>
                <w:szCs w:val="20"/>
              </w:rPr>
            </w:pPr>
          </w:p>
        </w:tc>
      </w:tr>
      <w:tr w:rsidR="00686C80" w:rsidRPr="0070510D" w14:paraId="67402D5E"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FE1FE09" w14:textId="77777777" w:rsidR="00686C80" w:rsidRPr="0070510D" w:rsidRDefault="00686C80" w:rsidP="00813875">
            <w:pPr>
              <w:rPr>
                <w:b/>
                <w:bCs/>
                <w:color w:val="000000"/>
                <w:sz w:val="20"/>
                <w:szCs w:val="20"/>
              </w:rPr>
            </w:pPr>
            <w:r w:rsidRPr="0070510D">
              <w:rPr>
                <w:b/>
                <w:bCs/>
                <w:color w:val="000000"/>
                <w:sz w:val="20"/>
                <w:szCs w:val="20"/>
              </w:rPr>
              <w:t xml:space="preserve"> (Rounded)</w:t>
            </w:r>
            <w:r w:rsidR="00676820" w:rsidRPr="0070510D">
              <w:rPr>
                <w:b/>
                <w:bCs/>
                <w:color w:val="000000"/>
                <w:sz w:val="20"/>
                <w:szCs w:val="20"/>
              </w:rPr>
              <w:t xml:space="preserve"> </w:t>
            </w:r>
            <w:r w:rsidR="00813875" w:rsidRPr="0070510D">
              <w:rPr>
                <w:bCs/>
                <w:color w:val="000000"/>
                <w:sz w:val="20"/>
                <w:szCs w:val="20"/>
                <w:vertAlign w:val="superscript"/>
              </w:rPr>
              <w:t>i,j</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BDB74EB" w14:textId="77777777" w:rsidR="00686C80" w:rsidRPr="0070510D" w:rsidRDefault="00686C80">
            <w:pPr>
              <w:rPr>
                <w:rFonts w:ascii="Calibri" w:hAnsi="Calibri"/>
                <w:b/>
                <w:bCs/>
                <w:color w:val="000000"/>
                <w:sz w:val="22"/>
                <w:szCs w:val="22"/>
              </w:rPr>
            </w:pPr>
            <w:r w:rsidRPr="0070510D">
              <w:rPr>
                <w:rFonts w:ascii="Calibri" w:hAnsi="Calibri"/>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D210015" w14:textId="77777777" w:rsidR="00686C80" w:rsidRPr="0070510D" w:rsidRDefault="00686C80">
            <w:pPr>
              <w:rPr>
                <w:rFonts w:ascii="Calibri" w:hAnsi="Calibri"/>
                <w:b/>
                <w:bCs/>
                <w:color w:val="000000"/>
                <w:sz w:val="22"/>
                <w:szCs w:val="22"/>
              </w:rPr>
            </w:pPr>
            <w:r w:rsidRPr="0070510D">
              <w:rPr>
                <w:rFonts w:ascii="Calibri" w:hAnsi="Calibri"/>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60D25FA" w14:textId="77777777" w:rsidR="00686C80" w:rsidRPr="0070510D" w:rsidRDefault="00686C80">
            <w:pPr>
              <w:rPr>
                <w:rFonts w:ascii="Calibri" w:hAnsi="Calibri"/>
                <w:b/>
                <w:bCs/>
                <w:color w:val="000000"/>
                <w:sz w:val="22"/>
                <w:szCs w:val="22"/>
              </w:rPr>
            </w:pPr>
            <w:r w:rsidRPr="0070510D">
              <w:rPr>
                <w:rFonts w:ascii="Calibri" w:hAnsi="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176EDDD" w14:textId="77777777" w:rsidR="00686C80" w:rsidRPr="0070510D" w:rsidRDefault="00686C80">
            <w:pPr>
              <w:rPr>
                <w:rFonts w:ascii="Calibri" w:hAnsi="Calibri"/>
                <w:b/>
                <w:bCs/>
                <w:color w:val="000000"/>
                <w:sz w:val="22"/>
                <w:szCs w:val="22"/>
              </w:rPr>
            </w:pPr>
            <w:r w:rsidRPr="0070510D">
              <w:rPr>
                <w:rFonts w:ascii="Calibri" w:hAnsi="Calibri"/>
                <w:b/>
                <w:bCs/>
                <w:color w:val="000000"/>
                <w:sz w:val="22"/>
                <w:szCs w:val="22"/>
              </w:rPr>
              <w:t> </w:t>
            </w:r>
          </w:p>
        </w:tc>
        <w:tc>
          <w:tcPr>
            <w:tcW w:w="3558" w:type="dxa"/>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A9035D6" w14:textId="0DE1D1B2" w:rsidR="00686C80" w:rsidRPr="0070510D" w:rsidRDefault="00F43C35" w:rsidP="00526EF8">
            <w:pPr>
              <w:jc w:val="center"/>
              <w:rPr>
                <w:b/>
                <w:bCs/>
                <w:color w:val="000000"/>
                <w:sz w:val="20"/>
                <w:szCs w:val="20"/>
              </w:rPr>
            </w:pPr>
            <w:r w:rsidRPr="0070510D">
              <w:rPr>
                <w:b/>
                <w:bCs/>
                <w:color w:val="000000"/>
                <w:sz w:val="20"/>
                <w:szCs w:val="20"/>
              </w:rPr>
              <w:t>1</w:t>
            </w:r>
            <w:r w:rsidR="00526EF8" w:rsidRPr="0070510D">
              <w:rPr>
                <w:b/>
                <w:bCs/>
                <w:color w:val="000000"/>
                <w:sz w:val="20"/>
                <w:szCs w:val="20"/>
              </w:rPr>
              <w:t>47</w:t>
            </w:r>
            <w:r w:rsidR="00813875" w:rsidRPr="0070510D">
              <w:rPr>
                <w:b/>
                <w:bCs/>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96E4B01" w14:textId="67C23573" w:rsidR="00686C80" w:rsidRPr="0070510D" w:rsidRDefault="00686C80" w:rsidP="00526EF8">
            <w:pPr>
              <w:jc w:val="right"/>
              <w:rPr>
                <w:b/>
                <w:bCs/>
                <w:color w:val="000000"/>
                <w:sz w:val="20"/>
                <w:szCs w:val="20"/>
              </w:rPr>
            </w:pPr>
            <w:r w:rsidRPr="0070510D">
              <w:rPr>
                <w:b/>
                <w:bCs/>
                <w:color w:val="000000"/>
                <w:sz w:val="20"/>
                <w:szCs w:val="20"/>
              </w:rPr>
              <w:t>$</w:t>
            </w:r>
            <w:r w:rsidR="00224448" w:rsidRPr="0070510D">
              <w:rPr>
                <w:b/>
                <w:bCs/>
                <w:color w:val="000000"/>
                <w:sz w:val="20"/>
                <w:szCs w:val="20"/>
              </w:rPr>
              <w:t>9</w:t>
            </w:r>
            <w:r w:rsidR="00526EF8" w:rsidRPr="0070510D">
              <w:rPr>
                <w:b/>
                <w:bCs/>
                <w:color w:val="000000"/>
                <w:sz w:val="20"/>
                <w:szCs w:val="20"/>
              </w:rPr>
              <w:t>5</w:t>
            </w:r>
            <w:r w:rsidR="008B6C7B" w:rsidRPr="0070510D">
              <w:rPr>
                <w:b/>
                <w:bCs/>
                <w:color w:val="000000"/>
                <w:sz w:val="20"/>
                <w:szCs w:val="20"/>
              </w:rPr>
              <w:t>,</w:t>
            </w:r>
            <w:r w:rsidR="00526EF8" w:rsidRPr="0070510D">
              <w:rPr>
                <w:b/>
                <w:bCs/>
                <w:color w:val="000000"/>
                <w:sz w:val="20"/>
                <w:szCs w:val="20"/>
              </w:rPr>
              <w:t>5</w:t>
            </w:r>
            <w:r w:rsidR="00813875" w:rsidRPr="0070510D">
              <w:rPr>
                <w:b/>
                <w:bCs/>
                <w:color w:val="000000"/>
                <w:sz w:val="20"/>
                <w:szCs w:val="20"/>
              </w:rPr>
              <w:t>00</w:t>
            </w:r>
            <w:r w:rsidRPr="0070510D">
              <w:rPr>
                <w:b/>
                <w:bCs/>
                <w:color w:val="000000"/>
                <w:sz w:val="20"/>
                <w:szCs w:val="20"/>
              </w:rPr>
              <w:t xml:space="preserve"> </w:t>
            </w:r>
          </w:p>
        </w:tc>
      </w:tr>
      <w:tr w:rsidR="00686C80" w:rsidRPr="0070510D" w14:paraId="6617C1F0"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4195E58" w14:textId="38872BBF" w:rsidR="00686C80" w:rsidRPr="0070510D" w:rsidRDefault="00686C80">
            <w:pPr>
              <w:rPr>
                <w:b/>
                <w:bCs/>
                <w:sz w:val="20"/>
                <w:szCs w:val="20"/>
              </w:rPr>
            </w:pPr>
            <w:r w:rsidRPr="0070510D">
              <w:rPr>
                <w:b/>
                <w:bCs/>
                <w:sz w:val="20"/>
                <w:szCs w:val="20"/>
              </w:rPr>
              <w:t>Capital and O&amp;M Cost</w:t>
            </w:r>
            <w:r w:rsidR="007108A9" w:rsidRPr="0070510D">
              <w:rPr>
                <w:b/>
                <w:bCs/>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C451EB9" w14:textId="77777777" w:rsidR="00686C80" w:rsidRPr="0070510D" w:rsidRDefault="00686C80">
            <w:pPr>
              <w:rPr>
                <w:b/>
                <w:bCs/>
                <w:sz w:val="20"/>
                <w:szCs w:val="20"/>
              </w:rPr>
            </w:pPr>
            <w:r w:rsidRPr="0070510D">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2B8875D" w14:textId="77777777" w:rsidR="00686C80" w:rsidRPr="0070510D" w:rsidRDefault="00686C80">
            <w:pPr>
              <w:rPr>
                <w:b/>
                <w:bCs/>
                <w:sz w:val="20"/>
                <w:szCs w:val="20"/>
              </w:rPr>
            </w:pPr>
            <w:r w:rsidRPr="0070510D">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C2D9A7A" w14:textId="77777777" w:rsidR="00686C80" w:rsidRPr="0070510D" w:rsidRDefault="00686C80">
            <w:pPr>
              <w:rPr>
                <w:b/>
                <w:bCs/>
                <w:sz w:val="20"/>
                <w:szCs w:val="20"/>
              </w:rPr>
            </w:pPr>
            <w:r w:rsidRPr="0070510D">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C8C3427" w14:textId="77777777" w:rsidR="00686C80" w:rsidRPr="0070510D" w:rsidRDefault="00686C80">
            <w:pPr>
              <w:rPr>
                <w:b/>
                <w:bCs/>
                <w:sz w:val="20"/>
                <w:szCs w:val="20"/>
              </w:rPr>
            </w:pPr>
            <w:r w:rsidRPr="0070510D">
              <w:rPr>
                <w:b/>
                <w:bCs/>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9B9BA6D" w14:textId="77777777" w:rsidR="00686C80" w:rsidRPr="0070510D" w:rsidRDefault="00686C80">
            <w:pPr>
              <w:rPr>
                <w:b/>
                <w:bCs/>
                <w:sz w:val="20"/>
                <w:szCs w:val="20"/>
              </w:rPr>
            </w:pPr>
            <w:r w:rsidRPr="0070510D">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55319D9F" w14:textId="77777777" w:rsidR="00686C80" w:rsidRPr="0070510D" w:rsidRDefault="00686C80">
            <w:pPr>
              <w:rPr>
                <w:b/>
                <w:bCs/>
                <w:sz w:val="20"/>
                <w:szCs w:val="20"/>
              </w:rPr>
            </w:pPr>
            <w:r w:rsidRPr="0070510D">
              <w:rPr>
                <w:b/>
                <w:bCs/>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6B78B52D" w14:textId="77777777" w:rsidR="00686C80" w:rsidRPr="0070510D" w:rsidRDefault="00686C80">
            <w:pPr>
              <w:rPr>
                <w:b/>
                <w:bCs/>
                <w:sz w:val="20"/>
                <w:szCs w:val="20"/>
              </w:rPr>
            </w:pPr>
            <w:r w:rsidRPr="0070510D">
              <w:rPr>
                <w:b/>
                <w:bCs/>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0CB6614" w14:textId="32A64182" w:rsidR="00686C80" w:rsidRPr="0070510D" w:rsidRDefault="00686C80">
            <w:pPr>
              <w:jc w:val="right"/>
              <w:rPr>
                <w:b/>
                <w:bCs/>
                <w:sz w:val="20"/>
                <w:szCs w:val="20"/>
              </w:rPr>
            </w:pPr>
            <w:r w:rsidRPr="0070510D">
              <w:rPr>
                <w:b/>
                <w:bCs/>
                <w:sz w:val="20"/>
                <w:szCs w:val="20"/>
              </w:rPr>
              <w:t>$0</w:t>
            </w:r>
          </w:p>
        </w:tc>
      </w:tr>
      <w:tr w:rsidR="00686C80" w14:paraId="7E5B42DC" w14:textId="77777777" w:rsidTr="007E70E3">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87808A0" w14:textId="77777777" w:rsidR="00686C80" w:rsidRPr="0070510D" w:rsidRDefault="00686C80">
            <w:pPr>
              <w:rPr>
                <w:b/>
                <w:bCs/>
                <w:sz w:val="20"/>
                <w:szCs w:val="20"/>
              </w:rPr>
            </w:pPr>
            <w:r w:rsidRPr="0070510D">
              <w:rPr>
                <w:b/>
                <w:bCs/>
                <w:sz w:val="20"/>
                <w:szCs w:val="20"/>
              </w:rPr>
              <w:t xml:space="preserve">TOTAL COST: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6FEFC64D" w14:textId="77777777" w:rsidR="00686C80" w:rsidRPr="0070510D" w:rsidRDefault="00686C80">
            <w:pPr>
              <w:rPr>
                <w:b/>
                <w:bCs/>
                <w:sz w:val="20"/>
                <w:szCs w:val="20"/>
              </w:rPr>
            </w:pPr>
            <w:r w:rsidRPr="0070510D">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5C97728E" w14:textId="77777777" w:rsidR="00686C80" w:rsidRPr="0070510D" w:rsidRDefault="00686C80">
            <w:pPr>
              <w:rPr>
                <w:b/>
                <w:bCs/>
                <w:sz w:val="20"/>
                <w:szCs w:val="20"/>
              </w:rPr>
            </w:pPr>
            <w:r w:rsidRPr="0070510D">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91291B8" w14:textId="77777777" w:rsidR="00686C80" w:rsidRPr="0070510D" w:rsidRDefault="00686C80">
            <w:pPr>
              <w:rPr>
                <w:b/>
                <w:bCs/>
                <w:sz w:val="20"/>
                <w:szCs w:val="20"/>
              </w:rPr>
            </w:pPr>
            <w:r w:rsidRPr="0070510D">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86D1B69" w14:textId="77777777" w:rsidR="00686C80" w:rsidRPr="0070510D" w:rsidRDefault="00686C80">
            <w:pPr>
              <w:rPr>
                <w:b/>
                <w:bCs/>
                <w:sz w:val="20"/>
                <w:szCs w:val="20"/>
              </w:rPr>
            </w:pPr>
            <w:r w:rsidRPr="0070510D">
              <w:rPr>
                <w:b/>
                <w:bCs/>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CC13D46" w14:textId="77777777" w:rsidR="00686C80" w:rsidRPr="0070510D" w:rsidRDefault="00686C80">
            <w:pPr>
              <w:rPr>
                <w:b/>
                <w:bCs/>
                <w:sz w:val="20"/>
                <w:szCs w:val="20"/>
              </w:rPr>
            </w:pPr>
            <w:r w:rsidRPr="0070510D">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C586DC4" w14:textId="77777777" w:rsidR="00686C80" w:rsidRPr="0070510D" w:rsidRDefault="00686C80">
            <w:pPr>
              <w:rPr>
                <w:b/>
                <w:bCs/>
                <w:sz w:val="20"/>
                <w:szCs w:val="20"/>
              </w:rPr>
            </w:pPr>
            <w:r w:rsidRPr="0070510D">
              <w:rPr>
                <w:b/>
                <w:bCs/>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777A8AF" w14:textId="77777777" w:rsidR="00686C80" w:rsidRPr="0070510D" w:rsidRDefault="00686C80">
            <w:pPr>
              <w:rPr>
                <w:b/>
                <w:bCs/>
                <w:sz w:val="20"/>
                <w:szCs w:val="20"/>
              </w:rPr>
            </w:pPr>
            <w:r w:rsidRPr="0070510D">
              <w:rPr>
                <w:b/>
                <w:bCs/>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48F090F" w14:textId="4F97A2A7" w:rsidR="00686C80" w:rsidRPr="000F7B07" w:rsidRDefault="00686C80" w:rsidP="00526EF8">
            <w:pPr>
              <w:jc w:val="right"/>
              <w:rPr>
                <w:b/>
                <w:bCs/>
                <w:sz w:val="20"/>
                <w:szCs w:val="20"/>
              </w:rPr>
            </w:pPr>
            <w:r w:rsidRPr="0070510D">
              <w:rPr>
                <w:b/>
                <w:bCs/>
                <w:sz w:val="20"/>
                <w:szCs w:val="20"/>
              </w:rPr>
              <w:t>$</w:t>
            </w:r>
            <w:r w:rsidR="00224448" w:rsidRPr="0070510D">
              <w:rPr>
                <w:b/>
                <w:bCs/>
                <w:sz w:val="20"/>
                <w:szCs w:val="20"/>
              </w:rPr>
              <w:t>9</w:t>
            </w:r>
            <w:r w:rsidR="00526EF8" w:rsidRPr="0070510D">
              <w:rPr>
                <w:b/>
                <w:bCs/>
                <w:sz w:val="20"/>
                <w:szCs w:val="20"/>
              </w:rPr>
              <w:t>5</w:t>
            </w:r>
            <w:r w:rsidR="00813875" w:rsidRPr="0070510D">
              <w:rPr>
                <w:b/>
                <w:bCs/>
                <w:sz w:val="20"/>
                <w:szCs w:val="20"/>
              </w:rPr>
              <w:t>,</w:t>
            </w:r>
            <w:r w:rsidR="00526EF8" w:rsidRPr="0070510D">
              <w:rPr>
                <w:b/>
                <w:bCs/>
                <w:sz w:val="20"/>
                <w:szCs w:val="20"/>
              </w:rPr>
              <w:t>5</w:t>
            </w:r>
            <w:r w:rsidR="00813875" w:rsidRPr="0070510D">
              <w:rPr>
                <w:b/>
                <w:bCs/>
                <w:sz w:val="20"/>
                <w:szCs w:val="20"/>
              </w:rPr>
              <w:t>00</w:t>
            </w:r>
          </w:p>
        </w:tc>
      </w:tr>
    </w:tbl>
    <w:p w14:paraId="0E20FDE4" w14:textId="77777777" w:rsidR="003D6951" w:rsidRPr="003F1AFC" w:rsidRDefault="003D6951" w:rsidP="003D6951">
      <w:pPr>
        <w:rPr>
          <w:color w:val="FF0000"/>
        </w:rPr>
      </w:pPr>
    </w:p>
    <w:p w14:paraId="22B8D2FF" w14:textId="77777777" w:rsidR="00FB0F94" w:rsidRPr="001E7AC0" w:rsidRDefault="00FB0F94" w:rsidP="00FB0F94">
      <w:pPr>
        <w:ind w:left="-180" w:right="-270"/>
        <w:rPr>
          <w:b/>
          <w:bCs/>
          <w:sz w:val="20"/>
        </w:rPr>
      </w:pPr>
      <w:r>
        <w:rPr>
          <w:b/>
          <w:bCs/>
          <w:sz w:val="20"/>
        </w:rPr>
        <w:t>Assumptions:</w:t>
      </w:r>
    </w:p>
    <w:p w14:paraId="278338D6" w14:textId="77777777" w:rsidR="00FB0F94" w:rsidRDefault="00FB0F94" w:rsidP="00FB0F94">
      <w:pPr>
        <w:ind w:left="-180" w:right="-270"/>
        <w:rPr>
          <w:sz w:val="20"/>
        </w:rPr>
      </w:pPr>
      <w:r>
        <w:rPr>
          <w:vertAlign w:val="superscript"/>
        </w:rPr>
        <w:t>a</w:t>
      </w:r>
      <w:r>
        <w:rPr>
          <w:sz w:val="20"/>
        </w:rPr>
        <w:t xml:space="preserve">  There are an estimated </w:t>
      </w:r>
      <w:r w:rsidR="00517B9F">
        <w:rPr>
          <w:sz w:val="20"/>
        </w:rPr>
        <w:t>7</w:t>
      </w:r>
      <w:r>
        <w:rPr>
          <w:sz w:val="20"/>
        </w:rPr>
        <w:t xml:space="preserve"> respondents (i.e., </w:t>
      </w:r>
      <w:r w:rsidRPr="00D92CD4">
        <w:rPr>
          <w:sz w:val="20"/>
        </w:rPr>
        <w:t>wet</w:t>
      </w:r>
      <w:r w:rsidRPr="00D92CD4">
        <w:rPr>
          <w:sz w:val="20"/>
        </w:rPr>
        <w:noBreakHyphen/>
        <w:t>formed fiberglass mat production facilities)</w:t>
      </w:r>
      <w:r>
        <w:rPr>
          <w:sz w:val="20"/>
        </w:rPr>
        <w:t xml:space="preserve">, </w:t>
      </w:r>
      <w:r w:rsidR="00517B9F">
        <w:rPr>
          <w:sz w:val="20"/>
        </w:rPr>
        <w:t>5</w:t>
      </w:r>
      <w:r>
        <w:rPr>
          <w:sz w:val="20"/>
        </w:rPr>
        <w:t xml:space="preserve"> with one production line and </w:t>
      </w:r>
      <w:r w:rsidR="00517B9F">
        <w:rPr>
          <w:sz w:val="20"/>
        </w:rPr>
        <w:t>2</w:t>
      </w:r>
      <w:r>
        <w:rPr>
          <w:sz w:val="20"/>
        </w:rPr>
        <w:t xml:space="preserve"> with two lines, which are subject to this standard. We have assumed that there will be no new lines constructed over the </w:t>
      </w:r>
      <w:r w:rsidR="004A50C3">
        <w:rPr>
          <w:sz w:val="20"/>
        </w:rPr>
        <w:t>3-</w:t>
      </w:r>
      <w:r>
        <w:rPr>
          <w:sz w:val="20"/>
        </w:rPr>
        <w:t xml:space="preserve">year period of this ICR. </w:t>
      </w:r>
    </w:p>
    <w:p w14:paraId="7028260F" w14:textId="6D2C9891" w:rsidR="00FB0F94" w:rsidRDefault="00FB0F94" w:rsidP="00FB0F94">
      <w:pPr>
        <w:ind w:left="-180" w:right="-270"/>
        <w:rPr>
          <w:sz w:val="20"/>
        </w:rPr>
      </w:pPr>
      <w:r>
        <w:rPr>
          <w:vertAlign w:val="superscript"/>
        </w:rPr>
        <w:t>b</w:t>
      </w:r>
      <w:r>
        <w:rPr>
          <w:sz w:val="20"/>
        </w:rPr>
        <w:t xml:space="preserve"> This ICR uses the following labor rates: $</w:t>
      </w:r>
      <w:r w:rsidR="00415DDD">
        <w:rPr>
          <w:sz w:val="20"/>
        </w:rPr>
        <w:t>64</w:t>
      </w:r>
      <w:r>
        <w:rPr>
          <w:sz w:val="20"/>
        </w:rPr>
        <w:t>.</w:t>
      </w:r>
      <w:r w:rsidR="00415DDD">
        <w:rPr>
          <w:sz w:val="20"/>
        </w:rPr>
        <w:t>37</w:t>
      </w:r>
      <w:r>
        <w:rPr>
          <w:sz w:val="20"/>
        </w:rPr>
        <w:t xml:space="preserve"> per hour for Technical labor, </w:t>
      </w:r>
      <w:r w:rsidR="007B6CDC">
        <w:rPr>
          <w:sz w:val="20"/>
        </w:rPr>
        <w:t>$123.</w:t>
      </w:r>
      <w:r w:rsidR="00415DDD">
        <w:rPr>
          <w:sz w:val="20"/>
        </w:rPr>
        <w:t>27</w:t>
      </w:r>
      <w:r w:rsidR="007B6CDC">
        <w:rPr>
          <w:sz w:val="20"/>
        </w:rPr>
        <w:t xml:space="preserve"> per hour for </w:t>
      </w:r>
      <w:r w:rsidR="007B6CDC" w:rsidRPr="007B6238">
        <w:rPr>
          <w:sz w:val="20"/>
          <w:szCs w:val="20"/>
        </w:rPr>
        <w:t xml:space="preserve">Executive, Administrative, and Managerial labor, </w:t>
      </w:r>
      <w:r w:rsidRPr="007B6238">
        <w:rPr>
          <w:sz w:val="20"/>
          <w:szCs w:val="20"/>
        </w:rPr>
        <w:t>and $</w:t>
      </w:r>
      <w:r w:rsidR="001C6C1B" w:rsidRPr="007B6238">
        <w:rPr>
          <w:sz w:val="20"/>
          <w:szCs w:val="20"/>
        </w:rPr>
        <w:t>4</w:t>
      </w:r>
      <w:r w:rsidR="00415DDD" w:rsidRPr="007B6238">
        <w:rPr>
          <w:sz w:val="20"/>
          <w:szCs w:val="20"/>
        </w:rPr>
        <w:t>0</w:t>
      </w:r>
      <w:r w:rsidRPr="007B6238">
        <w:rPr>
          <w:sz w:val="20"/>
          <w:szCs w:val="20"/>
        </w:rPr>
        <w:t>.</w:t>
      </w:r>
      <w:r w:rsidR="00415DDD" w:rsidRPr="007B6238">
        <w:rPr>
          <w:sz w:val="20"/>
          <w:szCs w:val="20"/>
        </w:rPr>
        <w:t>72</w:t>
      </w:r>
      <w:r w:rsidRPr="007B6238">
        <w:rPr>
          <w:sz w:val="20"/>
          <w:szCs w:val="20"/>
        </w:rPr>
        <w:t xml:space="preserve"> per hour for Clerical labor. These rates are from the United States Department of Labor, Bureau of Labor Statistics </w:t>
      </w:r>
      <w:r w:rsidR="007B6238" w:rsidRPr="007B6238">
        <w:rPr>
          <w:sz w:val="20"/>
          <w:szCs w:val="20"/>
        </w:rPr>
        <w:t xml:space="preserve">survey titled </w:t>
      </w:r>
      <w:r w:rsidR="007B6238" w:rsidRPr="007B6238">
        <w:rPr>
          <w:i/>
          <w:sz w:val="20"/>
          <w:szCs w:val="20"/>
        </w:rPr>
        <w:t xml:space="preserve">May </w:t>
      </w:r>
      <w:r w:rsidR="007B6238" w:rsidRPr="007B6238">
        <w:rPr>
          <w:i/>
          <w:iCs/>
          <w:sz w:val="20"/>
          <w:szCs w:val="20"/>
        </w:rPr>
        <w:t>2016 National Occupational Employment and Wage Estimates United States</w:t>
      </w:r>
      <w:r w:rsidR="007B6238" w:rsidRPr="007B6238">
        <w:rPr>
          <w:color w:val="000000"/>
          <w:sz w:val="20"/>
          <w:szCs w:val="20"/>
        </w:rPr>
        <w:t>.” The rates are from column 8, “Mean hourly</w:t>
      </w:r>
      <w:r w:rsidR="007B6238">
        <w:rPr>
          <w:color w:val="000000"/>
        </w:rPr>
        <w:t xml:space="preserve"> wage.”</w:t>
      </w:r>
      <w:r>
        <w:rPr>
          <w:sz w:val="20"/>
        </w:rPr>
        <w:t xml:space="preserve"> The rates have been increased by 110% to account for the benefit packages available to those employed by private industry.</w:t>
      </w:r>
    </w:p>
    <w:p w14:paraId="4F48EFC1" w14:textId="358727AE" w:rsidR="00AB7710" w:rsidRPr="00C53C57" w:rsidRDefault="00813875" w:rsidP="00FB0F94">
      <w:pPr>
        <w:ind w:left="-180" w:right="-270"/>
        <w:rPr>
          <w:sz w:val="20"/>
        </w:rPr>
      </w:pPr>
      <w:r w:rsidRPr="00813875">
        <w:rPr>
          <w:sz w:val="20"/>
          <w:vertAlign w:val="superscript"/>
        </w:rPr>
        <w:t>c</w:t>
      </w:r>
      <w:r w:rsidR="00AB7710">
        <w:rPr>
          <w:sz w:val="20"/>
        </w:rPr>
        <w:t xml:space="preserve"> We estimate that it will take the </w:t>
      </w:r>
      <w:r w:rsidR="00AB7710" w:rsidRPr="00C53C57">
        <w:rPr>
          <w:sz w:val="20"/>
        </w:rPr>
        <w:t xml:space="preserve">respondent </w:t>
      </w:r>
      <w:r w:rsidR="00954CB8">
        <w:rPr>
          <w:sz w:val="20"/>
        </w:rPr>
        <w:t>8</w:t>
      </w:r>
      <w:r w:rsidR="00AB7710" w:rsidRPr="00C53C57">
        <w:rPr>
          <w:sz w:val="20"/>
        </w:rPr>
        <w:t xml:space="preserve"> hours to read and understand amended rule requirements</w:t>
      </w:r>
      <w:r w:rsidR="007B6238">
        <w:rPr>
          <w:sz w:val="20"/>
        </w:rPr>
        <w:t>, including the new requirement to electronically submit performance test results</w:t>
      </w:r>
      <w:r w:rsidR="00AB7710" w:rsidRPr="00C53C57">
        <w:rPr>
          <w:sz w:val="20"/>
        </w:rPr>
        <w:t>; this is a one-time requirement (7 respondents/3 years = 2.</w:t>
      </w:r>
      <w:r w:rsidR="00C53760">
        <w:rPr>
          <w:sz w:val="20"/>
        </w:rPr>
        <w:t>3</w:t>
      </w:r>
      <w:r w:rsidR="00AB7710" w:rsidRPr="00C53C57">
        <w:rPr>
          <w:sz w:val="20"/>
        </w:rPr>
        <w:t>3).</w:t>
      </w:r>
    </w:p>
    <w:p w14:paraId="3C22A4F1" w14:textId="36845DCA" w:rsidR="00FB0F94" w:rsidRPr="00C53C57" w:rsidRDefault="00813875" w:rsidP="00FB0F94">
      <w:pPr>
        <w:ind w:left="-180" w:right="-270"/>
        <w:rPr>
          <w:sz w:val="20"/>
        </w:rPr>
      </w:pPr>
      <w:r>
        <w:rPr>
          <w:vertAlign w:val="superscript"/>
        </w:rPr>
        <w:t>d</w:t>
      </w:r>
      <w:r w:rsidR="00FB0F94" w:rsidRPr="00C53C57">
        <w:rPr>
          <w:sz w:val="20"/>
        </w:rPr>
        <w:t xml:space="preserve"> </w:t>
      </w:r>
      <w:r w:rsidR="002B6F98" w:rsidRPr="002B6F98">
        <w:rPr>
          <w:sz w:val="20"/>
        </w:rPr>
        <w:t>It is assumed there are no new sources subject to the initial rule requirements, including the initial performance test, over the three-year period of this ICR.</w:t>
      </w:r>
      <w:r w:rsidR="00AE21E3">
        <w:rPr>
          <w:sz w:val="20"/>
        </w:rPr>
        <w:t xml:space="preserve"> </w:t>
      </w:r>
      <w:r w:rsidR="00FB0F94" w:rsidRPr="00C53C57">
        <w:rPr>
          <w:sz w:val="20"/>
        </w:rPr>
        <w:t xml:space="preserve">The rule requires a performance test every </w:t>
      </w:r>
      <w:r w:rsidR="004A50C3" w:rsidRPr="00C53C57">
        <w:rPr>
          <w:sz w:val="20"/>
        </w:rPr>
        <w:t>5</w:t>
      </w:r>
      <w:r w:rsidR="00FB0F94" w:rsidRPr="00C53C57">
        <w:rPr>
          <w:sz w:val="20"/>
        </w:rPr>
        <w:t xml:space="preserve"> years since the initial test was conducted. We have estimated that each performance test will take approximately 21 hours to complete it since sources will be using EPA Method 316</w:t>
      </w:r>
      <w:r w:rsidR="001C6C1B" w:rsidRPr="00C53C57">
        <w:rPr>
          <w:sz w:val="20"/>
        </w:rPr>
        <w:t>, 318, or 320</w:t>
      </w:r>
      <w:r w:rsidR="00FB0F94" w:rsidRPr="00C53C57">
        <w:rPr>
          <w:sz w:val="20"/>
        </w:rPr>
        <w:t xml:space="preserve"> to measure formaldehyde and applicable test methods specified in the NESHAP to determine resin free-formaldehyde content and the loss-on-ignition of the fiberglass mat. In addition, we have assumed that it will take approximately 200 hours to conduct the pretest survey, equipment calibration, and sample analysis and report preparation for a total of 221 hours per performance test. We have further assumed that 20 percent of the performance tests fail and will have to be repeated. </w:t>
      </w:r>
      <w:r w:rsidR="006D0FF5">
        <w:rPr>
          <w:sz w:val="20"/>
        </w:rPr>
        <w:t xml:space="preserve">These estimates include </w:t>
      </w:r>
      <w:r w:rsidR="00C35AA5">
        <w:rPr>
          <w:sz w:val="20"/>
        </w:rPr>
        <w:t>CMS performance evaluation</w:t>
      </w:r>
      <w:r w:rsidR="006D0FF5">
        <w:rPr>
          <w:sz w:val="20"/>
        </w:rPr>
        <w:t xml:space="preserve"> requirements.</w:t>
      </w:r>
      <w:r w:rsidR="00C35AA5">
        <w:rPr>
          <w:sz w:val="20"/>
        </w:rPr>
        <w:t xml:space="preserve"> </w:t>
      </w:r>
      <w:r w:rsidR="00FB0F94" w:rsidRPr="00C53C57">
        <w:rPr>
          <w:sz w:val="20"/>
        </w:rPr>
        <w:t xml:space="preserve">There are an estimated </w:t>
      </w:r>
      <w:r w:rsidR="001C6C1B" w:rsidRPr="00C53C57">
        <w:rPr>
          <w:sz w:val="20"/>
        </w:rPr>
        <w:t>7</w:t>
      </w:r>
      <w:r w:rsidR="00FB0F94" w:rsidRPr="00C53C57">
        <w:rPr>
          <w:sz w:val="20"/>
        </w:rPr>
        <w:t xml:space="preserve"> respondents</w:t>
      </w:r>
      <w:r w:rsidR="001C6C1B" w:rsidRPr="00C53C57">
        <w:rPr>
          <w:sz w:val="20"/>
        </w:rPr>
        <w:t xml:space="preserve"> (with 9 affected drying/curing ovens)</w:t>
      </w:r>
      <w:r w:rsidR="00FB0F94" w:rsidRPr="00C53C57">
        <w:rPr>
          <w:sz w:val="20"/>
        </w:rPr>
        <w:t xml:space="preserve">. </w:t>
      </w:r>
      <w:r w:rsidR="008B6C7B" w:rsidRPr="00C53C57">
        <w:rPr>
          <w:sz w:val="20"/>
        </w:rPr>
        <w:t xml:space="preserve">On average each year, </w:t>
      </w:r>
      <w:r w:rsidR="00FB0F94" w:rsidRPr="00C53C57">
        <w:rPr>
          <w:sz w:val="20"/>
        </w:rPr>
        <w:t xml:space="preserve">the number of respondents conducting the performance test is </w:t>
      </w:r>
      <w:r w:rsidR="001C6C1B" w:rsidRPr="00C53C57">
        <w:rPr>
          <w:sz w:val="20"/>
        </w:rPr>
        <w:t>1</w:t>
      </w:r>
      <w:r w:rsidR="008B6C7B" w:rsidRPr="00C53C57">
        <w:rPr>
          <w:sz w:val="20"/>
        </w:rPr>
        <w:t>.8 (</w:t>
      </w:r>
      <w:r w:rsidR="001C6C1B" w:rsidRPr="00C53C57">
        <w:rPr>
          <w:sz w:val="20"/>
        </w:rPr>
        <w:t>9</w:t>
      </w:r>
      <w:r w:rsidR="008B6C7B" w:rsidRPr="00C53C57">
        <w:rPr>
          <w:sz w:val="20"/>
        </w:rPr>
        <w:t xml:space="preserve"> / 5 = </w:t>
      </w:r>
      <w:r w:rsidR="001C6C1B" w:rsidRPr="00C53C57">
        <w:rPr>
          <w:sz w:val="20"/>
        </w:rPr>
        <w:t>1</w:t>
      </w:r>
      <w:r w:rsidR="008B6C7B" w:rsidRPr="00C53C57">
        <w:rPr>
          <w:sz w:val="20"/>
        </w:rPr>
        <w:t>.8)</w:t>
      </w:r>
      <w:r w:rsidR="00317627" w:rsidRPr="00C53C57">
        <w:rPr>
          <w:sz w:val="20"/>
        </w:rPr>
        <w:t xml:space="preserve"> and conducting a repeat performance test is 0.36 (1.8 x 0.20)</w:t>
      </w:r>
      <w:r w:rsidR="00FB0F94" w:rsidRPr="00C53C57">
        <w:rPr>
          <w:sz w:val="20"/>
        </w:rPr>
        <w:t xml:space="preserve">. </w:t>
      </w:r>
    </w:p>
    <w:p w14:paraId="181E85A0" w14:textId="77777777" w:rsidR="00FB0F94" w:rsidRPr="00C53C57" w:rsidRDefault="00813875" w:rsidP="00FB0F94">
      <w:pPr>
        <w:pStyle w:val="HTMLPreformatted"/>
        <w:ind w:left="-180"/>
        <w:rPr>
          <w:rFonts w:ascii="Times New Roman" w:hAnsi="Times New Roman" w:cs="Times New Roman"/>
        </w:rPr>
      </w:pPr>
      <w:r>
        <w:rPr>
          <w:rFonts w:ascii="Times New Roman" w:hAnsi="Times New Roman" w:cs="Times New Roman"/>
          <w:sz w:val="24"/>
          <w:vertAlign w:val="superscript"/>
        </w:rPr>
        <w:t>e</w:t>
      </w:r>
      <w:r w:rsidR="00FB0F94" w:rsidRPr="00C53C57">
        <w:rPr>
          <w:rFonts w:ascii="Times New Roman" w:hAnsi="Times New Roman" w:cs="Times New Roman"/>
        </w:rPr>
        <w:t xml:space="preserve"> Monitoring of operations include: 1) monitoring operating parameters for control equipment (i.e., thermal oxidizer or other control equipment); 2) urea-formaldehyde (UF) resin solids application rate; 3) resin-free formaldehyde content; 4) loss-on-ignition; 5) UF-to-latex ratio in the binder; 6) weight of the final mat product per roofing square; and 7) average nonwoven wet-formed fiberglass mat production rate (roofing square per hour).</w:t>
      </w:r>
    </w:p>
    <w:p w14:paraId="65F8F6F5" w14:textId="1BE03DC9" w:rsidR="000134B6" w:rsidRPr="00C53C57" w:rsidRDefault="00813875" w:rsidP="00FB0F94">
      <w:pPr>
        <w:pStyle w:val="HTMLPreformatted"/>
        <w:ind w:left="-180"/>
        <w:rPr>
          <w:rFonts w:ascii="Times New Roman" w:hAnsi="Times New Roman" w:cs="Times New Roman"/>
        </w:rPr>
      </w:pPr>
      <w:r w:rsidRPr="00813875">
        <w:rPr>
          <w:rFonts w:ascii="Times New Roman" w:hAnsi="Times New Roman" w:cs="Times New Roman"/>
          <w:vertAlign w:val="superscript"/>
        </w:rPr>
        <w:t>f</w:t>
      </w:r>
      <w:r w:rsidR="000134B6" w:rsidRPr="00C53C57">
        <w:rPr>
          <w:rFonts w:ascii="Times New Roman" w:hAnsi="Times New Roman" w:cs="Times New Roman"/>
          <w:vertAlign w:val="superscript"/>
        </w:rPr>
        <w:t xml:space="preserve"> </w:t>
      </w:r>
      <w:r w:rsidR="007B6238" w:rsidRPr="007B6238">
        <w:rPr>
          <w:rFonts w:ascii="Times New Roman" w:hAnsi="Times New Roman" w:cs="Times New Roman"/>
        </w:rPr>
        <w:t xml:space="preserve">There are an estimated 7 respondents (with 9 affected drying/curing ovens). On average each year, the number of respondents conducting </w:t>
      </w:r>
      <w:r w:rsidR="00E136AE">
        <w:rPr>
          <w:rFonts w:ascii="Times New Roman" w:hAnsi="Times New Roman" w:cs="Times New Roman"/>
        </w:rPr>
        <w:t>a</w:t>
      </w:r>
      <w:r w:rsidR="007B6238" w:rsidRPr="007B6238">
        <w:rPr>
          <w:rFonts w:ascii="Times New Roman" w:hAnsi="Times New Roman" w:cs="Times New Roman"/>
        </w:rPr>
        <w:t xml:space="preserve"> performance test </w:t>
      </w:r>
      <w:r w:rsidR="00E136AE">
        <w:rPr>
          <w:rFonts w:ascii="Times New Roman" w:hAnsi="Times New Roman" w:cs="Times New Roman"/>
        </w:rPr>
        <w:t xml:space="preserve">or repeat performance test and electronically submitting their test results is 2.16 </w:t>
      </w:r>
      <w:r w:rsidR="00A054FE" w:rsidRPr="00C53C57">
        <w:rPr>
          <w:rFonts w:ascii="Times New Roman" w:hAnsi="Times New Roman" w:cs="Times New Roman"/>
        </w:rPr>
        <w:t>(1.8 tests + 0.36 retests).</w:t>
      </w:r>
      <w:r w:rsidR="00E0531D">
        <w:rPr>
          <w:rFonts w:ascii="Times New Roman" w:hAnsi="Times New Roman" w:cs="Times New Roman"/>
        </w:rPr>
        <w:t xml:space="preserve"> </w:t>
      </w:r>
    </w:p>
    <w:p w14:paraId="1B26F8D0" w14:textId="77777777" w:rsidR="00FB0F94" w:rsidRDefault="00813875" w:rsidP="00813875">
      <w:pPr>
        <w:pStyle w:val="HTMLPreformatted"/>
        <w:ind w:left="-180"/>
        <w:rPr>
          <w:rFonts w:ascii="Times New Roman" w:hAnsi="Times New Roman" w:cs="Times New Roman"/>
        </w:rPr>
      </w:pPr>
      <w:r>
        <w:rPr>
          <w:rFonts w:ascii="Times New Roman" w:hAnsi="Times New Roman" w:cs="Times New Roman"/>
          <w:sz w:val="24"/>
          <w:vertAlign w:val="superscript"/>
        </w:rPr>
        <w:t>g</w:t>
      </w:r>
      <w:r w:rsidR="00FB0F94" w:rsidRPr="00C53C57">
        <w:rPr>
          <w:rFonts w:ascii="Times New Roman" w:hAnsi="Times New Roman" w:cs="Times New Roman"/>
        </w:rPr>
        <w:t xml:space="preserve"> We have assumed that approximately 80 percent of the </w:t>
      </w:r>
      <w:r w:rsidR="00AB2A03" w:rsidRPr="00C53C57">
        <w:rPr>
          <w:rFonts w:ascii="Times New Roman" w:hAnsi="Times New Roman" w:cs="Times New Roman"/>
        </w:rPr>
        <w:t>7</w:t>
      </w:r>
      <w:r w:rsidR="00FB0F94" w:rsidRPr="00C53C57">
        <w:rPr>
          <w:rFonts w:ascii="Times New Roman" w:hAnsi="Times New Roman" w:cs="Times New Roman"/>
        </w:rPr>
        <w:t xml:space="preserve"> respondents (or </w:t>
      </w:r>
      <w:r w:rsidR="00AB2A03" w:rsidRPr="00C53C57">
        <w:rPr>
          <w:rFonts w:ascii="Times New Roman" w:hAnsi="Times New Roman" w:cs="Times New Roman"/>
        </w:rPr>
        <w:t>5</w:t>
      </w:r>
      <w:r w:rsidR="00FB0F94" w:rsidRPr="00C53C57">
        <w:rPr>
          <w:rFonts w:ascii="Times New Roman" w:hAnsi="Times New Roman" w:cs="Times New Roman"/>
        </w:rPr>
        <w:t>.</w:t>
      </w:r>
      <w:r w:rsidR="00AB2A03" w:rsidRPr="00C53C57">
        <w:rPr>
          <w:rFonts w:ascii="Times New Roman" w:hAnsi="Times New Roman" w:cs="Times New Roman"/>
        </w:rPr>
        <w:t>6</w:t>
      </w:r>
      <w:r w:rsidR="00FB0F94" w:rsidRPr="00C53C57">
        <w:rPr>
          <w:rFonts w:ascii="Times New Roman" w:hAnsi="Times New Roman" w:cs="Times New Roman"/>
        </w:rPr>
        <w:t xml:space="preserve">) will report no </w:t>
      </w:r>
      <w:r w:rsidR="00AB2A03" w:rsidRPr="00C53C57">
        <w:rPr>
          <w:rFonts w:ascii="Times New Roman" w:hAnsi="Times New Roman" w:cs="Times New Roman"/>
        </w:rPr>
        <w:t>instances of failure to meet applicable standard</w:t>
      </w:r>
      <w:r w:rsidR="00AB2A03" w:rsidRPr="00C53C57">
        <w:t>s</w:t>
      </w:r>
      <w:r w:rsidR="00AB2A03" w:rsidRPr="00C53C57">
        <w:rPr>
          <w:rFonts w:ascii="Times New Roman" w:hAnsi="Times New Roman" w:cs="Times New Roman"/>
        </w:rPr>
        <w:t xml:space="preserve"> </w:t>
      </w:r>
      <w:r w:rsidR="00FB0F94" w:rsidRPr="00C53C57">
        <w:rPr>
          <w:rFonts w:ascii="Times New Roman" w:hAnsi="Times New Roman" w:cs="Times New Roman"/>
        </w:rPr>
        <w:t xml:space="preserve">twice a year and approximately 20 percent (or </w:t>
      </w:r>
      <w:r w:rsidR="00AB2A03" w:rsidRPr="00C53C57">
        <w:rPr>
          <w:rFonts w:ascii="Times New Roman" w:hAnsi="Times New Roman" w:cs="Times New Roman"/>
        </w:rPr>
        <w:t>1</w:t>
      </w:r>
      <w:r w:rsidR="00FB0F94" w:rsidRPr="00C53C57">
        <w:rPr>
          <w:rFonts w:ascii="Times New Roman" w:hAnsi="Times New Roman" w:cs="Times New Roman"/>
        </w:rPr>
        <w:t>.</w:t>
      </w:r>
      <w:r w:rsidR="00AB2A03" w:rsidRPr="00C53C57">
        <w:rPr>
          <w:rFonts w:ascii="Times New Roman" w:hAnsi="Times New Roman" w:cs="Times New Roman"/>
        </w:rPr>
        <w:t>4</w:t>
      </w:r>
      <w:r w:rsidR="00FB0F94" w:rsidRPr="00C53C57">
        <w:rPr>
          <w:rFonts w:ascii="Times New Roman" w:hAnsi="Times New Roman" w:cs="Times New Roman"/>
        </w:rPr>
        <w:t xml:space="preserve">) will report </w:t>
      </w:r>
      <w:r w:rsidR="00AB2A03" w:rsidRPr="00C53C57">
        <w:rPr>
          <w:rFonts w:ascii="Times New Roman" w:hAnsi="Times New Roman" w:cs="Times New Roman"/>
        </w:rPr>
        <w:t>instances of failure to meet applicable st</w:t>
      </w:r>
      <w:r w:rsidR="00AB2A03">
        <w:rPr>
          <w:rFonts w:ascii="Times New Roman" w:hAnsi="Times New Roman" w:cs="Times New Roman"/>
        </w:rPr>
        <w:t>andards</w:t>
      </w:r>
      <w:r w:rsidR="00FB0F94">
        <w:rPr>
          <w:rFonts w:ascii="Times New Roman" w:hAnsi="Times New Roman" w:cs="Times New Roman"/>
        </w:rPr>
        <w:t xml:space="preserve"> twice a year.</w:t>
      </w:r>
    </w:p>
    <w:p w14:paraId="4123F4F1" w14:textId="77777777" w:rsidR="00FB0F94" w:rsidRDefault="00813875" w:rsidP="00FB0F94">
      <w:pPr>
        <w:pStyle w:val="HTMLPreformatted"/>
        <w:ind w:left="-180"/>
        <w:rPr>
          <w:rFonts w:ascii="Times New Roman" w:hAnsi="Times New Roman" w:cs="Times New Roman"/>
        </w:rPr>
      </w:pPr>
      <w:r>
        <w:rPr>
          <w:rFonts w:ascii="Times New Roman" w:hAnsi="Times New Roman" w:cs="Times New Roman"/>
          <w:sz w:val="24"/>
          <w:vertAlign w:val="superscript"/>
        </w:rPr>
        <w:t>h</w:t>
      </w:r>
      <w:r w:rsidR="00FB0F94">
        <w:rPr>
          <w:rFonts w:ascii="Times New Roman" w:hAnsi="Times New Roman" w:cs="Times New Roman"/>
          <w:sz w:val="24"/>
          <w:vertAlign w:val="superscript"/>
        </w:rPr>
        <w:t xml:space="preserve"> </w:t>
      </w:r>
      <w:r w:rsidR="00FB0F94">
        <w:rPr>
          <w:rFonts w:ascii="Times New Roman" w:hAnsi="Times New Roman" w:cs="Times New Roman"/>
        </w:rPr>
        <w:t>We have assumed it takes each source approximately 1.75 hours per week to record and transmit the information and that a year will consist of 52 weeks.</w:t>
      </w:r>
    </w:p>
    <w:p w14:paraId="1B788FEE" w14:textId="45ED728C" w:rsidR="00F63C4C" w:rsidRDefault="004970A6" w:rsidP="00FB0F94">
      <w:pPr>
        <w:pStyle w:val="HTMLPreformatted"/>
        <w:ind w:left="-180"/>
        <w:rPr>
          <w:rFonts w:ascii="Times New Roman" w:hAnsi="Times New Roman" w:cs="Times New Roman"/>
        </w:rPr>
      </w:pPr>
      <w:r w:rsidRPr="004970A6">
        <w:rPr>
          <w:rFonts w:ascii="Times New Roman" w:hAnsi="Times New Roman" w:cs="Times New Roman"/>
          <w:vertAlign w:val="superscript"/>
        </w:rPr>
        <w:t>i</w:t>
      </w:r>
      <w:r w:rsidR="00F63C4C">
        <w:rPr>
          <w:rFonts w:ascii="Times New Roman" w:hAnsi="Times New Roman" w:cs="Times New Roman"/>
        </w:rPr>
        <w:t xml:space="preserve"> Totals have been rounded to </w:t>
      </w:r>
      <w:r w:rsidR="00AE21E3">
        <w:rPr>
          <w:rFonts w:ascii="Times New Roman" w:hAnsi="Times New Roman" w:cs="Times New Roman"/>
        </w:rPr>
        <w:t xml:space="preserve">3 </w:t>
      </w:r>
      <w:r w:rsidR="00F63C4C">
        <w:rPr>
          <w:rFonts w:ascii="Times New Roman" w:hAnsi="Times New Roman" w:cs="Times New Roman"/>
        </w:rPr>
        <w:t>significant figures. Figures may not add exactly due to rounding.</w:t>
      </w:r>
    </w:p>
    <w:p w14:paraId="6DC6191E" w14:textId="4314EFBF" w:rsidR="00144F35" w:rsidRDefault="00144F35" w:rsidP="008B6C7B">
      <w:pPr>
        <w:jc w:val="center"/>
        <w:outlineLvl w:val="0"/>
        <w:rPr>
          <w:b/>
          <w:bCs/>
          <w:color w:val="000000"/>
        </w:rPr>
      </w:pPr>
      <w:r>
        <w:rPr>
          <w:b/>
          <w:bCs/>
          <w:color w:val="000000"/>
        </w:rPr>
        <w:br w:type="page"/>
      </w:r>
      <w:r w:rsidR="00FB0F94" w:rsidRPr="00FB0F94">
        <w:rPr>
          <w:b/>
          <w:bCs/>
          <w:color w:val="000000"/>
        </w:rPr>
        <w:t>Table 2: Average Annual EPA Burden and Cost – NESHAP for Wet-formed Fiberglass Mat Production (40 CFR Part 63, Subpart HHHH) (</w:t>
      </w:r>
      <w:r w:rsidR="000513E6">
        <w:rPr>
          <w:b/>
          <w:bCs/>
          <w:color w:val="000000"/>
        </w:rPr>
        <w:t>Final Rule</w:t>
      </w:r>
      <w:r w:rsidR="00FB0F94" w:rsidRPr="00FB0F94">
        <w:rPr>
          <w:b/>
          <w:bCs/>
          <w:color w:val="000000"/>
        </w:rPr>
        <w:t>)</w:t>
      </w:r>
    </w:p>
    <w:p w14:paraId="63BE7587" w14:textId="77777777" w:rsidR="00144F35" w:rsidRDefault="00144F35" w:rsidP="00F340DF">
      <w:pPr>
        <w:rPr>
          <w:b/>
          <w:bCs/>
          <w:color w:val="000000"/>
        </w:rPr>
      </w:pPr>
    </w:p>
    <w:tbl>
      <w:tblPr>
        <w:tblW w:w="13900" w:type="dxa"/>
        <w:jc w:val="center"/>
        <w:tblCellMar>
          <w:left w:w="0" w:type="dxa"/>
          <w:right w:w="0" w:type="dxa"/>
        </w:tblCellMar>
        <w:tblLook w:val="04A0" w:firstRow="1" w:lastRow="0" w:firstColumn="1" w:lastColumn="0" w:noHBand="0" w:noVBand="1"/>
      </w:tblPr>
      <w:tblGrid>
        <w:gridCol w:w="5125"/>
        <w:gridCol w:w="1350"/>
        <w:gridCol w:w="1350"/>
        <w:gridCol w:w="1260"/>
        <w:gridCol w:w="785"/>
        <w:gridCol w:w="885"/>
        <w:gridCol w:w="1146"/>
        <w:gridCol w:w="964"/>
        <w:gridCol w:w="1035"/>
      </w:tblGrid>
      <w:tr w:rsidR="0086628C" w14:paraId="687AF9BB" w14:textId="77777777" w:rsidTr="0086628C">
        <w:trPr>
          <w:trHeight w:val="1867"/>
          <w:jc w:val="center"/>
        </w:trPr>
        <w:tc>
          <w:tcPr>
            <w:tcW w:w="512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1CAFAFF6" w14:textId="77777777" w:rsidR="00CC45C6" w:rsidRDefault="00FB0F94">
            <w:pPr>
              <w:jc w:val="center"/>
              <w:rPr>
                <w:b/>
                <w:bCs/>
                <w:color w:val="000000"/>
                <w:sz w:val="20"/>
                <w:szCs w:val="20"/>
              </w:rPr>
            </w:pPr>
            <w:r>
              <w:rPr>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1AFE23C5" w14:textId="77777777" w:rsidR="00CC45C6" w:rsidRDefault="00FB0F94">
            <w:pPr>
              <w:jc w:val="center"/>
              <w:rPr>
                <w:b/>
                <w:bCs/>
                <w:color w:val="000000"/>
                <w:sz w:val="20"/>
                <w:szCs w:val="20"/>
              </w:rPr>
            </w:pPr>
            <w:r>
              <w:rPr>
                <w:b/>
                <w:bCs/>
                <w:color w:val="000000"/>
                <w:sz w:val="20"/>
                <w:szCs w:val="20"/>
              </w:rPr>
              <w:t>(A)</w:t>
            </w:r>
          </w:p>
          <w:p w14:paraId="22AF0746" w14:textId="77777777" w:rsidR="00CC45C6" w:rsidRDefault="00FB0F94">
            <w:pPr>
              <w:jc w:val="center"/>
              <w:rPr>
                <w:b/>
                <w:bCs/>
                <w:color w:val="000000"/>
                <w:sz w:val="20"/>
                <w:szCs w:val="20"/>
              </w:rPr>
            </w:pPr>
            <w:r>
              <w:rPr>
                <w:b/>
                <w:bCs/>
                <w:color w:val="000000"/>
                <w:sz w:val="20"/>
                <w:szCs w:val="20"/>
              </w:rPr>
              <w:t>EPA person-hours per occurrence</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2FB6BF94" w14:textId="77777777" w:rsidR="00CC45C6" w:rsidRDefault="00FB0F94">
            <w:pPr>
              <w:jc w:val="center"/>
              <w:rPr>
                <w:b/>
                <w:bCs/>
                <w:color w:val="000000"/>
                <w:sz w:val="20"/>
                <w:szCs w:val="20"/>
              </w:rPr>
            </w:pPr>
            <w:r>
              <w:rPr>
                <w:b/>
                <w:bCs/>
                <w:color w:val="000000"/>
                <w:sz w:val="20"/>
                <w:szCs w:val="20"/>
              </w:rPr>
              <w:t>(B)</w:t>
            </w:r>
          </w:p>
          <w:p w14:paraId="10E05E9F" w14:textId="77777777" w:rsidR="00CC45C6" w:rsidRDefault="00FB0F94">
            <w:pPr>
              <w:jc w:val="center"/>
              <w:rPr>
                <w:b/>
                <w:bCs/>
                <w:color w:val="000000"/>
                <w:sz w:val="20"/>
                <w:szCs w:val="20"/>
              </w:rPr>
            </w:pPr>
            <w:r>
              <w:rPr>
                <w:b/>
                <w:bCs/>
                <w:color w:val="000000"/>
                <w:sz w:val="20"/>
                <w:szCs w:val="20"/>
              </w:rPr>
              <w:t>No. of occurrences per plant per year</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A9AA2AD" w14:textId="77777777" w:rsidR="00CC45C6" w:rsidRDefault="00FB0F94">
            <w:pPr>
              <w:jc w:val="center"/>
              <w:rPr>
                <w:b/>
                <w:bCs/>
                <w:color w:val="000000"/>
                <w:sz w:val="20"/>
                <w:szCs w:val="20"/>
              </w:rPr>
            </w:pPr>
            <w:r>
              <w:rPr>
                <w:b/>
                <w:bCs/>
                <w:color w:val="000000"/>
                <w:sz w:val="20"/>
                <w:szCs w:val="20"/>
              </w:rPr>
              <w:t>(C)</w:t>
            </w:r>
          </w:p>
          <w:p w14:paraId="695F8111" w14:textId="77777777" w:rsidR="00CC45C6" w:rsidRDefault="00FB0F94">
            <w:pPr>
              <w:jc w:val="center"/>
              <w:rPr>
                <w:b/>
                <w:bCs/>
                <w:color w:val="000000"/>
                <w:sz w:val="20"/>
                <w:szCs w:val="20"/>
              </w:rPr>
            </w:pPr>
            <w:r>
              <w:rPr>
                <w:b/>
                <w:bCs/>
                <w:color w:val="000000"/>
                <w:sz w:val="20"/>
                <w:szCs w:val="20"/>
              </w:rPr>
              <w:t>EPA person-hours per plant per year (C=AxB)</w:t>
            </w:r>
          </w:p>
        </w:tc>
        <w:tc>
          <w:tcPr>
            <w:tcW w:w="785"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FE74830" w14:textId="77777777" w:rsidR="00CC45C6" w:rsidRDefault="00FB0F94">
            <w:pPr>
              <w:jc w:val="center"/>
              <w:rPr>
                <w:b/>
                <w:bCs/>
                <w:color w:val="000000"/>
                <w:sz w:val="20"/>
                <w:szCs w:val="20"/>
              </w:rPr>
            </w:pPr>
            <w:r>
              <w:rPr>
                <w:b/>
                <w:bCs/>
                <w:color w:val="000000"/>
                <w:sz w:val="20"/>
                <w:szCs w:val="20"/>
              </w:rPr>
              <w:t>(D)</w:t>
            </w:r>
          </w:p>
          <w:p w14:paraId="36C91934" w14:textId="77777777" w:rsidR="00CC45C6" w:rsidRDefault="00FB0F94">
            <w:pPr>
              <w:jc w:val="center"/>
              <w:rPr>
                <w:b/>
                <w:bCs/>
                <w:color w:val="000000"/>
                <w:sz w:val="20"/>
                <w:szCs w:val="20"/>
              </w:rPr>
            </w:pPr>
            <w:r>
              <w:rPr>
                <w:b/>
                <w:bCs/>
                <w:color w:val="000000"/>
                <w:sz w:val="20"/>
                <w:szCs w:val="20"/>
              </w:rPr>
              <w:t xml:space="preserve">Plants Per </w:t>
            </w:r>
          </w:p>
          <w:p w14:paraId="5BD8A978" w14:textId="77777777" w:rsidR="00CC45C6" w:rsidRDefault="00FB0F94" w:rsidP="00C46D5A">
            <w:pPr>
              <w:jc w:val="center"/>
              <w:rPr>
                <w:b/>
                <w:bCs/>
                <w:color w:val="000000"/>
                <w:sz w:val="20"/>
                <w:szCs w:val="20"/>
              </w:rPr>
            </w:pPr>
            <w:r>
              <w:rPr>
                <w:b/>
                <w:bCs/>
                <w:color w:val="000000"/>
                <w:sz w:val="20"/>
                <w:szCs w:val="20"/>
              </w:rPr>
              <w:t xml:space="preserve">Year </w:t>
            </w:r>
            <w:r>
              <w:rPr>
                <w:b/>
                <w:bCs/>
                <w:color w:val="000000"/>
                <w:sz w:val="20"/>
                <w:szCs w:val="20"/>
                <w:vertAlign w:val="superscript"/>
              </w:rPr>
              <w:t>a</w:t>
            </w:r>
          </w:p>
        </w:tc>
        <w:tc>
          <w:tcPr>
            <w:tcW w:w="88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21EA48AC" w14:textId="77777777" w:rsidR="00CC45C6" w:rsidRDefault="00FB0F94">
            <w:pPr>
              <w:jc w:val="center"/>
              <w:rPr>
                <w:b/>
                <w:bCs/>
                <w:color w:val="000000"/>
                <w:sz w:val="20"/>
                <w:szCs w:val="20"/>
              </w:rPr>
            </w:pPr>
            <w:r>
              <w:rPr>
                <w:b/>
                <w:bCs/>
                <w:color w:val="000000"/>
                <w:sz w:val="20"/>
                <w:szCs w:val="20"/>
              </w:rPr>
              <w:t>(E) Technical person-hours per year (E=CxD)</w:t>
            </w:r>
          </w:p>
        </w:tc>
        <w:tc>
          <w:tcPr>
            <w:tcW w:w="1146"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33F2AD6D" w14:textId="77777777" w:rsidR="00CC45C6" w:rsidRDefault="00FB0F94">
            <w:pPr>
              <w:jc w:val="center"/>
              <w:rPr>
                <w:b/>
                <w:bCs/>
                <w:color w:val="000000"/>
                <w:sz w:val="20"/>
                <w:szCs w:val="20"/>
              </w:rPr>
            </w:pPr>
            <w:r>
              <w:rPr>
                <w:b/>
                <w:bCs/>
                <w:color w:val="000000"/>
                <w:sz w:val="20"/>
                <w:szCs w:val="20"/>
              </w:rPr>
              <w:t>(F) Management person-hours per year (Ex0.05)</w:t>
            </w:r>
          </w:p>
        </w:tc>
        <w:tc>
          <w:tcPr>
            <w:tcW w:w="964"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7FF3F840" w14:textId="77777777" w:rsidR="00CC45C6" w:rsidRDefault="00FB0F94">
            <w:pPr>
              <w:jc w:val="center"/>
              <w:rPr>
                <w:b/>
                <w:bCs/>
                <w:color w:val="000000"/>
                <w:sz w:val="20"/>
                <w:szCs w:val="20"/>
              </w:rPr>
            </w:pPr>
            <w:r>
              <w:rPr>
                <w:b/>
                <w:bCs/>
                <w:color w:val="000000"/>
                <w:sz w:val="20"/>
                <w:szCs w:val="20"/>
              </w:rPr>
              <w:t>(G) Clerical person-hours per year (Ex0.10)</w:t>
            </w:r>
          </w:p>
        </w:tc>
        <w:tc>
          <w:tcPr>
            <w:tcW w:w="1035"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4D879E4B" w14:textId="77777777" w:rsidR="00CC45C6" w:rsidRDefault="00FB0F94">
            <w:pPr>
              <w:jc w:val="center"/>
              <w:rPr>
                <w:b/>
                <w:bCs/>
                <w:color w:val="000000"/>
                <w:sz w:val="20"/>
                <w:szCs w:val="20"/>
              </w:rPr>
            </w:pPr>
            <w:r>
              <w:rPr>
                <w:b/>
                <w:bCs/>
                <w:color w:val="000000"/>
                <w:sz w:val="20"/>
                <w:szCs w:val="20"/>
              </w:rPr>
              <w:t>(H)</w:t>
            </w:r>
          </w:p>
          <w:p w14:paraId="66D08493" w14:textId="77777777" w:rsidR="00CC45C6" w:rsidRDefault="00FB0F94">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86628C" w14:paraId="545F658E" w14:textId="77777777" w:rsidTr="0086628C">
        <w:trPr>
          <w:trHeight w:val="375"/>
          <w:jc w:val="center"/>
        </w:trPr>
        <w:tc>
          <w:tcPr>
            <w:tcW w:w="51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0CB5E36" w14:textId="77777777" w:rsidR="00CC45C6" w:rsidRDefault="00821808" w:rsidP="00821808">
            <w:pPr>
              <w:rPr>
                <w:color w:val="000000"/>
                <w:sz w:val="20"/>
                <w:szCs w:val="20"/>
              </w:rPr>
            </w:pPr>
            <w:r>
              <w:rPr>
                <w:color w:val="000000"/>
                <w:sz w:val="20"/>
                <w:szCs w:val="20"/>
              </w:rPr>
              <w:t>Review i</w:t>
            </w:r>
            <w:r w:rsidR="00FB0F94">
              <w:rPr>
                <w:color w:val="000000"/>
                <w:sz w:val="20"/>
                <w:szCs w:val="20"/>
              </w:rPr>
              <w:t xml:space="preserve">nitial </w:t>
            </w:r>
            <w:r>
              <w:rPr>
                <w:color w:val="000000"/>
                <w:sz w:val="20"/>
                <w:szCs w:val="20"/>
              </w:rPr>
              <w:t>n</w:t>
            </w:r>
            <w:r w:rsidR="00FB0F94">
              <w:rPr>
                <w:color w:val="000000"/>
                <w:sz w:val="20"/>
                <w:szCs w:val="20"/>
              </w:rPr>
              <w:t xml:space="preserve">otifications: </w:t>
            </w:r>
            <w:r w:rsidR="0086628C">
              <w:rPr>
                <w:color w:val="000000"/>
                <w:sz w:val="20"/>
                <w:szCs w:val="20"/>
              </w:rPr>
              <w:t xml:space="preserve">construction/reconstruction, startup, </w:t>
            </w:r>
            <w:r w:rsidR="00FB0F94">
              <w:rPr>
                <w:color w:val="000000"/>
                <w:sz w:val="20"/>
                <w:szCs w:val="20"/>
              </w:rPr>
              <w:t xml:space="preserve">applicability, compliance status </w:t>
            </w:r>
            <w:r w:rsidR="00FB0F94">
              <w:rPr>
                <w:color w:val="000000"/>
                <w:vertAlign w:val="superscript"/>
              </w:rPr>
              <w:t>a</w:t>
            </w:r>
            <w:r w:rsidR="00FB0F9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4EA314F" w14:textId="77777777" w:rsidR="00CC45C6" w:rsidRDefault="00FB0F94">
            <w:pPr>
              <w:jc w:val="center"/>
              <w:rPr>
                <w:color w:val="000000"/>
                <w:sz w:val="20"/>
                <w:szCs w:val="20"/>
              </w:rPr>
            </w:pPr>
            <w:r>
              <w:rPr>
                <w:color w:val="000000"/>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772688F" w14:textId="77777777" w:rsidR="00CC45C6" w:rsidRDefault="0086628C" w:rsidP="0086628C">
            <w:pPr>
              <w:jc w:val="center"/>
              <w:rPr>
                <w:color w:val="000000"/>
                <w:sz w:val="20"/>
                <w:szCs w:val="20"/>
              </w:rPr>
            </w:pPr>
            <w:r>
              <w:rPr>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B220D05" w14:textId="77777777" w:rsidR="00CC45C6" w:rsidRDefault="00821808" w:rsidP="00821808">
            <w:pPr>
              <w:jc w:val="center"/>
              <w:rPr>
                <w:color w:val="000000"/>
                <w:sz w:val="20"/>
                <w:szCs w:val="20"/>
              </w:rPr>
            </w:pPr>
            <w:r>
              <w:rPr>
                <w:color w:val="000000"/>
                <w:sz w:val="20"/>
                <w:szCs w:val="20"/>
              </w:rPr>
              <w:t>2</w:t>
            </w:r>
          </w:p>
        </w:tc>
        <w:tc>
          <w:tcPr>
            <w:tcW w:w="785"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45A2ED7" w14:textId="77777777"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C3C686" w14:textId="77777777"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A3C30B" w14:textId="77777777" w:rsidR="00CC45C6" w:rsidRDefault="00FB0F94">
            <w:pPr>
              <w:jc w:val="center"/>
              <w:rPr>
                <w:color w:val="000000"/>
                <w:sz w:val="20"/>
                <w:szCs w:val="20"/>
              </w:rPr>
            </w:pPr>
            <w:r>
              <w:rPr>
                <w:color w:val="000000"/>
                <w:sz w:val="20"/>
                <w:szCs w:val="20"/>
              </w:rPr>
              <w:t>0</w:t>
            </w:r>
          </w:p>
        </w:tc>
        <w:tc>
          <w:tcPr>
            <w:tcW w:w="964"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47E57F6" w14:textId="77777777" w:rsidR="00CC45C6" w:rsidRDefault="00FB0F94">
            <w:pPr>
              <w:jc w:val="center"/>
              <w:rPr>
                <w:color w:val="000000"/>
                <w:sz w:val="20"/>
                <w:szCs w:val="20"/>
              </w:rPr>
            </w:pPr>
            <w:r>
              <w:rPr>
                <w:color w:val="000000"/>
                <w:sz w:val="20"/>
                <w:szCs w:val="20"/>
              </w:rPr>
              <w:t>0</w:t>
            </w:r>
          </w:p>
        </w:tc>
        <w:tc>
          <w:tcPr>
            <w:tcW w:w="1035"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E01567A" w14:textId="77777777" w:rsidR="00CC45C6" w:rsidRDefault="00682507">
            <w:pPr>
              <w:jc w:val="right"/>
              <w:rPr>
                <w:color w:val="000000"/>
                <w:sz w:val="20"/>
                <w:szCs w:val="20"/>
              </w:rPr>
            </w:pPr>
            <w:r>
              <w:rPr>
                <w:color w:val="000000"/>
                <w:sz w:val="20"/>
                <w:szCs w:val="20"/>
              </w:rPr>
              <w:t>$0</w:t>
            </w:r>
            <w:r w:rsidR="00FB0F94">
              <w:rPr>
                <w:color w:val="000000"/>
                <w:sz w:val="20"/>
                <w:szCs w:val="20"/>
              </w:rPr>
              <w:t xml:space="preserve"> </w:t>
            </w:r>
          </w:p>
        </w:tc>
      </w:tr>
      <w:tr w:rsidR="0086628C" w14:paraId="38E15C18" w14:textId="77777777" w:rsidTr="008218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AC7CD41" w14:textId="77777777" w:rsidR="008B6C7B" w:rsidRDefault="00821808" w:rsidP="00821808">
            <w:pPr>
              <w:rPr>
                <w:color w:val="000000"/>
                <w:sz w:val="20"/>
                <w:szCs w:val="20"/>
              </w:rPr>
            </w:pPr>
            <w:r>
              <w:rPr>
                <w:color w:val="000000"/>
                <w:sz w:val="20"/>
                <w:szCs w:val="20"/>
              </w:rPr>
              <w:t>Review n</w:t>
            </w:r>
            <w:r w:rsidR="008B6C7B">
              <w:rPr>
                <w:color w:val="000000"/>
                <w:sz w:val="20"/>
                <w:szCs w:val="20"/>
              </w:rPr>
              <w:t>otification</w:t>
            </w:r>
            <w:r>
              <w:rPr>
                <w:color w:val="000000"/>
                <w:sz w:val="20"/>
                <w:szCs w:val="20"/>
              </w:rPr>
              <w:t xml:space="preserve"> of</w:t>
            </w:r>
            <w:r w:rsidR="008B6C7B">
              <w:rPr>
                <w:color w:val="000000"/>
                <w:sz w:val="20"/>
                <w:szCs w:val="20"/>
              </w:rPr>
              <w:t xml:space="preserve"> 5-year performance test</w:t>
            </w:r>
            <w:r>
              <w:rPr>
                <w:color w:val="000000"/>
                <w:sz w:val="20"/>
                <w:szCs w:val="20"/>
              </w:rPr>
              <w:t>/retest</w:t>
            </w:r>
            <w:r w:rsidR="008B6C7B">
              <w:rPr>
                <w:color w:val="000000"/>
                <w:sz w:val="20"/>
                <w:szCs w:val="20"/>
              </w:rPr>
              <w:t xml:space="preserve"> </w:t>
            </w:r>
            <w:r w:rsidR="00BA2408">
              <w:rPr>
                <w:color w:val="000000"/>
                <w:vertAlign w:val="superscript"/>
              </w:rPr>
              <w:t>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E1A1A32" w14:textId="77777777" w:rsidR="008B6C7B" w:rsidRDefault="008B6C7B">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A6BB314" w14:textId="77777777" w:rsidR="008B6C7B" w:rsidRDefault="008B6C7B">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C1C19C" w14:textId="77777777" w:rsidR="008B6C7B" w:rsidRDefault="008B6C7B">
            <w:pPr>
              <w:jc w:val="center"/>
              <w:rPr>
                <w:color w:val="000000"/>
                <w:sz w:val="20"/>
                <w:szCs w:val="20"/>
              </w:rPr>
            </w:pPr>
            <w:r>
              <w:rPr>
                <w:color w:val="000000"/>
                <w:sz w:val="20"/>
                <w:szCs w:val="20"/>
              </w:rPr>
              <w:t>2</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42D521E" w14:textId="77777777" w:rsidR="008B6C7B" w:rsidRDefault="008B6C7B" w:rsidP="00821808">
            <w:pPr>
              <w:jc w:val="center"/>
              <w:rPr>
                <w:color w:val="000000"/>
                <w:sz w:val="20"/>
                <w:szCs w:val="20"/>
              </w:rPr>
            </w:pPr>
            <w:r>
              <w:rPr>
                <w:color w:val="000000"/>
                <w:sz w:val="20"/>
                <w:szCs w:val="20"/>
              </w:rPr>
              <w:t>2.</w:t>
            </w:r>
            <w:r w:rsidR="00821808">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9B41793" w14:textId="77777777" w:rsidR="008B6C7B" w:rsidRDefault="005E3C95" w:rsidP="003A7D1B">
            <w:pPr>
              <w:jc w:val="center"/>
              <w:rPr>
                <w:color w:val="000000"/>
                <w:sz w:val="20"/>
                <w:szCs w:val="20"/>
              </w:rPr>
            </w:pPr>
            <w:r>
              <w:rPr>
                <w:color w:val="000000"/>
                <w:sz w:val="20"/>
                <w:szCs w:val="20"/>
              </w:rPr>
              <w:t>4.32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CF93199" w14:textId="77777777" w:rsidR="008B6C7B" w:rsidRDefault="005E3C95" w:rsidP="003A7D1B">
            <w:pPr>
              <w:jc w:val="center"/>
              <w:rPr>
                <w:color w:val="000000"/>
                <w:sz w:val="20"/>
                <w:szCs w:val="20"/>
              </w:rPr>
            </w:pPr>
            <w:r>
              <w:rPr>
                <w:color w:val="000000"/>
                <w:sz w:val="20"/>
                <w:szCs w:val="20"/>
              </w:rPr>
              <w:t>0.22</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EF0BA8E" w14:textId="77777777" w:rsidR="008B6C7B" w:rsidRDefault="005E3C95" w:rsidP="003A7D1B">
            <w:pPr>
              <w:jc w:val="center"/>
              <w:rPr>
                <w:color w:val="000000"/>
                <w:sz w:val="20"/>
                <w:szCs w:val="20"/>
              </w:rPr>
            </w:pPr>
            <w:r>
              <w:rPr>
                <w:color w:val="000000"/>
                <w:sz w:val="20"/>
                <w:szCs w:val="20"/>
              </w:rPr>
              <w:t>0.43</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431E314" w14:textId="77777777" w:rsidR="008B6C7B" w:rsidRDefault="00AC22A5" w:rsidP="003A7D1B">
            <w:pPr>
              <w:jc w:val="right"/>
              <w:rPr>
                <w:color w:val="000000"/>
                <w:sz w:val="20"/>
                <w:szCs w:val="20"/>
              </w:rPr>
            </w:pPr>
            <w:r>
              <w:rPr>
                <w:color w:val="000000"/>
                <w:sz w:val="20"/>
                <w:szCs w:val="20"/>
              </w:rPr>
              <w:t>$233.16</w:t>
            </w:r>
          </w:p>
        </w:tc>
      </w:tr>
      <w:tr w:rsidR="004469CA" w14:paraId="17B30BBE" w14:textId="77777777" w:rsidTr="0086628C">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14:paraId="3896D8DD" w14:textId="77777777" w:rsidR="004469CA" w:rsidRPr="0070510D" w:rsidRDefault="00BA2408">
            <w:pPr>
              <w:rPr>
                <w:color w:val="000000"/>
                <w:sz w:val="20"/>
                <w:szCs w:val="20"/>
              </w:rPr>
            </w:pPr>
            <w:r w:rsidRPr="0070510D">
              <w:rPr>
                <w:color w:val="000000"/>
                <w:sz w:val="20"/>
                <w:szCs w:val="20"/>
              </w:rPr>
              <w:t xml:space="preserve">Review performance test/retest reports </w:t>
            </w:r>
            <w:r w:rsidRPr="0070510D">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E0A6F74" w14:textId="77777777" w:rsidR="004469CA" w:rsidRPr="0070510D" w:rsidRDefault="00BA2408">
            <w:pPr>
              <w:jc w:val="center"/>
              <w:rPr>
                <w:color w:val="000000"/>
                <w:sz w:val="20"/>
                <w:szCs w:val="20"/>
              </w:rPr>
            </w:pPr>
            <w:r w:rsidRPr="0070510D">
              <w:rPr>
                <w:color w:val="000000"/>
                <w:sz w:val="20"/>
                <w:szCs w:val="20"/>
              </w:rPr>
              <w:t>8</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1626E76" w14:textId="77777777" w:rsidR="004469CA" w:rsidRPr="0070510D" w:rsidRDefault="00BA2408">
            <w:pPr>
              <w:jc w:val="center"/>
              <w:rPr>
                <w:color w:val="000000"/>
                <w:sz w:val="20"/>
                <w:szCs w:val="20"/>
              </w:rPr>
            </w:pPr>
            <w:r w:rsidRPr="0070510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8347CFB" w14:textId="77777777" w:rsidR="004469CA" w:rsidRPr="0070510D" w:rsidRDefault="00BA2408">
            <w:pPr>
              <w:jc w:val="center"/>
              <w:rPr>
                <w:color w:val="000000"/>
                <w:sz w:val="20"/>
                <w:szCs w:val="20"/>
              </w:rPr>
            </w:pPr>
            <w:r w:rsidRPr="0070510D">
              <w:rPr>
                <w:color w:val="000000"/>
                <w:sz w:val="20"/>
                <w:szCs w:val="20"/>
              </w:rPr>
              <w:t>8</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0AB9A67" w14:textId="77777777" w:rsidR="004469CA" w:rsidRPr="0070510D" w:rsidRDefault="00BA2408">
            <w:pPr>
              <w:jc w:val="center"/>
              <w:rPr>
                <w:color w:val="000000"/>
                <w:sz w:val="20"/>
                <w:szCs w:val="20"/>
              </w:rPr>
            </w:pPr>
            <w:r w:rsidRPr="0070510D">
              <w:rPr>
                <w:color w:val="000000"/>
                <w:sz w:val="20"/>
                <w:szCs w:val="20"/>
              </w:rPr>
              <w:t>2.16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24F2694" w14:textId="77777777" w:rsidR="004469CA" w:rsidRPr="0070510D" w:rsidRDefault="005E3C95" w:rsidP="003A7D1B">
            <w:pPr>
              <w:jc w:val="center"/>
              <w:rPr>
                <w:color w:val="000000"/>
                <w:sz w:val="20"/>
                <w:szCs w:val="20"/>
              </w:rPr>
            </w:pPr>
            <w:r w:rsidRPr="0070510D">
              <w:rPr>
                <w:color w:val="000000"/>
                <w:sz w:val="20"/>
                <w:szCs w:val="20"/>
              </w:rPr>
              <w:t>17.28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187C857" w14:textId="77777777" w:rsidR="004469CA" w:rsidRPr="0070510D" w:rsidRDefault="005E3C95" w:rsidP="003A7D1B">
            <w:pPr>
              <w:jc w:val="center"/>
              <w:rPr>
                <w:color w:val="000000"/>
                <w:sz w:val="20"/>
                <w:szCs w:val="20"/>
              </w:rPr>
            </w:pPr>
            <w:r w:rsidRPr="0070510D">
              <w:rPr>
                <w:color w:val="000000"/>
                <w:sz w:val="20"/>
                <w:szCs w:val="20"/>
              </w:rPr>
              <w:t>0.86</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11DA3DF" w14:textId="77777777" w:rsidR="004469CA" w:rsidRPr="0070510D" w:rsidRDefault="005E3C95" w:rsidP="003A7D1B">
            <w:pPr>
              <w:jc w:val="center"/>
              <w:rPr>
                <w:color w:val="000000"/>
                <w:sz w:val="20"/>
                <w:szCs w:val="20"/>
              </w:rPr>
            </w:pPr>
            <w:r w:rsidRPr="0070510D">
              <w:rPr>
                <w:color w:val="000000"/>
                <w:sz w:val="20"/>
                <w:szCs w:val="20"/>
              </w:rPr>
              <w:t>1.73</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9247BED" w14:textId="77777777" w:rsidR="004469CA" w:rsidRPr="0070510D" w:rsidRDefault="00AC22A5">
            <w:pPr>
              <w:jc w:val="right"/>
              <w:rPr>
                <w:color w:val="000000"/>
                <w:sz w:val="20"/>
                <w:szCs w:val="20"/>
              </w:rPr>
            </w:pPr>
            <w:r w:rsidRPr="0070510D">
              <w:rPr>
                <w:color w:val="000000"/>
                <w:sz w:val="20"/>
                <w:szCs w:val="20"/>
              </w:rPr>
              <w:t>$931.56</w:t>
            </w:r>
          </w:p>
        </w:tc>
      </w:tr>
      <w:tr w:rsidR="004469CA" w14:paraId="0A754456" w14:textId="77777777" w:rsidTr="00BA24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AD626EE" w14:textId="77777777" w:rsidR="004469CA" w:rsidRDefault="004469CA" w:rsidP="004469CA">
            <w:pPr>
              <w:rPr>
                <w:color w:val="000000"/>
                <w:sz w:val="20"/>
                <w:szCs w:val="20"/>
              </w:rPr>
            </w:pPr>
            <w:r>
              <w:rPr>
                <w:color w:val="000000"/>
                <w:sz w:val="20"/>
                <w:szCs w:val="20"/>
              </w:rPr>
              <w:t xml:space="preserve">Semiannual compliance </w:t>
            </w:r>
            <w:r w:rsidRPr="000F32F5">
              <w:rPr>
                <w:color w:val="000000"/>
                <w:sz w:val="20"/>
                <w:szCs w:val="20"/>
              </w:rPr>
              <w:t xml:space="preserve">report </w:t>
            </w:r>
            <w:r>
              <w:rPr>
                <w:color w:val="000000"/>
                <w:sz w:val="20"/>
                <w:szCs w:val="20"/>
              </w:rPr>
              <w:t xml:space="preserve">with </w:t>
            </w:r>
            <w:r w:rsidRPr="000F32F5">
              <w:rPr>
                <w:sz w:val="20"/>
                <w:szCs w:val="20"/>
              </w:rPr>
              <w:t>instance</w:t>
            </w:r>
            <w:r>
              <w:rPr>
                <w:sz w:val="20"/>
                <w:szCs w:val="20"/>
              </w:rPr>
              <w:t>s</w:t>
            </w:r>
            <w:r w:rsidRPr="000F32F5">
              <w:rPr>
                <w:sz w:val="20"/>
                <w:szCs w:val="20"/>
              </w:rPr>
              <w:t xml:space="preserve"> </w:t>
            </w:r>
            <w:r>
              <w:rPr>
                <w:sz w:val="20"/>
                <w:szCs w:val="20"/>
              </w:rPr>
              <w:t>of failure</w:t>
            </w:r>
            <w:r w:rsidRPr="000F32F5">
              <w:rPr>
                <w:sz w:val="20"/>
                <w:szCs w:val="20"/>
              </w:rPr>
              <w:t xml:space="preserve"> to meet applicable standard</w:t>
            </w:r>
            <w:r>
              <w:rPr>
                <w:sz w:val="20"/>
                <w:szCs w:val="20"/>
              </w:rPr>
              <w:t>s</w:t>
            </w:r>
            <w:r w:rsidRPr="000F32F5">
              <w:rPr>
                <w:color w:val="000000"/>
                <w:sz w:val="20"/>
                <w:szCs w:val="20"/>
              </w:rPr>
              <w:t xml:space="preserve"> </w:t>
            </w:r>
            <w:r w:rsidR="00D11EF5">
              <w:rPr>
                <w:color w:val="000000"/>
                <w:vertAlign w:val="superscript"/>
              </w:rPr>
              <w:t>d</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4A04710" w14:textId="77777777" w:rsidR="004469CA" w:rsidRDefault="004469CA" w:rsidP="004469CA">
            <w:pPr>
              <w:jc w:val="center"/>
              <w:rPr>
                <w:color w:val="000000"/>
                <w:sz w:val="20"/>
                <w:szCs w:val="20"/>
              </w:rPr>
            </w:pPr>
            <w:r>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D2F90B" w14:textId="77777777" w:rsidR="004469CA" w:rsidRDefault="004469CA" w:rsidP="004469CA">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FA8F8BC" w14:textId="77777777" w:rsidR="004469CA" w:rsidRDefault="004469CA" w:rsidP="004469CA">
            <w:pPr>
              <w:jc w:val="center"/>
              <w:rPr>
                <w:color w:val="000000"/>
                <w:sz w:val="20"/>
                <w:szCs w:val="20"/>
              </w:rPr>
            </w:pPr>
            <w:r>
              <w:rPr>
                <w:color w:val="000000"/>
                <w:sz w:val="20"/>
                <w:szCs w:val="20"/>
              </w:rPr>
              <w:t>32</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05B00B1" w14:textId="77777777" w:rsidR="004469CA" w:rsidRDefault="004469CA" w:rsidP="004469CA">
            <w:pPr>
              <w:jc w:val="center"/>
              <w:rPr>
                <w:color w:val="000000"/>
                <w:sz w:val="20"/>
                <w:szCs w:val="20"/>
              </w:rPr>
            </w:pPr>
            <w:r>
              <w:rPr>
                <w:color w:val="000000"/>
                <w:sz w:val="20"/>
                <w:szCs w:val="20"/>
              </w:rPr>
              <w:t>1.4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E364936" w14:textId="77777777" w:rsidR="004469CA" w:rsidRDefault="005E3C95" w:rsidP="004469CA">
            <w:pPr>
              <w:jc w:val="center"/>
              <w:rPr>
                <w:color w:val="000000"/>
                <w:sz w:val="20"/>
                <w:szCs w:val="20"/>
              </w:rPr>
            </w:pPr>
            <w:r>
              <w:rPr>
                <w:color w:val="000000"/>
                <w:sz w:val="20"/>
                <w:szCs w:val="20"/>
              </w:rPr>
              <w:t>44.8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3A37E53" w14:textId="77777777" w:rsidR="004469CA" w:rsidRDefault="005E3C95" w:rsidP="004469CA">
            <w:pPr>
              <w:jc w:val="center"/>
              <w:rPr>
                <w:color w:val="000000"/>
                <w:sz w:val="20"/>
                <w:szCs w:val="20"/>
              </w:rPr>
            </w:pPr>
            <w:r>
              <w:rPr>
                <w:color w:val="000000"/>
                <w:sz w:val="20"/>
                <w:szCs w:val="20"/>
              </w:rPr>
              <w:t>2.24</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23218FB" w14:textId="77777777" w:rsidR="004469CA" w:rsidRDefault="005E3C95" w:rsidP="004469CA">
            <w:pPr>
              <w:jc w:val="center"/>
              <w:rPr>
                <w:color w:val="000000"/>
                <w:sz w:val="20"/>
                <w:szCs w:val="20"/>
              </w:rPr>
            </w:pPr>
            <w:r>
              <w:rPr>
                <w:color w:val="000000"/>
                <w:sz w:val="20"/>
                <w:szCs w:val="20"/>
              </w:rPr>
              <w:t>4.48</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6F5456E" w14:textId="77777777" w:rsidR="004469CA" w:rsidRDefault="00AC22A5" w:rsidP="004469CA">
            <w:pPr>
              <w:jc w:val="right"/>
              <w:rPr>
                <w:color w:val="000000"/>
                <w:sz w:val="20"/>
                <w:szCs w:val="20"/>
              </w:rPr>
            </w:pPr>
            <w:r>
              <w:rPr>
                <w:color w:val="000000"/>
                <w:sz w:val="20"/>
                <w:szCs w:val="20"/>
              </w:rPr>
              <w:t>$2,415.70</w:t>
            </w:r>
          </w:p>
        </w:tc>
      </w:tr>
      <w:tr w:rsidR="004469CA" w14:paraId="4914CBD5" w14:textId="77777777" w:rsidTr="00BA24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FCB53A2" w14:textId="77777777" w:rsidR="004469CA" w:rsidRDefault="00BA2408" w:rsidP="004469CA">
            <w:pPr>
              <w:rPr>
                <w:color w:val="000000"/>
                <w:sz w:val="20"/>
                <w:szCs w:val="20"/>
              </w:rPr>
            </w:pPr>
            <w:r>
              <w:rPr>
                <w:color w:val="000000"/>
                <w:sz w:val="20"/>
                <w:szCs w:val="20"/>
              </w:rPr>
              <w:t xml:space="preserve">Semiannual compliance report with no instances of failure to meet applicable standards </w:t>
            </w:r>
            <w:r w:rsidR="00D11EF5">
              <w:rPr>
                <w:color w:val="000000"/>
                <w:vertAlign w:val="superscript"/>
              </w:rPr>
              <w:t>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6545720" w14:textId="77777777" w:rsidR="004469CA" w:rsidRDefault="004469CA" w:rsidP="004469CA">
            <w:pPr>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C9F4855" w14:textId="77777777" w:rsidR="004469CA" w:rsidRDefault="004469CA" w:rsidP="004469CA">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A6B952" w14:textId="77777777" w:rsidR="004469CA" w:rsidRDefault="004469CA" w:rsidP="004469CA">
            <w:pPr>
              <w:jc w:val="center"/>
              <w:rPr>
                <w:color w:val="000000"/>
                <w:sz w:val="20"/>
                <w:szCs w:val="20"/>
              </w:rPr>
            </w:pPr>
            <w:r>
              <w:rPr>
                <w:color w:val="000000"/>
                <w:sz w:val="20"/>
                <w:szCs w:val="20"/>
              </w:rPr>
              <w:t>16</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82073D4" w14:textId="77777777" w:rsidR="004469CA" w:rsidRDefault="00BA2408" w:rsidP="00BA2408">
            <w:pPr>
              <w:jc w:val="center"/>
              <w:rPr>
                <w:color w:val="000000"/>
                <w:sz w:val="20"/>
                <w:szCs w:val="20"/>
              </w:rPr>
            </w:pPr>
            <w:r>
              <w:rPr>
                <w:color w:val="000000"/>
                <w:sz w:val="20"/>
                <w:szCs w:val="20"/>
              </w:rPr>
              <w:t>5</w:t>
            </w:r>
            <w:r w:rsidR="004469CA">
              <w:rPr>
                <w:color w:val="000000"/>
                <w:sz w:val="20"/>
                <w:szCs w:val="20"/>
              </w:rPr>
              <w:t>.</w:t>
            </w:r>
            <w:r>
              <w:rPr>
                <w:color w:val="000000"/>
                <w:sz w:val="20"/>
                <w:szCs w:val="20"/>
              </w:rPr>
              <w:t>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0085B5E" w14:textId="77777777" w:rsidR="004469CA" w:rsidRDefault="005E3C95" w:rsidP="004469CA">
            <w:pPr>
              <w:jc w:val="center"/>
              <w:rPr>
                <w:color w:val="000000"/>
                <w:sz w:val="20"/>
                <w:szCs w:val="20"/>
              </w:rPr>
            </w:pPr>
            <w:r>
              <w:rPr>
                <w:color w:val="000000"/>
                <w:sz w:val="20"/>
                <w:szCs w:val="20"/>
              </w:rPr>
              <w:t>89.6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BA5E656" w14:textId="77777777" w:rsidR="004469CA" w:rsidRDefault="005E3C95" w:rsidP="004469CA">
            <w:pPr>
              <w:jc w:val="center"/>
              <w:rPr>
                <w:color w:val="000000"/>
                <w:sz w:val="20"/>
                <w:szCs w:val="20"/>
              </w:rPr>
            </w:pPr>
            <w:r>
              <w:rPr>
                <w:color w:val="000000"/>
                <w:sz w:val="20"/>
                <w:szCs w:val="20"/>
              </w:rPr>
              <w:t>4.48</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6824C22" w14:textId="77777777" w:rsidR="004469CA" w:rsidRDefault="005E3C95" w:rsidP="004469CA">
            <w:pPr>
              <w:jc w:val="center"/>
              <w:rPr>
                <w:color w:val="000000"/>
                <w:sz w:val="20"/>
                <w:szCs w:val="20"/>
              </w:rPr>
            </w:pPr>
            <w:r>
              <w:rPr>
                <w:color w:val="000000"/>
                <w:sz w:val="20"/>
                <w:szCs w:val="20"/>
              </w:rPr>
              <w:t>8.96</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FAF747E" w14:textId="77777777" w:rsidR="004469CA" w:rsidRDefault="00AC22A5" w:rsidP="004469CA">
            <w:pPr>
              <w:jc w:val="right"/>
              <w:rPr>
                <w:color w:val="000000"/>
                <w:sz w:val="20"/>
                <w:szCs w:val="20"/>
              </w:rPr>
            </w:pPr>
            <w:r>
              <w:rPr>
                <w:color w:val="000000"/>
                <w:sz w:val="20"/>
                <w:szCs w:val="20"/>
              </w:rPr>
              <w:t>$4,831.41</w:t>
            </w:r>
          </w:p>
        </w:tc>
      </w:tr>
      <w:tr w:rsidR="004469CA" w14:paraId="219FE38A" w14:textId="77777777" w:rsidTr="004312E0">
        <w:trPr>
          <w:trHeight w:val="300"/>
          <w:jc w:val="center"/>
        </w:trPr>
        <w:tc>
          <w:tcPr>
            <w:tcW w:w="5125" w:type="dxa"/>
            <w:tcBorders>
              <w:top w:val="nil"/>
              <w:left w:val="single" w:sz="4" w:space="0" w:color="auto"/>
              <w:bottom w:val="nil"/>
              <w:right w:val="single" w:sz="4" w:space="0" w:color="auto"/>
            </w:tcBorders>
            <w:shd w:val="clear" w:color="auto" w:fill="auto"/>
            <w:noWrap/>
            <w:tcMar>
              <w:top w:w="12" w:type="dxa"/>
              <w:left w:w="12" w:type="dxa"/>
              <w:bottom w:w="0" w:type="dxa"/>
              <w:right w:w="12" w:type="dxa"/>
            </w:tcMar>
            <w:vAlign w:val="center"/>
            <w:hideMark/>
          </w:tcPr>
          <w:p w14:paraId="3DDC7DD9" w14:textId="77777777" w:rsidR="004469CA" w:rsidRDefault="004469CA" w:rsidP="004469CA">
            <w:pPr>
              <w:rPr>
                <w:b/>
                <w:bCs/>
                <w:color w:val="000000"/>
                <w:sz w:val="20"/>
                <w:szCs w:val="20"/>
              </w:rPr>
            </w:pPr>
            <w:r>
              <w:rPr>
                <w:b/>
                <w:bCs/>
                <w:color w:val="000000"/>
                <w:sz w:val="20"/>
                <w:szCs w:val="20"/>
              </w:rPr>
              <w:t xml:space="preserve">TOTAL ANNUAL BURDEN AND COST </w:t>
            </w: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4ED4D502" w14:textId="77777777" w:rsidR="004469CA" w:rsidRDefault="004469CA" w:rsidP="004469CA">
            <w:pPr>
              <w:jc w:val="center"/>
              <w:rPr>
                <w:rFonts w:ascii="Calibri" w:hAnsi="Calibri"/>
                <w:color w:val="000000"/>
                <w:sz w:val="22"/>
                <w:szCs w:val="22"/>
              </w:rPr>
            </w:pP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55FC8C23" w14:textId="77777777" w:rsidR="004469CA" w:rsidRDefault="004469CA" w:rsidP="004469CA">
            <w:pPr>
              <w:jc w:val="center"/>
              <w:rPr>
                <w:rFonts w:ascii="Calibri" w:hAnsi="Calibri"/>
                <w:color w:val="000000"/>
                <w:sz w:val="22"/>
                <w:szCs w:val="22"/>
              </w:rPr>
            </w:pPr>
          </w:p>
        </w:tc>
        <w:tc>
          <w:tcPr>
            <w:tcW w:w="126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5498EF75" w14:textId="77777777" w:rsidR="004469CA" w:rsidRDefault="004469CA" w:rsidP="004469CA">
            <w:pPr>
              <w:jc w:val="center"/>
              <w:rPr>
                <w:rFonts w:ascii="Calibri" w:hAnsi="Calibri"/>
                <w:color w:val="000000"/>
                <w:sz w:val="22"/>
                <w:szCs w:val="22"/>
              </w:rPr>
            </w:pPr>
          </w:p>
        </w:tc>
        <w:tc>
          <w:tcPr>
            <w:tcW w:w="785"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0A27460E" w14:textId="77777777" w:rsidR="004469CA" w:rsidRDefault="004469CA" w:rsidP="004469CA">
            <w:pPr>
              <w:jc w:val="center"/>
              <w:rPr>
                <w:rFonts w:ascii="Calibri" w:hAnsi="Calibri"/>
                <w:color w:val="000000"/>
                <w:sz w:val="22"/>
                <w:szCs w:val="22"/>
              </w:rPr>
            </w:pPr>
          </w:p>
        </w:tc>
        <w:tc>
          <w:tcPr>
            <w:tcW w:w="2995" w:type="dxa"/>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center"/>
          </w:tcPr>
          <w:p w14:paraId="1FB745CE" w14:textId="239F7273" w:rsidR="004469CA" w:rsidRPr="000F7B07" w:rsidRDefault="004469CA" w:rsidP="005E3C95">
            <w:pPr>
              <w:jc w:val="center"/>
              <w:rPr>
                <w:bCs/>
                <w:color w:val="000000"/>
                <w:sz w:val="20"/>
                <w:szCs w:val="20"/>
              </w:rPr>
            </w:pPr>
          </w:p>
        </w:tc>
        <w:tc>
          <w:tcPr>
            <w:tcW w:w="1035" w:type="dxa"/>
            <w:tcBorders>
              <w:top w:val="nil"/>
              <w:left w:val="nil"/>
              <w:bottom w:val="nil"/>
              <w:right w:val="single" w:sz="4" w:space="0" w:color="auto"/>
            </w:tcBorders>
            <w:shd w:val="clear" w:color="auto" w:fill="auto"/>
            <w:noWrap/>
            <w:tcMar>
              <w:top w:w="12" w:type="dxa"/>
              <w:left w:w="12" w:type="dxa"/>
              <w:bottom w:w="0" w:type="dxa"/>
              <w:right w:w="12" w:type="dxa"/>
            </w:tcMar>
            <w:vAlign w:val="bottom"/>
          </w:tcPr>
          <w:p w14:paraId="54FDA496" w14:textId="5E26139B" w:rsidR="004469CA" w:rsidRPr="000F7B07" w:rsidRDefault="004469CA" w:rsidP="00AC22A5">
            <w:pPr>
              <w:jc w:val="right"/>
              <w:rPr>
                <w:bCs/>
                <w:color w:val="000000"/>
                <w:sz w:val="20"/>
                <w:szCs w:val="20"/>
              </w:rPr>
            </w:pPr>
          </w:p>
        </w:tc>
      </w:tr>
      <w:tr w:rsidR="004469CA" w14:paraId="5583FA9A" w14:textId="77777777" w:rsidTr="0086628C">
        <w:trPr>
          <w:trHeight w:val="300"/>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DE8DED5" w14:textId="091726AA" w:rsidR="004469CA" w:rsidRDefault="004469CA" w:rsidP="00D11EF5">
            <w:pPr>
              <w:rPr>
                <w:b/>
                <w:bCs/>
                <w:color w:val="000000"/>
                <w:sz w:val="20"/>
                <w:szCs w:val="20"/>
              </w:rPr>
            </w:pPr>
            <w:r>
              <w:rPr>
                <w:b/>
                <w:bCs/>
                <w:color w:val="000000"/>
                <w:sz w:val="20"/>
                <w:szCs w:val="20"/>
              </w:rPr>
              <w:t xml:space="preserve">(rounded) </w:t>
            </w:r>
            <w:r w:rsidR="00D11EF5" w:rsidRPr="00D11EF5">
              <w:rPr>
                <w:b/>
                <w:bCs/>
                <w:color w:val="000000"/>
                <w:sz w:val="20"/>
                <w:szCs w:val="20"/>
                <w:vertAlign w:val="superscript"/>
              </w:rPr>
              <w:t>e</w:t>
            </w:r>
            <w:r w:rsidRPr="00D11EF5">
              <w:rPr>
                <w:b/>
                <w:bCs/>
                <w:color w:val="000000"/>
                <w:sz w:val="20"/>
                <w:szCs w:val="20"/>
                <w:vertAlign w:val="superscript"/>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9B93F9C" w14:textId="77777777" w:rsidR="004469CA" w:rsidRDefault="004469CA" w:rsidP="004469CA">
            <w:pPr>
              <w:jc w:val="center"/>
              <w:rPr>
                <w:rFonts w:ascii="Calibri" w:hAnsi="Calibri"/>
                <w:b/>
                <w:bCs/>
                <w:color w:val="000000"/>
                <w:sz w:val="22"/>
                <w:szCs w:val="22"/>
              </w:rPr>
            </w:pP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2CA2049" w14:textId="77777777" w:rsidR="004469CA" w:rsidRDefault="004469CA" w:rsidP="004469CA">
            <w:pPr>
              <w:jc w:val="center"/>
              <w:rPr>
                <w:rFonts w:ascii="Calibri" w:hAnsi="Calibri"/>
                <w:b/>
                <w:bCs/>
                <w:color w:val="000000"/>
                <w:sz w:val="22"/>
                <w:szCs w:val="22"/>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F455779" w14:textId="77777777" w:rsidR="004469CA" w:rsidRDefault="004469CA" w:rsidP="004469CA">
            <w:pPr>
              <w:jc w:val="center"/>
              <w:rPr>
                <w:rFonts w:ascii="Calibri" w:hAnsi="Calibri"/>
                <w:b/>
                <w:bCs/>
                <w:color w:val="000000"/>
                <w:sz w:val="22"/>
                <w:szCs w:val="22"/>
              </w:rPr>
            </w:pP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239BDAF" w14:textId="77777777" w:rsidR="004469CA" w:rsidRDefault="004469CA" w:rsidP="004469CA">
            <w:pPr>
              <w:jc w:val="center"/>
              <w:rPr>
                <w:rFonts w:ascii="Calibri" w:hAnsi="Calibri"/>
                <w:b/>
                <w:bCs/>
                <w:color w:val="000000"/>
                <w:sz w:val="22"/>
                <w:szCs w:val="22"/>
              </w:rPr>
            </w:pPr>
          </w:p>
        </w:tc>
        <w:tc>
          <w:tcPr>
            <w:tcW w:w="2995" w:type="dxa"/>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C2EBED0" w14:textId="77777777" w:rsidR="004469CA" w:rsidRPr="000F7B07" w:rsidRDefault="005E3C95" w:rsidP="005E3C95">
            <w:pPr>
              <w:jc w:val="center"/>
              <w:rPr>
                <w:b/>
                <w:bCs/>
                <w:color w:val="000000"/>
                <w:sz w:val="20"/>
                <w:szCs w:val="20"/>
              </w:rPr>
            </w:pPr>
            <w:r w:rsidRPr="000F7B07">
              <w:rPr>
                <w:b/>
                <w:bCs/>
                <w:color w:val="000000"/>
                <w:sz w:val="20"/>
                <w:szCs w:val="20"/>
              </w:rPr>
              <w:t>180</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85AFC0A" w14:textId="155BD8EB" w:rsidR="004469CA" w:rsidRPr="000F7B07" w:rsidRDefault="004469CA" w:rsidP="00224448">
            <w:pPr>
              <w:jc w:val="right"/>
              <w:rPr>
                <w:b/>
                <w:bCs/>
                <w:color w:val="000000"/>
                <w:sz w:val="20"/>
                <w:szCs w:val="20"/>
              </w:rPr>
            </w:pPr>
            <w:r w:rsidRPr="000F7B07">
              <w:rPr>
                <w:b/>
                <w:bCs/>
                <w:color w:val="000000"/>
                <w:sz w:val="20"/>
                <w:szCs w:val="20"/>
              </w:rPr>
              <w:t>$</w:t>
            </w:r>
            <w:r w:rsidR="00AC22A5" w:rsidRPr="000F7B07">
              <w:rPr>
                <w:b/>
                <w:bCs/>
                <w:color w:val="000000"/>
                <w:sz w:val="20"/>
                <w:szCs w:val="20"/>
              </w:rPr>
              <w:t>8</w:t>
            </w:r>
            <w:r w:rsidRPr="000F7B07">
              <w:rPr>
                <w:b/>
                <w:bCs/>
                <w:color w:val="000000"/>
                <w:sz w:val="20"/>
                <w:szCs w:val="20"/>
              </w:rPr>
              <w:t>,</w:t>
            </w:r>
            <w:r w:rsidR="00AC22A5" w:rsidRPr="000F7B07">
              <w:rPr>
                <w:b/>
                <w:bCs/>
                <w:color w:val="000000"/>
                <w:sz w:val="20"/>
                <w:szCs w:val="20"/>
              </w:rPr>
              <w:t>4</w:t>
            </w:r>
            <w:r w:rsidR="00224448">
              <w:rPr>
                <w:b/>
                <w:bCs/>
                <w:color w:val="000000"/>
                <w:sz w:val="20"/>
                <w:szCs w:val="20"/>
              </w:rPr>
              <w:t>0</w:t>
            </w:r>
            <w:r w:rsidR="00AC22A5" w:rsidRPr="000F7B07">
              <w:rPr>
                <w:b/>
                <w:bCs/>
                <w:color w:val="000000"/>
                <w:sz w:val="20"/>
                <w:szCs w:val="20"/>
              </w:rPr>
              <w:t>0</w:t>
            </w:r>
            <w:r w:rsidRPr="000F7B07">
              <w:rPr>
                <w:b/>
                <w:bCs/>
                <w:color w:val="000000"/>
                <w:sz w:val="20"/>
                <w:szCs w:val="20"/>
              </w:rPr>
              <w:t xml:space="preserve"> </w:t>
            </w:r>
          </w:p>
        </w:tc>
      </w:tr>
    </w:tbl>
    <w:p w14:paraId="4331C03C" w14:textId="77777777" w:rsidR="00A02057" w:rsidRDefault="00FB0F94" w:rsidP="00F340DF">
      <w:pPr>
        <w:rPr>
          <w:bCs/>
          <w:color w:val="FF0000"/>
        </w:rPr>
      </w:pPr>
      <w:r w:rsidRPr="00144F35" w:rsidDel="00FB0F94">
        <w:rPr>
          <w:bCs/>
          <w:color w:val="FF0000"/>
        </w:rPr>
        <w:t xml:space="preserve"> </w:t>
      </w:r>
    </w:p>
    <w:p w14:paraId="66A892EA" w14:textId="77777777" w:rsidR="00A02057" w:rsidRPr="001E7AC0" w:rsidRDefault="00A02057" w:rsidP="005B3893">
      <w:pPr>
        <w:rPr>
          <w:b/>
          <w:bCs/>
          <w:sz w:val="20"/>
        </w:rPr>
      </w:pPr>
      <w:r>
        <w:rPr>
          <w:b/>
          <w:bCs/>
          <w:sz w:val="20"/>
        </w:rPr>
        <w:t>Assumptions:</w:t>
      </w:r>
    </w:p>
    <w:p w14:paraId="6C190208" w14:textId="77777777" w:rsidR="00A02057" w:rsidRDefault="00BA2408" w:rsidP="00A02057">
      <w:pPr>
        <w:rPr>
          <w:sz w:val="20"/>
        </w:rPr>
      </w:pPr>
      <w:r>
        <w:rPr>
          <w:vertAlign w:val="superscript"/>
        </w:rPr>
        <w:t>a</w:t>
      </w:r>
      <w:r>
        <w:t xml:space="preserve"> </w:t>
      </w:r>
      <w:r w:rsidR="00A02057">
        <w:rPr>
          <w:sz w:val="20"/>
        </w:rPr>
        <w:t xml:space="preserve">There are an estimated </w:t>
      </w:r>
      <w:r>
        <w:rPr>
          <w:sz w:val="20"/>
        </w:rPr>
        <w:t>7</w:t>
      </w:r>
      <w:r w:rsidR="00A02057">
        <w:rPr>
          <w:sz w:val="20"/>
        </w:rPr>
        <w:t xml:space="preserve"> respondents (i.e., </w:t>
      </w:r>
      <w:r w:rsidR="00A02057" w:rsidRPr="00D92CD4">
        <w:rPr>
          <w:sz w:val="20"/>
        </w:rPr>
        <w:t>wet</w:t>
      </w:r>
      <w:r w:rsidR="00A02057" w:rsidRPr="00D92CD4">
        <w:rPr>
          <w:sz w:val="20"/>
        </w:rPr>
        <w:noBreakHyphen/>
        <w:t>formed fiberglass mat production facilities)</w:t>
      </w:r>
      <w:r w:rsidR="00A02057">
        <w:rPr>
          <w:sz w:val="20"/>
        </w:rPr>
        <w:t xml:space="preserve">, </w:t>
      </w:r>
      <w:r>
        <w:rPr>
          <w:sz w:val="20"/>
        </w:rPr>
        <w:t>5</w:t>
      </w:r>
      <w:r w:rsidR="00A02057">
        <w:rPr>
          <w:sz w:val="20"/>
        </w:rPr>
        <w:t xml:space="preserve"> with one production line and </w:t>
      </w:r>
      <w:r>
        <w:rPr>
          <w:sz w:val="20"/>
        </w:rPr>
        <w:t>2</w:t>
      </w:r>
      <w:r w:rsidR="00A02057">
        <w:rPr>
          <w:sz w:val="20"/>
        </w:rPr>
        <w:t xml:space="preserve"> with two lines, which are subject to this standard. We have assumed that all sources are in compliance with initial rule requirements and that there will be no new lines constructed over the </w:t>
      </w:r>
      <w:r w:rsidR="004A50C3">
        <w:rPr>
          <w:sz w:val="20"/>
        </w:rPr>
        <w:t>3-</w:t>
      </w:r>
      <w:r w:rsidR="00A02057">
        <w:rPr>
          <w:sz w:val="20"/>
        </w:rPr>
        <w:t>year period of this ICR.</w:t>
      </w:r>
    </w:p>
    <w:p w14:paraId="166FE3BF" w14:textId="77777777" w:rsidR="00BA2408" w:rsidRDefault="009C5636" w:rsidP="00A02057">
      <w:pPr>
        <w:rPr>
          <w:sz w:val="20"/>
        </w:rPr>
      </w:pPr>
      <w:r w:rsidRPr="009C5636">
        <w:rPr>
          <w:sz w:val="20"/>
          <w:vertAlign w:val="superscript"/>
        </w:rPr>
        <w:t>b</w:t>
      </w:r>
      <w:r w:rsidR="00BA2408">
        <w:rPr>
          <w:sz w:val="20"/>
        </w:rPr>
        <w:t xml:space="preserve"> This cost is based on the following labor rates which incorporates a 1.6 benefits multiplication factor to account for government overhead expenses: </w:t>
      </w:r>
      <w:r w:rsidR="005E3C95">
        <w:rPr>
          <w:sz w:val="20"/>
        </w:rPr>
        <w:t xml:space="preserve">Technical rate of </w:t>
      </w:r>
      <w:r w:rsidR="005E3C95" w:rsidRPr="00A02057">
        <w:rPr>
          <w:sz w:val="20"/>
        </w:rPr>
        <w:t>$4</w:t>
      </w:r>
      <w:r w:rsidR="005E3C95">
        <w:rPr>
          <w:sz w:val="20"/>
        </w:rPr>
        <w:t>8</w:t>
      </w:r>
      <w:r w:rsidR="005E3C95" w:rsidRPr="00A02057">
        <w:rPr>
          <w:sz w:val="20"/>
        </w:rPr>
        <w:t>.</w:t>
      </w:r>
      <w:r w:rsidR="005E3C95">
        <w:rPr>
          <w:sz w:val="20"/>
        </w:rPr>
        <w:t>08</w:t>
      </w:r>
      <w:r w:rsidR="005E3C95" w:rsidRPr="00A02057">
        <w:rPr>
          <w:sz w:val="20"/>
        </w:rPr>
        <w:t xml:space="preserve"> (GS-12, Step 1, $</w:t>
      </w:r>
      <w:r w:rsidR="005E3C95">
        <w:rPr>
          <w:sz w:val="20"/>
        </w:rPr>
        <w:t>30</w:t>
      </w:r>
      <w:r w:rsidR="005E3C95" w:rsidRPr="00A02057">
        <w:rPr>
          <w:sz w:val="20"/>
        </w:rPr>
        <w:t>.</w:t>
      </w:r>
      <w:r w:rsidR="005E3C95">
        <w:rPr>
          <w:sz w:val="20"/>
        </w:rPr>
        <w:t>05</w:t>
      </w:r>
      <w:r w:rsidR="005E3C95" w:rsidRPr="00A02057">
        <w:rPr>
          <w:sz w:val="20"/>
        </w:rPr>
        <w:t xml:space="preserve"> + 60%)</w:t>
      </w:r>
      <w:r w:rsidR="005E3C95">
        <w:rPr>
          <w:sz w:val="20"/>
        </w:rPr>
        <w:t xml:space="preserve">, </w:t>
      </w:r>
      <w:r w:rsidR="00BA2408">
        <w:rPr>
          <w:sz w:val="20"/>
        </w:rPr>
        <w:t xml:space="preserve">Managerial rate of </w:t>
      </w:r>
      <w:r w:rsidR="00BA2408" w:rsidRPr="00A02057">
        <w:rPr>
          <w:sz w:val="20"/>
        </w:rPr>
        <w:t>$6</w:t>
      </w:r>
      <w:r>
        <w:rPr>
          <w:sz w:val="20"/>
        </w:rPr>
        <w:t>4</w:t>
      </w:r>
      <w:r w:rsidR="00BA2408" w:rsidRPr="00A02057">
        <w:rPr>
          <w:sz w:val="20"/>
        </w:rPr>
        <w:t>.</w:t>
      </w:r>
      <w:r>
        <w:rPr>
          <w:sz w:val="20"/>
        </w:rPr>
        <w:t>8</w:t>
      </w:r>
      <w:r w:rsidR="00BA2408" w:rsidRPr="00A02057">
        <w:rPr>
          <w:sz w:val="20"/>
        </w:rPr>
        <w:t>0 (GS-13, Step 5, $</w:t>
      </w:r>
      <w:r>
        <w:rPr>
          <w:sz w:val="20"/>
        </w:rPr>
        <w:t>40</w:t>
      </w:r>
      <w:r w:rsidR="00BA2408" w:rsidRPr="00A02057">
        <w:rPr>
          <w:sz w:val="20"/>
        </w:rPr>
        <w:t>.</w:t>
      </w:r>
      <w:r>
        <w:rPr>
          <w:sz w:val="20"/>
        </w:rPr>
        <w:t>50</w:t>
      </w:r>
      <w:r w:rsidR="00BA2408" w:rsidRPr="00A02057">
        <w:rPr>
          <w:sz w:val="20"/>
        </w:rPr>
        <w:t xml:space="preserve"> + 60%)</w:t>
      </w:r>
      <w:r w:rsidR="00BA2408">
        <w:rPr>
          <w:sz w:val="20"/>
        </w:rPr>
        <w:t xml:space="preserve">, and Clerical rate of </w:t>
      </w:r>
      <w:r w:rsidR="00BA2408" w:rsidRPr="00A02057">
        <w:rPr>
          <w:sz w:val="20"/>
        </w:rPr>
        <w:t>$2</w:t>
      </w:r>
      <w:r>
        <w:rPr>
          <w:sz w:val="20"/>
        </w:rPr>
        <w:t>6</w:t>
      </w:r>
      <w:r w:rsidR="00BA2408" w:rsidRPr="00A02057">
        <w:rPr>
          <w:sz w:val="20"/>
        </w:rPr>
        <w:t>.</w:t>
      </w:r>
      <w:r>
        <w:rPr>
          <w:sz w:val="20"/>
        </w:rPr>
        <w:t>0</w:t>
      </w:r>
      <w:r w:rsidR="00BA2408" w:rsidRPr="00A02057">
        <w:rPr>
          <w:sz w:val="20"/>
        </w:rPr>
        <w:t>2 (GS-6, Step 3, $1</w:t>
      </w:r>
      <w:r>
        <w:rPr>
          <w:sz w:val="20"/>
        </w:rPr>
        <w:t>6</w:t>
      </w:r>
      <w:r w:rsidR="00BA2408" w:rsidRPr="00A02057">
        <w:rPr>
          <w:sz w:val="20"/>
        </w:rPr>
        <w:t>.</w:t>
      </w:r>
      <w:r>
        <w:rPr>
          <w:sz w:val="20"/>
        </w:rPr>
        <w:t>26</w:t>
      </w:r>
      <w:r w:rsidR="00BA2408" w:rsidRPr="00A02057">
        <w:rPr>
          <w:sz w:val="20"/>
        </w:rPr>
        <w:t xml:space="preserve"> + 60%)</w:t>
      </w:r>
      <w:r w:rsidR="00BA2408">
        <w:rPr>
          <w:sz w:val="20"/>
        </w:rPr>
        <w:t xml:space="preserve">. These rates are from the </w:t>
      </w:r>
      <w:r>
        <w:rPr>
          <w:sz w:val="20"/>
        </w:rPr>
        <w:t>OPM</w:t>
      </w:r>
      <w:r w:rsidR="00BA2408">
        <w:rPr>
          <w:sz w:val="20"/>
        </w:rPr>
        <w:t xml:space="preserve"> “201</w:t>
      </w:r>
      <w:r>
        <w:rPr>
          <w:sz w:val="20"/>
        </w:rPr>
        <w:t>7</w:t>
      </w:r>
      <w:r w:rsidR="00BA2408">
        <w:rPr>
          <w:sz w:val="20"/>
        </w:rPr>
        <w:t xml:space="preserve"> General Schedule” which excludes locality rates of pay.</w:t>
      </w:r>
    </w:p>
    <w:p w14:paraId="5D80CD28" w14:textId="77777777" w:rsidR="00D11EF5" w:rsidRPr="00D11EF5" w:rsidRDefault="00BA2408" w:rsidP="00A02057">
      <w:pPr>
        <w:ind w:right="-270"/>
        <w:rPr>
          <w:sz w:val="20"/>
          <w:szCs w:val="20"/>
        </w:rPr>
      </w:pPr>
      <w:r>
        <w:rPr>
          <w:vertAlign w:val="superscript"/>
        </w:rPr>
        <w:t>c</w:t>
      </w:r>
      <w:r w:rsidR="00A02057">
        <w:rPr>
          <w:vertAlign w:val="superscript"/>
        </w:rPr>
        <w:t xml:space="preserve"> </w:t>
      </w:r>
      <w:r w:rsidR="00A02057" w:rsidRPr="00E7626F">
        <w:rPr>
          <w:sz w:val="20"/>
        </w:rPr>
        <w:t xml:space="preserve">The rule requires a performance test every </w:t>
      </w:r>
      <w:r w:rsidR="004A50C3">
        <w:rPr>
          <w:sz w:val="20"/>
        </w:rPr>
        <w:t>5</w:t>
      </w:r>
      <w:r w:rsidR="00A02057" w:rsidRPr="00E7626F">
        <w:rPr>
          <w:sz w:val="20"/>
        </w:rPr>
        <w:t xml:space="preserve"> years since the initial test was conducted. </w:t>
      </w:r>
      <w:r w:rsidRPr="00C53C57">
        <w:rPr>
          <w:sz w:val="20"/>
        </w:rPr>
        <w:t xml:space="preserve">We have assumed that 20 percent of the performance tests fail and will have to be repeated. There </w:t>
      </w:r>
      <w:r w:rsidRPr="00D11EF5">
        <w:rPr>
          <w:sz w:val="20"/>
          <w:szCs w:val="20"/>
        </w:rPr>
        <w:t>are an estimated 7 respondents (with 9 affected drying/curing ovens). On average each year, the number of respondents conducting the performance test is 1.8 (9 / 5 = 1.8) and conducting a repeat performance test is 0.36 (1.8 x 0.20).</w:t>
      </w:r>
    </w:p>
    <w:p w14:paraId="314B6F45" w14:textId="77777777" w:rsidR="002F7D77" w:rsidRPr="00D11EF5" w:rsidRDefault="00D11EF5" w:rsidP="00D11EF5">
      <w:pPr>
        <w:ind w:right="-270"/>
        <w:rPr>
          <w:sz w:val="20"/>
          <w:szCs w:val="20"/>
        </w:rPr>
      </w:pPr>
      <w:r w:rsidRPr="00D11EF5">
        <w:rPr>
          <w:sz w:val="20"/>
          <w:szCs w:val="20"/>
          <w:vertAlign w:val="superscript"/>
        </w:rPr>
        <w:t>d</w:t>
      </w:r>
      <w:r w:rsidRPr="00D11EF5">
        <w:rPr>
          <w:sz w:val="20"/>
          <w:szCs w:val="20"/>
        </w:rPr>
        <w:t xml:space="preserve"> We have assumed that approximately 80 percent of the 7 respondents (or 5.6) will report no instances of failure to meet applicable standards twice a year and approximately 20 percent (or 1.4) will report instances of failure to meet applicable standards twice a year.</w:t>
      </w:r>
    </w:p>
    <w:p w14:paraId="35F86795" w14:textId="396C60FC" w:rsidR="002F7D77" w:rsidRPr="002F7D77" w:rsidRDefault="00D11EF5" w:rsidP="002F7D77">
      <w:pPr>
        <w:rPr>
          <w:sz w:val="20"/>
        </w:rPr>
      </w:pPr>
      <w:r>
        <w:rPr>
          <w:sz w:val="20"/>
          <w:vertAlign w:val="superscript"/>
        </w:rPr>
        <w:t>e</w:t>
      </w:r>
      <w:r>
        <w:rPr>
          <w:sz w:val="20"/>
        </w:rPr>
        <w:t xml:space="preserve"> </w:t>
      </w:r>
      <w:r w:rsidR="002F7D77" w:rsidRPr="002F7D77">
        <w:rPr>
          <w:sz w:val="20"/>
        </w:rPr>
        <w:t xml:space="preserve">Totals have been rounded to </w:t>
      </w:r>
      <w:r w:rsidR="0070510D">
        <w:rPr>
          <w:sz w:val="20"/>
        </w:rPr>
        <w:t>3</w:t>
      </w:r>
      <w:r w:rsidR="0070510D" w:rsidRPr="002F7D77">
        <w:rPr>
          <w:sz w:val="20"/>
        </w:rPr>
        <w:t xml:space="preserve"> </w:t>
      </w:r>
      <w:r w:rsidR="002F7D77" w:rsidRPr="002F7D77">
        <w:rPr>
          <w:sz w:val="20"/>
        </w:rPr>
        <w:t>significant figures. Figures may not add exactly due to rounding.</w:t>
      </w:r>
    </w:p>
    <w:p w14:paraId="4D760B5C" w14:textId="77777777" w:rsidR="009C5636" w:rsidRDefault="009C5636" w:rsidP="002F7D77">
      <w:pPr>
        <w:rPr>
          <w:sz w:val="20"/>
        </w:rPr>
      </w:pPr>
    </w:p>
    <w:sectPr w:rsidR="009C563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CCF51" w14:textId="77777777" w:rsidR="00A65EF9" w:rsidRDefault="00A65EF9">
      <w:r>
        <w:separator/>
      </w:r>
    </w:p>
  </w:endnote>
  <w:endnote w:type="continuationSeparator" w:id="0">
    <w:p w14:paraId="776CA61A" w14:textId="77777777" w:rsidR="00A65EF9" w:rsidRDefault="00A6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FB7A5" w14:textId="77777777" w:rsidR="00A65EF9" w:rsidRDefault="00A65EF9">
      <w:r>
        <w:separator/>
      </w:r>
    </w:p>
  </w:footnote>
  <w:footnote w:type="continuationSeparator" w:id="0">
    <w:p w14:paraId="635B3140" w14:textId="77777777" w:rsidR="00A65EF9" w:rsidRDefault="00A65EF9">
      <w:r>
        <w:continuationSeparator/>
      </w:r>
    </w:p>
  </w:footnote>
  <w:footnote w:id="1">
    <w:p w14:paraId="6E8B85DA" w14:textId="77777777" w:rsidR="00A65EF9" w:rsidRDefault="00A65EF9">
      <w:pPr>
        <w:pStyle w:val="FootnoteText"/>
      </w:pPr>
      <w:r w:rsidRPr="00A13854">
        <w:rPr>
          <w:rStyle w:val="FootnoteReference"/>
          <w:vertAlign w:val="superscript"/>
        </w:rPr>
        <w:footnoteRef/>
      </w:r>
      <w:r>
        <w:t xml:space="preserve"> As of mid-2017, Methods 1-4, and 316 are the test methods referenced in subpart HHHH that are included in the ERT. Methods 318 and 320 (alternatives to Method 316 for formaldehyde measurement) are not yet supported by the ERT.</w:t>
      </w:r>
    </w:p>
  </w:footnote>
  <w:footnote w:id="2">
    <w:p w14:paraId="0F15E3D1" w14:textId="77777777" w:rsidR="00A65EF9" w:rsidRPr="00E07ABB" w:rsidRDefault="00A65EF9" w:rsidP="004C6C7C">
      <w:pPr>
        <w:pStyle w:val="FootnoteText"/>
      </w:pPr>
      <w:r w:rsidRPr="00ED7F0C">
        <w:rPr>
          <w:rStyle w:val="FootnoteReference"/>
          <w:vertAlign w:val="superscript"/>
        </w:rPr>
        <w:footnoteRef/>
      </w:r>
      <w:r w:rsidRPr="00ED7F0C">
        <w:rPr>
          <w:vertAlign w:val="superscript"/>
        </w:rPr>
        <w:t xml:space="preserve"> </w:t>
      </w:r>
      <w:r w:rsidRPr="00E07ABB">
        <w:t xml:space="preserve">“Supporting Statement Environmental Protection Agency NESHAP for Wet-Formed Fiberglass Mat Production (40 CFR Part 63, Subpart HHHH) (Renewal),” May 28, 2015. </w:t>
      </w:r>
      <w:r w:rsidRPr="00ED7F0C">
        <w:t xml:space="preserve">Docket ID: </w:t>
      </w:r>
      <w:r w:rsidRPr="00ED7F0C">
        <w:rPr>
          <w:color w:val="333333"/>
          <w:sz w:val="18"/>
          <w:szCs w:val="18"/>
          <w:shd w:val="clear" w:color="auto" w:fill="FFFFFF"/>
        </w:rPr>
        <w:t>EPA-HQ-OECA-2014-0079-0003.</w:t>
      </w:r>
    </w:p>
  </w:footnote>
  <w:footnote w:id="3">
    <w:p w14:paraId="55D1738F" w14:textId="77777777" w:rsidR="00A65EF9" w:rsidRPr="009C411D" w:rsidRDefault="00A65EF9" w:rsidP="004C6C7C">
      <w:pPr>
        <w:pStyle w:val="FootnoteText"/>
      </w:pPr>
      <w:r w:rsidRPr="00ED7F0C">
        <w:rPr>
          <w:rStyle w:val="FootnoteReference"/>
          <w:vertAlign w:val="superscript"/>
        </w:rPr>
        <w:footnoteRef/>
      </w:r>
      <w:r>
        <w:t xml:space="preserve"> See </w:t>
      </w:r>
      <w:r w:rsidRPr="0041623E">
        <w:rPr>
          <w:color w:val="000000"/>
          <w:u w:val="single"/>
        </w:rPr>
        <w:t>https://www.bls.gov/oes/current/oes_nat.htm#00-0000</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79C3C" w14:textId="1A57377D" w:rsidR="00A65EF9" w:rsidRDefault="00A65EF9">
    <w:pPr>
      <w:framePr w:w="9361" w:wrap="notBeside" w:vAnchor="text" w:hAnchor="text" w:x="1" w:y="1"/>
      <w:jc w:val="center"/>
    </w:pPr>
    <w:r>
      <w:fldChar w:fldCharType="begin"/>
    </w:r>
    <w:r>
      <w:instrText xml:space="preserve">PAGE </w:instrText>
    </w:r>
    <w:r>
      <w:fldChar w:fldCharType="separate"/>
    </w:r>
    <w:r w:rsidR="00A23DFF">
      <w:rPr>
        <w:noProof/>
      </w:rPr>
      <w:t>19</w:t>
    </w:r>
    <w:r>
      <w:rPr>
        <w:noProof/>
      </w:rPr>
      <w:fldChar w:fldCharType="end"/>
    </w:r>
  </w:p>
  <w:p w14:paraId="13314812" w14:textId="77777777" w:rsidR="00A65EF9" w:rsidRDefault="00A65EF9"/>
  <w:p w14:paraId="64A69CB4" w14:textId="77777777" w:rsidR="00A65EF9" w:rsidRDefault="00A65EF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137FEB"/>
    <w:multiLevelType w:val="hybridMultilevel"/>
    <w:tmpl w:val="110A1662"/>
    <w:lvl w:ilvl="0" w:tplc="44365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343"/>
    <w:rsid w:val="00002093"/>
    <w:rsid w:val="0000687D"/>
    <w:rsid w:val="0001003B"/>
    <w:rsid w:val="000134B6"/>
    <w:rsid w:val="00014A7D"/>
    <w:rsid w:val="00017FEE"/>
    <w:rsid w:val="0002227F"/>
    <w:rsid w:val="0003619B"/>
    <w:rsid w:val="000513E6"/>
    <w:rsid w:val="00055BDF"/>
    <w:rsid w:val="00055DC5"/>
    <w:rsid w:val="0006710A"/>
    <w:rsid w:val="000741C9"/>
    <w:rsid w:val="00082077"/>
    <w:rsid w:val="00084C60"/>
    <w:rsid w:val="00094C47"/>
    <w:rsid w:val="000A00C3"/>
    <w:rsid w:val="000A1FBB"/>
    <w:rsid w:val="000A687C"/>
    <w:rsid w:val="000B30F4"/>
    <w:rsid w:val="000B6E95"/>
    <w:rsid w:val="000C2C81"/>
    <w:rsid w:val="000D2272"/>
    <w:rsid w:val="000D64AA"/>
    <w:rsid w:val="000E6105"/>
    <w:rsid w:val="000F1770"/>
    <w:rsid w:val="000F32F5"/>
    <w:rsid w:val="000F772C"/>
    <w:rsid w:val="000F7B07"/>
    <w:rsid w:val="00100F24"/>
    <w:rsid w:val="00101B40"/>
    <w:rsid w:val="00102B06"/>
    <w:rsid w:val="00102B52"/>
    <w:rsid w:val="0010697C"/>
    <w:rsid w:val="00107DAB"/>
    <w:rsid w:val="00117ED2"/>
    <w:rsid w:val="00123889"/>
    <w:rsid w:val="00126A7C"/>
    <w:rsid w:val="00134040"/>
    <w:rsid w:val="001356D4"/>
    <w:rsid w:val="0014079D"/>
    <w:rsid w:val="00141EE5"/>
    <w:rsid w:val="00144978"/>
    <w:rsid w:val="00144A82"/>
    <w:rsid w:val="00144F35"/>
    <w:rsid w:val="0015433E"/>
    <w:rsid w:val="00155B25"/>
    <w:rsid w:val="0017154A"/>
    <w:rsid w:val="00171FD6"/>
    <w:rsid w:val="001837E0"/>
    <w:rsid w:val="00186DA3"/>
    <w:rsid w:val="00195753"/>
    <w:rsid w:val="0019774E"/>
    <w:rsid w:val="001A0B41"/>
    <w:rsid w:val="001A414A"/>
    <w:rsid w:val="001B0274"/>
    <w:rsid w:val="001B0A8C"/>
    <w:rsid w:val="001B0B9A"/>
    <w:rsid w:val="001B35F2"/>
    <w:rsid w:val="001C5991"/>
    <w:rsid w:val="001C6C1B"/>
    <w:rsid w:val="001D5B68"/>
    <w:rsid w:val="001D7301"/>
    <w:rsid w:val="001D762C"/>
    <w:rsid w:val="001E2321"/>
    <w:rsid w:val="001F19FF"/>
    <w:rsid w:val="001F20B7"/>
    <w:rsid w:val="001F4D27"/>
    <w:rsid w:val="002041C5"/>
    <w:rsid w:val="002050D8"/>
    <w:rsid w:val="002063FE"/>
    <w:rsid w:val="00206932"/>
    <w:rsid w:val="00210DD4"/>
    <w:rsid w:val="0021722B"/>
    <w:rsid w:val="002177FE"/>
    <w:rsid w:val="00224448"/>
    <w:rsid w:val="002267AE"/>
    <w:rsid w:val="0022738C"/>
    <w:rsid w:val="00231F74"/>
    <w:rsid w:val="00234A28"/>
    <w:rsid w:val="00236DB3"/>
    <w:rsid w:val="002431D9"/>
    <w:rsid w:val="00253454"/>
    <w:rsid w:val="00257AF1"/>
    <w:rsid w:val="002638A0"/>
    <w:rsid w:val="00266C1B"/>
    <w:rsid w:val="002712EB"/>
    <w:rsid w:val="0027222A"/>
    <w:rsid w:val="002743D2"/>
    <w:rsid w:val="00277F42"/>
    <w:rsid w:val="00281CAE"/>
    <w:rsid w:val="0028303A"/>
    <w:rsid w:val="0029006A"/>
    <w:rsid w:val="002904E7"/>
    <w:rsid w:val="00296A01"/>
    <w:rsid w:val="002976E9"/>
    <w:rsid w:val="002B29A5"/>
    <w:rsid w:val="002B29A7"/>
    <w:rsid w:val="002B517F"/>
    <w:rsid w:val="002B6993"/>
    <w:rsid w:val="002B6F98"/>
    <w:rsid w:val="002C1F95"/>
    <w:rsid w:val="002C416A"/>
    <w:rsid w:val="002C77DF"/>
    <w:rsid w:val="002D0774"/>
    <w:rsid w:val="002D7683"/>
    <w:rsid w:val="002F0AD0"/>
    <w:rsid w:val="002F30DD"/>
    <w:rsid w:val="002F674B"/>
    <w:rsid w:val="002F6DB3"/>
    <w:rsid w:val="002F7D77"/>
    <w:rsid w:val="003139FC"/>
    <w:rsid w:val="00317627"/>
    <w:rsid w:val="0032074B"/>
    <w:rsid w:val="003331DE"/>
    <w:rsid w:val="00341540"/>
    <w:rsid w:val="003511C6"/>
    <w:rsid w:val="00351A5B"/>
    <w:rsid w:val="0035325B"/>
    <w:rsid w:val="00354C15"/>
    <w:rsid w:val="0036229C"/>
    <w:rsid w:val="00377D7F"/>
    <w:rsid w:val="0038662B"/>
    <w:rsid w:val="003A7D1B"/>
    <w:rsid w:val="003B384B"/>
    <w:rsid w:val="003C4B46"/>
    <w:rsid w:val="003C5023"/>
    <w:rsid w:val="003D1D2F"/>
    <w:rsid w:val="003D3CE4"/>
    <w:rsid w:val="003D536B"/>
    <w:rsid w:val="003D6951"/>
    <w:rsid w:val="003E30B5"/>
    <w:rsid w:val="003E3BD0"/>
    <w:rsid w:val="003E4C18"/>
    <w:rsid w:val="003F1AFC"/>
    <w:rsid w:val="0040391F"/>
    <w:rsid w:val="0040790E"/>
    <w:rsid w:val="00407D21"/>
    <w:rsid w:val="00411889"/>
    <w:rsid w:val="00415DDD"/>
    <w:rsid w:val="004312E0"/>
    <w:rsid w:val="00440235"/>
    <w:rsid w:val="0044133C"/>
    <w:rsid w:val="004469CA"/>
    <w:rsid w:val="00450456"/>
    <w:rsid w:val="00451CD8"/>
    <w:rsid w:val="00454637"/>
    <w:rsid w:val="00455557"/>
    <w:rsid w:val="00471B61"/>
    <w:rsid w:val="00473407"/>
    <w:rsid w:val="00473521"/>
    <w:rsid w:val="004801DA"/>
    <w:rsid w:val="004811FF"/>
    <w:rsid w:val="00482442"/>
    <w:rsid w:val="00484A45"/>
    <w:rsid w:val="004970A6"/>
    <w:rsid w:val="00497ED3"/>
    <w:rsid w:val="004A4434"/>
    <w:rsid w:val="004A4B25"/>
    <w:rsid w:val="004A50C3"/>
    <w:rsid w:val="004A534C"/>
    <w:rsid w:val="004B1F7C"/>
    <w:rsid w:val="004B49C8"/>
    <w:rsid w:val="004C5E95"/>
    <w:rsid w:val="004C6C7C"/>
    <w:rsid w:val="004C701D"/>
    <w:rsid w:val="004E008D"/>
    <w:rsid w:val="004F1469"/>
    <w:rsid w:val="004F6FCD"/>
    <w:rsid w:val="00504745"/>
    <w:rsid w:val="00507EC5"/>
    <w:rsid w:val="00514931"/>
    <w:rsid w:val="00516952"/>
    <w:rsid w:val="00517B9F"/>
    <w:rsid w:val="005237AD"/>
    <w:rsid w:val="005253D4"/>
    <w:rsid w:val="00525AD7"/>
    <w:rsid w:val="00526EF8"/>
    <w:rsid w:val="0053425C"/>
    <w:rsid w:val="00536A73"/>
    <w:rsid w:val="0054634C"/>
    <w:rsid w:val="00551815"/>
    <w:rsid w:val="00552F1E"/>
    <w:rsid w:val="00560AAA"/>
    <w:rsid w:val="00560AD2"/>
    <w:rsid w:val="005647AD"/>
    <w:rsid w:val="00565A51"/>
    <w:rsid w:val="00571260"/>
    <w:rsid w:val="005775BE"/>
    <w:rsid w:val="00583626"/>
    <w:rsid w:val="00590480"/>
    <w:rsid w:val="00597F9C"/>
    <w:rsid w:val="005A1986"/>
    <w:rsid w:val="005B05D5"/>
    <w:rsid w:val="005B3893"/>
    <w:rsid w:val="005B4EA8"/>
    <w:rsid w:val="005B5DE8"/>
    <w:rsid w:val="005B7448"/>
    <w:rsid w:val="005C3665"/>
    <w:rsid w:val="005C42AC"/>
    <w:rsid w:val="005C6905"/>
    <w:rsid w:val="005D385C"/>
    <w:rsid w:val="005D6548"/>
    <w:rsid w:val="005E194B"/>
    <w:rsid w:val="005E3C95"/>
    <w:rsid w:val="005F42F8"/>
    <w:rsid w:val="00601205"/>
    <w:rsid w:val="00603243"/>
    <w:rsid w:val="00606DEF"/>
    <w:rsid w:val="00631517"/>
    <w:rsid w:val="00635DBD"/>
    <w:rsid w:val="00640BED"/>
    <w:rsid w:val="0065555D"/>
    <w:rsid w:val="00656D06"/>
    <w:rsid w:val="00673042"/>
    <w:rsid w:val="006741F7"/>
    <w:rsid w:val="00676820"/>
    <w:rsid w:val="006810C3"/>
    <w:rsid w:val="00681356"/>
    <w:rsid w:val="00682507"/>
    <w:rsid w:val="00684D16"/>
    <w:rsid w:val="00686C80"/>
    <w:rsid w:val="00694B55"/>
    <w:rsid w:val="006972E6"/>
    <w:rsid w:val="006C06EE"/>
    <w:rsid w:val="006D0013"/>
    <w:rsid w:val="006D0FF5"/>
    <w:rsid w:val="006D1B12"/>
    <w:rsid w:val="006D1FF8"/>
    <w:rsid w:val="006D5C6F"/>
    <w:rsid w:val="006D7DF4"/>
    <w:rsid w:val="006E0464"/>
    <w:rsid w:val="006E21D3"/>
    <w:rsid w:val="006E4A6E"/>
    <w:rsid w:val="006E642B"/>
    <w:rsid w:val="0070510D"/>
    <w:rsid w:val="007075F9"/>
    <w:rsid w:val="007108A9"/>
    <w:rsid w:val="00716071"/>
    <w:rsid w:val="00724BC7"/>
    <w:rsid w:val="00736CA6"/>
    <w:rsid w:val="00763160"/>
    <w:rsid w:val="007669EC"/>
    <w:rsid w:val="00780612"/>
    <w:rsid w:val="00781276"/>
    <w:rsid w:val="00782D58"/>
    <w:rsid w:val="007849CD"/>
    <w:rsid w:val="00786A20"/>
    <w:rsid w:val="00786A3C"/>
    <w:rsid w:val="0078747C"/>
    <w:rsid w:val="00790FDE"/>
    <w:rsid w:val="007A0634"/>
    <w:rsid w:val="007A16F4"/>
    <w:rsid w:val="007A458D"/>
    <w:rsid w:val="007B6238"/>
    <w:rsid w:val="007B6CDC"/>
    <w:rsid w:val="007C0FAA"/>
    <w:rsid w:val="007C1FD0"/>
    <w:rsid w:val="007E05A4"/>
    <w:rsid w:val="007E6FF4"/>
    <w:rsid w:val="007E70E3"/>
    <w:rsid w:val="007F07FB"/>
    <w:rsid w:val="007F2B6A"/>
    <w:rsid w:val="007F2D5D"/>
    <w:rsid w:val="00801440"/>
    <w:rsid w:val="00810507"/>
    <w:rsid w:val="00813875"/>
    <w:rsid w:val="00813E69"/>
    <w:rsid w:val="00817AB9"/>
    <w:rsid w:val="00817E8B"/>
    <w:rsid w:val="00817F13"/>
    <w:rsid w:val="00821808"/>
    <w:rsid w:val="008221C5"/>
    <w:rsid w:val="008338D4"/>
    <w:rsid w:val="00835FC4"/>
    <w:rsid w:val="00837642"/>
    <w:rsid w:val="0084255D"/>
    <w:rsid w:val="008467DB"/>
    <w:rsid w:val="00850ACF"/>
    <w:rsid w:val="00850BC0"/>
    <w:rsid w:val="00852038"/>
    <w:rsid w:val="00854189"/>
    <w:rsid w:val="00861489"/>
    <w:rsid w:val="008633AA"/>
    <w:rsid w:val="0086628C"/>
    <w:rsid w:val="008702BD"/>
    <w:rsid w:val="00871E83"/>
    <w:rsid w:val="0087426D"/>
    <w:rsid w:val="0088639E"/>
    <w:rsid w:val="008913A6"/>
    <w:rsid w:val="008A46EB"/>
    <w:rsid w:val="008B407C"/>
    <w:rsid w:val="008B4E58"/>
    <w:rsid w:val="008B6C7B"/>
    <w:rsid w:val="008C6279"/>
    <w:rsid w:val="008D366E"/>
    <w:rsid w:val="008D4907"/>
    <w:rsid w:val="008D73D3"/>
    <w:rsid w:val="008E145B"/>
    <w:rsid w:val="008E65E6"/>
    <w:rsid w:val="008F277E"/>
    <w:rsid w:val="008F285B"/>
    <w:rsid w:val="008F4564"/>
    <w:rsid w:val="008F66C3"/>
    <w:rsid w:val="00901464"/>
    <w:rsid w:val="009018EC"/>
    <w:rsid w:val="00906EDB"/>
    <w:rsid w:val="00906FA3"/>
    <w:rsid w:val="00912E00"/>
    <w:rsid w:val="00914AF9"/>
    <w:rsid w:val="00921147"/>
    <w:rsid w:val="00923C46"/>
    <w:rsid w:val="0093753C"/>
    <w:rsid w:val="009436AA"/>
    <w:rsid w:val="00952C36"/>
    <w:rsid w:val="00954CB8"/>
    <w:rsid w:val="0095659B"/>
    <w:rsid w:val="00961D52"/>
    <w:rsid w:val="00963300"/>
    <w:rsid w:val="009711DB"/>
    <w:rsid w:val="00973A1F"/>
    <w:rsid w:val="00977782"/>
    <w:rsid w:val="00990001"/>
    <w:rsid w:val="009908E3"/>
    <w:rsid w:val="0099229B"/>
    <w:rsid w:val="00992A4D"/>
    <w:rsid w:val="0099357C"/>
    <w:rsid w:val="009979A4"/>
    <w:rsid w:val="009A0F50"/>
    <w:rsid w:val="009A16CD"/>
    <w:rsid w:val="009C06F5"/>
    <w:rsid w:val="009C131D"/>
    <w:rsid w:val="009C5636"/>
    <w:rsid w:val="009C7123"/>
    <w:rsid w:val="009D6567"/>
    <w:rsid w:val="009E0F31"/>
    <w:rsid w:val="009F4737"/>
    <w:rsid w:val="00A007F5"/>
    <w:rsid w:val="00A02057"/>
    <w:rsid w:val="00A038EC"/>
    <w:rsid w:val="00A054FE"/>
    <w:rsid w:val="00A13854"/>
    <w:rsid w:val="00A13EDF"/>
    <w:rsid w:val="00A145B0"/>
    <w:rsid w:val="00A14F7B"/>
    <w:rsid w:val="00A15172"/>
    <w:rsid w:val="00A23DFF"/>
    <w:rsid w:val="00A243A4"/>
    <w:rsid w:val="00A24740"/>
    <w:rsid w:val="00A26EF7"/>
    <w:rsid w:val="00A277D6"/>
    <w:rsid w:val="00A32076"/>
    <w:rsid w:val="00A36AA6"/>
    <w:rsid w:val="00A379F8"/>
    <w:rsid w:val="00A37E71"/>
    <w:rsid w:val="00A42781"/>
    <w:rsid w:val="00A54EEA"/>
    <w:rsid w:val="00A56BFF"/>
    <w:rsid w:val="00A65EF9"/>
    <w:rsid w:val="00A673D9"/>
    <w:rsid w:val="00A6784D"/>
    <w:rsid w:val="00A72F5B"/>
    <w:rsid w:val="00A73600"/>
    <w:rsid w:val="00A73C0A"/>
    <w:rsid w:val="00A74C1E"/>
    <w:rsid w:val="00A76136"/>
    <w:rsid w:val="00A7661C"/>
    <w:rsid w:val="00A949F7"/>
    <w:rsid w:val="00A95BC7"/>
    <w:rsid w:val="00A95CCB"/>
    <w:rsid w:val="00A962DF"/>
    <w:rsid w:val="00AA28AA"/>
    <w:rsid w:val="00AA4008"/>
    <w:rsid w:val="00AB2A03"/>
    <w:rsid w:val="00AB3545"/>
    <w:rsid w:val="00AB7710"/>
    <w:rsid w:val="00AC22A5"/>
    <w:rsid w:val="00AD109C"/>
    <w:rsid w:val="00AD1DDA"/>
    <w:rsid w:val="00AE21E3"/>
    <w:rsid w:val="00AE2B78"/>
    <w:rsid w:val="00AE7170"/>
    <w:rsid w:val="00AF0D45"/>
    <w:rsid w:val="00AF2129"/>
    <w:rsid w:val="00AF2D46"/>
    <w:rsid w:val="00AF6FD2"/>
    <w:rsid w:val="00AF70A1"/>
    <w:rsid w:val="00B01594"/>
    <w:rsid w:val="00B07F79"/>
    <w:rsid w:val="00B116A5"/>
    <w:rsid w:val="00B16C07"/>
    <w:rsid w:val="00B267C5"/>
    <w:rsid w:val="00B43B5F"/>
    <w:rsid w:val="00B46A57"/>
    <w:rsid w:val="00B65754"/>
    <w:rsid w:val="00B66231"/>
    <w:rsid w:val="00B73F4A"/>
    <w:rsid w:val="00B769F1"/>
    <w:rsid w:val="00B82025"/>
    <w:rsid w:val="00BA0A91"/>
    <w:rsid w:val="00BA2408"/>
    <w:rsid w:val="00BA4887"/>
    <w:rsid w:val="00BA4E08"/>
    <w:rsid w:val="00BA5BCC"/>
    <w:rsid w:val="00BB3390"/>
    <w:rsid w:val="00BB3C1A"/>
    <w:rsid w:val="00BC11E9"/>
    <w:rsid w:val="00BC6DEF"/>
    <w:rsid w:val="00BD7CAE"/>
    <w:rsid w:val="00BE2989"/>
    <w:rsid w:val="00BE3AA3"/>
    <w:rsid w:val="00BE3E74"/>
    <w:rsid w:val="00BE7A11"/>
    <w:rsid w:val="00BF1432"/>
    <w:rsid w:val="00BF3B0F"/>
    <w:rsid w:val="00BF722F"/>
    <w:rsid w:val="00C1026C"/>
    <w:rsid w:val="00C132F8"/>
    <w:rsid w:val="00C13FE8"/>
    <w:rsid w:val="00C16F16"/>
    <w:rsid w:val="00C22EFF"/>
    <w:rsid w:val="00C30A60"/>
    <w:rsid w:val="00C33ABA"/>
    <w:rsid w:val="00C340D4"/>
    <w:rsid w:val="00C35AA5"/>
    <w:rsid w:val="00C3612F"/>
    <w:rsid w:val="00C37BB6"/>
    <w:rsid w:val="00C46D5A"/>
    <w:rsid w:val="00C52D3C"/>
    <w:rsid w:val="00C52EFD"/>
    <w:rsid w:val="00C5364A"/>
    <w:rsid w:val="00C53760"/>
    <w:rsid w:val="00C53C57"/>
    <w:rsid w:val="00C64378"/>
    <w:rsid w:val="00C7259B"/>
    <w:rsid w:val="00C75CF0"/>
    <w:rsid w:val="00C77049"/>
    <w:rsid w:val="00C808B5"/>
    <w:rsid w:val="00C82DB6"/>
    <w:rsid w:val="00C8521D"/>
    <w:rsid w:val="00C86796"/>
    <w:rsid w:val="00C9656E"/>
    <w:rsid w:val="00CA4CD6"/>
    <w:rsid w:val="00CA7DA0"/>
    <w:rsid w:val="00CC1F2F"/>
    <w:rsid w:val="00CC45C6"/>
    <w:rsid w:val="00CC48AB"/>
    <w:rsid w:val="00CC58F6"/>
    <w:rsid w:val="00CD2069"/>
    <w:rsid w:val="00CD280D"/>
    <w:rsid w:val="00CF0F3D"/>
    <w:rsid w:val="00CF2B37"/>
    <w:rsid w:val="00D043CA"/>
    <w:rsid w:val="00D11EF5"/>
    <w:rsid w:val="00D13D9A"/>
    <w:rsid w:val="00D14A8D"/>
    <w:rsid w:val="00D21198"/>
    <w:rsid w:val="00D2273E"/>
    <w:rsid w:val="00D300A6"/>
    <w:rsid w:val="00D30388"/>
    <w:rsid w:val="00D41098"/>
    <w:rsid w:val="00D42D52"/>
    <w:rsid w:val="00D46FA2"/>
    <w:rsid w:val="00D5080D"/>
    <w:rsid w:val="00D520ED"/>
    <w:rsid w:val="00D529C3"/>
    <w:rsid w:val="00D55FCB"/>
    <w:rsid w:val="00D56F5F"/>
    <w:rsid w:val="00D61B37"/>
    <w:rsid w:val="00D6284E"/>
    <w:rsid w:val="00D63B96"/>
    <w:rsid w:val="00D6543A"/>
    <w:rsid w:val="00D660A8"/>
    <w:rsid w:val="00D77C78"/>
    <w:rsid w:val="00D82C1F"/>
    <w:rsid w:val="00D85A85"/>
    <w:rsid w:val="00D92F66"/>
    <w:rsid w:val="00D95819"/>
    <w:rsid w:val="00D9635B"/>
    <w:rsid w:val="00DA0EAB"/>
    <w:rsid w:val="00DA7285"/>
    <w:rsid w:val="00DB59E1"/>
    <w:rsid w:val="00DC095C"/>
    <w:rsid w:val="00DC3255"/>
    <w:rsid w:val="00DD0312"/>
    <w:rsid w:val="00DD1AC1"/>
    <w:rsid w:val="00DD3B8F"/>
    <w:rsid w:val="00DD77F9"/>
    <w:rsid w:val="00DD7D49"/>
    <w:rsid w:val="00DF5119"/>
    <w:rsid w:val="00DF5C4E"/>
    <w:rsid w:val="00DF74CD"/>
    <w:rsid w:val="00E0531D"/>
    <w:rsid w:val="00E10DA7"/>
    <w:rsid w:val="00E136AE"/>
    <w:rsid w:val="00E1538C"/>
    <w:rsid w:val="00E16824"/>
    <w:rsid w:val="00E25DB6"/>
    <w:rsid w:val="00E276CD"/>
    <w:rsid w:val="00E32EDA"/>
    <w:rsid w:val="00E34595"/>
    <w:rsid w:val="00E43FCA"/>
    <w:rsid w:val="00E44973"/>
    <w:rsid w:val="00E45BE2"/>
    <w:rsid w:val="00E465B6"/>
    <w:rsid w:val="00E46B4B"/>
    <w:rsid w:val="00E50952"/>
    <w:rsid w:val="00E53137"/>
    <w:rsid w:val="00E54549"/>
    <w:rsid w:val="00E546E5"/>
    <w:rsid w:val="00E61292"/>
    <w:rsid w:val="00E62F5B"/>
    <w:rsid w:val="00E702F6"/>
    <w:rsid w:val="00E7187E"/>
    <w:rsid w:val="00E72D70"/>
    <w:rsid w:val="00E769F5"/>
    <w:rsid w:val="00E77D5E"/>
    <w:rsid w:val="00E84AA8"/>
    <w:rsid w:val="00E868BB"/>
    <w:rsid w:val="00EA37A9"/>
    <w:rsid w:val="00EA5C8E"/>
    <w:rsid w:val="00EA7026"/>
    <w:rsid w:val="00EA7B18"/>
    <w:rsid w:val="00EC360F"/>
    <w:rsid w:val="00EC4074"/>
    <w:rsid w:val="00EC561E"/>
    <w:rsid w:val="00ED0D68"/>
    <w:rsid w:val="00ED34D6"/>
    <w:rsid w:val="00ED741E"/>
    <w:rsid w:val="00ED7F0C"/>
    <w:rsid w:val="00EF113F"/>
    <w:rsid w:val="00EF3B5F"/>
    <w:rsid w:val="00EF3F93"/>
    <w:rsid w:val="00F02EB3"/>
    <w:rsid w:val="00F033F0"/>
    <w:rsid w:val="00F03803"/>
    <w:rsid w:val="00F066C9"/>
    <w:rsid w:val="00F0792B"/>
    <w:rsid w:val="00F142F5"/>
    <w:rsid w:val="00F20584"/>
    <w:rsid w:val="00F205A0"/>
    <w:rsid w:val="00F20822"/>
    <w:rsid w:val="00F22FD3"/>
    <w:rsid w:val="00F27B55"/>
    <w:rsid w:val="00F30FDB"/>
    <w:rsid w:val="00F340DF"/>
    <w:rsid w:val="00F4157E"/>
    <w:rsid w:val="00F43C35"/>
    <w:rsid w:val="00F51A49"/>
    <w:rsid w:val="00F538BC"/>
    <w:rsid w:val="00F567C8"/>
    <w:rsid w:val="00F5735B"/>
    <w:rsid w:val="00F63C4C"/>
    <w:rsid w:val="00F67E19"/>
    <w:rsid w:val="00F87E6A"/>
    <w:rsid w:val="00F9092B"/>
    <w:rsid w:val="00F92954"/>
    <w:rsid w:val="00F92D22"/>
    <w:rsid w:val="00FA5DAD"/>
    <w:rsid w:val="00FB0650"/>
    <w:rsid w:val="00FB0F94"/>
    <w:rsid w:val="00FB1F7C"/>
    <w:rsid w:val="00FB3683"/>
    <w:rsid w:val="00FB4D98"/>
    <w:rsid w:val="00FB6378"/>
    <w:rsid w:val="00FB7BCE"/>
    <w:rsid w:val="00FC4E09"/>
    <w:rsid w:val="00FD72B2"/>
    <w:rsid w:val="00FE2099"/>
    <w:rsid w:val="00FE4CC6"/>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19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7AB9"/>
    <w:rPr>
      <w:sz w:val="24"/>
      <w:szCs w:val="24"/>
    </w:rPr>
  </w:style>
  <w:style w:type="paragraph" w:styleId="HTMLPreformatted">
    <w:name w:val="HTML Preformatted"/>
    <w:basedOn w:val="Normal"/>
    <w:link w:val="HTMLPreformattedChar"/>
    <w:rsid w:val="00FB0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B0F94"/>
    <w:rPr>
      <w:rFonts w:ascii="Courier New" w:hAnsi="Courier New" w:cs="Courier New"/>
    </w:rPr>
  </w:style>
  <w:style w:type="paragraph" w:styleId="FootnoteText">
    <w:name w:val="footnote text"/>
    <w:basedOn w:val="Normal"/>
    <w:link w:val="FootnoteTextChar"/>
    <w:uiPriority w:val="99"/>
    <w:semiHidden/>
    <w:unhideWhenUsed/>
    <w:rsid w:val="00A13854"/>
    <w:rPr>
      <w:sz w:val="20"/>
      <w:szCs w:val="20"/>
    </w:rPr>
  </w:style>
  <w:style w:type="character" w:customStyle="1" w:styleId="FootnoteTextChar">
    <w:name w:val="Footnote Text Char"/>
    <w:basedOn w:val="DefaultParagraphFont"/>
    <w:link w:val="FootnoteText"/>
    <w:uiPriority w:val="99"/>
    <w:semiHidden/>
    <w:rsid w:val="00A13854"/>
  </w:style>
  <w:style w:type="paragraph" w:customStyle="1" w:styleId="Default">
    <w:name w:val="Default"/>
    <w:rsid w:val="00C9656E"/>
    <w:pPr>
      <w:autoSpaceDE w:val="0"/>
      <w:autoSpaceDN w:val="0"/>
      <w:adjustRightInd w:val="0"/>
    </w:pPr>
    <w:rPr>
      <w:color w:val="000000"/>
      <w:sz w:val="24"/>
      <w:szCs w:val="24"/>
    </w:rPr>
  </w:style>
  <w:style w:type="table" w:styleId="TableGrid">
    <w:name w:val="Table Grid"/>
    <w:basedOn w:val="TableNormal"/>
    <w:rsid w:val="00C9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4C6C7C"/>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7AB9"/>
    <w:rPr>
      <w:sz w:val="24"/>
      <w:szCs w:val="24"/>
    </w:rPr>
  </w:style>
  <w:style w:type="paragraph" w:styleId="HTMLPreformatted">
    <w:name w:val="HTML Preformatted"/>
    <w:basedOn w:val="Normal"/>
    <w:link w:val="HTMLPreformattedChar"/>
    <w:rsid w:val="00FB0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B0F94"/>
    <w:rPr>
      <w:rFonts w:ascii="Courier New" w:hAnsi="Courier New" w:cs="Courier New"/>
    </w:rPr>
  </w:style>
  <w:style w:type="paragraph" w:styleId="FootnoteText">
    <w:name w:val="footnote text"/>
    <w:basedOn w:val="Normal"/>
    <w:link w:val="FootnoteTextChar"/>
    <w:uiPriority w:val="99"/>
    <w:semiHidden/>
    <w:unhideWhenUsed/>
    <w:rsid w:val="00A13854"/>
    <w:rPr>
      <w:sz w:val="20"/>
      <w:szCs w:val="20"/>
    </w:rPr>
  </w:style>
  <w:style w:type="character" w:customStyle="1" w:styleId="FootnoteTextChar">
    <w:name w:val="Footnote Text Char"/>
    <w:basedOn w:val="DefaultParagraphFont"/>
    <w:link w:val="FootnoteText"/>
    <w:uiPriority w:val="99"/>
    <w:semiHidden/>
    <w:rsid w:val="00A13854"/>
  </w:style>
  <w:style w:type="paragraph" w:customStyle="1" w:styleId="Default">
    <w:name w:val="Default"/>
    <w:rsid w:val="00C9656E"/>
    <w:pPr>
      <w:autoSpaceDE w:val="0"/>
      <w:autoSpaceDN w:val="0"/>
      <w:adjustRightInd w:val="0"/>
    </w:pPr>
    <w:rPr>
      <w:color w:val="000000"/>
      <w:sz w:val="24"/>
      <w:szCs w:val="24"/>
    </w:rPr>
  </w:style>
  <w:style w:type="table" w:styleId="TableGrid">
    <w:name w:val="Table Grid"/>
    <w:basedOn w:val="TableNormal"/>
    <w:rsid w:val="00C9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4C6C7C"/>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82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862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4549-8B54-4FDD-A118-EEAE2B41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7127</Words>
  <Characters>40629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2017-11-21T15:19:00Z</cp:lastPrinted>
  <dcterms:created xsi:type="dcterms:W3CDTF">2018-12-21T22:43:00Z</dcterms:created>
  <dcterms:modified xsi:type="dcterms:W3CDTF">2018-12-21T22:43:00Z</dcterms:modified>
</cp:coreProperties>
</file>