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D1" w:rsidRDefault="00DE5CD1" w:rsidP="00DE5CD1">
      <w:pPr>
        <w:tabs>
          <w:tab w:val="left" w:pos="1080"/>
        </w:tabs>
      </w:pPr>
      <w:bookmarkStart w:id="0" w:name="_GoBack"/>
      <w:bookmarkEnd w:id="0"/>
    </w:p>
    <w:p w:rsidR="00DE5CD1" w:rsidRDefault="00DE5CD1" w:rsidP="006D5CD5">
      <w:pPr>
        <w:rPr>
          <w:rFonts w:ascii="Arial" w:hAnsi="Arial" w:cs="Arial"/>
          <w:sz w:val="20"/>
          <w:szCs w:val="20"/>
        </w:rPr>
      </w:pPr>
    </w:p>
    <w:p w:rsidR="006D5CD5" w:rsidRPr="006D5CD5" w:rsidRDefault="006D5CD5" w:rsidP="006D5CD5">
      <w:pPr>
        <w:rPr>
          <w:rFonts w:ascii="Arial" w:hAnsi="Arial" w:cs="Arial"/>
          <w:sz w:val="20"/>
          <w:szCs w:val="20"/>
        </w:rPr>
      </w:pPr>
      <w:r w:rsidRPr="006D5CD5">
        <w:rPr>
          <w:rFonts w:ascii="Arial" w:hAnsi="Arial" w:cs="Arial"/>
          <w:sz w:val="20"/>
          <w:szCs w:val="20"/>
        </w:rPr>
        <w:t>Kate Mullen</w:t>
      </w:r>
    </w:p>
    <w:p w:rsidR="006D5CD5" w:rsidRPr="006D5CD5" w:rsidRDefault="006D5CD5" w:rsidP="006D5CD5">
      <w:pPr>
        <w:rPr>
          <w:rFonts w:ascii="Arial" w:hAnsi="Arial" w:cs="Arial"/>
          <w:sz w:val="20"/>
          <w:szCs w:val="20"/>
        </w:rPr>
      </w:pPr>
      <w:r w:rsidRPr="006D5CD5">
        <w:rPr>
          <w:rFonts w:ascii="Arial" w:hAnsi="Arial" w:cs="Arial"/>
          <w:sz w:val="20"/>
          <w:szCs w:val="20"/>
        </w:rPr>
        <w:t>Acting Director, Information Collection Clearance Division</w:t>
      </w:r>
    </w:p>
    <w:p w:rsidR="006D5CD5" w:rsidRPr="006D5CD5" w:rsidRDefault="006D5CD5" w:rsidP="006D5CD5">
      <w:pPr>
        <w:rPr>
          <w:rFonts w:ascii="Arial" w:hAnsi="Arial" w:cs="Arial"/>
          <w:sz w:val="20"/>
          <w:szCs w:val="20"/>
        </w:rPr>
      </w:pPr>
      <w:r w:rsidRPr="006D5CD5">
        <w:rPr>
          <w:rFonts w:ascii="Arial" w:hAnsi="Arial" w:cs="Arial"/>
          <w:sz w:val="20"/>
          <w:szCs w:val="20"/>
        </w:rPr>
        <w:t>U.S. Department of Education</w:t>
      </w:r>
    </w:p>
    <w:p w:rsidR="006D5CD5" w:rsidRPr="006D5CD5" w:rsidRDefault="006D5CD5" w:rsidP="006D5CD5">
      <w:pPr>
        <w:rPr>
          <w:rFonts w:ascii="Arial" w:hAnsi="Arial" w:cs="Arial"/>
          <w:sz w:val="20"/>
          <w:szCs w:val="20"/>
        </w:rPr>
      </w:pPr>
      <w:r w:rsidRPr="006D5CD5">
        <w:rPr>
          <w:rFonts w:ascii="Arial" w:hAnsi="Arial" w:cs="Arial"/>
          <w:sz w:val="20"/>
          <w:szCs w:val="20"/>
        </w:rPr>
        <w:t>550 12</w:t>
      </w:r>
      <w:r w:rsidRPr="006D5CD5">
        <w:rPr>
          <w:rFonts w:ascii="Arial" w:hAnsi="Arial" w:cs="Arial"/>
          <w:sz w:val="20"/>
          <w:szCs w:val="20"/>
          <w:vertAlign w:val="superscript"/>
        </w:rPr>
        <w:t>th</w:t>
      </w:r>
      <w:r w:rsidRPr="006D5CD5">
        <w:rPr>
          <w:rFonts w:ascii="Arial" w:hAnsi="Arial" w:cs="Arial"/>
          <w:sz w:val="20"/>
          <w:szCs w:val="20"/>
        </w:rPr>
        <w:t xml:space="preserve"> Street SW, PCP, Room 9086</w:t>
      </w:r>
    </w:p>
    <w:p w:rsidR="006D5CD5" w:rsidRPr="006D5CD5" w:rsidRDefault="006D5CD5" w:rsidP="006D5CD5">
      <w:pPr>
        <w:rPr>
          <w:rFonts w:ascii="Arial" w:hAnsi="Arial" w:cs="Arial"/>
          <w:sz w:val="20"/>
          <w:szCs w:val="20"/>
        </w:rPr>
      </w:pPr>
      <w:r w:rsidRPr="006D5CD5">
        <w:rPr>
          <w:rFonts w:ascii="Arial" w:hAnsi="Arial" w:cs="Arial"/>
          <w:sz w:val="20"/>
          <w:szCs w:val="20"/>
        </w:rPr>
        <w:t>Washington D.C. 20202-0023</w:t>
      </w:r>
    </w:p>
    <w:p w:rsidR="006D5CD5" w:rsidRPr="006D5CD5" w:rsidRDefault="006D5CD5" w:rsidP="006D5CD5">
      <w:pPr>
        <w:rPr>
          <w:rFonts w:ascii="Arial" w:hAnsi="Arial" w:cs="Arial"/>
          <w:sz w:val="20"/>
          <w:szCs w:val="20"/>
        </w:rPr>
      </w:pPr>
    </w:p>
    <w:p w:rsidR="006D5CD5" w:rsidRPr="006D5CD5" w:rsidRDefault="006D5CD5" w:rsidP="00DC46C0">
      <w:pPr>
        <w:tabs>
          <w:tab w:val="left" w:pos="2417"/>
        </w:tabs>
        <w:rPr>
          <w:rFonts w:ascii="Arial" w:hAnsi="Arial" w:cs="Arial"/>
          <w:sz w:val="20"/>
          <w:szCs w:val="20"/>
        </w:rPr>
      </w:pPr>
      <w:r w:rsidRPr="006D5CD5">
        <w:rPr>
          <w:rFonts w:ascii="Arial" w:hAnsi="Arial" w:cs="Arial"/>
          <w:sz w:val="20"/>
          <w:szCs w:val="20"/>
        </w:rPr>
        <w:t>Ms. Mullen,</w:t>
      </w:r>
      <w:r w:rsidR="00DC46C0">
        <w:rPr>
          <w:rFonts w:ascii="Arial" w:hAnsi="Arial" w:cs="Arial"/>
          <w:sz w:val="20"/>
          <w:szCs w:val="20"/>
        </w:rPr>
        <w:tab/>
      </w:r>
    </w:p>
    <w:p w:rsidR="006D5CD5" w:rsidRPr="006D5CD5" w:rsidRDefault="006D5CD5" w:rsidP="006D5CD5">
      <w:pPr>
        <w:rPr>
          <w:rFonts w:ascii="Arial" w:hAnsi="Arial" w:cs="Arial"/>
          <w:sz w:val="20"/>
          <w:szCs w:val="20"/>
        </w:rPr>
      </w:pPr>
    </w:p>
    <w:p w:rsidR="006D5CD5" w:rsidRPr="006D5CD5" w:rsidRDefault="006D5CD5" w:rsidP="006D5CD5">
      <w:pPr>
        <w:rPr>
          <w:rFonts w:ascii="Arial" w:hAnsi="Arial" w:cs="Arial"/>
          <w:sz w:val="20"/>
          <w:szCs w:val="20"/>
        </w:rPr>
      </w:pPr>
      <w:r w:rsidRPr="006D5CD5">
        <w:rPr>
          <w:rFonts w:ascii="Arial" w:hAnsi="Arial" w:cs="Arial"/>
          <w:sz w:val="20"/>
          <w:szCs w:val="20"/>
        </w:rPr>
        <w:t xml:space="preserve">On December 7, 2018, the U.S. Department of Education published a notice in the Federal Register (83 FR 63160) soliciting public comment regarding the Federal Student Aid (FSA) Feedback System [Docket No.: ED-2018-ICCD-0128].   </w:t>
      </w:r>
    </w:p>
    <w:p w:rsidR="006D5CD5" w:rsidRPr="006D5CD5" w:rsidRDefault="006D5CD5" w:rsidP="006D5CD5">
      <w:pPr>
        <w:rPr>
          <w:rFonts w:ascii="Arial" w:hAnsi="Arial" w:cs="Arial"/>
          <w:sz w:val="20"/>
          <w:szCs w:val="20"/>
        </w:rPr>
      </w:pPr>
    </w:p>
    <w:p w:rsidR="006D5CD5" w:rsidRPr="006D5CD5" w:rsidRDefault="006D5CD5" w:rsidP="006D5CD5">
      <w:pPr>
        <w:jc w:val="both"/>
        <w:rPr>
          <w:rFonts w:ascii="Arial" w:hAnsi="Arial" w:cs="Arial"/>
          <w:sz w:val="20"/>
          <w:szCs w:val="20"/>
        </w:rPr>
      </w:pPr>
      <w:r w:rsidRPr="006D5CD5">
        <w:rPr>
          <w:rFonts w:ascii="Arial" w:hAnsi="Arial" w:cs="Arial"/>
          <w:sz w:val="20"/>
          <w:szCs w:val="20"/>
        </w:rPr>
        <w:t xml:space="preserve">Although the FDMS Portal has been intentionally engineered to be student/borrower friendly, we recommend the following enhancements from a servicers’ perspective:  </w:t>
      </w:r>
    </w:p>
    <w:p w:rsidR="006D5CD5" w:rsidRPr="006D5CD5" w:rsidRDefault="006D5CD5" w:rsidP="006D5CD5">
      <w:pPr>
        <w:spacing w:line="280" w:lineRule="exact"/>
        <w:jc w:val="both"/>
        <w:rPr>
          <w:rFonts w:ascii="Arial" w:hAnsi="Arial" w:cs="Arial"/>
          <w:sz w:val="20"/>
          <w:szCs w:val="20"/>
        </w:rPr>
      </w:pPr>
    </w:p>
    <w:p w:rsidR="006D5CD5" w:rsidRPr="006D5CD5"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 xml:space="preserve">Students/borrowers may not realize from whom they are receiving a response.  </w:t>
      </w:r>
    </w:p>
    <w:p w:rsidR="006D5CD5" w:rsidRDefault="006D5CD5" w:rsidP="006D5CD5">
      <w:pPr>
        <w:ind w:left="720"/>
        <w:jc w:val="both"/>
        <w:rPr>
          <w:rFonts w:ascii="Arial" w:hAnsi="Arial" w:cs="Arial"/>
          <w:sz w:val="20"/>
          <w:szCs w:val="20"/>
        </w:rPr>
      </w:pPr>
      <w:r w:rsidRPr="006D5CD5">
        <w:rPr>
          <w:rFonts w:ascii="Arial" w:hAnsi="Arial" w:cs="Arial"/>
          <w:sz w:val="20"/>
          <w:szCs w:val="20"/>
        </w:rPr>
        <w:t xml:space="preserve">Although partners strive to emphasize the source of their communications, the portal through which these messages are delivered is closely associated with the Department; therefore, recipients may presume that all responses originate from the Department.  </w:t>
      </w:r>
    </w:p>
    <w:p w:rsidR="000D16DA" w:rsidRDefault="000D16DA" w:rsidP="006D5CD5">
      <w:pPr>
        <w:ind w:left="720"/>
        <w:jc w:val="both"/>
        <w:rPr>
          <w:rFonts w:ascii="Arial" w:hAnsi="Arial" w:cs="Arial"/>
          <w:sz w:val="20"/>
          <w:szCs w:val="20"/>
        </w:rPr>
      </w:pPr>
    </w:p>
    <w:p w:rsidR="000D16DA" w:rsidRPr="002D21FA" w:rsidRDefault="000D16DA" w:rsidP="006D5CD5">
      <w:pPr>
        <w:ind w:left="720"/>
        <w:jc w:val="both"/>
        <w:rPr>
          <w:rFonts w:ascii="Arial" w:hAnsi="Arial" w:cs="Arial"/>
          <w:color w:val="0000CC"/>
          <w:sz w:val="20"/>
          <w:szCs w:val="20"/>
        </w:rPr>
      </w:pPr>
      <w:r w:rsidRPr="002D21FA">
        <w:rPr>
          <w:rFonts w:ascii="Arial" w:hAnsi="Arial" w:cs="Arial"/>
          <w:color w:val="0000CC"/>
          <w:sz w:val="20"/>
          <w:szCs w:val="20"/>
        </w:rPr>
        <w:t xml:space="preserve">FDMS is the single point of contact for federal student aid </w:t>
      </w:r>
      <w:r w:rsidR="00C13C0B" w:rsidRPr="002D21FA">
        <w:rPr>
          <w:rFonts w:ascii="Arial" w:hAnsi="Arial" w:cs="Arial"/>
          <w:color w:val="0000CC"/>
          <w:sz w:val="20"/>
          <w:szCs w:val="20"/>
        </w:rPr>
        <w:t xml:space="preserve">borrowers </w:t>
      </w:r>
      <w:r w:rsidRPr="002D21FA">
        <w:rPr>
          <w:rFonts w:ascii="Arial" w:hAnsi="Arial" w:cs="Arial"/>
          <w:color w:val="0000CC"/>
          <w:sz w:val="20"/>
          <w:szCs w:val="20"/>
        </w:rPr>
        <w:t>to submit feedback concerning their student aid experience. Cases are created and routed to the appropriate entity within FSA or its associate partners to respond. Partner users submit their responses through FDMS so that those responses are accessible by the Department. Those responses can be placed on official partner user letterhead; they can be mailed or emailed but a copy of the response must be uploaded to FDMS for tracking and auditing purposes.</w:t>
      </w:r>
    </w:p>
    <w:p w:rsidR="006D5CD5" w:rsidRPr="002D21FA" w:rsidRDefault="006D5CD5" w:rsidP="006D5CD5">
      <w:pPr>
        <w:jc w:val="both"/>
        <w:rPr>
          <w:rFonts w:ascii="Arial" w:hAnsi="Arial" w:cs="Arial"/>
          <w:color w:val="0000CC"/>
          <w:sz w:val="20"/>
          <w:szCs w:val="20"/>
        </w:rPr>
      </w:pPr>
    </w:p>
    <w:p w:rsidR="006D5CD5" w:rsidRPr="006D5CD5"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When not actively assigned for processing, partners addressing a similar case have a limited ability to view the other organization’s activities.</w:t>
      </w:r>
    </w:p>
    <w:p w:rsidR="006D5CD5" w:rsidRDefault="006D5CD5" w:rsidP="006D5CD5">
      <w:pPr>
        <w:ind w:left="720"/>
        <w:jc w:val="both"/>
        <w:rPr>
          <w:rFonts w:ascii="Arial" w:hAnsi="Arial" w:cs="Arial"/>
          <w:sz w:val="20"/>
          <w:szCs w:val="20"/>
        </w:rPr>
      </w:pPr>
      <w:r w:rsidRPr="006D5CD5">
        <w:rPr>
          <w:rFonts w:ascii="Arial" w:hAnsi="Arial" w:cs="Arial"/>
          <w:sz w:val="20"/>
          <w:szCs w:val="20"/>
        </w:rPr>
        <w:t xml:space="preserve">For example, if a servicer submits a communication to the borrower via the Portal, it closes the case relative to that servicer.  Should the borrower respond to that communication, the servicer cannot see that communication; therefore, it cannot support FSA in responding to it. </w:t>
      </w:r>
    </w:p>
    <w:p w:rsidR="000D16DA" w:rsidRDefault="000D16DA" w:rsidP="006D5CD5">
      <w:pPr>
        <w:ind w:left="720"/>
        <w:jc w:val="both"/>
        <w:rPr>
          <w:rFonts w:ascii="Arial" w:hAnsi="Arial" w:cs="Arial"/>
          <w:sz w:val="20"/>
          <w:szCs w:val="20"/>
        </w:rPr>
      </w:pPr>
    </w:p>
    <w:p w:rsidR="00C13C0B" w:rsidRPr="00C13C0B" w:rsidRDefault="00C13C0B" w:rsidP="00C13C0B">
      <w:pPr>
        <w:ind w:left="720"/>
        <w:jc w:val="both"/>
        <w:rPr>
          <w:rFonts w:ascii="Arial" w:hAnsi="Arial" w:cs="Arial"/>
          <w:color w:val="0000CC"/>
          <w:sz w:val="20"/>
        </w:rPr>
      </w:pPr>
      <w:r w:rsidRPr="00C13C0B">
        <w:rPr>
          <w:rFonts w:ascii="Arial" w:hAnsi="Arial" w:cs="Arial"/>
          <w:color w:val="0000CC"/>
          <w:sz w:val="20"/>
        </w:rPr>
        <w:t>The limitation is purposeful</w:t>
      </w:r>
      <w:r w:rsidR="00E12FBA">
        <w:rPr>
          <w:rFonts w:ascii="Arial" w:hAnsi="Arial" w:cs="Arial"/>
          <w:color w:val="0000CC"/>
          <w:sz w:val="20"/>
        </w:rPr>
        <w:t xml:space="preserve"> in compliance with </w:t>
      </w:r>
      <w:r w:rsidRPr="00C13C0B">
        <w:rPr>
          <w:rFonts w:ascii="Arial" w:hAnsi="Arial" w:cs="Arial"/>
          <w:color w:val="0000CC"/>
          <w:sz w:val="20"/>
        </w:rPr>
        <w:t xml:space="preserve">current FSA practice of restricting ED-Servicer Partners’ access to </w:t>
      </w:r>
      <w:r w:rsidR="00E12FBA" w:rsidRPr="001A2BBB">
        <w:rPr>
          <w:rFonts w:ascii="Arial" w:hAnsi="Arial" w:cs="Arial"/>
          <w:color w:val="0000CC"/>
          <w:sz w:val="20"/>
        </w:rPr>
        <w:t>only</w:t>
      </w:r>
      <w:r w:rsidR="00E12FBA" w:rsidRPr="00C13C0B">
        <w:rPr>
          <w:rFonts w:ascii="Arial" w:hAnsi="Arial" w:cs="Arial"/>
          <w:color w:val="0000CC"/>
          <w:sz w:val="20"/>
        </w:rPr>
        <w:t xml:space="preserve"> </w:t>
      </w:r>
      <w:r w:rsidRPr="00C13C0B">
        <w:rPr>
          <w:rFonts w:ascii="Arial" w:hAnsi="Arial" w:cs="Arial"/>
          <w:color w:val="0000CC"/>
          <w:sz w:val="20"/>
        </w:rPr>
        <w:t>their assigned client portfolios</w:t>
      </w:r>
      <w:r w:rsidR="00E12FBA">
        <w:rPr>
          <w:rFonts w:ascii="Arial" w:hAnsi="Arial" w:cs="Arial"/>
          <w:color w:val="0000CC"/>
          <w:sz w:val="20"/>
        </w:rPr>
        <w:t>.</w:t>
      </w:r>
      <w:r w:rsidRPr="00C13C0B">
        <w:rPr>
          <w:rFonts w:ascii="Arial" w:hAnsi="Arial" w:cs="Arial"/>
          <w:color w:val="0000CC"/>
          <w:sz w:val="20"/>
        </w:rPr>
        <w:t xml:space="preserve"> With the advent of the Next Generation Financial Services support model this restriction may change. </w:t>
      </w:r>
    </w:p>
    <w:p w:rsidR="006D5CD5" w:rsidRPr="006D5CD5" w:rsidRDefault="006D5CD5" w:rsidP="006D5CD5">
      <w:pPr>
        <w:jc w:val="both"/>
        <w:rPr>
          <w:rFonts w:ascii="Arial" w:hAnsi="Arial" w:cs="Arial"/>
          <w:sz w:val="20"/>
          <w:szCs w:val="20"/>
        </w:rPr>
      </w:pPr>
    </w:p>
    <w:p w:rsidR="006D5CD5" w:rsidRPr="006D5CD5"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 xml:space="preserve">Once a case is reassigned, a servicer can no longer view pre-closure activity.  </w:t>
      </w:r>
    </w:p>
    <w:p w:rsidR="006D5CD5" w:rsidRDefault="006D5CD5" w:rsidP="006D5CD5">
      <w:pPr>
        <w:ind w:left="720"/>
        <w:jc w:val="both"/>
        <w:rPr>
          <w:rFonts w:ascii="Arial" w:hAnsi="Arial" w:cs="Arial"/>
          <w:sz w:val="20"/>
          <w:szCs w:val="20"/>
        </w:rPr>
      </w:pPr>
      <w:r w:rsidRPr="006D5CD5">
        <w:rPr>
          <w:rFonts w:ascii="Arial" w:hAnsi="Arial" w:cs="Arial"/>
          <w:sz w:val="20"/>
          <w:szCs w:val="20"/>
        </w:rPr>
        <w:t>While servicers may individually archive images of FDMS transactions, there would be a benefit to ready access to pre-closure FDMS activity during subsequent interactions with students/borrowers.</w:t>
      </w:r>
    </w:p>
    <w:p w:rsidR="00B71227" w:rsidRDefault="00B71227" w:rsidP="006D5CD5">
      <w:pPr>
        <w:ind w:left="720"/>
        <w:jc w:val="both"/>
        <w:rPr>
          <w:rFonts w:ascii="Arial" w:hAnsi="Arial" w:cs="Arial"/>
          <w:sz w:val="20"/>
          <w:szCs w:val="20"/>
        </w:rPr>
      </w:pPr>
    </w:p>
    <w:p w:rsidR="00B71227" w:rsidRPr="00B71227" w:rsidRDefault="00B71227" w:rsidP="00B71227">
      <w:pPr>
        <w:ind w:left="720"/>
        <w:jc w:val="both"/>
        <w:rPr>
          <w:rFonts w:ascii="Arial" w:hAnsi="Arial" w:cs="Arial"/>
          <w:color w:val="0000CC"/>
          <w:sz w:val="20"/>
        </w:rPr>
      </w:pPr>
      <w:r w:rsidRPr="00B71227">
        <w:rPr>
          <w:rFonts w:ascii="Arial" w:hAnsi="Arial" w:cs="Arial"/>
          <w:color w:val="0000CC"/>
          <w:sz w:val="20"/>
        </w:rPr>
        <w:t>Once a case is reassigned out of the Servicer’s queue (</w:t>
      </w:r>
      <w:r w:rsidRPr="00B71227">
        <w:rPr>
          <w:rFonts w:ascii="Arial" w:hAnsi="Arial" w:cs="Arial"/>
          <w:i/>
          <w:color w:val="0000CC"/>
          <w:sz w:val="20"/>
        </w:rPr>
        <w:t>for example, if they need to escalate the case to FSA for resolution</w:t>
      </w:r>
      <w:r w:rsidRPr="00B71227">
        <w:rPr>
          <w:rFonts w:ascii="Arial" w:hAnsi="Arial" w:cs="Arial"/>
          <w:color w:val="0000CC"/>
          <w:sz w:val="20"/>
        </w:rPr>
        <w:t xml:space="preserve">), the Servicer can no longer view the case. The visibility that is enforced for Partner Portal users limits them to only be able to view cases that are either assigned to them, assigned to someone else in their organization, or assigned to their organization’s queue (e.g., Mary at Nelnet can see cases assigned to her, assigned to her co-worker Jane who also works at Nelnet, and cases assigned to the Nelnet queue). </w:t>
      </w:r>
    </w:p>
    <w:p w:rsidR="001A2BBB" w:rsidRDefault="001A2BBB">
      <w:pPr>
        <w:rPr>
          <w:rFonts w:ascii="Arial" w:hAnsi="Arial" w:cs="Arial"/>
          <w:sz w:val="20"/>
          <w:szCs w:val="20"/>
        </w:rPr>
      </w:pPr>
      <w:r>
        <w:rPr>
          <w:rFonts w:ascii="Arial" w:hAnsi="Arial" w:cs="Arial"/>
          <w:sz w:val="20"/>
          <w:szCs w:val="20"/>
        </w:rPr>
        <w:br w:type="page"/>
      </w:r>
    </w:p>
    <w:p w:rsidR="006D5CD5" w:rsidRPr="006D5CD5" w:rsidRDefault="006D5CD5" w:rsidP="006D5CD5">
      <w:pPr>
        <w:jc w:val="both"/>
        <w:rPr>
          <w:rFonts w:ascii="Arial" w:hAnsi="Arial" w:cs="Arial"/>
          <w:sz w:val="20"/>
          <w:szCs w:val="20"/>
        </w:rPr>
      </w:pPr>
    </w:p>
    <w:p w:rsidR="006D5CD5" w:rsidRPr="006D5CD5"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 xml:space="preserve">Partners lack the ability to assign cases to other entities. </w:t>
      </w:r>
    </w:p>
    <w:p w:rsidR="006D5CD5" w:rsidRDefault="006D5CD5" w:rsidP="006D5CD5">
      <w:pPr>
        <w:ind w:left="720"/>
        <w:jc w:val="both"/>
        <w:rPr>
          <w:rFonts w:ascii="Arial" w:hAnsi="Arial" w:cs="Arial"/>
          <w:sz w:val="20"/>
          <w:szCs w:val="20"/>
        </w:rPr>
      </w:pPr>
      <w:r w:rsidRPr="006D5CD5">
        <w:rPr>
          <w:rFonts w:ascii="Arial" w:hAnsi="Arial" w:cs="Arial"/>
          <w:sz w:val="20"/>
          <w:szCs w:val="20"/>
        </w:rPr>
        <w:t xml:space="preserve">Partners can only assign cases to individuals within their own queue/business unit.  It would be beneficial to have the ability to assign cases to other entities (FSA specifically) and to retain the ability to follow that case within the FDMS Portal. </w:t>
      </w:r>
    </w:p>
    <w:p w:rsidR="007E25A8" w:rsidRDefault="007E25A8" w:rsidP="006D5CD5">
      <w:pPr>
        <w:ind w:left="720"/>
        <w:jc w:val="both"/>
        <w:rPr>
          <w:rFonts w:ascii="Arial" w:hAnsi="Arial" w:cs="Arial"/>
          <w:sz w:val="20"/>
          <w:szCs w:val="20"/>
        </w:rPr>
      </w:pPr>
    </w:p>
    <w:p w:rsidR="001A2BBB" w:rsidRPr="00C13C0B" w:rsidRDefault="001A2BBB" w:rsidP="001A2BBB">
      <w:pPr>
        <w:ind w:left="720"/>
        <w:jc w:val="both"/>
        <w:rPr>
          <w:rFonts w:ascii="Arial" w:hAnsi="Arial" w:cs="Arial"/>
          <w:color w:val="0000CC"/>
          <w:sz w:val="20"/>
        </w:rPr>
      </w:pPr>
      <w:r w:rsidRPr="00C13C0B">
        <w:rPr>
          <w:rFonts w:ascii="Arial" w:hAnsi="Arial" w:cs="Arial"/>
          <w:color w:val="0000CC"/>
          <w:sz w:val="20"/>
        </w:rPr>
        <w:t>The limitation is purposeful</w:t>
      </w:r>
      <w:r>
        <w:rPr>
          <w:rFonts w:ascii="Arial" w:hAnsi="Arial" w:cs="Arial"/>
          <w:color w:val="0000CC"/>
          <w:sz w:val="20"/>
        </w:rPr>
        <w:t xml:space="preserve"> in compliance with </w:t>
      </w:r>
      <w:r w:rsidRPr="00C13C0B">
        <w:rPr>
          <w:rFonts w:ascii="Arial" w:hAnsi="Arial" w:cs="Arial"/>
          <w:color w:val="0000CC"/>
          <w:sz w:val="20"/>
        </w:rPr>
        <w:t xml:space="preserve">current FSA practice of restricting ED-Servicer Partners’ access to </w:t>
      </w:r>
      <w:r w:rsidRPr="001A2BBB">
        <w:rPr>
          <w:rFonts w:ascii="Arial" w:hAnsi="Arial" w:cs="Arial"/>
          <w:color w:val="0000CC"/>
          <w:sz w:val="20"/>
        </w:rPr>
        <w:t>only</w:t>
      </w:r>
      <w:r w:rsidRPr="00C13C0B">
        <w:rPr>
          <w:rFonts w:ascii="Arial" w:hAnsi="Arial" w:cs="Arial"/>
          <w:color w:val="0000CC"/>
          <w:sz w:val="20"/>
        </w:rPr>
        <w:t xml:space="preserve"> their assigned client portfolios</w:t>
      </w:r>
      <w:r>
        <w:rPr>
          <w:rFonts w:ascii="Arial" w:hAnsi="Arial" w:cs="Arial"/>
          <w:color w:val="0000CC"/>
          <w:sz w:val="20"/>
        </w:rPr>
        <w:t>.</w:t>
      </w:r>
      <w:r w:rsidRPr="00C13C0B">
        <w:rPr>
          <w:rFonts w:ascii="Arial" w:hAnsi="Arial" w:cs="Arial"/>
          <w:color w:val="0000CC"/>
          <w:sz w:val="20"/>
        </w:rPr>
        <w:t xml:space="preserve"> With the advent of the Next Generation Financial Services support model this restriction may change. </w:t>
      </w:r>
    </w:p>
    <w:p w:rsidR="006D5CD5" w:rsidRPr="006D5CD5" w:rsidRDefault="006D5CD5" w:rsidP="006D5CD5">
      <w:pPr>
        <w:jc w:val="both"/>
        <w:rPr>
          <w:rFonts w:ascii="Arial" w:hAnsi="Arial" w:cs="Arial"/>
          <w:sz w:val="20"/>
          <w:szCs w:val="20"/>
        </w:rPr>
      </w:pPr>
    </w:p>
    <w:p w:rsidR="006D5CD5"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The ability to assign multiple case owners to “Level 2 FDMS Complaints” would aid all parties actively working a case.</w:t>
      </w:r>
    </w:p>
    <w:p w:rsidR="007E25A8" w:rsidRDefault="007E25A8" w:rsidP="007E25A8">
      <w:pPr>
        <w:ind w:left="720"/>
        <w:jc w:val="both"/>
        <w:rPr>
          <w:rFonts w:ascii="Arial" w:hAnsi="Arial" w:cs="Arial"/>
          <w:b/>
          <w:i/>
          <w:sz w:val="20"/>
          <w:szCs w:val="20"/>
        </w:rPr>
      </w:pPr>
    </w:p>
    <w:p w:rsidR="007E25A8" w:rsidRPr="00C13C0B" w:rsidRDefault="007E25A8" w:rsidP="00C13C0B">
      <w:pPr>
        <w:pStyle w:val="ListParagraph"/>
        <w:jc w:val="both"/>
        <w:rPr>
          <w:rFonts w:ascii="Arial" w:hAnsi="Arial" w:cs="Arial"/>
          <w:color w:val="0000CC"/>
          <w:sz w:val="20"/>
          <w:szCs w:val="20"/>
        </w:rPr>
      </w:pPr>
      <w:r w:rsidRPr="00C13C0B">
        <w:rPr>
          <w:rFonts w:ascii="Arial" w:hAnsi="Arial" w:cs="Arial"/>
          <w:color w:val="0000CC"/>
          <w:sz w:val="20"/>
          <w:szCs w:val="20"/>
        </w:rPr>
        <w:t xml:space="preserve">This is a purposeful system limitation. </w:t>
      </w:r>
      <w:r w:rsidR="00C13C0B" w:rsidRPr="00C13C0B">
        <w:rPr>
          <w:rFonts w:ascii="Arial" w:hAnsi="Arial" w:cs="Arial"/>
          <w:color w:val="0000CC"/>
          <w:sz w:val="20"/>
          <w:szCs w:val="20"/>
        </w:rPr>
        <w:t>T</w:t>
      </w:r>
      <w:r w:rsidRPr="00C13C0B">
        <w:rPr>
          <w:rFonts w:ascii="Arial" w:hAnsi="Arial" w:cs="Arial"/>
          <w:color w:val="0000CC"/>
          <w:sz w:val="20"/>
          <w:szCs w:val="20"/>
        </w:rPr>
        <w:t xml:space="preserve">he </w:t>
      </w:r>
      <w:r w:rsidR="00C13C0B" w:rsidRPr="00C13C0B">
        <w:rPr>
          <w:rFonts w:ascii="Arial" w:hAnsi="Arial" w:cs="Arial"/>
          <w:color w:val="0000CC"/>
          <w:sz w:val="20"/>
          <w:szCs w:val="20"/>
        </w:rPr>
        <w:t xml:space="preserve">Feedback </w:t>
      </w:r>
      <w:r w:rsidRPr="00C13C0B">
        <w:rPr>
          <w:rFonts w:ascii="Arial" w:hAnsi="Arial" w:cs="Arial"/>
          <w:color w:val="0000CC"/>
          <w:sz w:val="20"/>
          <w:szCs w:val="20"/>
        </w:rPr>
        <w:t xml:space="preserve">system </w:t>
      </w:r>
      <w:r w:rsidR="00C13C0B" w:rsidRPr="00C13C0B">
        <w:rPr>
          <w:rFonts w:ascii="Arial" w:hAnsi="Arial" w:cs="Arial"/>
          <w:color w:val="0000CC"/>
          <w:sz w:val="20"/>
          <w:szCs w:val="20"/>
        </w:rPr>
        <w:t>was intentionally designed to permit only one case owner at a time for positive, singular ownership control</w:t>
      </w:r>
      <w:r w:rsidR="000C0176">
        <w:rPr>
          <w:rFonts w:ascii="Arial" w:hAnsi="Arial" w:cs="Arial"/>
          <w:color w:val="0000CC"/>
          <w:sz w:val="20"/>
          <w:szCs w:val="20"/>
        </w:rPr>
        <w:t xml:space="preserve"> and accountability</w:t>
      </w:r>
      <w:r w:rsidRPr="00C13C0B">
        <w:rPr>
          <w:rFonts w:ascii="Arial" w:hAnsi="Arial" w:cs="Arial"/>
          <w:color w:val="0000CC"/>
          <w:sz w:val="20"/>
          <w:szCs w:val="20"/>
        </w:rPr>
        <w:t>. The ta</w:t>
      </w:r>
      <w:r w:rsidR="002A467F" w:rsidRPr="00C13C0B">
        <w:rPr>
          <w:rFonts w:ascii="Arial" w:hAnsi="Arial" w:cs="Arial"/>
          <w:color w:val="0000CC"/>
          <w:sz w:val="20"/>
          <w:szCs w:val="20"/>
        </w:rPr>
        <w:t>sk</w:t>
      </w:r>
      <w:r w:rsidR="00C13C0B" w:rsidRPr="00C13C0B">
        <w:rPr>
          <w:rFonts w:ascii="Arial" w:hAnsi="Arial" w:cs="Arial"/>
          <w:color w:val="0000CC"/>
          <w:sz w:val="20"/>
          <w:szCs w:val="20"/>
        </w:rPr>
        <w:t xml:space="preserve">s workflow </w:t>
      </w:r>
      <w:r w:rsidR="002A467F" w:rsidRPr="00C13C0B">
        <w:rPr>
          <w:rFonts w:ascii="Arial" w:hAnsi="Arial" w:cs="Arial"/>
          <w:color w:val="0000CC"/>
          <w:sz w:val="20"/>
          <w:szCs w:val="20"/>
        </w:rPr>
        <w:t xml:space="preserve">functionality </w:t>
      </w:r>
      <w:r w:rsidR="00C13C0B" w:rsidRPr="00C13C0B">
        <w:rPr>
          <w:rFonts w:ascii="Arial" w:hAnsi="Arial" w:cs="Arial"/>
          <w:color w:val="0000CC"/>
          <w:sz w:val="20"/>
          <w:szCs w:val="20"/>
        </w:rPr>
        <w:t>enable</w:t>
      </w:r>
      <w:r w:rsidR="000C0176">
        <w:rPr>
          <w:rFonts w:ascii="Arial" w:hAnsi="Arial" w:cs="Arial"/>
          <w:color w:val="0000CC"/>
          <w:sz w:val="20"/>
          <w:szCs w:val="20"/>
        </w:rPr>
        <w:t>s</w:t>
      </w:r>
      <w:r w:rsidR="00C13C0B" w:rsidRPr="00C13C0B">
        <w:rPr>
          <w:rFonts w:ascii="Arial" w:hAnsi="Arial" w:cs="Arial"/>
          <w:color w:val="0000CC"/>
          <w:sz w:val="20"/>
          <w:szCs w:val="20"/>
        </w:rPr>
        <w:t xml:space="preserve"> multiple persons to work on a case collaboratively.</w:t>
      </w:r>
    </w:p>
    <w:p w:rsidR="006D5CD5" w:rsidRPr="006D5CD5" w:rsidRDefault="006D5CD5" w:rsidP="006D5CD5">
      <w:pPr>
        <w:jc w:val="both"/>
        <w:rPr>
          <w:rFonts w:ascii="Arial" w:hAnsi="Arial" w:cs="Arial"/>
          <w:sz w:val="20"/>
          <w:szCs w:val="20"/>
        </w:rPr>
      </w:pPr>
    </w:p>
    <w:p w:rsidR="006D5CD5" w:rsidRPr="006D5CD5"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 xml:space="preserve">‘Recommended Activity Tasks’ cannot be assigned to other organizations.  </w:t>
      </w:r>
    </w:p>
    <w:p w:rsidR="006D5CD5" w:rsidRDefault="006D5CD5" w:rsidP="006D5CD5">
      <w:pPr>
        <w:ind w:left="720"/>
        <w:jc w:val="both"/>
        <w:rPr>
          <w:rFonts w:ascii="Arial" w:hAnsi="Arial" w:cs="Arial"/>
          <w:sz w:val="20"/>
          <w:szCs w:val="20"/>
        </w:rPr>
      </w:pPr>
      <w:r w:rsidRPr="006D5CD5">
        <w:rPr>
          <w:rFonts w:ascii="Arial" w:hAnsi="Arial" w:cs="Arial"/>
          <w:sz w:val="20"/>
          <w:szCs w:val="20"/>
        </w:rPr>
        <w:t>Broadening this functionality may improve communication among the partners.</w:t>
      </w:r>
    </w:p>
    <w:p w:rsidR="002A467F" w:rsidRDefault="002A467F" w:rsidP="006D5CD5">
      <w:pPr>
        <w:ind w:left="720"/>
        <w:jc w:val="both"/>
        <w:rPr>
          <w:rFonts w:ascii="Arial" w:hAnsi="Arial" w:cs="Arial"/>
          <w:sz w:val="20"/>
          <w:szCs w:val="20"/>
        </w:rPr>
      </w:pPr>
    </w:p>
    <w:p w:rsidR="001A2BBB" w:rsidRPr="00C13C0B" w:rsidRDefault="001A2BBB" w:rsidP="001A2BBB">
      <w:pPr>
        <w:ind w:left="720"/>
        <w:jc w:val="both"/>
        <w:rPr>
          <w:rFonts w:ascii="Arial" w:hAnsi="Arial" w:cs="Arial"/>
          <w:color w:val="0000CC"/>
          <w:sz w:val="20"/>
        </w:rPr>
      </w:pPr>
      <w:r w:rsidRPr="00C13C0B">
        <w:rPr>
          <w:rFonts w:ascii="Arial" w:hAnsi="Arial" w:cs="Arial"/>
          <w:color w:val="0000CC"/>
          <w:sz w:val="20"/>
        </w:rPr>
        <w:t>The limitation is purposeful</w:t>
      </w:r>
      <w:r>
        <w:rPr>
          <w:rFonts w:ascii="Arial" w:hAnsi="Arial" w:cs="Arial"/>
          <w:color w:val="0000CC"/>
          <w:sz w:val="20"/>
        </w:rPr>
        <w:t xml:space="preserve"> in compliance with </w:t>
      </w:r>
      <w:r w:rsidRPr="00C13C0B">
        <w:rPr>
          <w:rFonts w:ascii="Arial" w:hAnsi="Arial" w:cs="Arial"/>
          <w:color w:val="0000CC"/>
          <w:sz w:val="20"/>
        </w:rPr>
        <w:t xml:space="preserve">current FSA practice of restricting ED-Servicer Partners’ access to </w:t>
      </w:r>
      <w:r w:rsidRPr="001A2BBB">
        <w:rPr>
          <w:rFonts w:ascii="Arial" w:hAnsi="Arial" w:cs="Arial"/>
          <w:color w:val="0000CC"/>
          <w:sz w:val="20"/>
        </w:rPr>
        <w:t>only</w:t>
      </w:r>
      <w:r w:rsidRPr="00C13C0B">
        <w:rPr>
          <w:rFonts w:ascii="Arial" w:hAnsi="Arial" w:cs="Arial"/>
          <w:color w:val="0000CC"/>
          <w:sz w:val="20"/>
        </w:rPr>
        <w:t xml:space="preserve"> their assigned client portfolios</w:t>
      </w:r>
      <w:r>
        <w:rPr>
          <w:rFonts w:ascii="Arial" w:hAnsi="Arial" w:cs="Arial"/>
          <w:color w:val="0000CC"/>
          <w:sz w:val="20"/>
        </w:rPr>
        <w:t>.</w:t>
      </w:r>
      <w:r w:rsidRPr="00C13C0B">
        <w:rPr>
          <w:rFonts w:ascii="Arial" w:hAnsi="Arial" w:cs="Arial"/>
          <w:color w:val="0000CC"/>
          <w:sz w:val="20"/>
        </w:rPr>
        <w:t xml:space="preserve"> With the advent of the Next Generation Financial Services support model this restriction may change. </w:t>
      </w:r>
    </w:p>
    <w:p w:rsidR="006D5CD5" w:rsidRPr="006D5CD5" w:rsidRDefault="006D5CD5" w:rsidP="006D5CD5">
      <w:pPr>
        <w:jc w:val="both"/>
        <w:rPr>
          <w:rFonts w:ascii="Arial" w:hAnsi="Arial" w:cs="Arial"/>
          <w:sz w:val="20"/>
          <w:szCs w:val="20"/>
        </w:rPr>
      </w:pPr>
    </w:p>
    <w:p w:rsidR="00DE5CD1" w:rsidRDefault="006D5CD5" w:rsidP="006D5CD5">
      <w:pPr>
        <w:numPr>
          <w:ilvl w:val="0"/>
          <w:numId w:val="1"/>
        </w:numPr>
        <w:jc w:val="both"/>
        <w:rPr>
          <w:rFonts w:ascii="Arial" w:hAnsi="Arial" w:cs="Arial"/>
          <w:b/>
          <w:i/>
          <w:sz w:val="20"/>
          <w:szCs w:val="20"/>
        </w:rPr>
      </w:pPr>
      <w:r w:rsidRPr="006D5CD5">
        <w:rPr>
          <w:rFonts w:ascii="Arial" w:hAnsi="Arial" w:cs="Arial"/>
          <w:b/>
          <w:i/>
          <w:sz w:val="20"/>
          <w:szCs w:val="20"/>
        </w:rPr>
        <w:t>Additional filters and reporting options are recommended.</w:t>
      </w:r>
      <w:r w:rsidR="00DE5CD1">
        <w:rPr>
          <w:rFonts w:ascii="Arial" w:hAnsi="Arial" w:cs="Arial"/>
          <w:b/>
          <w:i/>
          <w:sz w:val="20"/>
          <w:szCs w:val="20"/>
        </w:rPr>
        <w:t xml:space="preserve"> </w:t>
      </w:r>
    </w:p>
    <w:p w:rsidR="006D5CD5" w:rsidRDefault="00DE5CD1" w:rsidP="00DE5CD1">
      <w:pPr>
        <w:ind w:left="720"/>
        <w:jc w:val="both"/>
        <w:rPr>
          <w:rFonts w:ascii="Arial" w:hAnsi="Arial" w:cs="Arial"/>
          <w:sz w:val="20"/>
          <w:szCs w:val="20"/>
        </w:rPr>
      </w:pPr>
      <w:r w:rsidRPr="00DE5CD1">
        <w:rPr>
          <w:rFonts w:ascii="Arial" w:hAnsi="Arial" w:cs="Arial"/>
          <w:sz w:val="20"/>
          <w:szCs w:val="20"/>
        </w:rPr>
        <w:t>This would allow partners to select the data that is pertinent to their needs.</w:t>
      </w:r>
      <w:r w:rsidR="002A467F">
        <w:rPr>
          <w:rFonts w:ascii="Arial" w:hAnsi="Arial" w:cs="Arial"/>
          <w:sz w:val="20"/>
          <w:szCs w:val="20"/>
        </w:rPr>
        <w:t xml:space="preserve"> </w:t>
      </w:r>
    </w:p>
    <w:p w:rsidR="002D21FA" w:rsidRDefault="002D21FA" w:rsidP="00DE5CD1">
      <w:pPr>
        <w:ind w:left="720"/>
        <w:jc w:val="both"/>
        <w:rPr>
          <w:rFonts w:ascii="Arial" w:hAnsi="Arial" w:cs="Arial"/>
          <w:sz w:val="20"/>
          <w:szCs w:val="20"/>
        </w:rPr>
      </w:pPr>
    </w:p>
    <w:p w:rsidR="002D21FA" w:rsidRPr="002D21FA" w:rsidRDefault="002D21FA" w:rsidP="00DE5CD1">
      <w:pPr>
        <w:ind w:left="720"/>
        <w:jc w:val="both"/>
        <w:rPr>
          <w:rFonts w:ascii="Arial" w:hAnsi="Arial" w:cs="Arial"/>
          <w:color w:val="0000CC"/>
          <w:sz w:val="20"/>
          <w:szCs w:val="20"/>
        </w:rPr>
      </w:pPr>
      <w:r w:rsidRPr="002D21FA">
        <w:rPr>
          <w:rFonts w:ascii="Arial" w:hAnsi="Arial" w:cs="Arial"/>
          <w:color w:val="0000CC"/>
          <w:sz w:val="20"/>
          <w:szCs w:val="20"/>
        </w:rPr>
        <w:t>Through the change management process for the Feedback application, recommendations can be made on what additional filters and/or reporting options, if implemented, would permit greater flexibility in data selection to attain increased pertinent reporting outcomes.</w:t>
      </w:r>
    </w:p>
    <w:p w:rsidR="002A467F" w:rsidRDefault="002A467F" w:rsidP="00DE5CD1">
      <w:pPr>
        <w:ind w:left="720"/>
        <w:jc w:val="both"/>
        <w:rPr>
          <w:rFonts w:ascii="Arial" w:hAnsi="Arial" w:cs="Arial"/>
          <w:sz w:val="20"/>
          <w:szCs w:val="20"/>
        </w:rPr>
      </w:pPr>
    </w:p>
    <w:p w:rsidR="002A467F" w:rsidRDefault="002A467F" w:rsidP="00DE5CD1">
      <w:pPr>
        <w:ind w:left="720"/>
        <w:jc w:val="both"/>
        <w:rPr>
          <w:rFonts w:ascii="Arial" w:hAnsi="Arial" w:cs="Arial"/>
          <w:b/>
          <w:i/>
          <w:color w:val="0000CC"/>
          <w:sz w:val="20"/>
          <w:szCs w:val="20"/>
        </w:rPr>
      </w:pPr>
    </w:p>
    <w:p w:rsidR="000C0176" w:rsidRPr="001A2BBB" w:rsidRDefault="000C0176" w:rsidP="00DE5CD1">
      <w:pPr>
        <w:ind w:left="720"/>
        <w:jc w:val="both"/>
        <w:rPr>
          <w:rFonts w:ascii="Arial" w:hAnsi="Arial" w:cs="Arial"/>
          <w:color w:val="0000CC"/>
          <w:sz w:val="20"/>
          <w:szCs w:val="20"/>
        </w:rPr>
      </w:pPr>
    </w:p>
    <w:p w:rsidR="006D5CD5" w:rsidRPr="006D5CD5" w:rsidRDefault="006D5CD5" w:rsidP="006D5CD5">
      <w:pPr>
        <w:tabs>
          <w:tab w:val="left" w:pos="360"/>
        </w:tabs>
        <w:rPr>
          <w:rFonts w:ascii="Arial" w:hAnsi="Arial" w:cs="Arial"/>
          <w:sz w:val="20"/>
          <w:szCs w:val="20"/>
        </w:rPr>
      </w:pPr>
    </w:p>
    <w:p w:rsidR="00DC46C0" w:rsidRDefault="00DC46C0" w:rsidP="00DC46C0">
      <w:pPr>
        <w:rPr>
          <w:rFonts w:ascii="Arial" w:hAnsi="Arial" w:cs="Arial"/>
          <w:sz w:val="20"/>
          <w:szCs w:val="20"/>
        </w:rPr>
      </w:pPr>
      <w:r w:rsidRPr="006D5CD5">
        <w:rPr>
          <w:rFonts w:ascii="Arial" w:hAnsi="Arial" w:cs="Arial"/>
          <w:sz w:val="20"/>
          <w:szCs w:val="20"/>
        </w:rPr>
        <w:t xml:space="preserve">We appreciate the opportunity to comment. </w:t>
      </w:r>
    </w:p>
    <w:p w:rsidR="00DC46C0" w:rsidRDefault="00DC46C0" w:rsidP="00DC46C0">
      <w:pPr>
        <w:ind w:left="5760"/>
        <w:rPr>
          <w:rFonts w:ascii="Arial" w:hAnsi="Arial" w:cs="Arial"/>
          <w:sz w:val="20"/>
          <w:szCs w:val="20"/>
        </w:rPr>
      </w:pPr>
    </w:p>
    <w:p w:rsidR="006D5CD5" w:rsidRDefault="006D5CD5" w:rsidP="00DC46C0">
      <w:pPr>
        <w:ind w:left="7200"/>
        <w:rPr>
          <w:rFonts w:ascii="Arial" w:hAnsi="Arial" w:cs="Arial"/>
          <w:sz w:val="20"/>
          <w:szCs w:val="20"/>
        </w:rPr>
      </w:pPr>
      <w:r w:rsidRPr="006D5CD5">
        <w:rPr>
          <w:rFonts w:ascii="Arial" w:hAnsi="Arial" w:cs="Arial"/>
          <w:sz w:val="20"/>
          <w:szCs w:val="20"/>
        </w:rPr>
        <w:t>Sincerely,</w:t>
      </w:r>
    </w:p>
    <w:p w:rsidR="00DC46C0" w:rsidRPr="006D5CD5" w:rsidRDefault="00DC46C0" w:rsidP="00DC46C0">
      <w:pPr>
        <w:ind w:left="7200"/>
        <w:rPr>
          <w:rFonts w:ascii="Arial" w:hAnsi="Arial" w:cs="Arial"/>
          <w:sz w:val="20"/>
          <w:szCs w:val="20"/>
        </w:rPr>
      </w:pPr>
    </w:p>
    <w:p w:rsidR="006D5CD5" w:rsidRPr="006D5CD5" w:rsidRDefault="006D5CD5" w:rsidP="00DC46C0">
      <w:pPr>
        <w:ind w:left="7200"/>
        <w:rPr>
          <w:rFonts w:ascii="Arial" w:hAnsi="Arial" w:cs="Arial"/>
          <w:sz w:val="20"/>
          <w:szCs w:val="20"/>
        </w:rPr>
      </w:pPr>
      <w:r w:rsidRPr="006D5CD5">
        <w:rPr>
          <w:rFonts w:ascii="Arial" w:hAnsi="Arial" w:cs="Arial"/>
          <w:sz w:val="20"/>
          <w:szCs w:val="20"/>
        </w:rPr>
        <w:t>David Racculia</w:t>
      </w:r>
    </w:p>
    <w:p w:rsidR="00DE5CD1" w:rsidRPr="006D5CD5" w:rsidRDefault="006D5CD5" w:rsidP="00DC46C0">
      <w:pPr>
        <w:ind w:left="7200"/>
        <w:rPr>
          <w:sz w:val="20"/>
          <w:szCs w:val="20"/>
        </w:rPr>
      </w:pPr>
      <w:r w:rsidRPr="006D5CD5">
        <w:rPr>
          <w:rFonts w:ascii="Arial" w:hAnsi="Arial" w:cs="Arial"/>
          <w:sz w:val="20"/>
          <w:szCs w:val="20"/>
        </w:rPr>
        <w:t>Senior Compliance Coordinator</w:t>
      </w:r>
    </w:p>
    <w:sectPr w:rsidR="00DE5CD1" w:rsidRPr="006D5CD5" w:rsidSect="00DE5CD1">
      <w:headerReference w:type="default" r:id="rId8"/>
      <w:footerReference w:type="default" r:id="rId9"/>
      <w:pgSz w:w="12240" w:h="15840" w:code="1"/>
      <w:pgMar w:top="1010" w:right="1080" w:bottom="1440" w:left="108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A7" w:rsidRDefault="00CF3BA7">
      <w:r>
        <w:separator/>
      </w:r>
    </w:p>
  </w:endnote>
  <w:endnote w:type="continuationSeparator" w:id="0">
    <w:p w:rsidR="00CF3BA7" w:rsidRDefault="00CF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D1" w:rsidRPr="00AF329B" w:rsidRDefault="00DE5CD1" w:rsidP="00DE5CD1">
    <w:pPr>
      <w:pStyle w:val="Footer"/>
      <w:jc w:val="center"/>
      <w:rPr>
        <w:szCs w:val="18"/>
      </w:rPr>
    </w:pPr>
    <w:bookmarkStart w:id="1" w:name="OLE_LINK1"/>
    <w:bookmarkStart w:id="2" w:name="OLE_LINK2"/>
    <w:r w:rsidRPr="003B4367">
      <w:rPr>
        <w:rFonts w:ascii="Arial" w:hAnsi="Arial" w:cs="Arial"/>
        <w:b/>
        <w:sz w:val="18"/>
        <w:szCs w:val="18"/>
      </w:rPr>
      <w:t>FedLoan Servicing • 1200 North Seventh Street, Harrisburg, PA 17102</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A7" w:rsidRDefault="00CF3BA7">
      <w:r>
        <w:separator/>
      </w:r>
    </w:p>
  </w:footnote>
  <w:footnote w:type="continuationSeparator" w:id="0">
    <w:p w:rsidR="00CF3BA7" w:rsidRDefault="00CF3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D1" w:rsidRDefault="00DE5CD1" w:rsidP="00DE5CD1">
    <w:pPr>
      <w:tabs>
        <w:tab w:val="left" w:pos="5580"/>
      </w:tabs>
      <w:ind w:left="2880"/>
      <w:rPr>
        <w:rFonts w:ascii="Arial" w:hAnsi="Arial" w:cs="Arial"/>
        <w:b/>
        <w:color w:val="1C1C1C"/>
        <w:sz w:val="18"/>
        <w:szCs w:val="18"/>
      </w:rPr>
    </w:pPr>
    <w:r>
      <w:rPr>
        <w:noProof/>
        <w:szCs w:val="20"/>
      </w:rPr>
      <w:drawing>
        <wp:anchor distT="0" distB="0" distL="114300" distR="114300" simplePos="0" relativeHeight="251657728" behindDoc="1" locked="0" layoutInCell="1" allowOverlap="1" wp14:anchorId="7A34B04A" wp14:editId="525C0942">
          <wp:simplePos x="0" y="0"/>
          <wp:positionH relativeFrom="column">
            <wp:posOffset>-73025</wp:posOffset>
          </wp:positionH>
          <wp:positionV relativeFrom="paragraph">
            <wp:posOffset>0</wp:posOffset>
          </wp:positionV>
          <wp:extent cx="2020570" cy="713740"/>
          <wp:effectExtent l="0" t="0" r="0" b="0"/>
          <wp:wrapNone/>
          <wp:docPr id="7" name="Picture 7" descr="FL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S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570" cy="713740"/>
                  </a:xfrm>
                  <a:prstGeom prst="rect">
                    <a:avLst/>
                  </a:prstGeom>
                  <a:noFill/>
                </pic:spPr>
              </pic:pic>
            </a:graphicData>
          </a:graphic>
          <wp14:sizeRelH relativeFrom="page">
            <wp14:pctWidth>0</wp14:pctWidth>
          </wp14:sizeRelH>
          <wp14:sizeRelV relativeFrom="page">
            <wp14:pctHeight>0</wp14:pctHeight>
          </wp14:sizeRelV>
        </wp:anchor>
      </w:drawing>
    </w:r>
  </w:p>
  <w:p w:rsidR="00D523B7" w:rsidRPr="00C5486D" w:rsidRDefault="00D523B7" w:rsidP="00D523B7">
    <w:pPr>
      <w:tabs>
        <w:tab w:val="left" w:pos="4880"/>
      </w:tabs>
      <w:ind w:left="2880"/>
      <w:rPr>
        <w:rFonts w:ascii="Arial" w:hAnsi="Arial" w:cs="Arial"/>
        <w:b/>
        <w:color w:val="1C1C1C"/>
        <w:sz w:val="12"/>
        <w:szCs w:val="12"/>
      </w:rPr>
    </w:pPr>
  </w:p>
  <w:p w:rsidR="00D523B7" w:rsidRDefault="00D523B7" w:rsidP="00D523B7">
    <w:pPr>
      <w:ind w:left="4320"/>
      <w:rPr>
        <w:rFonts w:ascii="Arial" w:hAnsi="Arial" w:cs="Arial"/>
        <w:b/>
        <w:color w:val="1C1C1C"/>
        <w:sz w:val="18"/>
        <w:szCs w:val="18"/>
      </w:rPr>
    </w:pPr>
    <w:r>
      <w:rPr>
        <w:rFonts w:ascii="Arial" w:hAnsi="Arial" w:cs="Arial"/>
        <w:b/>
        <w:color w:val="1C1C1C"/>
        <w:sz w:val="18"/>
        <w:szCs w:val="18"/>
      </w:rPr>
      <w:t>Enterprise Risk Management Division</w:t>
    </w:r>
  </w:p>
  <w:p w:rsidR="00D523B7" w:rsidRPr="00946F37" w:rsidRDefault="00D523B7" w:rsidP="00D523B7">
    <w:pPr>
      <w:ind w:left="4320"/>
      <w:rPr>
        <w:rFonts w:ascii="Arial" w:hAnsi="Arial" w:cs="Arial"/>
        <w:b/>
        <w:color w:val="1C1C1C"/>
        <w:sz w:val="18"/>
        <w:szCs w:val="18"/>
      </w:rPr>
    </w:pPr>
    <w:r>
      <w:rPr>
        <w:rFonts w:ascii="Arial" w:hAnsi="Arial" w:cs="Arial"/>
        <w:b/>
        <w:color w:val="1C1C1C"/>
        <w:sz w:val="18"/>
        <w:szCs w:val="18"/>
      </w:rPr>
      <w:t>Compliance@aesSuccess.org</w:t>
    </w:r>
  </w:p>
  <w:p w:rsidR="00DE5CD1" w:rsidRDefault="00DE5CD1" w:rsidP="006D5CD5">
    <w:pPr>
      <w:ind w:left="43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72F7E"/>
    <w:multiLevelType w:val="hybridMultilevel"/>
    <w:tmpl w:val="56BC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D5"/>
    <w:rsid w:val="000C0176"/>
    <w:rsid w:val="000D16DA"/>
    <w:rsid w:val="00192EC2"/>
    <w:rsid w:val="001A2BBB"/>
    <w:rsid w:val="001B1D14"/>
    <w:rsid w:val="00276684"/>
    <w:rsid w:val="002A467F"/>
    <w:rsid w:val="002D21FA"/>
    <w:rsid w:val="00434C22"/>
    <w:rsid w:val="006D3246"/>
    <w:rsid w:val="006D5CD5"/>
    <w:rsid w:val="006F4344"/>
    <w:rsid w:val="007418D7"/>
    <w:rsid w:val="007E25A8"/>
    <w:rsid w:val="00875C1D"/>
    <w:rsid w:val="008B67F2"/>
    <w:rsid w:val="009B6B05"/>
    <w:rsid w:val="00A6015D"/>
    <w:rsid w:val="00A9415A"/>
    <w:rsid w:val="00AF718E"/>
    <w:rsid w:val="00B71227"/>
    <w:rsid w:val="00C13C0B"/>
    <w:rsid w:val="00C723A4"/>
    <w:rsid w:val="00CF3BA7"/>
    <w:rsid w:val="00D3047B"/>
    <w:rsid w:val="00D523B7"/>
    <w:rsid w:val="00DC46C0"/>
    <w:rsid w:val="00DE5CD1"/>
    <w:rsid w:val="00E12FBA"/>
    <w:rsid w:val="00E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15FD"/>
    <w:pPr>
      <w:tabs>
        <w:tab w:val="center" w:pos="4320"/>
        <w:tab w:val="right" w:pos="8640"/>
      </w:tabs>
    </w:pPr>
  </w:style>
  <w:style w:type="paragraph" w:styleId="Footer">
    <w:name w:val="footer"/>
    <w:basedOn w:val="Normal"/>
    <w:rsid w:val="005115FD"/>
    <w:pPr>
      <w:tabs>
        <w:tab w:val="center" w:pos="4320"/>
        <w:tab w:val="right" w:pos="8640"/>
      </w:tabs>
    </w:pPr>
  </w:style>
  <w:style w:type="paragraph" w:styleId="ListParagraph">
    <w:name w:val="List Paragraph"/>
    <w:basedOn w:val="Normal"/>
    <w:uiPriority w:val="34"/>
    <w:qFormat/>
    <w:rsid w:val="007E25A8"/>
    <w:pPr>
      <w:ind w:left="720"/>
      <w:contextualSpacing/>
    </w:pPr>
  </w:style>
  <w:style w:type="paragraph" w:styleId="BalloonText">
    <w:name w:val="Balloon Text"/>
    <w:basedOn w:val="Normal"/>
    <w:link w:val="BalloonTextChar"/>
    <w:uiPriority w:val="99"/>
    <w:semiHidden/>
    <w:unhideWhenUsed/>
    <w:rsid w:val="00E12FBA"/>
    <w:rPr>
      <w:rFonts w:ascii="Tahoma" w:hAnsi="Tahoma" w:cs="Tahoma"/>
      <w:sz w:val="16"/>
      <w:szCs w:val="16"/>
    </w:rPr>
  </w:style>
  <w:style w:type="character" w:customStyle="1" w:styleId="BalloonTextChar">
    <w:name w:val="Balloon Text Char"/>
    <w:basedOn w:val="DefaultParagraphFont"/>
    <w:link w:val="BalloonText"/>
    <w:uiPriority w:val="99"/>
    <w:semiHidden/>
    <w:rsid w:val="00E12FBA"/>
    <w:rPr>
      <w:rFonts w:ascii="Tahoma" w:hAnsi="Tahoma" w:cs="Tahoma"/>
      <w:sz w:val="16"/>
      <w:szCs w:val="16"/>
    </w:rPr>
  </w:style>
  <w:style w:type="character" w:styleId="CommentReference">
    <w:name w:val="annotation reference"/>
    <w:basedOn w:val="DefaultParagraphFont"/>
    <w:uiPriority w:val="99"/>
    <w:semiHidden/>
    <w:unhideWhenUsed/>
    <w:rsid w:val="00E12FBA"/>
    <w:rPr>
      <w:sz w:val="16"/>
      <w:szCs w:val="16"/>
    </w:rPr>
  </w:style>
  <w:style w:type="paragraph" w:styleId="CommentText">
    <w:name w:val="annotation text"/>
    <w:basedOn w:val="Normal"/>
    <w:link w:val="CommentTextChar"/>
    <w:uiPriority w:val="99"/>
    <w:semiHidden/>
    <w:unhideWhenUsed/>
    <w:rsid w:val="00E12FBA"/>
    <w:rPr>
      <w:sz w:val="20"/>
      <w:szCs w:val="20"/>
    </w:rPr>
  </w:style>
  <w:style w:type="character" w:customStyle="1" w:styleId="CommentTextChar">
    <w:name w:val="Comment Text Char"/>
    <w:basedOn w:val="DefaultParagraphFont"/>
    <w:link w:val="CommentText"/>
    <w:uiPriority w:val="99"/>
    <w:semiHidden/>
    <w:rsid w:val="00E12FBA"/>
  </w:style>
  <w:style w:type="paragraph" w:styleId="CommentSubject">
    <w:name w:val="annotation subject"/>
    <w:basedOn w:val="CommentText"/>
    <w:next w:val="CommentText"/>
    <w:link w:val="CommentSubjectChar"/>
    <w:uiPriority w:val="99"/>
    <w:semiHidden/>
    <w:unhideWhenUsed/>
    <w:rsid w:val="00E12FBA"/>
    <w:rPr>
      <w:b/>
      <w:bCs/>
    </w:rPr>
  </w:style>
  <w:style w:type="character" w:customStyle="1" w:styleId="CommentSubjectChar">
    <w:name w:val="Comment Subject Char"/>
    <w:basedOn w:val="CommentTextChar"/>
    <w:link w:val="CommentSubject"/>
    <w:uiPriority w:val="99"/>
    <w:semiHidden/>
    <w:rsid w:val="00E12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15FD"/>
    <w:pPr>
      <w:tabs>
        <w:tab w:val="center" w:pos="4320"/>
        <w:tab w:val="right" w:pos="8640"/>
      </w:tabs>
    </w:pPr>
  </w:style>
  <w:style w:type="paragraph" w:styleId="Footer">
    <w:name w:val="footer"/>
    <w:basedOn w:val="Normal"/>
    <w:rsid w:val="005115FD"/>
    <w:pPr>
      <w:tabs>
        <w:tab w:val="center" w:pos="4320"/>
        <w:tab w:val="right" w:pos="8640"/>
      </w:tabs>
    </w:pPr>
  </w:style>
  <w:style w:type="paragraph" w:styleId="ListParagraph">
    <w:name w:val="List Paragraph"/>
    <w:basedOn w:val="Normal"/>
    <w:uiPriority w:val="34"/>
    <w:qFormat/>
    <w:rsid w:val="007E25A8"/>
    <w:pPr>
      <w:ind w:left="720"/>
      <w:contextualSpacing/>
    </w:pPr>
  </w:style>
  <w:style w:type="paragraph" w:styleId="BalloonText">
    <w:name w:val="Balloon Text"/>
    <w:basedOn w:val="Normal"/>
    <w:link w:val="BalloonTextChar"/>
    <w:uiPriority w:val="99"/>
    <w:semiHidden/>
    <w:unhideWhenUsed/>
    <w:rsid w:val="00E12FBA"/>
    <w:rPr>
      <w:rFonts w:ascii="Tahoma" w:hAnsi="Tahoma" w:cs="Tahoma"/>
      <w:sz w:val="16"/>
      <w:szCs w:val="16"/>
    </w:rPr>
  </w:style>
  <w:style w:type="character" w:customStyle="1" w:styleId="BalloonTextChar">
    <w:name w:val="Balloon Text Char"/>
    <w:basedOn w:val="DefaultParagraphFont"/>
    <w:link w:val="BalloonText"/>
    <w:uiPriority w:val="99"/>
    <w:semiHidden/>
    <w:rsid w:val="00E12FBA"/>
    <w:rPr>
      <w:rFonts w:ascii="Tahoma" w:hAnsi="Tahoma" w:cs="Tahoma"/>
      <w:sz w:val="16"/>
      <w:szCs w:val="16"/>
    </w:rPr>
  </w:style>
  <w:style w:type="character" w:styleId="CommentReference">
    <w:name w:val="annotation reference"/>
    <w:basedOn w:val="DefaultParagraphFont"/>
    <w:uiPriority w:val="99"/>
    <w:semiHidden/>
    <w:unhideWhenUsed/>
    <w:rsid w:val="00E12FBA"/>
    <w:rPr>
      <w:sz w:val="16"/>
      <w:szCs w:val="16"/>
    </w:rPr>
  </w:style>
  <w:style w:type="paragraph" w:styleId="CommentText">
    <w:name w:val="annotation text"/>
    <w:basedOn w:val="Normal"/>
    <w:link w:val="CommentTextChar"/>
    <w:uiPriority w:val="99"/>
    <w:semiHidden/>
    <w:unhideWhenUsed/>
    <w:rsid w:val="00E12FBA"/>
    <w:rPr>
      <w:sz w:val="20"/>
      <w:szCs w:val="20"/>
    </w:rPr>
  </w:style>
  <w:style w:type="character" w:customStyle="1" w:styleId="CommentTextChar">
    <w:name w:val="Comment Text Char"/>
    <w:basedOn w:val="DefaultParagraphFont"/>
    <w:link w:val="CommentText"/>
    <w:uiPriority w:val="99"/>
    <w:semiHidden/>
    <w:rsid w:val="00E12FBA"/>
  </w:style>
  <w:style w:type="paragraph" w:styleId="CommentSubject">
    <w:name w:val="annotation subject"/>
    <w:basedOn w:val="CommentText"/>
    <w:next w:val="CommentText"/>
    <w:link w:val="CommentSubjectChar"/>
    <w:uiPriority w:val="99"/>
    <w:semiHidden/>
    <w:unhideWhenUsed/>
    <w:rsid w:val="00E12FBA"/>
    <w:rPr>
      <w:b/>
      <w:bCs/>
    </w:rPr>
  </w:style>
  <w:style w:type="character" w:customStyle="1" w:styleId="CommentSubjectChar">
    <w:name w:val="Comment Subject Char"/>
    <w:basedOn w:val="CommentTextChar"/>
    <w:link w:val="CommentSubject"/>
    <w:uiPriority w:val="99"/>
    <w:semiHidden/>
    <w:rsid w:val="00E12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"Click to Enter Date"</vt:lpstr>
    </vt:vector>
  </TitlesOfParts>
  <Company>AES</Company>
  <LinksUpToDate>false</LinksUpToDate>
  <CharactersWithSpaces>4834</CharactersWithSpaces>
  <SharedDoc>false</SharedDoc>
  <HLinks>
    <vt:vector size="12" baseType="variant">
      <vt:variant>
        <vt:i4>3801111</vt:i4>
      </vt:variant>
      <vt:variant>
        <vt:i4>-1</vt:i4>
      </vt:variant>
      <vt:variant>
        <vt:i4>2054</vt:i4>
      </vt:variant>
      <vt:variant>
        <vt:i4>1</vt:i4>
      </vt:variant>
      <vt:variant>
        <vt:lpwstr>Chlorine-Free-logo-25</vt:lpwstr>
      </vt:variant>
      <vt:variant>
        <vt:lpwstr/>
      </vt:variant>
      <vt:variant>
        <vt:i4>6815795</vt:i4>
      </vt:variant>
      <vt:variant>
        <vt:i4>-1</vt:i4>
      </vt:variant>
      <vt:variant>
        <vt:i4>2055</vt:i4>
      </vt:variant>
      <vt:variant>
        <vt:i4>1</vt:i4>
      </vt:variant>
      <vt:variant>
        <vt:lpwstr>FLS_Color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Enter Date"</dc:title>
  <dc:creator>Bethany Bosha</dc:creator>
  <cp:lastModifiedBy>SYSTEM</cp:lastModifiedBy>
  <cp:revision>2</cp:revision>
  <cp:lastPrinted>2019-02-13T20:13:00Z</cp:lastPrinted>
  <dcterms:created xsi:type="dcterms:W3CDTF">2019-02-27T16:10:00Z</dcterms:created>
  <dcterms:modified xsi:type="dcterms:W3CDTF">2019-02-27T16:10:00Z</dcterms:modified>
</cp:coreProperties>
</file>