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C37A5" w14:textId="77777777" w:rsidR="00DC1C23" w:rsidRDefault="00DC1C23" w:rsidP="52C3C1AE">
      <w:pPr>
        <w:tabs>
          <w:tab w:val="center" w:pos="4680"/>
        </w:tabs>
        <w:suppressAutoHyphens/>
        <w:rPr>
          <w:b/>
          <w:sz w:val="24"/>
        </w:rPr>
      </w:pPr>
      <w:bookmarkStart w:id="0" w:name="_GoBack"/>
      <w:bookmarkEnd w:id="0"/>
      <w:r>
        <w:rPr>
          <w:sz w:val="24"/>
        </w:rPr>
        <w:tab/>
      </w:r>
      <w:r w:rsidRPr="00846E18">
        <w:rPr>
          <w:b/>
          <w:sz w:val="24"/>
        </w:rPr>
        <w:t>THE SUPPORTING STATEMENT</w:t>
      </w:r>
    </w:p>
    <w:p w14:paraId="09AC37A6" w14:textId="77777777" w:rsidR="004C0FDC" w:rsidRPr="00846E18" w:rsidRDefault="004C0FDC" w:rsidP="52C3C1AE">
      <w:pPr>
        <w:tabs>
          <w:tab w:val="center" w:pos="4680"/>
        </w:tabs>
        <w:suppressAutoHyphens/>
        <w:jc w:val="center"/>
        <w:rPr>
          <w:b/>
          <w:sz w:val="24"/>
        </w:rPr>
      </w:pPr>
      <w:r>
        <w:rPr>
          <w:b/>
          <w:sz w:val="24"/>
        </w:rPr>
        <w:t>OCSE-157 (OMB No. 0970-0177)</w:t>
      </w:r>
    </w:p>
    <w:p w14:paraId="09AC37A7" w14:textId="77777777" w:rsidR="00DC1C23" w:rsidRDefault="00DC1C23" w:rsidP="52C3C1AE">
      <w:pPr>
        <w:tabs>
          <w:tab w:val="left" w:pos="-720"/>
        </w:tabs>
        <w:suppressAutoHyphens/>
        <w:rPr>
          <w:sz w:val="24"/>
        </w:rPr>
      </w:pPr>
    </w:p>
    <w:p w14:paraId="09AC37A8" w14:textId="77777777" w:rsidR="00DC1C23" w:rsidRDefault="00DC1C23" w:rsidP="52C3C1AE">
      <w:pPr>
        <w:tabs>
          <w:tab w:val="left" w:pos="-720"/>
        </w:tabs>
        <w:suppressAutoHyphens/>
        <w:rPr>
          <w:b/>
          <w:sz w:val="24"/>
        </w:rPr>
      </w:pPr>
    </w:p>
    <w:p w14:paraId="09AC37A9" w14:textId="77777777" w:rsidR="00DC1C23" w:rsidRDefault="00DC1C23" w:rsidP="52C3C1AE">
      <w:pPr>
        <w:tabs>
          <w:tab w:val="left" w:pos="-720"/>
        </w:tabs>
        <w:suppressAutoHyphens/>
        <w:rPr>
          <w:b/>
          <w:sz w:val="24"/>
        </w:rPr>
      </w:pPr>
    </w:p>
    <w:p w14:paraId="09AC37AA" w14:textId="77777777" w:rsidR="002C3C4F" w:rsidRPr="002C3C4F" w:rsidRDefault="002C3C4F" w:rsidP="52C3C1AE">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09AC37A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Circumstances Making the Collection of Information Necessary </w:t>
      </w:r>
    </w:p>
    <w:p w14:paraId="09AC37AC" w14:textId="77777777" w:rsidR="009C0B24" w:rsidRPr="009C0B24"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The Federal Office of Child Support Enforcement (OCSE) oversees administration of the Child Support Enforcement program in the 54 States and jurisdictions that participate in it.  The Federal government sets program standards and policy, evaluates States performance in conducting their program, and offers technical assistance and training to the States.  It also conducts audits of State program activities.</w:t>
      </w:r>
    </w:p>
    <w:p w14:paraId="09AC37AD" w14:textId="77777777" w:rsidR="009C0B24" w:rsidRPr="009C0B24"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The Federal government receives data from the States.  They then compile and evaluate these data for presentation in the Annual Data Report.  The authority to collect and report information requested on this form is found in sections 452 (a) (4), 452 (a) (5), 452 (a) (10), and 469 of the Social Security Act (the Act) [42 u.s.c 652 and 669] (see Attachment A)</w:t>
      </w:r>
    </w:p>
    <w:p w14:paraId="09AC37AE" w14:textId="77777777" w:rsidR="009C0B24" w:rsidRPr="009C0B24"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State agencies administering or supervising the administration of State plans under title IV-D of the Social Security Act are required by law to maintain a full record of child support collections and expenditures and have an adequate reporting system to provide information as requested by the Department.  Under legislation at section 452 (a) (10) of the Act, OCSE is required to maintain records of activities performed and reported by State Child support Enforcement agencies for use in an annual report to Congress.  </w:t>
      </w:r>
    </w:p>
    <w:p w14:paraId="09AC37AF" w14:textId="77777777" w:rsidR="009C0B24" w:rsidRPr="002C3C4F" w:rsidRDefault="009C0B24" w:rsidP="52C3C1AE">
      <w:pPr>
        <w:widowControl/>
        <w:spacing w:before="100" w:beforeAutospacing="1" w:after="100" w:afterAutospacing="1"/>
        <w:rPr>
          <w:rFonts w:ascii="Times New Roman" w:hAnsi="Times New Roman"/>
          <w:snapToGrid/>
          <w:sz w:val="24"/>
          <w:szCs w:val="24"/>
        </w:rPr>
      </w:pPr>
      <w:r w:rsidRPr="009C0B24">
        <w:rPr>
          <w:rFonts w:ascii="Times New Roman" w:hAnsi="Times New Roman"/>
          <w:snapToGrid/>
          <w:sz w:val="24"/>
          <w:szCs w:val="24"/>
        </w:rPr>
        <w:t>Attachment B contains the collection instruments and instruction for completing it.</w:t>
      </w:r>
    </w:p>
    <w:p w14:paraId="09AC37B0"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Purpose and Use of the Information Collection </w:t>
      </w:r>
    </w:p>
    <w:p w14:paraId="09AC37B1" w14:textId="77777777" w:rsidR="009C0B24"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The data collected by form OCSE-157 are used to prepare the annual report.  In addition, these data are used to determine performance indicators for establishing the effectiveness and efficiency of State child support programs.  </w:t>
      </w:r>
    </w:p>
    <w:p w14:paraId="09AC37B2" w14:textId="77777777" w:rsidR="009C0B24" w:rsidRPr="009C0B24" w:rsidRDefault="009C0B24" w:rsidP="004C7A9B">
      <w:pPr>
        <w:widowControl/>
        <w:spacing w:before="100" w:beforeAutospacing="1" w:after="100" w:afterAutospacing="1"/>
        <w:ind w:firstLine="720"/>
        <w:rPr>
          <w:rFonts w:ascii="Times New Roman" w:hAnsi="Times New Roman"/>
          <w:snapToGrid/>
          <w:sz w:val="24"/>
          <w:szCs w:val="24"/>
        </w:rPr>
      </w:pPr>
      <w:r w:rsidRPr="009C0B24">
        <w:rPr>
          <w:rFonts w:ascii="Times New Roman" w:hAnsi="Times New Roman"/>
          <w:snapToGrid/>
          <w:sz w:val="24"/>
          <w:szCs w:val="24"/>
        </w:rPr>
        <w:t>The data collected on this form will be used to:</w:t>
      </w:r>
    </w:p>
    <w:p w14:paraId="09AC37B3" w14:textId="77777777" w:rsidR="009C0B24" w:rsidRPr="009C0B24" w:rsidRDefault="00DF1F66" w:rsidP="52C3C1AE">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a. respond</w:t>
      </w:r>
      <w:r w:rsidR="009C0B24" w:rsidRPr="009C0B24">
        <w:rPr>
          <w:rFonts w:ascii="Times New Roman" w:hAnsi="Times New Roman"/>
          <w:snapToGrid/>
          <w:sz w:val="24"/>
          <w:szCs w:val="24"/>
        </w:rPr>
        <w:t xml:space="preserve"> to Congressional and public inquiries</w:t>
      </w:r>
      <w:r w:rsidR="00E6793D">
        <w:rPr>
          <w:rFonts w:ascii="Times New Roman" w:hAnsi="Times New Roman"/>
          <w:snapToGrid/>
          <w:sz w:val="24"/>
          <w:szCs w:val="24"/>
        </w:rPr>
        <w:t xml:space="preserve"> and report on the status of the child support program in the Annual Report to Congress</w:t>
      </w:r>
      <w:r w:rsidR="009C0B24" w:rsidRPr="009C0B24">
        <w:rPr>
          <w:rFonts w:ascii="Times New Roman" w:hAnsi="Times New Roman"/>
          <w:snapToGrid/>
          <w:sz w:val="24"/>
          <w:szCs w:val="24"/>
        </w:rPr>
        <w:t>;</w:t>
      </w:r>
    </w:p>
    <w:p w14:paraId="09AC37B4" w14:textId="22C2528D" w:rsidR="009C0B24" w:rsidRDefault="007844F5" w:rsidP="52C3C1AE">
      <w:pPr>
        <w:widowControl/>
        <w:spacing w:before="100" w:beforeAutospacing="1" w:after="100" w:afterAutospacing="1"/>
        <w:ind w:firstLine="720"/>
        <w:rPr>
          <w:rFonts w:ascii="Times New Roman" w:hAnsi="Times New Roman"/>
          <w:snapToGrid/>
          <w:sz w:val="24"/>
          <w:szCs w:val="24"/>
        </w:rPr>
      </w:pPr>
      <w:r w:rsidRPr="009C0B24">
        <w:rPr>
          <w:rFonts w:ascii="Times New Roman" w:hAnsi="Times New Roman"/>
          <w:snapToGrid/>
          <w:sz w:val="24"/>
          <w:szCs w:val="24"/>
        </w:rPr>
        <w:t>b. calculate</w:t>
      </w:r>
      <w:r w:rsidR="009C0B24" w:rsidRPr="009C0B24">
        <w:rPr>
          <w:rFonts w:ascii="Times New Roman" w:hAnsi="Times New Roman"/>
          <w:snapToGrid/>
          <w:sz w:val="24"/>
          <w:szCs w:val="24"/>
        </w:rPr>
        <w:t xml:space="preserve"> budget estimates and impact statements of proposed legislation;</w:t>
      </w:r>
      <w:r w:rsidR="009C0B24">
        <w:rPr>
          <w:rFonts w:ascii="Times New Roman" w:hAnsi="Times New Roman"/>
          <w:snapToGrid/>
          <w:sz w:val="24"/>
          <w:szCs w:val="24"/>
        </w:rPr>
        <w:tab/>
      </w:r>
    </w:p>
    <w:p w14:paraId="09AC37B5" w14:textId="1CE87D09" w:rsidR="009C0B24" w:rsidRPr="009C0B24" w:rsidRDefault="007844F5" w:rsidP="52C3C1AE">
      <w:pPr>
        <w:widowControl/>
        <w:spacing w:before="100" w:beforeAutospacing="1" w:after="100" w:afterAutospacing="1"/>
        <w:ind w:firstLine="720"/>
        <w:rPr>
          <w:rFonts w:ascii="Times New Roman" w:hAnsi="Times New Roman"/>
          <w:snapToGrid/>
          <w:sz w:val="24"/>
          <w:szCs w:val="24"/>
        </w:rPr>
      </w:pPr>
      <w:r w:rsidRPr="009C0B24">
        <w:rPr>
          <w:rFonts w:ascii="Times New Roman" w:hAnsi="Times New Roman"/>
          <w:snapToGrid/>
          <w:sz w:val="24"/>
          <w:szCs w:val="24"/>
        </w:rPr>
        <w:t>c. evaluate</w:t>
      </w:r>
      <w:r w:rsidR="009C0B24" w:rsidRPr="009C0B24">
        <w:rPr>
          <w:rFonts w:ascii="Times New Roman" w:hAnsi="Times New Roman"/>
          <w:snapToGrid/>
          <w:sz w:val="24"/>
          <w:szCs w:val="24"/>
        </w:rPr>
        <w:t xml:space="preserve"> areas where technical assistance may be required by a State;</w:t>
      </w:r>
    </w:p>
    <w:p w14:paraId="09AC37B6" w14:textId="25955896" w:rsidR="009C0B24" w:rsidRPr="009C0B24" w:rsidRDefault="007844F5" w:rsidP="52C3C1AE">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d. provide</w:t>
      </w:r>
      <w:r w:rsidR="009C0B24" w:rsidRPr="009C0B24">
        <w:rPr>
          <w:rFonts w:ascii="Times New Roman" w:hAnsi="Times New Roman"/>
          <w:snapToGrid/>
          <w:sz w:val="24"/>
          <w:szCs w:val="24"/>
        </w:rPr>
        <w:t xml:space="preserve"> Federal auditors with an indication of where their efforts should be concentrated during compliance audits; </w:t>
      </w:r>
    </w:p>
    <w:p w14:paraId="09AC37B7" w14:textId="2CBA6E44" w:rsidR="009C0B24" w:rsidRPr="009C0B24" w:rsidRDefault="007844F5" w:rsidP="52C3C1AE">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lastRenderedPageBreak/>
        <w:t>e. compute</w:t>
      </w:r>
      <w:r w:rsidR="009C0B24" w:rsidRPr="009C0B24">
        <w:rPr>
          <w:rFonts w:ascii="Times New Roman" w:hAnsi="Times New Roman"/>
          <w:snapToGrid/>
          <w:sz w:val="24"/>
          <w:szCs w:val="24"/>
        </w:rPr>
        <w:t xml:space="preserve"> performance indicators used as part of the assessment of State program performance for audit penalty purposes; and</w:t>
      </w:r>
    </w:p>
    <w:p w14:paraId="09AC37B8" w14:textId="184CDD3E" w:rsidR="009C0B24" w:rsidRPr="009C0B24" w:rsidRDefault="007844F5" w:rsidP="52C3C1AE">
      <w:pPr>
        <w:widowControl/>
        <w:spacing w:before="100" w:beforeAutospacing="1" w:after="100" w:afterAutospacing="1"/>
        <w:ind w:firstLine="720"/>
        <w:rPr>
          <w:rFonts w:ascii="Times New Roman" w:hAnsi="Times New Roman"/>
          <w:snapToGrid/>
          <w:sz w:val="24"/>
          <w:szCs w:val="24"/>
        </w:rPr>
      </w:pPr>
      <w:r w:rsidRPr="009C0B24">
        <w:rPr>
          <w:rFonts w:ascii="Times New Roman" w:hAnsi="Times New Roman"/>
          <w:snapToGrid/>
          <w:sz w:val="24"/>
          <w:szCs w:val="24"/>
        </w:rPr>
        <w:t>f. compute</w:t>
      </w:r>
      <w:r w:rsidR="009C0B24" w:rsidRPr="009C0B24">
        <w:rPr>
          <w:rFonts w:ascii="Times New Roman" w:hAnsi="Times New Roman"/>
          <w:snapToGrid/>
          <w:sz w:val="24"/>
          <w:szCs w:val="24"/>
        </w:rPr>
        <w:t xml:space="preserve"> individual State incentive payments.</w:t>
      </w:r>
    </w:p>
    <w:p w14:paraId="09AC37B9"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Use of Improved Information Technology and Burden Reduction </w:t>
      </w:r>
    </w:p>
    <w:p w14:paraId="09AC37BA" w14:textId="77777777" w:rsidR="009C0B24" w:rsidRPr="002C3C4F"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The Administration for Child and Families developed the Online Data Collection (OLDC) System to allow States to submit their OCSE-157 reports electronically through the HHS website.  States are encouraged to use this online system since it is the quickest way of submitting information to OCSE.</w:t>
      </w:r>
    </w:p>
    <w:p w14:paraId="09AC37B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Efforts to Identify Duplication and Use of Similar Information </w:t>
      </w:r>
    </w:p>
    <w:p w14:paraId="09AC37BC" w14:textId="2E8196FD" w:rsidR="009C0B24" w:rsidRPr="002C3C4F"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This form will be the only method used by States to report child support information needed to compute States incentives and penalty performance levels and other required program data.  No data are reported elsewhere and there is no other form in use by OCSE/</w:t>
      </w:r>
      <w:r w:rsidR="007844F5" w:rsidRPr="009C0B24">
        <w:rPr>
          <w:rFonts w:ascii="Times New Roman" w:hAnsi="Times New Roman"/>
          <w:snapToGrid/>
          <w:sz w:val="24"/>
          <w:szCs w:val="24"/>
        </w:rPr>
        <w:t>ACF that</w:t>
      </w:r>
      <w:r w:rsidRPr="009C0B24">
        <w:rPr>
          <w:rFonts w:ascii="Times New Roman" w:hAnsi="Times New Roman"/>
          <w:snapToGrid/>
          <w:sz w:val="24"/>
          <w:szCs w:val="24"/>
        </w:rPr>
        <w:t xml:space="preserve"> collects similar State information.</w:t>
      </w:r>
    </w:p>
    <w:p w14:paraId="09AC37BD"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Impact on Small Businesses or Other Small Entities </w:t>
      </w:r>
    </w:p>
    <w:p w14:paraId="09AC37BE" w14:textId="77777777" w:rsidR="009C0B24" w:rsidRPr="002C3C4F"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This reporting requirement is imposed on State government agencies.  There are no small business contacted to complete this form.</w:t>
      </w:r>
    </w:p>
    <w:p w14:paraId="09AC37BF"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Consequences of Collecting the Information Less Frequently </w:t>
      </w:r>
    </w:p>
    <w:p w14:paraId="09AC37C0" w14:textId="3EF55867" w:rsidR="009C0B24" w:rsidRPr="002C3C4F" w:rsidRDefault="009C0B24" w:rsidP="004C7A9B">
      <w:pPr>
        <w:widowControl/>
        <w:spacing w:before="100" w:beforeAutospacing="1" w:after="100" w:afterAutospacing="1"/>
        <w:ind w:left="720"/>
        <w:rPr>
          <w:rFonts w:ascii="Times New Roman" w:hAnsi="Times New Roman"/>
          <w:snapToGrid/>
          <w:sz w:val="24"/>
          <w:szCs w:val="24"/>
        </w:rPr>
      </w:pPr>
      <w:r w:rsidRPr="009C0B24">
        <w:rPr>
          <w:rFonts w:ascii="Times New Roman" w:hAnsi="Times New Roman"/>
          <w:snapToGrid/>
          <w:sz w:val="24"/>
          <w:szCs w:val="24"/>
        </w:rPr>
        <w:t xml:space="preserve">The data collected in OCSE-157 are used annually by OCSE to evaluate State </w:t>
      </w:r>
      <w:r w:rsidR="007844F5" w:rsidRPr="009C0B24">
        <w:rPr>
          <w:rFonts w:ascii="Times New Roman" w:hAnsi="Times New Roman"/>
          <w:snapToGrid/>
          <w:sz w:val="24"/>
          <w:szCs w:val="24"/>
        </w:rPr>
        <w:t>programs, to identify areas where program improvement may be required,</w:t>
      </w:r>
      <w:r w:rsidRPr="009C0B24">
        <w:rPr>
          <w:rFonts w:ascii="Times New Roman" w:hAnsi="Times New Roman"/>
          <w:snapToGrid/>
          <w:sz w:val="24"/>
          <w:szCs w:val="24"/>
        </w:rPr>
        <w:t xml:space="preserve"> and to set in motion tailored strategies for achieving such improvement.  Failure to collect this data would preclude the Department from monitoring and evaluating the success of the program and would prevent the Department from </w:t>
      </w:r>
      <w:r w:rsidR="007844F5" w:rsidRPr="009C0B24">
        <w:rPr>
          <w:rFonts w:ascii="Times New Roman" w:hAnsi="Times New Roman"/>
          <w:snapToGrid/>
          <w:sz w:val="24"/>
          <w:szCs w:val="24"/>
        </w:rPr>
        <w:t>complying</w:t>
      </w:r>
      <w:r w:rsidRPr="009C0B24">
        <w:rPr>
          <w:rFonts w:ascii="Times New Roman" w:hAnsi="Times New Roman"/>
          <w:snapToGrid/>
          <w:sz w:val="24"/>
          <w:szCs w:val="24"/>
        </w:rPr>
        <w:t xml:space="preserve"> with annual reporting for penalty purposes.  It would also preclude the computation of performance indicators and incentive payments.</w:t>
      </w:r>
    </w:p>
    <w:p w14:paraId="09AC37C1" w14:textId="77777777" w:rsidR="002C3C4F" w:rsidRPr="00691028" w:rsidRDefault="002C3C4F" w:rsidP="004C7A9B">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Special Circumstances Relating to the Guidelines of 5 CFR 1320.5 </w:t>
      </w:r>
    </w:p>
    <w:p w14:paraId="09AC37C2" w14:textId="77777777" w:rsidR="009C0B24" w:rsidRPr="002C3C4F" w:rsidRDefault="00535CEE" w:rsidP="00C43808">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This collection is conducted in a manner consistent with guidelines in 5 CFR 1320.5.  There are no special circumstances.</w:t>
      </w:r>
    </w:p>
    <w:p w14:paraId="09AC37C3"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Comments in Response to the Federal Register Notice and Efforts to Consult Outside the Agency </w:t>
      </w:r>
    </w:p>
    <w:p w14:paraId="61EE0FEA" w14:textId="1E88B05D" w:rsidR="00B24F50" w:rsidRPr="00B24F50" w:rsidRDefault="00B24F50" w:rsidP="004C7A9B">
      <w:pPr>
        <w:widowControl/>
        <w:spacing w:before="100" w:beforeAutospacing="1" w:after="100" w:afterAutospacing="1"/>
        <w:ind w:left="720"/>
        <w:rPr>
          <w:rFonts w:ascii="Times New Roman" w:hAnsi="Times New Roman"/>
          <w:snapToGrid/>
          <w:sz w:val="24"/>
          <w:szCs w:val="24"/>
        </w:rPr>
      </w:pPr>
      <w:r w:rsidRPr="00B24F50">
        <w:rPr>
          <w:rFonts w:ascii="Times New Roman" w:hAnsi="Times New Roman"/>
          <w:snapToGrid/>
          <w:sz w:val="24"/>
          <w:szCs w:val="24"/>
        </w:rPr>
        <w:t>The required 60-day notice was published in the Fe</w:t>
      </w:r>
      <w:r w:rsidR="00835C5E">
        <w:rPr>
          <w:rFonts w:ascii="Times New Roman" w:hAnsi="Times New Roman"/>
          <w:snapToGrid/>
          <w:sz w:val="24"/>
          <w:szCs w:val="24"/>
        </w:rPr>
        <w:t>deral Register on December 13, 2017, Volume 82, Number 238, on page 58615</w:t>
      </w:r>
      <w:r w:rsidRPr="00B24F50">
        <w:rPr>
          <w:rFonts w:ascii="Times New Roman" w:hAnsi="Times New Roman"/>
          <w:snapToGrid/>
          <w:sz w:val="24"/>
          <w:szCs w:val="24"/>
        </w:rPr>
        <w:t xml:space="preserve">, soliciting comments on the information </w:t>
      </w:r>
      <w:r w:rsidRPr="00B24F50">
        <w:rPr>
          <w:rFonts w:ascii="Times New Roman" w:hAnsi="Times New Roman"/>
          <w:snapToGrid/>
          <w:sz w:val="24"/>
          <w:szCs w:val="24"/>
        </w:rPr>
        <w:lastRenderedPageBreak/>
        <w:t>collection. In addition, a notice was sent out about the opportunity to comment to the child support enforcement community via</w:t>
      </w:r>
      <w:r w:rsidR="00835C5E">
        <w:rPr>
          <w:rFonts w:ascii="Times New Roman" w:hAnsi="Times New Roman"/>
          <w:snapToGrid/>
          <w:sz w:val="24"/>
          <w:szCs w:val="24"/>
        </w:rPr>
        <w:t xml:space="preserve"> a Dear Colleague Letter (DCL-17</w:t>
      </w:r>
      <w:r w:rsidRPr="00B24F50">
        <w:rPr>
          <w:rFonts w:ascii="Times New Roman" w:hAnsi="Times New Roman"/>
          <w:snapToGrid/>
          <w:sz w:val="24"/>
          <w:szCs w:val="24"/>
        </w:rPr>
        <w:t>-12).</w:t>
      </w:r>
    </w:p>
    <w:p w14:paraId="09AC37C4" w14:textId="2AF3C65A" w:rsidR="00535CEE" w:rsidRPr="002C3C4F" w:rsidRDefault="00B24F50" w:rsidP="00835C5E">
      <w:pPr>
        <w:widowControl/>
        <w:spacing w:before="100" w:beforeAutospacing="1" w:after="100" w:afterAutospacing="1"/>
        <w:ind w:left="720"/>
        <w:rPr>
          <w:rFonts w:ascii="Times New Roman" w:hAnsi="Times New Roman"/>
          <w:snapToGrid/>
          <w:sz w:val="24"/>
          <w:szCs w:val="24"/>
        </w:rPr>
      </w:pPr>
      <w:r w:rsidRPr="00B24F50">
        <w:rPr>
          <w:rFonts w:ascii="Times New Roman" w:hAnsi="Times New Roman"/>
          <w:snapToGrid/>
          <w:sz w:val="24"/>
          <w:szCs w:val="24"/>
        </w:rPr>
        <w:t>OCSE received numerous, subst</w:t>
      </w:r>
      <w:r w:rsidR="00835C5E">
        <w:rPr>
          <w:rFonts w:ascii="Times New Roman" w:hAnsi="Times New Roman"/>
          <w:snapToGrid/>
          <w:sz w:val="24"/>
          <w:szCs w:val="24"/>
        </w:rPr>
        <w:t>antive written comments from 15</w:t>
      </w:r>
      <w:r>
        <w:rPr>
          <w:rFonts w:ascii="Times New Roman" w:hAnsi="Times New Roman"/>
          <w:snapToGrid/>
          <w:sz w:val="24"/>
          <w:szCs w:val="24"/>
        </w:rPr>
        <w:t xml:space="preserve"> states</w:t>
      </w:r>
      <w:r w:rsidRPr="00B24F50">
        <w:rPr>
          <w:rFonts w:ascii="Times New Roman" w:hAnsi="Times New Roman"/>
          <w:snapToGrid/>
          <w:sz w:val="24"/>
          <w:szCs w:val="24"/>
        </w:rPr>
        <w:t>. The comments and suggestions were carefully a</w:t>
      </w:r>
      <w:r>
        <w:rPr>
          <w:rFonts w:ascii="Times New Roman" w:hAnsi="Times New Roman"/>
          <w:snapToGrid/>
          <w:sz w:val="24"/>
          <w:szCs w:val="24"/>
        </w:rPr>
        <w:t xml:space="preserve">nalyzed by a group of </w:t>
      </w:r>
      <w:r w:rsidRPr="00B24F50">
        <w:rPr>
          <w:rFonts w:ascii="Times New Roman" w:hAnsi="Times New Roman"/>
          <w:snapToGrid/>
          <w:sz w:val="24"/>
          <w:szCs w:val="24"/>
        </w:rPr>
        <w:t>federal staff who met weekly for approximately five month</w:t>
      </w:r>
      <w:r>
        <w:rPr>
          <w:rFonts w:ascii="Times New Roman" w:hAnsi="Times New Roman"/>
          <w:snapToGrid/>
          <w:sz w:val="24"/>
          <w:szCs w:val="24"/>
        </w:rPr>
        <w:t>s. OCSE updated the revised instructions</w:t>
      </w:r>
      <w:r w:rsidRPr="00B24F50">
        <w:rPr>
          <w:rFonts w:ascii="Times New Roman" w:hAnsi="Times New Roman"/>
          <w:snapToGrid/>
          <w:sz w:val="24"/>
          <w:szCs w:val="24"/>
        </w:rPr>
        <w:t xml:space="preserve"> based on this thorough review.  Attachment 2 - provides a list of the comments/recommendations as well as OCSE’s response to the comments. </w:t>
      </w:r>
      <w:r>
        <w:rPr>
          <w:rFonts w:ascii="Times New Roman" w:hAnsi="Times New Roman"/>
          <w:snapToGrid/>
          <w:sz w:val="24"/>
          <w:szCs w:val="24"/>
        </w:rPr>
        <w:t xml:space="preserve">A number of comments supported the </w:t>
      </w:r>
      <w:r w:rsidR="00835C5E">
        <w:rPr>
          <w:rFonts w:ascii="Times New Roman" w:hAnsi="Times New Roman"/>
          <w:snapToGrid/>
          <w:sz w:val="24"/>
          <w:szCs w:val="24"/>
        </w:rPr>
        <w:t xml:space="preserve">clarifications made to the instructions. </w:t>
      </w:r>
    </w:p>
    <w:p w14:paraId="09AC37C5"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of Any Payment or Gift to Respondents </w:t>
      </w:r>
    </w:p>
    <w:p w14:paraId="09AC37C6" w14:textId="1CC7D287" w:rsidR="00535CEE" w:rsidRPr="002C3C4F" w:rsidRDefault="00535CEE" w:rsidP="00835C5E">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 xml:space="preserve">No payments or other remuneration to respondents </w:t>
      </w:r>
      <w:r w:rsidR="007844F5" w:rsidRPr="00535CEE">
        <w:rPr>
          <w:rFonts w:ascii="Times New Roman" w:hAnsi="Times New Roman"/>
          <w:snapToGrid/>
          <w:sz w:val="24"/>
          <w:szCs w:val="24"/>
        </w:rPr>
        <w:t>is</w:t>
      </w:r>
      <w:r w:rsidRPr="00535CEE">
        <w:rPr>
          <w:rFonts w:ascii="Times New Roman" w:hAnsi="Times New Roman"/>
          <w:snapToGrid/>
          <w:sz w:val="24"/>
          <w:szCs w:val="24"/>
        </w:rPr>
        <w:t xml:space="preserve"> made for the collection of this information.</w:t>
      </w:r>
    </w:p>
    <w:p w14:paraId="09AC37C7"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Assurance of Confidentiality Provided to Respondents </w:t>
      </w:r>
    </w:p>
    <w:p w14:paraId="09AC37C8" w14:textId="26F95A31" w:rsidR="00535CEE" w:rsidRPr="002C3C4F" w:rsidRDefault="00535CEE" w:rsidP="00835C5E">
      <w:pPr>
        <w:widowControl/>
        <w:spacing w:before="100" w:beforeAutospacing="1" w:after="100" w:afterAutospacing="1"/>
        <w:ind w:firstLine="720"/>
        <w:rPr>
          <w:rFonts w:ascii="Times New Roman" w:hAnsi="Times New Roman"/>
          <w:snapToGrid/>
          <w:sz w:val="24"/>
          <w:szCs w:val="24"/>
        </w:rPr>
      </w:pPr>
      <w:r w:rsidRPr="00535CEE">
        <w:rPr>
          <w:rFonts w:ascii="Times New Roman" w:hAnsi="Times New Roman"/>
          <w:snapToGrid/>
          <w:sz w:val="24"/>
          <w:szCs w:val="24"/>
        </w:rPr>
        <w:t xml:space="preserve">The data reported are considered </w:t>
      </w:r>
      <w:r w:rsidR="007844F5" w:rsidRPr="00535CEE">
        <w:rPr>
          <w:rFonts w:ascii="Times New Roman" w:hAnsi="Times New Roman"/>
          <w:snapToGrid/>
          <w:sz w:val="24"/>
          <w:szCs w:val="24"/>
        </w:rPr>
        <w:t>public</w:t>
      </w:r>
      <w:r w:rsidRPr="00535CEE">
        <w:rPr>
          <w:rFonts w:ascii="Times New Roman" w:hAnsi="Times New Roman"/>
          <w:snapToGrid/>
          <w:sz w:val="24"/>
          <w:szCs w:val="24"/>
        </w:rPr>
        <w:t xml:space="preserve"> information.</w:t>
      </w:r>
    </w:p>
    <w:p w14:paraId="09AC37C9"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Justification for Sensitive Questions </w:t>
      </w:r>
    </w:p>
    <w:p w14:paraId="09AC37CA" w14:textId="00B050B8" w:rsidR="00535CEE" w:rsidRPr="002C3C4F" w:rsidRDefault="00535CEE" w:rsidP="00835C5E">
      <w:pPr>
        <w:widowControl/>
        <w:spacing w:before="100" w:beforeAutospacing="1" w:after="100" w:afterAutospacing="1"/>
        <w:ind w:left="720"/>
        <w:rPr>
          <w:rFonts w:ascii="Times New Roman" w:hAnsi="Times New Roman"/>
          <w:snapToGrid/>
          <w:sz w:val="24"/>
          <w:szCs w:val="24"/>
        </w:rPr>
      </w:pPr>
      <w:r w:rsidRPr="00535CEE">
        <w:rPr>
          <w:rFonts w:ascii="Times New Roman" w:hAnsi="Times New Roman"/>
          <w:snapToGrid/>
          <w:sz w:val="24"/>
          <w:szCs w:val="24"/>
        </w:rPr>
        <w:t xml:space="preserve">Data are reported only on an aggregate basis.  There is no </w:t>
      </w:r>
      <w:r w:rsidR="00835C5E">
        <w:rPr>
          <w:rFonts w:ascii="Times New Roman" w:hAnsi="Times New Roman"/>
          <w:snapToGrid/>
          <w:sz w:val="24"/>
          <w:szCs w:val="24"/>
        </w:rPr>
        <w:t xml:space="preserve">personal information or data of </w:t>
      </w:r>
      <w:r w:rsidRPr="00535CEE">
        <w:rPr>
          <w:rFonts w:ascii="Times New Roman" w:hAnsi="Times New Roman"/>
          <w:snapToGrid/>
          <w:sz w:val="24"/>
          <w:szCs w:val="24"/>
        </w:rPr>
        <w:t>a sensitive nature being collected on this form.</w:t>
      </w:r>
    </w:p>
    <w:p w14:paraId="09AC37CB"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Annualized Burden Hours and Costs </w:t>
      </w:r>
    </w:p>
    <w:p w14:paraId="09AC37CC" w14:textId="77777777" w:rsidR="00C64833" w:rsidRDefault="00C64833" w:rsidP="52C3C1AE">
      <w:pPr>
        <w:tabs>
          <w:tab w:val="left" w:pos="-720"/>
        </w:tabs>
        <w:suppressAutoHyphens/>
        <w:ind w:left="360"/>
        <w:rPr>
          <w:b/>
          <w:noProof/>
          <w:sz w:val="24"/>
        </w:rPr>
      </w:pPr>
    </w:p>
    <w:p w14:paraId="09AC37CD" w14:textId="77777777" w:rsidR="00C64833" w:rsidRPr="00835C5E" w:rsidRDefault="00C64833" w:rsidP="52C3C1AE">
      <w:pPr>
        <w:tabs>
          <w:tab w:val="left" w:pos="-720"/>
        </w:tabs>
        <w:suppressAutoHyphens/>
        <w:ind w:left="720"/>
        <w:rPr>
          <w:rFonts w:ascii="Times New Roman" w:hAnsi="Times New Roman"/>
          <w:noProof/>
          <w:sz w:val="24"/>
        </w:rPr>
      </w:pPr>
      <w:r w:rsidRPr="00835C5E">
        <w:rPr>
          <w:rFonts w:ascii="Times New Roman" w:hAnsi="Times New Roman"/>
          <w:noProof/>
          <w:sz w:val="24"/>
        </w:rPr>
        <w:t>Based on experience from other data collection efforts, the burden on all State agenicies is estimated at 378 hours per year, calculated as follows:</w:t>
      </w:r>
    </w:p>
    <w:p w14:paraId="09AC37CE" w14:textId="77777777" w:rsidR="00C64833" w:rsidRDefault="00C64833" w:rsidP="52C3C1AE">
      <w:pPr>
        <w:tabs>
          <w:tab w:val="left" w:pos="-720"/>
        </w:tabs>
        <w:suppressAutoHyphens/>
        <w:ind w:left="720"/>
        <w:rPr>
          <w:b/>
          <w:noProof/>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898"/>
        <w:gridCol w:w="1877"/>
        <w:gridCol w:w="1835"/>
        <w:gridCol w:w="1835"/>
      </w:tblGrid>
      <w:tr w:rsidR="001B04E0" w:rsidRPr="001B04E0" w14:paraId="09AC37D4" w14:textId="77777777" w:rsidTr="52C3C1AE">
        <w:tc>
          <w:tcPr>
            <w:tcW w:w="1771" w:type="dxa"/>
          </w:tcPr>
          <w:p w14:paraId="09AC37CF" w14:textId="77777777" w:rsidR="00C64833" w:rsidRPr="001B04E0" w:rsidRDefault="00C64833" w:rsidP="52C3C1AE">
            <w:pPr>
              <w:tabs>
                <w:tab w:val="left" w:pos="-720"/>
              </w:tabs>
              <w:suppressAutoHyphens/>
              <w:rPr>
                <w:b/>
                <w:noProof/>
                <w:sz w:val="24"/>
              </w:rPr>
            </w:pPr>
            <w:r w:rsidRPr="001B04E0">
              <w:rPr>
                <w:b/>
                <w:noProof/>
                <w:sz w:val="24"/>
              </w:rPr>
              <w:t>Form</w:t>
            </w:r>
          </w:p>
        </w:tc>
        <w:tc>
          <w:tcPr>
            <w:tcW w:w="1898" w:type="dxa"/>
          </w:tcPr>
          <w:p w14:paraId="09AC37D0" w14:textId="77777777" w:rsidR="00C64833" w:rsidRPr="001B04E0" w:rsidRDefault="00C64833" w:rsidP="52C3C1AE">
            <w:pPr>
              <w:tabs>
                <w:tab w:val="left" w:pos="-720"/>
              </w:tabs>
              <w:suppressAutoHyphens/>
              <w:rPr>
                <w:b/>
                <w:noProof/>
                <w:sz w:val="24"/>
              </w:rPr>
            </w:pPr>
            <w:r w:rsidRPr="001B04E0">
              <w:rPr>
                <w:b/>
                <w:noProof/>
                <w:sz w:val="24"/>
              </w:rPr>
              <w:t># of Respondents</w:t>
            </w:r>
          </w:p>
        </w:tc>
        <w:tc>
          <w:tcPr>
            <w:tcW w:w="1877" w:type="dxa"/>
          </w:tcPr>
          <w:p w14:paraId="09AC37D1" w14:textId="77777777" w:rsidR="00C64833" w:rsidRPr="001B04E0" w:rsidRDefault="00C64833" w:rsidP="52C3C1AE">
            <w:pPr>
              <w:tabs>
                <w:tab w:val="left" w:pos="-720"/>
              </w:tabs>
              <w:suppressAutoHyphens/>
              <w:rPr>
                <w:b/>
                <w:noProof/>
                <w:sz w:val="24"/>
              </w:rPr>
            </w:pPr>
            <w:r w:rsidRPr="001B04E0">
              <w:rPr>
                <w:b/>
                <w:noProof/>
                <w:sz w:val="24"/>
              </w:rPr>
              <w:t># of Responses per respondent</w:t>
            </w:r>
          </w:p>
        </w:tc>
        <w:tc>
          <w:tcPr>
            <w:tcW w:w="1835" w:type="dxa"/>
          </w:tcPr>
          <w:p w14:paraId="09AC37D2" w14:textId="77777777" w:rsidR="00C64833" w:rsidRPr="001B04E0" w:rsidRDefault="00C64833" w:rsidP="52C3C1AE">
            <w:pPr>
              <w:tabs>
                <w:tab w:val="left" w:pos="-720"/>
              </w:tabs>
              <w:suppressAutoHyphens/>
              <w:rPr>
                <w:b/>
                <w:noProof/>
                <w:sz w:val="24"/>
              </w:rPr>
            </w:pPr>
            <w:r w:rsidRPr="001B04E0">
              <w:rPr>
                <w:b/>
                <w:noProof/>
                <w:sz w:val="24"/>
              </w:rPr>
              <w:t>Hrs. Per Response</w:t>
            </w:r>
          </w:p>
        </w:tc>
        <w:tc>
          <w:tcPr>
            <w:tcW w:w="1835" w:type="dxa"/>
          </w:tcPr>
          <w:p w14:paraId="09AC37D3" w14:textId="77777777" w:rsidR="00C64833" w:rsidRPr="001B04E0" w:rsidRDefault="00C64833" w:rsidP="52C3C1AE">
            <w:pPr>
              <w:tabs>
                <w:tab w:val="left" w:pos="-720"/>
              </w:tabs>
              <w:suppressAutoHyphens/>
              <w:rPr>
                <w:b/>
                <w:noProof/>
                <w:sz w:val="24"/>
              </w:rPr>
            </w:pPr>
            <w:r w:rsidRPr="001B04E0">
              <w:rPr>
                <w:b/>
                <w:noProof/>
                <w:sz w:val="24"/>
              </w:rPr>
              <w:t>Response Burden</w:t>
            </w:r>
          </w:p>
        </w:tc>
      </w:tr>
      <w:tr w:rsidR="001B04E0" w:rsidRPr="001B04E0" w14:paraId="09AC37DA" w14:textId="77777777" w:rsidTr="52C3C1AE">
        <w:tc>
          <w:tcPr>
            <w:tcW w:w="1771" w:type="dxa"/>
          </w:tcPr>
          <w:p w14:paraId="09AC37D5" w14:textId="77777777" w:rsidR="00C64833" w:rsidRPr="001B04E0" w:rsidRDefault="00C64833" w:rsidP="52C3C1AE">
            <w:pPr>
              <w:tabs>
                <w:tab w:val="left" w:pos="-720"/>
              </w:tabs>
              <w:suppressAutoHyphens/>
              <w:rPr>
                <w:b/>
                <w:noProof/>
                <w:sz w:val="24"/>
              </w:rPr>
            </w:pPr>
            <w:r w:rsidRPr="001B04E0">
              <w:rPr>
                <w:b/>
                <w:noProof/>
                <w:sz w:val="24"/>
              </w:rPr>
              <w:t>OCSE-157</w:t>
            </w:r>
          </w:p>
        </w:tc>
        <w:tc>
          <w:tcPr>
            <w:tcW w:w="1898" w:type="dxa"/>
          </w:tcPr>
          <w:p w14:paraId="09AC37D6" w14:textId="77777777" w:rsidR="00C64833" w:rsidRPr="001B04E0" w:rsidRDefault="00C64833" w:rsidP="52C3C1AE">
            <w:pPr>
              <w:tabs>
                <w:tab w:val="left" w:pos="-720"/>
              </w:tabs>
              <w:suppressAutoHyphens/>
              <w:rPr>
                <w:b/>
                <w:noProof/>
                <w:sz w:val="24"/>
              </w:rPr>
            </w:pPr>
            <w:r w:rsidRPr="001B04E0">
              <w:rPr>
                <w:b/>
                <w:noProof/>
                <w:sz w:val="24"/>
              </w:rPr>
              <w:t>54</w:t>
            </w:r>
          </w:p>
        </w:tc>
        <w:tc>
          <w:tcPr>
            <w:tcW w:w="1877" w:type="dxa"/>
          </w:tcPr>
          <w:p w14:paraId="09AC37D7" w14:textId="77777777" w:rsidR="00C64833" w:rsidRPr="001B04E0" w:rsidRDefault="00C64833" w:rsidP="52C3C1AE">
            <w:pPr>
              <w:tabs>
                <w:tab w:val="left" w:pos="-720"/>
              </w:tabs>
              <w:suppressAutoHyphens/>
              <w:rPr>
                <w:b/>
                <w:noProof/>
                <w:sz w:val="24"/>
              </w:rPr>
            </w:pPr>
            <w:r w:rsidRPr="001B04E0">
              <w:rPr>
                <w:b/>
                <w:noProof/>
                <w:sz w:val="24"/>
              </w:rPr>
              <w:t>1</w:t>
            </w:r>
          </w:p>
        </w:tc>
        <w:tc>
          <w:tcPr>
            <w:tcW w:w="1835" w:type="dxa"/>
          </w:tcPr>
          <w:p w14:paraId="09AC37D8" w14:textId="77777777" w:rsidR="00C64833" w:rsidRPr="001B04E0" w:rsidRDefault="00C64833" w:rsidP="52C3C1AE">
            <w:pPr>
              <w:tabs>
                <w:tab w:val="left" w:pos="-720"/>
              </w:tabs>
              <w:suppressAutoHyphens/>
              <w:rPr>
                <w:b/>
                <w:noProof/>
                <w:sz w:val="24"/>
              </w:rPr>
            </w:pPr>
            <w:r w:rsidRPr="001B04E0">
              <w:rPr>
                <w:b/>
                <w:noProof/>
                <w:sz w:val="24"/>
              </w:rPr>
              <w:t>7</w:t>
            </w:r>
          </w:p>
        </w:tc>
        <w:tc>
          <w:tcPr>
            <w:tcW w:w="1835" w:type="dxa"/>
          </w:tcPr>
          <w:p w14:paraId="09AC37D9" w14:textId="77777777" w:rsidR="00C64833" w:rsidRPr="001B04E0" w:rsidRDefault="00C64833" w:rsidP="52C3C1AE">
            <w:pPr>
              <w:tabs>
                <w:tab w:val="left" w:pos="-720"/>
              </w:tabs>
              <w:suppressAutoHyphens/>
              <w:rPr>
                <w:b/>
                <w:noProof/>
                <w:sz w:val="24"/>
              </w:rPr>
            </w:pPr>
            <w:r w:rsidRPr="001B04E0">
              <w:rPr>
                <w:b/>
                <w:noProof/>
                <w:sz w:val="24"/>
              </w:rPr>
              <w:t>378</w:t>
            </w:r>
          </w:p>
        </w:tc>
      </w:tr>
      <w:tr w:rsidR="001B04E0" w:rsidRPr="001B04E0" w14:paraId="09AC37E0" w14:textId="77777777" w:rsidTr="52C3C1AE">
        <w:tc>
          <w:tcPr>
            <w:tcW w:w="1771" w:type="dxa"/>
          </w:tcPr>
          <w:p w14:paraId="09AC37DB" w14:textId="77777777" w:rsidR="00C64833" w:rsidRPr="001B04E0" w:rsidRDefault="00C64833" w:rsidP="52C3C1AE">
            <w:pPr>
              <w:tabs>
                <w:tab w:val="left" w:pos="-720"/>
              </w:tabs>
              <w:suppressAutoHyphens/>
              <w:rPr>
                <w:b/>
                <w:noProof/>
                <w:sz w:val="24"/>
              </w:rPr>
            </w:pPr>
          </w:p>
        </w:tc>
        <w:tc>
          <w:tcPr>
            <w:tcW w:w="1898" w:type="dxa"/>
          </w:tcPr>
          <w:p w14:paraId="09AC37DC" w14:textId="77777777" w:rsidR="00C64833" w:rsidRPr="001B04E0" w:rsidRDefault="00C64833" w:rsidP="52C3C1AE">
            <w:pPr>
              <w:tabs>
                <w:tab w:val="left" w:pos="-720"/>
              </w:tabs>
              <w:suppressAutoHyphens/>
              <w:rPr>
                <w:b/>
                <w:noProof/>
                <w:sz w:val="24"/>
              </w:rPr>
            </w:pPr>
          </w:p>
        </w:tc>
        <w:tc>
          <w:tcPr>
            <w:tcW w:w="1877" w:type="dxa"/>
          </w:tcPr>
          <w:p w14:paraId="09AC37DD" w14:textId="77777777" w:rsidR="00C64833" w:rsidRPr="001B04E0" w:rsidRDefault="00C64833" w:rsidP="52C3C1AE">
            <w:pPr>
              <w:tabs>
                <w:tab w:val="left" w:pos="-720"/>
              </w:tabs>
              <w:suppressAutoHyphens/>
              <w:rPr>
                <w:b/>
                <w:noProof/>
                <w:sz w:val="24"/>
              </w:rPr>
            </w:pPr>
          </w:p>
        </w:tc>
        <w:tc>
          <w:tcPr>
            <w:tcW w:w="1835" w:type="dxa"/>
          </w:tcPr>
          <w:p w14:paraId="09AC37DE" w14:textId="77777777" w:rsidR="00C64833" w:rsidRPr="001B04E0" w:rsidRDefault="00C64833" w:rsidP="52C3C1AE">
            <w:pPr>
              <w:tabs>
                <w:tab w:val="left" w:pos="-720"/>
              </w:tabs>
              <w:suppressAutoHyphens/>
              <w:rPr>
                <w:b/>
                <w:noProof/>
                <w:sz w:val="24"/>
              </w:rPr>
            </w:pPr>
          </w:p>
        </w:tc>
        <w:tc>
          <w:tcPr>
            <w:tcW w:w="1835" w:type="dxa"/>
          </w:tcPr>
          <w:p w14:paraId="09AC37DF" w14:textId="77777777" w:rsidR="00C64833" w:rsidRPr="001B04E0" w:rsidRDefault="00C64833" w:rsidP="52C3C1AE">
            <w:pPr>
              <w:tabs>
                <w:tab w:val="left" w:pos="-720"/>
              </w:tabs>
              <w:suppressAutoHyphens/>
              <w:rPr>
                <w:b/>
                <w:noProof/>
                <w:sz w:val="24"/>
              </w:rPr>
            </w:pPr>
          </w:p>
        </w:tc>
      </w:tr>
    </w:tbl>
    <w:p w14:paraId="09AC37E1" w14:textId="77777777" w:rsidR="00C64833" w:rsidRDefault="00C64833" w:rsidP="52C3C1AE">
      <w:pPr>
        <w:tabs>
          <w:tab w:val="left" w:pos="-720"/>
        </w:tabs>
        <w:suppressAutoHyphens/>
        <w:ind w:left="360"/>
        <w:rPr>
          <w:b/>
          <w:noProof/>
          <w:sz w:val="24"/>
        </w:rPr>
      </w:pPr>
    </w:p>
    <w:p w14:paraId="09AC37E2" w14:textId="77777777" w:rsidR="00C64833" w:rsidRPr="00C64833" w:rsidRDefault="00C64833" w:rsidP="52C3C1AE">
      <w:pPr>
        <w:tabs>
          <w:tab w:val="left" w:pos="-720"/>
        </w:tabs>
        <w:suppressAutoHyphens/>
        <w:ind w:left="720"/>
        <w:rPr>
          <w:b/>
          <w:noProof/>
          <w:sz w:val="24"/>
        </w:rPr>
      </w:pPr>
    </w:p>
    <w:p w14:paraId="09AC37E3" w14:textId="77777777" w:rsidR="00C64833" w:rsidRPr="004C7A9B" w:rsidRDefault="00C64833" w:rsidP="52C3C1AE">
      <w:pPr>
        <w:widowControl/>
        <w:spacing w:before="100" w:beforeAutospacing="1" w:after="100" w:afterAutospacing="1"/>
        <w:ind w:left="720"/>
        <w:rPr>
          <w:rFonts w:ascii="Times New Roman" w:hAnsi="Times New Roman"/>
          <w:sz w:val="24"/>
        </w:rPr>
      </w:pPr>
      <w:r w:rsidRPr="004C7A9B">
        <w:rPr>
          <w:rFonts w:ascii="Times New Roman" w:hAnsi="Times New Roman"/>
          <w:sz w:val="24"/>
        </w:rPr>
        <w:t>The bur</w:t>
      </w:r>
      <w:r w:rsidR="00CA4ADC" w:rsidRPr="004C7A9B">
        <w:rPr>
          <w:rFonts w:ascii="Times New Roman" w:hAnsi="Times New Roman"/>
          <w:sz w:val="24"/>
        </w:rPr>
        <w:t>den cost is estimated to be $40.00 per hour for a total of $280</w:t>
      </w:r>
      <w:r w:rsidRPr="004C7A9B">
        <w:rPr>
          <w:rFonts w:ascii="Times New Roman" w:hAnsi="Times New Roman"/>
          <w:sz w:val="24"/>
        </w:rPr>
        <w:t>.00 per respondent</w:t>
      </w:r>
      <w:r w:rsidR="00CA4ADC" w:rsidRPr="004C7A9B">
        <w:rPr>
          <w:rFonts w:ascii="Times New Roman" w:hAnsi="Times New Roman"/>
          <w:sz w:val="24"/>
        </w:rPr>
        <w:t xml:space="preserve"> ($40.00 X 7).  Total Burden cost for all respondents is $15,120.00 ($378 X 40), as indicated below:</w:t>
      </w:r>
      <w:r w:rsidRPr="004C7A9B">
        <w:rPr>
          <w:rFonts w:ascii="Times New Roman" w:hAnsi="Times New Roman"/>
          <w:sz w:val="24"/>
        </w:rPr>
        <w:t xml:space="preserve"> </w:t>
      </w:r>
    </w:p>
    <w:p w14:paraId="09AC37E4" w14:textId="77777777" w:rsidR="00C64833" w:rsidRDefault="00C64833" w:rsidP="52C3C1AE">
      <w:pPr>
        <w:widowControl/>
        <w:spacing w:before="100" w:beforeAutospacing="1" w:after="100" w:afterAutospacing="1"/>
        <w:ind w:left="720"/>
        <w:rPr>
          <w:b/>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677"/>
        <w:gridCol w:w="1544"/>
        <w:gridCol w:w="1279"/>
        <w:gridCol w:w="1279"/>
        <w:gridCol w:w="1013"/>
        <w:gridCol w:w="1544"/>
      </w:tblGrid>
      <w:tr w:rsidR="001B04E0" w:rsidRPr="001B04E0" w14:paraId="09AC37EC" w14:textId="77777777" w:rsidTr="52C3C1AE">
        <w:tc>
          <w:tcPr>
            <w:tcW w:w="880" w:type="dxa"/>
          </w:tcPr>
          <w:p w14:paraId="09AC37E5" w14:textId="77777777" w:rsidR="00C64833" w:rsidRPr="001B04E0" w:rsidRDefault="00C64833" w:rsidP="52C3C1AE">
            <w:pPr>
              <w:tabs>
                <w:tab w:val="left" w:pos="-720"/>
              </w:tabs>
              <w:suppressAutoHyphens/>
              <w:rPr>
                <w:b/>
                <w:noProof/>
                <w:sz w:val="24"/>
              </w:rPr>
            </w:pPr>
            <w:r w:rsidRPr="001B04E0">
              <w:rPr>
                <w:b/>
                <w:noProof/>
                <w:sz w:val="24"/>
              </w:rPr>
              <w:t>Form</w:t>
            </w:r>
          </w:p>
        </w:tc>
        <w:tc>
          <w:tcPr>
            <w:tcW w:w="1677" w:type="dxa"/>
          </w:tcPr>
          <w:p w14:paraId="09AC37E6" w14:textId="77777777" w:rsidR="00C64833" w:rsidRPr="001B04E0" w:rsidRDefault="00C64833" w:rsidP="52C3C1AE">
            <w:pPr>
              <w:tabs>
                <w:tab w:val="left" w:pos="-720"/>
              </w:tabs>
              <w:suppressAutoHyphens/>
              <w:rPr>
                <w:b/>
                <w:noProof/>
                <w:sz w:val="24"/>
              </w:rPr>
            </w:pPr>
            <w:r w:rsidRPr="001B04E0">
              <w:rPr>
                <w:b/>
                <w:noProof/>
                <w:sz w:val="24"/>
              </w:rPr>
              <w:t># of Respondents</w:t>
            </w:r>
          </w:p>
        </w:tc>
        <w:tc>
          <w:tcPr>
            <w:tcW w:w="1544" w:type="dxa"/>
          </w:tcPr>
          <w:p w14:paraId="09AC37E7" w14:textId="77777777" w:rsidR="00C64833" w:rsidRPr="001B04E0" w:rsidRDefault="00C64833" w:rsidP="52C3C1AE">
            <w:pPr>
              <w:tabs>
                <w:tab w:val="left" w:pos="-720"/>
              </w:tabs>
              <w:suppressAutoHyphens/>
              <w:rPr>
                <w:b/>
                <w:noProof/>
                <w:sz w:val="24"/>
              </w:rPr>
            </w:pPr>
            <w:r w:rsidRPr="001B04E0">
              <w:rPr>
                <w:b/>
                <w:noProof/>
                <w:sz w:val="24"/>
              </w:rPr>
              <w:t># of Responses per respondent</w:t>
            </w:r>
          </w:p>
        </w:tc>
        <w:tc>
          <w:tcPr>
            <w:tcW w:w="1279" w:type="dxa"/>
          </w:tcPr>
          <w:p w14:paraId="09AC37E8" w14:textId="77777777" w:rsidR="00C64833" w:rsidRPr="001B04E0" w:rsidRDefault="00C64833" w:rsidP="52C3C1AE">
            <w:pPr>
              <w:tabs>
                <w:tab w:val="left" w:pos="-720"/>
              </w:tabs>
              <w:suppressAutoHyphens/>
              <w:rPr>
                <w:b/>
                <w:noProof/>
                <w:sz w:val="24"/>
              </w:rPr>
            </w:pPr>
            <w:r w:rsidRPr="001B04E0">
              <w:rPr>
                <w:b/>
                <w:noProof/>
                <w:sz w:val="24"/>
              </w:rPr>
              <w:t>Hrs. Per Response</w:t>
            </w:r>
          </w:p>
        </w:tc>
        <w:tc>
          <w:tcPr>
            <w:tcW w:w="1279" w:type="dxa"/>
          </w:tcPr>
          <w:p w14:paraId="09AC37E9" w14:textId="77777777" w:rsidR="00C64833" w:rsidRPr="001B04E0" w:rsidRDefault="00C64833" w:rsidP="52C3C1AE">
            <w:pPr>
              <w:tabs>
                <w:tab w:val="left" w:pos="-720"/>
              </w:tabs>
              <w:suppressAutoHyphens/>
              <w:rPr>
                <w:b/>
                <w:noProof/>
                <w:sz w:val="24"/>
              </w:rPr>
            </w:pPr>
            <w:r w:rsidRPr="001B04E0">
              <w:rPr>
                <w:b/>
                <w:noProof/>
                <w:sz w:val="24"/>
              </w:rPr>
              <w:t>Response Burden</w:t>
            </w:r>
          </w:p>
        </w:tc>
        <w:tc>
          <w:tcPr>
            <w:tcW w:w="1013" w:type="dxa"/>
          </w:tcPr>
          <w:p w14:paraId="09AC37EA" w14:textId="77777777" w:rsidR="00C64833" w:rsidRPr="001B04E0" w:rsidRDefault="00C64833" w:rsidP="52C3C1AE">
            <w:pPr>
              <w:tabs>
                <w:tab w:val="left" w:pos="-720"/>
              </w:tabs>
              <w:suppressAutoHyphens/>
              <w:rPr>
                <w:b/>
                <w:noProof/>
                <w:sz w:val="24"/>
              </w:rPr>
            </w:pPr>
            <w:r w:rsidRPr="001B04E0">
              <w:rPr>
                <w:b/>
                <w:noProof/>
                <w:sz w:val="24"/>
              </w:rPr>
              <w:t>Hourly Rate</w:t>
            </w:r>
          </w:p>
        </w:tc>
        <w:tc>
          <w:tcPr>
            <w:tcW w:w="1544" w:type="dxa"/>
          </w:tcPr>
          <w:p w14:paraId="09AC37EB" w14:textId="77777777" w:rsidR="00C64833" w:rsidRPr="001B04E0" w:rsidRDefault="00C64833" w:rsidP="52C3C1AE">
            <w:pPr>
              <w:tabs>
                <w:tab w:val="left" w:pos="-720"/>
              </w:tabs>
              <w:suppressAutoHyphens/>
              <w:rPr>
                <w:b/>
                <w:noProof/>
                <w:sz w:val="24"/>
              </w:rPr>
            </w:pPr>
            <w:r w:rsidRPr="001B04E0">
              <w:rPr>
                <w:b/>
                <w:noProof/>
                <w:sz w:val="24"/>
              </w:rPr>
              <w:t>Total Burden Cost</w:t>
            </w:r>
          </w:p>
        </w:tc>
      </w:tr>
      <w:tr w:rsidR="001B04E0" w:rsidRPr="001B04E0" w14:paraId="09AC37F4" w14:textId="77777777" w:rsidTr="52C3C1AE">
        <w:tc>
          <w:tcPr>
            <w:tcW w:w="880" w:type="dxa"/>
          </w:tcPr>
          <w:p w14:paraId="09AC37ED" w14:textId="77777777" w:rsidR="00C64833" w:rsidRPr="001B04E0" w:rsidRDefault="00C64833" w:rsidP="52C3C1AE">
            <w:pPr>
              <w:tabs>
                <w:tab w:val="left" w:pos="-720"/>
              </w:tabs>
              <w:suppressAutoHyphens/>
              <w:rPr>
                <w:b/>
                <w:noProof/>
                <w:sz w:val="24"/>
              </w:rPr>
            </w:pPr>
            <w:r w:rsidRPr="001B04E0">
              <w:rPr>
                <w:b/>
                <w:noProof/>
                <w:sz w:val="24"/>
              </w:rPr>
              <w:t>OCSE-157</w:t>
            </w:r>
          </w:p>
        </w:tc>
        <w:tc>
          <w:tcPr>
            <w:tcW w:w="1677" w:type="dxa"/>
          </w:tcPr>
          <w:p w14:paraId="09AC37EE" w14:textId="77777777" w:rsidR="00C64833" w:rsidRPr="001B04E0" w:rsidRDefault="00C64833" w:rsidP="52C3C1AE">
            <w:pPr>
              <w:tabs>
                <w:tab w:val="left" w:pos="-720"/>
              </w:tabs>
              <w:suppressAutoHyphens/>
              <w:rPr>
                <w:b/>
                <w:noProof/>
                <w:sz w:val="24"/>
              </w:rPr>
            </w:pPr>
            <w:r w:rsidRPr="001B04E0">
              <w:rPr>
                <w:b/>
                <w:noProof/>
                <w:sz w:val="24"/>
              </w:rPr>
              <w:t>54</w:t>
            </w:r>
          </w:p>
        </w:tc>
        <w:tc>
          <w:tcPr>
            <w:tcW w:w="1544" w:type="dxa"/>
          </w:tcPr>
          <w:p w14:paraId="09AC37EF" w14:textId="77777777" w:rsidR="00C64833" w:rsidRPr="001B04E0" w:rsidRDefault="00C64833" w:rsidP="52C3C1AE">
            <w:pPr>
              <w:tabs>
                <w:tab w:val="left" w:pos="-720"/>
              </w:tabs>
              <w:suppressAutoHyphens/>
              <w:rPr>
                <w:b/>
                <w:noProof/>
                <w:sz w:val="24"/>
              </w:rPr>
            </w:pPr>
            <w:r w:rsidRPr="001B04E0">
              <w:rPr>
                <w:b/>
                <w:noProof/>
                <w:sz w:val="24"/>
              </w:rPr>
              <w:t>1</w:t>
            </w:r>
          </w:p>
        </w:tc>
        <w:tc>
          <w:tcPr>
            <w:tcW w:w="1279" w:type="dxa"/>
          </w:tcPr>
          <w:p w14:paraId="09AC37F0" w14:textId="77777777" w:rsidR="00C64833" w:rsidRPr="001B04E0" w:rsidRDefault="00C64833" w:rsidP="52C3C1AE">
            <w:pPr>
              <w:tabs>
                <w:tab w:val="left" w:pos="-720"/>
              </w:tabs>
              <w:suppressAutoHyphens/>
              <w:rPr>
                <w:b/>
                <w:noProof/>
                <w:sz w:val="24"/>
              </w:rPr>
            </w:pPr>
            <w:r w:rsidRPr="001B04E0">
              <w:rPr>
                <w:b/>
                <w:noProof/>
                <w:sz w:val="24"/>
              </w:rPr>
              <w:t>7</w:t>
            </w:r>
          </w:p>
        </w:tc>
        <w:tc>
          <w:tcPr>
            <w:tcW w:w="1279" w:type="dxa"/>
          </w:tcPr>
          <w:p w14:paraId="09AC37F1" w14:textId="77777777" w:rsidR="00C64833" w:rsidRPr="001B04E0" w:rsidRDefault="00C64833" w:rsidP="52C3C1AE">
            <w:pPr>
              <w:tabs>
                <w:tab w:val="left" w:pos="-720"/>
              </w:tabs>
              <w:suppressAutoHyphens/>
              <w:rPr>
                <w:b/>
                <w:noProof/>
                <w:sz w:val="24"/>
              </w:rPr>
            </w:pPr>
            <w:r w:rsidRPr="001B04E0">
              <w:rPr>
                <w:b/>
                <w:noProof/>
                <w:sz w:val="24"/>
              </w:rPr>
              <w:t>378</w:t>
            </w:r>
          </w:p>
        </w:tc>
        <w:tc>
          <w:tcPr>
            <w:tcW w:w="1013" w:type="dxa"/>
          </w:tcPr>
          <w:p w14:paraId="09AC37F2" w14:textId="77777777" w:rsidR="00C64833" w:rsidRPr="001B04E0" w:rsidRDefault="00C64833" w:rsidP="52C3C1AE">
            <w:pPr>
              <w:tabs>
                <w:tab w:val="left" w:pos="-720"/>
              </w:tabs>
              <w:suppressAutoHyphens/>
              <w:rPr>
                <w:b/>
                <w:noProof/>
                <w:sz w:val="24"/>
              </w:rPr>
            </w:pPr>
            <w:r w:rsidRPr="001B04E0">
              <w:rPr>
                <w:b/>
                <w:noProof/>
                <w:sz w:val="24"/>
              </w:rPr>
              <w:t xml:space="preserve">$40.00 </w:t>
            </w:r>
          </w:p>
        </w:tc>
        <w:tc>
          <w:tcPr>
            <w:tcW w:w="1544" w:type="dxa"/>
          </w:tcPr>
          <w:p w14:paraId="09AC37F3" w14:textId="77777777" w:rsidR="00C64833" w:rsidRPr="001B04E0" w:rsidRDefault="00C64833" w:rsidP="52C3C1AE">
            <w:pPr>
              <w:tabs>
                <w:tab w:val="left" w:pos="-720"/>
              </w:tabs>
              <w:suppressAutoHyphens/>
              <w:rPr>
                <w:b/>
                <w:noProof/>
                <w:sz w:val="24"/>
              </w:rPr>
            </w:pPr>
            <w:r w:rsidRPr="001B04E0">
              <w:rPr>
                <w:b/>
                <w:noProof/>
                <w:sz w:val="24"/>
              </w:rPr>
              <w:t>$15,120.00</w:t>
            </w:r>
          </w:p>
        </w:tc>
      </w:tr>
      <w:tr w:rsidR="001B04E0" w:rsidRPr="001B04E0" w14:paraId="09AC37FC" w14:textId="77777777" w:rsidTr="52C3C1AE">
        <w:tc>
          <w:tcPr>
            <w:tcW w:w="880" w:type="dxa"/>
          </w:tcPr>
          <w:p w14:paraId="09AC37F5" w14:textId="77777777" w:rsidR="00C64833" w:rsidRPr="001B04E0" w:rsidRDefault="00C64833" w:rsidP="52C3C1AE">
            <w:pPr>
              <w:tabs>
                <w:tab w:val="left" w:pos="-720"/>
              </w:tabs>
              <w:suppressAutoHyphens/>
              <w:rPr>
                <w:b/>
                <w:noProof/>
                <w:sz w:val="24"/>
              </w:rPr>
            </w:pPr>
          </w:p>
        </w:tc>
        <w:tc>
          <w:tcPr>
            <w:tcW w:w="1677" w:type="dxa"/>
          </w:tcPr>
          <w:p w14:paraId="09AC37F6" w14:textId="77777777" w:rsidR="00C64833" w:rsidRPr="001B04E0" w:rsidRDefault="00C64833" w:rsidP="52C3C1AE">
            <w:pPr>
              <w:tabs>
                <w:tab w:val="left" w:pos="-720"/>
              </w:tabs>
              <w:suppressAutoHyphens/>
              <w:rPr>
                <w:b/>
                <w:noProof/>
                <w:sz w:val="24"/>
              </w:rPr>
            </w:pPr>
          </w:p>
        </w:tc>
        <w:tc>
          <w:tcPr>
            <w:tcW w:w="1544" w:type="dxa"/>
          </w:tcPr>
          <w:p w14:paraId="09AC37F7" w14:textId="77777777" w:rsidR="00C64833" w:rsidRPr="001B04E0" w:rsidRDefault="00C64833" w:rsidP="52C3C1AE">
            <w:pPr>
              <w:tabs>
                <w:tab w:val="left" w:pos="-720"/>
              </w:tabs>
              <w:suppressAutoHyphens/>
              <w:rPr>
                <w:b/>
                <w:noProof/>
                <w:sz w:val="24"/>
              </w:rPr>
            </w:pPr>
          </w:p>
        </w:tc>
        <w:tc>
          <w:tcPr>
            <w:tcW w:w="1279" w:type="dxa"/>
          </w:tcPr>
          <w:p w14:paraId="09AC37F8" w14:textId="77777777" w:rsidR="00C64833" w:rsidRPr="001B04E0" w:rsidRDefault="00C64833" w:rsidP="52C3C1AE">
            <w:pPr>
              <w:tabs>
                <w:tab w:val="left" w:pos="-720"/>
              </w:tabs>
              <w:suppressAutoHyphens/>
              <w:rPr>
                <w:b/>
                <w:noProof/>
                <w:sz w:val="24"/>
              </w:rPr>
            </w:pPr>
          </w:p>
        </w:tc>
        <w:tc>
          <w:tcPr>
            <w:tcW w:w="1279" w:type="dxa"/>
          </w:tcPr>
          <w:p w14:paraId="09AC37F9" w14:textId="77777777" w:rsidR="00C64833" w:rsidRPr="001B04E0" w:rsidRDefault="00C64833" w:rsidP="52C3C1AE">
            <w:pPr>
              <w:tabs>
                <w:tab w:val="left" w:pos="-720"/>
              </w:tabs>
              <w:suppressAutoHyphens/>
              <w:rPr>
                <w:b/>
                <w:noProof/>
                <w:sz w:val="24"/>
              </w:rPr>
            </w:pPr>
          </w:p>
        </w:tc>
        <w:tc>
          <w:tcPr>
            <w:tcW w:w="1013" w:type="dxa"/>
          </w:tcPr>
          <w:p w14:paraId="09AC37FA" w14:textId="77777777" w:rsidR="00C64833" w:rsidRPr="001B04E0" w:rsidRDefault="00C64833" w:rsidP="52C3C1AE">
            <w:pPr>
              <w:tabs>
                <w:tab w:val="left" w:pos="-720"/>
              </w:tabs>
              <w:suppressAutoHyphens/>
              <w:rPr>
                <w:b/>
                <w:noProof/>
                <w:sz w:val="24"/>
              </w:rPr>
            </w:pPr>
          </w:p>
        </w:tc>
        <w:tc>
          <w:tcPr>
            <w:tcW w:w="1544" w:type="dxa"/>
          </w:tcPr>
          <w:p w14:paraId="09AC37FB" w14:textId="77777777" w:rsidR="00C64833" w:rsidRPr="001B04E0" w:rsidRDefault="00C64833" w:rsidP="52C3C1AE">
            <w:pPr>
              <w:tabs>
                <w:tab w:val="left" w:pos="-720"/>
              </w:tabs>
              <w:suppressAutoHyphens/>
              <w:rPr>
                <w:b/>
                <w:noProof/>
                <w:sz w:val="24"/>
              </w:rPr>
            </w:pPr>
          </w:p>
        </w:tc>
      </w:tr>
    </w:tbl>
    <w:p w14:paraId="09AC37FD" w14:textId="77777777" w:rsidR="00C64833" w:rsidRPr="002C3C4F" w:rsidRDefault="00C64833" w:rsidP="00835C5E">
      <w:pPr>
        <w:widowControl/>
        <w:spacing w:before="100" w:beforeAutospacing="1" w:after="100" w:afterAutospacing="1"/>
        <w:rPr>
          <w:rFonts w:ascii="Times New Roman" w:hAnsi="Times New Roman"/>
          <w:snapToGrid/>
          <w:sz w:val="24"/>
          <w:szCs w:val="24"/>
        </w:rPr>
      </w:pPr>
    </w:p>
    <w:p w14:paraId="09AC37FE"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Estimates of Other Total Annual Cost Burden to Respondents and Record Keepers </w:t>
      </w:r>
    </w:p>
    <w:p w14:paraId="09AC37FF" w14:textId="77777777" w:rsidR="00CA4ADC" w:rsidRPr="002C3C4F" w:rsidRDefault="00CA4ADC" w:rsidP="004C7A9B">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There are no other total annual cost burdens to respondents and record keepers.</w:t>
      </w:r>
    </w:p>
    <w:p w14:paraId="09AC3800" w14:textId="77777777" w:rsidR="002C3C4F"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Annualized Cost to the Federal Government </w:t>
      </w:r>
    </w:p>
    <w:p w14:paraId="09AC3801" w14:textId="77777777" w:rsidR="007256B4" w:rsidRPr="007256B4" w:rsidRDefault="007256B4" w:rsidP="004C7A9B">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Approximate annualized cost to the government includes 1,040 federal staff hours for analysis and publication of results at the hourly rate of approximately $40.00 per hour.  Total estimated cost is $41,600.00 (1,040 X $40.00).</w:t>
      </w:r>
    </w:p>
    <w:p w14:paraId="09AC3802"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Explanation for Program Changes or Adjustments </w:t>
      </w:r>
    </w:p>
    <w:p w14:paraId="09AC3803" w14:textId="31BCD0C8" w:rsidR="00CA4ADC" w:rsidRPr="00CA4ADC" w:rsidRDefault="00835C5E" w:rsidP="004C7A9B">
      <w:pPr>
        <w:widowControl/>
        <w:spacing w:before="100" w:beforeAutospacing="1" w:after="100" w:afterAutospacing="1"/>
        <w:ind w:left="720"/>
        <w:rPr>
          <w:rFonts w:ascii="Times New Roman" w:hAnsi="Times New Roman"/>
          <w:snapToGrid/>
          <w:sz w:val="24"/>
          <w:szCs w:val="24"/>
        </w:rPr>
      </w:pPr>
      <w:r w:rsidRPr="00835C5E">
        <w:rPr>
          <w:rFonts w:ascii="Times New Roman" w:hAnsi="Times New Roman"/>
          <w:snapToGrid/>
          <w:sz w:val="24"/>
          <w:szCs w:val="24"/>
        </w:rPr>
        <w:t>The purpose for revising the instructions was to enhance clarity and minimize the possibility for inaccurate reporting.</w:t>
      </w:r>
    </w:p>
    <w:p w14:paraId="09AC3804"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Plans for Tabulation and Publication and Project Time Schedule </w:t>
      </w:r>
    </w:p>
    <w:p w14:paraId="09AC3805" w14:textId="77777777" w:rsidR="00CA4ADC" w:rsidRPr="002C3C4F" w:rsidRDefault="00CA4ADC" w:rsidP="004C7A9B">
      <w:pPr>
        <w:widowControl/>
        <w:spacing w:before="100" w:beforeAutospacing="1" w:after="100" w:afterAutospacing="1"/>
        <w:ind w:left="720"/>
        <w:rPr>
          <w:rFonts w:ascii="Times New Roman" w:hAnsi="Times New Roman"/>
          <w:snapToGrid/>
          <w:sz w:val="24"/>
          <w:szCs w:val="24"/>
        </w:rPr>
      </w:pPr>
      <w:r w:rsidRPr="00CA4ADC">
        <w:rPr>
          <w:rFonts w:ascii="Times New Roman" w:hAnsi="Times New Roman"/>
          <w:snapToGrid/>
          <w:sz w:val="24"/>
          <w:szCs w:val="24"/>
        </w:rPr>
        <w:t>Information on this form will be published in aggregate on a State-by-State basis in combination with other financial and statistical data.  The data is published at the end of each fiscal year in an annual report and is included in various agency publications that highlight child support data.</w:t>
      </w:r>
    </w:p>
    <w:p w14:paraId="09AC3806"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 xml:space="preserve">Reason(s) Display of OMB Expiration Date is Inappropriate </w:t>
      </w:r>
    </w:p>
    <w:p w14:paraId="09AC3807" w14:textId="77777777" w:rsidR="00CA4ADC" w:rsidRPr="002C3C4F" w:rsidRDefault="00CA4ADC" w:rsidP="004C7A9B">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 expiration date will be displayed.</w:t>
      </w:r>
    </w:p>
    <w:p w14:paraId="09AC3808" w14:textId="77777777" w:rsidR="002C3C4F" w:rsidRPr="00691028" w:rsidRDefault="002C3C4F" w:rsidP="52C3C1AE">
      <w:pPr>
        <w:widowControl/>
        <w:numPr>
          <w:ilvl w:val="0"/>
          <w:numId w:val="3"/>
        </w:numPr>
        <w:spacing w:before="100" w:beforeAutospacing="1" w:after="100" w:afterAutospacing="1"/>
        <w:rPr>
          <w:rFonts w:ascii="Times New Roman" w:hAnsi="Times New Roman"/>
          <w:b/>
          <w:snapToGrid/>
          <w:sz w:val="24"/>
          <w:szCs w:val="24"/>
        </w:rPr>
      </w:pPr>
      <w:r w:rsidRPr="00691028">
        <w:rPr>
          <w:rFonts w:ascii="Times New Roman" w:hAnsi="Times New Roman"/>
          <w:b/>
          <w:snapToGrid/>
          <w:sz w:val="24"/>
          <w:szCs w:val="24"/>
        </w:rPr>
        <w:t>Exceptions to Certification for Paperwork Reduction Act Submissions</w:t>
      </w:r>
    </w:p>
    <w:p w14:paraId="09AC380A" w14:textId="318ABDAF" w:rsidR="002C3C4F" w:rsidRPr="00A918E4" w:rsidRDefault="00CA4ADC" w:rsidP="004C7A9B">
      <w:pPr>
        <w:widowControl/>
        <w:spacing w:before="100" w:beforeAutospacing="1" w:after="100" w:afterAutospacing="1"/>
        <w:ind w:firstLine="720"/>
        <w:rPr>
          <w:rFonts w:ascii="Times New Roman" w:hAnsi="Times New Roman"/>
          <w:snapToGrid/>
          <w:sz w:val="24"/>
          <w:szCs w:val="24"/>
        </w:rPr>
      </w:pPr>
      <w:r w:rsidRPr="00CA4ADC">
        <w:rPr>
          <w:rFonts w:ascii="Times New Roman" w:hAnsi="Times New Roman"/>
          <w:snapToGrid/>
          <w:sz w:val="24"/>
          <w:szCs w:val="24"/>
        </w:rPr>
        <w:t>There are no exceptions to the certification statement.</w:t>
      </w:r>
    </w:p>
    <w:sectPr w:rsidR="002C3C4F" w:rsidRPr="00A918E4"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287B2" w14:textId="77777777" w:rsidR="00395831" w:rsidRDefault="00395831">
      <w:pPr>
        <w:spacing w:line="20" w:lineRule="exact"/>
        <w:rPr>
          <w:sz w:val="24"/>
        </w:rPr>
      </w:pPr>
    </w:p>
  </w:endnote>
  <w:endnote w:type="continuationSeparator" w:id="0">
    <w:p w14:paraId="5B72CF65" w14:textId="77777777" w:rsidR="00395831" w:rsidRDefault="00395831">
      <w:r>
        <w:rPr>
          <w:sz w:val="24"/>
        </w:rPr>
        <w:t xml:space="preserve"> </w:t>
      </w:r>
    </w:p>
  </w:endnote>
  <w:endnote w:type="continuationNotice" w:id="1">
    <w:p w14:paraId="1FD5E19C" w14:textId="77777777" w:rsidR="00395831" w:rsidRDefault="003958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C3810" w14:textId="77777777" w:rsidR="00DC1C23" w:rsidRDefault="00DC1C23">
    <w:pPr>
      <w:spacing w:before="140" w:line="100" w:lineRule="exact"/>
      <w:rPr>
        <w:sz w:val="10"/>
      </w:rPr>
    </w:pPr>
  </w:p>
  <w:p w14:paraId="09AC3811" w14:textId="77777777" w:rsidR="00DC1C23" w:rsidRDefault="00DC1C23">
    <w:pPr>
      <w:tabs>
        <w:tab w:val="left" w:pos="-720"/>
      </w:tabs>
      <w:suppressAutoHyphens/>
      <w:rPr>
        <w:sz w:val="24"/>
      </w:rPr>
    </w:pPr>
  </w:p>
  <w:p w14:paraId="09AC3812" w14:textId="77777777" w:rsidR="00DC1C23" w:rsidRDefault="00694B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9AC3813" wp14:editId="09AC3814">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9AC3815" w14:textId="63B34E2C"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3E14AC">
                            <w:rPr>
                              <w:noProof/>
                              <w:sz w:val="24"/>
                            </w:rPr>
                            <w:t>2</w:t>
                          </w:r>
                          <w:r w:rsidR="009031AF">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9AC3815" w14:textId="63B34E2C" w:rsidR="00DC1C23" w:rsidRDefault="00DC1C23">
                    <w:pPr>
                      <w:tabs>
                        <w:tab w:val="center" w:pos="4650"/>
                      </w:tabs>
                      <w:suppressAutoHyphens/>
                      <w:jc w:val="both"/>
                      <w:rPr>
                        <w:sz w:val="24"/>
                      </w:rPr>
                    </w:pPr>
                    <w:r>
                      <w:rPr>
                        <w:sz w:val="24"/>
                      </w:rPr>
                      <w:tab/>
                    </w:r>
                    <w:r w:rsidR="009031AF">
                      <w:rPr>
                        <w:sz w:val="24"/>
                      </w:rPr>
                      <w:fldChar w:fldCharType="begin"/>
                    </w:r>
                    <w:r>
                      <w:rPr>
                        <w:sz w:val="24"/>
                      </w:rPr>
                      <w:instrText>page \* arabic</w:instrText>
                    </w:r>
                    <w:r w:rsidR="009031AF">
                      <w:rPr>
                        <w:sz w:val="24"/>
                      </w:rPr>
                      <w:fldChar w:fldCharType="separate"/>
                    </w:r>
                    <w:r w:rsidR="003E14AC">
                      <w:rPr>
                        <w:noProof/>
                        <w:sz w:val="24"/>
                      </w:rPr>
                      <w:t>2</w:t>
                    </w:r>
                    <w:r w:rsidR="009031AF">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8F243" w14:textId="77777777" w:rsidR="00395831" w:rsidRDefault="00395831">
      <w:r>
        <w:rPr>
          <w:sz w:val="24"/>
        </w:rPr>
        <w:separator/>
      </w:r>
    </w:p>
  </w:footnote>
  <w:footnote w:type="continuationSeparator" w:id="0">
    <w:p w14:paraId="1A117AA1" w14:textId="77777777" w:rsidR="00395831" w:rsidRDefault="00395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B2383"/>
    <w:rsid w:val="0014145B"/>
    <w:rsid w:val="00154504"/>
    <w:rsid w:val="00186385"/>
    <w:rsid w:val="001B04E0"/>
    <w:rsid w:val="001C483C"/>
    <w:rsid w:val="00234235"/>
    <w:rsid w:val="0029589B"/>
    <w:rsid w:val="00296738"/>
    <w:rsid w:val="002B3B01"/>
    <w:rsid w:val="002C3C4F"/>
    <w:rsid w:val="002E10D1"/>
    <w:rsid w:val="003405A4"/>
    <w:rsid w:val="00395831"/>
    <w:rsid w:val="003A7ED6"/>
    <w:rsid w:val="003E14AC"/>
    <w:rsid w:val="003E6EA3"/>
    <w:rsid w:val="00467954"/>
    <w:rsid w:val="00476318"/>
    <w:rsid w:val="00476C1F"/>
    <w:rsid w:val="00480072"/>
    <w:rsid w:val="0049119A"/>
    <w:rsid w:val="004943E0"/>
    <w:rsid w:val="004C0FDC"/>
    <w:rsid w:val="004C7A9B"/>
    <w:rsid w:val="00535CEE"/>
    <w:rsid w:val="005824BD"/>
    <w:rsid w:val="005B22D4"/>
    <w:rsid w:val="005C60F1"/>
    <w:rsid w:val="005D274E"/>
    <w:rsid w:val="005D61DB"/>
    <w:rsid w:val="005F0ED4"/>
    <w:rsid w:val="00603498"/>
    <w:rsid w:val="00640565"/>
    <w:rsid w:val="00691028"/>
    <w:rsid w:val="00694BEB"/>
    <w:rsid w:val="006B2726"/>
    <w:rsid w:val="006E6629"/>
    <w:rsid w:val="006F68BE"/>
    <w:rsid w:val="007256B4"/>
    <w:rsid w:val="007844F5"/>
    <w:rsid w:val="00835C5E"/>
    <w:rsid w:val="00841BDF"/>
    <w:rsid w:val="00846E18"/>
    <w:rsid w:val="009031AF"/>
    <w:rsid w:val="00936A53"/>
    <w:rsid w:val="00945B72"/>
    <w:rsid w:val="009C0B24"/>
    <w:rsid w:val="00A77AC0"/>
    <w:rsid w:val="00A918E4"/>
    <w:rsid w:val="00AB46A7"/>
    <w:rsid w:val="00AF4347"/>
    <w:rsid w:val="00AF5FE7"/>
    <w:rsid w:val="00B24F50"/>
    <w:rsid w:val="00B91F29"/>
    <w:rsid w:val="00BD378C"/>
    <w:rsid w:val="00C13BA6"/>
    <w:rsid w:val="00C43808"/>
    <w:rsid w:val="00C64833"/>
    <w:rsid w:val="00CA4ADC"/>
    <w:rsid w:val="00CE53AB"/>
    <w:rsid w:val="00D176EB"/>
    <w:rsid w:val="00D9648C"/>
    <w:rsid w:val="00DC1C23"/>
    <w:rsid w:val="00DF1F66"/>
    <w:rsid w:val="00E6793D"/>
    <w:rsid w:val="00F10B17"/>
    <w:rsid w:val="00F21DFA"/>
    <w:rsid w:val="00F42711"/>
    <w:rsid w:val="00FA5092"/>
    <w:rsid w:val="3CFC0313"/>
    <w:rsid w:val="52C3C1AE"/>
    <w:rsid w:val="6A489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C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1AF"/>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031AF"/>
    <w:rPr>
      <w:sz w:val="24"/>
    </w:rPr>
  </w:style>
  <w:style w:type="character" w:styleId="EndnoteReference">
    <w:name w:val="endnote reference"/>
    <w:basedOn w:val="DefaultParagraphFont"/>
    <w:semiHidden/>
    <w:rsid w:val="009031AF"/>
    <w:rPr>
      <w:vertAlign w:val="superscript"/>
    </w:rPr>
  </w:style>
  <w:style w:type="paragraph" w:styleId="FootnoteText">
    <w:name w:val="footnote text"/>
    <w:basedOn w:val="Normal"/>
    <w:semiHidden/>
    <w:rsid w:val="009031AF"/>
    <w:rPr>
      <w:sz w:val="24"/>
    </w:rPr>
  </w:style>
  <w:style w:type="character" w:styleId="FootnoteReference">
    <w:name w:val="footnote reference"/>
    <w:basedOn w:val="DefaultParagraphFont"/>
    <w:semiHidden/>
    <w:rsid w:val="009031AF"/>
    <w:rPr>
      <w:vertAlign w:val="superscript"/>
    </w:rPr>
  </w:style>
  <w:style w:type="paragraph" w:styleId="TOC1">
    <w:name w:val="toc 1"/>
    <w:basedOn w:val="Normal"/>
    <w:next w:val="Normal"/>
    <w:autoRedefine/>
    <w:semiHidden/>
    <w:rsid w:val="009031AF"/>
    <w:pPr>
      <w:tabs>
        <w:tab w:val="right" w:leader="dot" w:pos="9360"/>
      </w:tabs>
      <w:suppressAutoHyphens/>
      <w:spacing w:before="480"/>
      <w:ind w:left="720" w:right="720" w:hanging="720"/>
    </w:pPr>
  </w:style>
  <w:style w:type="paragraph" w:styleId="TOC2">
    <w:name w:val="toc 2"/>
    <w:basedOn w:val="Normal"/>
    <w:next w:val="Normal"/>
    <w:autoRedefine/>
    <w:semiHidden/>
    <w:rsid w:val="009031AF"/>
    <w:pPr>
      <w:tabs>
        <w:tab w:val="right" w:leader="dot" w:pos="9360"/>
      </w:tabs>
      <w:suppressAutoHyphens/>
      <w:ind w:left="1440" w:right="720" w:hanging="720"/>
    </w:pPr>
  </w:style>
  <w:style w:type="paragraph" w:styleId="TOC3">
    <w:name w:val="toc 3"/>
    <w:basedOn w:val="Normal"/>
    <w:next w:val="Normal"/>
    <w:autoRedefine/>
    <w:semiHidden/>
    <w:rsid w:val="009031AF"/>
    <w:pPr>
      <w:tabs>
        <w:tab w:val="right" w:leader="dot" w:pos="9360"/>
      </w:tabs>
      <w:suppressAutoHyphens/>
      <w:ind w:left="2160" w:right="720" w:hanging="720"/>
    </w:pPr>
  </w:style>
  <w:style w:type="paragraph" w:styleId="TOC4">
    <w:name w:val="toc 4"/>
    <w:basedOn w:val="Normal"/>
    <w:next w:val="Normal"/>
    <w:autoRedefine/>
    <w:semiHidden/>
    <w:rsid w:val="009031AF"/>
    <w:pPr>
      <w:tabs>
        <w:tab w:val="right" w:leader="dot" w:pos="9360"/>
      </w:tabs>
      <w:suppressAutoHyphens/>
      <w:ind w:left="2880" w:right="720" w:hanging="720"/>
    </w:pPr>
  </w:style>
  <w:style w:type="paragraph" w:styleId="TOC5">
    <w:name w:val="toc 5"/>
    <w:basedOn w:val="Normal"/>
    <w:next w:val="Normal"/>
    <w:autoRedefine/>
    <w:semiHidden/>
    <w:rsid w:val="009031AF"/>
    <w:pPr>
      <w:tabs>
        <w:tab w:val="right" w:leader="dot" w:pos="9360"/>
      </w:tabs>
      <w:suppressAutoHyphens/>
      <w:ind w:left="3600" w:right="720" w:hanging="720"/>
    </w:pPr>
  </w:style>
  <w:style w:type="paragraph" w:styleId="TOC6">
    <w:name w:val="toc 6"/>
    <w:basedOn w:val="Normal"/>
    <w:next w:val="Normal"/>
    <w:autoRedefine/>
    <w:semiHidden/>
    <w:rsid w:val="009031AF"/>
    <w:pPr>
      <w:tabs>
        <w:tab w:val="right" w:pos="9360"/>
      </w:tabs>
      <w:suppressAutoHyphens/>
      <w:ind w:left="720" w:hanging="720"/>
    </w:pPr>
  </w:style>
  <w:style w:type="paragraph" w:styleId="TOC7">
    <w:name w:val="toc 7"/>
    <w:basedOn w:val="Normal"/>
    <w:next w:val="Normal"/>
    <w:autoRedefine/>
    <w:semiHidden/>
    <w:rsid w:val="009031AF"/>
    <w:pPr>
      <w:suppressAutoHyphens/>
      <w:ind w:left="720" w:hanging="720"/>
    </w:pPr>
  </w:style>
  <w:style w:type="paragraph" w:styleId="TOC8">
    <w:name w:val="toc 8"/>
    <w:basedOn w:val="Normal"/>
    <w:next w:val="Normal"/>
    <w:autoRedefine/>
    <w:semiHidden/>
    <w:rsid w:val="009031AF"/>
    <w:pPr>
      <w:tabs>
        <w:tab w:val="right" w:pos="9360"/>
      </w:tabs>
      <w:suppressAutoHyphens/>
      <w:ind w:left="720" w:hanging="720"/>
    </w:pPr>
  </w:style>
  <w:style w:type="paragraph" w:styleId="TOC9">
    <w:name w:val="toc 9"/>
    <w:basedOn w:val="Normal"/>
    <w:next w:val="Normal"/>
    <w:autoRedefine/>
    <w:semiHidden/>
    <w:rsid w:val="009031AF"/>
    <w:pPr>
      <w:tabs>
        <w:tab w:val="right" w:leader="dot" w:pos="9360"/>
      </w:tabs>
      <w:suppressAutoHyphens/>
      <w:ind w:left="720" w:hanging="720"/>
    </w:pPr>
  </w:style>
  <w:style w:type="paragraph" w:styleId="Index1">
    <w:name w:val="index 1"/>
    <w:basedOn w:val="Normal"/>
    <w:next w:val="Normal"/>
    <w:autoRedefine/>
    <w:semiHidden/>
    <w:rsid w:val="009031AF"/>
    <w:pPr>
      <w:tabs>
        <w:tab w:val="right" w:leader="dot" w:pos="9360"/>
      </w:tabs>
      <w:suppressAutoHyphens/>
      <w:ind w:left="1440" w:right="720" w:hanging="1440"/>
    </w:pPr>
  </w:style>
  <w:style w:type="paragraph" w:styleId="Index2">
    <w:name w:val="index 2"/>
    <w:basedOn w:val="Normal"/>
    <w:next w:val="Normal"/>
    <w:autoRedefine/>
    <w:semiHidden/>
    <w:rsid w:val="009031AF"/>
    <w:pPr>
      <w:tabs>
        <w:tab w:val="right" w:leader="dot" w:pos="9360"/>
      </w:tabs>
      <w:suppressAutoHyphens/>
      <w:ind w:left="1440" w:right="720" w:hanging="720"/>
    </w:pPr>
  </w:style>
  <w:style w:type="paragraph" w:styleId="TOAHeading">
    <w:name w:val="toa heading"/>
    <w:basedOn w:val="Normal"/>
    <w:next w:val="Normal"/>
    <w:semiHidden/>
    <w:rsid w:val="009031AF"/>
    <w:pPr>
      <w:tabs>
        <w:tab w:val="right" w:pos="9360"/>
      </w:tabs>
      <w:suppressAutoHyphens/>
    </w:pPr>
  </w:style>
  <w:style w:type="paragraph" w:styleId="Caption">
    <w:name w:val="caption"/>
    <w:basedOn w:val="Normal"/>
    <w:next w:val="Normal"/>
    <w:qFormat/>
    <w:rsid w:val="009031AF"/>
    <w:rPr>
      <w:sz w:val="24"/>
    </w:rPr>
  </w:style>
  <w:style w:type="character" w:customStyle="1" w:styleId="EquationCaption">
    <w:name w:val="_Equation Caption"/>
    <w:rsid w:val="009031AF"/>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C6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F1F66"/>
    <w:pPr>
      <w:tabs>
        <w:tab w:val="center" w:pos="4680"/>
        <w:tab w:val="right" w:pos="9360"/>
      </w:tabs>
    </w:pPr>
  </w:style>
  <w:style w:type="character" w:customStyle="1" w:styleId="HeaderChar">
    <w:name w:val="Header Char"/>
    <w:basedOn w:val="DefaultParagraphFont"/>
    <w:link w:val="Header"/>
    <w:rsid w:val="00DF1F66"/>
    <w:rPr>
      <w:rFonts w:ascii="Courier New" w:hAnsi="Courier New"/>
      <w:snapToGrid w:val="0"/>
    </w:rPr>
  </w:style>
  <w:style w:type="paragraph" w:styleId="Footer">
    <w:name w:val="footer"/>
    <w:basedOn w:val="Normal"/>
    <w:link w:val="FooterChar"/>
    <w:rsid w:val="00DF1F66"/>
    <w:pPr>
      <w:tabs>
        <w:tab w:val="center" w:pos="4680"/>
        <w:tab w:val="right" w:pos="9360"/>
      </w:tabs>
    </w:pPr>
  </w:style>
  <w:style w:type="character" w:customStyle="1" w:styleId="FooterChar">
    <w:name w:val="Footer Char"/>
    <w:basedOn w:val="DefaultParagraphFont"/>
    <w:link w:val="Footer"/>
    <w:rsid w:val="00DF1F66"/>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0970-0177</OMB_x0020_Control_x0020_Number>
    <FR_x0020_Title xmlns="e059a2d5-a4f8-4fd8-b836-4c9cf26100e7" xsi:nil="true"/>
    <ACF_x0020_Tracking_x0020_No_x002e_ xmlns="e059a2d5-a4f8-4fd8-b836-4c9cf26100e7">OCSE-0161</ACF_x0020_Tracking_x0020_No_x002e_>
    <Description0 xmlns="e059a2d5-a4f8-4fd8-b836-4c9cf26100e7">Supporting statement</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C2F5-BAAD-4E17-9E34-F6A984185EC3}">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30C4C15-E7B4-4A38-B616-9EE28D578925}">
  <ds:schemaRefs>
    <ds:schemaRef ds:uri="http://schemas.microsoft.com/sharepoint/v3/contenttype/forms"/>
  </ds:schemaRefs>
</ds:datastoreItem>
</file>

<file path=customXml/itemProps3.xml><?xml version="1.0" encoding="utf-8"?>
<ds:datastoreItem xmlns:ds="http://schemas.openxmlformats.org/officeDocument/2006/customXml" ds:itemID="{2064B6D0-4BEF-4327-8CE3-D108379D4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5508A-7566-403E-8CB0-FA7013C1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SYSTEM</cp:lastModifiedBy>
  <cp:revision>2</cp:revision>
  <cp:lastPrinted>2007-10-10T20:27:00Z</cp:lastPrinted>
  <dcterms:created xsi:type="dcterms:W3CDTF">2018-12-10T18:12:00Z</dcterms:created>
  <dcterms:modified xsi:type="dcterms:W3CDTF">2018-12-10T18:12:00Z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