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BD" w:rsidRPr="002A7412" w:rsidRDefault="008F123A" w:rsidP="0006000A">
      <w:pPr>
        <w:pStyle w:val="BodyText"/>
        <w:jc w:val="center"/>
      </w:pPr>
      <w:bookmarkStart w:id="0" w:name="_GoBack"/>
      <w:bookmarkEnd w:id="0"/>
      <w:r w:rsidRPr="002A7412">
        <w:t>Supporting Statement – Part A</w:t>
      </w:r>
    </w:p>
    <w:p w:rsidR="002A7412" w:rsidRPr="002A7412" w:rsidRDefault="008F123A" w:rsidP="0006000A">
      <w:pPr>
        <w:pStyle w:val="BodyText"/>
        <w:jc w:val="center"/>
      </w:pPr>
      <w:r w:rsidRPr="002A7412">
        <w:t xml:space="preserve">Appropriate Use Criteria (AUC) </w:t>
      </w:r>
      <w:r w:rsidR="002A7412" w:rsidRPr="002A7412">
        <w:t>for Diagnostic Imaging Services</w:t>
      </w:r>
    </w:p>
    <w:p w:rsidR="00624B99" w:rsidRDefault="008F123A" w:rsidP="0006000A">
      <w:pPr>
        <w:pStyle w:val="BodyText"/>
        <w:jc w:val="center"/>
      </w:pPr>
      <w:r w:rsidRPr="002A7412">
        <w:t>Consultation of Specified Applicable AUC through a Qualified Clinical</w:t>
      </w:r>
    </w:p>
    <w:p w:rsidR="001A28BD" w:rsidRPr="002A7412" w:rsidRDefault="008F123A" w:rsidP="0006000A">
      <w:pPr>
        <w:pStyle w:val="BodyText"/>
        <w:jc w:val="center"/>
      </w:pPr>
      <w:r w:rsidRPr="002A7412">
        <w:t>Decision</w:t>
      </w:r>
      <w:r w:rsidR="00624B99">
        <w:t xml:space="preserve"> </w:t>
      </w:r>
      <w:r w:rsidRPr="002A7412">
        <w:t>Support Mechanism (CDSM)</w:t>
      </w:r>
    </w:p>
    <w:p w:rsidR="001A28BD" w:rsidRPr="002A7412" w:rsidRDefault="008F123A" w:rsidP="0006000A">
      <w:pPr>
        <w:pStyle w:val="BodyText"/>
        <w:jc w:val="center"/>
      </w:pPr>
      <w:r w:rsidRPr="002A7412">
        <w:t>CMS-10654, OMB 0938-1345</w:t>
      </w:r>
    </w:p>
    <w:p w:rsidR="001A28BD" w:rsidRDefault="001A28BD" w:rsidP="0006000A">
      <w:pPr>
        <w:pStyle w:val="BodyText"/>
      </w:pPr>
    </w:p>
    <w:p w:rsidR="00EC0159" w:rsidRPr="00EE78D5" w:rsidRDefault="00EC0159" w:rsidP="00EC0159">
      <w:pPr>
        <w:pStyle w:val="BodyText"/>
      </w:pPr>
      <w:r w:rsidRPr="00EE78D5">
        <w:t>This information collection request should not be confused with our CMS-10570 (OMB 0938- 1288) package (Appropriate Use Criteria for Advanced Diagnostic Imaging Services) which pertains to the application process for provider-led entities (PLEs) or CMS-10624 (OMB 0938- 1315) package (Appropriate Use Criteria (AUC) for Diagnostic Imaging Services: Clinical Decision Support Mechanism (CDSM) Application Process) which pertains to the application process for qualification of CDSMs.</w:t>
      </w:r>
    </w:p>
    <w:p w:rsidR="00EC0159" w:rsidRPr="002A7412" w:rsidRDefault="00EC0159" w:rsidP="0006000A">
      <w:pPr>
        <w:pStyle w:val="BodyText"/>
      </w:pPr>
    </w:p>
    <w:p w:rsidR="001A28BD" w:rsidRPr="00EE78D5" w:rsidRDefault="008F123A" w:rsidP="0006000A">
      <w:pPr>
        <w:pStyle w:val="Heading1"/>
        <w:ind w:left="0" w:firstLine="0"/>
      </w:pPr>
      <w:r w:rsidRPr="00EE78D5">
        <w:t>Background</w:t>
      </w:r>
    </w:p>
    <w:p w:rsidR="001A28BD" w:rsidRPr="00EE78D5" w:rsidRDefault="001A28BD" w:rsidP="0006000A">
      <w:pPr>
        <w:pStyle w:val="BodyText"/>
      </w:pPr>
    </w:p>
    <w:p w:rsidR="001A28BD" w:rsidRPr="00EE78D5" w:rsidRDefault="008F123A" w:rsidP="0006000A">
      <w:pPr>
        <w:pStyle w:val="BodyText"/>
      </w:pPr>
      <w:r w:rsidRPr="00EE78D5">
        <w:t>The collection of information under the Appropriate Use Criteria (AUC) for Diagnostic Imaging Services program for AUC consultations is an essential component of this program required under sections 1834(q)(4)(A) and (B) of the Act (as amended by section 218(b) of the Protecting Access to Medicare Act of 2014 (PAMA)).</w:t>
      </w:r>
    </w:p>
    <w:p w:rsidR="001A28BD" w:rsidRDefault="001A28BD" w:rsidP="0006000A">
      <w:pPr>
        <w:pStyle w:val="BodyText"/>
      </w:pPr>
    </w:p>
    <w:p w:rsidR="00751A09" w:rsidRPr="00866A3A" w:rsidRDefault="00751A09" w:rsidP="00751A09">
      <w:pPr>
        <w:pStyle w:val="BodyText"/>
      </w:pPr>
      <w:r w:rsidRPr="00703075">
        <w:t xml:space="preserve">This iteration is associated with our CY 2019 Physician Fee Schedule </w:t>
      </w:r>
      <w:r w:rsidR="00BA4A65">
        <w:t>final</w:t>
      </w:r>
      <w:r w:rsidRPr="00703075">
        <w:t xml:space="preserve"> rule</w:t>
      </w:r>
      <w:r w:rsidR="00F73F37" w:rsidRPr="00703075">
        <w:t xml:space="preserve"> </w:t>
      </w:r>
      <w:r w:rsidR="00B81073">
        <w:t>(</w:t>
      </w:r>
      <w:r w:rsidR="00B81073" w:rsidRPr="00B81073">
        <w:t>November 23, 2018</w:t>
      </w:r>
      <w:r w:rsidR="00B81073">
        <w:t xml:space="preserve">; </w:t>
      </w:r>
      <w:r w:rsidR="00B81073" w:rsidRPr="00B81073">
        <w:t>83 FR 59452)</w:t>
      </w:r>
      <w:r w:rsidR="00B81073" w:rsidRPr="00703075">
        <w:t xml:space="preserve"> </w:t>
      </w:r>
      <w:r w:rsidR="00F73F37" w:rsidRPr="00703075">
        <w:t>(CMS-1693-</w:t>
      </w:r>
      <w:r w:rsidR="009C4FB2">
        <w:t>F</w:t>
      </w:r>
      <w:r w:rsidR="00F73F37" w:rsidRPr="00703075">
        <w:t xml:space="preserve">, RIN 0938-AT31). </w:t>
      </w:r>
      <w:r w:rsidR="002D2855" w:rsidRPr="00703075">
        <w:t>T</w:t>
      </w:r>
      <w:r w:rsidRPr="00703075">
        <w:t>he rule revise</w:t>
      </w:r>
      <w:r w:rsidR="00BA4A65">
        <w:t>s</w:t>
      </w:r>
      <w:r w:rsidRPr="00703075">
        <w:t xml:space="preserve"> 42 CFR 414.94(j) to include AUC consultation by the ordering professional and</w:t>
      </w:r>
      <w:r w:rsidR="00E81F6D" w:rsidRPr="00E81F6D">
        <w:rPr>
          <w:rFonts w:eastAsia="Calibri"/>
        </w:rPr>
        <w:t xml:space="preserve"> </w:t>
      </w:r>
      <w:r w:rsidR="00E81F6D">
        <w:rPr>
          <w:rFonts w:eastAsia="Calibri"/>
        </w:rPr>
        <w:t xml:space="preserve">clinical staff acting under the direction </w:t>
      </w:r>
      <w:r w:rsidR="00E81F6D" w:rsidRPr="00CA1CB3">
        <w:rPr>
          <w:rFonts w:eastAsia="Calibri"/>
        </w:rPr>
        <w:t xml:space="preserve">of the </w:t>
      </w:r>
      <w:r w:rsidR="00E81F6D">
        <w:rPr>
          <w:rFonts w:eastAsia="Calibri"/>
        </w:rPr>
        <w:t>o</w:t>
      </w:r>
      <w:r w:rsidR="00E81F6D" w:rsidRPr="00CA1CB3">
        <w:rPr>
          <w:rFonts w:eastAsia="Calibri"/>
        </w:rPr>
        <w:t xml:space="preserve">rdering </w:t>
      </w:r>
      <w:r w:rsidR="00E81F6D">
        <w:rPr>
          <w:rFonts w:eastAsia="Calibri"/>
        </w:rPr>
        <w:t>p</w:t>
      </w:r>
      <w:r w:rsidR="00E81F6D" w:rsidRPr="00CA1CB3">
        <w:rPr>
          <w:rFonts w:eastAsia="Calibri"/>
        </w:rPr>
        <w:t>rofessional</w:t>
      </w:r>
      <w:r w:rsidRPr="00703075">
        <w:t>. We believe th</w:t>
      </w:r>
      <w:r w:rsidR="00786426">
        <w:t>is</w:t>
      </w:r>
      <w:r w:rsidRPr="00703075">
        <w:t xml:space="preserve"> </w:t>
      </w:r>
      <w:r w:rsidR="00786426">
        <w:rPr>
          <w:noProof/>
        </w:rPr>
        <w:t xml:space="preserve">is stricly related to respondent types and wages, and </w:t>
      </w:r>
      <w:r w:rsidRPr="00703075">
        <w:t xml:space="preserve">would decrease </w:t>
      </w:r>
      <w:r w:rsidR="009F114E">
        <w:t xml:space="preserve">our </w:t>
      </w:r>
      <w:r w:rsidRPr="00703075">
        <w:t xml:space="preserve">currently approved </w:t>
      </w:r>
      <w:r w:rsidR="009F114E">
        <w:t xml:space="preserve">cost </w:t>
      </w:r>
      <w:r w:rsidRPr="00703075">
        <w:t>estimate</w:t>
      </w:r>
      <w:r w:rsidR="007F7A03" w:rsidRPr="00703075">
        <w:t xml:space="preserve">s associated </w:t>
      </w:r>
      <w:r w:rsidR="00EC69F4">
        <w:t xml:space="preserve">with </w:t>
      </w:r>
      <w:r w:rsidR="007F7A03" w:rsidRPr="00703075">
        <w:t>the CY 2018 Physician Fee Schedule final rule</w:t>
      </w:r>
      <w:r w:rsidRPr="00703075">
        <w:t>.</w:t>
      </w:r>
    </w:p>
    <w:p w:rsidR="001A28BD" w:rsidRPr="00EE78D5" w:rsidRDefault="001A28BD" w:rsidP="0006000A">
      <w:pPr>
        <w:pStyle w:val="BodyText"/>
      </w:pPr>
    </w:p>
    <w:p w:rsidR="001A28BD" w:rsidRPr="00EE78D5" w:rsidRDefault="008F123A" w:rsidP="00EE78D5">
      <w:pPr>
        <w:pStyle w:val="Heading1"/>
        <w:numPr>
          <w:ilvl w:val="0"/>
          <w:numId w:val="3"/>
        </w:numPr>
        <w:tabs>
          <w:tab w:val="left" w:pos="552"/>
        </w:tabs>
        <w:ind w:left="0" w:firstLine="0"/>
      </w:pPr>
      <w:r w:rsidRPr="00EE78D5">
        <w:t>Justification</w:t>
      </w:r>
    </w:p>
    <w:p w:rsidR="001A28BD" w:rsidRPr="002A7412" w:rsidRDefault="001A28BD" w:rsidP="0006000A">
      <w:pPr>
        <w:pStyle w:val="BodyText"/>
        <w:rPr>
          <w:u w:val="single"/>
        </w:rPr>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Need and Legal</w:t>
      </w:r>
      <w:r w:rsidRPr="002A7412">
        <w:rPr>
          <w:spacing w:val="-18"/>
          <w:sz w:val="24"/>
          <w:szCs w:val="24"/>
          <w:u w:val="single"/>
        </w:rPr>
        <w:t xml:space="preserve"> </w:t>
      </w:r>
      <w:r w:rsidRPr="002A7412">
        <w:rPr>
          <w:sz w:val="24"/>
          <w:szCs w:val="24"/>
          <w:u w:val="single"/>
        </w:rPr>
        <w:t>Basis</w:t>
      </w:r>
    </w:p>
    <w:p w:rsidR="001A28BD" w:rsidRPr="00EE78D5" w:rsidRDefault="001A28BD" w:rsidP="0006000A">
      <w:pPr>
        <w:pStyle w:val="BodyText"/>
      </w:pPr>
    </w:p>
    <w:p w:rsidR="001A28BD" w:rsidRPr="00EE78D5" w:rsidRDefault="008F123A" w:rsidP="0006000A">
      <w:pPr>
        <w:pStyle w:val="BodyText"/>
      </w:pPr>
      <w:r w:rsidRPr="00EE78D5">
        <w:t>Section 218(b) of the Protecting Access to Medicare Act of 2014 (PAMA) amended Title XVIII of the Social Security Act to add section 1834(q) entitled, “Recognizing Appropriate Use Criteria for Certain Imaging Services,” which CMS to establish a program to promote the use of AUC for advanced diagnostic imaging services. This new program is available at 42 CFR 414.94.</w:t>
      </w:r>
    </w:p>
    <w:p w:rsidR="001A28BD" w:rsidRPr="00EE78D5" w:rsidRDefault="001A28BD" w:rsidP="0006000A">
      <w:pPr>
        <w:pStyle w:val="BodyText"/>
      </w:pPr>
    </w:p>
    <w:p w:rsidR="001A28BD" w:rsidRPr="00EE78D5" w:rsidRDefault="008F123A" w:rsidP="0006000A">
      <w:pPr>
        <w:pStyle w:val="BodyText"/>
      </w:pPr>
      <w:r w:rsidRPr="00EE78D5">
        <w:t>Section 1834(q)(4)(A) of the Act as added by PAMA, specifies that ordering professionals</w:t>
      </w:r>
      <w:r w:rsidR="00CD4E41">
        <w:t xml:space="preserve"> not incurring a significant hardship exception</w:t>
      </w:r>
      <w:r w:rsidRPr="00EE78D5">
        <w:t xml:space="preserve"> consult with a qualified </w:t>
      </w:r>
      <w:r w:rsidR="0088242E">
        <w:t>CDSM</w:t>
      </w:r>
      <w:r w:rsidRPr="00EE78D5">
        <w:t xml:space="preserve"> and </w:t>
      </w:r>
      <w:r w:rsidR="00040AA9">
        <w:t xml:space="preserve"> consultation information be</w:t>
      </w:r>
      <w:r w:rsidR="00BA4A65">
        <w:t xml:space="preserve"> report</w:t>
      </w:r>
      <w:r w:rsidR="00040AA9">
        <w:t>ed</w:t>
      </w:r>
      <w:r w:rsidR="00BA4A65">
        <w:t xml:space="preserve"> on claim</w:t>
      </w:r>
      <w:r w:rsidR="00040AA9">
        <w:t>s to include</w:t>
      </w:r>
      <w:r w:rsidR="00BA4A65">
        <w:t xml:space="preserve"> </w:t>
      </w:r>
      <w:r w:rsidR="002A7412" w:rsidRPr="00EE78D5">
        <w:t xml:space="preserve"> (</w:t>
      </w:r>
      <w:r w:rsidRPr="00EE78D5">
        <w:t xml:space="preserve">1) which qualified CDSM was consulted by the ordering professional for the service; </w:t>
      </w:r>
      <w:r w:rsidR="002A7412" w:rsidRPr="00EE78D5">
        <w:t>(</w:t>
      </w:r>
      <w:r w:rsidRPr="00EE78D5">
        <w:t xml:space="preserve">2) whether the service ordered would adhere to the applicable AUC specified, whether the service ordered would not adhere to such criteria, or whether such criteria was not applicable to the service ordered; and </w:t>
      </w:r>
      <w:r w:rsidR="002A7412" w:rsidRPr="00EE78D5">
        <w:t>(</w:t>
      </w:r>
      <w:r w:rsidRPr="00EE78D5">
        <w:t>3) the NPI of the ordering professional (if different from the furnishing professional).</w:t>
      </w:r>
    </w:p>
    <w:p w:rsidR="001A28BD" w:rsidRPr="00EE78D5" w:rsidRDefault="001A28BD" w:rsidP="0006000A">
      <w:pPr>
        <w:pStyle w:val="BodyText"/>
      </w:pPr>
    </w:p>
    <w:p w:rsidR="001A28BD" w:rsidRPr="00EE78D5" w:rsidRDefault="008F123A" w:rsidP="0006000A">
      <w:pPr>
        <w:pStyle w:val="BodyText"/>
      </w:pPr>
      <w:r w:rsidRPr="00EE78D5">
        <w:t>Section 1834(q)(4)(B) of the Act as added by PAMA, specifies that in order for payment to be made for applicable imaging services furnished in applicable settings and paid for under an applicable payment system</w:t>
      </w:r>
      <w:r w:rsidR="00BA4A65">
        <w:t xml:space="preserve"> AUC consultation information must be included on the Medicare claim</w:t>
      </w:r>
      <w:r w:rsidRPr="00EE78D5">
        <w:t>.</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Information</w:t>
      </w:r>
      <w:r w:rsidRPr="002A7412">
        <w:rPr>
          <w:spacing w:val="-13"/>
          <w:sz w:val="24"/>
          <w:szCs w:val="24"/>
          <w:u w:val="single"/>
        </w:rPr>
        <w:t xml:space="preserve"> </w:t>
      </w:r>
      <w:r w:rsidRPr="002A7412">
        <w:rPr>
          <w:sz w:val="24"/>
          <w:szCs w:val="24"/>
          <w:u w:val="single"/>
        </w:rPr>
        <w:t>Users</w:t>
      </w:r>
    </w:p>
    <w:p w:rsidR="001A28BD" w:rsidRPr="00EE78D5" w:rsidRDefault="001A28BD" w:rsidP="0006000A">
      <w:pPr>
        <w:pStyle w:val="BodyText"/>
      </w:pPr>
    </w:p>
    <w:p w:rsidR="001A28BD" w:rsidRPr="00EE78D5" w:rsidRDefault="008F123A" w:rsidP="0006000A">
      <w:pPr>
        <w:pStyle w:val="BodyText"/>
      </w:pPr>
      <w:r w:rsidRPr="00EE78D5">
        <w:t xml:space="preserve">The information will be used by Medicare claims processing systems to determine payment for advanced diagnostic imaging services. Specifically, we will use the requirement of including the NPI of the ordering professional to identify </w:t>
      </w:r>
      <w:r w:rsidR="00040AA9">
        <w:t>who ordered the applicable imaging service</w:t>
      </w:r>
      <w:r w:rsidRPr="00EE78D5">
        <w:t>. We will use the requirement of including which CDSM was consulted to identify that a qualified CDSM was consulted. Finally, we will use the requirement of reporting whether or not the service ordered would adhere to specified applicable AUC, or whether the specified applicable AUC consulted was not applicable to the service ordered in order to inform future calculations of outlier ordering professionals. This information will not be used to alter the payment amount of the advanced diagnostic imaging service furnished.</w:t>
      </w:r>
    </w:p>
    <w:p w:rsidR="001A28BD" w:rsidRPr="00EE78D5" w:rsidRDefault="001A28BD" w:rsidP="0006000A">
      <w:pPr>
        <w:pStyle w:val="BodyText"/>
      </w:pPr>
    </w:p>
    <w:p w:rsidR="001A28BD" w:rsidRPr="00EE78D5" w:rsidRDefault="008F123A" w:rsidP="00EE78D5">
      <w:pPr>
        <w:pStyle w:val="ListParagraph"/>
        <w:numPr>
          <w:ilvl w:val="1"/>
          <w:numId w:val="3"/>
        </w:numPr>
        <w:tabs>
          <w:tab w:val="left" w:pos="551"/>
          <w:tab w:val="left" w:pos="552"/>
        </w:tabs>
        <w:ind w:left="0" w:firstLine="0"/>
        <w:rPr>
          <w:sz w:val="24"/>
          <w:szCs w:val="24"/>
          <w:u w:val="single"/>
        </w:rPr>
      </w:pPr>
      <w:r w:rsidRPr="00EE78D5">
        <w:rPr>
          <w:sz w:val="24"/>
          <w:szCs w:val="24"/>
          <w:u w:val="single"/>
        </w:rPr>
        <w:t>Use of Information</w:t>
      </w:r>
      <w:r w:rsidRPr="00EE78D5">
        <w:rPr>
          <w:spacing w:val="-19"/>
          <w:sz w:val="24"/>
          <w:szCs w:val="24"/>
          <w:u w:val="single"/>
        </w:rPr>
        <w:t xml:space="preserve"> </w:t>
      </w:r>
      <w:r w:rsidRPr="00EE78D5">
        <w:rPr>
          <w:sz w:val="24"/>
          <w:szCs w:val="24"/>
          <w:u w:val="single"/>
        </w:rPr>
        <w:t>Technology</w:t>
      </w:r>
    </w:p>
    <w:p w:rsidR="001A28BD" w:rsidRPr="00EE78D5" w:rsidRDefault="001A28BD" w:rsidP="0006000A">
      <w:pPr>
        <w:pStyle w:val="BodyText"/>
      </w:pPr>
    </w:p>
    <w:p w:rsidR="001A28BD" w:rsidRPr="00EE78D5" w:rsidRDefault="008F123A" w:rsidP="0006000A">
      <w:pPr>
        <w:pStyle w:val="BodyText"/>
      </w:pPr>
      <w:r w:rsidRPr="00EE78D5">
        <w:t>The collection of information regarding AUC consultation is performed and maintained by the CDSM consistent with requirements of qualification in §414.94(g)(1)(x) and already involves the use of automated, electronic collection techniques. This collection does not require a signature from the submitter, and 100% of responses will be collected electronically. The basis of our decision for adopting this automated, electronic collection technique results from both the identification of the most administratively efficient manner to collect information and section 1834(q)(3)(B)(ii)(vii) of the Act to which the Secretary may specify that the mechanism perform other such functions for the ordering professional. Therefore, we believe that this means of collection is consistent with the Government Paperwork Elimination Act (GPEA).</w:t>
      </w:r>
    </w:p>
    <w:p w:rsidR="001A28BD" w:rsidRPr="00EE78D5" w:rsidRDefault="001A28BD" w:rsidP="0006000A">
      <w:pPr>
        <w:pStyle w:val="BodyText"/>
      </w:pPr>
    </w:p>
    <w:p w:rsidR="001A28BD" w:rsidRPr="00EE78D5" w:rsidRDefault="008F123A" w:rsidP="0006000A">
      <w:pPr>
        <w:pStyle w:val="BodyText"/>
      </w:pPr>
      <w:r w:rsidRPr="00EE78D5">
        <w:t>The reporting of information regarding AUC consultation is performed on the relevant Medicare claim form and already involves the use of automated, electronic collection techniques.</w:t>
      </w:r>
    </w:p>
    <w:p w:rsidR="002A7412" w:rsidRPr="00EE78D5" w:rsidRDefault="002A7412" w:rsidP="0006000A">
      <w:pPr>
        <w:pStyle w:val="BodyText"/>
      </w:pPr>
    </w:p>
    <w:p w:rsidR="001A28BD" w:rsidRPr="00EE78D5" w:rsidRDefault="008F123A" w:rsidP="0006000A">
      <w:pPr>
        <w:pStyle w:val="BodyText"/>
      </w:pPr>
      <w:r w:rsidRPr="00EE78D5">
        <w:t>Electronic data interchange is a technology alternative to the submission of paper claim forms. All of the data collected by a paper claim form can also be collected electronically, which further reduces costs and increases efficiency for providers and suppliers. Legislation has also been enacted which mandates claims be submitted electronically to Medicare. The Administrative Simplification Compliance Act amendment to section 1862(a) of the Social Security Act prescribes that “no payment may be made under Part A or Part B of the Medicare Program for any expenses incurred for items or services” for which a claim is received in a non-electronic form. Consequently, absent an applicable exception, paper claims received by Medicare will not be paid.</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Duplication of</w:t>
      </w:r>
      <w:r w:rsidRPr="002A7412">
        <w:rPr>
          <w:spacing w:val="-9"/>
          <w:sz w:val="24"/>
          <w:szCs w:val="24"/>
          <w:u w:val="single"/>
        </w:rPr>
        <w:t xml:space="preserve"> </w:t>
      </w:r>
      <w:r w:rsidRPr="002A7412">
        <w:rPr>
          <w:sz w:val="24"/>
          <w:szCs w:val="24"/>
          <w:u w:val="single"/>
        </w:rPr>
        <w:t>Efforts</w:t>
      </w:r>
    </w:p>
    <w:p w:rsidR="001A28BD" w:rsidRPr="00EE78D5" w:rsidRDefault="001A28BD" w:rsidP="0006000A">
      <w:pPr>
        <w:pStyle w:val="BodyText"/>
      </w:pPr>
    </w:p>
    <w:p w:rsidR="001A28BD" w:rsidRPr="00EE78D5" w:rsidRDefault="008F123A" w:rsidP="0006000A">
      <w:pPr>
        <w:pStyle w:val="BodyText"/>
      </w:pPr>
      <w:r w:rsidRPr="00EE78D5">
        <w:t>There are no duplicative efforts to collect this specific consultation information.</w:t>
      </w:r>
    </w:p>
    <w:p w:rsidR="001A28BD" w:rsidRPr="00EE78D5" w:rsidRDefault="001A28BD" w:rsidP="0006000A">
      <w:pPr>
        <w:pStyle w:val="BodyText"/>
      </w:pPr>
    </w:p>
    <w:p w:rsidR="001A28BD" w:rsidRPr="00EE78D5" w:rsidRDefault="008F123A" w:rsidP="00EE78D5">
      <w:pPr>
        <w:pStyle w:val="ListParagraph"/>
        <w:numPr>
          <w:ilvl w:val="1"/>
          <w:numId w:val="3"/>
        </w:numPr>
        <w:tabs>
          <w:tab w:val="left" w:pos="551"/>
          <w:tab w:val="left" w:pos="552"/>
        </w:tabs>
        <w:ind w:left="0" w:firstLine="0"/>
        <w:rPr>
          <w:sz w:val="24"/>
          <w:szCs w:val="24"/>
        </w:rPr>
      </w:pPr>
      <w:r w:rsidRPr="00EE78D5">
        <w:rPr>
          <w:sz w:val="24"/>
          <w:szCs w:val="24"/>
        </w:rPr>
        <w:t>Small</w:t>
      </w:r>
      <w:r w:rsidRPr="00EE78D5">
        <w:rPr>
          <w:spacing w:val="-6"/>
          <w:sz w:val="24"/>
          <w:szCs w:val="24"/>
        </w:rPr>
        <w:t xml:space="preserve"> </w:t>
      </w:r>
      <w:r w:rsidRPr="00EE78D5">
        <w:rPr>
          <w:sz w:val="24"/>
          <w:szCs w:val="24"/>
        </w:rPr>
        <w:t>Businesses</w:t>
      </w:r>
    </w:p>
    <w:p w:rsidR="001A28BD" w:rsidRPr="00EE78D5" w:rsidRDefault="001A28BD" w:rsidP="0006000A">
      <w:pPr>
        <w:pStyle w:val="BodyText"/>
      </w:pPr>
    </w:p>
    <w:p w:rsidR="001A28BD" w:rsidRPr="00EE78D5" w:rsidRDefault="008F123A" w:rsidP="0006000A">
      <w:pPr>
        <w:pStyle w:val="BodyText"/>
      </w:pPr>
      <w:r w:rsidRPr="00EE78D5">
        <w:t>There is no significant impact on small businesses to collect AUC consultation information as such information is performed and maintained by the CDSM consistent with requirements of qualification in §414.94(g)(1)(x), already involves the use of automated, electronic collection techniques, and Section 1834(q)(1)(C)(iii) of the Act requires that one or more of such mechanisms is available free of charge. There is also no significant impact on small businesses to report AUC consultation information as approximately 96.5% of small business submit electronic claims forms to Medicare, leaving only a small percentage that submit via paper.</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Less Frequent</w:t>
      </w:r>
      <w:r w:rsidRPr="002A7412">
        <w:rPr>
          <w:spacing w:val="-15"/>
          <w:sz w:val="24"/>
          <w:szCs w:val="24"/>
          <w:u w:val="single"/>
        </w:rPr>
        <w:t xml:space="preserve"> </w:t>
      </w:r>
      <w:r w:rsidRPr="002A7412">
        <w:rPr>
          <w:sz w:val="24"/>
          <w:szCs w:val="24"/>
          <w:u w:val="single"/>
        </w:rPr>
        <w:t>Collection</w:t>
      </w:r>
    </w:p>
    <w:p w:rsidR="001A28BD" w:rsidRPr="00EE78D5" w:rsidRDefault="001A28BD" w:rsidP="0006000A">
      <w:pPr>
        <w:pStyle w:val="BodyText"/>
      </w:pPr>
    </w:p>
    <w:p w:rsidR="001A28BD" w:rsidRPr="00EE78D5" w:rsidRDefault="008F123A" w:rsidP="0006000A">
      <w:pPr>
        <w:pStyle w:val="BodyText"/>
      </w:pPr>
      <w:r w:rsidRPr="00EE78D5">
        <w:t>In order for reimbursement to proceed in a timely and accurate manner, claims for reimbursement should be submitted soon after the provision of service. Consequently, there is no coherent or beneficial approach regarding the submitting of claims on a less frequent basis. Moreover, extended delays in the processing of Part B claims would increase the probability of errors while potentially imposing cash flow problems on physicians/suppliers as well as beneficiaries.</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Special</w:t>
      </w:r>
      <w:r w:rsidRPr="002A7412">
        <w:rPr>
          <w:spacing w:val="-10"/>
          <w:sz w:val="24"/>
          <w:szCs w:val="24"/>
          <w:u w:val="single"/>
        </w:rPr>
        <w:t xml:space="preserve"> </w:t>
      </w:r>
      <w:r w:rsidRPr="002A7412">
        <w:rPr>
          <w:sz w:val="24"/>
          <w:szCs w:val="24"/>
          <w:u w:val="single"/>
        </w:rPr>
        <w:t>Circumstances</w:t>
      </w:r>
    </w:p>
    <w:p w:rsidR="001A28BD" w:rsidRPr="00EE78D5" w:rsidRDefault="001A28BD" w:rsidP="0006000A">
      <w:pPr>
        <w:pStyle w:val="BodyText"/>
      </w:pPr>
    </w:p>
    <w:p w:rsidR="001A28BD" w:rsidRPr="00EE78D5" w:rsidRDefault="008F123A" w:rsidP="0006000A">
      <w:pPr>
        <w:pStyle w:val="BodyText"/>
      </w:pPr>
      <w:r w:rsidRPr="00EE78D5">
        <w:t>Ordering professionals</w:t>
      </w:r>
      <w:r w:rsidR="00CD4E41" w:rsidRPr="00CD4E41">
        <w:t xml:space="preserve"> </w:t>
      </w:r>
      <w:r w:rsidR="00CD4E41">
        <w:t>not incurring a significant hardship exception</w:t>
      </w:r>
      <w:r w:rsidRPr="00EE78D5">
        <w:t xml:space="preserve"> or </w:t>
      </w:r>
      <w:r w:rsidR="007A10C1">
        <w:rPr>
          <w:rFonts w:eastAsia="Calibri"/>
        </w:rPr>
        <w:t xml:space="preserve">clinical staff acting under the direction </w:t>
      </w:r>
      <w:r w:rsidR="007A10C1" w:rsidRPr="00CA1CB3">
        <w:rPr>
          <w:rFonts w:eastAsia="Calibri"/>
        </w:rPr>
        <w:t xml:space="preserve">of the </w:t>
      </w:r>
      <w:r w:rsidR="007A10C1">
        <w:rPr>
          <w:rFonts w:eastAsia="Calibri"/>
        </w:rPr>
        <w:t>o</w:t>
      </w:r>
      <w:r w:rsidR="007A10C1" w:rsidRPr="00CA1CB3">
        <w:rPr>
          <w:rFonts w:eastAsia="Calibri"/>
        </w:rPr>
        <w:t xml:space="preserve">rdering </w:t>
      </w:r>
      <w:r w:rsidR="007A10C1">
        <w:rPr>
          <w:rFonts w:eastAsia="Calibri"/>
        </w:rPr>
        <w:t>p</w:t>
      </w:r>
      <w:r w:rsidR="007A10C1" w:rsidRPr="00CA1CB3">
        <w:rPr>
          <w:rFonts w:eastAsia="Calibri"/>
        </w:rPr>
        <w:t>rofessional</w:t>
      </w:r>
      <w:r w:rsidR="007A10C1" w:rsidRPr="00EE78D5" w:rsidDel="007A10C1">
        <w:t xml:space="preserve"> </w:t>
      </w:r>
      <w:r w:rsidRPr="00EE78D5">
        <w:t xml:space="preserve">consult specified applicable AUC and AUC consultation information </w:t>
      </w:r>
      <w:r w:rsidR="00040AA9">
        <w:t>is</w:t>
      </w:r>
      <w:r w:rsidR="00040AA9" w:rsidRPr="00EE78D5">
        <w:t xml:space="preserve"> </w:t>
      </w:r>
      <w:r w:rsidRPr="00EE78D5">
        <w:t>reported with the submission of claim forms “on occasion.” In most circumstances, this is more often than quarterly. Submission of claim forms is necessary for reimbursement.</w:t>
      </w:r>
    </w:p>
    <w:p w:rsidR="001A28BD" w:rsidRPr="00EE78D5" w:rsidRDefault="001A28BD" w:rsidP="0006000A">
      <w:pPr>
        <w:pStyle w:val="BodyText"/>
      </w:pPr>
    </w:p>
    <w:p w:rsidR="001A28BD" w:rsidRPr="00EE78D5" w:rsidRDefault="008F123A" w:rsidP="0006000A">
      <w:pPr>
        <w:pStyle w:val="BodyText"/>
      </w:pPr>
      <w:r w:rsidRPr="00EE78D5">
        <w:t>Otherwise, there are no special circumstances that would require an information collection to be conducted in a manner that requires respondents to:</w:t>
      </w:r>
    </w:p>
    <w:p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 xml:space="preserve">Prepare a written response to a collection of information in fewer than 30 </w:t>
      </w:r>
      <w:r w:rsidRPr="00EE78D5">
        <w:rPr>
          <w:spacing w:val="-3"/>
          <w:sz w:val="24"/>
          <w:szCs w:val="24"/>
        </w:rPr>
        <w:t xml:space="preserve">days </w:t>
      </w:r>
      <w:r w:rsidRPr="00EE78D5">
        <w:rPr>
          <w:sz w:val="24"/>
          <w:szCs w:val="24"/>
        </w:rPr>
        <w:t>after</w:t>
      </w:r>
      <w:r w:rsidRPr="00EE78D5">
        <w:rPr>
          <w:spacing w:val="-29"/>
          <w:sz w:val="24"/>
          <w:szCs w:val="24"/>
        </w:rPr>
        <w:t xml:space="preserve"> </w:t>
      </w:r>
      <w:r w:rsidRPr="00EE78D5">
        <w:rPr>
          <w:sz w:val="24"/>
          <w:szCs w:val="24"/>
        </w:rPr>
        <w:t>receipt of</w:t>
      </w:r>
      <w:r w:rsidRPr="00EE78D5">
        <w:rPr>
          <w:spacing w:val="-1"/>
          <w:sz w:val="24"/>
          <w:szCs w:val="24"/>
        </w:rPr>
        <w:t xml:space="preserve"> </w:t>
      </w:r>
      <w:r w:rsidRPr="00EE78D5">
        <w:rPr>
          <w:sz w:val="24"/>
          <w:szCs w:val="24"/>
        </w:rPr>
        <w:t>it;</w:t>
      </w:r>
    </w:p>
    <w:p w:rsidR="001A28BD" w:rsidRPr="00EE78D5" w:rsidRDefault="008F123A" w:rsidP="00EE78D5">
      <w:pPr>
        <w:pStyle w:val="ListParagraph"/>
        <w:numPr>
          <w:ilvl w:val="0"/>
          <w:numId w:val="2"/>
        </w:numPr>
        <w:tabs>
          <w:tab w:val="left" w:pos="551"/>
          <w:tab w:val="left" w:pos="552"/>
        </w:tabs>
        <w:ind w:left="0" w:firstLine="0"/>
        <w:rPr>
          <w:sz w:val="24"/>
          <w:szCs w:val="24"/>
        </w:rPr>
      </w:pPr>
      <w:r w:rsidRPr="00EE78D5">
        <w:rPr>
          <w:sz w:val="24"/>
          <w:szCs w:val="24"/>
        </w:rPr>
        <w:t>Submit more than an original and two copies of any</w:t>
      </w:r>
      <w:r w:rsidRPr="00EE78D5">
        <w:rPr>
          <w:spacing w:val="-26"/>
          <w:sz w:val="24"/>
          <w:szCs w:val="24"/>
        </w:rPr>
        <w:t xml:space="preserve"> </w:t>
      </w:r>
      <w:r w:rsidRPr="00EE78D5">
        <w:rPr>
          <w:sz w:val="24"/>
          <w:szCs w:val="24"/>
        </w:rPr>
        <w:t>document;</w:t>
      </w:r>
    </w:p>
    <w:p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Retain records, other than health, medical, government contract, grant-in-aid, or tax</w:t>
      </w:r>
      <w:r w:rsidRPr="00EE78D5">
        <w:rPr>
          <w:spacing w:val="-35"/>
          <w:sz w:val="24"/>
          <w:szCs w:val="24"/>
        </w:rPr>
        <w:t xml:space="preserve"> </w:t>
      </w:r>
      <w:r w:rsidRPr="00EE78D5">
        <w:rPr>
          <w:sz w:val="24"/>
          <w:szCs w:val="24"/>
        </w:rPr>
        <w:t>records for more than three</w:t>
      </w:r>
      <w:r w:rsidRPr="00EE78D5">
        <w:rPr>
          <w:spacing w:val="-20"/>
          <w:sz w:val="24"/>
          <w:szCs w:val="24"/>
        </w:rPr>
        <w:t xml:space="preserve"> </w:t>
      </w:r>
      <w:r w:rsidRPr="00EE78D5">
        <w:rPr>
          <w:sz w:val="24"/>
          <w:szCs w:val="24"/>
        </w:rPr>
        <w:t>years;</w:t>
      </w:r>
    </w:p>
    <w:p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Collect data in connection with a statistical survey that is not designed to produce valid</w:t>
      </w:r>
      <w:r w:rsidRPr="00EE78D5">
        <w:rPr>
          <w:spacing w:val="-33"/>
          <w:sz w:val="24"/>
          <w:szCs w:val="24"/>
        </w:rPr>
        <w:t xml:space="preserve"> </w:t>
      </w:r>
      <w:r w:rsidRPr="00EE78D5">
        <w:rPr>
          <w:sz w:val="24"/>
          <w:szCs w:val="24"/>
        </w:rPr>
        <w:t>and reliable results that can be generalized to the universe of</w:t>
      </w:r>
      <w:r w:rsidRPr="00EE78D5">
        <w:rPr>
          <w:spacing w:val="-31"/>
          <w:sz w:val="24"/>
          <w:szCs w:val="24"/>
        </w:rPr>
        <w:t xml:space="preserve"> </w:t>
      </w:r>
      <w:r w:rsidRPr="00EE78D5">
        <w:rPr>
          <w:sz w:val="24"/>
          <w:szCs w:val="24"/>
        </w:rPr>
        <w:t>study,</w:t>
      </w:r>
    </w:p>
    <w:p w:rsidR="001A28BD" w:rsidRPr="00EE78D5" w:rsidRDefault="008F123A" w:rsidP="00EE78D5">
      <w:pPr>
        <w:pStyle w:val="ListParagraph"/>
        <w:numPr>
          <w:ilvl w:val="0"/>
          <w:numId w:val="2"/>
        </w:numPr>
        <w:tabs>
          <w:tab w:val="left" w:pos="551"/>
          <w:tab w:val="left" w:pos="552"/>
        </w:tabs>
        <w:ind w:left="0" w:firstLine="0"/>
        <w:rPr>
          <w:sz w:val="24"/>
          <w:szCs w:val="24"/>
        </w:rPr>
      </w:pPr>
      <w:r w:rsidRPr="00EE78D5">
        <w:rPr>
          <w:sz w:val="24"/>
          <w:szCs w:val="24"/>
        </w:rPr>
        <w:t>Use a statistical data classification that has not been reviewed and approved by</w:t>
      </w:r>
      <w:r w:rsidRPr="00EE78D5">
        <w:rPr>
          <w:spacing w:val="-38"/>
          <w:sz w:val="24"/>
          <w:szCs w:val="24"/>
        </w:rPr>
        <w:t xml:space="preserve"> </w:t>
      </w:r>
      <w:r w:rsidRPr="00EE78D5">
        <w:rPr>
          <w:sz w:val="24"/>
          <w:szCs w:val="24"/>
        </w:rPr>
        <w:t>OMB;</w:t>
      </w:r>
    </w:p>
    <w:p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Include</w:t>
      </w:r>
      <w:r w:rsidRPr="00EE78D5">
        <w:rPr>
          <w:spacing w:val="-3"/>
          <w:sz w:val="24"/>
          <w:szCs w:val="24"/>
        </w:rPr>
        <w:t xml:space="preserve"> </w:t>
      </w:r>
      <w:r w:rsidRPr="00EE78D5">
        <w:rPr>
          <w:sz w:val="24"/>
          <w:szCs w:val="24"/>
        </w:rPr>
        <w:t>a</w:t>
      </w:r>
      <w:r w:rsidRPr="00EE78D5">
        <w:rPr>
          <w:spacing w:val="-3"/>
          <w:sz w:val="24"/>
          <w:szCs w:val="24"/>
        </w:rPr>
        <w:t xml:space="preserve"> </w:t>
      </w:r>
      <w:r w:rsidRPr="00EE78D5">
        <w:rPr>
          <w:sz w:val="24"/>
          <w:szCs w:val="24"/>
        </w:rPr>
        <w:t>pledge</w:t>
      </w:r>
      <w:r w:rsidRPr="00EE78D5">
        <w:rPr>
          <w:spacing w:val="-3"/>
          <w:sz w:val="24"/>
          <w:szCs w:val="24"/>
        </w:rPr>
        <w:t xml:space="preserve"> </w:t>
      </w:r>
      <w:r w:rsidRPr="00EE78D5">
        <w:rPr>
          <w:sz w:val="24"/>
          <w:szCs w:val="24"/>
        </w:rPr>
        <w:t>of</w:t>
      </w:r>
      <w:r w:rsidRPr="00EE78D5">
        <w:rPr>
          <w:spacing w:val="-3"/>
          <w:sz w:val="24"/>
          <w:szCs w:val="24"/>
        </w:rPr>
        <w:t xml:space="preserve"> </w:t>
      </w:r>
      <w:r w:rsidRPr="00EE78D5">
        <w:rPr>
          <w:sz w:val="24"/>
          <w:szCs w:val="24"/>
        </w:rPr>
        <w:t>confidentiality</w:t>
      </w:r>
      <w:r w:rsidRPr="00EE78D5">
        <w:rPr>
          <w:spacing w:val="-10"/>
          <w:sz w:val="24"/>
          <w:szCs w:val="24"/>
        </w:rPr>
        <w:t xml:space="preserve"> </w:t>
      </w:r>
      <w:r w:rsidRPr="00EE78D5">
        <w:rPr>
          <w:sz w:val="24"/>
          <w:szCs w:val="24"/>
        </w:rPr>
        <w:t>that</w:t>
      </w:r>
      <w:r w:rsidRPr="00EE78D5">
        <w:rPr>
          <w:spacing w:val="-2"/>
          <w:sz w:val="24"/>
          <w:szCs w:val="24"/>
        </w:rPr>
        <w:t xml:space="preserve"> </w:t>
      </w:r>
      <w:r w:rsidRPr="00EE78D5">
        <w:rPr>
          <w:sz w:val="24"/>
          <w:szCs w:val="24"/>
        </w:rPr>
        <w:t>is</w:t>
      </w:r>
      <w:r w:rsidRPr="00EE78D5">
        <w:rPr>
          <w:spacing w:val="-2"/>
          <w:sz w:val="24"/>
          <w:szCs w:val="24"/>
        </w:rPr>
        <w:t xml:space="preserve"> </w:t>
      </w:r>
      <w:r w:rsidRPr="00EE78D5">
        <w:rPr>
          <w:sz w:val="24"/>
          <w:szCs w:val="24"/>
        </w:rPr>
        <w:t>not</w:t>
      </w:r>
      <w:r w:rsidRPr="00EE78D5">
        <w:rPr>
          <w:spacing w:val="-2"/>
          <w:sz w:val="24"/>
          <w:szCs w:val="24"/>
        </w:rPr>
        <w:t xml:space="preserve"> </w:t>
      </w:r>
      <w:r w:rsidRPr="00EE78D5">
        <w:rPr>
          <w:sz w:val="24"/>
          <w:szCs w:val="24"/>
        </w:rPr>
        <w:t>supported</w:t>
      </w:r>
      <w:r w:rsidRPr="00EE78D5">
        <w:rPr>
          <w:spacing w:val="-2"/>
          <w:sz w:val="24"/>
          <w:szCs w:val="24"/>
        </w:rPr>
        <w:t xml:space="preserve"> </w:t>
      </w:r>
      <w:r w:rsidRPr="00EE78D5">
        <w:rPr>
          <w:sz w:val="24"/>
          <w:szCs w:val="24"/>
        </w:rPr>
        <w:t>by</w:t>
      </w:r>
      <w:r w:rsidRPr="00EE78D5">
        <w:rPr>
          <w:spacing w:val="-10"/>
          <w:sz w:val="24"/>
          <w:szCs w:val="24"/>
        </w:rPr>
        <w:t xml:space="preserve"> </w:t>
      </w:r>
      <w:r w:rsidRPr="00EE78D5">
        <w:rPr>
          <w:sz w:val="24"/>
          <w:szCs w:val="24"/>
        </w:rPr>
        <w:t>authority</w:t>
      </w:r>
      <w:r w:rsidRPr="00EE78D5">
        <w:rPr>
          <w:spacing w:val="-10"/>
          <w:sz w:val="24"/>
          <w:szCs w:val="24"/>
        </w:rPr>
        <w:t xml:space="preserve"> </w:t>
      </w:r>
      <w:r w:rsidRPr="00EE78D5">
        <w:rPr>
          <w:sz w:val="24"/>
          <w:szCs w:val="24"/>
        </w:rPr>
        <w:t>established</w:t>
      </w:r>
      <w:r w:rsidRPr="00EE78D5">
        <w:rPr>
          <w:spacing w:val="-2"/>
          <w:sz w:val="24"/>
          <w:szCs w:val="24"/>
        </w:rPr>
        <w:t xml:space="preserve"> </w:t>
      </w:r>
      <w:r w:rsidRPr="00EE78D5">
        <w:rPr>
          <w:sz w:val="24"/>
          <w:szCs w:val="24"/>
        </w:rPr>
        <w:t>in</w:t>
      </w:r>
      <w:r w:rsidRPr="00EE78D5">
        <w:rPr>
          <w:spacing w:val="-2"/>
          <w:sz w:val="24"/>
          <w:szCs w:val="24"/>
        </w:rPr>
        <w:t xml:space="preserve"> </w:t>
      </w:r>
      <w:r w:rsidRPr="00EE78D5">
        <w:rPr>
          <w:sz w:val="24"/>
          <w:szCs w:val="24"/>
        </w:rPr>
        <w:t>statute</w:t>
      </w:r>
      <w:r w:rsidRPr="00EE78D5">
        <w:rPr>
          <w:spacing w:val="-3"/>
          <w:sz w:val="24"/>
          <w:szCs w:val="24"/>
        </w:rPr>
        <w:t xml:space="preserve"> </w:t>
      </w:r>
      <w:r w:rsidRPr="00EE78D5">
        <w:rPr>
          <w:sz w:val="24"/>
          <w:szCs w:val="24"/>
        </w:rPr>
        <w:t>or regulation that is not supported by disclosure and data security policies that are consistent with the pledge, or which unnecessarily impedes sharing of data with other agencies for compatible confidential use;</w:t>
      </w:r>
      <w:r w:rsidRPr="00EE78D5">
        <w:rPr>
          <w:spacing w:val="-6"/>
          <w:sz w:val="24"/>
          <w:szCs w:val="24"/>
        </w:rPr>
        <w:t xml:space="preserve"> </w:t>
      </w:r>
      <w:r w:rsidRPr="00EE78D5">
        <w:rPr>
          <w:sz w:val="24"/>
          <w:szCs w:val="24"/>
        </w:rPr>
        <w:t>or</w:t>
      </w:r>
    </w:p>
    <w:p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Submit proprietary trade secret, or other confidential information unless the agency can demonstrate that it has instituted procedures to protect the information's confidentiality to</w:t>
      </w:r>
      <w:r w:rsidRPr="00EE78D5">
        <w:rPr>
          <w:spacing w:val="-34"/>
          <w:sz w:val="24"/>
          <w:szCs w:val="24"/>
        </w:rPr>
        <w:t xml:space="preserve"> </w:t>
      </w:r>
      <w:r w:rsidRPr="00EE78D5">
        <w:rPr>
          <w:sz w:val="24"/>
          <w:szCs w:val="24"/>
        </w:rPr>
        <w:t>the extent permitted by</w:t>
      </w:r>
      <w:r w:rsidRPr="00EE78D5">
        <w:rPr>
          <w:spacing w:val="-13"/>
          <w:sz w:val="24"/>
          <w:szCs w:val="24"/>
        </w:rPr>
        <w:t xml:space="preserve"> </w:t>
      </w:r>
      <w:r w:rsidRPr="00EE78D5">
        <w:rPr>
          <w:sz w:val="24"/>
          <w:szCs w:val="24"/>
        </w:rPr>
        <w:t>law.</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Federal Register/Outside</w:t>
      </w:r>
      <w:r w:rsidRPr="002A7412">
        <w:rPr>
          <w:spacing w:val="-21"/>
          <w:sz w:val="24"/>
          <w:szCs w:val="24"/>
          <w:u w:val="single"/>
        </w:rPr>
        <w:t xml:space="preserve"> </w:t>
      </w:r>
      <w:r w:rsidRPr="002A7412">
        <w:rPr>
          <w:sz w:val="24"/>
          <w:szCs w:val="24"/>
          <w:u w:val="single"/>
        </w:rPr>
        <w:t>Consultation</w:t>
      </w:r>
    </w:p>
    <w:p w:rsidR="001A28BD" w:rsidRPr="00EE78D5" w:rsidRDefault="001A28BD" w:rsidP="0006000A">
      <w:pPr>
        <w:pStyle w:val="BodyText"/>
      </w:pPr>
    </w:p>
    <w:p w:rsidR="001A28BD" w:rsidRPr="00592973" w:rsidRDefault="008F123A" w:rsidP="0006000A">
      <w:pPr>
        <w:rPr>
          <w:i/>
          <w:sz w:val="24"/>
          <w:szCs w:val="24"/>
        </w:rPr>
      </w:pPr>
      <w:r w:rsidRPr="00592973">
        <w:rPr>
          <w:i/>
          <w:sz w:val="24"/>
          <w:szCs w:val="24"/>
        </w:rPr>
        <w:t>Federal Register</w:t>
      </w:r>
    </w:p>
    <w:p w:rsidR="001A28BD" w:rsidRPr="007A579B" w:rsidRDefault="001A28BD" w:rsidP="0006000A">
      <w:pPr>
        <w:pStyle w:val="BodyText"/>
      </w:pPr>
    </w:p>
    <w:p w:rsidR="00ED7BDE" w:rsidRPr="007A579B" w:rsidRDefault="00ED7BDE" w:rsidP="00ED7B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A579B">
        <w:rPr>
          <w:sz w:val="24"/>
          <w:szCs w:val="24"/>
        </w:rPr>
        <w:t xml:space="preserve">Serving as the 60-day notice, the CY 2019 PFS proposed rule (RIN 0938-AT31, CMS-1693-P) published in the Federal Register on July 27, 2018 (83 FR 35704). The rule was placed on display for public inspection on July 3, 2018. Comments were </w:t>
      </w:r>
      <w:r w:rsidR="007A579B" w:rsidRPr="007A579B">
        <w:rPr>
          <w:sz w:val="24"/>
          <w:szCs w:val="24"/>
        </w:rPr>
        <w:t>received. A summary of the comments and our response is attached to this PRA package.</w:t>
      </w:r>
    </w:p>
    <w:p w:rsidR="00ED7BDE" w:rsidRPr="007A579B" w:rsidRDefault="00ED7BDE" w:rsidP="00ED7B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D7BDE" w:rsidRPr="00231B92" w:rsidRDefault="00ED7BDE" w:rsidP="00ED7B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1B92">
        <w:rPr>
          <w:sz w:val="24"/>
        </w:rPr>
        <w:t>The CY 2019 PFS final rule published on November 23, 2018 (83 FR 59452).</w:t>
      </w:r>
    </w:p>
    <w:p w:rsidR="00ED7BDE" w:rsidRDefault="00ED7BDE" w:rsidP="00592973">
      <w:pPr>
        <w:pStyle w:val="BodyText"/>
      </w:pPr>
    </w:p>
    <w:p w:rsidR="001A28BD" w:rsidRPr="00EE78D5" w:rsidRDefault="008F123A" w:rsidP="0006000A">
      <w:pPr>
        <w:rPr>
          <w:i/>
          <w:sz w:val="24"/>
          <w:szCs w:val="24"/>
        </w:rPr>
      </w:pPr>
      <w:r w:rsidRPr="00EE78D5">
        <w:rPr>
          <w:i/>
          <w:sz w:val="24"/>
          <w:szCs w:val="24"/>
        </w:rPr>
        <w:t>Outside Consultation</w:t>
      </w:r>
    </w:p>
    <w:p w:rsidR="001A28BD" w:rsidRPr="00EE78D5" w:rsidRDefault="001A28BD" w:rsidP="0006000A">
      <w:pPr>
        <w:pStyle w:val="BodyText"/>
      </w:pPr>
    </w:p>
    <w:p w:rsidR="00797B03" w:rsidRDefault="008F123A" w:rsidP="007A10C1">
      <w:pPr>
        <w:pStyle w:val="BodyText"/>
      </w:pPr>
      <w:r w:rsidRPr="00EE78D5">
        <w:t>We have engaged governmental and nongovernmental stakeholders in discussions regarding the AUC program in general.</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Payments/Gifts to</w:t>
      </w:r>
      <w:r w:rsidRPr="002A7412">
        <w:rPr>
          <w:spacing w:val="-1"/>
          <w:sz w:val="24"/>
          <w:szCs w:val="24"/>
          <w:u w:val="single"/>
        </w:rPr>
        <w:t xml:space="preserve"> </w:t>
      </w:r>
      <w:r w:rsidRPr="002A7412">
        <w:rPr>
          <w:sz w:val="24"/>
          <w:szCs w:val="24"/>
          <w:u w:val="single"/>
        </w:rPr>
        <w:t>Respondents</w:t>
      </w:r>
    </w:p>
    <w:p w:rsidR="001A28BD" w:rsidRPr="00EE78D5" w:rsidRDefault="001A28BD" w:rsidP="0006000A">
      <w:pPr>
        <w:pStyle w:val="BodyText"/>
      </w:pPr>
    </w:p>
    <w:p w:rsidR="001A28BD" w:rsidRPr="00EE78D5" w:rsidRDefault="008F123A" w:rsidP="0006000A">
      <w:pPr>
        <w:pStyle w:val="BodyText"/>
        <w:jc w:val="both"/>
      </w:pPr>
      <w:r w:rsidRPr="00EE78D5">
        <w:t>While furnishing professionals or imaging facilities will not be provided payment or gifts for this</w:t>
      </w:r>
      <w:r w:rsidRPr="00EE78D5">
        <w:rPr>
          <w:spacing w:val="-3"/>
        </w:rPr>
        <w:t xml:space="preserve"> </w:t>
      </w:r>
      <w:r w:rsidRPr="00EE78D5">
        <w:t>collection</w:t>
      </w:r>
      <w:r w:rsidRPr="00EE78D5">
        <w:rPr>
          <w:spacing w:val="-4"/>
        </w:rPr>
        <w:t xml:space="preserve"> </w:t>
      </w:r>
      <w:r w:rsidRPr="00EE78D5">
        <w:t>of</w:t>
      </w:r>
      <w:r w:rsidRPr="00EE78D5">
        <w:rPr>
          <w:spacing w:val="-5"/>
        </w:rPr>
        <w:t xml:space="preserve"> </w:t>
      </w:r>
      <w:r w:rsidRPr="00EE78D5">
        <w:t>information,</w:t>
      </w:r>
      <w:r w:rsidRPr="00EE78D5">
        <w:rPr>
          <w:spacing w:val="-4"/>
        </w:rPr>
        <w:t xml:space="preserve"> </w:t>
      </w:r>
      <w:r w:rsidRPr="00EE78D5">
        <w:t>such</w:t>
      </w:r>
      <w:r w:rsidRPr="00EE78D5">
        <w:rPr>
          <w:spacing w:val="-3"/>
        </w:rPr>
        <w:t xml:space="preserve"> </w:t>
      </w:r>
      <w:r w:rsidRPr="00EE78D5">
        <w:t>information</w:t>
      </w:r>
      <w:r w:rsidRPr="00EE78D5">
        <w:rPr>
          <w:spacing w:val="-4"/>
        </w:rPr>
        <w:t xml:space="preserve"> </w:t>
      </w:r>
      <w:r w:rsidRPr="00EE78D5">
        <w:t>would</w:t>
      </w:r>
      <w:r w:rsidRPr="00EE78D5">
        <w:rPr>
          <w:spacing w:val="-3"/>
        </w:rPr>
        <w:t xml:space="preserve"> </w:t>
      </w:r>
      <w:r w:rsidRPr="00EE78D5">
        <w:t>be</w:t>
      </w:r>
      <w:r w:rsidRPr="00EE78D5">
        <w:rPr>
          <w:spacing w:val="-5"/>
        </w:rPr>
        <w:t xml:space="preserve"> </w:t>
      </w:r>
      <w:r w:rsidRPr="00EE78D5">
        <w:t>necessary</w:t>
      </w:r>
      <w:r w:rsidRPr="00EE78D5">
        <w:rPr>
          <w:spacing w:val="-11"/>
        </w:rPr>
        <w:t xml:space="preserve"> </w:t>
      </w:r>
      <w:r w:rsidRPr="00EE78D5">
        <w:t>for</w:t>
      </w:r>
      <w:r w:rsidRPr="00EE78D5">
        <w:rPr>
          <w:spacing w:val="-4"/>
        </w:rPr>
        <w:t xml:space="preserve"> </w:t>
      </w:r>
      <w:r w:rsidRPr="00EE78D5">
        <w:t>payment</w:t>
      </w:r>
      <w:r w:rsidRPr="00EE78D5">
        <w:rPr>
          <w:spacing w:val="-3"/>
        </w:rPr>
        <w:t xml:space="preserve"> </w:t>
      </w:r>
      <w:r w:rsidRPr="00EE78D5">
        <w:t>of</w:t>
      </w:r>
      <w:r w:rsidRPr="00EE78D5">
        <w:rPr>
          <w:spacing w:val="-4"/>
        </w:rPr>
        <w:t xml:space="preserve"> </w:t>
      </w:r>
      <w:r w:rsidRPr="00EE78D5">
        <w:t>applicable imaging services furnished under these</w:t>
      </w:r>
      <w:r w:rsidRPr="00EE78D5">
        <w:rPr>
          <w:spacing w:val="-29"/>
        </w:rPr>
        <w:t xml:space="preserve"> </w:t>
      </w:r>
      <w:r w:rsidRPr="00EE78D5">
        <w:t>proposals.</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2"/>
        </w:tabs>
        <w:ind w:left="0" w:firstLine="0"/>
        <w:rPr>
          <w:sz w:val="24"/>
          <w:szCs w:val="24"/>
          <w:u w:val="single"/>
        </w:rPr>
      </w:pPr>
      <w:r w:rsidRPr="002A7412">
        <w:rPr>
          <w:sz w:val="24"/>
          <w:szCs w:val="24"/>
          <w:u w:val="single"/>
        </w:rPr>
        <w:t>Confidentiality</w:t>
      </w:r>
    </w:p>
    <w:p w:rsidR="001A28BD" w:rsidRPr="00EE78D5" w:rsidRDefault="001A28BD" w:rsidP="0006000A">
      <w:pPr>
        <w:pStyle w:val="BodyText"/>
      </w:pPr>
    </w:p>
    <w:p w:rsidR="001A28BD" w:rsidRPr="00EE78D5" w:rsidRDefault="008F123A" w:rsidP="0006000A">
      <w:pPr>
        <w:pStyle w:val="BodyText"/>
      </w:pPr>
      <w:r w:rsidRPr="00EE78D5">
        <w:t>The AUC information provided on Medicare claim forms is protected and held confidential in accordance with 20 CFR 401.3. The information provided on these forms will become part of the Medicare contractors’ computer history, microfilm, and hard copy records’ retention system as published in the Federal Register, Part VI, “Privacy Act of 1974 System of Records,” on September 20, 1976 (HI CAR 0175.04).</w:t>
      </w:r>
    </w:p>
    <w:p w:rsidR="001A28BD" w:rsidRPr="00EE78D5" w:rsidRDefault="001A28BD" w:rsidP="0006000A">
      <w:pPr>
        <w:pStyle w:val="BodyText"/>
      </w:pPr>
    </w:p>
    <w:p w:rsidR="001A28BD" w:rsidRPr="00EE78D5" w:rsidRDefault="008F123A" w:rsidP="0006000A">
      <w:pPr>
        <w:pStyle w:val="BodyText"/>
      </w:pPr>
      <w:r w:rsidRPr="00EE78D5">
        <w:t>ROUTINE USE(S): Information from claims and related documents may be given to the Department of Veterans Affairs, the Department of Health and Human Services and/or the Department of Transportation consistent with their statutory administrative responsibilities under</w:t>
      </w:r>
      <w:r w:rsidRPr="00EE78D5">
        <w:rPr>
          <w:spacing w:val="-5"/>
        </w:rPr>
        <w:t xml:space="preserve"> </w:t>
      </w:r>
      <w:r w:rsidRPr="00EE78D5">
        <w:t>TRICARE/CHAMPVA;</w:t>
      </w:r>
      <w:r w:rsidRPr="00EE78D5">
        <w:rPr>
          <w:spacing w:val="-4"/>
        </w:rPr>
        <w:t xml:space="preserve"> </w:t>
      </w:r>
      <w:r w:rsidRPr="00EE78D5">
        <w:t>to</w:t>
      </w:r>
      <w:r w:rsidRPr="00EE78D5">
        <w:rPr>
          <w:spacing w:val="-4"/>
        </w:rPr>
        <w:t xml:space="preserve"> </w:t>
      </w:r>
      <w:r w:rsidRPr="00EE78D5">
        <w:t>the</w:t>
      </w:r>
      <w:r w:rsidRPr="00EE78D5">
        <w:rPr>
          <w:spacing w:val="-5"/>
        </w:rPr>
        <w:t xml:space="preserve"> </w:t>
      </w:r>
      <w:r w:rsidRPr="00EE78D5">
        <w:t>Department</w:t>
      </w:r>
      <w:r w:rsidRPr="00EE78D5">
        <w:rPr>
          <w:spacing w:val="-4"/>
        </w:rPr>
        <w:t xml:space="preserve"> </w:t>
      </w:r>
      <w:r w:rsidRPr="00EE78D5">
        <w:t>of</w:t>
      </w:r>
      <w:r w:rsidRPr="00EE78D5">
        <w:rPr>
          <w:spacing w:val="-5"/>
        </w:rPr>
        <w:t xml:space="preserve"> </w:t>
      </w:r>
      <w:r w:rsidRPr="00EE78D5">
        <w:t>Justice</w:t>
      </w:r>
      <w:r w:rsidRPr="00EE78D5">
        <w:rPr>
          <w:spacing w:val="-5"/>
        </w:rPr>
        <w:t xml:space="preserve"> </w:t>
      </w:r>
      <w:r w:rsidRPr="00EE78D5">
        <w:t>for</w:t>
      </w:r>
      <w:r w:rsidRPr="00EE78D5">
        <w:rPr>
          <w:spacing w:val="-5"/>
        </w:rPr>
        <w:t xml:space="preserve"> </w:t>
      </w:r>
      <w:r w:rsidRPr="00EE78D5">
        <w:t>representation</w:t>
      </w:r>
      <w:r w:rsidRPr="00EE78D5">
        <w:rPr>
          <w:spacing w:val="-4"/>
        </w:rPr>
        <w:t xml:space="preserve"> </w:t>
      </w:r>
      <w:r w:rsidRPr="00EE78D5">
        <w:t>of</w:t>
      </w:r>
      <w:r w:rsidRPr="00EE78D5">
        <w:rPr>
          <w:spacing w:val="-5"/>
        </w:rPr>
        <w:t xml:space="preserve"> </w:t>
      </w:r>
      <w:r w:rsidRPr="00EE78D5">
        <w:t>the</w:t>
      </w:r>
      <w:r w:rsidRPr="00EE78D5">
        <w:rPr>
          <w:spacing w:val="-5"/>
        </w:rPr>
        <w:t xml:space="preserve"> </w:t>
      </w:r>
      <w:r w:rsidRPr="00EE78D5">
        <w:t>Secretary</w:t>
      </w:r>
      <w:r w:rsidRPr="00EE78D5">
        <w:rPr>
          <w:spacing w:val="-10"/>
        </w:rPr>
        <w:t xml:space="preserve"> </w:t>
      </w:r>
      <w:r w:rsidRPr="00EE78D5">
        <w:t>of Defense in civil actions; to the Internal Revenue Service, private collection agencies, and consumer reporting agencies in connection with recoupment claims; and to Congressional Offices in response to inquiries made at the request of the person to whom a record</w:t>
      </w:r>
      <w:r w:rsidRPr="00EE78D5">
        <w:rPr>
          <w:spacing w:val="-16"/>
        </w:rPr>
        <w:t xml:space="preserve"> </w:t>
      </w:r>
      <w:r w:rsidRPr="00EE78D5">
        <w:t>pertains.</w:t>
      </w:r>
    </w:p>
    <w:p w:rsidR="001A28BD" w:rsidRPr="00EE78D5" w:rsidRDefault="008F123A" w:rsidP="0006000A">
      <w:pPr>
        <w:pStyle w:val="BodyText"/>
      </w:pPr>
      <w:r w:rsidRPr="00EE78D5">
        <w:t>Appropriate disclosures may be made to other federal, state, local, foreign government agencies, private business entities, and individual providers of care, on matters relating to entitlement, claims adjudication, fraud, program abuse, utilization review, quality assurance, peer review, program integrity, third-party liability, coordination of benefits, and civil and criminal litigation related to the operation of TRICARE.</w:t>
      </w:r>
    </w:p>
    <w:p w:rsidR="001A28BD" w:rsidRPr="00EE78D5" w:rsidRDefault="001A28BD" w:rsidP="0006000A">
      <w:pPr>
        <w:pStyle w:val="BodyText"/>
      </w:pPr>
    </w:p>
    <w:p w:rsidR="001A28BD" w:rsidRPr="002A7412" w:rsidRDefault="008F123A" w:rsidP="00EE78D5">
      <w:pPr>
        <w:pStyle w:val="ListParagraph"/>
        <w:numPr>
          <w:ilvl w:val="1"/>
          <w:numId w:val="3"/>
        </w:numPr>
        <w:tabs>
          <w:tab w:val="left" w:pos="552"/>
        </w:tabs>
        <w:ind w:left="0" w:firstLine="0"/>
        <w:rPr>
          <w:sz w:val="24"/>
          <w:szCs w:val="24"/>
          <w:u w:val="single"/>
        </w:rPr>
      </w:pPr>
      <w:r w:rsidRPr="002A7412">
        <w:rPr>
          <w:sz w:val="24"/>
          <w:szCs w:val="24"/>
          <w:u w:val="single"/>
        </w:rPr>
        <w:t>Sensitive</w:t>
      </w:r>
      <w:r w:rsidRPr="002A7412">
        <w:rPr>
          <w:spacing w:val="-5"/>
          <w:sz w:val="24"/>
          <w:szCs w:val="24"/>
          <w:u w:val="single"/>
        </w:rPr>
        <w:t xml:space="preserve"> </w:t>
      </w:r>
      <w:r w:rsidRPr="002A7412">
        <w:rPr>
          <w:sz w:val="24"/>
          <w:szCs w:val="24"/>
          <w:u w:val="single"/>
        </w:rPr>
        <w:t>Questions</w:t>
      </w:r>
    </w:p>
    <w:p w:rsidR="001A28BD" w:rsidRPr="00EE78D5" w:rsidRDefault="001A28BD" w:rsidP="0006000A">
      <w:pPr>
        <w:pStyle w:val="BodyText"/>
      </w:pPr>
    </w:p>
    <w:p w:rsidR="001A28BD" w:rsidRPr="00EE78D5" w:rsidRDefault="008F123A" w:rsidP="0006000A">
      <w:pPr>
        <w:pStyle w:val="BodyText"/>
        <w:jc w:val="both"/>
      </w:pPr>
      <w:r w:rsidRPr="00EE78D5">
        <w:t>There are no sensitive questions associated with this collection. Specifically, the collection does not solicit questions of a sensitive nature, such as sexual behavior and attitudes, religious</w:t>
      </w:r>
      <w:r w:rsidRPr="00EE78D5">
        <w:rPr>
          <w:spacing w:val="-25"/>
        </w:rPr>
        <w:t xml:space="preserve"> </w:t>
      </w:r>
      <w:r w:rsidRPr="00EE78D5">
        <w:t>beliefs, and other matters that are commonly considered</w:t>
      </w:r>
      <w:r w:rsidRPr="00EE78D5">
        <w:rPr>
          <w:spacing w:val="-26"/>
        </w:rPr>
        <w:t xml:space="preserve"> </w:t>
      </w:r>
      <w:r w:rsidRPr="00EE78D5">
        <w:t>private.</w:t>
      </w:r>
    </w:p>
    <w:p w:rsidR="001A28BD" w:rsidRPr="00EE78D5" w:rsidRDefault="001A28BD" w:rsidP="0006000A">
      <w:pPr>
        <w:pStyle w:val="BodyText"/>
      </w:pPr>
    </w:p>
    <w:p w:rsidR="001A28BD" w:rsidRPr="00866A3A" w:rsidRDefault="008F123A" w:rsidP="00866A3A">
      <w:pPr>
        <w:pStyle w:val="ListParagraph"/>
        <w:numPr>
          <w:ilvl w:val="1"/>
          <w:numId w:val="3"/>
        </w:numPr>
        <w:tabs>
          <w:tab w:val="left" w:pos="552"/>
        </w:tabs>
        <w:ind w:left="0" w:firstLine="0"/>
        <w:jc w:val="both"/>
        <w:rPr>
          <w:sz w:val="24"/>
          <w:szCs w:val="24"/>
          <w:u w:val="single"/>
        </w:rPr>
      </w:pPr>
      <w:r w:rsidRPr="00866A3A">
        <w:rPr>
          <w:sz w:val="24"/>
          <w:szCs w:val="24"/>
          <w:u w:val="single"/>
        </w:rPr>
        <w:t>Burden Estimates (Hours &amp;</w:t>
      </w:r>
      <w:r w:rsidRPr="00866A3A">
        <w:rPr>
          <w:spacing w:val="-17"/>
          <w:sz w:val="24"/>
          <w:szCs w:val="24"/>
          <w:u w:val="single"/>
        </w:rPr>
        <w:t xml:space="preserve"> </w:t>
      </w:r>
      <w:r w:rsidRPr="00866A3A">
        <w:rPr>
          <w:sz w:val="24"/>
          <w:szCs w:val="24"/>
          <w:u w:val="single"/>
        </w:rPr>
        <w:t>Wages)</w:t>
      </w:r>
    </w:p>
    <w:p w:rsidR="001A28BD" w:rsidRPr="00866A3A" w:rsidRDefault="001A28BD" w:rsidP="0006000A">
      <w:pPr>
        <w:pStyle w:val="BodyText"/>
      </w:pPr>
    </w:p>
    <w:p w:rsidR="001A28BD" w:rsidRPr="00866A3A" w:rsidRDefault="008F123A" w:rsidP="0006000A">
      <w:pPr>
        <w:pStyle w:val="BodyText"/>
      </w:pPr>
      <w:r w:rsidRPr="00866A3A">
        <w:t xml:space="preserve">Consistent with section 1834(q)(4)(B) of the Act, AUC consultation information includes all of the following: </w:t>
      </w:r>
      <w:r w:rsidR="00EF6BE3">
        <w:t>(</w:t>
      </w:r>
      <w:r w:rsidRPr="00866A3A">
        <w:t xml:space="preserve">1) which qualified CDSM was consulted by the ordering professional; </w:t>
      </w:r>
      <w:r w:rsidR="00EF6BE3">
        <w:t>(</w:t>
      </w:r>
      <w:r w:rsidRPr="00866A3A">
        <w:t>2) whether the applicable imaging service ordered would adhere to specified applicable AUC, whether the applicable imaging service ordered would not adhere to specified applicable AUC, or whether</w:t>
      </w:r>
      <w:r w:rsidRPr="00866A3A">
        <w:rPr>
          <w:spacing w:val="-39"/>
        </w:rPr>
        <w:t xml:space="preserve"> </w:t>
      </w:r>
      <w:r w:rsidRPr="00866A3A">
        <w:t xml:space="preserve">the specified applicable AUC consulted was not applicable to the applicable imaging service ordered; </w:t>
      </w:r>
      <w:r w:rsidR="00EF6BE3">
        <w:t>(</w:t>
      </w:r>
      <w:r w:rsidRPr="00866A3A">
        <w:t>3) the NPI of the ordering professional who either consults specified applicable AUC or</w:t>
      </w:r>
      <w:r w:rsidR="007A10C1" w:rsidRPr="007A10C1">
        <w:rPr>
          <w:rFonts w:eastAsia="Calibri"/>
        </w:rPr>
        <w:t xml:space="preserve"> </w:t>
      </w:r>
      <w:r w:rsidR="007A10C1">
        <w:rPr>
          <w:rFonts w:eastAsia="Calibri"/>
        </w:rPr>
        <w:t xml:space="preserve">directs clinical staff acting under the direction </w:t>
      </w:r>
      <w:r w:rsidR="007A10C1" w:rsidRPr="00CA1CB3">
        <w:rPr>
          <w:rFonts w:eastAsia="Calibri"/>
        </w:rPr>
        <w:t xml:space="preserve">of the </w:t>
      </w:r>
      <w:r w:rsidR="007A10C1">
        <w:rPr>
          <w:rFonts w:eastAsia="Calibri"/>
        </w:rPr>
        <w:t>o</w:t>
      </w:r>
      <w:r w:rsidR="007A10C1" w:rsidRPr="00CA1CB3">
        <w:rPr>
          <w:rFonts w:eastAsia="Calibri"/>
        </w:rPr>
        <w:t xml:space="preserve">rdering </w:t>
      </w:r>
      <w:r w:rsidR="007A10C1">
        <w:rPr>
          <w:rFonts w:eastAsia="Calibri"/>
        </w:rPr>
        <w:t>p</w:t>
      </w:r>
      <w:r w:rsidR="007A10C1" w:rsidRPr="00CA1CB3">
        <w:rPr>
          <w:rFonts w:eastAsia="Calibri"/>
        </w:rPr>
        <w:t>rofessional</w:t>
      </w:r>
      <w:r w:rsidRPr="00866A3A">
        <w:t>, the ordering professional’s service, if different from the furnishing</w:t>
      </w:r>
      <w:r w:rsidRPr="00866A3A">
        <w:rPr>
          <w:spacing w:val="-24"/>
        </w:rPr>
        <w:t xml:space="preserve"> </w:t>
      </w:r>
      <w:r w:rsidRPr="00866A3A">
        <w:t>professional.</w:t>
      </w:r>
    </w:p>
    <w:p w:rsidR="001A28BD" w:rsidRPr="00866A3A" w:rsidRDefault="001A28BD" w:rsidP="0006000A">
      <w:pPr>
        <w:pStyle w:val="BodyText"/>
      </w:pPr>
    </w:p>
    <w:p w:rsidR="001A28BD" w:rsidRPr="00866A3A" w:rsidRDefault="008F123A" w:rsidP="0006000A">
      <w:pPr>
        <w:rPr>
          <w:i/>
          <w:sz w:val="24"/>
          <w:szCs w:val="24"/>
        </w:rPr>
      </w:pPr>
      <w:r w:rsidRPr="00866A3A">
        <w:rPr>
          <w:i/>
          <w:sz w:val="24"/>
          <w:szCs w:val="24"/>
        </w:rPr>
        <w:t>Wage Estimates</w:t>
      </w:r>
    </w:p>
    <w:p w:rsidR="001A28BD" w:rsidRPr="00866A3A" w:rsidRDefault="001A28BD" w:rsidP="0006000A">
      <w:pPr>
        <w:pStyle w:val="BodyText"/>
      </w:pPr>
    </w:p>
    <w:p w:rsidR="001A28BD" w:rsidRPr="00866A3A" w:rsidRDefault="008F123A" w:rsidP="0006000A">
      <w:pPr>
        <w:pStyle w:val="BodyText"/>
      </w:pPr>
      <w:r w:rsidRPr="00866A3A">
        <w:t>To derive average costs, we used data from the U.S. Bureau of Labor Statistics’ May 2017 National Occupational Employment and Wage Estimates for all salary estimates (</w:t>
      </w:r>
      <w:hyperlink r:id="rId9">
        <w:r w:rsidRPr="00866A3A">
          <w:rPr>
            <w:u w:color="0563C1"/>
          </w:rPr>
          <w:t>http://www.bls.gov/oes/current/oes_nat.htm</w:t>
        </w:r>
      </w:hyperlink>
      <w:r w:rsidRPr="00866A3A">
        <w:t>). In this regard, the following table presents the mean hourly wage, the cost of fringe benefits and overhead (calculated at 100 percent of salary), and the adjusted hourly wage.</w:t>
      </w:r>
    </w:p>
    <w:p w:rsidR="001A28BD" w:rsidRPr="00866A3A" w:rsidRDefault="001A28BD" w:rsidP="0006000A">
      <w:pPr>
        <w:pStyle w:val="BodyText"/>
      </w:pPr>
    </w:p>
    <w:p w:rsidR="001A28BD" w:rsidRPr="00866A3A" w:rsidRDefault="00331B70" w:rsidP="007F1B72">
      <w:pPr>
        <w:jc w:val="center"/>
        <w:rPr>
          <w:sz w:val="24"/>
          <w:szCs w:val="24"/>
        </w:rPr>
      </w:pPr>
      <w:r>
        <w:rPr>
          <w:sz w:val="24"/>
          <w:szCs w:val="24"/>
        </w:rPr>
        <w:t>Table 1:</w:t>
      </w:r>
      <w:r w:rsidR="001E073F">
        <w:rPr>
          <w:sz w:val="24"/>
          <w:szCs w:val="24"/>
        </w:rPr>
        <w:t xml:space="preserve"> </w:t>
      </w:r>
      <w:r w:rsidR="008F123A" w:rsidRPr="00866A3A">
        <w:rPr>
          <w:sz w:val="24"/>
          <w:szCs w:val="24"/>
        </w:rPr>
        <w:t>National Occupational Employment and Wage Estimates</w:t>
      </w: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205"/>
        <w:gridCol w:w="1524"/>
        <w:gridCol w:w="1529"/>
        <w:gridCol w:w="1711"/>
      </w:tblGrid>
      <w:tr w:rsidR="002A7412" w:rsidRPr="00866A3A">
        <w:trPr>
          <w:trHeight w:hRule="exact" w:val="708"/>
        </w:trPr>
        <w:tc>
          <w:tcPr>
            <w:tcW w:w="1810" w:type="dxa"/>
          </w:tcPr>
          <w:p w:rsidR="001A28BD" w:rsidRPr="00866A3A" w:rsidRDefault="008F123A" w:rsidP="0006000A">
            <w:pPr>
              <w:pStyle w:val="TableParagraph"/>
              <w:spacing w:line="240" w:lineRule="auto"/>
              <w:ind w:left="0"/>
              <w:rPr>
                <w:sz w:val="20"/>
                <w:szCs w:val="20"/>
              </w:rPr>
            </w:pPr>
            <w:r w:rsidRPr="00866A3A">
              <w:rPr>
                <w:sz w:val="20"/>
                <w:szCs w:val="20"/>
              </w:rPr>
              <w:t>Occupation Title</w:t>
            </w:r>
          </w:p>
        </w:tc>
        <w:tc>
          <w:tcPr>
            <w:tcW w:w="1205" w:type="dxa"/>
          </w:tcPr>
          <w:p w:rsidR="001A28BD" w:rsidRPr="00866A3A" w:rsidRDefault="008F123A" w:rsidP="0006000A">
            <w:pPr>
              <w:pStyle w:val="TableParagraph"/>
              <w:spacing w:line="240" w:lineRule="auto"/>
              <w:ind w:left="0"/>
              <w:rPr>
                <w:sz w:val="20"/>
                <w:szCs w:val="20"/>
              </w:rPr>
            </w:pPr>
            <w:r w:rsidRPr="00866A3A">
              <w:rPr>
                <w:sz w:val="20"/>
                <w:szCs w:val="20"/>
              </w:rPr>
              <w:t>Occupation Code</w:t>
            </w:r>
          </w:p>
        </w:tc>
        <w:tc>
          <w:tcPr>
            <w:tcW w:w="1524" w:type="dxa"/>
          </w:tcPr>
          <w:p w:rsidR="001A28BD" w:rsidRPr="00866A3A" w:rsidRDefault="008F123A" w:rsidP="0006000A">
            <w:pPr>
              <w:pStyle w:val="TableParagraph"/>
              <w:spacing w:line="240" w:lineRule="auto"/>
              <w:ind w:left="0"/>
              <w:rPr>
                <w:sz w:val="20"/>
                <w:szCs w:val="20"/>
              </w:rPr>
            </w:pPr>
            <w:r w:rsidRPr="00866A3A">
              <w:rPr>
                <w:sz w:val="20"/>
                <w:szCs w:val="20"/>
              </w:rPr>
              <w:t>Mean Hourly Wage ($/hr)</w:t>
            </w:r>
          </w:p>
        </w:tc>
        <w:tc>
          <w:tcPr>
            <w:tcW w:w="1529" w:type="dxa"/>
          </w:tcPr>
          <w:p w:rsidR="001A28BD" w:rsidRPr="00866A3A" w:rsidRDefault="008F123A" w:rsidP="0006000A">
            <w:pPr>
              <w:pStyle w:val="TableParagraph"/>
              <w:spacing w:line="240" w:lineRule="auto"/>
              <w:ind w:left="0"/>
              <w:rPr>
                <w:sz w:val="20"/>
                <w:szCs w:val="20"/>
              </w:rPr>
            </w:pPr>
            <w:r w:rsidRPr="00866A3A">
              <w:rPr>
                <w:sz w:val="20"/>
                <w:szCs w:val="20"/>
              </w:rPr>
              <w:t>Fringe Benefits and Overhead ($/hr)</w:t>
            </w:r>
          </w:p>
        </w:tc>
        <w:tc>
          <w:tcPr>
            <w:tcW w:w="1711" w:type="dxa"/>
          </w:tcPr>
          <w:p w:rsidR="001A28BD" w:rsidRPr="00866A3A" w:rsidRDefault="008F123A" w:rsidP="0006000A">
            <w:pPr>
              <w:pStyle w:val="TableParagraph"/>
              <w:spacing w:line="240" w:lineRule="auto"/>
              <w:ind w:left="0"/>
              <w:rPr>
                <w:sz w:val="20"/>
                <w:szCs w:val="20"/>
              </w:rPr>
            </w:pPr>
            <w:r w:rsidRPr="00866A3A">
              <w:rPr>
                <w:sz w:val="20"/>
                <w:szCs w:val="20"/>
              </w:rPr>
              <w:t>Adjusted Hourly Wage ($/hr)</w:t>
            </w:r>
          </w:p>
        </w:tc>
      </w:tr>
      <w:tr w:rsidR="002A7412" w:rsidRPr="00866A3A">
        <w:trPr>
          <w:trHeight w:hRule="exact" w:val="480"/>
        </w:trPr>
        <w:tc>
          <w:tcPr>
            <w:tcW w:w="1810" w:type="dxa"/>
          </w:tcPr>
          <w:p w:rsidR="001A28BD" w:rsidRPr="00866A3A" w:rsidRDefault="008F123A" w:rsidP="0006000A">
            <w:pPr>
              <w:pStyle w:val="TableParagraph"/>
              <w:spacing w:line="240" w:lineRule="auto"/>
              <w:ind w:left="0"/>
              <w:rPr>
                <w:sz w:val="20"/>
                <w:szCs w:val="20"/>
              </w:rPr>
            </w:pPr>
            <w:r w:rsidRPr="00866A3A">
              <w:rPr>
                <w:sz w:val="20"/>
                <w:szCs w:val="20"/>
              </w:rPr>
              <w:t>Family and general practitioner</w:t>
            </w:r>
          </w:p>
        </w:tc>
        <w:tc>
          <w:tcPr>
            <w:tcW w:w="1205" w:type="dxa"/>
          </w:tcPr>
          <w:p w:rsidR="001A28BD" w:rsidRPr="00866A3A" w:rsidRDefault="008F123A" w:rsidP="0006000A">
            <w:pPr>
              <w:pStyle w:val="TableParagraph"/>
              <w:spacing w:line="240" w:lineRule="auto"/>
              <w:ind w:left="0"/>
              <w:rPr>
                <w:sz w:val="20"/>
                <w:szCs w:val="20"/>
              </w:rPr>
            </w:pPr>
            <w:r w:rsidRPr="00866A3A">
              <w:rPr>
                <w:sz w:val="20"/>
                <w:szCs w:val="20"/>
              </w:rPr>
              <w:t>29-1062</w:t>
            </w:r>
          </w:p>
        </w:tc>
        <w:tc>
          <w:tcPr>
            <w:tcW w:w="1524" w:type="dxa"/>
          </w:tcPr>
          <w:p w:rsidR="001A28BD" w:rsidRPr="00866A3A" w:rsidRDefault="008F123A" w:rsidP="0006000A">
            <w:pPr>
              <w:pStyle w:val="TableParagraph"/>
              <w:spacing w:line="240" w:lineRule="auto"/>
              <w:ind w:left="0"/>
              <w:rPr>
                <w:sz w:val="20"/>
                <w:szCs w:val="20"/>
              </w:rPr>
            </w:pPr>
            <w:r w:rsidRPr="00866A3A">
              <w:rPr>
                <w:sz w:val="20"/>
                <w:szCs w:val="20"/>
              </w:rPr>
              <w:t>100.27</w:t>
            </w:r>
          </w:p>
        </w:tc>
        <w:tc>
          <w:tcPr>
            <w:tcW w:w="1529" w:type="dxa"/>
          </w:tcPr>
          <w:p w:rsidR="001A28BD" w:rsidRPr="00866A3A" w:rsidRDefault="008F123A" w:rsidP="0006000A">
            <w:pPr>
              <w:pStyle w:val="TableParagraph"/>
              <w:spacing w:line="240" w:lineRule="auto"/>
              <w:ind w:left="0"/>
              <w:rPr>
                <w:sz w:val="20"/>
                <w:szCs w:val="20"/>
              </w:rPr>
            </w:pPr>
            <w:r w:rsidRPr="00866A3A">
              <w:rPr>
                <w:sz w:val="20"/>
                <w:szCs w:val="20"/>
              </w:rPr>
              <w:t>100.27</w:t>
            </w:r>
          </w:p>
        </w:tc>
        <w:tc>
          <w:tcPr>
            <w:tcW w:w="1711" w:type="dxa"/>
          </w:tcPr>
          <w:p w:rsidR="001A28BD" w:rsidRPr="00866A3A" w:rsidRDefault="008F123A" w:rsidP="0006000A">
            <w:pPr>
              <w:pStyle w:val="TableParagraph"/>
              <w:spacing w:line="240" w:lineRule="auto"/>
              <w:ind w:left="0"/>
              <w:rPr>
                <w:sz w:val="20"/>
                <w:szCs w:val="20"/>
              </w:rPr>
            </w:pPr>
            <w:r w:rsidRPr="00866A3A">
              <w:rPr>
                <w:sz w:val="20"/>
                <w:szCs w:val="20"/>
              </w:rPr>
              <w:t>200.54</w:t>
            </w:r>
          </w:p>
        </w:tc>
      </w:tr>
      <w:tr w:rsidR="00BA4A65" w:rsidRPr="00866A3A">
        <w:trPr>
          <w:trHeight w:hRule="exact" w:val="480"/>
        </w:trPr>
        <w:tc>
          <w:tcPr>
            <w:tcW w:w="1810" w:type="dxa"/>
          </w:tcPr>
          <w:p w:rsidR="00BA4A65" w:rsidRPr="00866A3A" w:rsidRDefault="00CB4893" w:rsidP="0006000A">
            <w:pPr>
              <w:pStyle w:val="TableParagraph"/>
              <w:spacing w:line="240" w:lineRule="auto"/>
              <w:ind w:left="0"/>
              <w:rPr>
                <w:sz w:val="20"/>
                <w:szCs w:val="20"/>
              </w:rPr>
            </w:pPr>
            <w:r>
              <w:rPr>
                <w:sz w:val="20"/>
                <w:szCs w:val="20"/>
              </w:rPr>
              <w:t>Medical a</w:t>
            </w:r>
            <w:r w:rsidR="00BA4A65">
              <w:rPr>
                <w:sz w:val="20"/>
                <w:szCs w:val="20"/>
              </w:rPr>
              <w:t>ssistant</w:t>
            </w:r>
          </w:p>
        </w:tc>
        <w:tc>
          <w:tcPr>
            <w:tcW w:w="1205" w:type="dxa"/>
          </w:tcPr>
          <w:p w:rsidR="00BA4A65" w:rsidRPr="00866A3A" w:rsidRDefault="00BA4A65" w:rsidP="0006000A">
            <w:pPr>
              <w:pStyle w:val="TableParagraph"/>
              <w:spacing w:line="240" w:lineRule="auto"/>
              <w:ind w:left="0"/>
              <w:rPr>
                <w:sz w:val="20"/>
                <w:szCs w:val="20"/>
              </w:rPr>
            </w:pPr>
            <w:r>
              <w:rPr>
                <w:sz w:val="20"/>
                <w:szCs w:val="20"/>
              </w:rPr>
              <w:t>31-9092</w:t>
            </w:r>
          </w:p>
        </w:tc>
        <w:tc>
          <w:tcPr>
            <w:tcW w:w="1524" w:type="dxa"/>
          </w:tcPr>
          <w:p w:rsidR="00BA4A65" w:rsidRPr="00866A3A" w:rsidRDefault="00BA4A65" w:rsidP="0006000A">
            <w:pPr>
              <w:pStyle w:val="TableParagraph"/>
              <w:spacing w:line="240" w:lineRule="auto"/>
              <w:ind w:left="0"/>
              <w:rPr>
                <w:sz w:val="20"/>
                <w:szCs w:val="20"/>
              </w:rPr>
            </w:pPr>
            <w:r>
              <w:rPr>
                <w:sz w:val="20"/>
                <w:szCs w:val="20"/>
              </w:rPr>
              <w:t>16.15</w:t>
            </w:r>
          </w:p>
        </w:tc>
        <w:tc>
          <w:tcPr>
            <w:tcW w:w="1529" w:type="dxa"/>
          </w:tcPr>
          <w:p w:rsidR="00BA4A65" w:rsidRPr="00866A3A" w:rsidRDefault="00BA4A65" w:rsidP="0006000A">
            <w:pPr>
              <w:pStyle w:val="TableParagraph"/>
              <w:spacing w:line="240" w:lineRule="auto"/>
              <w:ind w:left="0"/>
              <w:rPr>
                <w:sz w:val="20"/>
                <w:szCs w:val="20"/>
              </w:rPr>
            </w:pPr>
            <w:r>
              <w:rPr>
                <w:sz w:val="20"/>
                <w:szCs w:val="20"/>
              </w:rPr>
              <w:t>16.15</w:t>
            </w:r>
          </w:p>
        </w:tc>
        <w:tc>
          <w:tcPr>
            <w:tcW w:w="1711" w:type="dxa"/>
          </w:tcPr>
          <w:p w:rsidR="00BA4A65" w:rsidRPr="00866A3A" w:rsidRDefault="00BA4A65" w:rsidP="0006000A">
            <w:pPr>
              <w:pStyle w:val="TableParagraph"/>
              <w:spacing w:line="240" w:lineRule="auto"/>
              <w:ind w:left="0"/>
              <w:rPr>
                <w:sz w:val="20"/>
                <w:szCs w:val="20"/>
              </w:rPr>
            </w:pPr>
            <w:r>
              <w:rPr>
                <w:sz w:val="20"/>
                <w:szCs w:val="20"/>
              </w:rPr>
              <w:t>32.30</w:t>
            </w:r>
          </w:p>
        </w:tc>
      </w:tr>
    </w:tbl>
    <w:p w:rsidR="001A28BD" w:rsidRPr="00866A3A" w:rsidRDefault="001A28BD" w:rsidP="0006000A">
      <w:pPr>
        <w:pStyle w:val="BodyText"/>
      </w:pPr>
    </w:p>
    <w:p w:rsidR="001A28BD" w:rsidRPr="00866A3A" w:rsidRDefault="008F123A" w:rsidP="0006000A">
      <w:pPr>
        <w:pStyle w:val="BodyText"/>
      </w:pPr>
      <w:r w:rsidRPr="00866A3A">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BB31E5">
        <w:t>W</w:t>
      </w:r>
      <w:r w:rsidRPr="00866A3A">
        <w:t>e believe that doubling the hourly wage to estimate total cost is a reasonably accurate estimation method.</w:t>
      </w:r>
    </w:p>
    <w:p w:rsidR="001A28BD" w:rsidRPr="00866A3A" w:rsidRDefault="001A28BD" w:rsidP="0006000A">
      <w:pPr>
        <w:pStyle w:val="BodyText"/>
      </w:pPr>
    </w:p>
    <w:p w:rsidR="001A28BD" w:rsidRPr="00866A3A" w:rsidRDefault="008F123A" w:rsidP="0006000A">
      <w:pPr>
        <w:rPr>
          <w:i/>
          <w:sz w:val="24"/>
          <w:szCs w:val="24"/>
        </w:rPr>
      </w:pPr>
      <w:r w:rsidRPr="00866A3A">
        <w:rPr>
          <w:i/>
          <w:sz w:val="24"/>
          <w:szCs w:val="24"/>
        </w:rPr>
        <w:t>Information Collection Requirements and Burden Estimates</w:t>
      </w:r>
    </w:p>
    <w:p w:rsidR="001A28BD" w:rsidRDefault="001A28BD" w:rsidP="0006000A">
      <w:pPr>
        <w:pStyle w:val="BodyText"/>
      </w:pPr>
    </w:p>
    <w:p w:rsidR="00B44CEE" w:rsidRDefault="00B44CEE" w:rsidP="0006000A">
      <w:pPr>
        <w:pStyle w:val="BodyText"/>
      </w:pPr>
      <w:r>
        <w:t>R</w:t>
      </w:r>
      <w:r w:rsidRPr="00AE2AEA">
        <w:t>ecordk</w:t>
      </w:r>
      <w:r>
        <w:t>eeping is not a requirement of ordering professional</w:t>
      </w:r>
      <w:r w:rsidRPr="00AE2AEA">
        <w:t>s</w:t>
      </w:r>
      <w:r>
        <w:t xml:space="preserve">, and any </w:t>
      </w:r>
      <w:r w:rsidRPr="00AE2AEA">
        <w:t xml:space="preserve">inclusion of recordkeeping in </w:t>
      </w:r>
      <w:r>
        <w:t>the CY19 Physician Fee Schedule final rule was in error.</w:t>
      </w:r>
    </w:p>
    <w:p w:rsidR="00B44CEE" w:rsidRDefault="00B44CEE" w:rsidP="0006000A">
      <w:pPr>
        <w:pStyle w:val="BodyText"/>
      </w:pPr>
    </w:p>
    <w:p w:rsidR="00773171" w:rsidRPr="00773171" w:rsidRDefault="00773171" w:rsidP="0006000A">
      <w:pPr>
        <w:pStyle w:val="BodyText"/>
        <w:rPr>
          <w:i/>
          <w:u w:val="single"/>
        </w:rPr>
      </w:pPr>
      <w:r w:rsidRPr="00773171">
        <w:rPr>
          <w:i/>
          <w:u w:val="single"/>
        </w:rPr>
        <w:t>Consultations</w:t>
      </w:r>
    </w:p>
    <w:p w:rsidR="00773171" w:rsidRPr="00866A3A" w:rsidRDefault="00773171" w:rsidP="0006000A">
      <w:pPr>
        <w:pStyle w:val="BodyText"/>
      </w:pPr>
    </w:p>
    <w:p w:rsidR="001A28BD" w:rsidRPr="00866A3A" w:rsidRDefault="008F123A" w:rsidP="0006000A">
      <w:pPr>
        <w:pStyle w:val="BodyText"/>
      </w:pPr>
      <w:r w:rsidRPr="00866A3A">
        <w:t xml:space="preserve">The one-time burden associated with the requirements under §414.94(j) is the time and effort it will take each ordering professional or </w:t>
      </w:r>
      <w:r w:rsidR="00BA4A65">
        <w:t>clinical staff</w:t>
      </w:r>
      <w:r w:rsidRPr="00866A3A">
        <w:t xml:space="preserve"> to consult specified applicable AUC through a qualified CDSM. During the 18 month voluntary participation period, we estimate 10,230,000 respon</w:t>
      </w:r>
      <w:r w:rsidR="00875E7A">
        <w:t>ses</w:t>
      </w:r>
      <w:r w:rsidRPr="00866A3A">
        <w:t xml:space="preserve"> in the form of consultations based on market research from current applicants for qualification of their clinical decision support mechanisms for advanced diagnostic imaging services. This estimate is based on feedback from CDSMs with experience in AUC consultation as well as standards recommended by the Office of the National Coordinator (ONC) and the Healthcare Information Management Systems Society (HIMSS).</w:t>
      </w:r>
    </w:p>
    <w:p w:rsidR="001A28BD" w:rsidRPr="00866A3A" w:rsidRDefault="001A28BD" w:rsidP="0006000A">
      <w:pPr>
        <w:pStyle w:val="BodyText"/>
      </w:pPr>
    </w:p>
    <w:p w:rsidR="001A28BD" w:rsidRPr="00866A3A" w:rsidRDefault="008F123A" w:rsidP="0006000A">
      <w:pPr>
        <w:pStyle w:val="BodyText"/>
      </w:pPr>
      <w:r w:rsidRPr="00866A3A">
        <w:t>We estimate it would take 2 minutes at either $200.54/hr for a family and general practitioner or</w:t>
      </w:r>
      <w:r w:rsidR="00C940F6" w:rsidRPr="00866A3A">
        <w:t xml:space="preserve"> </w:t>
      </w:r>
      <w:r w:rsidRPr="00866A3A">
        <w:t>$</w:t>
      </w:r>
      <w:r w:rsidR="00BA4A65">
        <w:t>32.30</w:t>
      </w:r>
      <w:r w:rsidRPr="00866A3A">
        <w:t xml:space="preserve">/hr for a </w:t>
      </w:r>
      <w:r w:rsidR="00BA4A65">
        <w:t>medical assistant</w:t>
      </w:r>
      <w:r w:rsidRPr="00866A3A">
        <w:t xml:space="preserve"> to use a qualified CDSM to consult specified applicable AUC. </w:t>
      </w:r>
      <w:r w:rsidR="00CD4E41">
        <w:t xml:space="preserve">Ordering professionals with a significant hardship exception are not required to consult. </w:t>
      </w:r>
      <w:r w:rsidR="00CD4E41" w:rsidRPr="00732012">
        <w:t>The significant hardship exception process imposes no burden beyond the provision of identifying information and attesting</w:t>
      </w:r>
      <w:r w:rsidR="00CD4E41">
        <w:t xml:space="preserve"> to the applicable information.</w:t>
      </w:r>
      <w:r w:rsidR="00CD4E41" w:rsidRPr="00732012">
        <w:t xml:space="preserve"> In this regard, the use of this process is not “information” as defined under 5 CFR 1320.3(h), and therefore, is exempt from requirements of the PRA.</w:t>
      </w:r>
      <w:r w:rsidR="00CD4E41">
        <w:t xml:space="preserve"> </w:t>
      </w:r>
      <w:r w:rsidRPr="00866A3A">
        <w:t xml:space="preserve">To estimate the percentage of consultations available to be performed </w:t>
      </w:r>
      <w:r w:rsidR="00BA4A65">
        <w:t>by these individuals</w:t>
      </w:r>
      <w:r w:rsidRPr="00866A3A">
        <w:t xml:space="preserve">, we analyzed 2014 Medicare Part B claims comparing evaluation and management visits for new (CPT codes 99201, 99202, 99203, 99204, and 99205) relative to established (CPT codes 99211, 99212, 99213, 99214, 99215) patients with place of service codes 11 (physician’s office). We found that approximately 10 percent of all claims incurred were for new patients.  Therefore, we estimate that 90-percent of consultations will be performed by </w:t>
      </w:r>
      <w:r w:rsidR="00BA4A65">
        <w:t>clinical staff</w:t>
      </w:r>
      <w:r w:rsidRPr="00866A3A">
        <w:t>, with the remaining 10</w:t>
      </w:r>
      <w:r w:rsidR="00703075">
        <w:t xml:space="preserve"> </w:t>
      </w:r>
      <w:r w:rsidRPr="00866A3A">
        <w:t>percent performed by the ordering professional. Per consultation, we estimate 2 minutes (0.033 hr) at either a cost of $6.62 (0.033 hr x $200.54/hr) or $</w:t>
      </w:r>
      <w:r w:rsidR="00BA4A65">
        <w:t>1</w:t>
      </w:r>
      <w:r w:rsidRPr="00866A3A">
        <w:t>.</w:t>
      </w:r>
      <w:r w:rsidR="00BA4A65">
        <w:t>07</w:t>
      </w:r>
      <w:r w:rsidRPr="00866A3A">
        <w:t xml:space="preserve"> (0.033 hr x</w:t>
      </w:r>
      <w:r w:rsidRPr="00866A3A">
        <w:rPr>
          <w:spacing w:val="-14"/>
        </w:rPr>
        <w:t xml:space="preserve"> </w:t>
      </w:r>
      <w:r w:rsidRPr="00866A3A">
        <w:t>$</w:t>
      </w:r>
      <w:r w:rsidR="00BA4A65">
        <w:t>32.30</w:t>
      </w:r>
      <w:r w:rsidRPr="00866A3A">
        <w:t>/hr).</w:t>
      </w:r>
    </w:p>
    <w:p w:rsidR="001A28BD" w:rsidRPr="00866A3A" w:rsidRDefault="001A28BD" w:rsidP="0006000A">
      <w:pPr>
        <w:pStyle w:val="BodyText"/>
      </w:pPr>
    </w:p>
    <w:p w:rsidR="001A28BD" w:rsidRPr="00866A3A" w:rsidRDefault="008F123A" w:rsidP="0006000A">
      <w:pPr>
        <w:pStyle w:val="BodyText"/>
      </w:pPr>
      <w:r w:rsidRPr="00866A3A">
        <w:t>In aggregate, we estimate the voluntary period will incur a one-time burden of 337,590 hours (0.033 hr x 10,230,000 consultations) at a cost of $</w:t>
      </w:r>
      <w:r w:rsidR="00BA4A65">
        <w:t>16,583,771</w:t>
      </w:r>
      <w:r w:rsidRPr="00866A3A">
        <w:t xml:space="preserve"> (</w:t>
      </w:r>
      <w:r w:rsidR="00BA4A65">
        <w:t>[</w:t>
      </w:r>
      <w:r w:rsidRPr="00866A3A">
        <w:t>337,590 hr x</w:t>
      </w:r>
      <w:r w:rsidR="00BA4A65">
        <w:t xml:space="preserve"> 0.10 x</w:t>
      </w:r>
      <w:r w:rsidRPr="00866A3A">
        <w:t xml:space="preserve"> $</w:t>
      </w:r>
      <w:r w:rsidR="00BA4A65">
        <w:t>200.54</w:t>
      </w:r>
      <w:r w:rsidRPr="00866A3A">
        <w:t>/hr</w:t>
      </w:r>
      <w:r w:rsidR="00BA4A65">
        <w:t>] + [337,590 hr x 0.90 x 32.30/hr]</w:t>
      </w:r>
      <w:r w:rsidRPr="00866A3A">
        <w:t>). Annually, we estimate 112,530 hours (337,590 hr/3 yr) at a cost of $</w:t>
      </w:r>
      <w:r w:rsidR="00BA4A65">
        <w:t>5,527,924</w:t>
      </w:r>
      <w:r w:rsidRPr="00866A3A">
        <w:t xml:space="preserve"> ($</w:t>
      </w:r>
      <w:r w:rsidR="00BA4A65">
        <w:t>16,583,771</w:t>
      </w:r>
      <w:r w:rsidRPr="00866A3A">
        <w:t>/3 yr). We are annualizing the one- time burden (by dividing our estimates by OMB’s 3-year approval period) since we do not anticipate any additional burden after the voluntary participation period ends.</w:t>
      </w:r>
    </w:p>
    <w:p w:rsidR="001A28BD" w:rsidRPr="00866A3A" w:rsidRDefault="001A28BD" w:rsidP="0006000A">
      <w:pPr>
        <w:pStyle w:val="BodyText"/>
      </w:pPr>
    </w:p>
    <w:p w:rsidR="001A28BD" w:rsidRPr="00866A3A" w:rsidRDefault="008F123A" w:rsidP="0006000A">
      <w:pPr>
        <w:pStyle w:val="BodyText"/>
      </w:pPr>
      <w:r w:rsidRPr="00866A3A">
        <w:t>We estimate that beginning January 1, 2020 when AUC consultation is required, the number of respondents would increase to 43,181,818 based on 2014 Medicare claims data for advanced diagnostic imaging services. As noted above, our revision would impact our burden estimate associated with this requirement. Therefore, we estimate an annual burden of 1,425,000 hours (0.033 hr x 43,181,818 consultations) at a cost of</w:t>
      </w:r>
      <w:r w:rsidR="00C940F6" w:rsidRPr="00866A3A">
        <w:t xml:space="preserve"> </w:t>
      </w:r>
      <w:r w:rsidRPr="00866A3A">
        <w:t>$</w:t>
      </w:r>
      <w:r w:rsidR="00BA4A65">
        <w:t>70,001,700</w:t>
      </w:r>
      <w:r w:rsidRPr="00866A3A">
        <w:t xml:space="preserve"> ([1,425,000 hr x 0.10 x $200.54/hr] + [1,425,000 hr x 0.90 x $</w:t>
      </w:r>
      <w:r w:rsidR="00BA4A65">
        <w:t>32.30</w:t>
      </w:r>
      <w:r w:rsidRPr="00866A3A">
        <w:t>/hr]).</w:t>
      </w:r>
    </w:p>
    <w:p w:rsidR="001A28BD" w:rsidRPr="00866A3A" w:rsidRDefault="001A28BD" w:rsidP="0006000A">
      <w:pPr>
        <w:pStyle w:val="BodyText"/>
      </w:pPr>
    </w:p>
    <w:p w:rsidR="00B44CEE" w:rsidRDefault="008F123A" w:rsidP="00773171">
      <w:pPr>
        <w:pStyle w:val="BodyText"/>
      </w:pPr>
      <w:r w:rsidRPr="00866A3A">
        <w:t>The voluntary and mandatory reporting requirements under §414.94(k) would not have any impact on any Medicare claim forms because the forms’ currently approved data fields, instructions, and burden are not expected to change as a result of the</w:t>
      </w:r>
      <w:r w:rsidR="00786426">
        <w:t>se</w:t>
      </w:r>
      <w:r w:rsidRPr="00866A3A">
        <w:t xml:space="preserve"> provisions.</w:t>
      </w:r>
      <w:r w:rsidR="00BA4A65">
        <w:t xml:space="preserve">  We also clarify our distinctions between reporting AUC consultation information and standardized communications on Medicare claims forms.  The X12N insurance subcommittee develops and maintains standards for healthcare administrative transactions on professional (837p), institutional (837i), and dental (837d) transactions when submitting healthcare claims for a service or encounter.  The current mandated version of 837 transactions is 5010™.  While we have not finalized a process for implementing the reporting requirements at §414.94(k), we clarify that implementation of changes to the claim form transactions would not take place outside of the existing process described.</w:t>
      </w:r>
      <w:r w:rsidR="00CD4E41">
        <w:t xml:space="preserve"> Ordering professionals with a significant hardship exception are not required to consult. </w:t>
      </w:r>
      <w:r w:rsidR="00CD4E41" w:rsidRPr="00732012">
        <w:t>The significant hardship exception process imposes no burden beyond the provision of identifying information and attesting</w:t>
      </w:r>
      <w:r w:rsidR="00CD4E41">
        <w:t xml:space="preserve"> to the applicable information.</w:t>
      </w:r>
      <w:r w:rsidR="00CD4E41" w:rsidRPr="00732012">
        <w:t xml:space="preserve"> </w:t>
      </w:r>
    </w:p>
    <w:p w:rsidR="00B64F8E" w:rsidRPr="00866A3A" w:rsidRDefault="00B64F8E" w:rsidP="00B64F8E">
      <w:pPr>
        <w:rPr>
          <w:i/>
          <w:sz w:val="24"/>
          <w:szCs w:val="24"/>
        </w:rPr>
      </w:pPr>
    </w:p>
    <w:tbl>
      <w:tblPr>
        <w:tblW w:w="89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1085"/>
        <w:gridCol w:w="1858"/>
        <w:gridCol w:w="852"/>
        <w:gridCol w:w="970"/>
        <w:gridCol w:w="902"/>
        <w:gridCol w:w="1342"/>
      </w:tblGrid>
      <w:tr w:rsidR="00B64F8E" w:rsidRPr="00866A3A" w:rsidTr="00421AB9">
        <w:trPr>
          <w:trHeight w:hRule="exact" w:val="1008"/>
        </w:trPr>
        <w:tc>
          <w:tcPr>
            <w:tcW w:w="1901" w:type="dxa"/>
          </w:tcPr>
          <w:p w:rsidR="00B64F8E" w:rsidRPr="00866A3A" w:rsidRDefault="00B64F8E" w:rsidP="00421AB9">
            <w:pPr>
              <w:pStyle w:val="TableParagraph"/>
              <w:spacing w:line="240" w:lineRule="auto"/>
              <w:ind w:left="0" w:hanging="39"/>
              <w:jc w:val="center"/>
              <w:rPr>
                <w:sz w:val="18"/>
                <w:szCs w:val="18"/>
              </w:rPr>
            </w:pPr>
            <w:r w:rsidRPr="00866A3A">
              <w:rPr>
                <w:w w:val="95"/>
                <w:sz w:val="18"/>
                <w:szCs w:val="18"/>
              </w:rPr>
              <w:t xml:space="preserve">Regulation </w:t>
            </w:r>
            <w:r w:rsidRPr="00866A3A">
              <w:rPr>
                <w:sz w:val="18"/>
                <w:szCs w:val="18"/>
              </w:rPr>
              <w:t>Section(s)</w:t>
            </w:r>
          </w:p>
        </w:tc>
        <w:tc>
          <w:tcPr>
            <w:tcW w:w="1085" w:type="dxa"/>
          </w:tcPr>
          <w:p w:rsidR="00B64F8E" w:rsidRPr="00866A3A" w:rsidRDefault="00B64F8E" w:rsidP="00421AB9">
            <w:pPr>
              <w:pStyle w:val="TableParagraph"/>
              <w:spacing w:line="240" w:lineRule="auto"/>
              <w:ind w:left="0"/>
              <w:jc w:val="center"/>
              <w:rPr>
                <w:sz w:val="18"/>
                <w:szCs w:val="18"/>
              </w:rPr>
            </w:pPr>
            <w:r w:rsidRPr="00866A3A">
              <w:rPr>
                <w:sz w:val="18"/>
                <w:szCs w:val="18"/>
              </w:rPr>
              <w:t>Respondents</w:t>
            </w:r>
          </w:p>
        </w:tc>
        <w:tc>
          <w:tcPr>
            <w:tcW w:w="1858" w:type="dxa"/>
          </w:tcPr>
          <w:p w:rsidR="00B64F8E" w:rsidRPr="00866A3A" w:rsidRDefault="00B64F8E" w:rsidP="00421AB9">
            <w:pPr>
              <w:pStyle w:val="TableParagraph"/>
              <w:spacing w:line="240" w:lineRule="auto"/>
              <w:ind w:left="0"/>
              <w:jc w:val="center"/>
              <w:rPr>
                <w:sz w:val="18"/>
                <w:szCs w:val="18"/>
              </w:rPr>
            </w:pPr>
            <w:r w:rsidRPr="00866A3A">
              <w:rPr>
                <w:sz w:val="18"/>
                <w:szCs w:val="18"/>
              </w:rPr>
              <w:t>Responses</w:t>
            </w:r>
          </w:p>
        </w:tc>
        <w:tc>
          <w:tcPr>
            <w:tcW w:w="852" w:type="dxa"/>
          </w:tcPr>
          <w:p w:rsidR="00B64F8E" w:rsidRPr="00866A3A" w:rsidRDefault="00B64F8E" w:rsidP="00421AB9">
            <w:pPr>
              <w:pStyle w:val="TableParagraph"/>
              <w:spacing w:line="240" w:lineRule="auto"/>
              <w:ind w:left="0" w:hanging="3"/>
              <w:jc w:val="center"/>
              <w:rPr>
                <w:sz w:val="18"/>
                <w:szCs w:val="18"/>
              </w:rPr>
            </w:pPr>
            <w:r w:rsidRPr="00866A3A">
              <w:rPr>
                <w:sz w:val="18"/>
                <w:szCs w:val="18"/>
              </w:rPr>
              <w:t xml:space="preserve">Burden per </w:t>
            </w:r>
            <w:r w:rsidRPr="00866A3A">
              <w:rPr>
                <w:w w:val="95"/>
                <w:sz w:val="18"/>
                <w:szCs w:val="18"/>
              </w:rPr>
              <w:t xml:space="preserve">Response </w:t>
            </w:r>
            <w:r w:rsidRPr="00866A3A">
              <w:rPr>
                <w:sz w:val="18"/>
                <w:szCs w:val="18"/>
              </w:rPr>
              <w:t>(hours)</w:t>
            </w:r>
          </w:p>
        </w:tc>
        <w:tc>
          <w:tcPr>
            <w:tcW w:w="970" w:type="dxa"/>
          </w:tcPr>
          <w:p w:rsidR="00B64F8E" w:rsidRPr="00866A3A" w:rsidRDefault="00B64F8E" w:rsidP="00421AB9">
            <w:pPr>
              <w:pStyle w:val="TableParagraph"/>
              <w:spacing w:line="240" w:lineRule="auto"/>
              <w:ind w:left="0" w:firstLine="76"/>
              <w:jc w:val="center"/>
              <w:rPr>
                <w:sz w:val="18"/>
                <w:szCs w:val="18"/>
              </w:rPr>
            </w:pPr>
            <w:r w:rsidRPr="00866A3A">
              <w:rPr>
                <w:sz w:val="18"/>
                <w:szCs w:val="18"/>
              </w:rPr>
              <w:t xml:space="preserve">Total Annual </w:t>
            </w:r>
            <w:r w:rsidRPr="00866A3A">
              <w:rPr>
                <w:w w:val="95"/>
                <w:sz w:val="18"/>
                <w:szCs w:val="18"/>
              </w:rPr>
              <w:t xml:space="preserve">Burden </w:t>
            </w:r>
            <w:r w:rsidRPr="00866A3A">
              <w:rPr>
                <w:sz w:val="18"/>
                <w:szCs w:val="18"/>
              </w:rPr>
              <w:t>(hours)</w:t>
            </w:r>
          </w:p>
        </w:tc>
        <w:tc>
          <w:tcPr>
            <w:tcW w:w="902" w:type="dxa"/>
          </w:tcPr>
          <w:p w:rsidR="00B64F8E" w:rsidRPr="00866A3A" w:rsidRDefault="00B64F8E" w:rsidP="00421AB9">
            <w:pPr>
              <w:pStyle w:val="TableParagraph"/>
              <w:spacing w:line="240" w:lineRule="auto"/>
              <w:ind w:left="0"/>
              <w:jc w:val="center"/>
              <w:rPr>
                <w:sz w:val="18"/>
                <w:szCs w:val="18"/>
              </w:rPr>
            </w:pPr>
            <w:r w:rsidRPr="00866A3A">
              <w:rPr>
                <w:sz w:val="18"/>
                <w:szCs w:val="18"/>
              </w:rPr>
              <w:t>Labor Cost of Reporting</w:t>
            </w:r>
            <w:r w:rsidRPr="00866A3A">
              <w:rPr>
                <w:w w:val="98"/>
                <w:sz w:val="18"/>
                <w:szCs w:val="18"/>
              </w:rPr>
              <w:t xml:space="preserve"> </w:t>
            </w:r>
            <w:r w:rsidRPr="00866A3A">
              <w:rPr>
                <w:sz w:val="18"/>
                <w:szCs w:val="18"/>
              </w:rPr>
              <w:t>($/hr)</w:t>
            </w:r>
          </w:p>
        </w:tc>
        <w:tc>
          <w:tcPr>
            <w:tcW w:w="1342" w:type="dxa"/>
          </w:tcPr>
          <w:p w:rsidR="00B64F8E" w:rsidRPr="00866A3A" w:rsidRDefault="00B64F8E" w:rsidP="00421AB9">
            <w:pPr>
              <w:pStyle w:val="TableParagraph"/>
              <w:spacing w:line="240" w:lineRule="auto"/>
              <w:ind w:left="0" w:hanging="224"/>
              <w:jc w:val="center"/>
              <w:rPr>
                <w:sz w:val="18"/>
                <w:szCs w:val="18"/>
              </w:rPr>
            </w:pPr>
            <w:r w:rsidRPr="00866A3A">
              <w:rPr>
                <w:sz w:val="18"/>
                <w:szCs w:val="18"/>
              </w:rPr>
              <w:t>Total Cost ($)</w:t>
            </w:r>
          </w:p>
        </w:tc>
      </w:tr>
      <w:tr w:rsidR="00B64F8E" w:rsidRPr="00866A3A" w:rsidTr="00421AB9">
        <w:trPr>
          <w:trHeight w:hRule="exact" w:val="454"/>
        </w:trPr>
        <w:tc>
          <w:tcPr>
            <w:tcW w:w="1901" w:type="dxa"/>
            <w:vMerge w:val="restart"/>
          </w:tcPr>
          <w:p w:rsidR="00B64F8E" w:rsidRDefault="00B64F8E" w:rsidP="00421AB9">
            <w:pPr>
              <w:pStyle w:val="TableParagraph"/>
              <w:spacing w:line="240" w:lineRule="auto"/>
              <w:ind w:left="0"/>
              <w:rPr>
                <w:sz w:val="18"/>
                <w:szCs w:val="18"/>
              </w:rPr>
            </w:pPr>
          </w:p>
          <w:p w:rsidR="00B64F8E" w:rsidRPr="00866A3A" w:rsidRDefault="00B64F8E" w:rsidP="00421AB9">
            <w:pPr>
              <w:pStyle w:val="TableParagraph"/>
              <w:spacing w:line="240" w:lineRule="auto"/>
              <w:ind w:left="0"/>
              <w:rPr>
                <w:sz w:val="18"/>
                <w:szCs w:val="18"/>
              </w:rPr>
            </w:pPr>
            <w:r w:rsidRPr="00866A3A">
              <w:rPr>
                <w:sz w:val="18"/>
                <w:szCs w:val="18"/>
              </w:rPr>
              <w:t>§414.94(j)</w:t>
            </w:r>
          </w:p>
          <w:p w:rsidR="00B64F8E" w:rsidRPr="00866A3A" w:rsidRDefault="00B64F8E" w:rsidP="00421AB9">
            <w:pPr>
              <w:pStyle w:val="TableParagraph"/>
              <w:spacing w:line="240" w:lineRule="auto"/>
              <w:ind w:left="0"/>
              <w:rPr>
                <w:sz w:val="18"/>
                <w:szCs w:val="18"/>
              </w:rPr>
            </w:pPr>
            <w:r w:rsidRPr="00866A3A">
              <w:rPr>
                <w:sz w:val="18"/>
                <w:szCs w:val="18"/>
              </w:rPr>
              <w:t xml:space="preserve">(voluntary </w:t>
            </w:r>
            <w:r w:rsidRPr="00866A3A">
              <w:rPr>
                <w:w w:val="95"/>
                <w:sz w:val="18"/>
                <w:szCs w:val="18"/>
              </w:rPr>
              <w:t>consultations)</w:t>
            </w:r>
          </w:p>
        </w:tc>
        <w:tc>
          <w:tcPr>
            <w:tcW w:w="1085" w:type="dxa"/>
            <w:vMerge w:val="restart"/>
          </w:tcPr>
          <w:p w:rsidR="00B64F8E" w:rsidRDefault="00B64F8E" w:rsidP="00421AB9">
            <w:pPr>
              <w:pStyle w:val="TableParagraph"/>
              <w:spacing w:line="240" w:lineRule="auto"/>
              <w:ind w:left="0"/>
              <w:jc w:val="center"/>
              <w:rPr>
                <w:sz w:val="18"/>
                <w:szCs w:val="18"/>
              </w:rPr>
            </w:pPr>
          </w:p>
          <w:p w:rsidR="00B64F8E" w:rsidRDefault="00B64F8E" w:rsidP="00421AB9">
            <w:pPr>
              <w:pStyle w:val="TableParagraph"/>
              <w:spacing w:line="240" w:lineRule="auto"/>
              <w:ind w:left="0"/>
              <w:jc w:val="center"/>
              <w:rPr>
                <w:sz w:val="18"/>
                <w:szCs w:val="18"/>
              </w:rPr>
            </w:pPr>
          </w:p>
          <w:p w:rsidR="00B64F8E" w:rsidRPr="00866A3A" w:rsidRDefault="00B64F8E" w:rsidP="00421AB9">
            <w:pPr>
              <w:pStyle w:val="TableParagraph"/>
              <w:spacing w:line="240" w:lineRule="auto"/>
              <w:ind w:left="0"/>
              <w:jc w:val="center"/>
              <w:rPr>
                <w:sz w:val="18"/>
                <w:szCs w:val="18"/>
              </w:rPr>
            </w:pPr>
            <w:r w:rsidRPr="00866A3A">
              <w:rPr>
                <w:sz w:val="18"/>
                <w:szCs w:val="18"/>
              </w:rPr>
              <w:t>586,386</w:t>
            </w:r>
          </w:p>
        </w:tc>
        <w:tc>
          <w:tcPr>
            <w:tcW w:w="1858" w:type="dxa"/>
            <w:vMerge w:val="restart"/>
          </w:tcPr>
          <w:p w:rsidR="00B64F8E" w:rsidRDefault="00B64F8E" w:rsidP="00421AB9">
            <w:pPr>
              <w:pStyle w:val="TableParagraph"/>
              <w:spacing w:line="240" w:lineRule="auto"/>
              <w:ind w:left="0"/>
              <w:jc w:val="center"/>
              <w:rPr>
                <w:sz w:val="18"/>
                <w:szCs w:val="18"/>
              </w:rPr>
            </w:pPr>
          </w:p>
          <w:p w:rsidR="00B64F8E" w:rsidRPr="00866A3A" w:rsidRDefault="00B64F8E" w:rsidP="00421AB9">
            <w:pPr>
              <w:pStyle w:val="TableParagraph"/>
              <w:spacing w:line="240" w:lineRule="auto"/>
              <w:ind w:left="0"/>
              <w:jc w:val="center"/>
              <w:rPr>
                <w:sz w:val="18"/>
                <w:szCs w:val="18"/>
              </w:rPr>
            </w:pPr>
            <w:r w:rsidRPr="00866A3A">
              <w:rPr>
                <w:sz w:val="18"/>
                <w:szCs w:val="18"/>
              </w:rPr>
              <w:t>3,410,000 (10,230,000/3)</w:t>
            </w:r>
          </w:p>
        </w:tc>
        <w:tc>
          <w:tcPr>
            <w:tcW w:w="852" w:type="dxa"/>
          </w:tcPr>
          <w:p w:rsidR="00B64F8E" w:rsidRPr="00866A3A" w:rsidRDefault="00B64F8E" w:rsidP="00421AB9">
            <w:pPr>
              <w:pStyle w:val="TableParagraph"/>
              <w:spacing w:line="240" w:lineRule="auto"/>
              <w:ind w:left="0"/>
              <w:rPr>
                <w:sz w:val="18"/>
                <w:szCs w:val="18"/>
              </w:rPr>
            </w:pPr>
            <w:r w:rsidRPr="00866A3A">
              <w:rPr>
                <w:sz w:val="18"/>
                <w:szCs w:val="18"/>
              </w:rPr>
              <w:t>0.033</w:t>
            </w:r>
          </w:p>
        </w:tc>
        <w:tc>
          <w:tcPr>
            <w:tcW w:w="970" w:type="dxa"/>
          </w:tcPr>
          <w:p w:rsidR="00B64F8E" w:rsidRPr="00866A3A" w:rsidRDefault="00B64F8E" w:rsidP="00421AB9">
            <w:pPr>
              <w:pStyle w:val="TableParagraph"/>
              <w:spacing w:line="240" w:lineRule="auto"/>
              <w:ind w:left="0"/>
              <w:jc w:val="center"/>
              <w:rPr>
                <w:sz w:val="18"/>
                <w:szCs w:val="18"/>
              </w:rPr>
            </w:pPr>
            <w:r w:rsidRPr="00866A3A">
              <w:rPr>
                <w:sz w:val="18"/>
                <w:szCs w:val="18"/>
              </w:rPr>
              <w:t>11</w:t>
            </w:r>
            <w:r>
              <w:rPr>
                <w:sz w:val="18"/>
                <w:szCs w:val="18"/>
              </w:rPr>
              <w:t>,253</w:t>
            </w:r>
          </w:p>
        </w:tc>
        <w:tc>
          <w:tcPr>
            <w:tcW w:w="902" w:type="dxa"/>
          </w:tcPr>
          <w:p w:rsidR="00B64F8E" w:rsidRPr="00866A3A" w:rsidRDefault="00B64F8E" w:rsidP="00421AB9">
            <w:pPr>
              <w:pStyle w:val="TableParagraph"/>
              <w:spacing w:line="240" w:lineRule="auto"/>
              <w:ind w:left="0"/>
              <w:jc w:val="center"/>
              <w:rPr>
                <w:sz w:val="18"/>
                <w:szCs w:val="18"/>
              </w:rPr>
            </w:pPr>
            <w:r w:rsidRPr="00866A3A">
              <w:rPr>
                <w:sz w:val="18"/>
                <w:szCs w:val="18"/>
              </w:rPr>
              <w:t>200.54</w:t>
            </w:r>
          </w:p>
        </w:tc>
        <w:tc>
          <w:tcPr>
            <w:tcW w:w="1342" w:type="dxa"/>
          </w:tcPr>
          <w:p w:rsidR="00B64F8E" w:rsidRPr="00866A3A" w:rsidRDefault="00B64F8E" w:rsidP="00421AB9">
            <w:pPr>
              <w:pStyle w:val="TableParagraph"/>
              <w:spacing w:line="240" w:lineRule="auto"/>
              <w:ind w:left="0"/>
              <w:rPr>
                <w:sz w:val="18"/>
                <w:szCs w:val="18"/>
              </w:rPr>
            </w:pPr>
            <w:r>
              <w:rPr>
                <w:sz w:val="18"/>
                <w:szCs w:val="18"/>
              </w:rPr>
              <w:t>2,256,677</w:t>
            </w:r>
          </w:p>
        </w:tc>
      </w:tr>
      <w:tr w:rsidR="00B64F8E" w:rsidRPr="00866A3A" w:rsidTr="00421AB9">
        <w:trPr>
          <w:trHeight w:hRule="exact" w:val="445"/>
        </w:trPr>
        <w:tc>
          <w:tcPr>
            <w:tcW w:w="1901" w:type="dxa"/>
            <w:vMerge/>
          </w:tcPr>
          <w:p w:rsidR="00B64F8E" w:rsidRPr="00866A3A" w:rsidRDefault="00B64F8E" w:rsidP="00421AB9">
            <w:pPr>
              <w:pStyle w:val="TableParagraph"/>
              <w:spacing w:line="240" w:lineRule="auto"/>
              <w:ind w:left="0"/>
              <w:rPr>
                <w:sz w:val="18"/>
                <w:szCs w:val="18"/>
              </w:rPr>
            </w:pPr>
          </w:p>
        </w:tc>
        <w:tc>
          <w:tcPr>
            <w:tcW w:w="1085" w:type="dxa"/>
            <w:vMerge/>
          </w:tcPr>
          <w:p w:rsidR="00B64F8E" w:rsidRPr="00866A3A" w:rsidRDefault="00B64F8E" w:rsidP="00421AB9">
            <w:pPr>
              <w:pStyle w:val="TableParagraph"/>
              <w:spacing w:line="240" w:lineRule="auto"/>
              <w:ind w:left="0"/>
              <w:jc w:val="center"/>
              <w:rPr>
                <w:sz w:val="18"/>
                <w:szCs w:val="18"/>
              </w:rPr>
            </w:pPr>
          </w:p>
        </w:tc>
        <w:tc>
          <w:tcPr>
            <w:tcW w:w="1858" w:type="dxa"/>
            <w:vMerge/>
          </w:tcPr>
          <w:p w:rsidR="00B64F8E" w:rsidRPr="00866A3A" w:rsidRDefault="00B64F8E" w:rsidP="00421AB9">
            <w:pPr>
              <w:pStyle w:val="TableParagraph"/>
              <w:spacing w:line="240" w:lineRule="auto"/>
              <w:ind w:left="0"/>
              <w:jc w:val="center"/>
              <w:rPr>
                <w:sz w:val="18"/>
                <w:szCs w:val="18"/>
              </w:rPr>
            </w:pPr>
          </w:p>
        </w:tc>
        <w:tc>
          <w:tcPr>
            <w:tcW w:w="852" w:type="dxa"/>
          </w:tcPr>
          <w:p w:rsidR="00B64F8E" w:rsidRPr="00866A3A" w:rsidRDefault="00B64F8E" w:rsidP="00421AB9">
            <w:pPr>
              <w:pStyle w:val="TableParagraph"/>
              <w:spacing w:line="240" w:lineRule="auto"/>
              <w:ind w:left="0"/>
              <w:rPr>
                <w:sz w:val="18"/>
                <w:szCs w:val="18"/>
              </w:rPr>
            </w:pPr>
            <w:r>
              <w:rPr>
                <w:sz w:val="18"/>
                <w:szCs w:val="18"/>
              </w:rPr>
              <w:t>0.033</w:t>
            </w:r>
          </w:p>
        </w:tc>
        <w:tc>
          <w:tcPr>
            <w:tcW w:w="970" w:type="dxa"/>
          </w:tcPr>
          <w:p w:rsidR="00B64F8E" w:rsidRPr="00866A3A" w:rsidRDefault="00B64F8E" w:rsidP="00421AB9">
            <w:pPr>
              <w:pStyle w:val="TableParagraph"/>
              <w:spacing w:line="240" w:lineRule="auto"/>
              <w:ind w:left="0"/>
              <w:jc w:val="center"/>
              <w:rPr>
                <w:sz w:val="18"/>
                <w:szCs w:val="18"/>
              </w:rPr>
            </w:pPr>
            <w:r>
              <w:rPr>
                <w:sz w:val="18"/>
                <w:szCs w:val="18"/>
              </w:rPr>
              <w:t>101,277</w:t>
            </w:r>
          </w:p>
        </w:tc>
        <w:tc>
          <w:tcPr>
            <w:tcW w:w="902" w:type="dxa"/>
          </w:tcPr>
          <w:p w:rsidR="00B64F8E" w:rsidRPr="00866A3A" w:rsidRDefault="00B64F8E" w:rsidP="00421AB9">
            <w:pPr>
              <w:pStyle w:val="TableParagraph"/>
              <w:spacing w:line="240" w:lineRule="auto"/>
              <w:ind w:left="0"/>
              <w:jc w:val="center"/>
              <w:rPr>
                <w:sz w:val="18"/>
                <w:szCs w:val="18"/>
              </w:rPr>
            </w:pPr>
            <w:r>
              <w:rPr>
                <w:sz w:val="18"/>
                <w:szCs w:val="18"/>
              </w:rPr>
              <w:t>32.30</w:t>
            </w:r>
          </w:p>
        </w:tc>
        <w:tc>
          <w:tcPr>
            <w:tcW w:w="1342" w:type="dxa"/>
          </w:tcPr>
          <w:p w:rsidR="00B64F8E" w:rsidRPr="00866A3A" w:rsidRDefault="00B64F8E" w:rsidP="00421AB9">
            <w:pPr>
              <w:pStyle w:val="TableParagraph"/>
              <w:spacing w:line="240" w:lineRule="auto"/>
              <w:ind w:left="0"/>
              <w:rPr>
                <w:sz w:val="18"/>
                <w:szCs w:val="18"/>
              </w:rPr>
            </w:pPr>
            <w:r>
              <w:rPr>
                <w:sz w:val="18"/>
                <w:szCs w:val="18"/>
              </w:rPr>
              <w:t>3,271,247</w:t>
            </w:r>
          </w:p>
        </w:tc>
      </w:tr>
      <w:tr w:rsidR="00B64F8E" w:rsidRPr="00AC09AB" w:rsidTr="00421AB9">
        <w:trPr>
          <w:trHeight w:hRule="exact" w:val="445"/>
        </w:trPr>
        <w:tc>
          <w:tcPr>
            <w:tcW w:w="1901" w:type="dxa"/>
          </w:tcPr>
          <w:p w:rsidR="00B64F8E" w:rsidRPr="00AC09AB" w:rsidRDefault="00B64F8E" w:rsidP="00421AB9">
            <w:pPr>
              <w:pStyle w:val="TableParagraph"/>
              <w:spacing w:line="240" w:lineRule="auto"/>
              <w:ind w:left="0"/>
              <w:rPr>
                <w:i/>
                <w:sz w:val="18"/>
                <w:szCs w:val="18"/>
              </w:rPr>
            </w:pPr>
            <w:r w:rsidRPr="00AC09AB">
              <w:rPr>
                <w:i/>
                <w:sz w:val="18"/>
                <w:szCs w:val="18"/>
              </w:rPr>
              <w:t>Subtotal: Voluntary Consultations</w:t>
            </w:r>
          </w:p>
        </w:tc>
        <w:tc>
          <w:tcPr>
            <w:tcW w:w="1085" w:type="dxa"/>
          </w:tcPr>
          <w:p w:rsidR="00B64F8E" w:rsidRPr="00AC09AB" w:rsidRDefault="00B64F8E" w:rsidP="00421AB9">
            <w:pPr>
              <w:pStyle w:val="TableParagraph"/>
              <w:spacing w:line="240" w:lineRule="auto"/>
              <w:ind w:left="0"/>
              <w:jc w:val="center"/>
              <w:rPr>
                <w:i/>
                <w:sz w:val="18"/>
                <w:szCs w:val="18"/>
              </w:rPr>
            </w:pPr>
            <w:r w:rsidRPr="00AC09AB">
              <w:rPr>
                <w:i/>
                <w:sz w:val="18"/>
                <w:szCs w:val="18"/>
              </w:rPr>
              <w:t>586,386</w:t>
            </w:r>
          </w:p>
        </w:tc>
        <w:tc>
          <w:tcPr>
            <w:tcW w:w="1858" w:type="dxa"/>
          </w:tcPr>
          <w:p w:rsidR="00B64F8E" w:rsidRPr="00AC09AB" w:rsidRDefault="00B64F8E" w:rsidP="00421AB9">
            <w:pPr>
              <w:pStyle w:val="TableParagraph"/>
              <w:spacing w:line="240" w:lineRule="auto"/>
              <w:ind w:left="0"/>
              <w:jc w:val="center"/>
              <w:rPr>
                <w:i/>
                <w:sz w:val="18"/>
                <w:szCs w:val="18"/>
              </w:rPr>
            </w:pPr>
            <w:r w:rsidRPr="00AC09AB">
              <w:rPr>
                <w:i/>
                <w:sz w:val="18"/>
                <w:szCs w:val="18"/>
              </w:rPr>
              <w:t>3,410,000</w:t>
            </w:r>
          </w:p>
        </w:tc>
        <w:tc>
          <w:tcPr>
            <w:tcW w:w="852" w:type="dxa"/>
          </w:tcPr>
          <w:p w:rsidR="00B64F8E" w:rsidRPr="00AC09AB" w:rsidRDefault="00B64F8E" w:rsidP="00421AB9">
            <w:pPr>
              <w:pStyle w:val="TableParagraph"/>
              <w:spacing w:line="240" w:lineRule="auto"/>
              <w:ind w:left="0"/>
              <w:rPr>
                <w:i/>
                <w:sz w:val="18"/>
                <w:szCs w:val="18"/>
              </w:rPr>
            </w:pPr>
            <w:r w:rsidRPr="00AC09AB">
              <w:rPr>
                <w:i/>
                <w:sz w:val="18"/>
                <w:szCs w:val="18"/>
              </w:rPr>
              <w:t>0.033</w:t>
            </w:r>
          </w:p>
        </w:tc>
        <w:tc>
          <w:tcPr>
            <w:tcW w:w="970" w:type="dxa"/>
          </w:tcPr>
          <w:p w:rsidR="00B64F8E" w:rsidRPr="00AC09AB" w:rsidRDefault="00B64F8E" w:rsidP="00421AB9">
            <w:pPr>
              <w:pStyle w:val="TableParagraph"/>
              <w:spacing w:line="240" w:lineRule="auto"/>
              <w:ind w:left="0"/>
              <w:jc w:val="center"/>
              <w:rPr>
                <w:i/>
                <w:sz w:val="18"/>
                <w:szCs w:val="18"/>
              </w:rPr>
            </w:pPr>
            <w:r w:rsidRPr="00AC09AB">
              <w:rPr>
                <w:i/>
                <w:sz w:val="18"/>
                <w:szCs w:val="18"/>
              </w:rPr>
              <w:t>112,530</w:t>
            </w:r>
          </w:p>
        </w:tc>
        <w:tc>
          <w:tcPr>
            <w:tcW w:w="902" w:type="dxa"/>
          </w:tcPr>
          <w:p w:rsidR="00B64F8E" w:rsidRPr="00AC09AB" w:rsidRDefault="00B64F8E" w:rsidP="00421AB9">
            <w:pPr>
              <w:pStyle w:val="TableParagraph"/>
              <w:spacing w:line="240" w:lineRule="auto"/>
              <w:ind w:left="0"/>
              <w:jc w:val="center"/>
              <w:rPr>
                <w:i/>
                <w:sz w:val="18"/>
                <w:szCs w:val="18"/>
              </w:rPr>
            </w:pPr>
            <w:r w:rsidRPr="00AC09AB">
              <w:rPr>
                <w:i/>
                <w:sz w:val="18"/>
                <w:szCs w:val="18"/>
              </w:rPr>
              <w:t>Varies</w:t>
            </w:r>
          </w:p>
        </w:tc>
        <w:tc>
          <w:tcPr>
            <w:tcW w:w="1342" w:type="dxa"/>
          </w:tcPr>
          <w:p w:rsidR="00B64F8E" w:rsidRPr="00AC09AB" w:rsidRDefault="00B64F8E" w:rsidP="00421AB9">
            <w:pPr>
              <w:pStyle w:val="TableParagraph"/>
              <w:spacing w:line="240" w:lineRule="auto"/>
              <w:ind w:left="0"/>
              <w:rPr>
                <w:i/>
                <w:sz w:val="18"/>
                <w:szCs w:val="18"/>
              </w:rPr>
            </w:pPr>
            <w:r w:rsidRPr="00AC09AB">
              <w:rPr>
                <w:i/>
                <w:sz w:val="18"/>
                <w:szCs w:val="18"/>
              </w:rPr>
              <w:t>5,527,92</w:t>
            </w:r>
            <w:r>
              <w:rPr>
                <w:i/>
                <w:sz w:val="18"/>
                <w:szCs w:val="18"/>
              </w:rPr>
              <w:t>4</w:t>
            </w:r>
          </w:p>
        </w:tc>
      </w:tr>
      <w:tr w:rsidR="00B64F8E" w:rsidRPr="004A2B76" w:rsidTr="00421AB9">
        <w:trPr>
          <w:trHeight w:hRule="exact" w:val="454"/>
        </w:trPr>
        <w:tc>
          <w:tcPr>
            <w:tcW w:w="1901" w:type="dxa"/>
            <w:vMerge w:val="restart"/>
          </w:tcPr>
          <w:p w:rsidR="00B64F8E" w:rsidRDefault="00B64F8E" w:rsidP="00421AB9">
            <w:pPr>
              <w:pStyle w:val="TableParagraph"/>
              <w:spacing w:line="240" w:lineRule="auto"/>
              <w:ind w:left="0"/>
              <w:rPr>
                <w:sz w:val="18"/>
                <w:szCs w:val="18"/>
              </w:rPr>
            </w:pPr>
          </w:p>
          <w:p w:rsidR="00B64F8E" w:rsidRPr="004A2B76" w:rsidRDefault="00B64F8E" w:rsidP="00421AB9">
            <w:pPr>
              <w:pStyle w:val="TableParagraph"/>
              <w:spacing w:line="240" w:lineRule="auto"/>
              <w:ind w:left="0"/>
              <w:rPr>
                <w:sz w:val="18"/>
                <w:szCs w:val="18"/>
              </w:rPr>
            </w:pPr>
            <w:r w:rsidRPr="004A2B76">
              <w:rPr>
                <w:sz w:val="18"/>
                <w:szCs w:val="18"/>
              </w:rPr>
              <w:t>§414.94(j)</w:t>
            </w:r>
          </w:p>
          <w:p w:rsidR="00B64F8E" w:rsidRPr="004A2B76" w:rsidRDefault="00B64F8E" w:rsidP="00421AB9">
            <w:pPr>
              <w:pStyle w:val="TableParagraph"/>
              <w:spacing w:line="240" w:lineRule="auto"/>
              <w:ind w:left="0"/>
              <w:rPr>
                <w:sz w:val="18"/>
                <w:szCs w:val="18"/>
              </w:rPr>
            </w:pPr>
            <w:r w:rsidRPr="004A2B76">
              <w:rPr>
                <w:sz w:val="18"/>
                <w:szCs w:val="18"/>
              </w:rPr>
              <w:t xml:space="preserve">(mandatory </w:t>
            </w:r>
            <w:r w:rsidRPr="004A2B76">
              <w:rPr>
                <w:w w:val="95"/>
                <w:sz w:val="18"/>
                <w:szCs w:val="18"/>
              </w:rPr>
              <w:t>consultations)</w:t>
            </w:r>
          </w:p>
        </w:tc>
        <w:tc>
          <w:tcPr>
            <w:tcW w:w="1085" w:type="dxa"/>
            <w:vMerge w:val="restart"/>
          </w:tcPr>
          <w:p w:rsidR="00B64F8E" w:rsidRDefault="00B64F8E" w:rsidP="00421AB9">
            <w:pPr>
              <w:pStyle w:val="TableParagraph"/>
              <w:spacing w:line="240" w:lineRule="auto"/>
              <w:ind w:left="0"/>
              <w:jc w:val="center"/>
              <w:rPr>
                <w:sz w:val="18"/>
                <w:szCs w:val="18"/>
              </w:rPr>
            </w:pPr>
          </w:p>
          <w:p w:rsidR="00B64F8E" w:rsidRDefault="00B64F8E" w:rsidP="00421AB9">
            <w:pPr>
              <w:pStyle w:val="TableParagraph"/>
              <w:spacing w:line="240" w:lineRule="auto"/>
              <w:ind w:left="0"/>
              <w:jc w:val="center"/>
              <w:rPr>
                <w:sz w:val="18"/>
                <w:szCs w:val="18"/>
              </w:rPr>
            </w:pPr>
          </w:p>
          <w:p w:rsidR="00B64F8E" w:rsidRPr="004A2B76" w:rsidRDefault="00B64F8E" w:rsidP="00421AB9">
            <w:pPr>
              <w:pStyle w:val="TableParagraph"/>
              <w:spacing w:line="240" w:lineRule="auto"/>
              <w:ind w:left="0"/>
              <w:jc w:val="center"/>
              <w:rPr>
                <w:sz w:val="18"/>
                <w:szCs w:val="18"/>
              </w:rPr>
            </w:pPr>
            <w:r w:rsidRPr="004A2B76">
              <w:rPr>
                <w:sz w:val="18"/>
                <w:szCs w:val="18"/>
              </w:rPr>
              <w:t>586,386</w:t>
            </w:r>
          </w:p>
        </w:tc>
        <w:tc>
          <w:tcPr>
            <w:tcW w:w="1858" w:type="dxa"/>
          </w:tcPr>
          <w:p w:rsidR="00B64F8E" w:rsidRPr="004A2B76" w:rsidRDefault="00B64F8E" w:rsidP="00421AB9">
            <w:pPr>
              <w:pStyle w:val="TableParagraph"/>
              <w:spacing w:line="240" w:lineRule="auto"/>
              <w:ind w:left="0"/>
              <w:jc w:val="center"/>
              <w:rPr>
                <w:sz w:val="18"/>
                <w:szCs w:val="18"/>
              </w:rPr>
            </w:pPr>
            <w:r w:rsidRPr="004A2B76">
              <w:rPr>
                <w:sz w:val="18"/>
                <w:szCs w:val="18"/>
              </w:rPr>
              <w:t>4,318,181</w:t>
            </w:r>
          </w:p>
        </w:tc>
        <w:tc>
          <w:tcPr>
            <w:tcW w:w="852" w:type="dxa"/>
          </w:tcPr>
          <w:p w:rsidR="00B64F8E" w:rsidRPr="004A2B76" w:rsidRDefault="00B64F8E" w:rsidP="00421AB9">
            <w:pPr>
              <w:pStyle w:val="TableParagraph"/>
              <w:spacing w:line="240" w:lineRule="auto"/>
              <w:ind w:left="0"/>
              <w:rPr>
                <w:sz w:val="18"/>
                <w:szCs w:val="18"/>
              </w:rPr>
            </w:pPr>
            <w:r w:rsidRPr="004A2B76">
              <w:rPr>
                <w:sz w:val="18"/>
                <w:szCs w:val="18"/>
              </w:rPr>
              <w:t>0.033</w:t>
            </w:r>
          </w:p>
        </w:tc>
        <w:tc>
          <w:tcPr>
            <w:tcW w:w="970" w:type="dxa"/>
          </w:tcPr>
          <w:p w:rsidR="00B64F8E" w:rsidRPr="004A2B76" w:rsidRDefault="00B64F8E" w:rsidP="00421AB9">
            <w:pPr>
              <w:pStyle w:val="TableParagraph"/>
              <w:spacing w:line="240" w:lineRule="auto"/>
              <w:ind w:left="0"/>
              <w:jc w:val="center"/>
              <w:rPr>
                <w:sz w:val="18"/>
                <w:szCs w:val="18"/>
              </w:rPr>
            </w:pPr>
            <w:r w:rsidRPr="004A2B76">
              <w:rPr>
                <w:sz w:val="18"/>
                <w:szCs w:val="18"/>
              </w:rPr>
              <w:t>142,500</w:t>
            </w:r>
          </w:p>
        </w:tc>
        <w:tc>
          <w:tcPr>
            <w:tcW w:w="902" w:type="dxa"/>
          </w:tcPr>
          <w:p w:rsidR="00B64F8E" w:rsidRPr="004A2B76" w:rsidRDefault="00B64F8E" w:rsidP="00421AB9">
            <w:pPr>
              <w:pStyle w:val="TableParagraph"/>
              <w:spacing w:line="240" w:lineRule="auto"/>
              <w:ind w:left="0"/>
              <w:jc w:val="center"/>
              <w:rPr>
                <w:sz w:val="18"/>
                <w:szCs w:val="18"/>
              </w:rPr>
            </w:pPr>
            <w:r w:rsidRPr="004A2B76">
              <w:rPr>
                <w:sz w:val="18"/>
                <w:szCs w:val="18"/>
              </w:rPr>
              <w:t>200.54</w:t>
            </w:r>
          </w:p>
        </w:tc>
        <w:tc>
          <w:tcPr>
            <w:tcW w:w="1342" w:type="dxa"/>
          </w:tcPr>
          <w:p w:rsidR="00B64F8E" w:rsidRPr="004A2B76" w:rsidRDefault="00B64F8E" w:rsidP="00421AB9">
            <w:pPr>
              <w:pStyle w:val="TableParagraph"/>
              <w:spacing w:line="240" w:lineRule="auto"/>
              <w:ind w:left="0"/>
              <w:rPr>
                <w:sz w:val="18"/>
                <w:szCs w:val="18"/>
              </w:rPr>
            </w:pPr>
            <w:r w:rsidRPr="004A2B76">
              <w:rPr>
                <w:sz w:val="18"/>
                <w:szCs w:val="18"/>
              </w:rPr>
              <w:t>28,576,950</w:t>
            </w:r>
          </w:p>
        </w:tc>
      </w:tr>
      <w:tr w:rsidR="00B64F8E" w:rsidRPr="00866A3A" w:rsidTr="00421AB9">
        <w:trPr>
          <w:trHeight w:hRule="exact" w:val="526"/>
        </w:trPr>
        <w:tc>
          <w:tcPr>
            <w:tcW w:w="1901" w:type="dxa"/>
            <w:vMerge/>
          </w:tcPr>
          <w:p w:rsidR="00B64F8E" w:rsidRPr="004A2B76" w:rsidRDefault="00B64F8E" w:rsidP="00421AB9">
            <w:pPr>
              <w:pStyle w:val="TableParagraph"/>
              <w:spacing w:line="240" w:lineRule="auto"/>
              <w:ind w:left="0"/>
              <w:rPr>
                <w:sz w:val="18"/>
                <w:szCs w:val="18"/>
              </w:rPr>
            </w:pPr>
          </w:p>
        </w:tc>
        <w:tc>
          <w:tcPr>
            <w:tcW w:w="1085" w:type="dxa"/>
            <w:vMerge/>
          </w:tcPr>
          <w:p w:rsidR="00B64F8E" w:rsidRPr="004A2B76" w:rsidRDefault="00B64F8E" w:rsidP="00421AB9">
            <w:pPr>
              <w:pStyle w:val="TableParagraph"/>
              <w:spacing w:line="240" w:lineRule="auto"/>
              <w:ind w:left="0"/>
              <w:jc w:val="center"/>
              <w:rPr>
                <w:sz w:val="18"/>
                <w:szCs w:val="18"/>
              </w:rPr>
            </w:pPr>
          </w:p>
        </w:tc>
        <w:tc>
          <w:tcPr>
            <w:tcW w:w="1858" w:type="dxa"/>
          </w:tcPr>
          <w:p w:rsidR="00B64F8E" w:rsidRPr="004A2B76" w:rsidRDefault="00B64F8E" w:rsidP="00421AB9">
            <w:pPr>
              <w:pStyle w:val="TableParagraph"/>
              <w:spacing w:line="240" w:lineRule="auto"/>
              <w:ind w:left="0"/>
              <w:jc w:val="center"/>
              <w:rPr>
                <w:sz w:val="18"/>
                <w:szCs w:val="18"/>
              </w:rPr>
            </w:pPr>
            <w:r w:rsidRPr="004A2B76">
              <w:rPr>
                <w:sz w:val="18"/>
                <w:szCs w:val="18"/>
              </w:rPr>
              <w:t>38,863,636</w:t>
            </w:r>
          </w:p>
        </w:tc>
        <w:tc>
          <w:tcPr>
            <w:tcW w:w="852" w:type="dxa"/>
          </w:tcPr>
          <w:p w:rsidR="00B64F8E" w:rsidRPr="004A2B76" w:rsidRDefault="00B64F8E" w:rsidP="00421AB9">
            <w:pPr>
              <w:pStyle w:val="TableParagraph"/>
              <w:spacing w:line="240" w:lineRule="auto"/>
              <w:ind w:left="0"/>
              <w:rPr>
                <w:sz w:val="18"/>
                <w:szCs w:val="18"/>
              </w:rPr>
            </w:pPr>
            <w:r w:rsidRPr="004A2B76">
              <w:rPr>
                <w:sz w:val="18"/>
                <w:szCs w:val="18"/>
              </w:rPr>
              <w:t>0.033</w:t>
            </w:r>
          </w:p>
        </w:tc>
        <w:tc>
          <w:tcPr>
            <w:tcW w:w="970" w:type="dxa"/>
          </w:tcPr>
          <w:p w:rsidR="00B64F8E" w:rsidRPr="004A2B76" w:rsidRDefault="00B64F8E" w:rsidP="00421AB9">
            <w:pPr>
              <w:pStyle w:val="TableParagraph"/>
              <w:spacing w:line="240" w:lineRule="auto"/>
              <w:ind w:left="0"/>
              <w:jc w:val="center"/>
              <w:rPr>
                <w:sz w:val="18"/>
                <w:szCs w:val="18"/>
              </w:rPr>
            </w:pPr>
            <w:r w:rsidRPr="004A2B76">
              <w:rPr>
                <w:sz w:val="18"/>
                <w:szCs w:val="18"/>
              </w:rPr>
              <w:t>1,282,500</w:t>
            </w:r>
          </w:p>
        </w:tc>
        <w:tc>
          <w:tcPr>
            <w:tcW w:w="902" w:type="dxa"/>
          </w:tcPr>
          <w:p w:rsidR="00B64F8E" w:rsidRPr="004A2B76" w:rsidRDefault="00B64F8E" w:rsidP="00421AB9">
            <w:pPr>
              <w:pStyle w:val="TableParagraph"/>
              <w:spacing w:line="240" w:lineRule="auto"/>
              <w:ind w:left="0"/>
              <w:jc w:val="center"/>
              <w:rPr>
                <w:sz w:val="18"/>
                <w:szCs w:val="18"/>
              </w:rPr>
            </w:pPr>
            <w:r>
              <w:rPr>
                <w:sz w:val="18"/>
                <w:szCs w:val="18"/>
              </w:rPr>
              <w:t>32.30</w:t>
            </w:r>
          </w:p>
        </w:tc>
        <w:tc>
          <w:tcPr>
            <w:tcW w:w="1342" w:type="dxa"/>
          </w:tcPr>
          <w:p w:rsidR="00B64F8E" w:rsidRPr="00866A3A" w:rsidRDefault="00B64F8E" w:rsidP="00421AB9">
            <w:pPr>
              <w:pStyle w:val="TableParagraph"/>
              <w:spacing w:line="240" w:lineRule="auto"/>
              <w:ind w:left="0"/>
              <w:rPr>
                <w:sz w:val="18"/>
                <w:szCs w:val="18"/>
              </w:rPr>
            </w:pPr>
            <w:r>
              <w:rPr>
                <w:sz w:val="18"/>
                <w:szCs w:val="18"/>
              </w:rPr>
              <w:t>41,424,750</w:t>
            </w:r>
          </w:p>
        </w:tc>
      </w:tr>
      <w:tr w:rsidR="00B64F8E" w:rsidRPr="001B10D4" w:rsidTr="00421AB9">
        <w:trPr>
          <w:trHeight w:hRule="exact" w:val="454"/>
        </w:trPr>
        <w:tc>
          <w:tcPr>
            <w:tcW w:w="1901" w:type="dxa"/>
          </w:tcPr>
          <w:p w:rsidR="00B64F8E" w:rsidRPr="001B10D4" w:rsidRDefault="00B64F8E" w:rsidP="00421AB9">
            <w:pPr>
              <w:pStyle w:val="TableParagraph"/>
              <w:rPr>
                <w:i/>
                <w:sz w:val="18"/>
                <w:szCs w:val="18"/>
              </w:rPr>
            </w:pPr>
            <w:r w:rsidRPr="001B10D4">
              <w:rPr>
                <w:i/>
                <w:sz w:val="18"/>
                <w:szCs w:val="18"/>
              </w:rPr>
              <w:t>Subtotal: Mandatory Consultations</w:t>
            </w:r>
          </w:p>
        </w:tc>
        <w:tc>
          <w:tcPr>
            <w:tcW w:w="1085" w:type="dxa"/>
          </w:tcPr>
          <w:p w:rsidR="00B64F8E" w:rsidRPr="001B10D4" w:rsidRDefault="00B64F8E" w:rsidP="00421AB9">
            <w:pPr>
              <w:pStyle w:val="TableParagraph"/>
              <w:spacing w:line="240" w:lineRule="auto"/>
              <w:ind w:left="0"/>
              <w:jc w:val="center"/>
              <w:rPr>
                <w:i/>
                <w:sz w:val="18"/>
                <w:szCs w:val="18"/>
              </w:rPr>
            </w:pPr>
            <w:r w:rsidRPr="001B10D4">
              <w:rPr>
                <w:i/>
                <w:sz w:val="18"/>
                <w:szCs w:val="18"/>
              </w:rPr>
              <w:t>586,386</w:t>
            </w:r>
          </w:p>
        </w:tc>
        <w:tc>
          <w:tcPr>
            <w:tcW w:w="1858" w:type="dxa"/>
          </w:tcPr>
          <w:p w:rsidR="00B64F8E" w:rsidRPr="001B10D4" w:rsidRDefault="00B64F8E" w:rsidP="00421AB9">
            <w:pPr>
              <w:pStyle w:val="TableParagraph"/>
              <w:spacing w:line="240" w:lineRule="auto"/>
              <w:ind w:left="0"/>
              <w:jc w:val="center"/>
              <w:rPr>
                <w:i/>
                <w:sz w:val="18"/>
                <w:szCs w:val="18"/>
              </w:rPr>
            </w:pPr>
            <w:r w:rsidRPr="001B10D4">
              <w:rPr>
                <w:i/>
                <w:sz w:val="18"/>
                <w:szCs w:val="18"/>
              </w:rPr>
              <w:t>43,181,818</w:t>
            </w:r>
          </w:p>
        </w:tc>
        <w:tc>
          <w:tcPr>
            <w:tcW w:w="852" w:type="dxa"/>
          </w:tcPr>
          <w:p w:rsidR="00B64F8E" w:rsidRPr="001B10D4" w:rsidRDefault="00B64F8E" w:rsidP="00421AB9">
            <w:pPr>
              <w:pStyle w:val="TableParagraph"/>
              <w:spacing w:line="240" w:lineRule="auto"/>
              <w:ind w:left="0"/>
              <w:rPr>
                <w:i/>
                <w:sz w:val="18"/>
                <w:szCs w:val="18"/>
              </w:rPr>
            </w:pPr>
            <w:r w:rsidRPr="001B10D4">
              <w:rPr>
                <w:i/>
                <w:sz w:val="18"/>
                <w:szCs w:val="18"/>
              </w:rPr>
              <w:t>0.033</w:t>
            </w:r>
          </w:p>
        </w:tc>
        <w:tc>
          <w:tcPr>
            <w:tcW w:w="970" w:type="dxa"/>
          </w:tcPr>
          <w:p w:rsidR="00B64F8E" w:rsidRPr="001B10D4" w:rsidRDefault="00B64F8E" w:rsidP="00421AB9">
            <w:pPr>
              <w:pStyle w:val="TableParagraph"/>
              <w:spacing w:line="240" w:lineRule="auto"/>
              <w:ind w:left="0"/>
              <w:jc w:val="center"/>
              <w:rPr>
                <w:i/>
                <w:sz w:val="18"/>
                <w:szCs w:val="18"/>
              </w:rPr>
            </w:pPr>
            <w:r w:rsidRPr="001B10D4">
              <w:rPr>
                <w:i/>
                <w:sz w:val="18"/>
                <w:szCs w:val="18"/>
              </w:rPr>
              <w:t>1,425,000</w:t>
            </w:r>
          </w:p>
        </w:tc>
        <w:tc>
          <w:tcPr>
            <w:tcW w:w="902" w:type="dxa"/>
          </w:tcPr>
          <w:p w:rsidR="00B64F8E" w:rsidRPr="001B10D4" w:rsidRDefault="00B64F8E" w:rsidP="00421AB9">
            <w:pPr>
              <w:pStyle w:val="TableParagraph"/>
              <w:spacing w:line="240" w:lineRule="auto"/>
              <w:ind w:left="0"/>
              <w:jc w:val="center"/>
              <w:rPr>
                <w:i/>
                <w:sz w:val="18"/>
                <w:szCs w:val="18"/>
              </w:rPr>
            </w:pPr>
            <w:r w:rsidRPr="001B10D4">
              <w:rPr>
                <w:i/>
                <w:sz w:val="18"/>
                <w:szCs w:val="18"/>
              </w:rPr>
              <w:t>Varies</w:t>
            </w:r>
          </w:p>
        </w:tc>
        <w:tc>
          <w:tcPr>
            <w:tcW w:w="1342" w:type="dxa"/>
          </w:tcPr>
          <w:p w:rsidR="00B64F8E" w:rsidRPr="001B10D4" w:rsidRDefault="00B64F8E" w:rsidP="00421AB9">
            <w:pPr>
              <w:pStyle w:val="TableParagraph"/>
              <w:spacing w:line="240" w:lineRule="auto"/>
              <w:ind w:left="0"/>
              <w:rPr>
                <w:i/>
                <w:sz w:val="18"/>
                <w:szCs w:val="18"/>
              </w:rPr>
            </w:pPr>
            <w:r w:rsidRPr="001B10D4">
              <w:rPr>
                <w:i/>
                <w:sz w:val="18"/>
                <w:szCs w:val="18"/>
              </w:rPr>
              <w:t>70,001,700</w:t>
            </w:r>
          </w:p>
        </w:tc>
      </w:tr>
      <w:tr w:rsidR="00B64F8E" w:rsidRPr="00906555" w:rsidTr="00421AB9">
        <w:trPr>
          <w:trHeight w:hRule="exact" w:val="197"/>
        </w:trPr>
        <w:tc>
          <w:tcPr>
            <w:tcW w:w="1901" w:type="dxa"/>
            <w:shd w:val="clear" w:color="auto" w:fill="DADADA"/>
          </w:tcPr>
          <w:p w:rsidR="00B64F8E" w:rsidRPr="00906555" w:rsidRDefault="00B64F8E" w:rsidP="00421AB9">
            <w:pPr>
              <w:pStyle w:val="TableParagraph"/>
              <w:spacing w:line="240" w:lineRule="auto"/>
              <w:ind w:left="0"/>
              <w:jc w:val="center"/>
              <w:rPr>
                <w:b/>
                <w:sz w:val="18"/>
                <w:szCs w:val="18"/>
              </w:rPr>
            </w:pPr>
            <w:r w:rsidRPr="00906555">
              <w:rPr>
                <w:b/>
                <w:sz w:val="18"/>
                <w:szCs w:val="18"/>
              </w:rPr>
              <w:t>TOTAL</w:t>
            </w:r>
          </w:p>
        </w:tc>
        <w:tc>
          <w:tcPr>
            <w:tcW w:w="1085" w:type="dxa"/>
            <w:shd w:val="clear" w:color="auto" w:fill="DADADA"/>
          </w:tcPr>
          <w:p w:rsidR="00B64F8E" w:rsidRPr="00906555" w:rsidRDefault="00B64F8E" w:rsidP="00421AB9">
            <w:pPr>
              <w:pStyle w:val="TableParagraph"/>
              <w:spacing w:line="240" w:lineRule="auto"/>
              <w:ind w:left="0"/>
              <w:jc w:val="center"/>
              <w:rPr>
                <w:b/>
                <w:sz w:val="18"/>
                <w:szCs w:val="18"/>
              </w:rPr>
            </w:pPr>
            <w:r w:rsidRPr="00906555">
              <w:rPr>
                <w:b/>
                <w:sz w:val="18"/>
                <w:szCs w:val="18"/>
              </w:rPr>
              <w:t>586,386</w:t>
            </w:r>
          </w:p>
        </w:tc>
        <w:tc>
          <w:tcPr>
            <w:tcW w:w="1858" w:type="dxa"/>
            <w:shd w:val="clear" w:color="auto" w:fill="DADADA"/>
          </w:tcPr>
          <w:p w:rsidR="00B64F8E" w:rsidRPr="00906555" w:rsidRDefault="00B64F8E" w:rsidP="00421AB9">
            <w:pPr>
              <w:pStyle w:val="TableParagraph"/>
              <w:spacing w:line="240" w:lineRule="auto"/>
              <w:ind w:left="0"/>
              <w:jc w:val="center"/>
              <w:rPr>
                <w:b/>
                <w:sz w:val="18"/>
                <w:szCs w:val="18"/>
              </w:rPr>
            </w:pPr>
            <w:r w:rsidRPr="00906555">
              <w:rPr>
                <w:b/>
                <w:sz w:val="18"/>
                <w:szCs w:val="18"/>
              </w:rPr>
              <w:t>46,591,818</w:t>
            </w:r>
          </w:p>
        </w:tc>
        <w:tc>
          <w:tcPr>
            <w:tcW w:w="852" w:type="dxa"/>
            <w:shd w:val="clear" w:color="auto" w:fill="DADADA"/>
          </w:tcPr>
          <w:p w:rsidR="00B64F8E" w:rsidRPr="00906555" w:rsidRDefault="00B64F8E" w:rsidP="00421AB9">
            <w:pPr>
              <w:pStyle w:val="TableParagraph"/>
              <w:spacing w:line="240" w:lineRule="auto"/>
              <w:ind w:left="0"/>
              <w:rPr>
                <w:b/>
                <w:sz w:val="18"/>
                <w:szCs w:val="18"/>
              </w:rPr>
            </w:pPr>
            <w:r>
              <w:rPr>
                <w:b/>
                <w:sz w:val="18"/>
                <w:szCs w:val="18"/>
              </w:rPr>
              <w:t>0.033</w:t>
            </w:r>
          </w:p>
        </w:tc>
        <w:tc>
          <w:tcPr>
            <w:tcW w:w="970" w:type="dxa"/>
            <w:shd w:val="clear" w:color="auto" w:fill="DADADA"/>
          </w:tcPr>
          <w:p w:rsidR="00B64F8E" w:rsidRPr="00906555" w:rsidRDefault="00B64F8E" w:rsidP="00421AB9">
            <w:pPr>
              <w:pStyle w:val="TableParagraph"/>
              <w:spacing w:line="240" w:lineRule="auto"/>
              <w:ind w:left="0"/>
              <w:jc w:val="center"/>
              <w:rPr>
                <w:b/>
                <w:sz w:val="18"/>
                <w:szCs w:val="18"/>
              </w:rPr>
            </w:pPr>
            <w:r w:rsidRPr="00906555">
              <w:rPr>
                <w:b/>
                <w:sz w:val="18"/>
                <w:szCs w:val="18"/>
              </w:rPr>
              <w:t>1,537,530</w:t>
            </w:r>
          </w:p>
        </w:tc>
        <w:tc>
          <w:tcPr>
            <w:tcW w:w="902" w:type="dxa"/>
            <w:shd w:val="clear" w:color="auto" w:fill="DADADA"/>
          </w:tcPr>
          <w:p w:rsidR="00B64F8E" w:rsidRPr="00906555" w:rsidRDefault="00B64F8E" w:rsidP="00421AB9">
            <w:pPr>
              <w:pStyle w:val="TableParagraph"/>
              <w:spacing w:line="240" w:lineRule="auto"/>
              <w:ind w:left="0"/>
              <w:jc w:val="center"/>
              <w:rPr>
                <w:b/>
                <w:sz w:val="18"/>
                <w:szCs w:val="18"/>
              </w:rPr>
            </w:pPr>
            <w:r>
              <w:rPr>
                <w:b/>
                <w:sz w:val="18"/>
                <w:szCs w:val="18"/>
              </w:rPr>
              <w:t>Varies</w:t>
            </w:r>
          </w:p>
        </w:tc>
        <w:tc>
          <w:tcPr>
            <w:tcW w:w="1342" w:type="dxa"/>
            <w:shd w:val="clear" w:color="auto" w:fill="DADADA"/>
          </w:tcPr>
          <w:p w:rsidR="00B64F8E" w:rsidRPr="00906555" w:rsidRDefault="00B64F8E" w:rsidP="00421AB9">
            <w:pPr>
              <w:pStyle w:val="TableParagraph"/>
              <w:spacing w:line="240" w:lineRule="auto"/>
              <w:ind w:left="0"/>
              <w:rPr>
                <w:b/>
                <w:sz w:val="18"/>
                <w:szCs w:val="18"/>
              </w:rPr>
            </w:pPr>
            <w:r>
              <w:rPr>
                <w:b/>
                <w:sz w:val="18"/>
                <w:szCs w:val="18"/>
              </w:rPr>
              <w:t>75,529,624</w:t>
            </w:r>
          </w:p>
        </w:tc>
      </w:tr>
    </w:tbl>
    <w:p w:rsidR="00B64F8E" w:rsidRDefault="00B64F8E" w:rsidP="00773171">
      <w:pPr>
        <w:pStyle w:val="BodyText"/>
      </w:pPr>
    </w:p>
    <w:p w:rsidR="00773171" w:rsidRPr="00213CFD" w:rsidRDefault="00773171" w:rsidP="00773171">
      <w:pPr>
        <w:rPr>
          <w:rFonts w:eastAsia="Calibri"/>
          <w:i/>
          <w:sz w:val="24"/>
          <w:szCs w:val="24"/>
          <w:u w:val="single"/>
        </w:rPr>
      </w:pPr>
      <w:r w:rsidRPr="00213CFD">
        <w:rPr>
          <w:rFonts w:eastAsia="Calibri"/>
          <w:i/>
          <w:sz w:val="24"/>
          <w:szCs w:val="24"/>
          <w:u w:val="single"/>
        </w:rPr>
        <w:t>Significant Hardship Exception</w:t>
      </w:r>
    </w:p>
    <w:p w:rsidR="00773171" w:rsidRDefault="00773171" w:rsidP="00773171">
      <w:pPr>
        <w:rPr>
          <w:rFonts w:eastAsia="Calibri"/>
          <w:sz w:val="24"/>
          <w:szCs w:val="24"/>
          <w:u w:val="single"/>
        </w:rPr>
      </w:pPr>
    </w:p>
    <w:p w:rsidR="00773171" w:rsidRDefault="00286E78" w:rsidP="00773171">
      <w:pPr>
        <w:rPr>
          <w:rFonts w:eastAsia="Calibri"/>
          <w:sz w:val="24"/>
          <w:szCs w:val="24"/>
        </w:rPr>
      </w:pPr>
      <w:r>
        <w:rPr>
          <w:rFonts w:eastAsia="Calibri"/>
          <w:sz w:val="24"/>
          <w:szCs w:val="24"/>
        </w:rPr>
        <w:t xml:space="preserve">Section </w:t>
      </w:r>
      <w:r w:rsidR="00773171" w:rsidRPr="002A16C1">
        <w:rPr>
          <w:rFonts w:eastAsia="Calibri"/>
          <w:sz w:val="24"/>
          <w:szCs w:val="24"/>
        </w:rPr>
        <w:t>414.94(i)(3) provide</w:t>
      </w:r>
      <w:r>
        <w:rPr>
          <w:rFonts w:eastAsia="Calibri"/>
          <w:sz w:val="24"/>
          <w:szCs w:val="24"/>
        </w:rPr>
        <w:t>s</w:t>
      </w:r>
      <w:r w:rsidR="00773171" w:rsidRPr="002A16C1">
        <w:rPr>
          <w:rFonts w:eastAsia="Calibri"/>
          <w:sz w:val="24"/>
          <w:szCs w:val="24"/>
        </w:rPr>
        <w:t xml:space="preserve"> for a significant hardship exception for ordering professionals who experience a significant hardship affecting their consultation of AUC when ordering an advanced diagnostic imaging service.  The </w:t>
      </w:r>
      <w:r w:rsidR="0007172D">
        <w:rPr>
          <w:rFonts w:eastAsia="Calibri"/>
          <w:sz w:val="24"/>
          <w:szCs w:val="24"/>
        </w:rPr>
        <w:t xml:space="preserve">provision sets out </w:t>
      </w:r>
      <w:r w:rsidR="00773171" w:rsidRPr="002A16C1">
        <w:rPr>
          <w:rFonts w:eastAsia="Calibri"/>
          <w:sz w:val="24"/>
          <w:szCs w:val="24"/>
        </w:rPr>
        <w:t>a process whereby all ordering professionals can self-attest that they are experiencing a significant hardship at the time of placing an advanced diagnostic imaging order.  Although this is not a certification being used as a substitute for a collection of AUC consultation information because no consultation is required by statute to take place, the significant hardship exception process consists of appending to the order for an applicable imaging service the significant hardship information for inclusion on the Medicare claim in lieu of the AUC consultation information.  This imposes no burden beyond providing identifying information and attesting to the applicable information.  In this regard, the use of this process is not “information” as defined under 5 CFR 1320.3(h), and therefore, is exempt from requirements of the PRA.</w:t>
      </w:r>
    </w:p>
    <w:p w:rsidR="00773171" w:rsidRPr="002A16C1" w:rsidRDefault="00773171" w:rsidP="00773171">
      <w:pPr>
        <w:rPr>
          <w:rFonts w:eastAsia="Calibri"/>
          <w:sz w:val="24"/>
          <w:szCs w:val="24"/>
        </w:rPr>
      </w:pPr>
    </w:p>
    <w:p w:rsidR="001A28BD" w:rsidRPr="00866A3A" w:rsidRDefault="008F123A" w:rsidP="0006000A">
      <w:pPr>
        <w:rPr>
          <w:i/>
          <w:sz w:val="24"/>
          <w:szCs w:val="24"/>
        </w:rPr>
      </w:pPr>
      <w:r w:rsidRPr="00866A3A">
        <w:rPr>
          <w:i/>
          <w:sz w:val="24"/>
          <w:szCs w:val="24"/>
        </w:rPr>
        <w:t>Collection of Information Instruments and Instruction/Guidance Documents</w:t>
      </w:r>
    </w:p>
    <w:p w:rsidR="001A28BD" w:rsidRPr="00866A3A" w:rsidRDefault="001A28BD" w:rsidP="0006000A">
      <w:pPr>
        <w:pStyle w:val="BodyText"/>
      </w:pPr>
    </w:p>
    <w:p w:rsidR="001A28BD" w:rsidRPr="00866A3A" w:rsidRDefault="008F123A" w:rsidP="0006000A">
      <w:pPr>
        <w:pStyle w:val="BodyText"/>
      </w:pPr>
      <w:r w:rsidRPr="00866A3A">
        <w:t>Not applicable.</w:t>
      </w:r>
    </w:p>
    <w:p w:rsidR="001A28BD" w:rsidRPr="00866A3A" w:rsidRDefault="001A28BD" w:rsidP="0006000A">
      <w:pPr>
        <w:pStyle w:val="BodyText"/>
      </w:pPr>
    </w:p>
    <w:p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Capital</w:t>
      </w:r>
      <w:r w:rsidRPr="002A7412">
        <w:rPr>
          <w:spacing w:val="-3"/>
          <w:sz w:val="24"/>
          <w:szCs w:val="24"/>
          <w:u w:val="single"/>
        </w:rPr>
        <w:t xml:space="preserve"> </w:t>
      </w:r>
      <w:r w:rsidRPr="002A7412">
        <w:rPr>
          <w:sz w:val="24"/>
          <w:szCs w:val="24"/>
          <w:u w:val="single"/>
        </w:rPr>
        <w:t>Costs</w:t>
      </w:r>
    </w:p>
    <w:p w:rsidR="001A28BD" w:rsidRPr="00866A3A" w:rsidRDefault="001A28BD" w:rsidP="0006000A">
      <w:pPr>
        <w:pStyle w:val="BodyText"/>
      </w:pPr>
    </w:p>
    <w:p w:rsidR="001A28BD" w:rsidRPr="00866A3A" w:rsidRDefault="008F123A" w:rsidP="0006000A">
      <w:pPr>
        <w:pStyle w:val="BodyText"/>
      </w:pPr>
      <w:r w:rsidRPr="00866A3A">
        <w:t>We do not estimate there would be any capital costs associated with generating, maintaining, and disclosing or providing AUC consultation information by the ordering professional. Consistent with section 1834(q)(1)(C)(iii) of the Act and regulations at §414.94(b) one or more qualified CDSMs is available free of charge.</w:t>
      </w:r>
    </w:p>
    <w:p w:rsidR="001A28BD" w:rsidRPr="00866A3A" w:rsidRDefault="001A28BD" w:rsidP="0006000A">
      <w:pPr>
        <w:pStyle w:val="BodyText"/>
      </w:pPr>
    </w:p>
    <w:p w:rsidR="001A28BD" w:rsidRPr="00866A3A" w:rsidRDefault="008F123A" w:rsidP="0006000A">
      <w:pPr>
        <w:pStyle w:val="BodyText"/>
      </w:pPr>
      <w:r w:rsidRPr="00866A3A">
        <w:t xml:space="preserve">We do not estimate there would be any capital costs associated with the reporting of </w:t>
      </w:r>
      <w:r w:rsidR="00077E29">
        <w:t xml:space="preserve">AUC consultation </w:t>
      </w:r>
      <w:r w:rsidRPr="00866A3A">
        <w:t>information. Legislation, specifically The Administrative Simplification Compliance Act amendment to section 1862(a) of the Social Security Act, prescribes that “no payment may be made under Part A or Part B of the Medicare Program for any expenses incurred for items or services” for which a claim is received in a non- electronic form. Consequently, absent an applicable exception, paper claims received by Medicare will not be paid. Therefore, we estimate that capital costs associated with reporting AUC consultation information</w:t>
      </w:r>
      <w:r w:rsidR="00077E29">
        <w:t xml:space="preserve"> </w:t>
      </w:r>
      <w:r w:rsidRPr="00866A3A">
        <w:t>has already occurred to achieve regulatory compliance with requirements not associated with this information collection, for reasons other than to provide this information, and as part of customary and usual business practices.</w:t>
      </w:r>
    </w:p>
    <w:p w:rsidR="001A28BD" w:rsidRPr="00866A3A" w:rsidRDefault="001A28BD" w:rsidP="0006000A">
      <w:pPr>
        <w:pStyle w:val="BodyText"/>
      </w:pPr>
    </w:p>
    <w:p w:rsidR="001A28BD" w:rsidRPr="00A0390E" w:rsidRDefault="008F123A" w:rsidP="00866A3A">
      <w:pPr>
        <w:pStyle w:val="ListParagraph"/>
        <w:numPr>
          <w:ilvl w:val="1"/>
          <w:numId w:val="3"/>
        </w:numPr>
        <w:tabs>
          <w:tab w:val="left" w:pos="552"/>
        </w:tabs>
        <w:ind w:left="0" w:firstLine="0"/>
        <w:rPr>
          <w:sz w:val="24"/>
          <w:szCs w:val="24"/>
          <w:u w:val="single"/>
        </w:rPr>
      </w:pPr>
      <w:r w:rsidRPr="00A0390E">
        <w:rPr>
          <w:sz w:val="24"/>
          <w:szCs w:val="24"/>
          <w:u w:val="single"/>
        </w:rPr>
        <w:t>Cost to Federal</w:t>
      </w:r>
      <w:r w:rsidRPr="00A0390E">
        <w:rPr>
          <w:spacing w:val="-11"/>
          <w:sz w:val="24"/>
          <w:szCs w:val="24"/>
          <w:u w:val="single"/>
        </w:rPr>
        <w:t xml:space="preserve"> </w:t>
      </w:r>
      <w:r w:rsidRPr="00A0390E">
        <w:rPr>
          <w:sz w:val="24"/>
          <w:szCs w:val="24"/>
          <w:u w:val="single"/>
        </w:rPr>
        <w:t>Government</w:t>
      </w:r>
    </w:p>
    <w:p w:rsidR="001A28BD" w:rsidRPr="00866A3A" w:rsidRDefault="001A28BD" w:rsidP="0006000A">
      <w:pPr>
        <w:pStyle w:val="BodyText"/>
      </w:pPr>
    </w:p>
    <w:p w:rsidR="001A28BD" w:rsidRPr="00866A3A" w:rsidRDefault="008F123A" w:rsidP="0006000A">
      <w:pPr>
        <w:pStyle w:val="BodyText"/>
      </w:pPr>
      <w:r w:rsidRPr="00866A3A">
        <w:t>Based on FY 2010 figures, the administrative cost to the Federal Government to administer Medicare Part B was $3,514,000,000 or 1.3 percent of benefit payments.</w:t>
      </w:r>
      <w:r w:rsidR="005E558C">
        <w:rPr>
          <w:rStyle w:val="FootnoteReference"/>
        </w:rPr>
        <w:footnoteReference w:id="1"/>
      </w:r>
      <w:r w:rsidRPr="00866A3A">
        <w:rPr>
          <w:position w:val="9"/>
        </w:rPr>
        <w:t xml:space="preserve"> </w:t>
      </w:r>
      <w:r w:rsidRPr="00866A3A">
        <w:t>On the average, the unit cost incurred to the Federal Government per claim was $0.38</w:t>
      </w:r>
      <w:r w:rsidR="005E558C">
        <w:rPr>
          <w:rStyle w:val="FootnoteReference"/>
        </w:rPr>
        <w:footnoteReference w:id="2"/>
      </w:r>
      <w:r w:rsidRPr="00866A3A">
        <w:rPr>
          <w:position w:val="9"/>
        </w:rPr>
        <w:t xml:space="preserve"> </w:t>
      </w:r>
      <w:r w:rsidRPr="00866A3A">
        <w:t>in FY 2008. This figure includes the direct costs and overhead cost for claims payment, reviews and hearings, and beneficiary/physician inquiry lines. While we have not finalized a mechanism by which to collect this information on a Medicare claim form, we have estimated the cost to the federal government to explore claims-based mechanisms to report AUC consultation information. To perform this estimate, we assumed that we would need to make a change request (CR) for our Medicare Administrative Contractors, Shared Systems Maintainers, and claims processing systems such as the Common Working File, to perform design thinking and analysis of implementing systems changes editing the existing Medicare claim forms. To this end, we estimate this work to cost about $1 million dollars over the course of 1 year for an analysis and design CR. Once these systems features are discussed, we do not expect to need to repeat this work and therefore estimate this to be a one-time cost to the federal government.</w:t>
      </w:r>
    </w:p>
    <w:p w:rsidR="001A28BD" w:rsidRPr="00866A3A" w:rsidRDefault="00C52F21" w:rsidP="0006000A">
      <w:pPr>
        <w:pStyle w:val="BodyText"/>
      </w:pPr>
      <w:r w:rsidRPr="00866A3A">
        <w:rPr>
          <w:noProof/>
        </w:rPr>
        <mc:AlternateContent>
          <mc:Choice Requires="wps">
            <w:drawing>
              <wp:anchor distT="0" distB="0" distL="0" distR="0" simplePos="0" relativeHeight="251657728" behindDoc="0" locked="0" layoutInCell="1" allowOverlap="1" wp14:anchorId="62A69CF3" wp14:editId="2CE00672">
                <wp:simplePos x="0" y="0"/>
                <wp:positionH relativeFrom="page">
                  <wp:posOffset>914400</wp:posOffset>
                </wp:positionH>
                <wp:positionV relativeFrom="paragraph">
                  <wp:posOffset>186055</wp:posOffset>
                </wp:positionV>
                <wp:extent cx="18288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4735C4"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65pt" to="3in,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K3HAIAAEEEAAAOAAAAZHJzL2Uyb0RvYy54bWysU8GO2jAQvVfqP1i+QxKa0hARVlUCvdAW&#10;abcfYGyHWHVsyzYEVPXfO3YAse2lqpqDM/bMPL+ZeV4+nXuJTtw6oVWFs2mKEVdUM6EOFf72spkU&#10;GDlPFCNSK17hC3f4afX2zXIwJZ/pTkvGLQIQ5crBVLjz3pRJ4mjHe+Km2nAFzlbbnnjY2kPCLBkA&#10;vZfJLE3nyaAtM1ZT7hycNqMTryJ+23Lqv7at4x7JCgM3H1cb131Yk9WSlAdLTCfolQb5BxY9EQou&#10;vUM1xBN0tOIPqF5Qq51u/ZTqPtFtKyiPNUA1WfpbNc8dMTzWAs1x5t4m9/9g6ZfTziLBKjzDSJEe&#10;RrQViqNZ6MxgXAkBtdrZUBs9q2ez1fS7Q0rXHVEHHhm+XAykZSEjeZUSNs4A/n74rBnEkKPXsU3n&#10;1vYBEhqAznEal/s0+NkjCodZMSuKFIZGb76ElLdEY53/xHWPglFhCZwjMDltnQ9ESHkLCfcovRFS&#10;xmFLhYYKz9PFPCY4LQULzhDm7GFfS4tOJMglfrEq8DyGBeSGuG6Mi65RSFYfFYu3dJyw9dX2RMjR&#10;BlZShYugRuB5tUah/Fiki3WxLvJJPpuvJ3naNJOPmzqfzDfZh/fNu6aum+xn4JzlZScY4yrQvok2&#10;y/9OFNfnM8rtLtt7f5LX6LGRQPb2j6TjkMNcR4XsNbvs7G34oNMYfH1T4SE87sF+fPmrXwAAAP//&#10;AwBQSwMEFAAGAAgAAAAhANIvtwHeAAAACQEAAA8AAABkcnMvZG93bnJldi54bWxMj8FOwzAQRO9I&#10;/IO1SNyoQxpBmsapEAikHlBFW3F2420SEq+j2G3Sv2cRBzjO7Gj2Tb6abCfOOPjGkYL7WQQCqXSm&#10;oUrBfvd6l4LwQZPRnSNUcEEPq+L6KteZcSN94HkbKsEl5DOtoA6hz6T0ZY1W+5nrkfh2dIPVgeVQ&#10;STPokcttJ+MoepBWN8Qfat3jc41luz1ZBe+pfHGb9rO8fI27tzRdt4vH9V6p25vpaQki4BT+wvCD&#10;z+hQMNPBnch40bFOEt4SFMSLOQgOJPOYjcOvIYtc/l9QfAMAAP//AwBQSwECLQAUAAYACAAAACEA&#10;toM4kv4AAADhAQAAEwAAAAAAAAAAAAAAAAAAAAAAW0NvbnRlbnRfVHlwZXNdLnhtbFBLAQItABQA&#10;BgAIAAAAIQA4/SH/1gAAAJQBAAALAAAAAAAAAAAAAAAAAC8BAABfcmVscy8ucmVsc1BLAQItABQA&#10;BgAIAAAAIQAdQlK3HAIAAEEEAAAOAAAAAAAAAAAAAAAAAC4CAABkcnMvZTJvRG9jLnhtbFBLAQIt&#10;ABQABgAIAAAAIQDSL7cB3gAAAAkBAAAPAAAAAAAAAAAAAAAAAHYEAABkcnMvZG93bnJldi54bWxQ&#10;SwUGAAAAAAQABADzAAAAgQUAAAAA&#10;" strokeweight=".48pt">
                <w10:wrap type="topAndBottom" anchorx="page"/>
              </v:line>
            </w:pict>
          </mc:Fallback>
        </mc:AlternateContent>
      </w:r>
    </w:p>
    <w:p w:rsidR="001A28BD" w:rsidRPr="00F44DBC" w:rsidRDefault="008F123A" w:rsidP="0099681E">
      <w:pPr>
        <w:pStyle w:val="ListParagraph"/>
        <w:numPr>
          <w:ilvl w:val="1"/>
          <w:numId w:val="3"/>
        </w:numPr>
        <w:tabs>
          <w:tab w:val="left" w:pos="552"/>
        </w:tabs>
        <w:ind w:left="0" w:firstLine="0"/>
        <w:rPr>
          <w:sz w:val="24"/>
          <w:szCs w:val="24"/>
          <w:u w:val="single"/>
        </w:rPr>
      </w:pPr>
      <w:bookmarkStart w:id="1" w:name="_bookmark0"/>
      <w:bookmarkStart w:id="2" w:name="_bookmark1"/>
      <w:bookmarkEnd w:id="1"/>
      <w:bookmarkEnd w:id="2"/>
      <w:r w:rsidRPr="00F44DBC">
        <w:rPr>
          <w:sz w:val="24"/>
          <w:szCs w:val="24"/>
          <w:u w:val="single"/>
        </w:rPr>
        <w:t>Changes to</w:t>
      </w:r>
      <w:r w:rsidRPr="00F44DBC">
        <w:rPr>
          <w:spacing w:val="-9"/>
          <w:sz w:val="24"/>
          <w:szCs w:val="24"/>
          <w:u w:val="single"/>
        </w:rPr>
        <w:t xml:space="preserve"> </w:t>
      </w:r>
      <w:r w:rsidR="00F44DBC">
        <w:rPr>
          <w:spacing w:val="-9"/>
          <w:sz w:val="24"/>
          <w:szCs w:val="24"/>
          <w:u w:val="single"/>
        </w:rPr>
        <w:t xml:space="preserve">Requirements and </w:t>
      </w:r>
      <w:r w:rsidRPr="00F44DBC">
        <w:rPr>
          <w:sz w:val="24"/>
          <w:szCs w:val="24"/>
          <w:u w:val="single"/>
        </w:rPr>
        <w:t>Burden</w:t>
      </w:r>
    </w:p>
    <w:p w:rsidR="001A28BD" w:rsidRPr="00F44DBC" w:rsidRDefault="001A28BD" w:rsidP="0099681E">
      <w:pPr>
        <w:pStyle w:val="BodyText"/>
      </w:pPr>
    </w:p>
    <w:p w:rsidR="0099681E" w:rsidRPr="0099681E" w:rsidRDefault="0099681E" w:rsidP="0099681E">
      <w:pPr>
        <w:tabs>
          <w:tab w:val="left" w:pos="1080"/>
        </w:tabs>
        <w:rPr>
          <w:sz w:val="24"/>
          <w:szCs w:val="24"/>
        </w:rPr>
      </w:pPr>
      <w:r w:rsidRPr="0099681E">
        <w:rPr>
          <w:sz w:val="24"/>
          <w:szCs w:val="24"/>
        </w:rPr>
        <w:t>In th</w:t>
      </w:r>
      <w:r w:rsidR="00CA772D">
        <w:rPr>
          <w:sz w:val="24"/>
          <w:szCs w:val="24"/>
        </w:rPr>
        <w:t>e CMS-1693-</w:t>
      </w:r>
      <w:r w:rsidR="00077E29">
        <w:rPr>
          <w:sz w:val="24"/>
          <w:szCs w:val="24"/>
        </w:rPr>
        <w:t>F</w:t>
      </w:r>
      <w:r w:rsidR="00CA772D">
        <w:rPr>
          <w:sz w:val="24"/>
          <w:szCs w:val="24"/>
        </w:rPr>
        <w:t xml:space="preserve"> </w:t>
      </w:r>
      <w:r w:rsidRPr="0099681E">
        <w:rPr>
          <w:sz w:val="24"/>
          <w:szCs w:val="24"/>
        </w:rPr>
        <w:t>rule we revise</w:t>
      </w:r>
      <w:r w:rsidR="00712ABA">
        <w:rPr>
          <w:sz w:val="24"/>
          <w:szCs w:val="24"/>
        </w:rPr>
        <w:t>d</w:t>
      </w:r>
      <w:r w:rsidRPr="0099681E">
        <w:rPr>
          <w:sz w:val="24"/>
          <w:szCs w:val="24"/>
        </w:rPr>
        <w:t xml:space="preserve"> §414.94(j) to allow the AUC consultation, when not performed personally by the ordering professional, to be performed by </w:t>
      </w:r>
      <w:r w:rsidR="00077E29">
        <w:rPr>
          <w:rFonts w:eastAsia="Calibri"/>
          <w:sz w:val="24"/>
          <w:szCs w:val="24"/>
        </w:rPr>
        <w:t xml:space="preserve">clinical staff acting under the direction </w:t>
      </w:r>
      <w:r w:rsidR="00077E29" w:rsidRPr="00CA1CB3">
        <w:rPr>
          <w:rFonts w:eastAsia="Calibri"/>
          <w:sz w:val="24"/>
          <w:szCs w:val="24"/>
        </w:rPr>
        <w:t xml:space="preserve">of the </w:t>
      </w:r>
      <w:r w:rsidR="00077E29">
        <w:rPr>
          <w:rFonts w:eastAsia="Calibri"/>
          <w:sz w:val="24"/>
          <w:szCs w:val="24"/>
        </w:rPr>
        <w:t>o</w:t>
      </w:r>
      <w:r w:rsidR="00077E29" w:rsidRPr="00CA1CB3">
        <w:rPr>
          <w:rFonts w:eastAsia="Calibri"/>
          <w:sz w:val="24"/>
          <w:szCs w:val="24"/>
        </w:rPr>
        <w:t xml:space="preserve">rdering </w:t>
      </w:r>
      <w:r w:rsidR="00077E29">
        <w:rPr>
          <w:rFonts w:eastAsia="Calibri"/>
          <w:sz w:val="24"/>
          <w:szCs w:val="24"/>
        </w:rPr>
        <w:t>p</w:t>
      </w:r>
      <w:r w:rsidR="00077E29" w:rsidRPr="00CA1CB3">
        <w:rPr>
          <w:rFonts w:eastAsia="Calibri"/>
          <w:sz w:val="24"/>
          <w:szCs w:val="24"/>
        </w:rPr>
        <w:t>rofessional</w:t>
      </w:r>
      <w:r w:rsidRPr="0099681E">
        <w:rPr>
          <w:rFonts w:eastAsia="Calibri"/>
          <w:snapToGrid w:val="0"/>
          <w:sz w:val="24"/>
          <w:szCs w:val="24"/>
        </w:rPr>
        <w:t>.</w:t>
      </w:r>
      <w:r w:rsidR="00AE2AEA">
        <w:rPr>
          <w:rFonts w:eastAsia="Calibri"/>
          <w:snapToGrid w:val="0"/>
          <w:sz w:val="24"/>
          <w:szCs w:val="24"/>
        </w:rPr>
        <w:t xml:space="preserve"> </w:t>
      </w:r>
      <w:r w:rsidR="00AE2AEA">
        <w:t xml:space="preserve">Ordering professionals with a significant hardship exception are not required to consult. </w:t>
      </w:r>
      <w:r w:rsidR="00AE2AEA" w:rsidRPr="00732012">
        <w:rPr>
          <w:sz w:val="24"/>
          <w:szCs w:val="24"/>
        </w:rPr>
        <w:t>The significant hardship exception process imposes no burden beyond the provision of identifying information and attesting</w:t>
      </w:r>
      <w:r w:rsidR="00AE2AEA">
        <w:t xml:space="preserve"> to the applicable information.</w:t>
      </w:r>
      <w:r w:rsidR="00AE2AEA" w:rsidRPr="00732012">
        <w:rPr>
          <w:sz w:val="24"/>
          <w:szCs w:val="24"/>
        </w:rPr>
        <w:t xml:space="preserve"> In this regard, the use of this process is not “information” as defined under 5 CFR 1320.3(h), and therefore, is exempt from requirements of the PRA.</w:t>
      </w:r>
    </w:p>
    <w:p w:rsidR="0099681E" w:rsidRDefault="0099681E" w:rsidP="0099681E">
      <w:pPr>
        <w:rPr>
          <w:sz w:val="24"/>
          <w:szCs w:val="24"/>
        </w:rPr>
      </w:pPr>
    </w:p>
    <w:p w:rsidR="0099681E" w:rsidRPr="0099681E" w:rsidRDefault="00215521" w:rsidP="0099681E">
      <w:pPr>
        <w:rPr>
          <w:sz w:val="24"/>
          <w:szCs w:val="24"/>
        </w:rPr>
      </w:pPr>
      <w:r>
        <w:rPr>
          <w:sz w:val="24"/>
          <w:szCs w:val="24"/>
        </w:rPr>
        <w:t>Since g</w:t>
      </w:r>
      <w:r w:rsidR="0099681E" w:rsidRPr="0099681E">
        <w:rPr>
          <w:sz w:val="24"/>
          <w:szCs w:val="24"/>
        </w:rPr>
        <w:t xml:space="preserve">eneral practitioners make up a large group of practitioners who order applicable imaging services and would be required to consult AUC under this program use </w:t>
      </w:r>
      <w:r>
        <w:rPr>
          <w:sz w:val="24"/>
          <w:szCs w:val="24"/>
        </w:rPr>
        <w:t xml:space="preserve">the </w:t>
      </w:r>
      <w:r w:rsidR="0099681E" w:rsidRPr="0099681E">
        <w:rPr>
          <w:sz w:val="24"/>
          <w:szCs w:val="24"/>
        </w:rPr>
        <w:t xml:space="preserve">“family and general practitioner” occupation title (see Table 1) to </w:t>
      </w:r>
      <w:r>
        <w:rPr>
          <w:sz w:val="24"/>
          <w:szCs w:val="24"/>
        </w:rPr>
        <w:t xml:space="preserve">help </w:t>
      </w:r>
      <w:r w:rsidR="0099681E" w:rsidRPr="0099681E">
        <w:rPr>
          <w:sz w:val="24"/>
          <w:szCs w:val="24"/>
        </w:rPr>
        <w:t xml:space="preserve">calculate </w:t>
      </w:r>
      <w:r>
        <w:rPr>
          <w:sz w:val="24"/>
          <w:szCs w:val="24"/>
        </w:rPr>
        <w:t>our c</w:t>
      </w:r>
      <w:r w:rsidR="0099681E" w:rsidRPr="0099681E">
        <w:rPr>
          <w:sz w:val="24"/>
          <w:szCs w:val="24"/>
        </w:rPr>
        <w:t xml:space="preserve">ost estimates.  </w:t>
      </w:r>
      <w:r>
        <w:rPr>
          <w:sz w:val="24"/>
          <w:szCs w:val="24"/>
        </w:rPr>
        <w:t xml:space="preserve">The rule </w:t>
      </w:r>
      <w:r w:rsidR="0099681E" w:rsidRPr="0099681E">
        <w:rPr>
          <w:sz w:val="24"/>
          <w:szCs w:val="24"/>
        </w:rPr>
        <w:t>modif</w:t>
      </w:r>
      <w:r>
        <w:rPr>
          <w:sz w:val="24"/>
          <w:szCs w:val="24"/>
        </w:rPr>
        <w:t xml:space="preserve">ies </w:t>
      </w:r>
      <w:r w:rsidR="0099681E" w:rsidRPr="0099681E">
        <w:rPr>
          <w:sz w:val="24"/>
          <w:szCs w:val="24"/>
        </w:rPr>
        <w:t xml:space="preserve">the AUC consultation requirement </w:t>
      </w:r>
      <w:r>
        <w:rPr>
          <w:sz w:val="24"/>
          <w:szCs w:val="24"/>
        </w:rPr>
        <w:t xml:space="preserve">by </w:t>
      </w:r>
      <w:r w:rsidR="0099681E" w:rsidRPr="0099681E">
        <w:rPr>
          <w:sz w:val="24"/>
          <w:szCs w:val="24"/>
        </w:rPr>
        <w:t>allow</w:t>
      </w:r>
      <w:r>
        <w:rPr>
          <w:sz w:val="24"/>
          <w:szCs w:val="24"/>
        </w:rPr>
        <w:t>ing</w:t>
      </w:r>
      <w:r w:rsidR="0099681E" w:rsidRPr="0099681E">
        <w:rPr>
          <w:sz w:val="24"/>
          <w:szCs w:val="24"/>
        </w:rPr>
        <w:t xml:space="preserve"> </w:t>
      </w:r>
      <w:r w:rsidR="00077E29">
        <w:rPr>
          <w:rFonts w:eastAsia="Calibri"/>
          <w:sz w:val="24"/>
          <w:szCs w:val="24"/>
        </w:rPr>
        <w:t xml:space="preserve">clinical staff acting under the direction </w:t>
      </w:r>
      <w:r w:rsidR="00077E29" w:rsidRPr="00CA1CB3">
        <w:rPr>
          <w:rFonts w:eastAsia="Calibri"/>
          <w:sz w:val="24"/>
          <w:szCs w:val="24"/>
        </w:rPr>
        <w:t xml:space="preserve">of the </w:t>
      </w:r>
      <w:r w:rsidR="00077E29">
        <w:rPr>
          <w:rFonts w:eastAsia="Calibri"/>
          <w:sz w:val="24"/>
          <w:szCs w:val="24"/>
        </w:rPr>
        <w:t>o</w:t>
      </w:r>
      <w:r w:rsidR="00077E29" w:rsidRPr="00CA1CB3">
        <w:rPr>
          <w:rFonts w:eastAsia="Calibri"/>
          <w:sz w:val="24"/>
          <w:szCs w:val="24"/>
        </w:rPr>
        <w:t xml:space="preserve">rdering </w:t>
      </w:r>
      <w:r w:rsidR="00077E29">
        <w:rPr>
          <w:rFonts w:eastAsia="Calibri"/>
          <w:sz w:val="24"/>
          <w:szCs w:val="24"/>
        </w:rPr>
        <w:t>p</w:t>
      </w:r>
      <w:r w:rsidR="00077E29" w:rsidRPr="00CA1CB3">
        <w:rPr>
          <w:rFonts w:eastAsia="Calibri"/>
          <w:sz w:val="24"/>
          <w:szCs w:val="24"/>
        </w:rPr>
        <w:t>rofessional</w:t>
      </w:r>
      <w:r w:rsidR="0099681E" w:rsidRPr="0099681E">
        <w:rPr>
          <w:sz w:val="24"/>
          <w:szCs w:val="24"/>
        </w:rPr>
        <w:t xml:space="preserve"> to interact with the CDSM for AUC consultation</w:t>
      </w:r>
      <w:r>
        <w:rPr>
          <w:sz w:val="24"/>
          <w:szCs w:val="24"/>
        </w:rPr>
        <w:t xml:space="preserve">. In this case </w:t>
      </w:r>
      <w:r w:rsidR="0099681E" w:rsidRPr="0099681E">
        <w:rPr>
          <w:sz w:val="24"/>
          <w:szCs w:val="24"/>
        </w:rPr>
        <w:t>we also use the “</w:t>
      </w:r>
      <w:r w:rsidR="00077E29">
        <w:rPr>
          <w:sz w:val="24"/>
          <w:szCs w:val="24"/>
        </w:rPr>
        <w:t>medical assistant</w:t>
      </w:r>
      <w:r w:rsidR="0099681E" w:rsidRPr="0099681E">
        <w:rPr>
          <w:sz w:val="24"/>
          <w:szCs w:val="24"/>
        </w:rPr>
        <w:t xml:space="preserve">” occupation to </w:t>
      </w:r>
      <w:r>
        <w:rPr>
          <w:sz w:val="24"/>
          <w:szCs w:val="24"/>
        </w:rPr>
        <w:t xml:space="preserve">help </w:t>
      </w:r>
      <w:r w:rsidR="0099681E" w:rsidRPr="0099681E">
        <w:rPr>
          <w:sz w:val="24"/>
          <w:szCs w:val="24"/>
        </w:rPr>
        <w:t>calculate our revised cost estimates.</w:t>
      </w:r>
    </w:p>
    <w:p w:rsidR="0099681E" w:rsidRDefault="0099681E" w:rsidP="0099681E">
      <w:pPr>
        <w:rPr>
          <w:sz w:val="24"/>
          <w:szCs w:val="24"/>
        </w:rPr>
      </w:pPr>
    </w:p>
    <w:p w:rsidR="0099681E" w:rsidRPr="0099681E" w:rsidRDefault="0099681E" w:rsidP="0099681E">
      <w:pPr>
        <w:rPr>
          <w:sz w:val="24"/>
          <w:szCs w:val="24"/>
        </w:rPr>
      </w:pPr>
      <w:r w:rsidRPr="0099681E">
        <w:rPr>
          <w:sz w:val="24"/>
          <w:szCs w:val="24"/>
        </w:rPr>
        <w:t>To derive the burden associated with the provision in §414.94(j) that would take effect January 1, 2020, we estimate it would take 2 minutes (0.033 hr) at $</w:t>
      </w:r>
      <w:r w:rsidR="00077E29">
        <w:rPr>
          <w:sz w:val="24"/>
          <w:szCs w:val="24"/>
        </w:rPr>
        <w:t>32.30</w:t>
      </w:r>
      <w:r w:rsidRPr="0099681E">
        <w:rPr>
          <w:sz w:val="24"/>
          <w:szCs w:val="24"/>
        </w:rPr>
        <w:t xml:space="preserve">/hr for </w:t>
      </w:r>
      <w:r w:rsidR="00077E29">
        <w:rPr>
          <w:sz w:val="24"/>
          <w:szCs w:val="24"/>
        </w:rPr>
        <w:t>a medical assistant</w:t>
      </w:r>
      <w:r w:rsidRPr="0099681E">
        <w:rPr>
          <w:sz w:val="24"/>
          <w:szCs w:val="24"/>
        </w:rPr>
        <w:t xml:space="preserve"> to consult with a qualified CDSM.  To estimate the percentage of consultations available to be performed incident to, we analyzed 2014 Medicare Part B claims comparing evaluation and management visits for new (CPT codes 99201, 99202, 99203, 99204, and 99205) relative to established (CPT codes 99211, 99212, 99213, 99214, 99215) patients with place of service codes 11 (physician’s office).  We found that approximately 10 percent of all claims incurred were for new patients.  Therefore, we also estimate that 90-percent or 38,863,636 of the total consultations (43,181,818 total consultations x 0.90) could be performed by such auxiliary personnel, with the remaining 10 percent (43,181,818 x 0.10) performed by the ordering professional.  </w:t>
      </w:r>
      <w:r w:rsidRPr="0037700D">
        <w:rPr>
          <w:sz w:val="24"/>
          <w:szCs w:val="24"/>
        </w:rPr>
        <w:t xml:space="preserve">In aggregate, we </w:t>
      </w:r>
      <w:r w:rsidR="00786426" w:rsidRPr="0037700D">
        <w:rPr>
          <w:sz w:val="24"/>
          <w:szCs w:val="24"/>
        </w:rPr>
        <w:t xml:space="preserve">update our </w:t>
      </w:r>
      <w:r w:rsidR="006932AC">
        <w:rPr>
          <w:sz w:val="24"/>
          <w:szCs w:val="24"/>
        </w:rPr>
        <w:t xml:space="preserve">cost </w:t>
      </w:r>
      <w:r w:rsidRPr="0037700D">
        <w:rPr>
          <w:sz w:val="24"/>
          <w:szCs w:val="24"/>
        </w:rPr>
        <w:t xml:space="preserve">estimate </w:t>
      </w:r>
      <w:r w:rsidR="00786426" w:rsidRPr="0037700D">
        <w:rPr>
          <w:sz w:val="24"/>
          <w:szCs w:val="24"/>
        </w:rPr>
        <w:t xml:space="preserve">to </w:t>
      </w:r>
      <w:r w:rsidRPr="0037700D">
        <w:rPr>
          <w:sz w:val="24"/>
          <w:szCs w:val="24"/>
        </w:rPr>
        <w:t xml:space="preserve">an annual burden of </w:t>
      </w:r>
      <w:r w:rsidR="00077E29">
        <w:rPr>
          <w:rFonts w:eastAsia="Calibri"/>
          <w:sz w:val="24"/>
          <w:szCs w:val="24"/>
        </w:rPr>
        <w:t>$</w:t>
      </w:r>
      <w:r w:rsidR="00077E29" w:rsidRPr="00CF3731">
        <w:rPr>
          <w:rFonts w:eastAsia="Calibri"/>
          <w:sz w:val="24"/>
          <w:szCs w:val="24"/>
        </w:rPr>
        <w:t>41</w:t>
      </w:r>
      <w:r w:rsidR="00077E29">
        <w:rPr>
          <w:rFonts w:eastAsia="Calibri"/>
          <w:sz w:val="24"/>
          <w:szCs w:val="24"/>
        </w:rPr>
        <w:t>,</w:t>
      </w:r>
      <w:r w:rsidR="00077E29" w:rsidRPr="00CF3731">
        <w:rPr>
          <w:rFonts w:eastAsia="Calibri"/>
          <w:sz w:val="24"/>
          <w:szCs w:val="24"/>
        </w:rPr>
        <w:t>424</w:t>
      </w:r>
      <w:r w:rsidR="00077E29">
        <w:rPr>
          <w:rFonts w:eastAsia="Calibri"/>
          <w:sz w:val="24"/>
          <w:szCs w:val="24"/>
        </w:rPr>
        <w:t>,</w:t>
      </w:r>
      <w:r w:rsidR="00077E29" w:rsidRPr="00CF3731">
        <w:rPr>
          <w:rFonts w:eastAsia="Calibri"/>
          <w:sz w:val="24"/>
          <w:szCs w:val="24"/>
        </w:rPr>
        <w:t xml:space="preserve">750 </w:t>
      </w:r>
      <w:r w:rsidR="00077E29">
        <w:rPr>
          <w:rFonts w:eastAsia="Calibri"/>
          <w:sz w:val="24"/>
          <w:szCs w:val="24"/>
        </w:rPr>
        <w:t>(1,282,500 hr x $32</w:t>
      </w:r>
      <w:r w:rsidR="00077E29" w:rsidRPr="003428D4">
        <w:rPr>
          <w:rFonts w:eastAsia="Calibri"/>
          <w:sz w:val="24"/>
          <w:szCs w:val="24"/>
        </w:rPr>
        <w:t>.</w:t>
      </w:r>
      <w:r w:rsidR="00077E29">
        <w:rPr>
          <w:rFonts w:eastAsia="Calibri"/>
          <w:sz w:val="24"/>
          <w:szCs w:val="24"/>
        </w:rPr>
        <w:t>30/hr) or $1</w:t>
      </w:r>
      <w:r w:rsidR="00077E29" w:rsidRPr="003428D4">
        <w:rPr>
          <w:rFonts w:eastAsia="Calibri"/>
          <w:sz w:val="24"/>
          <w:szCs w:val="24"/>
        </w:rPr>
        <w:t>.</w:t>
      </w:r>
      <w:r w:rsidR="00077E29">
        <w:rPr>
          <w:rFonts w:eastAsia="Calibri"/>
          <w:sz w:val="24"/>
          <w:szCs w:val="24"/>
        </w:rPr>
        <w:t>07</w:t>
      </w:r>
      <w:r w:rsidR="00077E29" w:rsidRPr="003428D4">
        <w:rPr>
          <w:rFonts w:eastAsia="Calibri"/>
          <w:sz w:val="24"/>
          <w:szCs w:val="24"/>
        </w:rPr>
        <w:t xml:space="preserve"> per consultation</w:t>
      </w:r>
      <w:r w:rsidR="00077E29">
        <w:rPr>
          <w:rFonts w:eastAsia="Calibri"/>
          <w:sz w:val="24"/>
          <w:szCs w:val="24"/>
        </w:rPr>
        <w:t xml:space="preserve"> using the medical assistant occupation code 31-9092</w:t>
      </w:r>
      <w:r w:rsidR="00077E29" w:rsidRPr="0095122F">
        <w:rPr>
          <w:rFonts w:eastAsia="Calibri"/>
          <w:sz w:val="24"/>
          <w:szCs w:val="24"/>
        </w:rPr>
        <w:t xml:space="preserve"> with mean hourly wage of $16.15 and 100 percent fringe benefits</w:t>
      </w:r>
      <w:r w:rsidR="00D81651">
        <w:rPr>
          <w:sz w:val="24"/>
          <w:szCs w:val="24"/>
        </w:rPr>
        <w:t xml:space="preserve">. </w:t>
      </w:r>
      <w:r w:rsidR="00CF20E3">
        <w:rPr>
          <w:sz w:val="24"/>
          <w:szCs w:val="24"/>
        </w:rPr>
        <w:t>W</w:t>
      </w:r>
      <w:r w:rsidRPr="0099681E">
        <w:rPr>
          <w:sz w:val="24"/>
          <w:szCs w:val="24"/>
        </w:rPr>
        <w:t>e w</w:t>
      </w:r>
      <w:r w:rsidR="00234A48">
        <w:rPr>
          <w:sz w:val="24"/>
          <w:szCs w:val="24"/>
        </w:rPr>
        <w:t>ill</w:t>
      </w:r>
      <w:r w:rsidRPr="0099681E">
        <w:rPr>
          <w:sz w:val="24"/>
          <w:szCs w:val="24"/>
        </w:rPr>
        <w:t xml:space="preserve"> continue to monitor our burden estimates and, if necessary, adjust those estimates for more precision once the program begins.</w:t>
      </w:r>
    </w:p>
    <w:p w:rsidR="0099681E" w:rsidRDefault="0099681E" w:rsidP="0099681E">
      <w:pPr>
        <w:rPr>
          <w:sz w:val="24"/>
          <w:szCs w:val="24"/>
        </w:rPr>
      </w:pPr>
    </w:p>
    <w:p w:rsidR="0099681E" w:rsidRPr="0099681E" w:rsidRDefault="0099681E" w:rsidP="0099681E">
      <w:pPr>
        <w:rPr>
          <w:sz w:val="24"/>
          <w:szCs w:val="24"/>
        </w:rPr>
      </w:pPr>
      <w:r w:rsidRPr="0099681E">
        <w:rPr>
          <w:sz w:val="24"/>
          <w:szCs w:val="24"/>
        </w:rPr>
        <w:t>Additionally, the CY 2018 Physician Fee Schedule final rule (82 FR 52976) explicitly discussed and provided a voluntary period for ordering professionals to begin to familiarize themselves with qualified CDSMs. During the current 18-month voluntary participation period, we estimated there would be 10,230,000 consultations based on market research from current applicants for the qualification of their CDSMs for advanced diagnostic imaging services.  Based on feedback from CDSMs with experience in AUC consultation, as well as standards recommended by the Office of the National Coordinator (ONC)</w:t>
      </w:r>
      <w:r w:rsidRPr="0099681E">
        <w:rPr>
          <w:rStyle w:val="FootnoteReference"/>
          <w:sz w:val="24"/>
          <w:szCs w:val="24"/>
        </w:rPr>
        <w:footnoteReference w:id="3"/>
      </w:r>
      <w:r w:rsidRPr="0099681E">
        <w:rPr>
          <w:sz w:val="24"/>
          <w:szCs w:val="24"/>
        </w:rPr>
        <w:t xml:space="preserve"> and the Healthcare Information Management Systems Society (HIMSS)</w:t>
      </w:r>
      <w:r w:rsidRPr="0099681E">
        <w:rPr>
          <w:rStyle w:val="FootnoteReference"/>
          <w:sz w:val="24"/>
          <w:szCs w:val="24"/>
        </w:rPr>
        <w:footnoteReference w:id="4"/>
      </w:r>
      <w:r w:rsidRPr="0099681E">
        <w:rPr>
          <w:sz w:val="24"/>
          <w:szCs w:val="24"/>
        </w:rPr>
        <w:t>, we estimated it would take 2 minutes (0.033 hr) at $200.54/hr for a family and general practitioner or 2 minutes at $</w:t>
      </w:r>
      <w:r w:rsidR="00234A48">
        <w:rPr>
          <w:sz w:val="24"/>
          <w:szCs w:val="24"/>
        </w:rPr>
        <w:t>32.30</w:t>
      </w:r>
      <w:r w:rsidRPr="0099681E">
        <w:rPr>
          <w:sz w:val="24"/>
          <w:szCs w:val="24"/>
        </w:rPr>
        <w:t xml:space="preserve">/hr for a </w:t>
      </w:r>
      <w:r w:rsidR="00773B40">
        <w:rPr>
          <w:sz w:val="24"/>
          <w:szCs w:val="24"/>
        </w:rPr>
        <w:t>medical assistant</w:t>
      </w:r>
      <w:r w:rsidRPr="0099681E">
        <w:rPr>
          <w:sz w:val="24"/>
          <w:szCs w:val="24"/>
        </w:rPr>
        <w:t xml:space="preserve"> to use a qualified CDSM to consult specified applicable AUC.  As mentioned above, we estimate</w:t>
      </w:r>
      <w:r w:rsidR="00786426">
        <w:rPr>
          <w:sz w:val="24"/>
          <w:szCs w:val="24"/>
        </w:rPr>
        <w:t>d</w:t>
      </w:r>
      <w:r w:rsidRPr="0099681E">
        <w:rPr>
          <w:sz w:val="24"/>
          <w:szCs w:val="24"/>
        </w:rPr>
        <w:t xml:space="preserve"> that as many as 90-percent of practices would use </w:t>
      </w:r>
      <w:r w:rsidR="00773B40">
        <w:rPr>
          <w:sz w:val="24"/>
          <w:szCs w:val="24"/>
        </w:rPr>
        <w:t>such</w:t>
      </w:r>
      <w:r w:rsidRPr="0099681E">
        <w:rPr>
          <w:sz w:val="24"/>
          <w:szCs w:val="24"/>
        </w:rPr>
        <w:t xml:space="preserve"> personnel to interact with the CDSM for AUC consultation.  Consequently, we </w:t>
      </w:r>
      <w:r w:rsidR="00786426">
        <w:rPr>
          <w:sz w:val="24"/>
          <w:szCs w:val="24"/>
        </w:rPr>
        <w:t xml:space="preserve">update our </w:t>
      </w:r>
      <w:r w:rsidR="00773B40">
        <w:rPr>
          <w:sz w:val="24"/>
          <w:szCs w:val="24"/>
        </w:rPr>
        <w:t xml:space="preserve">estimate of a </w:t>
      </w:r>
      <w:r w:rsidR="00FC1333">
        <w:rPr>
          <w:sz w:val="24"/>
          <w:szCs w:val="24"/>
        </w:rPr>
        <w:t xml:space="preserve">cost to </w:t>
      </w:r>
      <w:r w:rsidRPr="0099681E">
        <w:rPr>
          <w:sz w:val="24"/>
          <w:szCs w:val="24"/>
        </w:rPr>
        <w:t>$</w:t>
      </w:r>
      <w:r w:rsidR="00773B40">
        <w:rPr>
          <w:sz w:val="24"/>
          <w:szCs w:val="24"/>
        </w:rPr>
        <w:t>16,583.771.16</w:t>
      </w:r>
      <w:r w:rsidRPr="0099681E">
        <w:rPr>
          <w:sz w:val="24"/>
          <w:szCs w:val="24"/>
        </w:rPr>
        <w:t xml:space="preserve"> ([337,590 hr x 0.10 × $200.54/hr] + [337,590 hr x 0.90 x $</w:t>
      </w:r>
      <w:r w:rsidR="00773B40">
        <w:rPr>
          <w:sz w:val="24"/>
          <w:szCs w:val="24"/>
        </w:rPr>
        <w:t>32.30</w:t>
      </w:r>
      <w:r w:rsidRPr="0099681E">
        <w:rPr>
          <w:sz w:val="24"/>
          <w:szCs w:val="24"/>
        </w:rPr>
        <w:t xml:space="preserve">/hr]).  </w:t>
      </w:r>
      <w:r w:rsidR="00FC1333">
        <w:rPr>
          <w:sz w:val="24"/>
          <w:szCs w:val="24"/>
        </w:rPr>
        <w:t xml:space="preserve">Our currently approved time </w:t>
      </w:r>
      <w:r w:rsidR="00FC1333" w:rsidRPr="0099681E">
        <w:rPr>
          <w:sz w:val="24"/>
          <w:szCs w:val="24"/>
        </w:rPr>
        <w:t>estimate</w:t>
      </w:r>
      <w:r w:rsidR="00FC1333">
        <w:rPr>
          <w:sz w:val="24"/>
          <w:szCs w:val="24"/>
        </w:rPr>
        <w:t xml:space="preserve"> </w:t>
      </w:r>
      <w:r w:rsidR="00FC1333" w:rsidRPr="0099681E">
        <w:rPr>
          <w:sz w:val="24"/>
          <w:szCs w:val="24"/>
        </w:rPr>
        <w:t>of 337,590 hours (10,230,000 consul</w:t>
      </w:r>
      <w:r w:rsidR="00FC1333">
        <w:rPr>
          <w:sz w:val="24"/>
          <w:szCs w:val="24"/>
        </w:rPr>
        <w:t xml:space="preserve">tations x 0.033 hr) remain unchanged. </w:t>
      </w:r>
      <w:r w:rsidRPr="0099681E">
        <w:rPr>
          <w:sz w:val="24"/>
          <w:szCs w:val="24"/>
        </w:rPr>
        <w:t xml:space="preserve">Annually, we estimate </w:t>
      </w:r>
      <w:r w:rsidRPr="00900A9B">
        <w:rPr>
          <w:b/>
          <w:sz w:val="24"/>
          <w:szCs w:val="24"/>
        </w:rPr>
        <w:t>112,530 hours</w:t>
      </w:r>
      <w:r w:rsidRPr="0099681E">
        <w:rPr>
          <w:sz w:val="24"/>
          <w:szCs w:val="24"/>
        </w:rPr>
        <w:t xml:space="preserve"> (337,590 hr/3 yr) at a cost of </w:t>
      </w:r>
      <w:r w:rsidRPr="00900A9B">
        <w:rPr>
          <w:b/>
          <w:sz w:val="24"/>
          <w:szCs w:val="24"/>
        </w:rPr>
        <w:t>$</w:t>
      </w:r>
      <w:r w:rsidR="00773B40" w:rsidRPr="00900A9B">
        <w:rPr>
          <w:b/>
          <w:sz w:val="24"/>
          <w:szCs w:val="24"/>
        </w:rPr>
        <w:t>5,527,923.72</w:t>
      </w:r>
      <w:r w:rsidRPr="0099681E">
        <w:rPr>
          <w:sz w:val="24"/>
          <w:szCs w:val="24"/>
        </w:rPr>
        <w:t xml:space="preserve"> ($</w:t>
      </w:r>
      <w:r w:rsidR="00773B40">
        <w:rPr>
          <w:sz w:val="24"/>
          <w:szCs w:val="24"/>
        </w:rPr>
        <w:t>16,583,771.16</w:t>
      </w:r>
      <w:r w:rsidRPr="0099681E">
        <w:rPr>
          <w:sz w:val="24"/>
          <w:szCs w:val="24"/>
        </w:rPr>
        <w:t>/3 yr).  We are annualizing the one-time burden (by dividing our estimates by OMB's 3-year approval period) since we do not anticipate any additional burden after the 18-month voluntary participation period ends.</w:t>
      </w:r>
    </w:p>
    <w:p w:rsidR="0099681E" w:rsidRDefault="0099681E" w:rsidP="0099681E">
      <w:pPr>
        <w:rPr>
          <w:sz w:val="24"/>
          <w:szCs w:val="24"/>
        </w:rPr>
      </w:pPr>
    </w:p>
    <w:p w:rsidR="0099681E" w:rsidRPr="0099681E" w:rsidRDefault="0099681E" w:rsidP="0099681E">
      <w:pPr>
        <w:rPr>
          <w:sz w:val="24"/>
          <w:szCs w:val="24"/>
        </w:rPr>
      </w:pPr>
      <w:r w:rsidRPr="0099681E">
        <w:rPr>
          <w:sz w:val="24"/>
          <w:szCs w:val="24"/>
        </w:rPr>
        <w:t xml:space="preserve">Beginning January 1, 2020, we anticipate </w:t>
      </w:r>
      <w:r w:rsidRPr="00374838">
        <w:rPr>
          <w:b/>
          <w:sz w:val="24"/>
          <w:szCs w:val="24"/>
        </w:rPr>
        <w:t>43,181,818 responses</w:t>
      </w:r>
      <w:r w:rsidRPr="0099681E">
        <w:rPr>
          <w:sz w:val="24"/>
          <w:szCs w:val="24"/>
        </w:rPr>
        <w:t xml:space="preserve"> in the form of consultations based on the aforementioned market research, as well as Medicare claims data for advanced diagnostic imaging services.  As noted above, we estimate it would take 2 minutes (0.033 hr) at $200.54/hr for a family and general practitioner or 2 minutes at $</w:t>
      </w:r>
      <w:r w:rsidR="00773B40">
        <w:rPr>
          <w:sz w:val="24"/>
          <w:szCs w:val="24"/>
        </w:rPr>
        <w:t>32.30</w:t>
      </w:r>
      <w:r w:rsidRPr="0099681E">
        <w:rPr>
          <w:sz w:val="24"/>
          <w:szCs w:val="24"/>
        </w:rPr>
        <w:t xml:space="preserve">/hr for a </w:t>
      </w:r>
      <w:r w:rsidR="00773B40">
        <w:rPr>
          <w:sz w:val="24"/>
          <w:szCs w:val="24"/>
        </w:rPr>
        <w:t>medical assistant</w:t>
      </w:r>
      <w:r w:rsidRPr="0099681E">
        <w:rPr>
          <w:sz w:val="24"/>
          <w:szCs w:val="24"/>
        </w:rPr>
        <w:t xml:space="preserve"> to use a qualified CDSM to consult specified applicable AUC.  In aggregate, we </w:t>
      </w:r>
      <w:r w:rsidR="00786426">
        <w:rPr>
          <w:sz w:val="24"/>
          <w:szCs w:val="24"/>
        </w:rPr>
        <w:t xml:space="preserve">update our </w:t>
      </w:r>
      <w:r w:rsidRPr="0099681E">
        <w:rPr>
          <w:sz w:val="24"/>
          <w:szCs w:val="24"/>
        </w:rPr>
        <w:t>estimate</w:t>
      </w:r>
      <w:r w:rsidR="00786426">
        <w:rPr>
          <w:sz w:val="24"/>
          <w:szCs w:val="24"/>
        </w:rPr>
        <w:t xml:space="preserve"> of</w:t>
      </w:r>
      <w:r w:rsidRPr="0099681E">
        <w:rPr>
          <w:sz w:val="24"/>
          <w:szCs w:val="24"/>
        </w:rPr>
        <w:t xml:space="preserve"> an annual burden</w:t>
      </w:r>
      <w:r w:rsidR="00E34457">
        <w:rPr>
          <w:sz w:val="24"/>
          <w:szCs w:val="24"/>
        </w:rPr>
        <w:t xml:space="preserve"> from </w:t>
      </w:r>
      <w:r w:rsidR="00E34457" w:rsidRPr="00E34457">
        <w:rPr>
          <w:sz w:val="24"/>
          <w:szCs w:val="24"/>
        </w:rPr>
        <w:t>275,139,000</w:t>
      </w:r>
      <w:r w:rsidRPr="0099681E">
        <w:rPr>
          <w:sz w:val="24"/>
          <w:szCs w:val="24"/>
        </w:rPr>
        <w:t xml:space="preserve"> </w:t>
      </w:r>
      <w:r w:rsidR="00E34457">
        <w:rPr>
          <w:sz w:val="24"/>
          <w:szCs w:val="24"/>
        </w:rPr>
        <w:t>to</w:t>
      </w:r>
      <w:r w:rsidRPr="0099681E">
        <w:rPr>
          <w:sz w:val="24"/>
          <w:szCs w:val="24"/>
        </w:rPr>
        <w:t xml:space="preserve"> </w:t>
      </w:r>
      <w:r w:rsidRPr="004C1873">
        <w:rPr>
          <w:b/>
          <w:sz w:val="24"/>
          <w:szCs w:val="24"/>
        </w:rPr>
        <w:t>1,425,000 hours</w:t>
      </w:r>
      <w:r w:rsidRPr="0099681E">
        <w:rPr>
          <w:sz w:val="24"/>
          <w:szCs w:val="24"/>
        </w:rPr>
        <w:t xml:space="preserve"> (43,181,818 consultations x 0.033 hr/consultation) at a cost of </w:t>
      </w:r>
      <w:r w:rsidRPr="004C1873">
        <w:rPr>
          <w:b/>
          <w:sz w:val="24"/>
          <w:szCs w:val="24"/>
        </w:rPr>
        <w:t>$</w:t>
      </w:r>
      <w:r w:rsidR="00773B40" w:rsidRPr="004C1873">
        <w:rPr>
          <w:b/>
          <w:sz w:val="24"/>
          <w:szCs w:val="24"/>
        </w:rPr>
        <w:t>70,001,700</w:t>
      </w:r>
      <w:r w:rsidRPr="0099681E">
        <w:rPr>
          <w:sz w:val="24"/>
          <w:szCs w:val="24"/>
        </w:rPr>
        <w:t xml:space="preserve"> ([0.1 x 1,425,000 hr × $200.54/hr] + [0.9 x 1,425,000 hr x $</w:t>
      </w:r>
      <w:r w:rsidR="00773B40">
        <w:rPr>
          <w:sz w:val="24"/>
          <w:szCs w:val="24"/>
        </w:rPr>
        <w:t>32.30</w:t>
      </w:r>
      <w:r w:rsidRPr="0099681E">
        <w:rPr>
          <w:sz w:val="24"/>
          <w:szCs w:val="24"/>
        </w:rPr>
        <w:t>/hr]).</w:t>
      </w:r>
    </w:p>
    <w:p w:rsidR="0099681E" w:rsidRDefault="0099681E" w:rsidP="0099681E">
      <w:pPr>
        <w:pStyle w:val="BodyText"/>
        <w:rPr>
          <w:rFonts w:eastAsia="Calibri"/>
          <w:snapToGrid w:val="0"/>
          <w:szCs w:val="20"/>
          <w:u w:val="single"/>
        </w:rPr>
      </w:pPr>
    </w:p>
    <w:p w:rsidR="001A28BD" w:rsidRPr="00866A3A" w:rsidRDefault="008F123A" w:rsidP="0006000A">
      <w:pPr>
        <w:pStyle w:val="BodyText"/>
      </w:pPr>
      <w:r w:rsidRPr="00597293">
        <w:t xml:space="preserve">The change to our </w:t>
      </w:r>
      <w:r w:rsidR="00597293">
        <w:t xml:space="preserve">currently approved cost </w:t>
      </w:r>
      <w:r w:rsidRPr="00597293">
        <w:t>estimate</w:t>
      </w:r>
      <w:r w:rsidR="00D20B25">
        <w:t>s</w:t>
      </w:r>
      <w:r w:rsidRPr="00597293">
        <w:t xml:space="preserve"> </w:t>
      </w:r>
      <w:r w:rsidR="00D20B25">
        <w:t xml:space="preserve">is </w:t>
      </w:r>
      <w:r w:rsidR="00E34457" w:rsidRPr="00597293">
        <w:t>due to respondent occupation and hourly wage</w:t>
      </w:r>
      <w:r w:rsidR="0056687A">
        <w:t xml:space="preserve"> changes</w:t>
      </w:r>
      <w:r w:rsidR="00E34457" w:rsidRPr="00597293">
        <w:t>,</w:t>
      </w:r>
      <w:r w:rsidRPr="00597293">
        <w:t xml:space="preserve"> </w:t>
      </w:r>
      <w:r w:rsidR="00D20B25">
        <w:t xml:space="preserve">resulting in </w:t>
      </w:r>
      <w:r w:rsidRPr="00597293">
        <w:t>a decrease of $</w:t>
      </w:r>
      <w:r w:rsidR="00656813" w:rsidRPr="00656813">
        <w:t>221,336,668</w:t>
      </w:r>
      <w:r w:rsidR="00354BFA" w:rsidRPr="00597293">
        <w:t xml:space="preserve"> (</w:t>
      </w:r>
      <w:r w:rsidR="00E34457" w:rsidRPr="00597293">
        <w:t>$</w:t>
      </w:r>
      <w:r w:rsidR="00656813" w:rsidRPr="00656813">
        <w:t>205,137,300</w:t>
      </w:r>
      <w:r w:rsidR="00900A9B">
        <w:t xml:space="preserve"> </w:t>
      </w:r>
      <w:r w:rsidR="00656813">
        <w:t>+</w:t>
      </w:r>
      <w:r w:rsidR="00900A9B">
        <w:t xml:space="preserve"> </w:t>
      </w:r>
      <w:r w:rsidR="00E34457" w:rsidRPr="00597293">
        <w:t>$</w:t>
      </w:r>
      <w:r w:rsidR="00656813" w:rsidRPr="00656813">
        <w:t>16,199,368</w:t>
      </w:r>
      <w:r w:rsidR="00354BFA" w:rsidRPr="00597293">
        <w:t>)</w:t>
      </w:r>
      <w:r w:rsidRPr="00597293">
        <w:t>.</w:t>
      </w:r>
      <w:r w:rsidR="0056687A">
        <w:t xml:space="preserve"> </w:t>
      </w:r>
      <w:r w:rsidR="00B30E47">
        <w:t xml:space="preserve">We are also correcting the number of respondents. </w:t>
      </w:r>
      <w:r w:rsidR="00900A9B">
        <w:t xml:space="preserve">Our </w:t>
      </w:r>
      <w:r w:rsidR="00B30E47">
        <w:t xml:space="preserve">per response and total </w:t>
      </w:r>
      <w:r w:rsidR="0056687A">
        <w:t>time estimates remain unchanged.</w:t>
      </w:r>
    </w:p>
    <w:p w:rsidR="001A580B" w:rsidRDefault="001A580B" w:rsidP="0006000A">
      <w:pPr>
        <w:pStyle w:val="BodyText"/>
      </w:pP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1088"/>
        <w:gridCol w:w="1844"/>
        <w:gridCol w:w="857"/>
        <w:gridCol w:w="966"/>
        <w:gridCol w:w="914"/>
        <w:gridCol w:w="1397"/>
      </w:tblGrid>
      <w:tr w:rsidR="00FE77DB" w:rsidRPr="00FE77DB" w:rsidTr="00421AB9">
        <w:trPr>
          <w:tblHeader/>
          <w:jc w:val="center"/>
        </w:trPr>
        <w:tc>
          <w:tcPr>
            <w:tcW w:w="1095" w:type="dxa"/>
            <w:vAlign w:val="bottom"/>
          </w:tcPr>
          <w:p w:rsidR="001A580B" w:rsidRPr="00FE77DB" w:rsidRDefault="001A580B" w:rsidP="00FE77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6"/>
                <w:szCs w:val="16"/>
              </w:rPr>
            </w:pPr>
            <w:r w:rsidRPr="00FE77DB">
              <w:rPr>
                <w:sz w:val="16"/>
                <w:szCs w:val="16"/>
              </w:rPr>
              <w:t>Voluntary Consultations</w:t>
            </w:r>
          </w:p>
        </w:tc>
        <w:tc>
          <w:tcPr>
            <w:tcW w:w="1083" w:type="dxa"/>
            <w:vAlign w:val="bottom"/>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Respondents</w:t>
            </w:r>
          </w:p>
        </w:tc>
        <w:tc>
          <w:tcPr>
            <w:tcW w:w="1859" w:type="dxa"/>
            <w:vAlign w:val="bottom"/>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Responses</w:t>
            </w:r>
          </w:p>
        </w:tc>
        <w:tc>
          <w:tcPr>
            <w:tcW w:w="852" w:type="dxa"/>
            <w:vAlign w:val="bottom"/>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Burden per Response (hours)</w:t>
            </w:r>
          </w:p>
        </w:tc>
        <w:tc>
          <w:tcPr>
            <w:tcW w:w="969" w:type="dxa"/>
            <w:vAlign w:val="bottom"/>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Total Annual Burden (hours)</w:t>
            </w:r>
          </w:p>
        </w:tc>
        <w:tc>
          <w:tcPr>
            <w:tcW w:w="903" w:type="dxa"/>
            <w:vAlign w:val="bottom"/>
          </w:tcPr>
          <w:p w:rsidR="001A580B" w:rsidRPr="00FE77DB" w:rsidRDefault="001A580B" w:rsidP="00421AB9">
            <w:pPr>
              <w:jc w:val="center"/>
              <w:rPr>
                <w:b/>
                <w:bCs/>
                <w:color w:val="000000"/>
                <w:sz w:val="16"/>
                <w:szCs w:val="16"/>
              </w:rPr>
            </w:pPr>
            <w:r w:rsidRPr="00FE77DB">
              <w:rPr>
                <w:b/>
                <w:bCs/>
                <w:color w:val="000000"/>
                <w:sz w:val="16"/>
                <w:szCs w:val="16"/>
              </w:rPr>
              <w:t>Labor</w:t>
            </w:r>
          </w:p>
          <w:p w:rsidR="001A580B" w:rsidRPr="00FE77DB" w:rsidRDefault="001A580B" w:rsidP="00421AB9">
            <w:pPr>
              <w:jc w:val="center"/>
              <w:rPr>
                <w:b/>
                <w:bCs/>
                <w:color w:val="000000"/>
                <w:sz w:val="16"/>
                <w:szCs w:val="16"/>
              </w:rPr>
            </w:pPr>
            <w:r w:rsidRPr="00FE77DB">
              <w:rPr>
                <w:b/>
                <w:bCs/>
                <w:color w:val="000000"/>
                <w:sz w:val="16"/>
                <w:szCs w:val="16"/>
              </w:rPr>
              <w:t>Cost of</w:t>
            </w:r>
          </w:p>
          <w:p w:rsidR="001A580B" w:rsidRPr="00FE77DB" w:rsidRDefault="001A580B" w:rsidP="00421AB9">
            <w:pPr>
              <w:jc w:val="center"/>
              <w:rPr>
                <w:b/>
                <w:bCs/>
                <w:color w:val="000000"/>
                <w:sz w:val="16"/>
                <w:szCs w:val="16"/>
              </w:rPr>
            </w:pPr>
            <w:r w:rsidRPr="00FE77DB">
              <w:rPr>
                <w:b/>
                <w:bCs/>
                <w:color w:val="000000"/>
                <w:sz w:val="16"/>
                <w:szCs w:val="16"/>
              </w:rPr>
              <w:t>Reporting</w:t>
            </w:r>
          </w:p>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($/hr)</w:t>
            </w:r>
          </w:p>
        </w:tc>
        <w:tc>
          <w:tcPr>
            <w:tcW w:w="1402" w:type="dxa"/>
            <w:vAlign w:val="bottom"/>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Total Cost</w:t>
            </w:r>
          </w:p>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w:t>
            </w:r>
          </w:p>
        </w:tc>
      </w:tr>
      <w:tr w:rsidR="00FE77DB" w:rsidRPr="00FE77DB" w:rsidTr="00421AB9">
        <w:trPr>
          <w:jc w:val="center"/>
        </w:trPr>
        <w:tc>
          <w:tcPr>
            <w:tcW w:w="1095" w:type="dxa"/>
          </w:tcPr>
          <w:p w:rsidR="001A580B" w:rsidRPr="00FE77DB" w:rsidRDefault="001A580B" w:rsidP="001A580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E77DB">
              <w:rPr>
                <w:sz w:val="16"/>
                <w:szCs w:val="16"/>
              </w:rPr>
              <w:t>Currently Approved</w:t>
            </w:r>
          </w:p>
        </w:tc>
        <w:tc>
          <w:tcPr>
            <w:tcW w:w="1083"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10,230,000*</w:t>
            </w:r>
          </w:p>
        </w:tc>
        <w:tc>
          <w:tcPr>
            <w:tcW w:w="1859" w:type="dxa"/>
          </w:tcPr>
          <w:p w:rsidR="001A580B" w:rsidRPr="00FE77DB" w:rsidRDefault="001A580B" w:rsidP="001A58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3,410,000</w:t>
            </w:r>
          </w:p>
        </w:tc>
        <w:tc>
          <w:tcPr>
            <w:tcW w:w="852"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0.033</w:t>
            </w:r>
          </w:p>
        </w:tc>
        <w:tc>
          <w:tcPr>
            <w:tcW w:w="969" w:type="dxa"/>
          </w:tcPr>
          <w:p w:rsidR="001A580B" w:rsidRPr="00FE77DB" w:rsidRDefault="001A580B" w:rsidP="00421A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E77DB">
              <w:rPr>
                <w:sz w:val="16"/>
                <w:szCs w:val="16"/>
              </w:rPr>
              <w:t>112,530</w:t>
            </w:r>
          </w:p>
        </w:tc>
        <w:tc>
          <w:tcPr>
            <w:tcW w:w="903"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193.08</w:t>
            </w:r>
          </w:p>
        </w:tc>
        <w:tc>
          <w:tcPr>
            <w:tcW w:w="1402"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21,727,292</w:t>
            </w:r>
          </w:p>
        </w:tc>
      </w:tr>
      <w:tr w:rsidR="00FE77DB" w:rsidRPr="00FE77DB" w:rsidTr="00421AB9">
        <w:trPr>
          <w:jc w:val="center"/>
        </w:trPr>
        <w:tc>
          <w:tcPr>
            <w:tcW w:w="1095" w:type="dxa"/>
          </w:tcPr>
          <w:p w:rsidR="001A580B" w:rsidRPr="00FE77DB" w:rsidRDefault="001A580B" w:rsidP="00421A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E77DB">
              <w:rPr>
                <w:sz w:val="16"/>
                <w:szCs w:val="16"/>
              </w:rPr>
              <w:t>Revised §414.94(j)</w:t>
            </w:r>
          </w:p>
        </w:tc>
        <w:tc>
          <w:tcPr>
            <w:tcW w:w="1083"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586,386</w:t>
            </w:r>
          </w:p>
        </w:tc>
        <w:tc>
          <w:tcPr>
            <w:tcW w:w="1859" w:type="dxa"/>
          </w:tcPr>
          <w:p w:rsidR="001A580B" w:rsidRPr="00FE77DB" w:rsidRDefault="001A580B" w:rsidP="00421A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E77DB">
              <w:rPr>
                <w:sz w:val="16"/>
                <w:szCs w:val="16"/>
              </w:rPr>
              <w:t>3,410,000</w:t>
            </w:r>
          </w:p>
        </w:tc>
        <w:tc>
          <w:tcPr>
            <w:tcW w:w="852"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0.033</w:t>
            </w:r>
          </w:p>
        </w:tc>
        <w:tc>
          <w:tcPr>
            <w:tcW w:w="969" w:type="dxa"/>
          </w:tcPr>
          <w:p w:rsidR="001A580B" w:rsidRPr="00FE77DB" w:rsidRDefault="001A580B" w:rsidP="00421A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E77DB">
              <w:rPr>
                <w:sz w:val="16"/>
                <w:szCs w:val="16"/>
              </w:rPr>
              <w:t>112,530</w:t>
            </w:r>
          </w:p>
        </w:tc>
        <w:tc>
          <w:tcPr>
            <w:tcW w:w="903" w:type="dxa"/>
          </w:tcPr>
          <w:p w:rsidR="001A580B" w:rsidRPr="00FE77DB" w:rsidRDefault="00DF56D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$32.30/hr and $200.54/hr</w:t>
            </w:r>
          </w:p>
        </w:tc>
        <w:tc>
          <w:tcPr>
            <w:tcW w:w="1402" w:type="dxa"/>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5,527,924</w:t>
            </w:r>
          </w:p>
        </w:tc>
      </w:tr>
      <w:tr w:rsidR="00FE77DB" w:rsidRPr="00FE77DB" w:rsidTr="00421AB9">
        <w:trPr>
          <w:jc w:val="center"/>
        </w:trPr>
        <w:tc>
          <w:tcPr>
            <w:tcW w:w="1095" w:type="dxa"/>
            <w:shd w:val="clear" w:color="auto" w:fill="D9D9D9"/>
          </w:tcPr>
          <w:p w:rsidR="001A580B" w:rsidRPr="00FE77DB" w:rsidRDefault="001A580B" w:rsidP="001A580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FE77DB">
              <w:rPr>
                <w:b/>
                <w:sz w:val="16"/>
                <w:szCs w:val="16"/>
              </w:rPr>
              <w:t>Difference</w:t>
            </w:r>
          </w:p>
        </w:tc>
        <w:tc>
          <w:tcPr>
            <w:tcW w:w="1083" w:type="dxa"/>
            <w:shd w:val="clear" w:color="auto" w:fill="D9D9D9"/>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(9,643,614)</w:t>
            </w:r>
          </w:p>
        </w:tc>
        <w:tc>
          <w:tcPr>
            <w:tcW w:w="1859" w:type="dxa"/>
            <w:shd w:val="clear" w:color="auto" w:fill="D9D9D9"/>
          </w:tcPr>
          <w:p w:rsidR="001A580B" w:rsidRPr="00FE77DB" w:rsidRDefault="001A580B" w:rsidP="001A58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No change</w:t>
            </w:r>
          </w:p>
        </w:tc>
        <w:tc>
          <w:tcPr>
            <w:tcW w:w="852" w:type="dxa"/>
            <w:shd w:val="clear" w:color="auto" w:fill="D9D9D9"/>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No change</w:t>
            </w:r>
          </w:p>
        </w:tc>
        <w:tc>
          <w:tcPr>
            <w:tcW w:w="969" w:type="dxa"/>
            <w:shd w:val="clear" w:color="auto" w:fill="D9D9D9"/>
          </w:tcPr>
          <w:p w:rsidR="001A580B" w:rsidRPr="00FE77DB" w:rsidRDefault="001A580B" w:rsidP="00421A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FE77DB">
              <w:rPr>
                <w:b/>
                <w:sz w:val="16"/>
                <w:szCs w:val="16"/>
              </w:rPr>
              <w:t>No change</w:t>
            </w:r>
          </w:p>
        </w:tc>
        <w:tc>
          <w:tcPr>
            <w:tcW w:w="903" w:type="dxa"/>
            <w:shd w:val="clear" w:color="auto" w:fill="D9D9D9"/>
          </w:tcPr>
          <w:p w:rsidR="001A580B" w:rsidRPr="00FE77DB" w:rsidRDefault="001A580B"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Varies</w:t>
            </w:r>
          </w:p>
        </w:tc>
        <w:tc>
          <w:tcPr>
            <w:tcW w:w="1402" w:type="dxa"/>
            <w:shd w:val="clear" w:color="auto" w:fill="D9D9D9"/>
          </w:tcPr>
          <w:p w:rsidR="001A580B" w:rsidRPr="00FE77DB" w:rsidRDefault="00017871" w:rsidP="0001787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(16,199,368)</w:t>
            </w:r>
          </w:p>
        </w:tc>
      </w:tr>
    </w:tbl>
    <w:p w:rsidR="001A580B" w:rsidRPr="007336B0" w:rsidRDefault="001A580B" w:rsidP="0006000A">
      <w:pPr>
        <w:pStyle w:val="BodyText"/>
        <w:rPr>
          <w:sz w:val="18"/>
          <w:szCs w:val="18"/>
        </w:rPr>
      </w:pPr>
      <w:r w:rsidRPr="007336B0">
        <w:rPr>
          <w:sz w:val="18"/>
          <w:szCs w:val="18"/>
        </w:rPr>
        <w:t>*</w:t>
      </w:r>
      <w:r w:rsidR="007336B0">
        <w:rPr>
          <w:sz w:val="16"/>
          <w:szCs w:val="16"/>
        </w:rPr>
        <w:t>10,230</w:t>
      </w:r>
      <w:r w:rsidR="007336B0" w:rsidRPr="00D349DA">
        <w:rPr>
          <w:sz w:val="16"/>
          <w:szCs w:val="16"/>
        </w:rPr>
        <w:t>,000</w:t>
      </w:r>
      <w:r w:rsidR="007336B0">
        <w:rPr>
          <w:sz w:val="16"/>
          <w:szCs w:val="16"/>
        </w:rPr>
        <w:t xml:space="preserve"> respondents was entered in </w:t>
      </w:r>
      <w:r w:rsidR="007336B0">
        <w:rPr>
          <w:sz w:val="18"/>
          <w:szCs w:val="18"/>
        </w:rPr>
        <w:t>er</w:t>
      </w:r>
      <w:r w:rsidRPr="007336B0">
        <w:rPr>
          <w:sz w:val="18"/>
          <w:szCs w:val="18"/>
        </w:rPr>
        <w:t>ror</w:t>
      </w:r>
      <w:r w:rsidR="007336B0">
        <w:rPr>
          <w:sz w:val="18"/>
          <w:szCs w:val="18"/>
        </w:rPr>
        <w:t>, the correct figure should have been 586,386 respondents.</w:t>
      </w:r>
    </w:p>
    <w:p w:rsidR="001A580B" w:rsidRDefault="001A580B" w:rsidP="0006000A">
      <w:pPr>
        <w:pStyle w:val="BodyText"/>
      </w:pP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1088"/>
        <w:gridCol w:w="1844"/>
        <w:gridCol w:w="857"/>
        <w:gridCol w:w="966"/>
        <w:gridCol w:w="914"/>
        <w:gridCol w:w="1397"/>
      </w:tblGrid>
      <w:tr w:rsidR="001F4A32" w:rsidRPr="00FE77DB" w:rsidTr="00935C08">
        <w:trPr>
          <w:tblHeader/>
          <w:jc w:val="center"/>
        </w:trPr>
        <w:tc>
          <w:tcPr>
            <w:tcW w:w="1097" w:type="dxa"/>
            <w:vAlign w:val="bottom"/>
          </w:tcPr>
          <w:p w:rsidR="001F4A32" w:rsidRPr="00FE77DB" w:rsidRDefault="001F4A32" w:rsidP="00FE77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6"/>
                <w:szCs w:val="16"/>
              </w:rPr>
            </w:pPr>
            <w:r w:rsidRPr="00FE77DB">
              <w:rPr>
                <w:sz w:val="16"/>
                <w:szCs w:val="16"/>
              </w:rPr>
              <w:t>Mandatory Consultations</w:t>
            </w:r>
          </w:p>
        </w:tc>
        <w:tc>
          <w:tcPr>
            <w:tcW w:w="1088" w:type="dxa"/>
            <w:vAlign w:val="bottom"/>
          </w:tcPr>
          <w:p w:rsidR="001F4A32" w:rsidRPr="00FE77DB" w:rsidRDefault="001F4A32"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Respondents</w:t>
            </w:r>
          </w:p>
        </w:tc>
        <w:tc>
          <w:tcPr>
            <w:tcW w:w="1844" w:type="dxa"/>
            <w:vAlign w:val="bottom"/>
          </w:tcPr>
          <w:p w:rsidR="001F4A32" w:rsidRPr="00FE77DB" w:rsidRDefault="001F4A32"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Responses</w:t>
            </w:r>
          </w:p>
        </w:tc>
        <w:tc>
          <w:tcPr>
            <w:tcW w:w="857" w:type="dxa"/>
            <w:vAlign w:val="bottom"/>
          </w:tcPr>
          <w:p w:rsidR="001F4A32" w:rsidRPr="00FE77DB" w:rsidRDefault="001F4A32"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Burden per Response (hours)</w:t>
            </w:r>
          </w:p>
        </w:tc>
        <w:tc>
          <w:tcPr>
            <w:tcW w:w="966" w:type="dxa"/>
            <w:vAlign w:val="bottom"/>
          </w:tcPr>
          <w:p w:rsidR="001F4A32" w:rsidRPr="00FE77DB" w:rsidRDefault="001F4A32"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Total Annual Burden (hours)</w:t>
            </w:r>
          </w:p>
        </w:tc>
        <w:tc>
          <w:tcPr>
            <w:tcW w:w="914" w:type="dxa"/>
            <w:vAlign w:val="bottom"/>
          </w:tcPr>
          <w:p w:rsidR="001F4A32" w:rsidRPr="00FE77DB" w:rsidRDefault="001F4A32" w:rsidP="00421AB9">
            <w:pPr>
              <w:jc w:val="center"/>
              <w:rPr>
                <w:b/>
                <w:bCs/>
                <w:color w:val="000000"/>
                <w:sz w:val="16"/>
                <w:szCs w:val="16"/>
              </w:rPr>
            </w:pPr>
            <w:r w:rsidRPr="00FE77DB">
              <w:rPr>
                <w:b/>
                <w:bCs/>
                <w:color w:val="000000"/>
                <w:sz w:val="16"/>
                <w:szCs w:val="16"/>
              </w:rPr>
              <w:t>Labor</w:t>
            </w:r>
          </w:p>
          <w:p w:rsidR="001F4A32" w:rsidRPr="00FE77DB" w:rsidRDefault="001F4A32" w:rsidP="00421AB9">
            <w:pPr>
              <w:jc w:val="center"/>
              <w:rPr>
                <w:b/>
                <w:bCs/>
                <w:color w:val="000000"/>
                <w:sz w:val="16"/>
                <w:szCs w:val="16"/>
              </w:rPr>
            </w:pPr>
            <w:r w:rsidRPr="00FE77DB">
              <w:rPr>
                <w:b/>
                <w:bCs/>
                <w:color w:val="000000"/>
                <w:sz w:val="16"/>
                <w:szCs w:val="16"/>
              </w:rPr>
              <w:t>Cost of</w:t>
            </w:r>
          </w:p>
          <w:p w:rsidR="001F4A32" w:rsidRPr="00FE77DB" w:rsidRDefault="001F4A32" w:rsidP="00421AB9">
            <w:pPr>
              <w:jc w:val="center"/>
              <w:rPr>
                <w:b/>
                <w:bCs/>
                <w:color w:val="000000"/>
                <w:sz w:val="16"/>
                <w:szCs w:val="16"/>
              </w:rPr>
            </w:pPr>
            <w:r w:rsidRPr="00FE77DB">
              <w:rPr>
                <w:b/>
                <w:bCs/>
                <w:color w:val="000000"/>
                <w:sz w:val="16"/>
                <w:szCs w:val="16"/>
              </w:rPr>
              <w:t>Reporting</w:t>
            </w:r>
          </w:p>
          <w:p w:rsidR="001F4A32" w:rsidRPr="00FE77DB" w:rsidRDefault="001F4A32"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bCs/>
                <w:color w:val="000000"/>
                <w:sz w:val="16"/>
                <w:szCs w:val="16"/>
              </w:rPr>
              <w:t>($/hr)</w:t>
            </w:r>
          </w:p>
        </w:tc>
        <w:tc>
          <w:tcPr>
            <w:tcW w:w="1397" w:type="dxa"/>
            <w:vAlign w:val="bottom"/>
          </w:tcPr>
          <w:p w:rsidR="001F4A32" w:rsidRPr="00FE77DB" w:rsidRDefault="001F4A32" w:rsidP="00421A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Total Cost</w:t>
            </w:r>
          </w:p>
          <w:p w:rsidR="001F4A32" w:rsidRPr="00FE77DB" w:rsidRDefault="001F4A32" w:rsidP="001855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w:t>
            </w:r>
          </w:p>
        </w:tc>
      </w:tr>
      <w:tr w:rsidR="00280421" w:rsidRPr="00FE77DB" w:rsidTr="00935C08">
        <w:trPr>
          <w:jc w:val="center"/>
        </w:trPr>
        <w:tc>
          <w:tcPr>
            <w:tcW w:w="1097" w:type="dxa"/>
          </w:tcPr>
          <w:p w:rsidR="00280421" w:rsidRPr="00FE77DB" w:rsidRDefault="00280421" w:rsidP="0028042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E77DB">
              <w:rPr>
                <w:sz w:val="16"/>
                <w:szCs w:val="16"/>
              </w:rPr>
              <w:t>Currently Approved</w:t>
            </w:r>
          </w:p>
        </w:tc>
        <w:tc>
          <w:tcPr>
            <w:tcW w:w="1088" w:type="dxa"/>
          </w:tcPr>
          <w:p w:rsidR="00280421" w:rsidRPr="00FE77DB" w:rsidRDefault="00280421" w:rsidP="00280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43,181,818</w:t>
            </w:r>
            <w:r w:rsidR="00935C08" w:rsidRPr="00FE77DB">
              <w:rPr>
                <w:sz w:val="16"/>
                <w:szCs w:val="16"/>
              </w:rPr>
              <w:t>*</w:t>
            </w:r>
          </w:p>
        </w:tc>
        <w:tc>
          <w:tcPr>
            <w:tcW w:w="1844" w:type="dxa"/>
          </w:tcPr>
          <w:p w:rsidR="00280421" w:rsidRPr="00FE77DB" w:rsidRDefault="00280421" w:rsidP="0028042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E77DB">
              <w:rPr>
                <w:sz w:val="16"/>
                <w:szCs w:val="16"/>
              </w:rPr>
              <w:t>43,181,818</w:t>
            </w:r>
          </w:p>
        </w:tc>
        <w:tc>
          <w:tcPr>
            <w:tcW w:w="857" w:type="dxa"/>
          </w:tcPr>
          <w:p w:rsidR="00280421" w:rsidRPr="00FE77DB" w:rsidRDefault="00280421" w:rsidP="00280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0.033</w:t>
            </w:r>
          </w:p>
        </w:tc>
        <w:tc>
          <w:tcPr>
            <w:tcW w:w="966" w:type="dxa"/>
          </w:tcPr>
          <w:p w:rsidR="00280421" w:rsidRPr="00FE77DB" w:rsidRDefault="00280421" w:rsidP="0028042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E77DB">
              <w:rPr>
                <w:sz w:val="16"/>
                <w:szCs w:val="16"/>
              </w:rPr>
              <w:t>1,425,000</w:t>
            </w:r>
          </w:p>
        </w:tc>
        <w:tc>
          <w:tcPr>
            <w:tcW w:w="914" w:type="dxa"/>
          </w:tcPr>
          <w:p w:rsidR="00280421" w:rsidRPr="00FE77DB" w:rsidRDefault="00280421" w:rsidP="00280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193.08</w:t>
            </w:r>
          </w:p>
        </w:tc>
        <w:tc>
          <w:tcPr>
            <w:tcW w:w="1397" w:type="dxa"/>
          </w:tcPr>
          <w:p w:rsidR="00280421" w:rsidRPr="00FE77DB" w:rsidRDefault="00280421" w:rsidP="00280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E77DB">
              <w:rPr>
                <w:sz w:val="16"/>
                <w:szCs w:val="16"/>
              </w:rPr>
              <w:t>275,139,000</w:t>
            </w:r>
          </w:p>
        </w:tc>
      </w:tr>
      <w:tr w:rsidR="00935C08" w:rsidRPr="00FE77DB" w:rsidTr="00935C08">
        <w:trPr>
          <w:jc w:val="center"/>
        </w:trPr>
        <w:tc>
          <w:tcPr>
            <w:tcW w:w="1097" w:type="dxa"/>
          </w:tcPr>
          <w:p w:rsidR="00935C08" w:rsidRPr="00FE77DB" w:rsidRDefault="00935C08" w:rsidP="00935C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E77DB">
              <w:rPr>
                <w:sz w:val="16"/>
                <w:szCs w:val="16"/>
              </w:rPr>
              <w:t>Revised §414.94(j)</w:t>
            </w:r>
          </w:p>
        </w:tc>
        <w:tc>
          <w:tcPr>
            <w:tcW w:w="1088" w:type="dxa"/>
          </w:tcPr>
          <w:p w:rsidR="00935C08" w:rsidRPr="00FE77DB" w:rsidRDefault="00935C08" w:rsidP="00935C08">
            <w:pPr>
              <w:pStyle w:val="TableParagraph"/>
              <w:spacing w:line="240" w:lineRule="auto"/>
              <w:ind w:left="0"/>
              <w:jc w:val="center"/>
              <w:rPr>
                <w:sz w:val="16"/>
                <w:szCs w:val="16"/>
              </w:rPr>
            </w:pPr>
            <w:r w:rsidRPr="00FE77DB">
              <w:rPr>
                <w:sz w:val="16"/>
                <w:szCs w:val="16"/>
              </w:rPr>
              <w:t>586,386</w:t>
            </w:r>
          </w:p>
        </w:tc>
        <w:tc>
          <w:tcPr>
            <w:tcW w:w="1844" w:type="dxa"/>
          </w:tcPr>
          <w:p w:rsidR="00935C08" w:rsidRPr="00FE77DB" w:rsidRDefault="00935C08" w:rsidP="00935C08">
            <w:pPr>
              <w:pStyle w:val="TableParagraph"/>
              <w:spacing w:line="240" w:lineRule="auto"/>
              <w:ind w:left="0"/>
              <w:jc w:val="center"/>
              <w:rPr>
                <w:sz w:val="16"/>
                <w:szCs w:val="16"/>
              </w:rPr>
            </w:pPr>
            <w:r w:rsidRPr="00FE77DB">
              <w:rPr>
                <w:sz w:val="16"/>
                <w:szCs w:val="16"/>
              </w:rPr>
              <w:t>43,181,818</w:t>
            </w:r>
          </w:p>
        </w:tc>
        <w:tc>
          <w:tcPr>
            <w:tcW w:w="857" w:type="dxa"/>
          </w:tcPr>
          <w:p w:rsidR="00935C08" w:rsidRPr="00FE77DB" w:rsidRDefault="00935C08" w:rsidP="00FC6C44">
            <w:pPr>
              <w:pStyle w:val="TableParagraph"/>
              <w:spacing w:line="240" w:lineRule="auto"/>
              <w:ind w:left="0"/>
              <w:jc w:val="center"/>
              <w:rPr>
                <w:sz w:val="16"/>
                <w:szCs w:val="16"/>
              </w:rPr>
            </w:pPr>
            <w:r w:rsidRPr="00FE77DB">
              <w:rPr>
                <w:sz w:val="16"/>
                <w:szCs w:val="16"/>
              </w:rPr>
              <w:t>0.033</w:t>
            </w:r>
          </w:p>
        </w:tc>
        <w:tc>
          <w:tcPr>
            <w:tcW w:w="966" w:type="dxa"/>
          </w:tcPr>
          <w:p w:rsidR="00935C08" w:rsidRPr="00FE77DB" w:rsidRDefault="00935C08" w:rsidP="00935C08">
            <w:pPr>
              <w:pStyle w:val="TableParagraph"/>
              <w:spacing w:line="240" w:lineRule="auto"/>
              <w:ind w:left="0"/>
              <w:jc w:val="center"/>
              <w:rPr>
                <w:sz w:val="16"/>
                <w:szCs w:val="16"/>
              </w:rPr>
            </w:pPr>
            <w:r w:rsidRPr="00FE77DB">
              <w:rPr>
                <w:sz w:val="16"/>
                <w:szCs w:val="16"/>
              </w:rPr>
              <w:t>1,425,000</w:t>
            </w:r>
          </w:p>
        </w:tc>
        <w:tc>
          <w:tcPr>
            <w:tcW w:w="914" w:type="dxa"/>
          </w:tcPr>
          <w:p w:rsidR="00935C08" w:rsidRPr="00FE77DB" w:rsidRDefault="00185588" w:rsidP="00935C08">
            <w:pPr>
              <w:pStyle w:val="TableParagraph"/>
              <w:spacing w:line="240" w:lineRule="auto"/>
              <w:ind w:left="0"/>
              <w:jc w:val="center"/>
              <w:rPr>
                <w:sz w:val="16"/>
                <w:szCs w:val="16"/>
              </w:rPr>
            </w:pPr>
            <w:r w:rsidRPr="00185588">
              <w:rPr>
                <w:sz w:val="16"/>
                <w:szCs w:val="16"/>
              </w:rPr>
              <w:t>$32.30/hr and $200.54/hr</w:t>
            </w:r>
          </w:p>
        </w:tc>
        <w:tc>
          <w:tcPr>
            <w:tcW w:w="1397" w:type="dxa"/>
          </w:tcPr>
          <w:p w:rsidR="00935C08" w:rsidRPr="00FE77DB" w:rsidRDefault="00935C08" w:rsidP="00185588">
            <w:pPr>
              <w:pStyle w:val="TableParagraph"/>
              <w:spacing w:line="240" w:lineRule="auto"/>
              <w:ind w:left="0"/>
              <w:jc w:val="center"/>
              <w:rPr>
                <w:sz w:val="16"/>
                <w:szCs w:val="16"/>
              </w:rPr>
            </w:pPr>
            <w:r w:rsidRPr="00FE77DB">
              <w:rPr>
                <w:sz w:val="16"/>
                <w:szCs w:val="16"/>
              </w:rPr>
              <w:t>70,001,700</w:t>
            </w:r>
          </w:p>
        </w:tc>
      </w:tr>
      <w:tr w:rsidR="00935C08" w:rsidRPr="00FE77DB" w:rsidTr="00935C08">
        <w:trPr>
          <w:jc w:val="center"/>
        </w:trPr>
        <w:tc>
          <w:tcPr>
            <w:tcW w:w="1097" w:type="dxa"/>
            <w:shd w:val="clear" w:color="auto" w:fill="D9D9D9"/>
          </w:tcPr>
          <w:p w:rsidR="00935C08" w:rsidRPr="00FE77DB" w:rsidRDefault="00935C08" w:rsidP="00935C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FE77DB">
              <w:rPr>
                <w:b/>
                <w:sz w:val="16"/>
                <w:szCs w:val="16"/>
              </w:rPr>
              <w:t>Difference</w:t>
            </w:r>
          </w:p>
        </w:tc>
        <w:tc>
          <w:tcPr>
            <w:tcW w:w="1088" w:type="dxa"/>
            <w:shd w:val="clear" w:color="auto" w:fill="D9D9D9"/>
          </w:tcPr>
          <w:p w:rsidR="00935C08" w:rsidRPr="00FE77DB" w:rsidRDefault="00935C08" w:rsidP="00FC6C4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w:t>
            </w:r>
            <w:r w:rsidR="00FC6C44" w:rsidRPr="00FC6C44">
              <w:rPr>
                <w:b/>
                <w:sz w:val="16"/>
                <w:szCs w:val="16"/>
              </w:rPr>
              <w:t>42,595,432</w:t>
            </w:r>
            <w:r w:rsidR="00FC6C44">
              <w:rPr>
                <w:b/>
                <w:sz w:val="16"/>
                <w:szCs w:val="16"/>
              </w:rPr>
              <w:t>)</w:t>
            </w:r>
          </w:p>
        </w:tc>
        <w:tc>
          <w:tcPr>
            <w:tcW w:w="1844" w:type="dxa"/>
            <w:shd w:val="clear" w:color="auto" w:fill="D9D9D9"/>
          </w:tcPr>
          <w:p w:rsidR="00935C08" w:rsidRPr="00FE77DB" w:rsidRDefault="00935C08" w:rsidP="00935C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No change</w:t>
            </w:r>
          </w:p>
        </w:tc>
        <w:tc>
          <w:tcPr>
            <w:tcW w:w="857" w:type="dxa"/>
            <w:shd w:val="clear" w:color="auto" w:fill="D9D9D9"/>
          </w:tcPr>
          <w:p w:rsidR="00935C08" w:rsidRPr="00FE77DB" w:rsidRDefault="00935C08" w:rsidP="00935C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No change</w:t>
            </w:r>
          </w:p>
        </w:tc>
        <w:tc>
          <w:tcPr>
            <w:tcW w:w="966" w:type="dxa"/>
            <w:shd w:val="clear" w:color="auto" w:fill="D9D9D9"/>
          </w:tcPr>
          <w:p w:rsidR="00935C08" w:rsidRPr="00FE77DB" w:rsidRDefault="00935C08" w:rsidP="00935C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FE77DB">
              <w:rPr>
                <w:b/>
                <w:sz w:val="16"/>
                <w:szCs w:val="16"/>
              </w:rPr>
              <w:t>No change</w:t>
            </w:r>
          </w:p>
        </w:tc>
        <w:tc>
          <w:tcPr>
            <w:tcW w:w="914" w:type="dxa"/>
            <w:shd w:val="clear" w:color="auto" w:fill="D9D9D9"/>
          </w:tcPr>
          <w:p w:rsidR="00935C08" w:rsidRPr="00FE77DB" w:rsidRDefault="00935C08" w:rsidP="00935C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Varies</w:t>
            </w:r>
          </w:p>
        </w:tc>
        <w:tc>
          <w:tcPr>
            <w:tcW w:w="1397" w:type="dxa"/>
            <w:shd w:val="clear" w:color="auto" w:fill="D9D9D9"/>
          </w:tcPr>
          <w:p w:rsidR="00935C08" w:rsidRPr="00FE77DB" w:rsidRDefault="00935C08" w:rsidP="00935C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FE77DB">
              <w:rPr>
                <w:b/>
                <w:sz w:val="16"/>
                <w:szCs w:val="16"/>
              </w:rPr>
              <w:t>(</w:t>
            </w:r>
            <w:r w:rsidR="00185588" w:rsidRPr="00185588">
              <w:rPr>
                <w:b/>
                <w:sz w:val="16"/>
                <w:szCs w:val="16"/>
              </w:rPr>
              <w:t>205,137,300</w:t>
            </w:r>
            <w:r w:rsidR="00185588">
              <w:rPr>
                <w:b/>
                <w:sz w:val="16"/>
                <w:szCs w:val="16"/>
              </w:rPr>
              <w:t>)</w:t>
            </w:r>
          </w:p>
        </w:tc>
      </w:tr>
    </w:tbl>
    <w:p w:rsidR="00935C08" w:rsidRPr="007336B0" w:rsidRDefault="00935C08" w:rsidP="00935C08">
      <w:pPr>
        <w:pStyle w:val="BodyText"/>
        <w:rPr>
          <w:sz w:val="18"/>
          <w:szCs w:val="18"/>
        </w:rPr>
      </w:pPr>
      <w:r w:rsidRPr="007336B0">
        <w:rPr>
          <w:sz w:val="18"/>
          <w:szCs w:val="18"/>
        </w:rPr>
        <w:t>*</w:t>
      </w:r>
      <w:r w:rsidR="00873EFE">
        <w:rPr>
          <w:sz w:val="18"/>
          <w:szCs w:val="18"/>
        </w:rPr>
        <w:t>43</w:t>
      </w:r>
      <w:r>
        <w:rPr>
          <w:sz w:val="16"/>
          <w:szCs w:val="16"/>
        </w:rPr>
        <w:t>,</w:t>
      </w:r>
      <w:r w:rsidR="00873EFE">
        <w:rPr>
          <w:sz w:val="16"/>
          <w:szCs w:val="16"/>
        </w:rPr>
        <w:t>181</w:t>
      </w:r>
      <w:r w:rsidRPr="00D349DA">
        <w:rPr>
          <w:sz w:val="16"/>
          <w:szCs w:val="16"/>
        </w:rPr>
        <w:t>,</w:t>
      </w:r>
      <w:r w:rsidR="001F23EB">
        <w:rPr>
          <w:sz w:val="16"/>
          <w:szCs w:val="16"/>
        </w:rPr>
        <w:t>818</w:t>
      </w:r>
      <w:r>
        <w:rPr>
          <w:sz w:val="16"/>
          <w:szCs w:val="16"/>
        </w:rPr>
        <w:t xml:space="preserve"> respondents was entered in </w:t>
      </w:r>
      <w:r>
        <w:rPr>
          <w:sz w:val="18"/>
          <w:szCs w:val="18"/>
        </w:rPr>
        <w:t>er</w:t>
      </w:r>
      <w:r w:rsidRPr="007336B0">
        <w:rPr>
          <w:sz w:val="18"/>
          <w:szCs w:val="18"/>
        </w:rPr>
        <w:t>ror</w:t>
      </w:r>
      <w:r>
        <w:rPr>
          <w:sz w:val="18"/>
          <w:szCs w:val="18"/>
        </w:rPr>
        <w:t>, the correct figure should have been 586,386 respondents.</w:t>
      </w:r>
    </w:p>
    <w:p w:rsidR="00935C08" w:rsidRDefault="00935C08" w:rsidP="0006000A">
      <w:pPr>
        <w:pStyle w:val="BodyText"/>
      </w:pPr>
    </w:p>
    <w:p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Publication/Tabulation</w:t>
      </w:r>
      <w:r w:rsidRPr="002A7412">
        <w:rPr>
          <w:spacing w:val="-9"/>
          <w:sz w:val="24"/>
          <w:szCs w:val="24"/>
          <w:u w:val="single"/>
        </w:rPr>
        <w:t xml:space="preserve"> </w:t>
      </w:r>
      <w:r w:rsidRPr="002A7412">
        <w:rPr>
          <w:sz w:val="24"/>
          <w:szCs w:val="24"/>
          <w:u w:val="single"/>
        </w:rPr>
        <w:t>Dates</w:t>
      </w:r>
    </w:p>
    <w:p w:rsidR="001A28BD" w:rsidRPr="00866A3A" w:rsidRDefault="001A28BD" w:rsidP="0006000A">
      <w:pPr>
        <w:pStyle w:val="BodyText"/>
      </w:pPr>
    </w:p>
    <w:p w:rsidR="001A28BD" w:rsidRPr="00866A3A" w:rsidRDefault="008F123A" w:rsidP="0006000A">
      <w:pPr>
        <w:pStyle w:val="BodyText"/>
      </w:pPr>
      <w:r w:rsidRPr="00866A3A">
        <w:t>The reported consultation information will not be published by CMS.</w:t>
      </w:r>
    </w:p>
    <w:p w:rsidR="001A28BD" w:rsidRPr="00866A3A" w:rsidRDefault="001A28BD" w:rsidP="0006000A">
      <w:pPr>
        <w:pStyle w:val="BodyText"/>
      </w:pPr>
    </w:p>
    <w:p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Expiration</w:t>
      </w:r>
      <w:r w:rsidRPr="002A7412">
        <w:rPr>
          <w:spacing w:val="-4"/>
          <w:sz w:val="24"/>
          <w:szCs w:val="24"/>
          <w:u w:val="single"/>
        </w:rPr>
        <w:t xml:space="preserve"> </w:t>
      </w:r>
      <w:r w:rsidRPr="002A7412">
        <w:rPr>
          <w:sz w:val="24"/>
          <w:szCs w:val="24"/>
          <w:u w:val="single"/>
        </w:rPr>
        <w:t>Date</w:t>
      </w:r>
    </w:p>
    <w:p w:rsidR="001A28BD" w:rsidRPr="00866A3A" w:rsidRDefault="001A28BD" w:rsidP="0006000A">
      <w:pPr>
        <w:pStyle w:val="BodyText"/>
      </w:pPr>
    </w:p>
    <w:p w:rsidR="001A28BD" w:rsidRPr="00866A3A" w:rsidRDefault="008F123A" w:rsidP="0006000A">
      <w:pPr>
        <w:pStyle w:val="BodyText"/>
      </w:pPr>
      <w:r w:rsidRPr="00866A3A">
        <w:t xml:space="preserve">The expiration date will be displayed on the AUC website: </w:t>
      </w:r>
      <w:hyperlink r:id="rId10">
        <w:r w:rsidRPr="00866A3A">
          <w:rPr>
            <w:u w:color="0563C1"/>
          </w:rPr>
          <w:t>https://www.cms.gov/Medicare/Quality-Initiatives-Patient-Assessment-Instruments/Appropriate-</w:t>
        </w:r>
      </w:hyperlink>
      <w:r w:rsidRPr="00866A3A">
        <w:rPr>
          <w:u w:color="0563C1"/>
        </w:rPr>
        <w:t xml:space="preserve"> </w:t>
      </w:r>
      <w:hyperlink r:id="rId11">
        <w:r w:rsidRPr="00866A3A">
          <w:rPr>
            <w:u w:color="0563C1"/>
          </w:rPr>
          <w:t>Use-Criteria-Program/index.html</w:t>
        </w:r>
        <w:r w:rsidRPr="00866A3A">
          <w:t>.</w:t>
        </w:r>
      </w:hyperlink>
    </w:p>
    <w:p w:rsidR="001A28BD" w:rsidRPr="00866A3A" w:rsidRDefault="001A28BD" w:rsidP="0006000A">
      <w:pPr>
        <w:pStyle w:val="BodyText"/>
      </w:pPr>
    </w:p>
    <w:p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Certification</w:t>
      </w:r>
      <w:r w:rsidRPr="002A7412">
        <w:rPr>
          <w:spacing w:val="-8"/>
          <w:sz w:val="24"/>
          <w:szCs w:val="24"/>
          <w:u w:val="single"/>
        </w:rPr>
        <w:t xml:space="preserve"> </w:t>
      </w:r>
      <w:r w:rsidRPr="002A7412">
        <w:rPr>
          <w:sz w:val="24"/>
          <w:szCs w:val="24"/>
          <w:u w:val="single"/>
        </w:rPr>
        <w:t>Statement</w:t>
      </w:r>
    </w:p>
    <w:p w:rsidR="001A28BD" w:rsidRPr="00866A3A" w:rsidRDefault="001A28BD" w:rsidP="0006000A">
      <w:pPr>
        <w:pStyle w:val="BodyText"/>
      </w:pPr>
    </w:p>
    <w:p w:rsidR="001A28BD" w:rsidRPr="00866A3A" w:rsidRDefault="008F123A" w:rsidP="0006000A">
      <w:pPr>
        <w:pStyle w:val="BodyText"/>
      </w:pPr>
      <w:r w:rsidRPr="00866A3A">
        <w:t>There are no exceptions to the certification statement.</w:t>
      </w:r>
    </w:p>
    <w:p w:rsidR="001A28BD" w:rsidRPr="00866A3A" w:rsidRDefault="001A28BD" w:rsidP="0006000A">
      <w:pPr>
        <w:pStyle w:val="BodyText"/>
      </w:pPr>
    </w:p>
    <w:p w:rsidR="001A28BD" w:rsidRPr="00866A3A" w:rsidRDefault="008F123A" w:rsidP="00866A3A">
      <w:pPr>
        <w:pStyle w:val="Heading1"/>
        <w:numPr>
          <w:ilvl w:val="0"/>
          <w:numId w:val="3"/>
        </w:numPr>
        <w:tabs>
          <w:tab w:val="left" w:pos="401"/>
        </w:tabs>
        <w:ind w:left="0" w:firstLine="0"/>
      </w:pPr>
      <w:r w:rsidRPr="00866A3A">
        <w:t>Collection of Information Employing Statistical</w:t>
      </w:r>
      <w:r w:rsidRPr="00866A3A">
        <w:rPr>
          <w:spacing w:val="-20"/>
        </w:rPr>
        <w:t xml:space="preserve"> </w:t>
      </w:r>
      <w:r w:rsidRPr="00866A3A">
        <w:t>Methods</w:t>
      </w:r>
    </w:p>
    <w:p w:rsidR="001A28BD" w:rsidRPr="00866A3A" w:rsidRDefault="001A28BD" w:rsidP="0006000A">
      <w:pPr>
        <w:pStyle w:val="BodyText"/>
      </w:pPr>
    </w:p>
    <w:p w:rsidR="001A28BD" w:rsidRDefault="008F123A" w:rsidP="0006000A">
      <w:pPr>
        <w:pStyle w:val="BodyText"/>
      </w:pPr>
      <w:r w:rsidRPr="00866A3A">
        <w:t>There will be no statistical method employed in this collection of information.</w:t>
      </w:r>
    </w:p>
    <w:p w:rsidR="00866A3A" w:rsidRPr="00866A3A" w:rsidRDefault="00866A3A" w:rsidP="0006000A">
      <w:pPr>
        <w:pStyle w:val="BodyText"/>
      </w:pPr>
    </w:p>
    <w:sectPr w:rsidR="00866A3A" w:rsidRPr="00866A3A">
      <w:footerReference w:type="default" r:id="rId12"/>
      <w:pgSz w:w="12240" w:h="15840"/>
      <w:pgMar w:top="1500" w:right="1380" w:bottom="1700" w:left="13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86" w:rsidRDefault="00582D86">
      <w:r>
        <w:separator/>
      </w:r>
    </w:p>
  </w:endnote>
  <w:endnote w:type="continuationSeparator" w:id="0">
    <w:p w:rsidR="00582D86" w:rsidRDefault="0058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8BD" w:rsidRDefault="00C52F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E4C50B" wp14:editId="50681F25">
              <wp:simplePos x="0" y="0"/>
              <wp:positionH relativeFrom="page">
                <wp:posOffset>3830320</wp:posOffset>
              </wp:positionH>
              <wp:positionV relativeFrom="page">
                <wp:posOffset>8959215</wp:posOffset>
              </wp:positionV>
              <wp:extent cx="2032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8BD" w:rsidRDefault="008F123A">
                          <w:pPr>
                            <w:pStyle w:val="BodyText"/>
                            <w:spacing w:before="10"/>
                            <w:ind w:left="40"/>
                          </w:pPr>
                          <w:r>
                            <w:fldChar w:fldCharType="begin"/>
                          </w:r>
                          <w:r>
                            <w:instrText xml:space="preserve"> PAGE </w:instrText>
                          </w:r>
                          <w:r>
                            <w:fldChar w:fldCharType="separate"/>
                          </w:r>
                          <w:r w:rsidR="00B30E47">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pt;margin-top:705.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bdNygeEAAAANAQAA&#10;DwAAAGRycy9kb3ducmV2LnhtbEyPzU7DMBCE70i8g7VI3Kid/kQ0jVNVCE5IiDQcenRiN7Ear0Ps&#10;tuHt2Z7guDOfZmfy7eR6djFjsB4lJDMBzGDjtcVWwlf19vQMLESFWvUejYQfE2Bb3N/lKtP+iqW5&#10;7GPLKARDpiR0MQ4Z56HpjFNh5geD5B396FSkc2y5HtWVwl3P50Kk3CmL9KFTg3npTHPan52E3QHL&#10;V/v9UX+Wx9JW1Vrge3qS8vFh2m2ARTPFPxhu9ak6FNSp9mfUgfUSUrGYE0rGMhFrYISkixVJ9U1a&#10;JivgRc7/ryh+AQAA//8DAFBLAQItABQABgAIAAAAIQC2gziS/gAAAOEBAAATAAAAAAAAAAAAAAAA&#10;AAAAAABbQ29udGVudF9UeXBlc10ueG1sUEsBAi0AFAAGAAgAAAAhADj9If/WAAAAlAEAAAsAAAAA&#10;AAAAAAAAAAAALwEAAF9yZWxzLy5yZWxzUEsBAi0AFAAGAAgAAAAhAPVquYSrAgAAqAUAAA4AAAAA&#10;AAAAAAAAAAAALgIAAGRycy9lMm9Eb2MueG1sUEsBAi0AFAAGAAgAAAAhAG3TcoHhAAAADQEAAA8A&#10;AAAAAAAAAAAAAAAABQUAAGRycy9kb3ducmV2LnhtbFBLBQYAAAAABAAEAPMAAAATBgAAAAA=&#10;" filled="f" stroked="f">
              <v:textbox inset="0,0,0,0">
                <w:txbxContent>
                  <w:p w:rsidR="001A28BD" w:rsidRDefault="008F123A">
                    <w:pPr>
                      <w:pStyle w:val="BodyText"/>
                      <w:spacing w:before="10"/>
                      <w:ind w:left="40"/>
                    </w:pPr>
                    <w:r>
                      <w:fldChar w:fldCharType="begin"/>
                    </w:r>
                    <w:r>
                      <w:instrText xml:space="preserve"> PAGE </w:instrText>
                    </w:r>
                    <w:r>
                      <w:fldChar w:fldCharType="separate"/>
                    </w:r>
                    <w:r w:rsidR="00B30E47">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86" w:rsidRDefault="00582D86">
      <w:r>
        <w:separator/>
      </w:r>
    </w:p>
  </w:footnote>
  <w:footnote w:type="continuationSeparator" w:id="0">
    <w:p w:rsidR="00582D86" w:rsidRDefault="00582D86">
      <w:r>
        <w:continuationSeparator/>
      </w:r>
    </w:p>
  </w:footnote>
  <w:footnote w:id="1">
    <w:p w:rsidR="005E558C" w:rsidRDefault="005E558C">
      <w:pPr>
        <w:pStyle w:val="FootnoteText"/>
      </w:pPr>
      <w:r>
        <w:rPr>
          <w:rStyle w:val="FootnoteReference"/>
        </w:rPr>
        <w:footnoteRef/>
      </w:r>
      <w:r>
        <w:t xml:space="preserve"> </w:t>
      </w:r>
      <w:r w:rsidRPr="00866A3A">
        <w:rPr>
          <w:sz w:val="18"/>
          <w:szCs w:val="18"/>
        </w:rPr>
        <w:t>Source:  2011 CMS Statistics, Table</w:t>
      </w:r>
      <w:r w:rsidRPr="00866A3A">
        <w:rPr>
          <w:spacing w:val="-15"/>
          <w:sz w:val="18"/>
          <w:szCs w:val="18"/>
        </w:rPr>
        <w:t xml:space="preserve"> </w:t>
      </w:r>
      <w:r w:rsidRPr="00866A3A">
        <w:rPr>
          <w:sz w:val="18"/>
          <w:szCs w:val="18"/>
        </w:rPr>
        <w:t>V.1.</w:t>
      </w:r>
    </w:p>
  </w:footnote>
  <w:footnote w:id="2">
    <w:p w:rsidR="005E558C" w:rsidRDefault="005E558C">
      <w:pPr>
        <w:pStyle w:val="FootnoteText"/>
      </w:pPr>
      <w:r>
        <w:rPr>
          <w:rStyle w:val="FootnoteReference"/>
        </w:rPr>
        <w:footnoteRef/>
      </w:r>
      <w:r>
        <w:t xml:space="preserve"> </w:t>
      </w:r>
      <w:r w:rsidRPr="00866A3A">
        <w:rPr>
          <w:sz w:val="18"/>
          <w:szCs w:val="18"/>
        </w:rPr>
        <w:t>Source: 2009 CMS Statistics, Table V.5. (Data not available in 2011 CMS Statistics Table</w:t>
      </w:r>
      <w:r w:rsidRPr="00866A3A">
        <w:rPr>
          <w:spacing w:val="11"/>
          <w:sz w:val="18"/>
          <w:szCs w:val="18"/>
        </w:rPr>
        <w:t xml:space="preserve"> </w:t>
      </w:r>
      <w:r w:rsidRPr="00866A3A">
        <w:rPr>
          <w:sz w:val="18"/>
          <w:szCs w:val="18"/>
        </w:rPr>
        <w:t>V.5)</w:t>
      </w:r>
    </w:p>
  </w:footnote>
  <w:footnote w:id="3">
    <w:p w:rsidR="0099681E" w:rsidRPr="009F2898" w:rsidRDefault="0099681E" w:rsidP="0099681E">
      <w:pPr>
        <w:pStyle w:val="FootnoteText"/>
      </w:pPr>
      <w:r w:rsidRPr="009F2898">
        <w:rPr>
          <w:rStyle w:val="FootnoteReference"/>
        </w:rPr>
        <w:footnoteRef/>
      </w:r>
      <w:r w:rsidRPr="009F2898">
        <w:t xml:space="preserve"> </w:t>
      </w:r>
      <w:r w:rsidRPr="006A65EE">
        <w:t>https://ecqi.healthit.gov/cds#quicktabs-tabs_cds3</w:t>
      </w:r>
      <w:r>
        <w:t xml:space="preserve">. </w:t>
      </w:r>
    </w:p>
  </w:footnote>
  <w:footnote w:id="4">
    <w:p w:rsidR="0099681E" w:rsidRPr="009F2898" w:rsidRDefault="0099681E" w:rsidP="0099681E">
      <w:pPr>
        <w:pStyle w:val="FootnoteText"/>
      </w:pPr>
      <w:r w:rsidRPr="009F2898">
        <w:rPr>
          <w:rStyle w:val="FootnoteReference"/>
        </w:rPr>
        <w:footnoteRef/>
      </w:r>
      <w:r w:rsidRPr="009F2898">
        <w:t xml:space="preserve"> </w:t>
      </w:r>
      <w:r w:rsidRPr="006A65EE">
        <w:t>http://www.himss.org/improving-outcomes-cds-practical-pearls-new-himss-guidebook</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A7795"/>
    <w:multiLevelType w:val="hybridMultilevel"/>
    <w:tmpl w:val="C2469DCC"/>
    <w:lvl w:ilvl="0" w:tplc="05C0E9DC">
      <w:start w:val="1"/>
      <w:numFmt w:val="decimal"/>
      <w:lvlText w:val="%1)"/>
      <w:lvlJc w:val="left"/>
      <w:pPr>
        <w:ind w:left="120" w:hanging="260"/>
      </w:pPr>
      <w:rPr>
        <w:rFonts w:ascii="Times New Roman" w:eastAsia="Times New Roman" w:hAnsi="Times New Roman" w:cs="Times New Roman" w:hint="default"/>
        <w:w w:val="99"/>
        <w:sz w:val="24"/>
        <w:szCs w:val="24"/>
      </w:rPr>
    </w:lvl>
    <w:lvl w:ilvl="1" w:tplc="5A8E8B3C">
      <w:numFmt w:val="bullet"/>
      <w:lvlText w:val="•"/>
      <w:lvlJc w:val="left"/>
      <w:pPr>
        <w:ind w:left="1058" w:hanging="260"/>
      </w:pPr>
      <w:rPr>
        <w:rFonts w:hint="default"/>
      </w:rPr>
    </w:lvl>
    <w:lvl w:ilvl="2" w:tplc="FBEAD68C">
      <w:numFmt w:val="bullet"/>
      <w:lvlText w:val="•"/>
      <w:lvlJc w:val="left"/>
      <w:pPr>
        <w:ind w:left="1996" w:hanging="260"/>
      </w:pPr>
      <w:rPr>
        <w:rFonts w:hint="default"/>
      </w:rPr>
    </w:lvl>
    <w:lvl w:ilvl="3" w:tplc="5B9A9146">
      <w:numFmt w:val="bullet"/>
      <w:lvlText w:val="•"/>
      <w:lvlJc w:val="left"/>
      <w:pPr>
        <w:ind w:left="2934" w:hanging="260"/>
      </w:pPr>
      <w:rPr>
        <w:rFonts w:hint="default"/>
      </w:rPr>
    </w:lvl>
    <w:lvl w:ilvl="4" w:tplc="CC7EA2CA">
      <w:numFmt w:val="bullet"/>
      <w:lvlText w:val="•"/>
      <w:lvlJc w:val="left"/>
      <w:pPr>
        <w:ind w:left="3872" w:hanging="260"/>
      </w:pPr>
      <w:rPr>
        <w:rFonts w:hint="default"/>
      </w:rPr>
    </w:lvl>
    <w:lvl w:ilvl="5" w:tplc="C5C0E3AC">
      <w:numFmt w:val="bullet"/>
      <w:lvlText w:val="•"/>
      <w:lvlJc w:val="left"/>
      <w:pPr>
        <w:ind w:left="4810" w:hanging="260"/>
      </w:pPr>
      <w:rPr>
        <w:rFonts w:hint="default"/>
      </w:rPr>
    </w:lvl>
    <w:lvl w:ilvl="6" w:tplc="F8741AB8">
      <w:numFmt w:val="bullet"/>
      <w:lvlText w:val="•"/>
      <w:lvlJc w:val="left"/>
      <w:pPr>
        <w:ind w:left="5748" w:hanging="260"/>
      </w:pPr>
      <w:rPr>
        <w:rFonts w:hint="default"/>
      </w:rPr>
    </w:lvl>
    <w:lvl w:ilvl="7" w:tplc="683AD5DC">
      <w:numFmt w:val="bullet"/>
      <w:lvlText w:val="•"/>
      <w:lvlJc w:val="left"/>
      <w:pPr>
        <w:ind w:left="6686" w:hanging="260"/>
      </w:pPr>
      <w:rPr>
        <w:rFonts w:hint="default"/>
      </w:rPr>
    </w:lvl>
    <w:lvl w:ilvl="8" w:tplc="D20A7A96">
      <w:numFmt w:val="bullet"/>
      <w:lvlText w:val="•"/>
      <w:lvlJc w:val="left"/>
      <w:pPr>
        <w:ind w:left="7624" w:hanging="260"/>
      </w:pPr>
      <w:rPr>
        <w:rFonts w:hint="default"/>
      </w:rPr>
    </w:lvl>
  </w:abstractNum>
  <w:abstractNum w:abstractNumId="1">
    <w:nsid w:val="4435751B"/>
    <w:multiLevelType w:val="hybridMultilevel"/>
    <w:tmpl w:val="CB1A5BB2"/>
    <w:lvl w:ilvl="0" w:tplc="568EEED8">
      <w:start w:val="1"/>
      <w:numFmt w:val="upperLetter"/>
      <w:lvlText w:val="%1."/>
      <w:lvlJc w:val="left"/>
      <w:pPr>
        <w:ind w:left="552" w:hanging="432"/>
      </w:pPr>
      <w:rPr>
        <w:rFonts w:ascii="Times New Roman" w:eastAsia="Times New Roman" w:hAnsi="Times New Roman" w:cs="Times New Roman" w:hint="default"/>
        <w:b/>
        <w:bCs/>
        <w:spacing w:val="-1"/>
        <w:w w:val="99"/>
        <w:sz w:val="24"/>
        <w:szCs w:val="24"/>
      </w:rPr>
    </w:lvl>
    <w:lvl w:ilvl="1" w:tplc="92764DFC">
      <w:start w:val="1"/>
      <w:numFmt w:val="decimal"/>
      <w:lvlText w:val="%2."/>
      <w:lvlJc w:val="left"/>
      <w:pPr>
        <w:ind w:left="552" w:hanging="432"/>
      </w:pPr>
      <w:rPr>
        <w:rFonts w:ascii="Times New Roman" w:eastAsia="Times New Roman" w:hAnsi="Times New Roman" w:cs="Times New Roman" w:hint="default"/>
        <w:spacing w:val="-5"/>
        <w:w w:val="99"/>
        <w:sz w:val="24"/>
        <w:szCs w:val="24"/>
      </w:rPr>
    </w:lvl>
    <w:lvl w:ilvl="2" w:tplc="23A03092">
      <w:numFmt w:val="bullet"/>
      <w:lvlText w:val="•"/>
      <w:lvlJc w:val="left"/>
      <w:pPr>
        <w:ind w:left="2360" w:hanging="432"/>
      </w:pPr>
      <w:rPr>
        <w:rFonts w:hint="default"/>
      </w:rPr>
    </w:lvl>
    <w:lvl w:ilvl="3" w:tplc="9FF0495A">
      <w:numFmt w:val="bullet"/>
      <w:lvlText w:val="•"/>
      <w:lvlJc w:val="left"/>
      <w:pPr>
        <w:ind w:left="3260" w:hanging="432"/>
      </w:pPr>
      <w:rPr>
        <w:rFonts w:hint="default"/>
      </w:rPr>
    </w:lvl>
    <w:lvl w:ilvl="4" w:tplc="6B980A6E">
      <w:numFmt w:val="bullet"/>
      <w:lvlText w:val="•"/>
      <w:lvlJc w:val="left"/>
      <w:pPr>
        <w:ind w:left="4160" w:hanging="432"/>
      </w:pPr>
      <w:rPr>
        <w:rFonts w:hint="default"/>
      </w:rPr>
    </w:lvl>
    <w:lvl w:ilvl="5" w:tplc="6F0829D8">
      <w:numFmt w:val="bullet"/>
      <w:lvlText w:val="•"/>
      <w:lvlJc w:val="left"/>
      <w:pPr>
        <w:ind w:left="5060" w:hanging="432"/>
      </w:pPr>
      <w:rPr>
        <w:rFonts w:hint="default"/>
      </w:rPr>
    </w:lvl>
    <w:lvl w:ilvl="6" w:tplc="BD2A8FF0">
      <w:numFmt w:val="bullet"/>
      <w:lvlText w:val="•"/>
      <w:lvlJc w:val="left"/>
      <w:pPr>
        <w:ind w:left="5960" w:hanging="432"/>
      </w:pPr>
      <w:rPr>
        <w:rFonts w:hint="default"/>
      </w:rPr>
    </w:lvl>
    <w:lvl w:ilvl="7" w:tplc="517C7A82">
      <w:numFmt w:val="bullet"/>
      <w:lvlText w:val="•"/>
      <w:lvlJc w:val="left"/>
      <w:pPr>
        <w:ind w:left="6860" w:hanging="432"/>
      </w:pPr>
      <w:rPr>
        <w:rFonts w:hint="default"/>
      </w:rPr>
    </w:lvl>
    <w:lvl w:ilvl="8" w:tplc="48903B62">
      <w:numFmt w:val="bullet"/>
      <w:lvlText w:val="•"/>
      <w:lvlJc w:val="left"/>
      <w:pPr>
        <w:ind w:left="7760" w:hanging="432"/>
      </w:pPr>
      <w:rPr>
        <w:rFonts w:hint="default"/>
      </w:rPr>
    </w:lvl>
  </w:abstractNum>
  <w:abstractNum w:abstractNumId="2">
    <w:nsid w:val="6E225A71"/>
    <w:multiLevelType w:val="hybridMultilevel"/>
    <w:tmpl w:val="DB969E1E"/>
    <w:lvl w:ilvl="0" w:tplc="95BE291C">
      <w:numFmt w:val="bullet"/>
      <w:lvlText w:val=""/>
      <w:lvlJc w:val="left"/>
      <w:pPr>
        <w:ind w:left="120" w:hanging="432"/>
      </w:pPr>
      <w:rPr>
        <w:rFonts w:ascii="Symbol" w:eastAsia="Symbol" w:hAnsi="Symbol" w:cs="Symbol" w:hint="default"/>
        <w:w w:val="100"/>
        <w:sz w:val="24"/>
        <w:szCs w:val="24"/>
      </w:rPr>
    </w:lvl>
    <w:lvl w:ilvl="1" w:tplc="738674CC">
      <w:numFmt w:val="bullet"/>
      <w:lvlText w:val="•"/>
      <w:lvlJc w:val="left"/>
      <w:pPr>
        <w:ind w:left="1066" w:hanging="432"/>
      </w:pPr>
      <w:rPr>
        <w:rFonts w:hint="default"/>
      </w:rPr>
    </w:lvl>
    <w:lvl w:ilvl="2" w:tplc="1F068BC8">
      <w:numFmt w:val="bullet"/>
      <w:lvlText w:val="•"/>
      <w:lvlJc w:val="left"/>
      <w:pPr>
        <w:ind w:left="2012" w:hanging="432"/>
      </w:pPr>
      <w:rPr>
        <w:rFonts w:hint="default"/>
      </w:rPr>
    </w:lvl>
    <w:lvl w:ilvl="3" w:tplc="0CC0714A">
      <w:numFmt w:val="bullet"/>
      <w:lvlText w:val="•"/>
      <w:lvlJc w:val="left"/>
      <w:pPr>
        <w:ind w:left="2958" w:hanging="432"/>
      </w:pPr>
      <w:rPr>
        <w:rFonts w:hint="default"/>
      </w:rPr>
    </w:lvl>
    <w:lvl w:ilvl="4" w:tplc="A0100E0C">
      <w:numFmt w:val="bullet"/>
      <w:lvlText w:val="•"/>
      <w:lvlJc w:val="left"/>
      <w:pPr>
        <w:ind w:left="3904" w:hanging="432"/>
      </w:pPr>
      <w:rPr>
        <w:rFonts w:hint="default"/>
      </w:rPr>
    </w:lvl>
    <w:lvl w:ilvl="5" w:tplc="45820270">
      <w:numFmt w:val="bullet"/>
      <w:lvlText w:val="•"/>
      <w:lvlJc w:val="left"/>
      <w:pPr>
        <w:ind w:left="4850" w:hanging="432"/>
      </w:pPr>
      <w:rPr>
        <w:rFonts w:hint="default"/>
      </w:rPr>
    </w:lvl>
    <w:lvl w:ilvl="6" w:tplc="F8961800">
      <w:numFmt w:val="bullet"/>
      <w:lvlText w:val="•"/>
      <w:lvlJc w:val="left"/>
      <w:pPr>
        <w:ind w:left="5796" w:hanging="432"/>
      </w:pPr>
      <w:rPr>
        <w:rFonts w:hint="default"/>
      </w:rPr>
    </w:lvl>
    <w:lvl w:ilvl="7" w:tplc="2F38C496">
      <w:numFmt w:val="bullet"/>
      <w:lvlText w:val="•"/>
      <w:lvlJc w:val="left"/>
      <w:pPr>
        <w:ind w:left="6742" w:hanging="432"/>
      </w:pPr>
      <w:rPr>
        <w:rFonts w:hint="default"/>
      </w:rPr>
    </w:lvl>
    <w:lvl w:ilvl="8" w:tplc="2B4665B0">
      <w:numFmt w:val="bullet"/>
      <w:lvlText w:val="•"/>
      <w:lvlJc w:val="left"/>
      <w:pPr>
        <w:ind w:left="7688" w:hanging="432"/>
      </w:pPr>
      <w:rPr>
        <w:rFonts w:hint="default"/>
      </w:rPr>
    </w:lvl>
  </w:abstractNum>
  <w:abstractNum w:abstractNumId="3">
    <w:nsid w:val="7F995A38"/>
    <w:multiLevelType w:val="hybridMultilevel"/>
    <w:tmpl w:val="9D70508A"/>
    <w:lvl w:ilvl="0" w:tplc="3B885FEC">
      <w:start w:val="1"/>
      <w:numFmt w:val="decimal"/>
      <w:lvlText w:val="%1"/>
      <w:lvlJc w:val="left"/>
      <w:pPr>
        <w:ind w:left="271" w:hanging="152"/>
      </w:pPr>
      <w:rPr>
        <w:rFonts w:ascii="Times New Roman" w:eastAsia="Times New Roman" w:hAnsi="Times New Roman" w:cs="Times New Roman" w:hint="default"/>
        <w:w w:val="99"/>
        <w:sz w:val="20"/>
        <w:szCs w:val="20"/>
      </w:rPr>
    </w:lvl>
    <w:lvl w:ilvl="1" w:tplc="5D469A36">
      <w:numFmt w:val="bullet"/>
      <w:lvlText w:val="•"/>
      <w:lvlJc w:val="left"/>
      <w:pPr>
        <w:ind w:left="1206" w:hanging="152"/>
      </w:pPr>
      <w:rPr>
        <w:rFonts w:hint="default"/>
      </w:rPr>
    </w:lvl>
    <w:lvl w:ilvl="2" w:tplc="82905EC6">
      <w:numFmt w:val="bullet"/>
      <w:lvlText w:val="•"/>
      <w:lvlJc w:val="left"/>
      <w:pPr>
        <w:ind w:left="2132" w:hanging="152"/>
      </w:pPr>
      <w:rPr>
        <w:rFonts w:hint="default"/>
      </w:rPr>
    </w:lvl>
    <w:lvl w:ilvl="3" w:tplc="652EF482">
      <w:numFmt w:val="bullet"/>
      <w:lvlText w:val="•"/>
      <w:lvlJc w:val="left"/>
      <w:pPr>
        <w:ind w:left="3058" w:hanging="152"/>
      </w:pPr>
      <w:rPr>
        <w:rFonts w:hint="default"/>
      </w:rPr>
    </w:lvl>
    <w:lvl w:ilvl="4" w:tplc="D44C1DFA">
      <w:numFmt w:val="bullet"/>
      <w:lvlText w:val="•"/>
      <w:lvlJc w:val="left"/>
      <w:pPr>
        <w:ind w:left="3984" w:hanging="152"/>
      </w:pPr>
      <w:rPr>
        <w:rFonts w:hint="default"/>
      </w:rPr>
    </w:lvl>
    <w:lvl w:ilvl="5" w:tplc="6418440A">
      <w:numFmt w:val="bullet"/>
      <w:lvlText w:val="•"/>
      <w:lvlJc w:val="left"/>
      <w:pPr>
        <w:ind w:left="4910" w:hanging="152"/>
      </w:pPr>
      <w:rPr>
        <w:rFonts w:hint="default"/>
      </w:rPr>
    </w:lvl>
    <w:lvl w:ilvl="6" w:tplc="BEC03CCA">
      <w:numFmt w:val="bullet"/>
      <w:lvlText w:val="•"/>
      <w:lvlJc w:val="left"/>
      <w:pPr>
        <w:ind w:left="5836" w:hanging="152"/>
      </w:pPr>
      <w:rPr>
        <w:rFonts w:hint="default"/>
      </w:rPr>
    </w:lvl>
    <w:lvl w:ilvl="7" w:tplc="77E2B7F2">
      <w:numFmt w:val="bullet"/>
      <w:lvlText w:val="•"/>
      <w:lvlJc w:val="left"/>
      <w:pPr>
        <w:ind w:left="6762" w:hanging="152"/>
      </w:pPr>
      <w:rPr>
        <w:rFonts w:hint="default"/>
      </w:rPr>
    </w:lvl>
    <w:lvl w:ilvl="8" w:tplc="48AEAF90">
      <w:numFmt w:val="bullet"/>
      <w:lvlText w:val="•"/>
      <w:lvlJc w:val="left"/>
      <w:pPr>
        <w:ind w:left="7688" w:hanging="152"/>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BD"/>
    <w:rsid w:val="0001108F"/>
    <w:rsid w:val="00017871"/>
    <w:rsid w:val="00040AA9"/>
    <w:rsid w:val="0006000A"/>
    <w:rsid w:val="0007172D"/>
    <w:rsid w:val="00077E29"/>
    <w:rsid w:val="00092C13"/>
    <w:rsid w:val="000E1C3A"/>
    <w:rsid w:val="000F2D78"/>
    <w:rsid w:val="0013452C"/>
    <w:rsid w:val="00160166"/>
    <w:rsid w:val="00163795"/>
    <w:rsid w:val="00167110"/>
    <w:rsid w:val="00185588"/>
    <w:rsid w:val="00185DFF"/>
    <w:rsid w:val="001A28BD"/>
    <w:rsid w:val="001A580B"/>
    <w:rsid w:val="001B10D4"/>
    <w:rsid w:val="001E073F"/>
    <w:rsid w:val="001F23EB"/>
    <w:rsid w:val="001F4A32"/>
    <w:rsid w:val="00213CFD"/>
    <w:rsid w:val="0021448C"/>
    <w:rsid w:val="00215521"/>
    <w:rsid w:val="00234A48"/>
    <w:rsid w:val="00247D37"/>
    <w:rsid w:val="0026106F"/>
    <w:rsid w:val="00280421"/>
    <w:rsid w:val="00286E78"/>
    <w:rsid w:val="002A7412"/>
    <w:rsid w:val="002B2007"/>
    <w:rsid w:val="002D1DCB"/>
    <w:rsid w:val="002D2855"/>
    <w:rsid w:val="002D3864"/>
    <w:rsid w:val="00314406"/>
    <w:rsid w:val="00331B70"/>
    <w:rsid w:val="00347B87"/>
    <w:rsid w:val="00354BFA"/>
    <w:rsid w:val="00374838"/>
    <w:rsid w:val="0037700D"/>
    <w:rsid w:val="00383D4C"/>
    <w:rsid w:val="00396CE9"/>
    <w:rsid w:val="003A4B67"/>
    <w:rsid w:val="003F3618"/>
    <w:rsid w:val="004549F7"/>
    <w:rsid w:val="00456FEE"/>
    <w:rsid w:val="00462BDB"/>
    <w:rsid w:val="00467F11"/>
    <w:rsid w:val="004754E0"/>
    <w:rsid w:val="00483FB7"/>
    <w:rsid w:val="00486B89"/>
    <w:rsid w:val="004A2B76"/>
    <w:rsid w:val="004C1873"/>
    <w:rsid w:val="00536EE0"/>
    <w:rsid w:val="005606B6"/>
    <w:rsid w:val="0056687A"/>
    <w:rsid w:val="0057090B"/>
    <w:rsid w:val="00582D86"/>
    <w:rsid w:val="00592973"/>
    <w:rsid w:val="00597293"/>
    <w:rsid w:val="005B5DFE"/>
    <w:rsid w:val="005D39ED"/>
    <w:rsid w:val="005E558C"/>
    <w:rsid w:val="005F746C"/>
    <w:rsid w:val="00624B99"/>
    <w:rsid w:val="006441EC"/>
    <w:rsid w:val="00656813"/>
    <w:rsid w:val="006932AC"/>
    <w:rsid w:val="006A6FF3"/>
    <w:rsid w:val="006C1212"/>
    <w:rsid w:val="006E5931"/>
    <w:rsid w:val="00703075"/>
    <w:rsid w:val="00712ABA"/>
    <w:rsid w:val="00715189"/>
    <w:rsid w:val="007336B0"/>
    <w:rsid w:val="007514D7"/>
    <w:rsid w:val="00751A09"/>
    <w:rsid w:val="00755860"/>
    <w:rsid w:val="00773171"/>
    <w:rsid w:val="00773B40"/>
    <w:rsid w:val="00786426"/>
    <w:rsid w:val="00797B03"/>
    <w:rsid w:val="007A10C1"/>
    <w:rsid w:val="007A579B"/>
    <w:rsid w:val="007E7006"/>
    <w:rsid w:val="007F1B72"/>
    <w:rsid w:val="007F7A03"/>
    <w:rsid w:val="00814C48"/>
    <w:rsid w:val="008258D0"/>
    <w:rsid w:val="00830AA9"/>
    <w:rsid w:val="00866A3A"/>
    <w:rsid w:val="00873EFE"/>
    <w:rsid w:val="00875E7A"/>
    <w:rsid w:val="0088242E"/>
    <w:rsid w:val="008A005E"/>
    <w:rsid w:val="008B3BD6"/>
    <w:rsid w:val="008C148A"/>
    <w:rsid w:val="008D1142"/>
    <w:rsid w:val="008F123A"/>
    <w:rsid w:val="008F1DDA"/>
    <w:rsid w:val="008F32FA"/>
    <w:rsid w:val="00900A9B"/>
    <w:rsid w:val="00904909"/>
    <w:rsid w:val="00906555"/>
    <w:rsid w:val="00927C3E"/>
    <w:rsid w:val="00935C08"/>
    <w:rsid w:val="00954BE9"/>
    <w:rsid w:val="00970A7F"/>
    <w:rsid w:val="009812AB"/>
    <w:rsid w:val="00991423"/>
    <w:rsid w:val="0099681E"/>
    <w:rsid w:val="009B0858"/>
    <w:rsid w:val="009C29AD"/>
    <w:rsid w:val="009C4FB2"/>
    <w:rsid w:val="009F114E"/>
    <w:rsid w:val="009F3037"/>
    <w:rsid w:val="00A0390E"/>
    <w:rsid w:val="00A13CA3"/>
    <w:rsid w:val="00A506FA"/>
    <w:rsid w:val="00A74F13"/>
    <w:rsid w:val="00AB630B"/>
    <w:rsid w:val="00AB66D8"/>
    <w:rsid w:val="00AC09AB"/>
    <w:rsid w:val="00AE2AEA"/>
    <w:rsid w:val="00B12833"/>
    <w:rsid w:val="00B30E47"/>
    <w:rsid w:val="00B44CEE"/>
    <w:rsid w:val="00B64F8E"/>
    <w:rsid w:val="00B73616"/>
    <w:rsid w:val="00B81073"/>
    <w:rsid w:val="00B91167"/>
    <w:rsid w:val="00BA4A65"/>
    <w:rsid w:val="00BB31E5"/>
    <w:rsid w:val="00BF69FE"/>
    <w:rsid w:val="00C4189F"/>
    <w:rsid w:val="00C52F21"/>
    <w:rsid w:val="00C940F6"/>
    <w:rsid w:val="00CA772D"/>
    <w:rsid w:val="00CB4893"/>
    <w:rsid w:val="00CD4E02"/>
    <w:rsid w:val="00CD4E41"/>
    <w:rsid w:val="00CD62DB"/>
    <w:rsid w:val="00CF20E3"/>
    <w:rsid w:val="00D20B25"/>
    <w:rsid w:val="00D20E22"/>
    <w:rsid w:val="00D2577F"/>
    <w:rsid w:val="00D81651"/>
    <w:rsid w:val="00DD0A39"/>
    <w:rsid w:val="00DF56DB"/>
    <w:rsid w:val="00E1429F"/>
    <w:rsid w:val="00E2189A"/>
    <w:rsid w:val="00E222F8"/>
    <w:rsid w:val="00E34457"/>
    <w:rsid w:val="00E36245"/>
    <w:rsid w:val="00E544BB"/>
    <w:rsid w:val="00E54ED6"/>
    <w:rsid w:val="00E81F6D"/>
    <w:rsid w:val="00E87245"/>
    <w:rsid w:val="00E9214F"/>
    <w:rsid w:val="00EC0159"/>
    <w:rsid w:val="00EC24BD"/>
    <w:rsid w:val="00EC69F4"/>
    <w:rsid w:val="00ED7BDE"/>
    <w:rsid w:val="00EE78D5"/>
    <w:rsid w:val="00EF6BE3"/>
    <w:rsid w:val="00F10545"/>
    <w:rsid w:val="00F13119"/>
    <w:rsid w:val="00F215E0"/>
    <w:rsid w:val="00F347B3"/>
    <w:rsid w:val="00F36FAC"/>
    <w:rsid w:val="00F44DBC"/>
    <w:rsid w:val="00F46D3C"/>
    <w:rsid w:val="00F73F37"/>
    <w:rsid w:val="00F959E9"/>
    <w:rsid w:val="00FA39FF"/>
    <w:rsid w:val="00FC1333"/>
    <w:rsid w:val="00FC3042"/>
    <w:rsid w:val="00FC6C44"/>
    <w:rsid w:val="00FE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hanging="432"/>
      <w:outlineLvl w:val="0"/>
    </w:pPr>
    <w:rPr>
      <w:b/>
      <w:bCs/>
      <w:sz w:val="24"/>
      <w:szCs w:val="24"/>
    </w:rPr>
  </w:style>
  <w:style w:type="paragraph" w:styleId="Heading3">
    <w:name w:val="heading 3"/>
    <w:basedOn w:val="Normal"/>
    <w:next w:val="Normal"/>
    <w:link w:val="Heading3Char"/>
    <w:uiPriority w:val="9"/>
    <w:semiHidden/>
    <w:unhideWhenUsed/>
    <w:qFormat/>
    <w:rsid w:val="007A10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line="183" w:lineRule="exact"/>
      <w:ind w:left="103"/>
    </w:pPr>
  </w:style>
  <w:style w:type="character" w:styleId="CommentReference">
    <w:name w:val="annotation reference"/>
    <w:basedOn w:val="DefaultParagraphFont"/>
    <w:uiPriority w:val="99"/>
    <w:unhideWhenUsed/>
    <w:rsid w:val="00314406"/>
    <w:rPr>
      <w:sz w:val="16"/>
      <w:szCs w:val="16"/>
    </w:rPr>
  </w:style>
  <w:style w:type="paragraph" w:styleId="CommentText">
    <w:name w:val="annotation text"/>
    <w:aliases w:val="t"/>
    <w:basedOn w:val="Normal"/>
    <w:link w:val="CommentTextChar"/>
    <w:uiPriority w:val="99"/>
    <w:unhideWhenUsed/>
    <w:qFormat/>
    <w:rsid w:val="00314406"/>
    <w:rPr>
      <w:sz w:val="20"/>
      <w:szCs w:val="20"/>
    </w:rPr>
  </w:style>
  <w:style w:type="character" w:customStyle="1" w:styleId="CommentTextChar">
    <w:name w:val="Comment Text Char"/>
    <w:aliases w:val="t Char"/>
    <w:basedOn w:val="DefaultParagraphFont"/>
    <w:link w:val="CommentText"/>
    <w:uiPriority w:val="99"/>
    <w:rsid w:val="003144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406"/>
    <w:rPr>
      <w:b/>
      <w:bCs/>
    </w:rPr>
  </w:style>
  <w:style w:type="character" w:customStyle="1" w:styleId="CommentSubjectChar">
    <w:name w:val="Comment Subject Char"/>
    <w:basedOn w:val="CommentTextChar"/>
    <w:link w:val="CommentSubject"/>
    <w:uiPriority w:val="99"/>
    <w:semiHidden/>
    <w:rsid w:val="003144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4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06"/>
    <w:rPr>
      <w:rFonts w:ascii="Segoe UI" w:eastAsia="Times New Roman" w:hAnsi="Segoe UI" w:cs="Segoe UI"/>
      <w:sz w:val="18"/>
      <w:szCs w:val="18"/>
    </w:rPr>
  </w:style>
  <w:style w:type="paragraph" w:styleId="Header">
    <w:name w:val="header"/>
    <w:basedOn w:val="Normal"/>
    <w:link w:val="HeaderChar"/>
    <w:uiPriority w:val="99"/>
    <w:unhideWhenUsed/>
    <w:rsid w:val="0099681E"/>
    <w:pPr>
      <w:widowControl/>
      <w:tabs>
        <w:tab w:val="center" w:pos="4680"/>
        <w:tab w:val="right" w:pos="9360"/>
      </w:tabs>
      <w:autoSpaceDE/>
      <w:autoSpaceDN/>
    </w:pPr>
    <w:rPr>
      <w:rFonts w:eastAsiaTheme="minorHAnsi" w:cstheme="minorBidi"/>
    </w:rPr>
  </w:style>
  <w:style w:type="character" w:customStyle="1" w:styleId="HeaderChar">
    <w:name w:val="Header Char"/>
    <w:basedOn w:val="DefaultParagraphFont"/>
    <w:link w:val="Header"/>
    <w:uiPriority w:val="99"/>
    <w:rsid w:val="0099681E"/>
    <w:rPr>
      <w:rFonts w:ascii="Times New Roman" w:hAnsi="Times New Roman"/>
    </w:rPr>
  </w:style>
  <w:style w:type="paragraph" w:styleId="FootnoteText">
    <w:name w:val="footnote text"/>
    <w:aliases w:val="Char18"/>
    <w:basedOn w:val="Normal"/>
    <w:link w:val="FootnoteTextChar"/>
    <w:uiPriority w:val="99"/>
    <w:unhideWhenUsed/>
    <w:qFormat/>
    <w:rsid w:val="0099681E"/>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99681E"/>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nhideWhenUsed/>
    <w:qFormat/>
    <w:rsid w:val="0099681E"/>
    <w:rPr>
      <w:vertAlign w:val="superscript"/>
    </w:rPr>
  </w:style>
  <w:style w:type="paragraph" w:styleId="Revision">
    <w:name w:val="Revision"/>
    <w:hidden/>
    <w:uiPriority w:val="99"/>
    <w:semiHidden/>
    <w:rsid w:val="00185DFF"/>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7A10C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hanging="432"/>
      <w:outlineLvl w:val="0"/>
    </w:pPr>
    <w:rPr>
      <w:b/>
      <w:bCs/>
      <w:sz w:val="24"/>
      <w:szCs w:val="24"/>
    </w:rPr>
  </w:style>
  <w:style w:type="paragraph" w:styleId="Heading3">
    <w:name w:val="heading 3"/>
    <w:basedOn w:val="Normal"/>
    <w:next w:val="Normal"/>
    <w:link w:val="Heading3Char"/>
    <w:uiPriority w:val="9"/>
    <w:semiHidden/>
    <w:unhideWhenUsed/>
    <w:qFormat/>
    <w:rsid w:val="007A10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line="183" w:lineRule="exact"/>
      <w:ind w:left="103"/>
    </w:pPr>
  </w:style>
  <w:style w:type="character" w:styleId="CommentReference">
    <w:name w:val="annotation reference"/>
    <w:basedOn w:val="DefaultParagraphFont"/>
    <w:uiPriority w:val="99"/>
    <w:unhideWhenUsed/>
    <w:rsid w:val="00314406"/>
    <w:rPr>
      <w:sz w:val="16"/>
      <w:szCs w:val="16"/>
    </w:rPr>
  </w:style>
  <w:style w:type="paragraph" w:styleId="CommentText">
    <w:name w:val="annotation text"/>
    <w:aliases w:val="t"/>
    <w:basedOn w:val="Normal"/>
    <w:link w:val="CommentTextChar"/>
    <w:uiPriority w:val="99"/>
    <w:unhideWhenUsed/>
    <w:qFormat/>
    <w:rsid w:val="00314406"/>
    <w:rPr>
      <w:sz w:val="20"/>
      <w:szCs w:val="20"/>
    </w:rPr>
  </w:style>
  <w:style w:type="character" w:customStyle="1" w:styleId="CommentTextChar">
    <w:name w:val="Comment Text Char"/>
    <w:aliases w:val="t Char"/>
    <w:basedOn w:val="DefaultParagraphFont"/>
    <w:link w:val="CommentText"/>
    <w:uiPriority w:val="99"/>
    <w:rsid w:val="003144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406"/>
    <w:rPr>
      <w:b/>
      <w:bCs/>
    </w:rPr>
  </w:style>
  <w:style w:type="character" w:customStyle="1" w:styleId="CommentSubjectChar">
    <w:name w:val="Comment Subject Char"/>
    <w:basedOn w:val="CommentTextChar"/>
    <w:link w:val="CommentSubject"/>
    <w:uiPriority w:val="99"/>
    <w:semiHidden/>
    <w:rsid w:val="003144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4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06"/>
    <w:rPr>
      <w:rFonts w:ascii="Segoe UI" w:eastAsia="Times New Roman" w:hAnsi="Segoe UI" w:cs="Segoe UI"/>
      <w:sz w:val="18"/>
      <w:szCs w:val="18"/>
    </w:rPr>
  </w:style>
  <w:style w:type="paragraph" w:styleId="Header">
    <w:name w:val="header"/>
    <w:basedOn w:val="Normal"/>
    <w:link w:val="HeaderChar"/>
    <w:uiPriority w:val="99"/>
    <w:unhideWhenUsed/>
    <w:rsid w:val="0099681E"/>
    <w:pPr>
      <w:widowControl/>
      <w:tabs>
        <w:tab w:val="center" w:pos="4680"/>
        <w:tab w:val="right" w:pos="9360"/>
      </w:tabs>
      <w:autoSpaceDE/>
      <w:autoSpaceDN/>
    </w:pPr>
    <w:rPr>
      <w:rFonts w:eastAsiaTheme="minorHAnsi" w:cstheme="minorBidi"/>
    </w:rPr>
  </w:style>
  <w:style w:type="character" w:customStyle="1" w:styleId="HeaderChar">
    <w:name w:val="Header Char"/>
    <w:basedOn w:val="DefaultParagraphFont"/>
    <w:link w:val="Header"/>
    <w:uiPriority w:val="99"/>
    <w:rsid w:val="0099681E"/>
    <w:rPr>
      <w:rFonts w:ascii="Times New Roman" w:hAnsi="Times New Roman"/>
    </w:rPr>
  </w:style>
  <w:style w:type="paragraph" w:styleId="FootnoteText">
    <w:name w:val="footnote text"/>
    <w:aliases w:val="Char18"/>
    <w:basedOn w:val="Normal"/>
    <w:link w:val="FootnoteTextChar"/>
    <w:uiPriority w:val="99"/>
    <w:unhideWhenUsed/>
    <w:qFormat/>
    <w:rsid w:val="0099681E"/>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99681E"/>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nhideWhenUsed/>
    <w:qFormat/>
    <w:rsid w:val="0099681E"/>
    <w:rPr>
      <w:vertAlign w:val="superscript"/>
    </w:rPr>
  </w:style>
  <w:style w:type="paragraph" w:styleId="Revision">
    <w:name w:val="Revision"/>
    <w:hidden/>
    <w:uiPriority w:val="99"/>
    <w:semiHidden/>
    <w:rsid w:val="00185DFF"/>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7A10C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Quality-Initiatives-Patient-Assessment-Instruments/Appropriate-Use-Criteria-Program/index.html" TargetMode="External"/><Relationship Id="rId5" Type="http://schemas.openxmlformats.org/officeDocument/2006/relationships/settings" Target="settings.xml"/><Relationship Id="rId10" Type="http://schemas.openxmlformats.org/officeDocument/2006/relationships/hyperlink" Target="https://www.cms.gov/Medicare/Quality-Initiatives-Patient-Assessment-Instruments/Appropriate-Use-Criteria-Program/index.html"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18D3-0746-4626-9EAC-17CAD0B0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CMS-10654 - Supporting Statement A - 20180629 CLEAN</vt:lpstr>
    </vt:vector>
  </TitlesOfParts>
  <Company>CMS</Company>
  <LinksUpToDate>false</LinksUpToDate>
  <CharactersWithSpaces>28584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CMS-10654 - Supporting Statement A - 20180629 CLEAN</dc:title>
  <dc:creator>CMS</dc:creator>
  <cp:lastModifiedBy>SYSTEM</cp:lastModifiedBy>
  <cp:revision>2</cp:revision>
  <cp:lastPrinted>2018-12-14T15:52:00Z</cp:lastPrinted>
  <dcterms:created xsi:type="dcterms:W3CDTF">2018-12-14T17:15:00Z</dcterms:created>
  <dcterms:modified xsi:type="dcterms:W3CDTF">2018-12-14T17:15:00Z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2018-07-27T00:00:00Z</vt:filetime>
  </property>
  <property fmtid="{D5CDD505-2E9C-101B-9397-08002B2CF9AE}" pid="5" name="_AdHocReviewCycleID">
    <vt:i4>1632863456</vt:i4>
  </property>
  <property fmtid="{D5CDD505-2E9C-101B-9397-08002B2CF9AE}" pid="6" name="_NewReviewCycle">
    <vt:lpwstr/>
  </property>
  <property fmtid="{D5CDD505-2E9C-101B-9397-08002B2CF9AE}" pid="7" name="_EmailSubject">
    <vt:lpwstr>PRA Input &gt; RE: Request for Clearance of CMS-1693-F Revisions to Payment Policies under the Physician Fee Schedule, Quality Payment Program and Other Revisions to Part B for CY 2019—Complete Revised Rule</vt:lpwstr>
  </property>
  <property fmtid="{D5CDD505-2E9C-101B-9397-08002B2CF9AE}" pid="8" name="_AuthorEmail">
    <vt:lpwstr>Katherine.Szarama@cms.hhs.gov</vt:lpwstr>
  </property>
  <property fmtid="{D5CDD505-2E9C-101B-9397-08002B2CF9AE}" pid="9" name="_AuthorEmailDisplayName">
    <vt:lpwstr>Szarama, Katherine B. (CMS/CCSQ)</vt:lpwstr>
  </property>
  <property fmtid="{D5CDD505-2E9C-101B-9397-08002B2CF9AE}" pid="10" name="_PreviousAdHocReviewCycleID">
    <vt:i4>1544849510</vt:i4>
  </property>
  <property fmtid="{D5CDD505-2E9C-101B-9397-08002B2CF9AE}" pid="11" name="_ReviewingToolsShownOnce">
    <vt:lpwstr/>
  </property>
</Properties>
</file>