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B2" w:rsidRPr="004456B2" w:rsidRDefault="004456B2" w:rsidP="004456B2">
      <w:pPr>
        <w:spacing w:after="280"/>
        <w:jc w:val="center"/>
        <w:outlineLvl w:val="0"/>
        <w:rPr>
          <w:rFonts w:ascii="Times New Roman" w:eastAsia="SimSu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4456B2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CMS-10675 </w:t>
      </w:r>
      <w:r w:rsidR="00203F58" w:rsidRPr="004456B2">
        <w:rPr>
          <w:rFonts w:ascii="Times New Roman" w:eastAsia="SimSun" w:hAnsi="Times New Roman" w:cs="Times New Roman"/>
          <w:b/>
          <w:iCs/>
          <w:sz w:val="24"/>
          <w:szCs w:val="24"/>
        </w:rPr>
        <w:t>Attachment 2</w:t>
      </w:r>
    </w:p>
    <w:p w:rsidR="00203F58" w:rsidRPr="004456B2" w:rsidRDefault="00203F58" w:rsidP="00202BAA">
      <w:pPr>
        <w:spacing w:after="280"/>
        <w:outlineLvl w:val="0"/>
        <w:rPr>
          <w:rFonts w:ascii="Times New Roman" w:eastAsia="SimSun" w:hAnsi="Times New Roman" w:cs="Times New Roman"/>
          <w:b/>
          <w:iCs/>
          <w:sz w:val="24"/>
          <w:szCs w:val="24"/>
        </w:rPr>
      </w:pPr>
      <w:r w:rsidRPr="004456B2">
        <w:rPr>
          <w:rFonts w:ascii="Times New Roman" w:eastAsia="SimSun" w:hAnsi="Times New Roman" w:cs="Times New Roman"/>
          <w:b/>
          <w:iCs/>
          <w:sz w:val="24"/>
          <w:szCs w:val="24"/>
        </w:rPr>
        <w:t>Readmission Rates for Medicare Beneficiaries Using High-Risk Medications (HRM) by Provider’s Participation in the QIN-QIO Program to Prevent Adverse Drug Events: Results from Preliminary Analysis of Medicare Claims (QIN-QIO Implementation Begins January 2015)</w:t>
      </w:r>
    </w:p>
    <w:p w:rsidR="00203F58" w:rsidRPr="004456B2" w:rsidRDefault="00203F58">
      <w:pPr>
        <w:sectPr w:rsidR="00203F58" w:rsidRPr="004456B2" w:rsidSect="00203F58"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:rsidR="00203F58" w:rsidRDefault="00203F58"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lastRenderedPageBreak/>
        <w:t xml:space="preserve">Figure </w:t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fldChar w:fldCharType="begin"/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instrText xml:space="preserve"> SEQ Figure \* ARABIC </w:instrText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fldChar w:fldCharType="separate"/>
      </w:r>
      <w:r w:rsidR="00202BAA">
        <w:rPr>
          <w:rFonts w:ascii="Arial" w:eastAsia="Times New Roman" w:hAnsi="Arial" w:cs="Times New Roman"/>
          <w:b/>
          <w:iCs/>
          <w:noProof/>
          <w:sz w:val="20"/>
          <w:szCs w:val="18"/>
        </w:rPr>
        <w:t>1</w:t>
      </w:r>
      <w:r w:rsidRPr="006513E6">
        <w:rPr>
          <w:rFonts w:ascii="Arial" w:eastAsia="Times New Roman" w:hAnsi="Arial" w:cs="Times New Roman"/>
          <w:b/>
          <w:iCs/>
          <w:noProof/>
          <w:sz w:val="20"/>
          <w:szCs w:val="18"/>
        </w:rPr>
        <w:fldChar w:fldCharType="end"/>
      </w:r>
      <w:r>
        <w:rPr>
          <w:rFonts w:ascii="Arial" w:eastAsia="Times New Roman" w:hAnsi="Arial" w:cs="Times New Roman"/>
          <w:b/>
          <w:iCs/>
          <w:sz w:val="20"/>
          <w:szCs w:val="18"/>
        </w:rPr>
        <w:t>. All-Cause Readmissions,</w:t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t xml:space="preserve"> HRM Beneficiaries</w:t>
      </w:r>
      <w:r w:rsidR="00202BAA" w:rsidRPr="00202BAA">
        <w:rPr>
          <w:rStyle w:val="FootnoteReference"/>
          <w:rFonts w:ascii="Arial" w:eastAsia="Times New Roman" w:hAnsi="Arial" w:cs="Times New Roman"/>
          <w:b/>
          <w:iCs/>
          <w:sz w:val="20"/>
          <w:szCs w:val="18"/>
          <w:vertAlign w:val="baseline"/>
        </w:rPr>
        <w:footnoteReference w:customMarkFollows="1" w:id="1"/>
        <w:t>*</w:t>
      </w:r>
    </w:p>
    <w:p w:rsidR="00203F58" w:rsidRDefault="00203F58">
      <w:r w:rsidRPr="006513E6">
        <w:rPr>
          <w:rFonts w:ascii="Arial" w:eastAsia="Times New Roman" w:hAnsi="Arial" w:cs="Times New Roman"/>
          <w:b/>
          <w:iCs/>
          <w:noProof/>
          <w:sz w:val="20"/>
          <w:szCs w:val="18"/>
        </w:rPr>
        <w:drawing>
          <wp:inline distT="0" distB="0" distL="0" distR="0" wp14:anchorId="5BAF3F42" wp14:editId="6D1AAA54">
            <wp:extent cx="3200400" cy="2276669"/>
            <wp:effectExtent l="0" t="0" r="0" b="9525"/>
            <wp:docPr id="1" name="Chart 1" descr="The QIN-QIO Readmission Rate and the non QIN-QIO Readmission Rate were approximately teh same from January 2014 to December 2015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84978A-65FD-4D35-8295-D2DDC08192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3F58" w:rsidRDefault="00203F58" w:rsidP="00203F58">
      <w:pPr>
        <w:rPr>
          <w:rFonts w:ascii="Arial" w:eastAsia="Times New Roman" w:hAnsi="Arial" w:cs="Times New Roman"/>
          <w:b/>
          <w:iCs/>
          <w:sz w:val="20"/>
          <w:szCs w:val="18"/>
        </w:rPr>
      </w:pP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t xml:space="preserve">Figure </w:t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fldChar w:fldCharType="begin"/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instrText xml:space="preserve"> SEQ Figure \* ARABIC </w:instrText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fldChar w:fldCharType="separate"/>
      </w:r>
      <w:r w:rsidR="00202BAA">
        <w:rPr>
          <w:rFonts w:ascii="Arial" w:eastAsia="Times New Roman" w:hAnsi="Arial" w:cs="Times New Roman"/>
          <w:b/>
          <w:iCs/>
          <w:noProof/>
          <w:sz w:val="20"/>
          <w:szCs w:val="18"/>
        </w:rPr>
        <w:t>2</w:t>
      </w:r>
      <w:r w:rsidRPr="006513E6">
        <w:rPr>
          <w:rFonts w:ascii="Arial" w:eastAsia="Times New Roman" w:hAnsi="Arial" w:cs="Times New Roman"/>
          <w:b/>
          <w:iCs/>
          <w:noProof/>
          <w:sz w:val="20"/>
          <w:szCs w:val="18"/>
        </w:rPr>
        <w:fldChar w:fldCharType="end"/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t>. Readmissions Related to Anticoagulants per 1,000 HRM Beneficiaries</w:t>
      </w:r>
    </w:p>
    <w:p w:rsidR="00203F58" w:rsidRDefault="00203F58">
      <w:bookmarkStart w:id="1" w:name="_Ref491348290"/>
      <w:bookmarkStart w:id="2" w:name="_Toc491348780"/>
      <w:r w:rsidRPr="006513E6">
        <w:rPr>
          <w:rFonts w:ascii="Arial" w:eastAsia="Times New Roman" w:hAnsi="Arial" w:cs="Times New Roman"/>
          <w:b/>
          <w:iCs/>
          <w:noProof/>
          <w:sz w:val="20"/>
          <w:szCs w:val="18"/>
        </w:rPr>
        <w:drawing>
          <wp:inline distT="0" distB="0" distL="0" distR="0" wp14:anchorId="3305532D" wp14:editId="6E54A628">
            <wp:extent cx="3200400" cy="2218459"/>
            <wp:effectExtent l="0" t="0" r="0" b="10795"/>
            <wp:docPr id="4" name="Chart 4" descr="Line graph comparing QIN-QIO and non-QIN-QIO readmissions due to anticoagulants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AE07D0-84C3-47D4-B444-7D22D8AE51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1"/>
      <w:bookmarkEnd w:id="2"/>
    </w:p>
    <w:p w:rsidR="00203F58" w:rsidRDefault="00203F58">
      <w:pPr>
        <w:sectPr w:rsidR="00203F58" w:rsidSect="00203F58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203F58" w:rsidRDefault="00203F58" w:rsidP="00203F58"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lastRenderedPageBreak/>
        <w:t xml:space="preserve">Figure </w:t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fldChar w:fldCharType="begin"/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instrText xml:space="preserve"> SEQ Figure \* ARABIC </w:instrText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fldChar w:fldCharType="separate"/>
      </w:r>
      <w:r w:rsidR="00202BAA">
        <w:rPr>
          <w:rFonts w:ascii="Arial" w:eastAsia="Times New Roman" w:hAnsi="Arial" w:cs="Times New Roman"/>
          <w:b/>
          <w:iCs/>
          <w:noProof/>
          <w:sz w:val="20"/>
          <w:szCs w:val="18"/>
        </w:rPr>
        <w:t>3</w:t>
      </w:r>
      <w:r w:rsidRPr="006513E6">
        <w:rPr>
          <w:rFonts w:ascii="Arial" w:eastAsia="Times New Roman" w:hAnsi="Arial" w:cs="Times New Roman"/>
          <w:b/>
          <w:iCs/>
          <w:noProof/>
          <w:sz w:val="20"/>
          <w:szCs w:val="18"/>
        </w:rPr>
        <w:fldChar w:fldCharType="end"/>
      </w:r>
      <w:r w:rsidRPr="006513E6">
        <w:rPr>
          <w:rFonts w:ascii="Arial" w:eastAsia="Times New Roman" w:hAnsi="Arial" w:cs="Times New Roman"/>
          <w:b/>
          <w:iCs/>
          <w:sz w:val="20"/>
          <w:szCs w:val="18"/>
        </w:rPr>
        <w:t>. Readmissions Related to Diabetes Agents per 1,000 HRM Beneficiaries</w:t>
      </w:r>
    </w:p>
    <w:p w:rsidR="00203F58" w:rsidRDefault="00203F58">
      <w:r w:rsidRPr="006513E6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4077514E" wp14:editId="3C76F215">
            <wp:extent cx="3200400" cy="2183363"/>
            <wp:effectExtent l="0" t="0" r="0" b="7620"/>
            <wp:docPr id="3" name="Chart 3" descr="Line graph comparing QIN-QIO and non-QIN-QIO readmissions due to diabetes medications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06F99A-6517-42AE-991B-A9A032C1D9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3F58" w:rsidRDefault="00203F58" w:rsidP="00203F58">
      <w:r w:rsidRPr="009E6963">
        <w:rPr>
          <w:rFonts w:ascii="Arial" w:hAnsi="Arial"/>
          <w:b/>
          <w:iCs/>
          <w:sz w:val="20"/>
          <w:szCs w:val="18"/>
        </w:rPr>
        <w:lastRenderedPageBreak/>
        <w:t xml:space="preserve">Figure </w:t>
      </w:r>
      <w:r w:rsidRPr="009E6963">
        <w:rPr>
          <w:rFonts w:ascii="Arial" w:hAnsi="Arial"/>
          <w:b/>
          <w:iCs/>
          <w:sz w:val="20"/>
          <w:szCs w:val="18"/>
        </w:rPr>
        <w:fldChar w:fldCharType="begin"/>
      </w:r>
      <w:r w:rsidRPr="009E6963">
        <w:rPr>
          <w:rFonts w:ascii="Arial" w:hAnsi="Arial"/>
          <w:b/>
          <w:iCs/>
          <w:sz w:val="20"/>
          <w:szCs w:val="18"/>
        </w:rPr>
        <w:instrText xml:space="preserve"> SEQ Figure \* ARABIC </w:instrText>
      </w:r>
      <w:r w:rsidRPr="009E6963">
        <w:rPr>
          <w:rFonts w:ascii="Arial" w:hAnsi="Arial"/>
          <w:b/>
          <w:iCs/>
          <w:sz w:val="20"/>
          <w:szCs w:val="18"/>
        </w:rPr>
        <w:fldChar w:fldCharType="separate"/>
      </w:r>
      <w:r w:rsidR="00202BAA">
        <w:rPr>
          <w:rFonts w:ascii="Arial" w:hAnsi="Arial"/>
          <w:b/>
          <w:iCs/>
          <w:noProof/>
          <w:sz w:val="20"/>
          <w:szCs w:val="18"/>
        </w:rPr>
        <w:t>4</w:t>
      </w:r>
      <w:r w:rsidRPr="009E6963">
        <w:rPr>
          <w:rFonts w:ascii="Arial" w:hAnsi="Arial"/>
          <w:b/>
          <w:iCs/>
          <w:sz w:val="20"/>
          <w:szCs w:val="18"/>
        </w:rPr>
        <w:fldChar w:fldCharType="end"/>
      </w:r>
      <w:r w:rsidRPr="009E6963">
        <w:rPr>
          <w:rFonts w:ascii="Arial" w:hAnsi="Arial"/>
          <w:b/>
          <w:iCs/>
          <w:sz w:val="20"/>
          <w:szCs w:val="18"/>
        </w:rPr>
        <w:t>. Readmissions Related to Opioids per 1,000 HRM Beneficiaries</w:t>
      </w:r>
    </w:p>
    <w:p w:rsidR="00203F58" w:rsidRDefault="00203F58">
      <w:r w:rsidRPr="006513E6">
        <w:rPr>
          <w:rFonts w:ascii="Arial" w:eastAsia="Times New Roman" w:hAnsi="Arial" w:cs="Times New Roman"/>
          <w:b/>
          <w:iCs/>
          <w:noProof/>
          <w:sz w:val="20"/>
          <w:szCs w:val="18"/>
        </w:rPr>
        <w:drawing>
          <wp:inline distT="0" distB="0" distL="0" distR="0" wp14:anchorId="3A31D3D0" wp14:editId="2497B7A5">
            <wp:extent cx="3200400" cy="2100544"/>
            <wp:effectExtent l="0" t="0" r="0" b="14605"/>
            <wp:docPr id="5" name="Chart 5" descr="Line graph comparing QIN-QIO and non-QIN-QIO readmissions due to opioids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18A562A-AD08-4F28-92DA-FB59ACF5D6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3F58" w:rsidRDefault="00203F58">
      <w:pPr>
        <w:sectPr w:rsidR="00203F58" w:rsidSect="00203F58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203F58" w:rsidRDefault="00203F58" w:rsidP="00203F58"/>
    <w:sectPr w:rsidR="00203F58" w:rsidSect="00203F58">
      <w:type w:val="continuous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16" w:rsidRDefault="00760516" w:rsidP="00B965C9">
      <w:pPr>
        <w:spacing w:after="0" w:line="240" w:lineRule="auto"/>
      </w:pPr>
      <w:r>
        <w:separator/>
      </w:r>
    </w:p>
  </w:endnote>
  <w:endnote w:type="continuationSeparator" w:id="0">
    <w:p w:rsidR="00760516" w:rsidRDefault="00760516" w:rsidP="00B9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16" w:rsidRDefault="00760516" w:rsidP="00B965C9">
      <w:pPr>
        <w:spacing w:after="0" w:line="240" w:lineRule="auto"/>
      </w:pPr>
      <w:r>
        <w:separator/>
      </w:r>
    </w:p>
  </w:footnote>
  <w:footnote w:type="continuationSeparator" w:id="0">
    <w:p w:rsidR="00760516" w:rsidRDefault="00760516" w:rsidP="00B965C9">
      <w:pPr>
        <w:spacing w:after="0" w:line="240" w:lineRule="auto"/>
      </w:pPr>
      <w:r>
        <w:continuationSeparator/>
      </w:r>
    </w:p>
  </w:footnote>
  <w:footnote w:id="1">
    <w:p w:rsidR="00202BAA" w:rsidRDefault="00202BAA">
      <w:pPr>
        <w:pStyle w:val="FootnoteText"/>
      </w:pPr>
      <w:r w:rsidRPr="00202BAA">
        <w:rPr>
          <w:rStyle w:val="FootnoteReference"/>
          <w:sz w:val="24"/>
          <w:vertAlign w:val="baseline"/>
        </w:rPr>
        <w:t>*</w:t>
      </w:r>
      <w:r>
        <w:t xml:space="preserve"> </w:t>
      </w:r>
      <w:r w:rsidRPr="00403E6A">
        <w:rPr>
          <w:rFonts w:ascii="Times New Roman" w:hAnsi="Times New Roman" w:cs="Times New Roman"/>
          <w:sz w:val="24"/>
          <w:szCs w:val="24"/>
        </w:rPr>
        <w:t>Readmissions due to any cause were reduced more for beneficiaries exposed to the QIN-QIO program compared to beneficiaries in the Non-QIN-QIO group by about 8%</w:t>
      </w:r>
      <w:r>
        <w:rPr>
          <w:rFonts w:ascii="Times New Roman" w:hAnsi="Times New Roman" w:cs="Times New Roman"/>
          <w:sz w:val="24"/>
          <w:szCs w:val="24"/>
        </w:rPr>
        <w:t xml:space="preserve"> (OR = 0.92 [95% CI, 0.88-0.96] </w:t>
      </w:r>
      <w:r w:rsidRPr="00403E6A">
        <w:rPr>
          <w:rFonts w:ascii="Times New Roman" w:hAnsi="Times New Roman" w:cs="Times New Roman"/>
          <w:sz w:val="24"/>
          <w:szCs w:val="24"/>
        </w:rPr>
        <w:t>p &lt;.0001). No statistically significant differences between groups were observed for readmission rates due to specific drug classes.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E6"/>
    <w:rsid w:val="000174ED"/>
    <w:rsid w:val="00017909"/>
    <w:rsid w:val="000B26C0"/>
    <w:rsid w:val="0017134D"/>
    <w:rsid w:val="0018456C"/>
    <w:rsid w:val="001B1011"/>
    <w:rsid w:val="00202BAA"/>
    <w:rsid w:val="00203F58"/>
    <w:rsid w:val="00403E6A"/>
    <w:rsid w:val="004456B2"/>
    <w:rsid w:val="004A4299"/>
    <w:rsid w:val="005566ED"/>
    <w:rsid w:val="005A4ADB"/>
    <w:rsid w:val="006513E6"/>
    <w:rsid w:val="00760516"/>
    <w:rsid w:val="007A5CAA"/>
    <w:rsid w:val="00910590"/>
    <w:rsid w:val="009C764B"/>
    <w:rsid w:val="009E1F91"/>
    <w:rsid w:val="009F7031"/>
    <w:rsid w:val="00A463F8"/>
    <w:rsid w:val="00A550C9"/>
    <w:rsid w:val="00A83515"/>
    <w:rsid w:val="00B965C9"/>
    <w:rsid w:val="00C53F31"/>
    <w:rsid w:val="00E21082"/>
    <w:rsid w:val="00E371D4"/>
    <w:rsid w:val="00F036DF"/>
    <w:rsid w:val="00F60823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C9"/>
  </w:style>
  <w:style w:type="paragraph" w:styleId="Footer">
    <w:name w:val="footer"/>
    <w:basedOn w:val="Normal"/>
    <w:link w:val="FooterChar"/>
    <w:uiPriority w:val="99"/>
    <w:unhideWhenUsed/>
    <w:rsid w:val="00B9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C9"/>
  </w:style>
  <w:style w:type="paragraph" w:styleId="FootnoteText">
    <w:name w:val="footnote text"/>
    <w:basedOn w:val="Normal"/>
    <w:link w:val="FootnoteTextChar"/>
    <w:uiPriority w:val="99"/>
    <w:semiHidden/>
    <w:unhideWhenUsed/>
    <w:rsid w:val="00203F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F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F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C9"/>
  </w:style>
  <w:style w:type="paragraph" w:styleId="Footer">
    <w:name w:val="footer"/>
    <w:basedOn w:val="Normal"/>
    <w:link w:val="FooterChar"/>
    <w:uiPriority w:val="99"/>
    <w:unhideWhenUsed/>
    <w:rsid w:val="00B9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C9"/>
  </w:style>
  <w:style w:type="paragraph" w:styleId="FootnoteText">
    <w:name w:val="footnote text"/>
    <w:basedOn w:val="Normal"/>
    <w:link w:val="FootnoteTextChar"/>
    <w:uiPriority w:val="99"/>
    <w:semiHidden/>
    <w:unhideWhenUsed/>
    <w:rsid w:val="00203F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F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576213\AppData\Local\Microsoft\Windows\INetCache\Content.Outlook\24JQ6FSN\HRM_Analysis_Data_updatedgraphs_09052017_v2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576213\AppData\Local\Microsoft\Windows\INetCache\Content.Outlook\24JQ6FSN\HRM_Analysis_Data_updatedgraphs_09052017_v2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576213\AppData\Local\Microsoft\Windows\INetCache\Content.Outlook\24JQ6FSN\HRM_Analysis_Data_updatedgraphs_09052017_v2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576213\AppData\Local\Microsoft\Windows\INetCache\Content.Outlook\24JQ6FSN\HRM_Analysis_Data_updatedgraphs_09052017_v2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91437680233648"/>
          <c:y val="0.19946644425825091"/>
          <c:w val="0.86580826027116653"/>
          <c:h val="0.52276412943673634"/>
        </c:manualLayout>
      </c:layout>
      <c:lineChart>
        <c:grouping val="standard"/>
        <c:varyColors val="0"/>
        <c:ser>
          <c:idx val="0"/>
          <c:order val="0"/>
          <c:tx>
            <c:strRef>
              <c:f>Summary!$F$2</c:f>
              <c:strCache>
                <c:ptCount val="1"/>
                <c:pt idx="0">
                  <c:v>QIN-QIO Readmission Rate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Summary!$A$3:$A$25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Summary!$F$3:$F$25</c:f>
              <c:numCache>
                <c:formatCode>General</c:formatCode>
                <c:ptCount val="23"/>
                <c:pt idx="0">
                  <c:v>8.9767369419627041</c:v>
                </c:pt>
                <c:pt idx="1">
                  <c:v>9.2220214156624358</c:v>
                </c:pt>
                <c:pt idx="2">
                  <c:v>9.4860344492830002</c:v>
                </c:pt>
                <c:pt idx="3">
                  <c:v>9.6219931271477677</c:v>
                </c:pt>
                <c:pt idx="4">
                  <c:v>10.102530078453636</c:v>
                </c:pt>
                <c:pt idx="5">
                  <c:v>9.06378539295231</c:v>
                </c:pt>
                <c:pt idx="6">
                  <c:v>10.067616376308889</c:v>
                </c:pt>
                <c:pt idx="7">
                  <c:v>10.111105342401745</c:v>
                </c:pt>
                <c:pt idx="8">
                  <c:v>9.8738660131138278</c:v>
                </c:pt>
                <c:pt idx="9">
                  <c:v>10.011689109316286</c:v>
                </c:pt>
                <c:pt idx="10">
                  <c:v>10.858975399853859</c:v>
                </c:pt>
                <c:pt idx="11">
                  <c:v>9.5019039284785141</c:v>
                </c:pt>
                <c:pt idx="12">
                  <c:v>5.9395766253339719</c:v>
                </c:pt>
                <c:pt idx="13">
                  <c:v>5.8322429776453886</c:v>
                </c:pt>
                <c:pt idx="14">
                  <c:v>5.7445271734361176</c:v>
                </c:pt>
                <c:pt idx="15">
                  <c:v>5.8030750874528838</c:v>
                </c:pt>
                <c:pt idx="16">
                  <c:v>5.7215640289515184</c:v>
                </c:pt>
                <c:pt idx="17">
                  <c:v>5.680189339644655</c:v>
                </c:pt>
                <c:pt idx="18">
                  <c:v>5.0622842968075927</c:v>
                </c:pt>
                <c:pt idx="19">
                  <c:v>5.014223036497758</c:v>
                </c:pt>
                <c:pt idx="20">
                  <c:v>4.561669459762042</c:v>
                </c:pt>
                <c:pt idx="21">
                  <c:v>4.0426128802537784</c:v>
                </c:pt>
                <c:pt idx="22">
                  <c:v>2.9040112586282643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228-4409-9472-F7E6A4991DDD}"/>
            </c:ext>
          </c:extLst>
        </c:ser>
        <c:ser>
          <c:idx val="1"/>
          <c:order val="1"/>
          <c:tx>
            <c:strRef>
              <c:f>Summary!$G$2</c:f>
              <c:strCache>
                <c:ptCount val="1"/>
                <c:pt idx="0">
                  <c:v>Non QIN-QIO Readmission Rate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Summary!$A$3:$A$25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Summary!$G$3:$G$25</c:f>
              <c:numCache>
                <c:formatCode>General</c:formatCode>
                <c:ptCount val="23"/>
                <c:pt idx="0">
                  <c:v>9.1388284176676642</c:v>
                </c:pt>
                <c:pt idx="1">
                  <c:v>9.2333021848440353</c:v>
                </c:pt>
                <c:pt idx="2">
                  <c:v>10.216017255625784</c:v>
                </c:pt>
                <c:pt idx="3">
                  <c:v>9.9273272825936605</c:v>
                </c:pt>
                <c:pt idx="4">
                  <c:v>9.4664645458111156</c:v>
                </c:pt>
                <c:pt idx="5">
                  <c:v>9.7090387018808677</c:v>
                </c:pt>
                <c:pt idx="6">
                  <c:v>9.5006893244620265</c:v>
                </c:pt>
                <c:pt idx="7">
                  <c:v>9.8728362779506647</c:v>
                </c:pt>
                <c:pt idx="8">
                  <c:v>10.293579614559334</c:v>
                </c:pt>
                <c:pt idx="9">
                  <c:v>10.165132371251863</c:v>
                </c:pt>
                <c:pt idx="10">
                  <c:v>10.377476799598696</c:v>
                </c:pt>
                <c:pt idx="11">
                  <c:v>9.4001912829621546</c:v>
                </c:pt>
                <c:pt idx="12">
                  <c:v>6.5870468774661965</c:v>
                </c:pt>
                <c:pt idx="13">
                  <c:v>6.625869982115538</c:v>
                </c:pt>
                <c:pt idx="14">
                  <c:v>6.0442829851868085</c:v>
                </c:pt>
                <c:pt idx="15">
                  <c:v>6.1608097064185579</c:v>
                </c:pt>
                <c:pt idx="16">
                  <c:v>6.0296797708929963</c:v>
                </c:pt>
                <c:pt idx="17">
                  <c:v>5.8455543021228591</c:v>
                </c:pt>
                <c:pt idx="18">
                  <c:v>5.7883244757549539</c:v>
                </c:pt>
                <c:pt idx="19">
                  <c:v>5.5686465124634132</c:v>
                </c:pt>
                <c:pt idx="20">
                  <c:v>5.5382374050626133</c:v>
                </c:pt>
                <c:pt idx="21">
                  <c:v>4.5162295045496013</c:v>
                </c:pt>
                <c:pt idx="22">
                  <c:v>3.085993275298236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28-4409-9472-F7E6A4991D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913344"/>
        <c:axId val="39923712"/>
      </c:lineChart>
      <c:catAx>
        <c:axId val="3991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923712"/>
        <c:crosses val="autoZero"/>
        <c:auto val="1"/>
        <c:lblAlgn val="ctr"/>
        <c:lblOffset val="100"/>
        <c:noMultiLvlLbl val="0"/>
      </c:catAx>
      <c:valAx>
        <c:axId val="3992371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/>
                  <a:t>Readmission</a:t>
                </a:r>
                <a:r>
                  <a:rPr lang="en-US" sz="600" baseline="0"/>
                  <a:t> Per 1000 HRM Beneficiaries</a:t>
                </a:r>
                <a:endParaRPr lang="en-US" sz="600"/>
              </a:p>
            </c:rich>
          </c:tx>
          <c:layout>
            <c:manualLayout>
              <c:xMode val="edge"/>
              <c:yMode val="edge"/>
              <c:x val="1.8502789192167298E-2"/>
              <c:y val="0.1233057957919194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9133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3724186124869968E-2"/>
          <c:y val="0.19053926396528614"/>
          <c:w val="0.86993302850921583"/>
          <c:h val="0.51038845976265645"/>
        </c:manualLayout>
      </c:layout>
      <c:lineChart>
        <c:grouping val="standard"/>
        <c:varyColors val="0"/>
        <c:ser>
          <c:idx val="0"/>
          <c:order val="0"/>
          <c:tx>
            <c:strRef>
              <c:f>Summary!$F$27</c:f>
              <c:strCache>
                <c:ptCount val="1"/>
                <c:pt idx="0">
                  <c:v>QIN-QIO Readmission Rate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Summary!$A$28:$A$50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Summary!$F$28:$F$50</c:f>
              <c:numCache>
                <c:formatCode>General</c:formatCode>
                <c:ptCount val="23"/>
                <c:pt idx="0">
                  <c:v>5.1080319398778764</c:v>
                </c:pt>
                <c:pt idx="1">
                  <c:v>5.2648234989499114</c:v>
                </c:pt>
                <c:pt idx="2">
                  <c:v>5.4907716980619208</c:v>
                </c:pt>
                <c:pt idx="3">
                  <c:v>5.2982576376624397</c:v>
                </c:pt>
                <c:pt idx="4">
                  <c:v>5.4243942759725163</c:v>
                </c:pt>
                <c:pt idx="5">
                  <c:v>5.0936329588014981</c:v>
                </c:pt>
                <c:pt idx="6">
                  <c:v>4.9241774663759523</c:v>
                </c:pt>
                <c:pt idx="7">
                  <c:v>5.2008301794652665</c:v>
                </c:pt>
                <c:pt idx="8">
                  <c:v>5.3250179899256418</c:v>
                </c:pt>
                <c:pt idx="9">
                  <c:v>5.4148556443192586</c:v>
                </c:pt>
                <c:pt idx="10">
                  <c:v>6.1348187774533134</c:v>
                </c:pt>
                <c:pt idx="11">
                  <c:v>4.5863106815994765</c:v>
                </c:pt>
                <c:pt idx="12">
                  <c:v>3.2366282366282366</c:v>
                </c:pt>
                <c:pt idx="13">
                  <c:v>3.2859232964766267</c:v>
                </c:pt>
                <c:pt idx="14">
                  <c:v>3.3476474119222424</c:v>
                </c:pt>
                <c:pt idx="15">
                  <c:v>2.9305888868377332</c:v>
                </c:pt>
                <c:pt idx="16">
                  <c:v>2.6069302819175935</c:v>
                </c:pt>
                <c:pt idx="17">
                  <c:v>2.5747583340861864</c:v>
                </c:pt>
                <c:pt idx="18">
                  <c:v>2.5685510217876213</c:v>
                </c:pt>
                <c:pt idx="19">
                  <c:v>2.3756731073804245</c:v>
                </c:pt>
                <c:pt idx="20">
                  <c:v>2.0831000111994626</c:v>
                </c:pt>
                <c:pt idx="21">
                  <c:v>1.7142986037489005</c:v>
                </c:pt>
                <c:pt idx="22">
                  <c:v>0.96041709542429854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205-4F37-A52A-57B7CAC65B3F}"/>
            </c:ext>
          </c:extLst>
        </c:ser>
        <c:ser>
          <c:idx val="1"/>
          <c:order val="1"/>
          <c:tx>
            <c:strRef>
              <c:f>Summary!$G$27</c:f>
              <c:strCache>
                <c:ptCount val="1"/>
                <c:pt idx="0">
                  <c:v>Non QIN-QIO Readmission Rate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Summary!$A$28:$A$50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Summary!$G$28:$G$50</c:f>
              <c:numCache>
                <c:formatCode>General</c:formatCode>
                <c:ptCount val="23"/>
                <c:pt idx="0">
                  <c:v>5.0668543279380716</c:v>
                </c:pt>
                <c:pt idx="1">
                  <c:v>5.4225449198106705</c:v>
                </c:pt>
                <c:pt idx="2">
                  <c:v>5.9161301548634073</c:v>
                </c:pt>
                <c:pt idx="3">
                  <c:v>5.2820621170504962</c:v>
                </c:pt>
                <c:pt idx="4">
                  <c:v>5.0440319179724646</c:v>
                </c:pt>
                <c:pt idx="5">
                  <c:v>5.5946870597705773</c:v>
                </c:pt>
                <c:pt idx="6">
                  <c:v>5.836882789083452</c:v>
                </c:pt>
                <c:pt idx="7">
                  <c:v>5.8614356609745615</c:v>
                </c:pt>
                <c:pt idx="8">
                  <c:v>5.1576151803240826</c:v>
                </c:pt>
                <c:pt idx="9">
                  <c:v>5.2462610602145485</c:v>
                </c:pt>
                <c:pt idx="10">
                  <c:v>6.2457998972210147</c:v>
                </c:pt>
                <c:pt idx="11">
                  <c:v>4.8064261258888603</c:v>
                </c:pt>
                <c:pt idx="12">
                  <c:v>3.587342345744279</c:v>
                </c:pt>
                <c:pt idx="13">
                  <c:v>3.6173324097591011</c:v>
                </c:pt>
                <c:pt idx="14">
                  <c:v>3.0959752321981426</c:v>
                </c:pt>
                <c:pt idx="15">
                  <c:v>2.6501766784452299</c:v>
                </c:pt>
                <c:pt idx="16">
                  <c:v>2.5763709974236289</c:v>
                </c:pt>
                <c:pt idx="17">
                  <c:v>2.5503789647616655</c:v>
                </c:pt>
                <c:pt idx="18">
                  <c:v>2.7731361325416857</c:v>
                </c:pt>
                <c:pt idx="19">
                  <c:v>2.9142980499388358</c:v>
                </c:pt>
                <c:pt idx="20">
                  <c:v>2.6446517279582573</c:v>
                </c:pt>
                <c:pt idx="21">
                  <c:v>1.8028412778538978</c:v>
                </c:pt>
                <c:pt idx="22">
                  <c:v>1.0209290454313427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205-4F37-A52A-57B7CAC65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55008"/>
        <c:axId val="41756928"/>
      </c:lineChart>
      <c:catAx>
        <c:axId val="4175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56928"/>
        <c:crosses val="autoZero"/>
        <c:auto val="1"/>
        <c:lblAlgn val="ctr"/>
        <c:lblOffset val="100"/>
        <c:noMultiLvlLbl val="0"/>
      </c:catAx>
      <c:valAx>
        <c:axId val="417569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/>
                  <a:t>Readmissions per 1000 HRM Beneficiaries</a:t>
                </a:r>
              </a:p>
            </c:rich>
          </c:tx>
          <c:layout>
            <c:manualLayout>
              <c:xMode val="edge"/>
              <c:yMode val="edge"/>
              <c:x val="1.5689274636125031E-2"/>
              <c:y val="0.1368938513833311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55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Summary!$F$52</c:f>
              <c:strCache>
                <c:ptCount val="1"/>
                <c:pt idx="0">
                  <c:v>QIN-QIO Readmission Rate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Summary!$A$53:$A$75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Summary!$F$53:$F$75</c:f>
              <c:numCache>
                <c:formatCode>General</c:formatCode>
                <c:ptCount val="23"/>
                <c:pt idx="0">
                  <c:v>0.71359760231205616</c:v>
                </c:pt>
                <c:pt idx="1">
                  <c:v>0.81696312525530101</c:v>
                </c:pt>
                <c:pt idx="2">
                  <c:v>0.74504544777231407</c:v>
                </c:pt>
                <c:pt idx="3">
                  <c:v>0.53078556263269638</c:v>
                </c:pt>
                <c:pt idx="4">
                  <c:v>0.68965517241379304</c:v>
                </c:pt>
                <c:pt idx="5">
                  <c:v>0.71326676176890158</c:v>
                </c:pt>
                <c:pt idx="6">
                  <c:v>0.87648820392958871</c:v>
                </c:pt>
                <c:pt idx="7">
                  <c:v>0.7628042135851798</c:v>
                </c:pt>
                <c:pt idx="8">
                  <c:v>0.66585284652091892</c:v>
                </c:pt>
                <c:pt idx="9">
                  <c:v>0.74820823816649606</c:v>
                </c:pt>
                <c:pt idx="10">
                  <c:v>0.98842716527325891</c:v>
                </c:pt>
                <c:pt idx="11">
                  <c:v>0.69018404907975461</c:v>
                </c:pt>
                <c:pt idx="12">
                  <c:v>0.44294826364280648</c:v>
                </c:pt>
                <c:pt idx="13">
                  <c:v>0.41148500365764445</c:v>
                </c:pt>
                <c:pt idx="14">
                  <c:v>0.45884188308708818</c:v>
                </c:pt>
                <c:pt idx="15">
                  <c:v>0.4313857067535829</c:v>
                </c:pt>
                <c:pt idx="16">
                  <c:v>0.2873150409423933</c:v>
                </c:pt>
                <c:pt idx="17">
                  <c:v>0.28430629264594387</c:v>
                </c:pt>
                <c:pt idx="18">
                  <c:v>0.38539358319683975</c:v>
                </c:pt>
                <c:pt idx="19">
                  <c:v>0.35450217765623415</c:v>
                </c:pt>
                <c:pt idx="20">
                  <c:v>0.48012803414243799</c:v>
                </c:pt>
                <c:pt idx="21">
                  <c:v>0.4627754960374848</c:v>
                </c:pt>
                <c:pt idx="22">
                  <c:v>0.30750307503075031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C89-4006-870C-C194CAF79F02}"/>
            </c:ext>
          </c:extLst>
        </c:ser>
        <c:ser>
          <c:idx val="1"/>
          <c:order val="1"/>
          <c:tx>
            <c:strRef>
              <c:f>Summary!$G$52</c:f>
              <c:strCache>
                <c:ptCount val="1"/>
                <c:pt idx="0">
                  <c:v>Non QIN-QIO Readmission Rate</c:v>
                </c:pt>
              </c:strCache>
            </c:strRef>
          </c:tx>
          <c:spPr>
            <a:ln w="28575" cap="rnd">
              <a:solidFill>
                <a:schemeClr val="accent2">
                  <a:alpha val="98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Summary!$A$53:$A$75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Summary!$G$53:$G$75</c:f>
              <c:numCache>
                <c:formatCode>General</c:formatCode>
                <c:ptCount val="23"/>
                <c:pt idx="0">
                  <c:v>0.73306105351345696</c:v>
                </c:pt>
                <c:pt idx="1">
                  <c:v>0.70028011204481788</c:v>
                </c:pt>
                <c:pt idx="2">
                  <c:v>0.74464124248710173</c:v>
                </c:pt>
                <c:pt idx="3">
                  <c:v>1.0781089968195785</c:v>
                </c:pt>
                <c:pt idx="4">
                  <c:v>1.150621883732398</c:v>
                </c:pt>
                <c:pt idx="5">
                  <c:v>1.0750954147180563</c:v>
                </c:pt>
                <c:pt idx="6">
                  <c:v>0.92029244848918657</c:v>
                </c:pt>
                <c:pt idx="7">
                  <c:v>1.1764104137895761</c:v>
                </c:pt>
                <c:pt idx="8">
                  <c:v>1.2055139158236805</c:v>
                </c:pt>
                <c:pt idx="9">
                  <c:v>0.94739188586714229</c:v>
                </c:pt>
                <c:pt idx="10">
                  <c:v>1.1051651931130759</c:v>
                </c:pt>
                <c:pt idx="11">
                  <c:v>0.96628730942666952</c:v>
                </c:pt>
                <c:pt idx="12">
                  <c:v>0.80865887036576256</c:v>
                </c:pt>
                <c:pt idx="13">
                  <c:v>0.65172054223149112</c:v>
                </c:pt>
                <c:pt idx="14">
                  <c:v>0.39269585705870808</c:v>
                </c:pt>
                <c:pt idx="15">
                  <c:v>0.40924902803355845</c:v>
                </c:pt>
                <c:pt idx="16">
                  <c:v>0.33985861881457319</c:v>
                </c:pt>
                <c:pt idx="17">
                  <c:v>0.40190233773193113</c:v>
                </c:pt>
                <c:pt idx="18">
                  <c:v>0.40524111846548694</c:v>
                </c:pt>
                <c:pt idx="19">
                  <c:v>0.28358738036157394</c:v>
                </c:pt>
                <c:pt idx="20">
                  <c:v>0.22517451024544022</c:v>
                </c:pt>
                <c:pt idx="21">
                  <c:v>0.40666937779585199</c:v>
                </c:pt>
                <c:pt idx="22">
                  <c:v>0.34346556757685043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C89-4006-870C-C194CAF79F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74080"/>
        <c:axId val="41792640"/>
      </c:lineChart>
      <c:catAx>
        <c:axId val="4177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92640"/>
        <c:crosses val="autoZero"/>
        <c:auto val="1"/>
        <c:lblAlgn val="ctr"/>
        <c:lblOffset val="100"/>
        <c:noMultiLvlLbl val="0"/>
      </c:catAx>
      <c:valAx>
        <c:axId val="4179264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/>
                  <a:t>Readmissions</a:t>
                </a:r>
                <a:r>
                  <a:rPr lang="en-US" sz="600" baseline="0"/>
                  <a:t> per 1000 HRM Beneficiaries</a:t>
                </a:r>
              </a:p>
            </c:rich>
          </c:tx>
          <c:layout>
            <c:manualLayout>
              <c:xMode val="edge"/>
              <c:yMode val="edge"/>
              <c:x val="2.6829263140145353E-2"/>
              <c:y val="0.1237956245062545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7408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Summary!$F$77</c:f>
              <c:strCache>
                <c:ptCount val="1"/>
                <c:pt idx="0">
                  <c:v>QIN-QIO Readmission Rate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Summary!$A$78:$A$100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Summary!$F$78:$F$100</c:f>
              <c:numCache>
                <c:formatCode>General</c:formatCode>
                <c:ptCount val="23"/>
                <c:pt idx="0">
                  <c:v>4.602761656994196</c:v>
                </c:pt>
                <c:pt idx="1">
                  <c:v>4.7793369941020947</c:v>
                </c:pt>
                <c:pt idx="2">
                  <c:v>4.2105263157894735</c:v>
                </c:pt>
                <c:pt idx="3">
                  <c:v>3.7022213327996796</c:v>
                </c:pt>
                <c:pt idx="4">
                  <c:v>4.7720580769621286</c:v>
                </c:pt>
                <c:pt idx="5">
                  <c:v>4.426519771788314</c:v>
                </c:pt>
                <c:pt idx="6">
                  <c:v>4.071740184197771</c:v>
                </c:pt>
                <c:pt idx="7">
                  <c:v>3.7945125510799769</c:v>
                </c:pt>
                <c:pt idx="8">
                  <c:v>4.5960106627447379</c:v>
                </c:pt>
                <c:pt idx="9">
                  <c:v>5.608164015813184</c:v>
                </c:pt>
                <c:pt idx="10">
                  <c:v>5.009925323754608</c:v>
                </c:pt>
                <c:pt idx="11">
                  <c:v>4.0055729710902126</c:v>
                </c:pt>
                <c:pt idx="12">
                  <c:v>1.8436955853733483</c:v>
                </c:pt>
                <c:pt idx="13">
                  <c:v>1.9049528774814517</c:v>
                </c:pt>
                <c:pt idx="14">
                  <c:v>1.8759966232060783</c:v>
                </c:pt>
                <c:pt idx="15">
                  <c:v>1.5895443306252208</c:v>
                </c:pt>
                <c:pt idx="16">
                  <c:v>1.958613642169803</c:v>
                </c:pt>
                <c:pt idx="17">
                  <c:v>2.0257178087017791</c:v>
                </c:pt>
                <c:pt idx="18">
                  <c:v>2.3281802942819896</c:v>
                </c:pt>
                <c:pt idx="19">
                  <c:v>2.0297699594046006</c:v>
                </c:pt>
                <c:pt idx="20">
                  <c:v>1.2763868433971528</c:v>
                </c:pt>
                <c:pt idx="21">
                  <c:v>1.0475591870940708</c:v>
                </c:pt>
                <c:pt idx="22">
                  <c:v>0.57471264367816088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788-4F11-B0F5-6E60A43803EA}"/>
            </c:ext>
          </c:extLst>
        </c:ser>
        <c:ser>
          <c:idx val="1"/>
          <c:order val="1"/>
          <c:tx>
            <c:strRef>
              <c:f>Summary!$G$77</c:f>
              <c:strCache>
                <c:ptCount val="1"/>
                <c:pt idx="0">
                  <c:v>Non QIN-QIO Readmission Rate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Summary!$A$78:$A$100</c:f>
              <c:strCache>
                <c:ptCount val="23"/>
                <c:pt idx="0">
                  <c:v>2014-01/02</c:v>
                </c:pt>
                <c:pt idx="1">
                  <c:v>2014-02/03</c:v>
                </c:pt>
                <c:pt idx="2">
                  <c:v>2014-03/04</c:v>
                </c:pt>
                <c:pt idx="3">
                  <c:v>2014-04/05</c:v>
                </c:pt>
                <c:pt idx="4">
                  <c:v>2014-05/06</c:v>
                </c:pt>
                <c:pt idx="5">
                  <c:v>2014-06/07</c:v>
                </c:pt>
                <c:pt idx="6">
                  <c:v>2014-07/08</c:v>
                </c:pt>
                <c:pt idx="7">
                  <c:v>2014-08/09</c:v>
                </c:pt>
                <c:pt idx="8">
                  <c:v>2014-09/10</c:v>
                </c:pt>
                <c:pt idx="9">
                  <c:v>2014-10/11</c:v>
                </c:pt>
                <c:pt idx="10">
                  <c:v>2014-11/12</c:v>
                </c:pt>
                <c:pt idx="11">
                  <c:v>2014-12/01</c:v>
                </c:pt>
                <c:pt idx="12">
                  <c:v>2015-01/02</c:v>
                </c:pt>
                <c:pt idx="13">
                  <c:v>2015-02/03</c:v>
                </c:pt>
                <c:pt idx="14">
                  <c:v>2015-03/04</c:v>
                </c:pt>
                <c:pt idx="15">
                  <c:v>2015-04/05</c:v>
                </c:pt>
                <c:pt idx="16">
                  <c:v>2015-05/06</c:v>
                </c:pt>
                <c:pt idx="17">
                  <c:v>2015-06/07</c:v>
                </c:pt>
                <c:pt idx="18">
                  <c:v>2015-07/08</c:v>
                </c:pt>
                <c:pt idx="19">
                  <c:v>2015-08/09</c:v>
                </c:pt>
                <c:pt idx="20">
                  <c:v>2015-09/10</c:v>
                </c:pt>
                <c:pt idx="21">
                  <c:v>2015-10/11</c:v>
                </c:pt>
                <c:pt idx="22">
                  <c:v>2015-11/12</c:v>
                </c:pt>
              </c:strCache>
            </c:strRef>
          </c:cat>
          <c:val>
            <c:numRef>
              <c:f>Summary!$G$78:$G$100</c:f>
              <c:numCache>
                <c:formatCode>General</c:formatCode>
                <c:ptCount val="23"/>
                <c:pt idx="0">
                  <c:v>4.1308089500860579</c:v>
                </c:pt>
                <c:pt idx="1">
                  <c:v>3.3503791218479986</c:v>
                </c:pt>
                <c:pt idx="2">
                  <c:v>3.2623626373626373</c:v>
                </c:pt>
                <c:pt idx="3">
                  <c:v>3.785923249010497</c:v>
                </c:pt>
                <c:pt idx="4">
                  <c:v>4.8367593712212811</c:v>
                </c:pt>
                <c:pt idx="5">
                  <c:v>4.8381715048381722</c:v>
                </c:pt>
                <c:pt idx="6">
                  <c:v>3.2056419297964416</c:v>
                </c:pt>
                <c:pt idx="7">
                  <c:v>3.9638496908197247</c:v>
                </c:pt>
                <c:pt idx="8">
                  <c:v>4.8221820373719106</c:v>
                </c:pt>
                <c:pt idx="9">
                  <c:v>5.8540978685079557</c:v>
                </c:pt>
                <c:pt idx="10">
                  <c:v>7.5769290242770992</c:v>
                </c:pt>
                <c:pt idx="11">
                  <c:v>5.5967538827480059</c:v>
                </c:pt>
                <c:pt idx="12">
                  <c:v>2.2943297279580466</c:v>
                </c:pt>
                <c:pt idx="13">
                  <c:v>2.2407170294494239</c:v>
                </c:pt>
                <c:pt idx="14">
                  <c:v>2.2747952684258417</c:v>
                </c:pt>
                <c:pt idx="15">
                  <c:v>1.7033356990773598</c:v>
                </c:pt>
                <c:pt idx="16">
                  <c:v>1.6355458634319204</c:v>
                </c:pt>
                <c:pt idx="17">
                  <c:v>1.6787912702853947</c:v>
                </c:pt>
                <c:pt idx="18">
                  <c:v>2.3689665383476455</c:v>
                </c:pt>
                <c:pt idx="19">
                  <c:v>2.7598896044158234</c:v>
                </c:pt>
                <c:pt idx="20">
                  <c:v>2.0120724346076462</c:v>
                </c:pt>
                <c:pt idx="21">
                  <c:v>1.1676396997497915</c:v>
                </c:pt>
                <c:pt idx="22">
                  <c:v>0.93075204765450492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788-4F11-B0F5-6E60A43803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79456"/>
        <c:axId val="48189824"/>
      </c:lineChart>
      <c:catAx>
        <c:axId val="4817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89824"/>
        <c:crosses val="autoZero"/>
        <c:auto val="1"/>
        <c:lblAlgn val="ctr"/>
        <c:lblOffset val="100"/>
        <c:noMultiLvlLbl val="0"/>
      </c:catAx>
      <c:valAx>
        <c:axId val="4818982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/>
                  <a:t>Readmissions</a:t>
                </a:r>
                <a:r>
                  <a:rPr lang="en-US" sz="600" baseline="0"/>
                  <a:t> per 1000 HRM Beneficiaries</a:t>
                </a:r>
                <a:endParaRPr lang="en-US" sz="600"/>
              </a:p>
            </c:rich>
          </c:tx>
          <c:layout>
            <c:manualLayout>
              <c:xMode val="edge"/>
              <c:yMode val="edge"/>
              <c:x val="3.0813114417343013E-2"/>
              <c:y val="0.1596303142329020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7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Custom 80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Custom 80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Custom 80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Custom 80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0F8A-407B-40D9-A281-503A952D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2: Readmission Rates for Medicare Beneficiaries Using High-Risk Medications (HRM) by Provider’s Participation in the QIN-QIO Program to Prevent Adverse Drug Events: Results from Preliminary Analysis of Medicare Claims (QIN-QIO Implementation Be</vt:lpstr>
    </vt:vector>
  </TitlesOfParts>
  <Company>Booz Allen Hamilton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2: Readmission Rates for Medicare Beneficiaries Using High-Risk Medications (HRM) by Provider’s Participation in the QIN-QIO Program to Prevent Adverse Drug Events: Results from Preliminary Analysis of Medicare Claims (QIN-QIO Implementation Begins January 2015)</dc:title>
  <dc:subject>Annual survey of quality improvement activities in CMS nursing homes both participating in and not participating in the QIN-QIO program</dc:subject>
  <dc:creator>Booz Allen Hamilton</dc:creator>
  <cp:keywords>CMS, nursing homes, annual survey, QIN-QIOs, quality improvement</cp:keywords>
  <dc:description/>
  <cp:lastModifiedBy>SYSTEM</cp:lastModifiedBy>
  <cp:revision>2</cp:revision>
  <dcterms:created xsi:type="dcterms:W3CDTF">2018-12-04T19:39:00Z</dcterms:created>
  <dcterms:modified xsi:type="dcterms:W3CDTF">2018-12-04T19:39:00Z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pyright Status">
    <vt:lpwstr>Unknown</vt:lpwstr>
  </property>
</Properties>
</file>