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09388" w14:textId="77777777" w:rsidR="0005704C" w:rsidRPr="0038321F" w:rsidRDefault="0005704C" w:rsidP="00C95E7E">
      <w:pPr>
        <w:pStyle w:val="Heading1"/>
        <w:numPr>
          <w:ilvl w:val="0"/>
          <w:numId w:val="0"/>
        </w:numPr>
      </w:pPr>
      <w:bookmarkStart w:id="0" w:name="_GoBack"/>
      <w:bookmarkEnd w:id="0"/>
      <w:r w:rsidRPr="0038321F">
        <w:t>Supporting Statement – Part B</w:t>
      </w:r>
      <w:r w:rsidR="00C95E7E" w:rsidRPr="0038321F">
        <w:br/>
      </w:r>
      <w:r w:rsidRPr="0038321F">
        <w:t>Collections of Information Employing Statistical Methods</w:t>
      </w:r>
      <w:r w:rsidR="007078C0" w:rsidRPr="0038321F">
        <w:t xml:space="preserve"> for Survey of Community-Based Health Professionals for QIN-QIO Program to Increase Medication Safety and Prevent Adverse Drug Events</w:t>
      </w:r>
    </w:p>
    <w:p w14:paraId="339884E0" w14:textId="77777777" w:rsidR="0005704C" w:rsidRPr="0038321F" w:rsidRDefault="0005704C" w:rsidP="00D74FF4">
      <w:pPr>
        <w:pStyle w:val="Heading2"/>
      </w:pPr>
      <w:bookmarkStart w:id="1" w:name="_Toc429570390"/>
      <w:bookmarkStart w:id="2" w:name="_Toc410331701"/>
      <w:bookmarkStart w:id="3" w:name="_Toc410331595"/>
      <w:bookmarkStart w:id="4" w:name="_Toc433627269"/>
      <w:r w:rsidRPr="0038321F">
        <w:t>Respondent Universe and Sampling Method</w:t>
      </w:r>
      <w:bookmarkEnd w:id="1"/>
      <w:bookmarkEnd w:id="2"/>
      <w:bookmarkEnd w:id="3"/>
      <w:r w:rsidRPr="0038321F">
        <w:t>s</w:t>
      </w:r>
      <w:bookmarkEnd w:id="4"/>
    </w:p>
    <w:p w14:paraId="7D2E4F40" w14:textId="67393C39" w:rsidR="00DB5BA6" w:rsidRPr="0038321F" w:rsidRDefault="008E0AB5" w:rsidP="00A65A39">
      <w:pPr>
        <w:ind w:left="360"/>
      </w:pPr>
      <w:r w:rsidRPr="0038321F">
        <w:t>The Quality Innovation Network Quality Improvement Organization (QIN-QIO) program</w:t>
      </w:r>
      <w:r w:rsidR="00DB5BA6" w:rsidRPr="0038321F">
        <w:t xml:space="preserve"> works with</w:t>
      </w:r>
      <w:r w:rsidRPr="0038321F">
        <w:t xml:space="preserve"> </w:t>
      </w:r>
      <w:r w:rsidR="00803F39" w:rsidRPr="0038321F">
        <w:t xml:space="preserve">healthcare </w:t>
      </w:r>
      <w:r w:rsidRPr="0038321F">
        <w:t>providers</w:t>
      </w:r>
      <w:r w:rsidR="00803F39" w:rsidRPr="0038321F">
        <w:t xml:space="preserve">, pharmacists </w:t>
      </w:r>
      <w:r w:rsidRPr="0038321F">
        <w:t>and stakeholders across care setting</w:t>
      </w:r>
      <w:r w:rsidR="00330BA6" w:rsidRPr="0038321F">
        <w:t>s</w:t>
      </w:r>
      <w:r w:rsidRPr="0038321F">
        <w:t xml:space="preserve"> to reduce potential adverse drug react</w:t>
      </w:r>
      <w:r w:rsidR="00DB5BA6" w:rsidRPr="0038321F">
        <w:t xml:space="preserve">ions, medication errors, overdoses, allergic reactions, and other adverse drug events. </w:t>
      </w:r>
      <w:r w:rsidR="00803F39" w:rsidRPr="0038321F">
        <w:t>This data collection includes a</w:t>
      </w:r>
      <w:r w:rsidR="007C5A51" w:rsidRPr="0038321F">
        <w:t>n online</w:t>
      </w:r>
      <w:r w:rsidR="00803F39" w:rsidRPr="0038321F">
        <w:t xml:space="preserve"> survey targeting community pharmacists</w:t>
      </w:r>
      <w:r w:rsidR="00197591" w:rsidRPr="0038321F">
        <w:t xml:space="preserve"> and</w:t>
      </w:r>
      <w:r w:rsidR="00EB2CED" w:rsidRPr="0038321F">
        <w:t xml:space="preserve"> </w:t>
      </w:r>
      <w:r w:rsidR="00803F39" w:rsidRPr="0038321F">
        <w:t>providers</w:t>
      </w:r>
      <w:r w:rsidR="00EB2CED" w:rsidRPr="0038321F">
        <w:t xml:space="preserve"> working in a </w:t>
      </w:r>
      <w:r w:rsidR="007475E5" w:rsidRPr="0038321F">
        <w:t>group practice</w:t>
      </w:r>
      <w:r w:rsidR="00EB2CED" w:rsidRPr="0038321F">
        <w:t xml:space="preserve"> setting</w:t>
      </w:r>
      <w:r w:rsidR="00803F39" w:rsidRPr="0038321F">
        <w:t xml:space="preserve">. </w:t>
      </w:r>
      <w:r w:rsidR="00DB5BA6" w:rsidRPr="0038321F">
        <w:t>This</w:t>
      </w:r>
      <w:r w:rsidR="003A4A22" w:rsidRPr="0038321F">
        <w:t xml:space="preserve"> survey will examin</w:t>
      </w:r>
      <w:r w:rsidR="00DB5BA6" w:rsidRPr="0038321F">
        <w:t>e resources and activities used to promote medication safety and reduce adverse drug events</w:t>
      </w:r>
      <w:r w:rsidR="00880D33" w:rsidRPr="0038321F">
        <w:t xml:space="preserve"> (ADEs)</w:t>
      </w:r>
      <w:r w:rsidR="00DB5BA6" w:rsidRPr="0038321F">
        <w:t>.</w:t>
      </w:r>
    </w:p>
    <w:p w14:paraId="74A34E32" w14:textId="05E3EECD" w:rsidR="00DB5BA6" w:rsidRPr="0038321F" w:rsidRDefault="0005704C" w:rsidP="00E7369B">
      <w:pPr>
        <w:ind w:left="360"/>
        <w:rPr>
          <w:rFonts w:ascii="Times New Roman" w:hAnsi="Times New Roman" w:cs="Times New Roman"/>
          <w:szCs w:val="24"/>
        </w:rPr>
      </w:pPr>
      <w:r w:rsidRPr="0038321F">
        <w:t>The</w:t>
      </w:r>
      <w:r w:rsidR="00C136C6" w:rsidRPr="0038321F">
        <w:t xml:space="preserve"> cross-sectional</w:t>
      </w:r>
      <w:r w:rsidRPr="0038321F">
        <w:t xml:space="preserve"> survey will </w:t>
      </w:r>
      <w:r w:rsidR="00A648B6" w:rsidRPr="0038321F">
        <w:t>collect information from 6</w:t>
      </w:r>
      <w:r w:rsidR="002E4E30" w:rsidRPr="0038321F">
        <w:t>00</w:t>
      </w:r>
      <w:r w:rsidR="00E7369B" w:rsidRPr="0038321F">
        <w:t xml:space="preserve"> </w:t>
      </w:r>
      <w:r w:rsidR="00E57110" w:rsidRPr="0038321F">
        <w:t xml:space="preserve">healthcare </w:t>
      </w:r>
      <w:r w:rsidR="00EB2CED" w:rsidRPr="0038321F">
        <w:t xml:space="preserve">professionals </w:t>
      </w:r>
      <w:r w:rsidR="00E7369B" w:rsidRPr="0038321F">
        <w:t>who are participating in the CMS QIN-QIO pr</w:t>
      </w:r>
      <w:r w:rsidR="00A648B6" w:rsidRPr="0038321F">
        <w:t xml:space="preserve">ogram </w:t>
      </w:r>
      <w:r w:rsidR="00466766" w:rsidRPr="0038321F">
        <w:t xml:space="preserve">to reduce adverse </w:t>
      </w:r>
      <w:r w:rsidR="00BC5499" w:rsidRPr="0038321F">
        <w:t xml:space="preserve">drug events </w:t>
      </w:r>
      <w:r w:rsidR="00A648B6" w:rsidRPr="0038321F">
        <w:t>(</w:t>
      </w:r>
      <w:r w:rsidR="00330BA6" w:rsidRPr="0038321F">
        <w:t xml:space="preserve">participating </w:t>
      </w:r>
      <w:r w:rsidR="00A648B6" w:rsidRPr="0038321F">
        <w:t>group) and 6</w:t>
      </w:r>
      <w:r w:rsidR="00E7369B" w:rsidRPr="0038321F">
        <w:t xml:space="preserve">00 </w:t>
      </w:r>
      <w:r w:rsidR="00EB2CED" w:rsidRPr="0038321F">
        <w:t xml:space="preserve">healthcare professionals </w:t>
      </w:r>
      <w:r w:rsidR="00E7369B" w:rsidRPr="0038321F">
        <w:t xml:space="preserve">who are not participating in the QIN-QIO program </w:t>
      </w:r>
      <w:r w:rsidR="002450E6" w:rsidRPr="0038321F">
        <w:t xml:space="preserve">to reduce adverse drug events </w:t>
      </w:r>
      <w:r w:rsidR="00E7369B" w:rsidRPr="0038321F">
        <w:t>(</w:t>
      </w:r>
      <w:r w:rsidR="00330BA6" w:rsidRPr="0038321F">
        <w:t xml:space="preserve">non-participating </w:t>
      </w:r>
      <w:r w:rsidR="00E7369B" w:rsidRPr="0038321F">
        <w:t xml:space="preserve">group). </w:t>
      </w:r>
      <w:r w:rsidR="0092183C" w:rsidRPr="0038321F">
        <w:t>P</w:t>
      </w:r>
      <w:r w:rsidR="00330BA6" w:rsidRPr="0038321F">
        <w:t>harmacists and p</w:t>
      </w:r>
      <w:r w:rsidR="0092183C" w:rsidRPr="0038321F">
        <w:t xml:space="preserve">roviders </w:t>
      </w:r>
      <w:r w:rsidR="00D22734" w:rsidRPr="0038321F">
        <w:t xml:space="preserve">(physicians, physician assistants, and nurse practitioners) </w:t>
      </w:r>
      <w:r w:rsidR="0092183C" w:rsidRPr="0038321F">
        <w:t>will be sent an invitation to complete the survey online via email</w:t>
      </w:r>
      <w:r w:rsidR="00197591" w:rsidRPr="0038321F">
        <w:t>.</w:t>
      </w:r>
    </w:p>
    <w:p w14:paraId="37FBCF6C" w14:textId="6867BE3E" w:rsidR="00653AC8" w:rsidRPr="0038321F" w:rsidRDefault="00653AC8" w:rsidP="00992E5F">
      <w:pPr>
        <w:pStyle w:val="Heading3"/>
      </w:pPr>
      <w:r w:rsidRPr="0038321F">
        <w:t>Panel Meth</w:t>
      </w:r>
      <w:r w:rsidR="003838BC" w:rsidRPr="0038321F">
        <w:t>o</w:t>
      </w:r>
      <w:r w:rsidRPr="0038321F">
        <w:t>dology</w:t>
      </w:r>
    </w:p>
    <w:p w14:paraId="5251346E" w14:textId="52BAB15E" w:rsidR="00DC4944" w:rsidRPr="0038321F" w:rsidRDefault="00E7369B" w:rsidP="00C30FC1">
      <w:pPr>
        <w:ind w:left="720"/>
      </w:pPr>
      <w:r w:rsidRPr="0038321F">
        <w:t xml:space="preserve">The sample </w:t>
      </w:r>
      <w:r w:rsidR="00197591" w:rsidRPr="0038321F">
        <w:t>for</w:t>
      </w:r>
      <w:r w:rsidR="00EB2CED" w:rsidRPr="0038321F">
        <w:t xml:space="preserve"> </w:t>
      </w:r>
      <w:r w:rsidR="0013231C" w:rsidRPr="0038321F">
        <w:t xml:space="preserve">this study will be drawn from administrative records from the QIN-QIO </w:t>
      </w:r>
      <w:r w:rsidR="00330BA6" w:rsidRPr="0038321F">
        <w:t xml:space="preserve">participating </w:t>
      </w:r>
      <w:r w:rsidR="0013231C" w:rsidRPr="0038321F">
        <w:t xml:space="preserve">group and supplemented by </w:t>
      </w:r>
      <w:r w:rsidR="00992E5F" w:rsidRPr="0038321F">
        <w:t xml:space="preserve">a provider panel </w:t>
      </w:r>
      <w:r w:rsidR="0013231C" w:rsidRPr="0038321F">
        <w:t xml:space="preserve">for the </w:t>
      </w:r>
      <w:r w:rsidR="00330BA6" w:rsidRPr="0038321F">
        <w:t xml:space="preserve">non-participating </w:t>
      </w:r>
      <w:r w:rsidR="0013231C" w:rsidRPr="0038321F">
        <w:t xml:space="preserve">group. The panel is </w:t>
      </w:r>
      <w:r w:rsidR="00992E5F" w:rsidRPr="0038321F">
        <w:t xml:space="preserve">developed by Medscape, </w:t>
      </w:r>
      <w:r w:rsidR="00803F39" w:rsidRPr="0038321F">
        <w:t xml:space="preserve">an </w:t>
      </w:r>
      <w:r w:rsidR="00992E5F" w:rsidRPr="0038321F">
        <w:t xml:space="preserve">online repository of health information and continuing education used by </w:t>
      </w:r>
      <w:r w:rsidR="00803F39" w:rsidRPr="0038321F">
        <w:t>over 2 million</w:t>
      </w:r>
      <w:r w:rsidR="00992E5F" w:rsidRPr="0038321F">
        <w:t xml:space="preserve"> healthcare providers. </w:t>
      </w:r>
      <w:r w:rsidR="00803F39" w:rsidRPr="0038321F">
        <w:t xml:space="preserve">This </w:t>
      </w:r>
      <w:r w:rsidR="00DC4944" w:rsidRPr="0038321F">
        <w:t>online panel</w:t>
      </w:r>
      <w:r w:rsidR="00803F39" w:rsidRPr="0038321F">
        <w:t xml:space="preserve"> </w:t>
      </w:r>
      <w:r w:rsidR="00DC4944" w:rsidRPr="0038321F">
        <w:t xml:space="preserve">maintains a large network of healthcare providers across care settings. </w:t>
      </w:r>
      <w:r w:rsidR="00111808" w:rsidRPr="0038321F">
        <w:t xml:space="preserve">The panel </w:t>
      </w:r>
      <w:r w:rsidR="00803F39" w:rsidRPr="0038321F">
        <w:t>was selected because it includes</w:t>
      </w:r>
      <w:r w:rsidR="00111808" w:rsidRPr="0038321F">
        <w:t xml:space="preserve"> information on the provider type for panel members—making it a cost-efficient method of targeting multiple provider groups </w:t>
      </w:r>
      <w:r w:rsidR="00E97541" w:rsidRPr="0038321F">
        <w:t xml:space="preserve">for the professionals </w:t>
      </w:r>
      <w:r w:rsidR="006C3362" w:rsidRPr="0038321F">
        <w:t xml:space="preserve">not participating </w:t>
      </w:r>
      <w:r w:rsidR="00E97541" w:rsidRPr="0038321F">
        <w:t>in the QIN-QIO program</w:t>
      </w:r>
      <w:r w:rsidR="00111808" w:rsidRPr="0038321F">
        <w:t xml:space="preserve">. </w:t>
      </w:r>
      <w:r w:rsidR="00E97541" w:rsidRPr="0038321F">
        <w:t xml:space="preserve">Similarly, the low incidence of these professionals in the general population make probabilistic approaches, such as random digit dialing telephone surveys and address-based sample mail surveys, impractical. </w:t>
      </w:r>
      <w:r w:rsidR="00992E5F" w:rsidRPr="0038321F">
        <w:t>Medscape users agree to be contacted for advertising, researc</w:t>
      </w:r>
      <w:r w:rsidR="00426A40" w:rsidRPr="0038321F">
        <w:t>h, and event recruitment. This</w:t>
      </w:r>
      <w:r w:rsidR="00992E5F" w:rsidRPr="0038321F">
        <w:t xml:space="preserve"> means that the sample frame available for surveys is a very large subset of</w:t>
      </w:r>
      <w:r w:rsidR="0063796C" w:rsidRPr="0038321F">
        <w:t xml:space="preserve"> the</w:t>
      </w:r>
      <w:r w:rsidR="00992E5F" w:rsidRPr="0038321F">
        <w:t xml:space="preserve"> actual universe being studied</w:t>
      </w:r>
      <w:r w:rsidR="00803F39" w:rsidRPr="0038321F">
        <w:t xml:space="preserve"> (</w:t>
      </w:r>
      <w:r w:rsidR="00D62ECE" w:rsidRPr="0038321F">
        <w:fldChar w:fldCharType="begin"/>
      </w:r>
      <w:r w:rsidR="00D62ECE" w:rsidRPr="0038321F">
        <w:instrText xml:space="preserve"> REF _Ref507490949 \h </w:instrText>
      </w:r>
      <w:r w:rsidR="00D62ECE" w:rsidRPr="0038321F">
        <w:fldChar w:fldCharType="separate"/>
      </w:r>
      <w:r w:rsidR="00D62ECE" w:rsidRPr="0038321F">
        <w:t xml:space="preserve">Table </w:t>
      </w:r>
      <w:r w:rsidR="00D62ECE" w:rsidRPr="0038321F">
        <w:rPr>
          <w:noProof/>
        </w:rPr>
        <w:t>1</w:t>
      </w:r>
      <w:r w:rsidR="00D62ECE" w:rsidRPr="0038321F">
        <w:fldChar w:fldCharType="end"/>
      </w:r>
      <w:r w:rsidR="00803F39" w:rsidRPr="0038321F">
        <w:t>)</w:t>
      </w:r>
      <w:r w:rsidR="00992E5F" w:rsidRPr="0038321F">
        <w:t xml:space="preserve">. </w:t>
      </w:r>
    </w:p>
    <w:p w14:paraId="105543C5" w14:textId="482684D4" w:rsidR="004A6D18" w:rsidRPr="0038321F" w:rsidRDefault="00DC4944" w:rsidP="003F4706">
      <w:pPr>
        <w:ind w:left="720"/>
      </w:pPr>
      <w:r w:rsidRPr="0038321F">
        <w:fldChar w:fldCharType="begin"/>
      </w:r>
      <w:r w:rsidRPr="0038321F">
        <w:instrText xml:space="preserve"> REF _Ref507490949 \h </w:instrText>
      </w:r>
      <w:r w:rsidRPr="0038321F">
        <w:fldChar w:fldCharType="separate"/>
      </w:r>
      <w:r w:rsidR="00D62ECE" w:rsidRPr="0038321F">
        <w:t xml:space="preserve">Table </w:t>
      </w:r>
      <w:r w:rsidR="00D62ECE" w:rsidRPr="0038321F">
        <w:rPr>
          <w:noProof/>
        </w:rPr>
        <w:t>1</w:t>
      </w:r>
      <w:r w:rsidRPr="0038321F">
        <w:fldChar w:fldCharType="end"/>
      </w:r>
      <w:r w:rsidRPr="0038321F">
        <w:t xml:space="preserve"> shows the percentage of providers included in the panel out of the total number of jobs in the profession estimated by the Bureau of Labor Statistics in 2016. </w:t>
      </w:r>
      <w:r w:rsidR="00803F39" w:rsidRPr="0038321F">
        <w:t xml:space="preserve">The panel </w:t>
      </w:r>
      <w:r w:rsidR="004A6D18" w:rsidRPr="0038321F">
        <w:t>coverage (</w:t>
      </w:r>
      <w:r w:rsidR="00EB2CED" w:rsidRPr="0038321F">
        <w:t>52</w:t>
      </w:r>
      <w:r w:rsidR="004A6D18" w:rsidRPr="0038321F">
        <w:t xml:space="preserve">% </w:t>
      </w:r>
      <w:r w:rsidR="00353B45" w:rsidRPr="0038321F">
        <w:t>for pharmacists</w:t>
      </w:r>
      <w:r w:rsidR="002F3A1A" w:rsidRPr="0038321F">
        <w:t>,</w:t>
      </w:r>
      <w:r w:rsidR="004A6D18" w:rsidRPr="0038321F">
        <w:t xml:space="preserve"> 77% </w:t>
      </w:r>
      <w:r w:rsidR="00353B45" w:rsidRPr="0038321F">
        <w:t>for physicians</w:t>
      </w:r>
      <w:r w:rsidR="002F3A1A" w:rsidRPr="0038321F">
        <w:t xml:space="preserve"> and physician assistants, and 49% for nurse practitioners and registered nurses</w:t>
      </w:r>
      <w:r w:rsidR="004A6D18" w:rsidRPr="0038321F">
        <w:t>) suggests that findings obta</w:t>
      </w:r>
      <w:r w:rsidR="005D0C4B" w:rsidRPr="0038321F">
        <w:t xml:space="preserve">ined from such an effort would represent </w:t>
      </w:r>
      <w:r w:rsidR="00DC22FE" w:rsidRPr="0038321F">
        <w:t>over</w:t>
      </w:r>
      <w:r w:rsidR="00205273" w:rsidRPr="0038321F">
        <w:t xml:space="preserve"> half of</w:t>
      </w:r>
      <w:r w:rsidR="005D0C4B" w:rsidRPr="0038321F">
        <w:t xml:space="preserve"> healthcare professionals</w:t>
      </w:r>
      <w:r w:rsidR="004A6D18" w:rsidRPr="0038321F">
        <w:t xml:space="preserve">. </w:t>
      </w:r>
      <w:r w:rsidR="00A0567C" w:rsidRPr="0038321F">
        <w:t>The panel will have</w:t>
      </w:r>
      <w:r w:rsidR="004253C9" w:rsidRPr="0038321F">
        <w:t xml:space="preserve"> demographic</w:t>
      </w:r>
      <w:r w:rsidR="00A0567C" w:rsidRPr="0038321F">
        <w:t xml:space="preserve"> information that has been previously</w:t>
      </w:r>
      <w:r w:rsidR="004253C9" w:rsidRPr="0038321F">
        <w:t xml:space="preserve"> collected</w:t>
      </w:r>
      <w:r w:rsidR="00A0567C" w:rsidRPr="0038321F">
        <w:t xml:space="preserve"> from members </w:t>
      </w:r>
      <w:r w:rsidR="00940488" w:rsidRPr="0038321F">
        <w:t xml:space="preserve">(including </w:t>
      </w:r>
      <w:r w:rsidR="00A02752" w:rsidRPr="0038321F">
        <w:t xml:space="preserve">information such as </w:t>
      </w:r>
      <w:r w:rsidR="00940488" w:rsidRPr="0038321F">
        <w:t xml:space="preserve">state, zip code, </w:t>
      </w:r>
      <w:r w:rsidR="00A02752" w:rsidRPr="0038321F">
        <w:t xml:space="preserve">profession, and specialty) </w:t>
      </w:r>
      <w:r w:rsidR="004253C9" w:rsidRPr="0038321F">
        <w:t xml:space="preserve">which will be used </w:t>
      </w:r>
      <w:r w:rsidR="00E57110" w:rsidRPr="0038321F">
        <w:t xml:space="preserve">to </w:t>
      </w:r>
      <w:r w:rsidR="004253C9" w:rsidRPr="0038321F">
        <w:t>develop weights for non-respondents</w:t>
      </w:r>
      <w:r w:rsidR="00653AC8" w:rsidRPr="0038321F">
        <w:t>, thereby improving the</w:t>
      </w:r>
      <w:r w:rsidR="003E40EA" w:rsidRPr="0038321F">
        <w:t xml:space="preserve"> representativeness of results</w:t>
      </w:r>
      <w:r w:rsidR="004253C9" w:rsidRPr="0038321F">
        <w:t xml:space="preserve">. Questions </w:t>
      </w:r>
      <w:r w:rsidRPr="0038321F">
        <w:t xml:space="preserve">will also be </w:t>
      </w:r>
      <w:r w:rsidR="004253C9" w:rsidRPr="0038321F">
        <w:t xml:space="preserve">included </w:t>
      </w:r>
      <w:r w:rsidRPr="0038321F">
        <w:t xml:space="preserve">in the survey to </w:t>
      </w:r>
      <w:r w:rsidR="005D0C4B" w:rsidRPr="0038321F">
        <w:t xml:space="preserve">facilitate </w:t>
      </w:r>
      <w:r w:rsidR="003E40EA" w:rsidRPr="0038321F">
        <w:t>non-response</w:t>
      </w:r>
      <w:r w:rsidR="005D0C4B" w:rsidRPr="0038321F">
        <w:t xml:space="preserve"> analysis</w:t>
      </w:r>
      <w:r w:rsidR="00803F39" w:rsidRPr="0038321F">
        <w:t xml:space="preserve"> and assess any non-response bias</w:t>
      </w:r>
      <w:r w:rsidR="004253C9" w:rsidRPr="0038321F">
        <w:t xml:space="preserve">. </w:t>
      </w:r>
      <w:r w:rsidR="00A0567C" w:rsidRPr="0038321F">
        <w:t xml:space="preserve"> </w:t>
      </w:r>
    </w:p>
    <w:p w14:paraId="32158DF2" w14:textId="77777777" w:rsidR="004312BD" w:rsidRPr="0038321F" w:rsidRDefault="004312BD" w:rsidP="004312BD">
      <w:pPr>
        <w:pStyle w:val="Caption"/>
      </w:pPr>
      <w:bookmarkStart w:id="5" w:name="_Ref507490949"/>
      <w:r w:rsidRPr="0038321F">
        <w:lastRenderedPageBreak/>
        <w:t xml:space="preserve">Table </w:t>
      </w:r>
      <w:r w:rsidR="00FC5E37">
        <w:fldChar w:fldCharType="begin"/>
      </w:r>
      <w:r w:rsidR="00FC5E37">
        <w:instrText xml:space="preserve"> SEQ Table \* ARABIC </w:instrText>
      </w:r>
      <w:r w:rsidR="00FC5E37">
        <w:fldChar w:fldCharType="separate"/>
      </w:r>
      <w:r w:rsidR="00BB2670" w:rsidRPr="0038321F">
        <w:rPr>
          <w:noProof/>
        </w:rPr>
        <w:t>1</w:t>
      </w:r>
      <w:r w:rsidR="00FC5E37">
        <w:rPr>
          <w:noProof/>
        </w:rPr>
        <w:fldChar w:fldCharType="end"/>
      </w:r>
      <w:bookmarkEnd w:id="5"/>
      <w:r w:rsidRPr="0038321F">
        <w:t>. Medscape Market Research Panel Coverage</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For each provider type, table provides numbers for Members Included in Medscape Market Research Panel (2018), Total Number of Professionals (Bureau of Labor Statistics, 2016), and Percent Coverage in Medscape Market Research Panel "/>
      </w:tblPr>
      <w:tblGrid>
        <w:gridCol w:w="3145"/>
        <w:gridCol w:w="1980"/>
        <w:gridCol w:w="1800"/>
        <w:gridCol w:w="1805"/>
      </w:tblGrid>
      <w:tr w:rsidR="0038321F" w:rsidRPr="0038321F" w14:paraId="46AB7BB3" w14:textId="77777777" w:rsidTr="00953AC3">
        <w:trPr>
          <w:cantSplit/>
          <w:tblHeader/>
          <w:jc w:val="center"/>
        </w:trPr>
        <w:tc>
          <w:tcPr>
            <w:tcW w:w="3145" w:type="dxa"/>
            <w:shd w:val="clear" w:color="auto" w:fill="D0CECE" w:themeFill="background2" w:themeFillShade="E6"/>
            <w:vAlign w:val="bottom"/>
            <w:hideMark/>
          </w:tcPr>
          <w:p w14:paraId="7FF34B49" w14:textId="77777777" w:rsidR="004312BD" w:rsidRPr="0038321F" w:rsidRDefault="004312BD" w:rsidP="00953AC3">
            <w:pPr>
              <w:spacing w:after="0"/>
              <w:rPr>
                <w:rFonts w:ascii="Times New Roman" w:eastAsia="Times New Roman" w:hAnsi="Times New Roman" w:cs="Times New Roman"/>
                <w:b/>
                <w:sz w:val="20"/>
                <w:szCs w:val="20"/>
              </w:rPr>
            </w:pPr>
            <w:r w:rsidRPr="0038321F">
              <w:rPr>
                <w:rFonts w:ascii="Times New Roman" w:eastAsia="Times New Roman" w:hAnsi="Times New Roman" w:cs="Times New Roman"/>
                <w:b/>
                <w:sz w:val="20"/>
                <w:szCs w:val="20"/>
              </w:rPr>
              <w:t>Provider Type</w:t>
            </w:r>
          </w:p>
        </w:tc>
        <w:tc>
          <w:tcPr>
            <w:tcW w:w="1980" w:type="dxa"/>
            <w:shd w:val="clear" w:color="auto" w:fill="D0CECE" w:themeFill="background2" w:themeFillShade="E6"/>
            <w:vAlign w:val="bottom"/>
            <w:hideMark/>
          </w:tcPr>
          <w:p w14:paraId="339C2F93" w14:textId="77777777" w:rsidR="004312BD" w:rsidRPr="0038321F" w:rsidRDefault="004312BD" w:rsidP="00953AC3">
            <w:pPr>
              <w:spacing w:after="0"/>
              <w:jc w:val="center"/>
              <w:rPr>
                <w:rFonts w:ascii="Times New Roman" w:eastAsia="Times New Roman" w:hAnsi="Times New Roman" w:cs="Times New Roman"/>
                <w:b/>
                <w:sz w:val="20"/>
                <w:szCs w:val="20"/>
              </w:rPr>
            </w:pPr>
            <w:r w:rsidRPr="0038321F">
              <w:rPr>
                <w:rFonts w:ascii="Times New Roman" w:eastAsia="Times New Roman" w:hAnsi="Times New Roman" w:cs="Times New Roman"/>
                <w:b/>
                <w:sz w:val="20"/>
                <w:szCs w:val="20"/>
              </w:rPr>
              <w:t>Members Included in Medscape Market Research Panel (2018)</w:t>
            </w:r>
          </w:p>
        </w:tc>
        <w:tc>
          <w:tcPr>
            <w:tcW w:w="1800" w:type="dxa"/>
            <w:shd w:val="clear" w:color="auto" w:fill="D0CECE" w:themeFill="background2" w:themeFillShade="E6"/>
            <w:vAlign w:val="bottom"/>
            <w:hideMark/>
          </w:tcPr>
          <w:p w14:paraId="09D9DE37" w14:textId="77777777" w:rsidR="004312BD" w:rsidRPr="0038321F" w:rsidRDefault="004312BD" w:rsidP="00953AC3">
            <w:pPr>
              <w:spacing w:after="0"/>
              <w:jc w:val="center"/>
              <w:rPr>
                <w:rFonts w:ascii="Times New Roman" w:eastAsia="Times New Roman" w:hAnsi="Times New Roman" w:cs="Times New Roman"/>
                <w:b/>
                <w:sz w:val="20"/>
                <w:szCs w:val="20"/>
              </w:rPr>
            </w:pPr>
            <w:r w:rsidRPr="0038321F">
              <w:rPr>
                <w:rFonts w:ascii="Times New Roman" w:eastAsia="Times New Roman" w:hAnsi="Times New Roman" w:cs="Times New Roman"/>
                <w:b/>
                <w:sz w:val="20"/>
                <w:szCs w:val="20"/>
              </w:rPr>
              <w:t>Total Number of Professionals (Bureau of Labor Statistics, 2016)</w:t>
            </w:r>
          </w:p>
        </w:tc>
        <w:tc>
          <w:tcPr>
            <w:tcW w:w="1805" w:type="dxa"/>
            <w:shd w:val="clear" w:color="auto" w:fill="D0CECE" w:themeFill="background2" w:themeFillShade="E6"/>
            <w:vAlign w:val="bottom"/>
            <w:hideMark/>
          </w:tcPr>
          <w:p w14:paraId="062EA639" w14:textId="77777777" w:rsidR="004312BD" w:rsidRPr="0038321F" w:rsidRDefault="004312BD" w:rsidP="00953AC3">
            <w:pPr>
              <w:spacing w:after="0"/>
              <w:jc w:val="center"/>
              <w:rPr>
                <w:rFonts w:ascii="Times New Roman" w:eastAsia="Times New Roman" w:hAnsi="Times New Roman" w:cs="Times New Roman"/>
                <w:b/>
                <w:sz w:val="20"/>
                <w:szCs w:val="20"/>
              </w:rPr>
            </w:pPr>
            <w:r w:rsidRPr="0038321F">
              <w:rPr>
                <w:rFonts w:ascii="Times New Roman" w:eastAsia="Times New Roman" w:hAnsi="Times New Roman" w:cs="Times New Roman"/>
                <w:b/>
                <w:sz w:val="20"/>
                <w:szCs w:val="20"/>
              </w:rPr>
              <w:t>Percent Coverage in Medscape Market Research Panel</w:t>
            </w:r>
          </w:p>
        </w:tc>
      </w:tr>
      <w:tr w:rsidR="0038321F" w:rsidRPr="0038321F" w14:paraId="442FC119" w14:textId="77777777" w:rsidTr="00953AC3">
        <w:trPr>
          <w:cantSplit/>
          <w:jc w:val="center"/>
        </w:trPr>
        <w:tc>
          <w:tcPr>
            <w:tcW w:w="3145" w:type="dxa"/>
            <w:shd w:val="clear" w:color="auto" w:fill="auto"/>
            <w:vAlign w:val="center"/>
            <w:hideMark/>
          </w:tcPr>
          <w:p w14:paraId="3BB55533" w14:textId="77777777" w:rsidR="004312BD" w:rsidRPr="0038321F" w:rsidRDefault="004312BD" w:rsidP="00953AC3">
            <w:pPr>
              <w:spacing w:before="60" w:after="60"/>
              <w:rPr>
                <w:rFonts w:ascii="Times New Roman" w:eastAsia="Times New Roman" w:hAnsi="Times New Roman" w:cs="Times New Roman"/>
                <w:sz w:val="20"/>
                <w:szCs w:val="20"/>
              </w:rPr>
            </w:pPr>
            <w:r w:rsidRPr="0038321F">
              <w:rPr>
                <w:rFonts w:ascii="Times New Roman" w:eastAsia="Times New Roman" w:hAnsi="Times New Roman" w:cs="Times New Roman"/>
                <w:sz w:val="20"/>
                <w:szCs w:val="20"/>
              </w:rPr>
              <w:t>Physicians and Physician Assistants</w:t>
            </w:r>
          </w:p>
        </w:tc>
        <w:tc>
          <w:tcPr>
            <w:tcW w:w="1980" w:type="dxa"/>
            <w:shd w:val="clear" w:color="auto" w:fill="auto"/>
            <w:noWrap/>
            <w:vAlign w:val="center"/>
            <w:hideMark/>
          </w:tcPr>
          <w:p w14:paraId="369250D5" w14:textId="77777777" w:rsidR="004312BD" w:rsidRPr="0038321F" w:rsidRDefault="004312BD" w:rsidP="00953AC3">
            <w:pPr>
              <w:spacing w:before="60" w:after="60"/>
              <w:jc w:val="center"/>
              <w:rPr>
                <w:rFonts w:ascii="Times New Roman" w:eastAsia="Times New Roman" w:hAnsi="Times New Roman" w:cs="Times New Roman"/>
                <w:sz w:val="20"/>
                <w:szCs w:val="20"/>
              </w:rPr>
            </w:pPr>
            <w:r w:rsidRPr="0038321F">
              <w:rPr>
                <w:rFonts w:ascii="Times New Roman" w:eastAsia="Times New Roman" w:hAnsi="Times New Roman" w:cs="Times New Roman"/>
                <w:sz w:val="20"/>
                <w:szCs w:val="20"/>
              </w:rPr>
              <w:t>633,985</w:t>
            </w:r>
          </w:p>
        </w:tc>
        <w:tc>
          <w:tcPr>
            <w:tcW w:w="1800" w:type="dxa"/>
            <w:shd w:val="clear" w:color="auto" w:fill="auto"/>
            <w:noWrap/>
            <w:vAlign w:val="center"/>
            <w:hideMark/>
          </w:tcPr>
          <w:p w14:paraId="2633C3E9" w14:textId="77777777" w:rsidR="004312BD" w:rsidRPr="0038321F" w:rsidRDefault="004312BD" w:rsidP="00953AC3">
            <w:pPr>
              <w:spacing w:before="60" w:after="60"/>
              <w:jc w:val="center"/>
              <w:rPr>
                <w:rFonts w:ascii="Times New Roman" w:eastAsia="Times New Roman" w:hAnsi="Times New Roman" w:cs="Times New Roman"/>
                <w:sz w:val="20"/>
                <w:szCs w:val="20"/>
              </w:rPr>
            </w:pPr>
            <w:r w:rsidRPr="0038321F">
              <w:rPr>
                <w:rFonts w:ascii="Times New Roman" w:eastAsia="Times New Roman" w:hAnsi="Times New Roman" w:cs="Times New Roman"/>
                <w:sz w:val="20"/>
                <w:szCs w:val="20"/>
              </w:rPr>
              <w:t>820,000</w:t>
            </w:r>
          </w:p>
        </w:tc>
        <w:tc>
          <w:tcPr>
            <w:tcW w:w="1805" w:type="dxa"/>
            <w:shd w:val="clear" w:color="auto" w:fill="auto"/>
            <w:noWrap/>
            <w:vAlign w:val="center"/>
            <w:hideMark/>
          </w:tcPr>
          <w:p w14:paraId="2AEF94E4" w14:textId="77777777" w:rsidR="004312BD" w:rsidRPr="0038321F" w:rsidRDefault="004312BD" w:rsidP="00953AC3">
            <w:pPr>
              <w:spacing w:before="60" w:after="60"/>
              <w:jc w:val="center"/>
              <w:rPr>
                <w:rFonts w:ascii="Times New Roman" w:eastAsia="Times New Roman" w:hAnsi="Times New Roman" w:cs="Times New Roman"/>
                <w:sz w:val="20"/>
                <w:szCs w:val="20"/>
              </w:rPr>
            </w:pPr>
            <w:r w:rsidRPr="0038321F">
              <w:rPr>
                <w:rFonts w:ascii="Times New Roman" w:eastAsia="Times New Roman" w:hAnsi="Times New Roman" w:cs="Times New Roman"/>
                <w:sz w:val="20"/>
                <w:szCs w:val="20"/>
              </w:rPr>
              <w:t>77.3%</w:t>
            </w:r>
          </w:p>
        </w:tc>
      </w:tr>
      <w:tr w:rsidR="0038321F" w:rsidRPr="0038321F" w14:paraId="53D7E9C3" w14:textId="77777777" w:rsidTr="00953AC3">
        <w:trPr>
          <w:cantSplit/>
          <w:jc w:val="center"/>
        </w:trPr>
        <w:tc>
          <w:tcPr>
            <w:tcW w:w="3145" w:type="dxa"/>
            <w:shd w:val="clear" w:color="auto" w:fill="auto"/>
            <w:vAlign w:val="center"/>
            <w:hideMark/>
          </w:tcPr>
          <w:p w14:paraId="770FC6DA" w14:textId="77777777" w:rsidR="004312BD" w:rsidRPr="0038321F" w:rsidRDefault="004312BD" w:rsidP="00953AC3">
            <w:pPr>
              <w:spacing w:before="60" w:after="60"/>
              <w:rPr>
                <w:rFonts w:ascii="Times New Roman" w:eastAsia="Times New Roman" w:hAnsi="Times New Roman" w:cs="Times New Roman"/>
                <w:sz w:val="20"/>
                <w:szCs w:val="20"/>
              </w:rPr>
            </w:pPr>
            <w:r w:rsidRPr="0038321F">
              <w:rPr>
                <w:rFonts w:ascii="Times New Roman" w:eastAsia="Times New Roman" w:hAnsi="Times New Roman" w:cs="Times New Roman"/>
                <w:sz w:val="20"/>
                <w:szCs w:val="20"/>
              </w:rPr>
              <w:t>Pharmacists</w:t>
            </w:r>
          </w:p>
        </w:tc>
        <w:tc>
          <w:tcPr>
            <w:tcW w:w="1980" w:type="dxa"/>
            <w:shd w:val="clear" w:color="auto" w:fill="auto"/>
            <w:noWrap/>
            <w:vAlign w:val="center"/>
            <w:hideMark/>
          </w:tcPr>
          <w:p w14:paraId="334C932E" w14:textId="77777777" w:rsidR="004312BD" w:rsidRPr="0038321F" w:rsidRDefault="004312BD" w:rsidP="00953AC3">
            <w:pPr>
              <w:spacing w:before="60" w:after="60"/>
              <w:jc w:val="center"/>
              <w:rPr>
                <w:rFonts w:ascii="Times New Roman" w:eastAsia="Times New Roman" w:hAnsi="Times New Roman" w:cs="Times New Roman"/>
                <w:sz w:val="20"/>
                <w:szCs w:val="20"/>
              </w:rPr>
            </w:pPr>
            <w:r w:rsidRPr="0038321F">
              <w:rPr>
                <w:rFonts w:ascii="Times New Roman" w:eastAsia="Times New Roman" w:hAnsi="Times New Roman" w:cs="Times New Roman"/>
                <w:sz w:val="20"/>
                <w:szCs w:val="20"/>
              </w:rPr>
              <w:t>163,026</w:t>
            </w:r>
          </w:p>
        </w:tc>
        <w:tc>
          <w:tcPr>
            <w:tcW w:w="1800" w:type="dxa"/>
            <w:shd w:val="clear" w:color="auto" w:fill="auto"/>
            <w:noWrap/>
            <w:vAlign w:val="center"/>
            <w:hideMark/>
          </w:tcPr>
          <w:p w14:paraId="1BB71A77" w14:textId="77777777" w:rsidR="004312BD" w:rsidRPr="0038321F" w:rsidRDefault="004312BD" w:rsidP="00953AC3">
            <w:pPr>
              <w:spacing w:before="60" w:after="60"/>
              <w:jc w:val="center"/>
              <w:rPr>
                <w:rFonts w:ascii="Times New Roman" w:eastAsia="Times New Roman" w:hAnsi="Times New Roman" w:cs="Times New Roman"/>
                <w:sz w:val="20"/>
                <w:szCs w:val="20"/>
              </w:rPr>
            </w:pPr>
            <w:r w:rsidRPr="0038321F">
              <w:rPr>
                <w:rFonts w:ascii="Times New Roman" w:eastAsia="Times New Roman" w:hAnsi="Times New Roman" w:cs="Times New Roman"/>
                <w:sz w:val="20"/>
                <w:szCs w:val="20"/>
              </w:rPr>
              <w:t>312,500</w:t>
            </w:r>
          </w:p>
        </w:tc>
        <w:tc>
          <w:tcPr>
            <w:tcW w:w="1805" w:type="dxa"/>
            <w:shd w:val="clear" w:color="auto" w:fill="auto"/>
            <w:noWrap/>
            <w:vAlign w:val="center"/>
            <w:hideMark/>
          </w:tcPr>
          <w:p w14:paraId="5A7EF709" w14:textId="77777777" w:rsidR="004312BD" w:rsidRPr="0038321F" w:rsidRDefault="004312BD" w:rsidP="00953AC3">
            <w:pPr>
              <w:spacing w:before="60" w:after="60"/>
              <w:jc w:val="center"/>
              <w:rPr>
                <w:rFonts w:ascii="Times New Roman" w:eastAsia="Times New Roman" w:hAnsi="Times New Roman" w:cs="Times New Roman"/>
                <w:sz w:val="20"/>
                <w:szCs w:val="20"/>
              </w:rPr>
            </w:pPr>
            <w:r w:rsidRPr="0038321F">
              <w:rPr>
                <w:rFonts w:ascii="Times New Roman" w:eastAsia="Times New Roman" w:hAnsi="Times New Roman" w:cs="Times New Roman"/>
                <w:sz w:val="20"/>
                <w:szCs w:val="20"/>
              </w:rPr>
              <w:t>52.2%</w:t>
            </w:r>
          </w:p>
        </w:tc>
      </w:tr>
      <w:tr w:rsidR="0038321F" w:rsidRPr="0038321F" w14:paraId="5864DB55" w14:textId="77777777" w:rsidTr="00953AC3">
        <w:trPr>
          <w:cantSplit/>
          <w:jc w:val="center"/>
        </w:trPr>
        <w:tc>
          <w:tcPr>
            <w:tcW w:w="3145" w:type="dxa"/>
            <w:shd w:val="clear" w:color="auto" w:fill="auto"/>
            <w:vAlign w:val="center"/>
          </w:tcPr>
          <w:p w14:paraId="78D54007" w14:textId="00AA7C55" w:rsidR="00790C1E" w:rsidRPr="0038321F" w:rsidRDefault="00790C1E" w:rsidP="00953AC3">
            <w:pPr>
              <w:spacing w:before="60" w:after="60"/>
              <w:rPr>
                <w:rFonts w:ascii="Times New Roman" w:eastAsia="Times New Roman" w:hAnsi="Times New Roman" w:cs="Times New Roman"/>
                <w:sz w:val="20"/>
                <w:szCs w:val="20"/>
              </w:rPr>
            </w:pPr>
            <w:r w:rsidRPr="0038321F">
              <w:rPr>
                <w:rFonts w:ascii="Times New Roman" w:eastAsia="Times New Roman" w:hAnsi="Times New Roman" w:cs="Times New Roman"/>
                <w:sz w:val="20"/>
                <w:szCs w:val="20"/>
              </w:rPr>
              <w:t>Nurse Practitioners and Registered Nurses</w:t>
            </w:r>
          </w:p>
        </w:tc>
        <w:tc>
          <w:tcPr>
            <w:tcW w:w="1980" w:type="dxa"/>
            <w:shd w:val="clear" w:color="auto" w:fill="auto"/>
            <w:noWrap/>
            <w:vAlign w:val="center"/>
          </w:tcPr>
          <w:p w14:paraId="2806427B" w14:textId="3959EC64" w:rsidR="00790C1E" w:rsidRPr="0038321F" w:rsidRDefault="00790C1E" w:rsidP="00953AC3">
            <w:pPr>
              <w:spacing w:before="60" w:after="60"/>
              <w:jc w:val="center"/>
              <w:rPr>
                <w:rFonts w:ascii="Times New Roman" w:eastAsia="Times New Roman" w:hAnsi="Times New Roman" w:cs="Times New Roman"/>
                <w:sz w:val="20"/>
                <w:szCs w:val="20"/>
              </w:rPr>
            </w:pPr>
            <w:r w:rsidRPr="0038321F">
              <w:rPr>
                <w:rFonts w:ascii="Times New Roman" w:eastAsia="Times New Roman" w:hAnsi="Times New Roman" w:cs="Times New Roman"/>
                <w:sz w:val="20"/>
                <w:szCs w:val="20"/>
              </w:rPr>
              <w:t>1,472,139</w:t>
            </w:r>
          </w:p>
        </w:tc>
        <w:tc>
          <w:tcPr>
            <w:tcW w:w="1800" w:type="dxa"/>
            <w:shd w:val="clear" w:color="auto" w:fill="auto"/>
            <w:noWrap/>
            <w:vAlign w:val="center"/>
          </w:tcPr>
          <w:p w14:paraId="13313EEE" w14:textId="071DC5E1" w:rsidR="00790C1E" w:rsidRPr="0038321F" w:rsidRDefault="00790C1E" w:rsidP="00953AC3">
            <w:pPr>
              <w:spacing w:before="60" w:after="60"/>
              <w:jc w:val="center"/>
              <w:rPr>
                <w:rFonts w:ascii="Times New Roman" w:eastAsia="Times New Roman" w:hAnsi="Times New Roman" w:cs="Times New Roman"/>
                <w:sz w:val="20"/>
                <w:szCs w:val="20"/>
              </w:rPr>
            </w:pPr>
            <w:r w:rsidRPr="0038321F">
              <w:rPr>
                <w:rFonts w:ascii="Times New Roman" w:eastAsia="Times New Roman" w:hAnsi="Times New Roman" w:cs="Times New Roman"/>
                <w:sz w:val="20"/>
                <w:szCs w:val="20"/>
              </w:rPr>
              <w:t>3,025,240</w:t>
            </w:r>
          </w:p>
        </w:tc>
        <w:tc>
          <w:tcPr>
            <w:tcW w:w="1805" w:type="dxa"/>
            <w:shd w:val="clear" w:color="auto" w:fill="auto"/>
            <w:noWrap/>
            <w:vAlign w:val="center"/>
          </w:tcPr>
          <w:p w14:paraId="6347E68F" w14:textId="05846763" w:rsidR="00790C1E" w:rsidRPr="0038321F" w:rsidRDefault="00790C1E" w:rsidP="00953AC3">
            <w:pPr>
              <w:spacing w:before="60" w:after="60"/>
              <w:jc w:val="center"/>
              <w:rPr>
                <w:rFonts w:ascii="Times New Roman" w:eastAsia="Times New Roman" w:hAnsi="Times New Roman" w:cs="Times New Roman"/>
                <w:sz w:val="20"/>
                <w:szCs w:val="20"/>
              </w:rPr>
            </w:pPr>
            <w:r w:rsidRPr="0038321F">
              <w:rPr>
                <w:rFonts w:ascii="Times New Roman" w:eastAsia="Times New Roman" w:hAnsi="Times New Roman" w:cs="Times New Roman"/>
                <w:sz w:val="20"/>
                <w:szCs w:val="20"/>
              </w:rPr>
              <w:t>48.7%</w:t>
            </w:r>
          </w:p>
        </w:tc>
      </w:tr>
    </w:tbl>
    <w:p w14:paraId="1D2FC159" w14:textId="77777777" w:rsidR="004312BD" w:rsidRPr="0038321F" w:rsidRDefault="004312BD" w:rsidP="004A6D18">
      <w:pPr>
        <w:ind w:left="360"/>
      </w:pPr>
    </w:p>
    <w:p w14:paraId="1AFCCC6E" w14:textId="77777777" w:rsidR="00B17492" w:rsidRPr="0038321F" w:rsidRDefault="00B17492" w:rsidP="00992E5F">
      <w:pPr>
        <w:pStyle w:val="Heading3"/>
      </w:pPr>
      <w:r w:rsidRPr="0038321F">
        <w:t xml:space="preserve">Sample Stratification </w:t>
      </w:r>
    </w:p>
    <w:p w14:paraId="33E088FC" w14:textId="2F962318" w:rsidR="00D95426" w:rsidRPr="0038321F" w:rsidRDefault="00A648B6">
      <w:pPr>
        <w:ind w:left="720"/>
      </w:pPr>
      <w:bookmarkStart w:id="6" w:name="_Hlk513540576"/>
      <w:r w:rsidRPr="0038321F">
        <w:t xml:space="preserve">The </w:t>
      </w:r>
      <w:r w:rsidR="00D95426" w:rsidRPr="0038321F">
        <w:t xml:space="preserve">pharmacists </w:t>
      </w:r>
      <w:r w:rsidRPr="0038321F">
        <w:t xml:space="preserve">sample will be </w:t>
      </w:r>
      <w:r w:rsidR="004312BD" w:rsidRPr="0038321F">
        <w:t>stratified</w:t>
      </w:r>
      <w:r w:rsidR="00B17492" w:rsidRPr="0038321F">
        <w:t xml:space="preserve"> by </w:t>
      </w:r>
      <w:r w:rsidR="005D0C4B" w:rsidRPr="0038321F">
        <w:t xml:space="preserve">QIN-QIO region. </w:t>
      </w:r>
      <w:r w:rsidR="00D95426" w:rsidRPr="0038321F">
        <w:rPr>
          <w:rFonts w:ascii="Times New Roman" w:hAnsi="Times New Roman" w:cs="Times New Roman"/>
          <w:szCs w:val="24"/>
        </w:rPr>
        <w:t>Stratification by QIN-QIO region is designed to produce a sample with a mix of pharmacists that is consistent with the national distribution of providers, but is not intended to produce reliable estimates at the individual QIN-QIO level.</w:t>
      </w:r>
      <w:r w:rsidR="00D95426" w:rsidRPr="0038321F">
        <w:rPr>
          <w:rStyle w:val="FootnoteReference"/>
          <w:rFonts w:ascii="Times New Roman" w:hAnsi="Times New Roman" w:cs="Times New Roman"/>
          <w:b/>
          <w:szCs w:val="24"/>
          <w:vertAlign w:val="superscript"/>
        </w:rPr>
        <w:footnoteReference w:id="2"/>
      </w:r>
      <w:r w:rsidR="00D95426" w:rsidRPr="0038321F">
        <w:rPr>
          <w:rFonts w:ascii="Times New Roman" w:hAnsi="Times New Roman" w:cs="Times New Roman"/>
          <w:szCs w:val="24"/>
        </w:rPr>
        <w:t xml:space="preserve"> </w:t>
      </w:r>
      <w:r w:rsidR="00D95426" w:rsidRPr="0038321F">
        <w:t>We will randomly select pharmacists within strata with the goal of having the number of surveys allocated in proportion to the total number of units in those strata. For this effort, we will focus on obtaining responses from pharmacists in community retail pharmacies.</w:t>
      </w:r>
    </w:p>
    <w:p w14:paraId="53DA960D" w14:textId="306B552A" w:rsidR="004A6D18" w:rsidRPr="0038321F" w:rsidRDefault="00D95426">
      <w:pPr>
        <w:ind w:left="720"/>
      </w:pPr>
      <w:r w:rsidRPr="0038321F">
        <w:t xml:space="preserve">The group practice sample will have three levels of stratification. Because the QIN-QIO program gives QIN-QIOs the freedom to prioritize which provider groups to </w:t>
      </w:r>
      <w:r w:rsidR="00F57A18" w:rsidRPr="0038321F">
        <w:t xml:space="preserve">target </w:t>
      </w:r>
      <w:r w:rsidRPr="0038321F">
        <w:t xml:space="preserve">to reduce adverse drug events, </w:t>
      </w:r>
      <w:r w:rsidR="00F57A18" w:rsidRPr="0038321F">
        <w:t xml:space="preserve">the sample will first be stratified at the state level into two groups: those states where QIN-QIOs work with group practice physicians only, and those states where QIN-QIOs work with physicians and physician assistants and/or nurse practitioners. </w:t>
      </w:r>
      <w:bookmarkStart w:id="7" w:name="_Hlk528316719"/>
      <w:r w:rsidR="00F57A18" w:rsidRPr="0038321F">
        <w:t>States where QIN-QIOs do not work with group practice physicians will be excluded from the sample frame</w:t>
      </w:r>
      <w:bookmarkEnd w:id="7"/>
      <w:r w:rsidR="00F57A18" w:rsidRPr="0038321F">
        <w:t>. The group practice provider sample will then be stratified by QIN-QIO region, and then by provider type (physicians, physician assistants, and nurse practitioners)</w:t>
      </w:r>
      <w:r w:rsidR="002B1E92" w:rsidRPr="0038321F">
        <w:t xml:space="preserve"> for the state group where QIN-QIO work with physicians, physician assistants, and nurse practitioners</w:t>
      </w:r>
      <w:r w:rsidR="00F57A18" w:rsidRPr="0038321F">
        <w:t xml:space="preserve">. </w:t>
      </w:r>
      <w:r w:rsidR="00EC7375" w:rsidRPr="0038321F">
        <w:t xml:space="preserve">Stratification by provider type/setting is designed to produce a sample with a mix of healthcare providers that are representative of the range of </w:t>
      </w:r>
      <w:r w:rsidR="00F57A18" w:rsidRPr="0038321F">
        <w:t>group practice providers</w:t>
      </w:r>
      <w:r w:rsidR="00EC7375" w:rsidRPr="0038321F">
        <w:t xml:space="preserve"> that QIN-QIOs are actively engaged with to promote medication safety and prevent adverse drug events. </w:t>
      </w:r>
      <w:bookmarkEnd w:id="6"/>
      <w:r w:rsidR="00EC7375" w:rsidRPr="0038321F">
        <w:t>W</w:t>
      </w:r>
      <w:r w:rsidR="004312BD" w:rsidRPr="0038321F">
        <w:t xml:space="preserve">e will randomly select </w:t>
      </w:r>
      <w:r w:rsidR="00F57A18" w:rsidRPr="0038321F">
        <w:t>group practice providers</w:t>
      </w:r>
      <w:r w:rsidR="00EB2CED" w:rsidRPr="0038321F">
        <w:t xml:space="preserve"> </w:t>
      </w:r>
      <w:r w:rsidR="004312BD" w:rsidRPr="0038321F">
        <w:t>within strata with the goal of having the number of</w:t>
      </w:r>
      <w:r w:rsidR="003B1F03" w:rsidRPr="0038321F">
        <w:t xml:space="preserve"> surveys</w:t>
      </w:r>
      <w:r w:rsidR="004312BD" w:rsidRPr="0038321F">
        <w:t xml:space="preserve"> allocated in proportion t</w:t>
      </w:r>
      <w:r w:rsidR="003B1F03" w:rsidRPr="0038321F">
        <w:t xml:space="preserve">o the total number of </w:t>
      </w:r>
      <w:r w:rsidR="00EB2CED" w:rsidRPr="0038321F">
        <w:t xml:space="preserve">units </w:t>
      </w:r>
      <w:r w:rsidR="004312BD" w:rsidRPr="0038321F">
        <w:t xml:space="preserve">in those strata. </w:t>
      </w:r>
    </w:p>
    <w:p w14:paraId="03BB640B" w14:textId="77777777" w:rsidR="0005704C" w:rsidRPr="0038321F" w:rsidRDefault="0005704C" w:rsidP="00992E5F">
      <w:pPr>
        <w:pStyle w:val="Heading3"/>
      </w:pPr>
      <w:bookmarkStart w:id="8" w:name="_Toc433627275"/>
      <w:bookmarkStart w:id="9" w:name="_Toc429570396"/>
      <w:bookmarkStart w:id="10" w:name="_Toc410331707"/>
      <w:bookmarkStart w:id="11" w:name="_Toc410331601"/>
      <w:bookmarkStart w:id="12" w:name="_Toc409601344"/>
      <w:r w:rsidRPr="0038321F">
        <w:t>Expected Response Rates</w:t>
      </w:r>
      <w:bookmarkEnd w:id="8"/>
      <w:bookmarkEnd w:id="9"/>
      <w:bookmarkEnd w:id="10"/>
      <w:bookmarkEnd w:id="11"/>
      <w:bookmarkEnd w:id="12"/>
    </w:p>
    <w:p w14:paraId="46F99C03" w14:textId="77777777" w:rsidR="001C3C3F" w:rsidRPr="0038321F" w:rsidRDefault="001C3C3F" w:rsidP="003F4706">
      <w:pPr>
        <w:ind w:left="720"/>
      </w:pPr>
      <w:r w:rsidRPr="0038321F">
        <w:t xml:space="preserve">Response rates </w:t>
      </w:r>
      <w:r w:rsidR="008A66E6" w:rsidRPr="0038321F">
        <w:t xml:space="preserve">for surveys with healthcare providers </w:t>
      </w:r>
      <w:r w:rsidR="00205273" w:rsidRPr="0038321F">
        <w:t xml:space="preserve">varies </w:t>
      </w:r>
      <w:r w:rsidRPr="0038321F">
        <w:t xml:space="preserve">as a function of the </w:t>
      </w:r>
      <w:r w:rsidR="00205273" w:rsidRPr="0038321F">
        <w:t>survey content</w:t>
      </w:r>
      <w:r w:rsidRPr="0038321F">
        <w:t xml:space="preserve"> and the </w:t>
      </w:r>
      <w:r w:rsidR="002B144D" w:rsidRPr="0038321F">
        <w:t>t</w:t>
      </w:r>
      <w:r w:rsidR="008A66E6" w:rsidRPr="0038321F">
        <w:t>ype of provider contacted</w:t>
      </w:r>
      <w:r w:rsidR="00205273" w:rsidRPr="0038321F">
        <w:t>, making estimating a</w:t>
      </w:r>
      <w:r w:rsidR="00CD6405" w:rsidRPr="0038321F">
        <w:t xml:space="preserve">n expected response rate for this study among </w:t>
      </w:r>
      <w:r w:rsidR="00205273" w:rsidRPr="0038321F">
        <w:t>multiple</w:t>
      </w:r>
      <w:r w:rsidR="00CD6405" w:rsidRPr="0038321F">
        <w:t xml:space="preserve"> providers difficult. However, Medscape typically experiences response rates in the range of </w:t>
      </w:r>
      <w:r w:rsidR="00C97F0C" w:rsidRPr="0038321F">
        <w:t>5</w:t>
      </w:r>
      <w:r w:rsidR="00CD6405" w:rsidRPr="0038321F">
        <w:t xml:space="preserve">% to </w:t>
      </w:r>
      <w:r w:rsidR="00C97F0C" w:rsidRPr="0038321F">
        <w:t>30</w:t>
      </w:r>
      <w:r w:rsidR="00CD6405" w:rsidRPr="0038321F">
        <w:t xml:space="preserve">% for studies conducted using its </w:t>
      </w:r>
      <w:r w:rsidR="00CD6405" w:rsidRPr="0038321F">
        <w:lastRenderedPageBreak/>
        <w:t>panel</w:t>
      </w:r>
      <w:r w:rsidR="00C67309" w:rsidRPr="0038321F">
        <w:t xml:space="preserve">, figures that are comparable to published results from other </w:t>
      </w:r>
      <w:r w:rsidR="003F4706" w:rsidRPr="0038321F">
        <w:t xml:space="preserve">healthcare </w:t>
      </w:r>
      <w:r w:rsidR="00C67309" w:rsidRPr="0038321F">
        <w:t>provider surveys</w:t>
      </w:r>
      <w:r w:rsidR="00CD6405" w:rsidRPr="0038321F">
        <w:t>.</w:t>
      </w:r>
      <w:r w:rsidR="00C67309" w:rsidRPr="0038321F">
        <w:rPr>
          <w:rStyle w:val="FootnoteReference"/>
          <w:vertAlign w:val="superscript"/>
        </w:rPr>
        <w:footnoteReference w:id="3"/>
      </w:r>
      <w:r w:rsidR="00CD6405" w:rsidRPr="0038321F">
        <w:t xml:space="preserve"> We will be </w:t>
      </w:r>
      <w:r w:rsidR="0063796C" w:rsidRPr="0038321F">
        <w:t xml:space="preserve">employing a number of strategies to maximize response rates among this group including the use of </w:t>
      </w:r>
      <w:r w:rsidR="008A66E6" w:rsidRPr="0038321F">
        <w:t>honoraria</w:t>
      </w:r>
      <w:r w:rsidR="0063796C" w:rsidRPr="0038321F">
        <w:t>, identifying CMS as the survey sponsor, communicating the public policy benefit of participating in the survey, and using multiple reminders</w:t>
      </w:r>
      <w:r w:rsidR="00205273" w:rsidRPr="0038321F">
        <w:t xml:space="preserve"> and contacts</w:t>
      </w:r>
      <w:r w:rsidR="0063796C" w:rsidRPr="0038321F">
        <w:t>.</w:t>
      </w:r>
    </w:p>
    <w:p w14:paraId="5120B55A" w14:textId="77777777" w:rsidR="0005704C" w:rsidRPr="0038321F" w:rsidRDefault="0005704C" w:rsidP="00B17492">
      <w:pPr>
        <w:pStyle w:val="Heading2"/>
      </w:pPr>
      <w:bookmarkStart w:id="13" w:name="_Toc433627276"/>
      <w:bookmarkStart w:id="14" w:name="_Toc429570397"/>
      <w:bookmarkStart w:id="15" w:name="_Toc410331708"/>
      <w:bookmarkStart w:id="16" w:name="_Toc410331602"/>
      <w:r w:rsidRPr="0038321F">
        <w:t>Procedures for the Collection of Information</w:t>
      </w:r>
      <w:bookmarkEnd w:id="13"/>
      <w:bookmarkEnd w:id="14"/>
      <w:bookmarkEnd w:id="15"/>
      <w:bookmarkEnd w:id="16"/>
    </w:p>
    <w:p w14:paraId="6EDA27B7" w14:textId="77777777" w:rsidR="0005704C" w:rsidRPr="0038321F" w:rsidRDefault="0005704C" w:rsidP="00D74FF4">
      <w:pPr>
        <w:pStyle w:val="Heading3"/>
      </w:pPr>
      <w:r w:rsidRPr="0038321F">
        <w:t>Statistical Methodology for Stratification and Sample Selection</w:t>
      </w:r>
    </w:p>
    <w:p w14:paraId="42329882" w14:textId="7924A63F" w:rsidR="0005704C" w:rsidRPr="0038321F" w:rsidRDefault="0005704C" w:rsidP="00BB2670">
      <w:pPr>
        <w:ind w:left="720"/>
      </w:pPr>
      <w:r w:rsidRPr="0038321F">
        <w:t xml:space="preserve">We will conduct stratified random sampling </w:t>
      </w:r>
      <w:r w:rsidR="006723BC" w:rsidRPr="0038321F">
        <w:t xml:space="preserve">as described in section 1b. </w:t>
      </w:r>
      <w:r w:rsidR="00BB2670" w:rsidRPr="0038321F">
        <w:fldChar w:fldCharType="begin"/>
      </w:r>
      <w:r w:rsidR="00BB2670" w:rsidRPr="0038321F">
        <w:instrText xml:space="preserve"> REF _Ref449625303 \h </w:instrText>
      </w:r>
      <w:r w:rsidR="00BB2670" w:rsidRPr="0038321F">
        <w:fldChar w:fldCharType="separate"/>
      </w:r>
      <w:r w:rsidR="00D62ECE" w:rsidRPr="0038321F">
        <w:t xml:space="preserve">Table </w:t>
      </w:r>
      <w:r w:rsidR="00D62ECE" w:rsidRPr="0038321F">
        <w:rPr>
          <w:noProof/>
        </w:rPr>
        <w:t>2</w:t>
      </w:r>
      <w:r w:rsidR="00BB2670" w:rsidRPr="0038321F">
        <w:fldChar w:fldCharType="end"/>
      </w:r>
      <w:r w:rsidR="00BB2670" w:rsidRPr="0038321F">
        <w:t xml:space="preserve"> </w:t>
      </w:r>
      <w:r w:rsidR="00C3273B" w:rsidRPr="0038321F">
        <w:t xml:space="preserve">and </w:t>
      </w:r>
      <w:r w:rsidR="00D62ECE">
        <w:fldChar w:fldCharType="begin"/>
      </w:r>
      <w:r w:rsidR="00D62ECE">
        <w:instrText xml:space="preserve"> REF _Ref507501406 \h </w:instrText>
      </w:r>
      <w:r w:rsidR="00D62ECE">
        <w:fldChar w:fldCharType="separate"/>
      </w:r>
      <w:r w:rsidR="00D62ECE" w:rsidRPr="0038321F">
        <w:t>Table</w:t>
      </w:r>
      <w:r w:rsidR="00D62ECE">
        <w:t> </w:t>
      </w:r>
      <w:r w:rsidR="00D62ECE" w:rsidRPr="0038321F">
        <w:rPr>
          <w:noProof/>
        </w:rPr>
        <w:t>3</w:t>
      </w:r>
      <w:r w:rsidR="00D62ECE">
        <w:fldChar w:fldCharType="end"/>
      </w:r>
      <w:r w:rsidR="00C3273B" w:rsidRPr="0038321F">
        <w:t xml:space="preserve"> </w:t>
      </w:r>
      <w:r w:rsidR="00BB2670" w:rsidRPr="0038321F">
        <w:t xml:space="preserve">show our target quotas for the </w:t>
      </w:r>
      <w:r w:rsidR="006C3362" w:rsidRPr="0038321F">
        <w:t xml:space="preserve">participating </w:t>
      </w:r>
      <w:r w:rsidR="00BB2670" w:rsidRPr="0038321F">
        <w:t xml:space="preserve">and </w:t>
      </w:r>
      <w:r w:rsidR="006C3362" w:rsidRPr="0038321F">
        <w:t xml:space="preserve">non-participating </w:t>
      </w:r>
      <w:r w:rsidR="00BB2670" w:rsidRPr="0038321F">
        <w:t xml:space="preserve">groups following stratification. We will set survey complete quotas to improve the likelihood that responses are representative. The quotas set </w:t>
      </w:r>
      <w:r w:rsidR="00C3273B" w:rsidRPr="0038321F">
        <w:t>are</w:t>
      </w:r>
      <w:r w:rsidR="00BB2670" w:rsidRPr="0038321F">
        <w:t xml:space="preserve"> similar for both the </w:t>
      </w:r>
      <w:r w:rsidR="006C3362" w:rsidRPr="0038321F">
        <w:t xml:space="preserve">participating </w:t>
      </w:r>
      <w:r w:rsidR="00BB2670" w:rsidRPr="0038321F">
        <w:t>grou</w:t>
      </w:r>
      <w:r w:rsidR="00E563E6" w:rsidRPr="0038321F">
        <w:t xml:space="preserve">p and the </w:t>
      </w:r>
      <w:r w:rsidR="006C3362" w:rsidRPr="0038321F">
        <w:t xml:space="preserve">non-participating </w:t>
      </w:r>
      <w:r w:rsidR="00E563E6" w:rsidRPr="0038321F">
        <w:t xml:space="preserve">group. </w:t>
      </w:r>
      <w:r w:rsidR="00601C39" w:rsidRPr="0038321F">
        <w:t xml:space="preserve">The distribution of providers (physicians, physician assistants, and nurse practitioners) across </w:t>
      </w:r>
      <w:r w:rsidR="002B1E92" w:rsidRPr="0038321F">
        <w:t>strata</w:t>
      </w:r>
      <w:r w:rsidR="00601C39" w:rsidRPr="0038321F">
        <w:t xml:space="preserve"> is based upon Bureau of Labor Statistics (BLS) information on the total number of providers in each profession and the share of providers in each profession working in a physicians’ office setting. </w:t>
      </w:r>
      <w:r w:rsidR="00E563E6" w:rsidRPr="0038321F">
        <w:t>Our sample will be proportionally allocated based on the distribution of provider types across QIN-QIO regions nationally</w:t>
      </w:r>
      <w:r w:rsidR="00601C39" w:rsidRPr="0038321F">
        <w:t>, although this information is based on all providers in each profession, rather than those in a physicians’ office setting, because BLS does not provide state-level data within practice setting</w:t>
      </w:r>
      <w:r w:rsidR="00E563E6" w:rsidRPr="0038321F">
        <w:t xml:space="preserve">. </w:t>
      </w:r>
      <w:r w:rsidR="00E563E6" w:rsidRPr="0038321F">
        <w:fldChar w:fldCharType="begin"/>
      </w:r>
      <w:r w:rsidR="00E563E6" w:rsidRPr="0038321F">
        <w:instrText xml:space="preserve"> REF _Ref507568664 \h </w:instrText>
      </w:r>
      <w:r w:rsidR="00E563E6" w:rsidRPr="0038321F">
        <w:fldChar w:fldCharType="separate"/>
      </w:r>
      <w:r w:rsidR="00D62ECE" w:rsidRPr="0038321F">
        <w:t xml:space="preserve">Table </w:t>
      </w:r>
      <w:r w:rsidR="00D62ECE" w:rsidRPr="0038321F">
        <w:rPr>
          <w:noProof/>
        </w:rPr>
        <w:t>4</w:t>
      </w:r>
      <w:r w:rsidR="00E563E6" w:rsidRPr="0038321F">
        <w:fldChar w:fldCharType="end"/>
      </w:r>
      <w:r w:rsidR="00E563E6" w:rsidRPr="0038321F">
        <w:t xml:space="preserve"> shows the distribution of provider types by QIN-QIO region based on results from </w:t>
      </w:r>
      <w:r w:rsidR="00601C39" w:rsidRPr="0038321F">
        <w:t xml:space="preserve">BLS </w:t>
      </w:r>
      <w:r w:rsidR="00E563E6" w:rsidRPr="0038321F">
        <w:t xml:space="preserve">in May 2016. </w:t>
      </w:r>
      <w:r w:rsidR="00601C39" w:rsidRPr="0038321F">
        <w:t>Final s</w:t>
      </w:r>
      <w:r w:rsidR="00E563E6" w:rsidRPr="0038321F">
        <w:t>t</w:t>
      </w:r>
      <w:r w:rsidR="00041370" w:rsidRPr="0038321F">
        <w:t xml:space="preserve">ratification will be conducted based on most up-to-date estimates upon study approval. </w:t>
      </w:r>
      <w:r w:rsidR="00E563E6" w:rsidRPr="0038321F">
        <w:t xml:space="preserve"> </w:t>
      </w:r>
    </w:p>
    <w:p w14:paraId="2A1184FA" w14:textId="117C1DFF" w:rsidR="0005704C" w:rsidRPr="0038321F" w:rsidRDefault="0005704C" w:rsidP="0005704C">
      <w:pPr>
        <w:pStyle w:val="Caption"/>
      </w:pPr>
      <w:bookmarkStart w:id="17" w:name="_Ref449625303"/>
      <w:r w:rsidRPr="0038321F">
        <w:t xml:space="preserve">Table </w:t>
      </w:r>
      <w:r w:rsidR="00FC5E37">
        <w:fldChar w:fldCharType="begin"/>
      </w:r>
      <w:r w:rsidR="00FC5E37">
        <w:instrText xml:space="preserve"> SEQ Table \* ARABIC </w:instrText>
      </w:r>
      <w:r w:rsidR="00FC5E37">
        <w:fldChar w:fldCharType="separate"/>
      </w:r>
      <w:r w:rsidR="00BB2670" w:rsidRPr="0038321F">
        <w:rPr>
          <w:noProof/>
        </w:rPr>
        <w:t>2</w:t>
      </w:r>
      <w:r w:rsidR="00FC5E37">
        <w:rPr>
          <w:noProof/>
        </w:rPr>
        <w:fldChar w:fldCharType="end"/>
      </w:r>
      <w:bookmarkEnd w:id="17"/>
      <w:r w:rsidR="00596ADC" w:rsidRPr="0038321F">
        <w:t>:</w:t>
      </w:r>
      <w:r w:rsidRPr="0038321F">
        <w:t xml:space="preserve"> </w:t>
      </w:r>
      <w:r w:rsidR="00BB2670" w:rsidRPr="0038321F">
        <w:t xml:space="preserve">Targets for </w:t>
      </w:r>
      <w:r w:rsidR="00121FFF" w:rsidRPr="0038321F">
        <w:t xml:space="preserve">Participating </w:t>
      </w:r>
      <w:r w:rsidR="00BB2670" w:rsidRPr="0038321F">
        <w:t xml:space="preserve">and </w:t>
      </w:r>
      <w:r w:rsidR="00CB0F47">
        <w:t>Non-P</w:t>
      </w:r>
      <w:r w:rsidR="00121FFF" w:rsidRPr="0038321F">
        <w:t>articipating</w:t>
      </w:r>
      <w:r w:rsidR="00C3273B" w:rsidRPr="0038321F">
        <w:t xml:space="preserve"> </w:t>
      </w:r>
      <w:r w:rsidR="00BB2670" w:rsidRPr="0038321F">
        <w:t>Groups</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s provides sampling plan and size for each category."/>
      </w:tblPr>
      <w:tblGrid>
        <w:gridCol w:w="7645"/>
        <w:gridCol w:w="995"/>
      </w:tblGrid>
      <w:tr w:rsidR="0038321F" w:rsidRPr="0038321F" w14:paraId="7F325498" w14:textId="77777777" w:rsidTr="00D62ECE">
        <w:trPr>
          <w:cantSplit/>
          <w:tblHeader/>
          <w:jc w:val="center"/>
        </w:trPr>
        <w:tc>
          <w:tcPr>
            <w:tcW w:w="76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7D2724D0" w14:textId="77777777" w:rsidR="00C01A6C" w:rsidRPr="0038321F" w:rsidRDefault="00C01A6C" w:rsidP="00D62ECE">
            <w:pPr>
              <w:keepNext/>
              <w:spacing w:before="40" w:after="40"/>
              <w:jc w:val="center"/>
              <w:rPr>
                <w:b/>
                <w:sz w:val="20"/>
                <w:szCs w:val="20"/>
                <w:lang w:eastAsia="zh-TW"/>
              </w:rPr>
            </w:pPr>
            <w:r w:rsidRPr="0038321F">
              <w:rPr>
                <w:b/>
                <w:sz w:val="20"/>
                <w:szCs w:val="20"/>
                <w:lang w:eastAsia="zh-TW"/>
              </w:rPr>
              <w:t>Respondent Category</w:t>
            </w:r>
          </w:p>
        </w:tc>
        <w:tc>
          <w:tcPr>
            <w:tcW w:w="9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0B8B6F1D" w14:textId="77777777" w:rsidR="00C01A6C" w:rsidRPr="0038321F" w:rsidRDefault="00C01A6C" w:rsidP="00D62ECE">
            <w:pPr>
              <w:keepNext/>
              <w:spacing w:before="40" w:after="40"/>
              <w:jc w:val="center"/>
              <w:rPr>
                <w:b/>
                <w:sz w:val="20"/>
                <w:szCs w:val="20"/>
                <w:lang w:eastAsia="zh-TW"/>
              </w:rPr>
            </w:pPr>
            <w:r w:rsidRPr="0038321F">
              <w:rPr>
                <w:b/>
                <w:sz w:val="20"/>
                <w:szCs w:val="20"/>
                <w:lang w:eastAsia="zh-TW"/>
              </w:rPr>
              <w:t>Sample Size</w:t>
            </w:r>
          </w:p>
        </w:tc>
      </w:tr>
      <w:tr w:rsidR="0038321F" w:rsidRPr="0038321F" w14:paraId="3B7F8EE6" w14:textId="77777777" w:rsidTr="00D62ECE">
        <w:trPr>
          <w:cantSplit/>
          <w:jc w:val="center"/>
        </w:trPr>
        <w:tc>
          <w:tcPr>
            <w:tcW w:w="7645" w:type="dxa"/>
            <w:tcBorders>
              <w:top w:val="single" w:sz="4" w:space="0" w:color="auto"/>
              <w:left w:val="single" w:sz="4" w:space="0" w:color="auto"/>
              <w:bottom w:val="single" w:sz="4" w:space="0" w:color="auto"/>
              <w:right w:val="single" w:sz="4" w:space="0" w:color="auto"/>
            </w:tcBorders>
            <w:shd w:val="clear" w:color="auto" w:fill="auto"/>
            <w:hideMark/>
          </w:tcPr>
          <w:p w14:paraId="48E439BD" w14:textId="7A4BFBDD" w:rsidR="00C01A6C" w:rsidRPr="0038321F" w:rsidRDefault="00C01A6C" w:rsidP="00D62ECE">
            <w:pPr>
              <w:keepNext/>
              <w:spacing w:before="40" w:after="40"/>
              <w:rPr>
                <w:sz w:val="20"/>
                <w:szCs w:val="20"/>
                <w:lang w:eastAsia="zh-TW"/>
              </w:rPr>
            </w:pPr>
            <w:r w:rsidRPr="0038321F">
              <w:rPr>
                <w:sz w:val="20"/>
                <w:szCs w:val="20"/>
                <w:lang w:eastAsia="zh-TW"/>
              </w:rPr>
              <w:t>Healthcare providers participating in the QIN-QIO program (</w:t>
            </w:r>
            <w:r w:rsidR="00121FFF" w:rsidRPr="0038321F">
              <w:rPr>
                <w:sz w:val="20"/>
                <w:szCs w:val="20"/>
                <w:lang w:eastAsia="zh-TW"/>
              </w:rPr>
              <w:t xml:space="preserve">Participating </w:t>
            </w:r>
            <w:r w:rsidRPr="0038321F">
              <w:rPr>
                <w:sz w:val="20"/>
                <w:szCs w:val="20"/>
                <w:lang w:eastAsia="zh-TW"/>
              </w:rPr>
              <w:t>Group)</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556FC258" w14:textId="77777777" w:rsidR="00C01A6C" w:rsidRPr="0038321F" w:rsidRDefault="00C01A6C" w:rsidP="00D62ECE">
            <w:pPr>
              <w:keepNext/>
              <w:spacing w:before="40" w:after="40"/>
              <w:jc w:val="center"/>
              <w:rPr>
                <w:sz w:val="20"/>
                <w:szCs w:val="20"/>
                <w:lang w:eastAsia="zh-TW"/>
              </w:rPr>
            </w:pPr>
            <w:r w:rsidRPr="0038321F">
              <w:rPr>
                <w:sz w:val="20"/>
                <w:szCs w:val="20"/>
                <w:lang w:eastAsia="zh-TW"/>
              </w:rPr>
              <w:t>600</w:t>
            </w:r>
          </w:p>
        </w:tc>
      </w:tr>
      <w:tr w:rsidR="00C01A6C" w:rsidRPr="0038321F" w14:paraId="1FD3B64F" w14:textId="77777777" w:rsidTr="00D62ECE">
        <w:trPr>
          <w:cantSplit/>
          <w:jc w:val="center"/>
        </w:trPr>
        <w:tc>
          <w:tcPr>
            <w:tcW w:w="7645" w:type="dxa"/>
            <w:tcBorders>
              <w:top w:val="single" w:sz="4" w:space="0" w:color="auto"/>
              <w:left w:val="single" w:sz="4" w:space="0" w:color="auto"/>
              <w:bottom w:val="single" w:sz="4" w:space="0" w:color="auto"/>
              <w:right w:val="single" w:sz="4" w:space="0" w:color="auto"/>
            </w:tcBorders>
            <w:shd w:val="clear" w:color="auto" w:fill="auto"/>
          </w:tcPr>
          <w:p w14:paraId="2799DABC" w14:textId="500A40D3" w:rsidR="00C01A6C" w:rsidRPr="0038321F" w:rsidRDefault="00C01A6C" w:rsidP="00D62ECE">
            <w:pPr>
              <w:spacing w:before="40" w:after="40"/>
              <w:rPr>
                <w:sz w:val="20"/>
                <w:szCs w:val="20"/>
                <w:lang w:eastAsia="zh-TW"/>
              </w:rPr>
            </w:pPr>
            <w:r w:rsidRPr="0038321F">
              <w:rPr>
                <w:sz w:val="20"/>
                <w:szCs w:val="20"/>
                <w:lang w:eastAsia="zh-TW"/>
              </w:rPr>
              <w:t>Healthcare providers not participating in the QIN-QIO program (</w:t>
            </w:r>
            <w:r w:rsidR="00121FFF" w:rsidRPr="0038321F">
              <w:rPr>
                <w:sz w:val="20"/>
                <w:szCs w:val="20"/>
                <w:lang w:eastAsia="zh-TW"/>
              </w:rPr>
              <w:t xml:space="preserve">Non-participating </w:t>
            </w:r>
            <w:r w:rsidRPr="0038321F">
              <w:rPr>
                <w:sz w:val="20"/>
                <w:szCs w:val="20"/>
                <w:lang w:eastAsia="zh-TW"/>
              </w:rPr>
              <w:t>Group)</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E5FE4A7" w14:textId="77777777" w:rsidR="00C01A6C" w:rsidRPr="0038321F" w:rsidDel="00EC63D0" w:rsidRDefault="00C01A6C" w:rsidP="00D62ECE">
            <w:pPr>
              <w:spacing w:before="40" w:after="40"/>
              <w:jc w:val="center"/>
              <w:rPr>
                <w:sz w:val="20"/>
                <w:szCs w:val="20"/>
                <w:lang w:eastAsia="zh-TW"/>
              </w:rPr>
            </w:pPr>
            <w:r w:rsidRPr="0038321F">
              <w:rPr>
                <w:sz w:val="20"/>
                <w:szCs w:val="20"/>
                <w:lang w:eastAsia="zh-TW"/>
              </w:rPr>
              <w:t>600</w:t>
            </w:r>
          </w:p>
        </w:tc>
      </w:tr>
    </w:tbl>
    <w:p w14:paraId="2CE92E52" w14:textId="053B870C" w:rsidR="00A21660" w:rsidRPr="0038321F" w:rsidRDefault="00A21660" w:rsidP="00D62ECE">
      <w:pPr>
        <w:pStyle w:val="Caption"/>
        <w:spacing w:before="240"/>
      </w:pPr>
      <w:bookmarkStart w:id="18" w:name="_Ref507501406"/>
      <w:bookmarkStart w:id="19" w:name="_Hlk528314758"/>
      <w:r w:rsidRPr="0038321F">
        <w:t>Table</w:t>
      </w:r>
      <w:r w:rsidR="00D62ECE">
        <w:t> </w:t>
      </w:r>
      <w:r w:rsidR="00FC5E37">
        <w:fldChar w:fldCharType="begin"/>
      </w:r>
      <w:r w:rsidR="00FC5E37">
        <w:instrText xml:space="preserve"> SEQ Table \* ARABIC </w:instrText>
      </w:r>
      <w:r w:rsidR="00FC5E37">
        <w:fldChar w:fldCharType="separate"/>
      </w:r>
      <w:r w:rsidR="00BB2670" w:rsidRPr="0038321F">
        <w:rPr>
          <w:noProof/>
        </w:rPr>
        <w:t>3</w:t>
      </w:r>
      <w:r w:rsidR="00FC5E37">
        <w:rPr>
          <w:noProof/>
        </w:rPr>
        <w:fldChar w:fldCharType="end"/>
      </w:r>
      <w:bookmarkEnd w:id="18"/>
      <w:r w:rsidR="00BB2670" w:rsidRPr="0038321F">
        <w:t>.</w:t>
      </w:r>
      <w:r w:rsidR="00D62ECE">
        <w:t xml:space="preserve"> </w:t>
      </w:r>
      <w:r w:rsidR="00BB2670" w:rsidRPr="0038321F">
        <w:t xml:space="preserve">Practice Type/Provider Type </w:t>
      </w:r>
      <w:r w:rsidRPr="0038321F">
        <w:t>Target</w:t>
      </w:r>
      <w:r w:rsidR="00BB2670" w:rsidRPr="0038321F">
        <w:t>s</w:t>
      </w:r>
      <w:r w:rsidRPr="0038321F">
        <w:t xml:space="preserve"> for </w:t>
      </w:r>
      <w:r w:rsidR="00984CEF" w:rsidRPr="0038321F">
        <w:t xml:space="preserve">QIN-QIO </w:t>
      </w:r>
      <w:r w:rsidR="00DC22FE" w:rsidRPr="0038321F">
        <w:t xml:space="preserve">Enrolled </w:t>
      </w:r>
      <w:r w:rsidRPr="0038321F">
        <w:t xml:space="preserve">and </w:t>
      </w:r>
      <w:r w:rsidR="00DC22FE" w:rsidRPr="0038321F">
        <w:t xml:space="preserve">Unenrolled </w:t>
      </w:r>
      <w:r w:rsidRPr="0038321F">
        <w:t>Groups</w:t>
      </w:r>
    </w:p>
    <w:tbl>
      <w:tblPr>
        <w:tblStyle w:val="TableGrid"/>
        <w:tblW w:w="0" w:type="auto"/>
        <w:tblInd w:w="355" w:type="dxa"/>
        <w:tblLook w:val="04A0" w:firstRow="1" w:lastRow="0" w:firstColumn="1" w:lastColumn="0" w:noHBand="0" w:noVBand="1"/>
        <w:tblDescription w:val="For each practice type, the table shows Provider Type, QIN-QIO Enrolled Group, andUnenrolled Group"/>
      </w:tblPr>
      <w:tblGrid>
        <w:gridCol w:w="1980"/>
        <w:gridCol w:w="2790"/>
        <w:gridCol w:w="2112"/>
        <w:gridCol w:w="2112"/>
      </w:tblGrid>
      <w:tr w:rsidR="0038321F" w:rsidRPr="0038321F" w14:paraId="677A5039" w14:textId="77777777" w:rsidTr="00D62ECE">
        <w:trPr>
          <w:cantSplit/>
          <w:tblHeader/>
        </w:trPr>
        <w:tc>
          <w:tcPr>
            <w:tcW w:w="1980" w:type="dxa"/>
            <w:shd w:val="clear" w:color="auto" w:fill="D0CECE" w:themeFill="background2" w:themeFillShade="E6"/>
            <w:vAlign w:val="bottom"/>
          </w:tcPr>
          <w:p w14:paraId="08A2D702" w14:textId="77777777" w:rsidR="00A21660" w:rsidRPr="0038321F" w:rsidRDefault="00A21660" w:rsidP="00D62ECE">
            <w:pPr>
              <w:spacing w:before="40" w:after="40"/>
              <w:jc w:val="center"/>
              <w:rPr>
                <w:b/>
                <w:sz w:val="20"/>
              </w:rPr>
            </w:pPr>
            <w:bookmarkStart w:id="20" w:name="_Hlk513567755"/>
            <w:r w:rsidRPr="0038321F">
              <w:rPr>
                <w:b/>
                <w:sz w:val="20"/>
              </w:rPr>
              <w:t>Practice Type</w:t>
            </w:r>
          </w:p>
        </w:tc>
        <w:tc>
          <w:tcPr>
            <w:tcW w:w="2790" w:type="dxa"/>
            <w:shd w:val="clear" w:color="auto" w:fill="D0CECE" w:themeFill="background2" w:themeFillShade="E6"/>
            <w:vAlign w:val="bottom"/>
          </w:tcPr>
          <w:p w14:paraId="6A1F2BAF" w14:textId="77777777" w:rsidR="00A21660" w:rsidRPr="0038321F" w:rsidRDefault="00A21660" w:rsidP="00D62ECE">
            <w:pPr>
              <w:spacing w:before="40" w:after="40"/>
              <w:jc w:val="center"/>
              <w:rPr>
                <w:b/>
                <w:sz w:val="20"/>
              </w:rPr>
            </w:pPr>
            <w:r w:rsidRPr="0038321F">
              <w:rPr>
                <w:b/>
                <w:sz w:val="20"/>
              </w:rPr>
              <w:t>Provider Type</w:t>
            </w:r>
          </w:p>
        </w:tc>
        <w:tc>
          <w:tcPr>
            <w:tcW w:w="2112" w:type="dxa"/>
            <w:shd w:val="clear" w:color="auto" w:fill="D0CECE" w:themeFill="background2" w:themeFillShade="E6"/>
            <w:vAlign w:val="bottom"/>
          </w:tcPr>
          <w:p w14:paraId="48DBCF1C" w14:textId="3465BC17" w:rsidR="00A21660" w:rsidRPr="0038321F" w:rsidRDefault="00984CEF" w:rsidP="00D62ECE">
            <w:pPr>
              <w:spacing w:before="40" w:after="40"/>
              <w:jc w:val="center"/>
              <w:rPr>
                <w:b/>
                <w:sz w:val="20"/>
              </w:rPr>
            </w:pPr>
            <w:r w:rsidRPr="0038321F">
              <w:rPr>
                <w:b/>
                <w:sz w:val="20"/>
              </w:rPr>
              <w:t xml:space="preserve">QIN-QIO </w:t>
            </w:r>
            <w:r w:rsidR="00121FFF" w:rsidRPr="0038321F">
              <w:rPr>
                <w:b/>
                <w:sz w:val="20"/>
              </w:rPr>
              <w:t xml:space="preserve">Participating </w:t>
            </w:r>
            <w:r w:rsidR="00A21660" w:rsidRPr="0038321F">
              <w:rPr>
                <w:b/>
                <w:sz w:val="20"/>
              </w:rPr>
              <w:t>Group</w:t>
            </w:r>
          </w:p>
        </w:tc>
        <w:tc>
          <w:tcPr>
            <w:tcW w:w="2112" w:type="dxa"/>
            <w:shd w:val="clear" w:color="auto" w:fill="D0CECE" w:themeFill="background2" w:themeFillShade="E6"/>
            <w:vAlign w:val="bottom"/>
          </w:tcPr>
          <w:p w14:paraId="33A54CA6" w14:textId="3DED853D" w:rsidR="00A21660" w:rsidRPr="0038321F" w:rsidRDefault="00121FFF" w:rsidP="00D62ECE">
            <w:pPr>
              <w:spacing w:before="40" w:after="40"/>
              <w:jc w:val="center"/>
              <w:rPr>
                <w:b/>
                <w:sz w:val="20"/>
              </w:rPr>
            </w:pPr>
            <w:r w:rsidRPr="0038321F">
              <w:rPr>
                <w:b/>
                <w:sz w:val="20"/>
              </w:rPr>
              <w:t xml:space="preserve">Non-participating </w:t>
            </w:r>
            <w:r w:rsidR="00A21660" w:rsidRPr="0038321F">
              <w:rPr>
                <w:b/>
                <w:sz w:val="20"/>
              </w:rPr>
              <w:t>Group</w:t>
            </w:r>
          </w:p>
        </w:tc>
      </w:tr>
      <w:tr w:rsidR="00D62ECE" w:rsidRPr="0038321F" w14:paraId="27C2EDC0" w14:textId="77777777" w:rsidTr="00D62ECE">
        <w:trPr>
          <w:cantSplit/>
        </w:trPr>
        <w:tc>
          <w:tcPr>
            <w:tcW w:w="1980" w:type="dxa"/>
            <w:tcBorders>
              <w:bottom w:val="single" w:sz="4" w:space="0" w:color="auto"/>
            </w:tcBorders>
            <w:vAlign w:val="center"/>
          </w:tcPr>
          <w:p w14:paraId="7AC52063" w14:textId="3FA3C3E6" w:rsidR="00D62ECE" w:rsidRPr="0038321F" w:rsidRDefault="00D62ECE" w:rsidP="00D62ECE">
            <w:pPr>
              <w:spacing w:before="40" w:after="40"/>
              <w:rPr>
                <w:sz w:val="20"/>
              </w:rPr>
            </w:pPr>
            <w:r w:rsidRPr="0038321F">
              <w:rPr>
                <w:sz w:val="20"/>
              </w:rPr>
              <w:t>Retail pharmacies</w:t>
            </w:r>
          </w:p>
        </w:tc>
        <w:tc>
          <w:tcPr>
            <w:tcW w:w="2790" w:type="dxa"/>
          </w:tcPr>
          <w:p w14:paraId="77785F16" w14:textId="089F2CBE" w:rsidR="00D62ECE" w:rsidRPr="0038321F" w:rsidRDefault="00D62ECE" w:rsidP="00D62ECE">
            <w:pPr>
              <w:spacing w:before="40" w:after="40"/>
              <w:rPr>
                <w:sz w:val="20"/>
              </w:rPr>
            </w:pPr>
            <w:r w:rsidRPr="0038321F">
              <w:rPr>
                <w:sz w:val="20"/>
              </w:rPr>
              <w:t>Pharmacists</w:t>
            </w:r>
          </w:p>
        </w:tc>
        <w:tc>
          <w:tcPr>
            <w:tcW w:w="2112" w:type="dxa"/>
            <w:vAlign w:val="center"/>
          </w:tcPr>
          <w:p w14:paraId="5FE4C933" w14:textId="5D8434DC" w:rsidR="00D62ECE" w:rsidRPr="0038321F" w:rsidRDefault="00D62ECE" w:rsidP="00D62ECE">
            <w:pPr>
              <w:spacing w:before="40" w:after="40"/>
              <w:jc w:val="center"/>
              <w:rPr>
                <w:sz w:val="20"/>
              </w:rPr>
            </w:pPr>
            <w:r w:rsidRPr="0038321F">
              <w:rPr>
                <w:sz w:val="20"/>
              </w:rPr>
              <w:t>300</w:t>
            </w:r>
          </w:p>
        </w:tc>
        <w:tc>
          <w:tcPr>
            <w:tcW w:w="2112" w:type="dxa"/>
            <w:vAlign w:val="center"/>
          </w:tcPr>
          <w:p w14:paraId="67078D41" w14:textId="33ECD2D6" w:rsidR="00D62ECE" w:rsidRPr="0038321F" w:rsidRDefault="00D62ECE" w:rsidP="00D62ECE">
            <w:pPr>
              <w:spacing w:before="40" w:after="40"/>
              <w:jc w:val="center"/>
              <w:rPr>
                <w:sz w:val="20"/>
              </w:rPr>
            </w:pPr>
            <w:r w:rsidRPr="0038321F">
              <w:rPr>
                <w:sz w:val="20"/>
              </w:rPr>
              <w:t>300</w:t>
            </w:r>
          </w:p>
        </w:tc>
      </w:tr>
      <w:tr w:rsidR="00D62ECE" w:rsidRPr="0038321F" w14:paraId="6D02884D" w14:textId="77777777" w:rsidTr="00D62ECE">
        <w:trPr>
          <w:cantSplit/>
        </w:trPr>
        <w:tc>
          <w:tcPr>
            <w:tcW w:w="1980" w:type="dxa"/>
            <w:tcBorders>
              <w:bottom w:val="nil"/>
            </w:tcBorders>
            <w:vAlign w:val="center"/>
          </w:tcPr>
          <w:p w14:paraId="1BDFAE0F" w14:textId="31403EBE" w:rsidR="00D62ECE" w:rsidRPr="0038321F" w:rsidRDefault="00D62ECE" w:rsidP="00D62ECE">
            <w:pPr>
              <w:spacing w:before="40" w:after="40"/>
              <w:rPr>
                <w:sz w:val="20"/>
              </w:rPr>
            </w:pPr>
            <w:r w:rsidRPr="0038321F">
              <w:rPr>
                <w:sz w:val="20"/>
              </w:rPr>
              <w:t>Group practice</w:t>
            </w:r>
          </w:p>
        </w:tc>
        <w:tc>
          <w:tcPr>
            <w:tcW w:w="2790" w:type="dxa"/>
          </w:tcPr>
          <w:p w14:paraId="6F2531EA" w14:textId="75708724" w:rsidR="00D62ECE" w:rsidRPr="0038321F" w:rsidRDefault="00D62ECE" w:rsidP="00D62ECE">
            <w:pPr>
              <w:spacing w:before="40" w:after="40"/>
              <w:rPr>
                <w:sz w:val="20"/>
              </w:rPr>
            </w:pPr>
            <w:r w:rsidRPr="0038321F">
              <w:rPr>
                <w:sz w:val="20"/>
              </w:rPr>
              <w:t xml:space="preserve">Physicians </w:t>
            </w:r>
          </w:p>
        </w:tc>
        <w:tc>
          <w:tcPr>
            <w:tcW w:w="2112" w:type="dxa"/>
            <w:vAlign w:val="center"/>
          </w:tcPr>
          <w:p w14:paraId="00F8CE41" w14:textId="78FD6C3B" w:rsidR="00D62ECE" w:rsidRPr="0038321F" w:rsidRDefault="00D62ECE" w:rsidP="00D62ECE">
            <w:pPr>
              <w:spacing w:before="40" w:after="40"/>
              <w:jc w:val="center"/>
              <w:rPr>
                <w:sz w:val="20"/>
              </w:rPr>
            </w:pPr>
            <w:r w:rsidRPr="0038321F">
              <w:rPr>
                <w:sz w:val="20"/>
              </w:rPr>
              <w:t>201</w:t>
            </w:r>
          </w:p>
        </w:tc>
        <w:tc>
          <w:tcPr>
            <w:tcW w:w="2112" w:type="dxa"/>
            <w:vAlign w:val="center"/>
          </w:tcPr>
          <w:p w14:paraId="640D4AFC" w14:textId="2D2E12E3" w:rsidR="00D62ECE" w:rsidRPr="0038321F" w:rsidRDefault="00D62ECE" w:rsidP="00D62ECE">
            <w:pPr>
              <w:spacing w:before="40" w:after="40"/>
              <w:jc w:val="center"/>
              <w:rPr>
                <w:sz w:val="20"/>
              </w:rPr>
            </w:pPr>
            <w:r w:rsidRPr="0038321F">
              <w:rPr>
                <w:sz w:val="20"/>
              </w:rPr>
              <w:t>201</w:t>
            </w:r>
          </w:p>
        </w:tc>
      </w:tr>
      <w:tr w:rsidR="00D62ECE" w:rsidRPr="0038321F" w14:paraId="46A3AF2C" w14:textId="77777777" w:rsidTr="00D62ECE">
        <w:trPr>
          <w:cantSplit/>
        </w:trPr>
        <w:tc>
          <w:tcPr>
            <w:tcW w:w="1980" w:type="dxa"/>
            <w:tcBorders>
              <w:top w:val="nil"/>
              <w:bottom w:val="nil"/>
            </w:tcBorders>
            <w:vAlign w:val="center"/>
          </w:tcPr>
          <w:p w14:paraId="2DF85876" w14:textId="08B3DE43" w:rsidR="00D62ECE" w:rsidRPr="00D62ECE" w:rsidRDefault="00D62ECE" w:rsidP="00D62ECE">
            <w:pPr>
              <w:spacing w:before="40" w:after="40"/>
              <w:rPr>
                <w:color w:val="FFFFFF" w:themeColor="background1"/>
                <w:sz w:val="20"/>
              </w:rPr>
            </w:pPr>
            <w:r w:rsidRPr="00D62ECE">
              <w:rPr>
                <w:color w:val="FFFFFF" w:themeColor="background1"/>
                <w:sz w:val="20"/>
              </w:rPr>
              <w:t>Group practice</w:t>
            </w:r>
          </w:p>
        </w:tc>
        <w:tc>
          <w:tcPr>
            <w:tcW w:w="2790" w:type="dxa"/>
          </w:tcPr>
          <w:p w14:paraId="2B666C07" w14:textId="5B976741" w:rsidR="00D62ECE" w:rsidRPr="0038321F" w:rsidRDefault="00D62ECE" w:rsidP="00D62ECE">
            <w:pPr>
              <w:spacing w:before="40" w:after="40"/>
              <w:rPr>
                <w:sz w:val="20"/>
              </w:rPr>
            </w:pPr>
            <w:r w:rsidRPr="0038321F">
              <w:rPr>
                <w:sz w:val="20"/>
              </w:rPr>
              <w:t>Physician assistants</w:t>
            </w:r>
          </w:p>
        </w:tc>
        <w:tc>
          <w:tcPr>
            <w:tcW w:w="2112" w:type="dxa"/>
            <w:vAlign w:val="center"/>
          </w:tcPr>
          <w:p w14:paraId="134B151F" w14:textId="5A610BD1" w:rsidR="00D62ECE" w:rsidRPr="0038321F" w:rsidRDefault="00D62ECE" w:rsidP="00D62ECE">
            <w:pPr>
              <w:spacing w:before="40" w:after="40"/>
              <w:jc w:val="center"/>
              <w:rPr>
                <w:sz w:val="20"/>
              </w:rPr>
            </w:pPr>
            <w:r w:rsidRPr="0038321F">
              <w:rPr>
                <w:sz w:val="20"/>
              </w:rPr>
              <w:t>42</w:t>
            </w:r>
          </w:p>
        </w:tc>
        <w:tc>
          <w:tcPr>
            <w:tcW w:w="2112" w:type="dxa"/>
            <w:vAlign w:val="center"/>
          </w:tcPr>
          <w:p w14:paraId="4276122A" w14:textId="580F3DA5" w:rsidR="00D62ECE" w:rsidRPr="0038321F" w:rsidRDefault="00D62ECE" w:rsidP="00D62ECE">
            <w:pPr>
              <w:spacing w:before="40" w:after="40"/>
              <w:jc w:val="center"/>
              <w:rPr>
                <w:sz w:val="20"/>
              </w:rPr>
            </w:pPr>
            <w:r w:rsidRPr="0038321F">
              <w:rPr>
                <w:sz w:val="20"/>
              </w:rPr>
              <w:t>42</w:t>
            </w:r>
          </w:p>
        </w:tc>
      </w:tr>
      <w:tr w:rsidR="00D62ECE" w:rsidRPr="0038321F" w14:paraId="4E0C8A03" w14:textId="77777777" w:rsidTr="00D62ECE">
        <w:trPr>
          <w:cantSplit/>
        </w:trPr>
        <w:tc>
          <w:tcPr>
            <w:tcW w:w="1980" w:type="dxa"/>
            <w:tcBorders>
              <w:top w:val="nil"/>
            </w:tcBorders>
            <w:vAlign w:val="center"/>
          </w:tcPr>
          <w:p w14:paraId="4EA2DAE9" w14:textId="77625EA4" w:rsidR="00D62ECE" w:rsidRPr="00D62ECE" w:rsidRDefault="00D62ECE" w:rsidP="00D62ECE">
            <w:pPr>
              <w:spacing w:before="40" w:after="40"/>
              <w:rPr>
                <w:color w:val="FFFFFF" w:themeColor="background1"/>
                <w:sz w:val="20"/>
              </w:rPr>
            </w:pPr>
            <w:r w:rsidRPr="00D62ECE">
              <w:rPr>
                <w:color w:val="FFFFFF" w:themeColor="background1"/>
                <w:sz w:val="20"/>
              </w:rPr>
              <w:t>Group practice</w:t>
            </w:r>
          </w:p>
        </w:tc>
        <w:tc>
          <w:tcPr>
            <w:tcW w:w="2790" w:type="dxa"/>
          </w:tcPr>
          <w:p w14:paraId="58B4FBA7" w14:textId="5BBCD249" w:rsidR="00D62ECE" w:rsidRPr="0038321F" w:rsidRDefault="00D62ECE" w:rsidP="00D62ECE">
            <w:pPr>
              <w:spacing w:before="40" w:after="40"/>
              <w:rPr>
                <w:sz w:val="20"/>
              </w:rPr>
            </w:pPr>
            <w:r w:rsidRPr="0038321F">
              <w:rPr>
                <w:sz w:val="20"/>
              </w:rPr>
              <w:t>Nurse practitioners</w:t>
            </w:r>
          </w:p>
        </w:tc>
        <w:tc>
          <w:tcPr>
            <w:tcW w:w="2112" w:type="dxa"/>
            <w:vAlign w:val="center"/>
          </w:tcPr>
          <w:p w14:paraId="32271BCC" w14:textId="75DC1135" w:rsidR="00D62ECE" w:rsidRPr="0038321F" w:rsidRDefault="00D62ECE" w:rsidP="00D62ECE">
            <w:pPr>
              <w:spacing w:before="40" w:after="40"/>
              <w:jc w:val="center"/>
              <w:rPr>
                <w:sz w:val="20"/>
              </w:rPr>
            </w:pPr>
            <w:r w:rsidRPr="0038321F">
              <w:rPr>
                <w:sz w:val="20"/>
              </w:rPr>
              <w:t>57</w:t>
            </w:r>
          </w:p>
        </w:tc>
        <w:tc>
          <w:tcPr>
            <w:tcW w:w="2112" w:type="dxa"/>
            <w:vAlign w:val="center"/>
          </w:tcPr>
          <w:p w14:paraId="21622AB1" w14:textId="168D2487" w:rsidR="00D62ECE" w:rsidRPr="0038321F" w:rsidRDefault="00D62ECE" w:rsidP="00D62ECE">
            <w:pPr>
              <w:spacing w:before="40" w:after="40"/>
              <w:jc w:val="center"/>
              <w:rPr>
                <w:sz w:val="20"/>
              </w:rPr>
            </w:pPr>
            <w:r w:rsidRPr="0038321F">
              <w:rPr>
                <w:sz w:val="20"/>
              </w:rPr>
              <w:t>57</w:t>
            </w:r>
          </w:p>
        </w:tc>
      </w:tr>
    </w:tbl>
    <w:p w14:paraId="3B0FD8D7" w14:textId="20F05131" w:rsidR="00BB2670" w:rsidRPr="0038321F" w:rsidRDefault="00BB2670" w:rsidP="00BB2670">
      <w:pPr>
        <w:pStyle w:val="Caption"/>
      </w:pPr>
      <w:bookmarkStart w:id="21" w:name="_Ref507568664"/>
      <w:bookmarkEnd w:id="19"/>
      <w:bookmarkEnd w:id="20"/>
      <w:r w:rsidRPr="0038321F">
        <w:t xml:space="preserve">Table </w:t>
      </w:r>
      <w:r w:rsidR="00FC5E37">
        <w:fldChar w:fldCharType="begin"/>
      </w:r>
      <w:r w:rsidR="00FC5E37">
        <w:instrText xml:space="preserve"> SEQ Table \* ARABIC </w:instrText>
      </w:r>
      <w:r w:rsidR="00FC5E37">
        <w:fldChar w:fldCharType="separate"/>
      </w:r>
      <w:r w:rsidRPr="0038321F">
        <w:rPr>
          <w:noProof/>
        </w:rPr>
        <w:t>4</w:t>
      </w:r>
      <w:r w:rsidR="00FC5E37">
        <w:rPr>
          <w:noProof/>
        </w:rPr>
        <w:fldChar w:fldCharType="end"/>
      </w:r>
      <w:bookmarkEnd w:id="21"/>
      <w:r w:rsidRPr="0038321F">
        <w:t xml:space="preserve">. </w:t>
      </w:r>
      <w:r w:rsidR="00E563E6" w:rsidRPr="0038321F">
        <w:t xml:space="preserve">Distribution of </w:t>
      </w:r>
      <w:r w:rsidR="00CA0118" w:rsidRPr="0038321F">
        <w:t>Pharmacists</w:t>
      </w:r>
      <w:r w:rsidR="00E563E6" w:rsidRPr="0038321F">
        <w:t xml:space="preserve"> by QIN-QIO Region</w:t>
      </w:r>
      <w:r w:rsidR="00CF3EE7">
        <w:t xml:space="preserve"> per the Bureau of Labor </w:t>
      </w:r>
      <w:r w:rsidR="00C97F0C" w:rsidRPr="0038321F">
        <w:t>Statistics</w:t>
      </w:r>
      <w:r w:rsidR="00AA6C44" w:rsidRPr="0038321F">
        <w:t xml:space="preserve"> (BLS)</w:t>
      </w:r>
      <w:r w:rsidR="00C97F0C" w:rsidRPr="0038321F">
        <w:t xml:space="preserve"> for May 2016</w:t>
      </w:r>
      <w:r w:rsidR="00EB2CED" w:rsidRPr="0038321F">
        <w:t xml:space="preserve"> </w:t>
      </w:r>
    </w:p>
    <w:tbl>
      <w:tblPr>
        <w:tblStyle w:val="TableGrid"/>
        <w:tblW w:w="0" w:type="auto"/>
        <w:tblInd w:w="720" w:type="dxa"/>
        <w:tblLook w:val="04A0" w:firstRow="1" w:lastRow="0" w:firstColumn="1" w:lastColumn="0" w:noHBand="0" w:noVBand="1"/>
        <w:tblDescription w:val="Table shows percent of providers per QIN"/>
      </w:tblPr>
      <w:tblGrid>
        <w:gridCol w:w="2875"/>
        <w:gridCol w:w="1728"/>
        <w:gridCol w:w="2131"/>
        <w:gridCol w:w="1896"/>
      </w:tblGrid>
      <w:tr w:rsidR="0038321F" w:rsidRPr="0038321F" w14:paraId="26DE1F30" w14:textId="0E2096C6" w:rsidTr="00D62ECE">
        <w:trPr>
          <w:tblHeader/>
        </w:trPr>
        <w:tc>
          <w:tcPr>
            <w:tcW w:w="2875" w:type="dxa"/>
            <w:shd w:val="clear" w:color="auto" w:fill="A6A6A6" w:themeFill="background1" w:themeFillShade="A6"/>
            <w:vAlign w:val="bottom"/>
          </w:tcPr>
          <w:p w14:paraId="0AA61A02" w14:textId="74F4E894" w:rsidR="00AA6C44" w:rsidRPr="0038321F" w:rsidRDefault="00AA6C44" w:rsidP="00D62ECE">
            <w:pPr>
              <w:spacing w:before="40" w:after="40"/>
              <w:jc w:val="center"/>
              <w:rPr>
                <w:rFonts w:asciiTheme="majorHAnsi" w:hAnsiTheme="majorHAnsi" w:cstheme="majorHAnsi"/>
                <w:b/>
                <w:sz w:val="18"/>
                <w:szCs w:val="18"/>
              </w:rPr>
            </w:pPr>
            <w:r w:rsidRPr="0038321F">
              <w:rPr>
                <w:rFonts w:asciiTheme="majorHAnsi" w:hAnsiTheme="majorHAnsi" w:cstheme="majorHAnsi"/>
                <w:b/>
                <w:sz w:val="18"/>
                <w:szCs w:val="18"/>
              </w:rPr>
              <w:t>QIN-QIO Region</w:t>
            </w:r>
            <w:r w:rsidR="00B11C4B" w:rsidRPr="0038321F">
              <w:rPr>
                <w:rFonts w:asciiTheme="majorHAnsi" w:hAnsiTheme="majorHAnsi" w:cstheme="majorHAnsi"/>
                <w:b/>
                <w:sz w:val="18"/>
                <w:szCs w:val="18"/>
              </w:rPr>
              <w:t xml:space="preserve"> / States</w:t>
            </w:r>
          </w:p>
        </w:tc>
        <w:tc>
          <w:tcPr>
            <w:tcW w:w="1728" w:type="dxa"/>
            <w:shd w:val="clear" w:color="auto" w:fill="A6A6A6" w:themeFill="background1" w:themeFillShade="A6"/>
            <w:vAlign w:val="bottom"/>
          </w:tcPr>
          <w:p w14:paraId="40AC2397" w14:textId="57246519" w:rsidR="00AA6C44" w:rsidRPr="0038321F" w:rsidRDefault="00AA6C44" w:rsidP="00D62ECE">
            <w:pPr>
              <w:spacing w:before="40" w:after="40"/>
              <w:jc w:val="center"/>
              <w:rPr>
                <w:rFonts w:asciiTheme="majorHAnsi" w:hAnsiTheme="majorHAnsi" w:cstheme="majorHAnsi"/>
                <w:b/>
                <w:sz w:val="18"/>
                <w:szCs w:val="18"/>
              </w:rPr>
            </w:pPr>
            <w:r w:rsidRPr="0038321F">
              <w:rPr>
                <w:rFonts w:asciiTheme="majorHAnsi" w:hAnsiTheme="majorHAnsi" w:cstheme="majorHAnsi"/>
                <w:b/>
                <w:sz w:val="18"/>
                <w:szCs w:val="18"/>
              </w:rPr>
              <w:t>% Distribution Based on BLS</w:t>
            </w:r>
          </w:p>
        </w:tc>
        <w:tc>
          <w:tcPr>
            <w:tcW w:w="2131" w:type="dxa"/>
            <w:shd w:val="clear" w:color="auto" w:fill="A6A6A6" w:themeFill="background1" w:themeFillShade="A6"/>
            <w:vAlign w:val="bottom"/>
          </w:tcPr>
          <w:p w14:paraId="07B558FD" w14:textId="147DA486" w:rsidR="00AA6C44" w:rsidRPr="0038321F" w:rsidRDefault="00AA6C44" w:rsidP="00D62ECE">
            <w:pPr>
              <w:spacing w:before="40" w:after="40"/>
              <w:jc w:val="center"/>
              <w:rPr>
                <w:rFonts w:asciiTheme="majorHAnsi" w:hAnsiTheme="majorHAnsi" w:cstheme="majorHAnsi"/>
                <w:b/>
                <w:sz w:val="18"/>
                <w:szCs w:val="18"/>
              </w:rPr>
            </w:pPr>
            <w:r w:rsidRPr="0038321F">
              <w:rPr>
                <w:rFonts w:asciiTheme="majorHAnsi" w:hAnsiTheme="majorHAnsi" w:cstheme="majorHAnsi"/>
                <w:b/>
                <w:sz w:val="18"/>
                <w:szCs w:val="18"/>
              </w:rPr>
              <w:t>Estimated Sample N (</w:t>
            </w:r>
            <w:r w:rsidR="006C3362" w:rsidRPr="0038321F">
              <w:rPr>
                <w:rFonts w:asciiTheme="majorHAnsi" w:hAnsiTheme="majorHAnsi" w:cstheme="majorHAnsi"/>
                <w:b/>
                <w:sz w:val="18"/>
                <w:szCs w:val="18"/>
              </w:rPr>
              <w:t>Participating</w:t>
            </w:r>
            <w:r w:rsidRPr="0038321F">
              <w:rPr>
                <w:rFonts w:asciiTheme="majorHAnsi" w:hAnsiTheme="majorHAnsi" w:cstheme="majorHAnsi"/>
                <w:b/>
                <w:sz w:val="18"/>
                <w:szCs w:val="18"/>
              </w:rPr>
              <w:t>)</w:t>
            </w:r>
          </w:p>
        </w:tc>
        <w:tc>
          <w:tcPr>
            <w:tcW w:w="1896" w:type="dxa"/>
            <w:shd w:val="clear" w:color="auto" w:fill="A6A6A6" w:themeFill="background1" w:themeFillShade="A6"/>
            <w:vAlign w:val="bottom"/>
          </w:tcPr>
          <w:p w14:paraId="1344EC18" w14:textId="0AC88FAA" w:rsidR="00AA6C44" w:rsidRPr="0038321F" w:rsidRDefault="00AA6C44" w:rsidP="00D62ECE">
            <w:pPr>
              <w:spacing w:before="40" w:after="40"/>
              <w:jc w:val="center"/>
              <w:rPr>
                <w:rFonts w:asciiTheme="majorHAnsi" w:hAnsiTheme="majorHAnsi" w:cstheme="majorHAnsi"/>
                <w:b/>
                <w:sz w:val="18"/>
                <w:szCs w:val="18"/>
              </w:rPr>
            </w:pPr>
            <w:r w:rsidRPr="0038321F">
              <w:rPr>
                <w:rFonts w:asciiTheme="majorHAnsi" w:hAnsiTheme="majorHAnsi" w:cstheme="majorHAnsi"/>
                <w:b/>
                <w:sz w:val="18"/>
                <w:szCs w:val="18"/>
              </w:rPr>
              <w:t>Estimated Sample N (</w:t>
            </w:r>
            <w:r w:rsidR="006C3362" w:rsidRPr="0038321F">
              <w:rPr>
                <w:rFonts w:asciiTheme="majorHAnsi" w:hAnsiTheme="majorHAnsi" w:cstheme="majorHAnsi"/>
                <w:b/>
                <w:sz w:val="18"/>
                <w:szCs w:val="18"/>
              </w:rPr>
              <w:t>Non-participating</w:t>
            </w:r>
            <w:r w:rsidRPr="0038321F">
              <w:rPr>
                <w:rFonts w:asciiTheme="majorHAnsi" w:hAnsiTheme="majorHAnsi" w:cstheme="majorHAnsi"/>
                <w:b/>
                <w:sz w:val="18"/>
                <w:szCs w:val="18"/>
              </w:rPr>
              <w:t>)</w:t>
            </w:r>
          </w:p>
        </w:tc>
      </w:tr>
      <w:tr w:rsidR="0038321F" w:rsidRPr="0038321F" w14:paraId="4A15BB27" w14:textId="5622171B" w:rsidTr="006C3362">
        <w:tc>
          <w:tcPr>
            <w:tcW w:w="2875" w:type="dxa"/>
            <w:vAlign w:val="bottom"/>
          </w:tcPr>
          <w:p w14:paraId="09B8618D" w14:textId="3D797C9B" w:rsidR="00AA6C44" w:rsidRPr="0038321F" w:rsidRDefault="00AA6C44" w:rsidP="00D62ECE">
            <w:pPr>
              <w:spacing w:before="40" w:after="40"/>
              <w:rPr>
                <w:rFonts w:asciiTheme="majorHAnsi" w:hAnsiTheme="majorHAnsi" w:cstheme="majorHAnsi"/>
                <w:sz w:val="18"/>
                <w:szCs w:val="18"/>
              </w:rPr>
            </w:pPr>
            <w:r w:rsidRPr="0038321F">
              <w:rPr>
                <w:rFonts w:asciiTheme="majorHAnsi" w:hAnsiTheme="majorHAnsi" w:cstheme="majorHAnsi"/>
                <w:sz w:val="18"/>
                <w:szCs w:val="18"/>
              </w:rPr>
              <w:t>QIN F</w:t>
            </w:r>
            <w:r w:rsidR="00B11C4B" w:rsidRPr="0038321F">
              <w:rPr>
                <w:rFonts w:asciiTheme="majorHAnsi" w:hAnsiTheme="majorHAnsi" w:cstheme="majorHAnsi"/>
                <w:sz w:val="18"/>
                <w:szCs w:val="18"/>
              </w:rPr>
              <w:t xml:space="preserve"> (GA, NC)</w:t>
            </w:r>
          </w:p>
        </w:tc>
        <w:tc>
          <w:tcPr>
            <w:tcW w:w="1728" w:type="dxa"/>
            <w:vAlign w:val="bottom"/>
          </w:tcPr>
          <w:p w14:paraId="1CBAECA8" w14:textId="7740A611"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6.2%</w:t>
            </w:r>
          </w:p>
        </w:tc>
        <w:tc>
          <w:tcPr>
            <w:tcW w:w="2131" w:type="dxa"/>
            <w:vAlign w:val="bottom"/>
          </w:tcPr>
          <w:p w14:paraId="1643B2DB" w14:textId="2F4C1871"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19</w:t>
            </w:r>
          </w:p>
        </w:tc>
        <w:tc>
          <w:tcPr>
            <w:tcW w:w="1896" w:type="dxa"/>
            <w:vAlign w:val="bottom"/>
          </w:tcPr>
          <w:p w14:paraId="74DD3E19" w14:textId="69AA8606"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19</w:t>
            </w:r>
          </w:p>
        </w:tc>
      </w:tr>
      <w:tr w:rsidR="0038321F" w:rsidRPr="0038321F" w14:paraId="578EC4E5" w14:textId="66A4365F" w:rsidTr="006C3362">
        <w:tc>
          <w:tcPr>
            <w:tcW w:w="2875" w:type="dxa"/>
            <w:vAlign w:val="bottom"/>
          </w:tcPr>
          <w:p w14:paraId="3EB9AF82" w14:textId="3DAF0220" w:rsidR="00AA6C44" w:rsidRPr="0038321F" w:rsidRDefault="00AA6C44" w:rsidP="00D62ECE">
            <w:pPr>
              <w:spacing w:before="40" w:after="40"/>
              <w:rPr>
                <w:rFonts w:asciiTheme="majorHAnsi" w:hAnsiTheme="majorHAnsi" w:cstheme="majorHAnsi"/>
                <w:sz w:val="18"/>
                <w:szCs w:val="18"/>
              </w:rPr>
            </w:pPr>
            <w:r w:rsidRPr="0038321F">
              <w:rPr>
                <w:rFonts w:asciiTheme="majorHAnsi" w:hAnsiTheme="majorHAnsi" w:cstheme="majorHAnsi"/>
                <w:sz w:val="18"/>
                <w:szCs w:val="18"/>
              </w:rPr>
              <w:t>QIN I</w:t>
            </w:r>
            <w:r w:rsidR="00B11C4B" w:rsidRPr="0038321F">
              <w:rPr>
                <w:rFonts w:asciiTheme="majorHAnsi" w:hAnsiTheme="majorHAnsi" w:cstheme="majorHAnsi"/>
                <w:sz w:val="18"/>
                <w:szCs w:val="18"/>
              </w:rPr>
              <w:t xml:space="preserve"> (DC, NY, SC)</w:t>
            </w:r>
          </w:p>
        </w:tc>
        <w:tc>
          <w:tcPr>
            <w:tcW w:w="1728" w:type="dxa"/>
            <w:vAlign w:val="bottom"/>
          </w:tcPr>
          <w:p w14:paraId="262AEB3A" w14:textId="78E61E35"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8.5%</w:t>
            </w:r>
          </w:p>
        </w:tc>
        <w:tc>
          <w:tcPr>
            <w:tcW w:w="2131" w:type="dxa"/>
            <w:vAlign w:val="bottom"/>
          </w:tcPr>
          <w:p w14:paraId="02A0BE85" w14:textId="155282FE"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25</w:t>
            </w:r>
          </w:p>
        </w:tc>
        <w:tc>
          <w:tcPr>
            <w:tcW w:w="1896" w:type="dxa"/>
            <w:vAlign w:val="bottom"/>
          </w:tcPr>
          <w:p w14:paraId="44C6CCED" w14:textId="4DE4968E"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25</w:t>
            </w:r>
          </w:p>
        </w:tc>
      </w:tr>
      <w:tr w:rsidR="0038321F" w:rsidRPr="0038321F" w14:paraId="5B5E6CA3" w14:textId="19B087F3" w:rsidTr="006C3362">
        <w:tc>
          <w:tcPr>
            <w:tcW w:w="2875" w:type="dxa"/>
            <w:vAlign w:val="bottom"/>
          </w:tcPr>
          <w:p w14:paraId="1B246135" w14:textId="6D7B92A0" w:rsidR="00AA6C44" w:rsidRPr="0038321F" w:rsidRDefault="00AA6C44" w:rsidP="00D62ECE">
            <w:pPr>
              <w:spacing w:before="40" w:after="40"/>
              <w:rPr>
                <w:rFonts w:asciiTheme="majorHAnsi" w:hAnsiTheme="majorHAnsi" w:cstheme="majorHAnsi"/>
                <w:sz w:val="18"/>
                <w:szCs w:val="18"/>
              </w:rPr>
            </w:pPr>
            <w:r w:rsidRPr="0038321F">
              <w:rPr>
                <w:rFonts w:asciiTheme="majorHAnsi" w:hAnsiTheme="majorHAnsi" w:cstheme="majorHAnsi"/>
                <w:sz w:val="18"/>
                <w:szCs w:val="18"/>
              </w:rPr>
              <w:t>QIN G</w:t>
            </w:r>
            <w:r w:rsidR="00B11C4B" w:rsidRPr="0038321F">
              <w:rPr>
                <w:rFonts w:asciiTheme="majorHAnsi" w:hAnsiTheme="majorHAnsi" w:cstheme="majorHAnsi"/>
                <w:sz w:val="18"/>
                <w:szCs w:val="18"/>
              </w:rPr>
              <w:t xml:space="preserve"> (AL, IN, KY, MS, TN)</w:t>
            </w:r>
          </w:p>
        </w:tc>
        <w:tc>
          <w:tcPr>
            <w:tcW w:w="1728" w:type="dxa"/>
            <w:vAlign w:val="bottom"/>
          </w:tcPr>
          <w:p w14:paraId="0C7E10FD" w14:textId="7CA996E9"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8.8%</w:t>
            </w:r>
          </w:p>
        </w:tc>
        <w:tc>
          <w:tcPr>
            <w:tcW w:w="2131" w:type="dxa"/>
            <w:vAlign w:val="bottom"/>
          </w:tcPr>
          <w:p w14:paraId="4BBD500D" w14:textId="1977F8E2"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26</w:t>
            </w:r>
          </w:p>
        </w:tc>
        <w:tc>
          <w:tcPr>
            <w:tcW w:w="1896" w:type="dxa"/>
            <w:vAlign w:val="bottom"/>
          </w:tcPr>
          <w:p w14:paraId="245C45AD" w14:textId="5570A186"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26</w:t>
            </w:r>
          </w:p>
        </w:tc>
      </w:tr>
      <w:tr w:rsidR="0038321F" w:rsidRPr="0038321F" w14:paraId="1A0607D6" w14:textId="02E9D3DF" w:rsidTr="006C3362">
        <w:tc>
          <w:tcPr>
            <w:tcW w:w="2875" w:type="dxa"/>
            <w:vAlign w:val="bottom"/>
          </w:tcPr>
          <w:p w14:paraId="507A81EE" w14:textId="657C0AE5" w:rsidR="00AA6C44" w:rsidRPr="0038321F" w:rsidRDefault="00AA6C44" w:rsidP="00D62ECE">
            <w:pPr>
              <w:spacing w:before="40" w:after="40"/>
              <w:rPr>
                <w:rFonts w:asciiTheme="majorHAnsi" w:hAnsiTheme="majorHAnsi" w:cstheme="majorHAnsi"/>
                <w:sz w:val="18"/>
                <w:szCs w:val="18"/>
              </w:rPr>
            </w:pPr>
            <w:r w:rsidRPr="0038321F">
              <w:rPr>
                <w:rFonts w:asciiTheme="majorHAnsi" w:hAnsiTheme="majorHAnsi" w:cstheme="majorHAnsi"/>
                <w:sz w:val="18"/>
                <w:szCs w:val="18"/>
              </w:rPr>
              <w:t>QIN A</w:t>
            </w:r>
            <w:r w:rsidR="00B11C4B" w:rsidRPr="0038321F">
              <w:rPr>
                <w:rFonts w:asciiTheme="majorHAnsi" w:hAnsiTheme="majorHAnsi" w:cstheme="majorHAnsi"/>
                <w:sz w:val="18"/>
                <w:szCs w:val="18"/>
              </w:rPr>
              <w:t xml:space="preserve"> (KS, ND, NE, SD)</w:t>
            </w:r>
          </w:p>
        </w:tc>
        <w:tc>
          <w:tcPr>
            <w:tcW w:w="1728" w:type="dxa"/>
            <w:vAlign w:val="bottom"/>
          </w:tcPr>
          <w:p w14:paraId="10189482" w14:textId="5596BEA5"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2.4%</w:t>
            </w:r>
          </w:p>
        </w:tc>
        <w:tc>
          <w:tcPr>
            <w:tcW w:w="2131" w:type="dxa"/>
            <w:vAlign w:val="bottom"/>
          </w:tcPr>
          <w:p w14:paraId="0D1116E7" w14:textId="2A93A8D4"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7</w:t>
            </w:r>
          </w:p>
        </w:tc>
        <w:tc>
          <w:tcPr>
            <w:tcW w:w="1896" w:type="dxa"/>
            <w:vAlign w:val="bottom"/>
          </w:tcPr>
          <w:p w14:paraId="5F71B334" w14:textId="5CF166A6"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7</w:t>
            </w:r>
          </w:p>
        </w:tc>
      </w:tr>
      <w:tr w:rsidR="0038321F" w:rsidRPr="0038321F" w14:paraId="2185FD95" w14:textId="27F4BDA4" w:rsidTr="006C3362">
        <w:tc>
          <w:tcPr>
            <w:tcW w:w="2875" w:type="dxa"/>
            <w:vAlign w:val="bottom"/>
          </w:tcPr>
          <w:p w14:paraId="74675097" w14:textId="7706C1DD" w:rsidR="00AA6C44" w:rsidRPr="0038321F" w:rsidRDefault="00AA6C44" w:rsidP="00D62ECE">
            <w:pPr>
              <w:spacing w:before="40" w:after="40"/>
              <w:rPr>
                <w:rFonts w:asciiTheme="majorHAnsi" w:hAnsiTheme="majorHAnsi" w:cstheme="majorHAnsi"/>
                <w:sz w:val="18"/>
                <w:szCs w:val="18"/>
              </w:rPr>
            </w:pPr>
            <w:r w:rsidRPr="0038321F">
              <w:rPr>
                <w:rFonts w:asciiTheme="majorHAnsi" w:hAnsiTheme="majorHAnsi" w:cstheme="majorHAnsi"/>
                <w:sz w:val="18"/>
                <w:szCs w:val="18"/>
              </w:rPr>
              <w:t>QIN M</w:t>
            </w:r>
            <w:r w:rsidR="00B11C4B" w:rsidRPr="0038321F">
              <w:rPr>
                <w:rFonts w:asciiTheme="majorHAnsi" w:hAnsiTheme="majorHAnsi" w:cstheme="majorHAnsi"/>
                <w:sz w:val="18"/>
                <w:szCs w:val="18"/>
              </w:rPr>
              <w:t xml:space="preserve"> (AZ, CA, FL, OH, VI)</w:t>
            </w:r>
          </w:p>
        </w:tc>
        <w:tc>
          <w:tcPr>
            <w:tcW w:w="1728" w:type="dxa"/>
            <w:vAlign w:val="bottom"/>
          </w:tcPr>
          <w:p w14:paraId="1A53F260" w14:textId="1A74628B"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22.3%</w:t>
            </w:r>
          </w:p>
        </w:tc>
        <w:tc>
          <w:tcPr>
            <w:tcW w:w="2131" w:type="dxa"/>
            <w:vAlign w:val="bottom"/>
          </w:tcPr>
          <w:p w14:paraId="4B6222B5" w14:textId="7DC0A5BA"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67</w:t>
            </w:r>
          </w:p>
        </w:tc>
        <w:tc>
          <w:tcPr>
            <w:tcW w:w="1896" w:type="dxa"/>
            <w:vAlign w:val="bottom"/>
          </w:tcPr>
          <w:p w14:paraId="731C0EB2" w14:textId="33FBC765"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67</w:t>
            </w:r>
          </w:p>
        </w:tc>
      </w:tr>
      <w:tr w:rsidR="0038321F" w:rsidRPr="0038321F" w14:paraId="1BDFAD86" w14:textId="166CC5DE" w:rsidTr="006C3362">
        <w:tc>
          <w:tcPr>
            <w:tcW w:w="2875" w:type="dxa"/>
            <w:vAlign w:val="bottom"/>
          </w:tcPr>
          <w:p w14:paraId="2C5DF327" w14:textId="20634329" w:rsidR="00AA6C44" w:rsidRPr="0038321F" w:rsidRDefault="00AA6C44" w:rsidP="00D62ECE">
            <w:pPr>
              <w:spacing w:before="40" w:after="40"/>
              <w:rPr>
                <w:rFonts w:asciiTheme="majorHAnsi" w:hAnsiTheme="majorHAnsi" w:cstheme="majorHAnsi"/>
                <w:sz w:val="18"/>
                <w:szCs w:val="18"/>
              </w:rPr>
            </w:pPr>
            <w:r w:rsidRPr="0038321F">
              <w:rPr>
                <w:rFonts w:asciiTheme="majorHAnsi" w:hAnsiTheme="majorHAnsi" w:cstheme="majorHAnsi"/>
                <w:sz w:val="18"/>
                <w:szCs w:val="18"/>
              </w:rPr>
              <w:t>QIN N</w:t>
            </w:r>
            <w:r w:rsidR="00B11C4B" w:rsidRPr="0038321F">
              <w:rPr>
                <w:rFonts w:asciiTheme="majorHAnsi" w:hAnsiTheme="majorHAnsi" w:cstheme="majorHAnsi"/>
                <w:sz w:val="18"/>
                <w:szCs w:val="18"/>
              </w:rPr>
              <w:t xml:space="preserve"> (CT, MA, ME, NH, RI, VT)</w:t>
            </w:r>
          </w:p>
        </w:tc>
        <w:tc>
          <w:tcPr>
            <w:tcW w:w="1728" w:type="dxa"/>
            <w:vAlign w:val="bottom"/>
          </w:tcPr>
          <w:p w14:paraId="3637F5DB" w14:textId="13F28F8C"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4.9%</w:t>
            </w:r>
          </w:p>
        </w:tc>
        <w:tc>
          <w:tcPr>
            <w:tcW w:w="2131" w:type="dxa"/>
            <w:vAlign w:val="bottom"/>
          </w:tcPr>
          <w:p w14:paraId="6977F7DF" w14:textId="62A2D32B"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15</w:t>
            </w:r>
          </w:p>
        </w:tc>
        <w:tc>
          <w:tcPr>
            <w:tcW w:w="1896" w:type="dxa"/>
            <w:vAlign w:val="bottom"/>
          </w:tcPr>
          <w:p w14:paraId="65EF8B38" w14:textId="5D1D4668"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15</w:t>
            </w:r>
          </w:p>
        </w:tc>
      </w:tr>
      <w:tr w:rsidR="0038321F" w:rsidRPr="0038321F" w14:paraId="1379B696" w14:textId="31BCDEAD" w:rsidTr="006C3362">
        <w:tc>
          <w:tcPr>
            <w:tcW w:w="2875" w:type="dxa"/>
            <w:vAlign w:val="bottom"/>
          </w:tcPr>
          <w:p w14:paraId="6F10B4C9" w14:textId="521F2C31" w:rsidR="00AA6C44" w:rsidRPr="0038321F" w:rsidRDefault="00AA6C44" w:rsidP="00D62ECE">
            <w:pPr>
              <w:spacing w:before="40" w:after="40"/>
              <w:rPr>
                <w:rFonts w:asciiTheme="majorHAnsi" w:hAnsiTheme="majorHAnsi" w:cstheme="majorHAnsi"/>
                <w:sz w:val="18"/>
                <w:szCs w:val="18"/>
              </w:rPr>
            </w:pPr>
            <w:r w:rsidRPr="0038321F">
              <w:rPr>
                <w:rFonts w:asciiTheme="majorHAnsi" w:hAnsiTheme="majorHAnsi" w:cstheme="majorHAnsi"/>
                <w:sz w:val="18"/>
                <w:szCs w:val="18"/>
              </w:rPr>
              <w:t>QIN E</w:t>
            </w:r>
            <w:r w:rsidR="00B11C4B" w:rsidRPr="0038321F">
              <w:rPr>
                <w:rFonts w:asciiTheme="majorHAnsi" w:hAnsiTheme="majorHAnsi" w:cstheme="majorHAnsi"/>
                <w:sz w:val="18"/>
                <w:szCs w:val="18"/>
              </w:rPr>
              <w:t xml:space="preserve"> (NM, NV, OR, UT)</w:t>
            </w:r>
          </w:p>
        </w:tc>
        <w:tc>
          <w:tcPr>
            <w:tcW w:w="1728" w:type="dxa"/>
            <w:vAlign w:val="bottom"/>
          </w:tcPr>
          <w:p w14:paraId="31C5FCA3" w14:textId="72063F90"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3.5%</w:t>
            </w:r>
          </w:p>
        </w:tc>
        <w:tc>
          <w:tcPr>
            <w:tcW w:w="2131" w:type="dxa"/>
            <w:vAlign w:val="bottom"/>
          </w:tcPr>
          <w:p w14:paraId="04830A25" w14:textId="1B8C098A"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11</w:t>
            </w:r>
          </w:p>
        </w:tc>
        <w:tc>
          <w:tcPr>
            <w:tcW w:w="1896" w:type="dxa"/>
            <w:vAlign w:val="bottom"/>
          </w:tcPr>
          <w:p w14:paraId="35B76BF0" w14:textId="4722E005"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11</w:t>
            </w:r>
          </w:p>
        </w:tc>
      </w:tr>
      <w:tr w:rsidR="0038321F" w:rsidRPr="0038321F" w14:paraId="6CB48EE8" w14:textId="58B4AEE7" w:rsidTr="006C3362">
        <w:tc>
          <w:tcPr>
            <w:tcW w:w="2875" w:type="dxa"/>
            <w:vAlign w:val="bottom"/>
          </w:tcPr>
          <w:p w14:paraId="3F5E42E7" w14:textId="1766C3E7" w:rsidR="00AA6C44" w:rsidRPr="0038321F" w:rsidRDefault="00AA6C44" w:rsidP="00D62ECE">
            <w:pPr>
              <w:spacing w:before="40" w:after="40"/>
              <w:rPr>
                <w:rFonts w:asciiTheme="majorHAnsi" w:hAnsiTheme="majorHAnsi" w:cstheme="majorHAnsi"/>
                <w:sz w:val="18"/>
                <w:szCs w:val="18"/>
              </w:rPr>
            </w:pPr>
            <w:r w:rsidRPr="0038321F">
              <w:rPr>
                <w:rFonts w:asciiTheme="majorHAnsi" w:hAnsiTheme="majorHAnsi" w:cstheme="majorHAnsi"/>
                <w:sz w:val="18"/>
                <w:szCs w:val="18"/>
              </w:rPr>
              <w:t>QIN C</w:t>
            </w:r>
            <w:r w:rsidR="00B11C4B" w:rsidRPr="0038321F">
              <w:rPr>
                <w:rFonts w:asciiTheme="majorHAnsi" w:hAnsiTheme="majorHAnsi" w:cstheme="majorHAnsi"/>
                <w:sz w:val="18"/>
                <w:szCs w:val="18"/>
              </w:rPr>
              <w:t xml:space="preserve"> (MI, MN, WI)</w:t>
            </w:r>
          </w:p>
        </w:tc>
        <w:tc>
          <w:tcPr>
            <w:tcW w:w="1728" w:type="dxa"/>
            <w:vAlign w:val="bottom"/>
          </w:tcPr>
          <w:p w14:paraId="1BB43DD3" w14:textId="10C20B46"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6.7%</w:t>
            </w:r>
          </w:p>
        </w:tc>
        <w:tc>
          <w:tcPr>
            <w:tcW w:w="2131" w:type="dxa"/>
            <w:vAlign w:val="bottom"/>
          </w:tcPr>
          <w:p w14:paraId="64F32CEC" w14:textId="6656C2B4"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20</w:t>
            </w:r>
          </w:p>
        </w:tc>
        <w:tc>
          <w:tcPr>
            <w:tcW w:w="1896" w:type="dxa"/>
            <w:vAlign w:val="bottom"/>
          </w:tcPr>
          <w:p w14:paraId="26A6B028" w14:textId="1FF8EA4C"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20</w:t>
            </w:r>
          </w:p>
        </w:tc>
      </w:tr>
      <w:tr w:rsidR="0038321F" w:rsidRPr="0038321F" w14:paraId="3C4208D6" w14:textId="63C0B902" w:rsidTr="006C3362">
        <w:tc>
          <w:tcPr>
            <w:tcW w:w="2875" w:type="dxa"/>
            <w:vAlign w:val="bottom"/>
          </w:tcPr>
          <w:p w14:paraId="65DB5084" w14:textId="3E2B3951" w:rsidR="00AA6C44" w:rsidRPr="0038321F" w:rsidRDefault="00AA6C44" w:rsidP="00D62ECE">
            <w:pPr>
              <w:spacing w:before="40" w:after="40"/>
              <w:rPr>
                <w:rFonts w:asciiTheme="majorHAnsi" w:hAnsiTheme="majorHAnsi" w:cstheme="majorHAnsi"/>
                <w:sz w:val="18"/>
                <w:szCs w:val="18"/>
              </w:rPr>
            </w:pPr>
            <w:r w:rsidRPr="0038321F">
              <w:rPr>
                <w:rFonts w:asciiTheme="majorHAnsi" w:hAnsiTheme="majorHAnsi" w:cstheme="majorHAnsi"/>
                <w:sz w:val="18"/>
                <w:szCs w:val="18"/>
              </w:rPr>
              <w:t>QIN H</w:t>
            </w:r>
            <w:r w:rsidR="00B11C4B" w:rsidRPr="0038321F">
              <w:rPr>
                <w:rFonts w:asciiTheme="majorHAnsi" w:hAnsiTheme="majorHAnsi" w:cstheme="majorHAnsi"/>
                <w:sz w:val="18"/>
                <w:szCs w:val="18"/>
              </w:rPr>
              <w:t xml:space="preserve"> (AK, HI, MT, WY)</w:t>
            </w:r>
          </w:p>
        </w:tc>
        <w:tc>
          <w:tcPr>
            <w:tcW w:w="1728" w:type="dxa"/>
            <w:vAlign w:val="bottom"/>
          </w:tcPr>
          <w:p w14:paraId="64D0E084" w14:textId="46BD77F5"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1.2%</w:t>
            </w:r>
          </w:p>
        </w:tc>
        <w:tc>
          <w:tcPr>
            <w:tcW w:w="2131" w:type="dxa"/>
            <w:vAlign w:val="bottom"/>
          </w:tcPr>
          <w:p w14:paraId="4370D21B" w14:textId="29786FD9"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4</w:t>
            </w:r>
          </w:p>
        </w:tc>
        <w:tc>
          <w:tcPr>
            <w:tcW w:w="1896" w:type="dxa"/>
            <w:vAlign w:val="bottom"/>
          </w:tcPr>
          <w:p w14:paraId="738670B1" w14:textId="2B412E37"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4</w:t>
            </w:r>
          </w:p>
        </w:tc>
      </w:tr>
      <w:tr w:rsidR="0038321F" w:rsidRPr="0038321F" w14:paraId="76DF871C" w14:textId="079E36E2" w:rsidTr="006C3362">
        <w:tc>
          <w:tcPr>
            <w:tcW w:w="2875" w:type="dxa"/>
            <w:vAlign w:val="bottom"/>
          </w:tcPr>
          <w:p w14:paraId="4C59CE43" w14:textId="38C53E58" w:rsidR="00AA6C44" w:rsidRPr="0038321F" w:rsidRDefault="00AA6C44" w:rsidP="00D62ECE">
            <w:pPr>
              <w:spacing w:before="40" w:after="40"/>
              <w:rPr>
                <w:rFonts w:asciiTheme="majorHAnsi" w:hAnsiTheme="majorHAnsi" w:cstheme="majorHAnsi"/>
                <w:sz w:val="18"/>
                <w:szCs w:val="18"/>
              </w:rPr>
            </w:pPr>
            <w:r w:rsidRPr="0038321F">
              <w:rPr>
                <w:rFonts w:asciiTheme="majorHAnsi" w:hAnsiTheme="majorHAnsi" w:cstheme="majorHAnsi"/>
                <w:sz w:val="18"/>
                <w:szCs w:val="18"/>
              </w:rPr>
              <w:t>QIN L</w:t>
            </w:r>
            <w:r w:rsidR="00B11C4B" w:rsidRPr="0038321F">
              <w:rPr>
                <w:rFonts w:asciiTheme="majorHAnsi" w:hAnsiTheme="majorHAnsi" w:cstheme="majorHAnsi"/>
                <w:sz w:val="18"/>
                <w:szCs w:val="18"/>
              </w:rPr>
              <w:t xml:space="preserve"> (ID, WA)</w:t>
            </w:r>
          </w:p>
        </w:tc>
        <w:tc>
          <w:tcPr>
            <w:tcW w:w="1728" w:type="dxa"/>
            <w:vAlign w:val="bottom"/>
          </w:tcPr>
          <w:p w14:paraId="49344FA0" w14:textId="2569E5C5"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2.4%</w:t>
            </w:r>
          </w:p>
        </w:tc>
        <w:tc>
          <w:tcPr>
            <w:tcW w:w="2131" w:type="dxa"/>
            <w:vAlign w:val="bottom"/>
          </w:tcPr>
          <w:p w14:paraId="611EEB5E" w14:textId="0C67A65C"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7</w:t>
            </w:r>
          </w:p>
        </w:tc>
        <w:tc>
          <w:tcPr>
            <w:tcW w:w="1896" w:type="dxa"/>
            <w:vAlign w:val="bottom"/>
          </w:tcPr>
          <w:p w14:paraId="5BAC23E3" w14:textId="7E96CE31"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7</w:t>
            </w:r>
          </w:p>
        </w:tc>
      </w:tr>
      <w:tr w:rsidR="0038321F" w:rsidRPr="0038321F" w14:paraId="2BC36DF6" w14:textId="75E9A69C" w:rsidTr="006C3362">
        <w:tc>
          <w:tcPr>
            <w:tcW w:w="2875" w:type="dxa"/>
            <w:vAlign w:val="bottom"/>
          </w:tcPr>
          <w:p w14:paraId="784F4324" w14:textId="67772D5B" w:rsidR="00AA6C44" w:rsidRPr="0038321F" w:rsidRDefault="00AA6C44" w:rsidP="00D62ECE">
            <w:pPr>
              <w:spacing w:before="40" w:after="40"/>
              <w:rPr>
                <w:rFonts w:asciiTheme="majorHAnsi" w:hAnsiTheme="majorHAnsi" w:cstheme="majorHAnsi"/>
                <w:sz w:val="18"/>
                <w:szCs w:val="18"/>
              </w:rPr>
            </w:pPr>
            <w:r w:rsidRPr="0038321F">
              <w:rPr>
                <w:rFonts w:asciiTheme="majorHAnsi" w:hAnsiTheme="majorHAnsi" w:cstheme="majorHAnsi"/>
                <w:sz w:val="18"/>
                <w:szCs w:val="18"/>
              </w:rPr>
              <w:t>QIN J</w:t>
            </w:r>
            <w:r w:rsidR="00B11C4B" w:rsidRPr="0038321F">
              <w:rPr>
                <w:rFonts w:asciiTheme="majorHAnsi" w:hAnsiTheme="majorHAnsi" w:cstheme="majorHAnsi"/>
                <w:sz w:val="18"/>
                <w:szCs w:val="18"/>
              </w:rPr>
              <w:t xml:space="preserve"> (DE, LA, NJ, PA, WV)</w:t>
            </w:r>
          </w:p>
        </w:tc>
        <w:tc>
          <w:tcPr>
            <w:tcW w:w="1728" w:type="dxa"/>
            <w:vAlign w:val="bottom"/>
          </w:tcPr>
          <w:p w14:paraId="222976E8" w14:textId="646AF441"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9.8%</w:t>
            </w:r>
          </w:p>
        </w:tc>
        <w:tc>
          <w:tcPr>
            <w:tcW w:w="2131" w:type="dxa"/>
            <w:vAlign w:val="bottom"/>
          </w:tcPr>
          <w:p w14:paraId="615CE1FD" w14:textId="7F65D8AE"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29</w:t>
            </w:r>
          </w:p>
        </w:tc>
        <w:tc>
          <w:tcPr>
            <w:tcW w:w="1896" w:type="dxa"/>
            <w:vAlign w:val="bottom"/>
          </w:tcPr>
          <w:p w14:paraId="1FA9A523" w14:textId="7A712250"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29</w:t>
            </w:r>
          </w:p>
        </w:tc>
      </w:tr>
      <w:tr w:rsidR="0038321F" w:rsidRPr="0038321F" w14:paraId="187E1C45" w14:textId="4A30E9EF" w:rsidTr="006C3362">
        <w:tc>
          <w:tcPr>
            <w:tcW w:w="2875" w:type="dxa"/>
            <w:vAlign w:val="bottom"/>
          </w:tcPr>
          <w:p w14:paraId="035E3B61" w14:textId="05A00AFD" w:rsidR="00AA6C44" w:rsidRPr="0038321F" w:rsidRDefault="00AA6C44" w:rsidP="00D62ECE">
            <w:pPr>
              <w:spacing w:before="40" w:after="40"/>
              <w:rPr>
                <w:rFonts w:asciiTheme="majorHAnsi" w:hAnsiTheme="majorHAnsi" w:cstheme="majorHAnsi"/>
                <w:sz w:val="18"/>
                <w:szCs w:val="18"/>
              </w:rPr>
            </w:pPr>
            <w:r w:rsidRPr="0038321F">
              <w:rPr>
                <w:rFonts w:asciiTheme="majorHAnsi" w:hAnsiTheme="majorHAnsi" w:cstheme="majorHAnsi"/>
                <w:sz w:val="18"/>
                <w:szCs w:val="18"/>
              </w:rPr>
              <w:t>QIN D</w:t>
            </w:r>
            <w:r w:rsidR="00B11C4B" w:rsidRPr="0038321F">
              <w:rPr>
                <w:rFonts w:asciiTheme="majorHAnsi" w:hAnsiTheme="majorHAnsi" w:cstheme="majorHAnsi"/>
                <w:sz w:val="18"/>
                <w:szCs w:val="18"/>
              </w:rPr>
              <w:t xml:space="preserve"> (CO, IA, IL)</w:t>
            </w:r>
          </w:p>
        </w:tc>
        <w:tc>
          <w:tcPr>
            <w:tcW w:w="1728" w:type="dxa"/>
            <w:vAlign w:val="bottom"/>
          </w:tcPr>
          <w:p w14:paraId="3C2CA9E2" w14:textId="2E0F4EBD"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6.8%</w:t>
            </w:r>
          </w:p>
        </w:tc>
        <w:tc>
          <w:tcPr>
            <w:tcW w:w="2131" w:type="dxa"/>
            <w:vAlign w:val="bottom"/>
          </w:tcPr>
          <w:p w14:paraId="6B3C78E6" w14:textId="0136936F"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20</w:t>
            </w:r>
          </w:p>
        </w:tc>
        <w:tc>
          <w:tcPr>
            <w:tcW w:w="1896" w:type="dxa"/>
            <w:vAlign w:val="bottom"/>
          </w:tcPr>
          <w:p w14:paraId="518B54D5" w14:textId="613E4248"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20</w:t>
            </w:r>
          </w:p>
        </w:tc>
      </w:tr>
      <w:tr w:rsidR="0038321F" w:rsidRPr="0038321F" w14:paraId="4FE75421" w14:textId="69425581" w:rsidTr="006C3362">
        <w:tc>
          <w:tcPr>
            <w:tcW w:w="2875" w:type="dxa"/>
            <w:vAlign w:val="bottom"/>
          </w:tcPr>
          <w:p w14:paraId="390F3C63" w14:textId="797BBAFA" w:rsidR="00AA6C44" w:rsidRPr="0038321F" w:rsidRDefault="00AA6C44" w:rsidP="00D62ECE">
            <w:pPr>
              <w:spacing w:before="40" w:after="40"/>
              <w:rPr>
                <w:rFonts w:asciiTheme="majorHAnsi" w:hAnsiTheme="majorHAnsi" w:cstheme="majorHAnsi"/>
                <w:sz w:val="18"/>
                <w:szCs w:val="18"/>
              </w:rPr>
            </w:pPr>
            <w:r w:rsidRPr="0038321F">
              <w:rPr>
                <w:rFonts w:asciiTheme="majorHAnsi" w:hAnsiTheme="majorHAnsi" w:cstheme="majorHAnsi"/>
                <w:sz w:val="18"/>
                <w:szCs w:val="18"/>
              </w:rPr>
              <w:t>QIN B</w:t>
            </w:r>
            <w:r w:rsidR="00B11C4B" w:rsidRPr="0038321F">
              <w:rPr>
                <w:rFonts w:asciiTheme="majorHAnsi" w:hAnsiTheme="majorHAnsi" w:cstheme="majorHAnsi"/>
                <w:sz w:val="18"/>
                <w:szCs w:val="18"/>
              </w:rPr>
              <w:t xml:space="preserve"> (AR, MO, OK, PR, TX)</w:t>
            </w:r>
          </w:p>
        </w:tc>
        <w:tc>
          <w:tcPr>
            <w:tcW w:w="1728" w:type="dxa"/>
            <w:vAlign w:val="bottom"/>
          </w:tcPr>
          <w:p w14:paraId="6034427B" w14:textId="22DF2C1C"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12.2%</w:t>
            </w:r>
          </w:p>
        </w:tc>
        <w:tc>
          <w:tcPr>
            <w:tcW w:w="2131" w:type="dxa"/>
            <w:vAlign w:val="bottom"/>
          </w:tcPr>
          <w:p w14:paraId="640DAF47" w14:textId="25C2C57E"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37</w:t>
            </w:r>
          </w:p>
        </w:tc>
        <w:tc>
          <w:tcPr>
            <w:tcW w:w="1896" w:type="dxa"/>
            <w:vAlign w:val="bottom"/>
          </w:tcPr>
          <w:p w14:paraId="30D725CF" w14:textId="2C81C1AA"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37</w:t>
            </w:r>
          </w:p>
        </w:tc>
      </w:tr>
      <w:tr w:rsidR="0038321F" w:rsidRPr="0038321F" w14:paraId="214B3BD0" w14:textId="48D237E9" w:rsidTr="006C3362">
        <w:tc>
          <w:tcPr>
            <w:tcW w:w="2875" w:type="dxa"/>
            <w:vAlign w:val="bottom"/>
          </w:tcPr>
          <w:p w14:paraId="789361F5" w14:textId="366837C9" w:rsidR="00AA6C44" w:rsidRPr="0038321F" w:rsidRDefault="00AA6C44" w:rsidP="00D62ECE">
            <w:pPr>
              <w:spacing w:before="40" w:after="40"/>
              <w:rPr>
                <w:rFonts w:asciiTheme="majorHAnsi" w:hAnsiTheme="majorHAnsi" w:cstheme="majorHAnsi"/>
                <w:sz w:val="18"/>
                <w:szCs w:val="18"/>
              </w:rPr>
            </w:pPr>
            <w:r w:rsidRPr="0038321F">
              <w:rPr>
                <w:rFonts w:asciiTheme="majorHAnsi" w:hAnsiTheme="majorHAnsi" w:cstheme="majorHAnsi"/>
                <w:sz w:val="18"/>
                <w:szCs w:val="18"/>
              </w:rPr>
              <w:t>QIN K</w:t>
            </w:r>
            <w:r w:rsidR="00B11C4B" w:rsidRPr="0038321F">
              <w:rPr>
                <w:rFonts w:asciiTheme="majorHAnsi" w:hAnsiTheme="majorHAnsi" w:cstheme="majorHAnsi"/>
                <w:sz w:val="18"/>
                <w:szCs w:val="18"/>
              </w:rPr>
              <w:t xml:space="preserve"> (MD, VA)</w:t>
            </w:r>
          </w:p>
        </w:tc>
        <w:tc>
          <w:tcPr>
            <w:tcW w:w="1728" w:type="dxa"/>
            <w:vAlign w:val="bottom"/>
          </w:tcPr>
          <w:p w14:paraId="3529D7DE" w14:textId="610A3CD8"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4.4%</w:t>
            </w:r>
          </w:p>
        </w:tc>
        <w:tc>
          <w:tcPr>
            <w:tcW w:w="2131" w:type="dxa"/>
            <w:vAlign w:val="bottom"/>
          </w:tcPr>
          <w:p w14:paraId="2A0A3E91" w14:textId="3C1F4725"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13</w:t>
            </w:r>
          </w:p>
        </w:tc>
        <w:tc>
          <w:tcPr>
            <w:tcW w:w="1896" w:type="dxa"/>
            <w:vAlign w:val="bottom"/>
          </w:tcPr>
          <w:p w14:paraId="43B7CAF3" w14:textId="08EF53C1" w:rsidR="00AA6C44" w:rsidRPr="0038321F" w:rsidRDefault="00AA6C44" w:rsidP="00D62ECE">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13</w:t>
            </w:r>
          </w:p>
        </w:tc>
      </w:tr>
      <w:tr w:rsidR="0038321F" w:rsidRPr="0038321F" w14:paraId="10978015" w14:textId="77777777" w:rsidTr="006C3362">
        <w:tc>
          <w:tcPr>
            <w:tcW w:w="2875" w:type="dxa"/>
            <w:shd w:val="clear" w:color="auto" w:fill="000000" w:themeFill="text1"/>
            <w:vAlign w:val="bottom"/>
          </w:tcPr>
          <w:p w14:paraId="5964F58A" w14:textId="1F9261F9" w:rsidR="00A741CE" w:rsidRPr="0038321F" w:rsidRDefault="00A741CE" w:rsidP="00D62ECE">
            <w:pPr>
              <w:spacing w:before="40" w:after="40"/>
              <w:rPr>
                <w:rFonts w:asciiTheme="majorHAnsi" w:hAnsiTheme="majorHAnsi" w:cstheme="majorHAnsi"/>
                <w:b/>
                <w:sz w:val="18"/>
                <w:szCs w:val="18"/>
              </w:rPr>
            </w:pPr>
            <w:r w:rsidRPr="0038321F">
              <w:rPr>
                <w:rFonts w:asciiTheme="majorHAnsi" w:hAnsiTheme="majorHAnsi" w:cstheme="majorHAnsi"/>
                <w:b/>
                <w:sz w:val="18"/>
                <w:szCs w:val="18"/>
              </w:rPr>
              <w:t>TOTAL</w:t>
            </w:r>
          </w:p>
        </w:tc>
        <w:tc>
          <w:tcPr>
            <w:tcW w:w="1728" w:type="dxa"/>
            <w:shd w:val="clear" w:color="auto" w:fill="000000" w:themeFill="text1"/>
            <w:vAlign w:val="bottom"/>
          </w:tcPr>
          <w:p w14:paraId="112CA06D" w14:textId="2FE2594D" w:rsidR="00A741CE" w:rsidRPr="0038321F" w:rsidRDefault="00A741CE" w:rsidP="00D62ECE">
            <w:pPr>
              <w:spacing w:before="40" w:after="40"/>
              <w:jc w:val="center"/>
              <w:rPr>
                <w:rFonts w:asciiTheme="majorHAnsi" w:hAnsiTheme="majorHAnsi" w:cstheme="majorHAnsi"/>
                <w:b/>
                <w:sz w:val="18"/>
                <w:szCs w:val="18"/>
              </w:rPr>
            </w:pPr>
            <w:r w:rsidRPr="0038321F">
              <w:rPr>
                <w:rFonts w:asciiTheme="majorHAnsi" w:hAnsiTheme="majorHAnsi" w:cstheme="majorHAnsi"/>
                <w:b/>
                <w:sz w:val="18"/>
                <w:szCs w:val="18"/>
              </w:rPr>
              <w:t>100%</w:t>
            </w:r>
          </w:p>
        </w:tc>
        <w:tc>
          <w:tcPr>
            <w:tcW w:w="2131" w:type="dxa"/>
            <w:shd w:val="clear" w:color="auto" w:fill="000000" w:themeFill="text1"/>
            <w:vAlign w:val="bottom"/>
          </w:tcPr>
          <w:p w14:paraId="781341A6" w14:textId="7E6862DB" w:rsidR="00A741CE" w:rsidRPr="0038321F" w:rsidRDefault="00A741CE" w:rsidP="00D62ECE">
            <w:pPr>
              <w:spacing w:before="40" w:after="40"/>
              <w:jc w:val="center"/>
              <w:rPr>
                <w:rFonts w:asciiTheme="majorHAnsi" w:hAnsiTheme="majorHAnsi" w:cstheme="majorHAnsi"/>
                <w:b/>
                <w:sz w:val="18"/>
                <w:szCs w:val="18"/>
              </w:rPr>
            </w:pPr>
            <w:r w:rsidRPr="0038321F">
              <w:rPr>
                <w:rFonts w:asciiTheme="majorHAnsi" w:hAnsiTheme="majorHAnsi" w:cstheme="majorHAnsi"/>
                <w:b/>
                <w:sz w:val="18"/>
                <w:szCs w:val="18"/>
              </w:rPr>
              <w:t>300</w:t>
            </w:r>
          </w:p>
        </w:tc>
        <w:tc>
          <w:tcPr>
            <w:tcW w:w="1896" w:type="dxa"/>
            <w:shd w:val="clear" w:color="auto" w:fill="000000" w:themeFill="text1"/>
            <w:vAlign w:val="bottom"/>
          </w:tcPr>
          <w:p w14:paraId="15CA6529" w14:textId="5D7224C1" w:rsidR="00A741CE" w:rsidRPr="0038321F" w:rsidRDefault="00A741CE" w:rsidP="00D62ECE">
            <w:pPr>
              <w:spacing w:before="40" w:after="40"/>
              <w:jc w:val="center"/>
              <w:rPr>
                <w:rFonts w:asciiTheme="majorHAnsi" w:hAnsiTheme="majorHAnsi" w:cstheme="majorHAnsi"/>
                <w:b/>
                <w:sz w:val="18"/>
                <w:szCs w:val="18"/>
              </w:rPr>
            </w:pPr>
            <w:r w:rsidRPr="0038321F">
              <w:rPr>
                <w:rFonts w:asciiTheme="majorHAnsi" w:hAnsiTheme="majorHAnsi" w:cstheme="majorHAnsi"/>
                <w:b/>
                <w:sz w:val="18"/>
                <w:szCs w:val="18"/>
              </w:rPr>
              <w:t>300</w:t>
            </w:r>
          </w:p>
        </w:tc>
      </w:tr>
    </w:tbl>
    <w:p w14:paraId="77BACDD2" w14:textId="6C83E257" w:rsidR="00AA6C44" w:rsidRDefault="00AA6C44" w:rsidP="00D62ECE">
      <w:pPr>
        <w:pStyle w:val="Caption"/>
        <w:spacing w:before="240"/>
      </w:pPr>
      <w:r w:rsidRPr="0038321F">
        <w:t xml:space="preserve">Table </w:t>
      </w:r>
      <w:r w:rsidR="00FC5E37">
        <w:fldChar w:fldCharType="begin"/>
      </w:r>
      <w:r w:rsidR="00FC5E37">
        <w:instrText xml:space="preserve"> SEQ Table \* ARABIC </w:instrText>
      </w:r>
      <w:r w:rsidR="00FC5E37">
        <w:fldChar w:fldCharType="separate"/>
      </w:r>
      <w:r w:rsidRPr="0038321F">
        <w:rPr>
          <w:noProof/>
        </w:rPr>
        <w:t>5</w:t>
      </w:r>
      <w:r w:rsidR="00FC5E37">
        <w:rPr>
          <w:noProof/>
        </w:rPr>
        <w:fldChar w:fldCharType="end"/>
      </w:r>
      <w:r w:rsidRPr="0038321F">
        <w:t>. Distribution of Group Practice Providers by Q</w:t>
      </w:r>
      <w:r w:rsidR="00CF3EE7">
        <w:t>IN-QIO Region per the Bureau of </w:t>
      </w:r>
      <w:r w:rsidRPr="0038321F">
        <w:t xml:space="preserve">Labor Statistics (BLS) for May 2016 </w:t>
      </w:r>
    </w:p>
    <w:p w14:paraId="762418FE" w14:textId="4DFA18C6" w:rsidR="00D62ECE" w:rsidRPr="00B4704C" w:rsidRDefault="00D62ECE" w:rsidP="00CF3EE7">
      <w:pPr>
        <w:keepNext/>
        <w:pBdr>
          <w:top w:val="single" w:sz="4" w:space="1" w:color="auto"/>
          <w:left w:val="single" w:sz="4" w:space="3" w:color="auto"/>
          <w:right w:val="single" w:sz="4" w:space="3" w:color="auto"/>
        </w:pBdr>
        <w:shd w:val="clear" w:color="auto" w:fill="D9D9D9" w:themeFill="background1" w:themeFillShade="D9"/>
        <w:spacing w:before="40" w:after="0"/>
        <w:ind w:left="806" w:right="158"/>
        <w:jc w:val="center"/>
        <w:rPr>
          <w:rFonts w:asciiTheme="majorHAnsi" w:eastAsia="Times New Roman" w:hAnsiTheme="majorHAnsi" w:cstheme="majorHAnsi"/>
          <w:b/>
          <w:sz w:val="18"/>
          <w:szCs w:val="18"/>
          <w:lang w:eastAsia="zh-TW"/>
        </w:rPr>
      </w:pPr>
      <w:r w:rsidRPr="00B4704C">
        <w:rPr>
          <w:rFonts w:asciiTheme="majorHAnsi" w:eastAsia="Times New Roman" w:hAnsiTheme="majorHAnsi" w:cstheme="majorHAnsi"/>
          <w:b/>
          <w:sz w:val="18"/>
          <w:szCs w:val="18"/>
          <w:lang w:eastAsia="zh-TW"/>
        </w:rPr>
        <w:t>State Group:  States where QIN-QIO work with group practice physicians only</w:t>
      </w:r>
    </w:p>
    <w:tbl>
      <w:tblPr>
        <w:tblStyle w:val="TableGrid"/>
        <w:tblW w:w="0" w:type="auto"/>
        <w:tblInd w:w="720" w:type="dxa"/>
        <w:tblLayout w:type="fixed"/>
        <w:tblCellMar>
          <w:left w:w="115" w:type="dxa"/>
          <w:right w:w="115" w:type="dxa"/>
        </w:tblCellMar>
        <w:tblLook w:val="04A0" w:firstRow="1" w:lastRow="0" w:firstColumn="1" w:lastColumn="0" w:noHBand="0" w:noVBand="1"/>
      </w:tblPr>
      <w:tblGrid>
        <w:gridCol w:w="2515"/>
        <w:gridCol w:w="1710"/>
        <w:gridCol w:w="1350"/>
        <w:gridCol w:w="1440"/>
        <w:gridCol w:w="1558"/>
      </w:tblGrid>
      <w:tr w:rsidR="00D62ECE" w:rsidRPr="0038321F" w14:paraId="57A82F4A" w14:textId="77777777" w:rsidTr="00CF3EE7">
        <w:trPr>
          <w:cantSplit/>
          <w:tblHeader/>
        </w:trPr>
        <w:tc>
          <w:tcPr>
            <w:tcW w:w="2515" w:type="dxa"/>
            <w:tcBorders>
              <w:bottom w:val="single" w:sz="4" w:space="0" w:color="auto"/>
            </w:tcBorders>
            <w:shd w:val="clear" w:color="auto" w:fill="A6A6A6" w:themeFill="background1" w:themeFillShade="A6"/>
            <w:vAlign w:val="bottom"/>
          </w:tcPr>
          <w:p w14:paraId="615A2F20" w14:textId="77777777" w:rsidR="00D62ECE" w:rsidRPr="0038321F" w:rsidRDefault="00D62ECE" w:rsidP="00067C0B">
            <w:pPr>
              <w:spacing w:before="40" w:after="40"/>
              <w:rPr>
                <w:rFonts w:asciiTheme="majorHAnsi" w:hAnsiTheme="majorHAnsi" w:cstheme="majorHAnsi"/>
                <w:b/>
                <w:sz w:val="18"/>
                <w:szCs w:val="18"/>
              </w:rPr>
            </w:pPr>
            <w:r w:rsidRPr="0038321F">
              <w:rPr>
                <w:rFonts w:asciiTheme="majorHAnsi" w:hAnsiTheme="majorHAnsi" w:cstheme="majorHAnsi"/>
                <w:b/>
                <w:sz w:val="18"/>
                <w:szCs w:val="18"/>
              </w:rPr>
              <w:t>QIN-QIO Region / States</w:t>
            </w:r>
          </w:p>
        </w:tc>
        <w:tc>
          <w:tcPr>
            <w:tcW w:w="1710" w:type="dxa"/>
            <w:tcBorders>
              <w:bottom w:val="single" w:sz="4" w:space="0" w:color="auto"/>
            </w:tcBorders>
            <w:shd w:val="clear" w:color="auto" w:fill="A6A6A6" w:themeFill="background1" w:themeFillShade="A6"/>
            <w:vAlign w:val="bottom"/>
          </w:tcPr>
          <w:p w14:paraId="5BCEC8CC" w14:textId="77777777" w:rsidR="00D62ECE" w:rsidRPr="0038321F" w:rsidRDefault="00D62ECE" w:rsidP="00B23EFD">
            <w:pPr>
              <w:spacing w:before="40" w:after="40"/>
              <w:jc w:val="center"/>
              <w:rPr>
                <w:rFonts w:asciiTheme="majorHAnsi" w:hAnsiTheme="majorHAnsi" w:cstheme="majorHAnsi"/>
                <w:b/>
                <w:sz w:val="18"/>
                <w:szCs w:val="18"/>
              </w:rPr>
            </w:pPr>
            <w:r w:rsidRPr="0038321F">
              <w:rPr>
                <w:rFonts w:asciiTheme="majorHAnsi" w:hAnsiTheme="majorHAnsi" w:cstheme="majorHAnsi"/>
                <w:b/>
                <w:sz w:val="18"/>
                <w:szCs w:val="18"/>
              </w:rPr>
              <w:t>Group Practice Provider Type</w:t>
            </w:r>
          </w:p>
        </w:tc>
        <w:tc>
          <w:tcPr>
            <w:tcW w:w="1350" w:type="dxa"/>
            <w:tcBorders>
              <w:bottom w:val="single" w:sz="4" w:space="0" w:color="auto"/>
            </w:tcBorders>
            <w:shd w:val="clear" w:color="auto" w:fill="A6A6A6" w:themeFill="background1" w:themeFillShade="A6"/>
            <w:vAlign w:val="bottom"/>
          </w:tcPr>
          <w:p w14:paraId="26FA22B6" w14:textId="77777777" w:rsidR="00D62ECE" w:rsidRPr="0038321F" w:rsidRDefault="00D62ECE" w:rsidP="00B23EFD">
            <w:pPr>
              <w:spacing w:before="40" w:after="40"/>
              <w:jc w:val="center"/>
              <w:rPr>
                <w:rFonts w:asciiTheme="majorHAnsi" w:hAnsiTheme="majorHAnsi" w:cstheme="majorHAnsi"/>
                <w:b/>
                <w:sz w:val="18"/>
                <w:szCs w:val="18"/>
              </w:rPr>
            </w:pPr>
            <w:r w:rsidRPr="0038321F">
              <w:rPr>
                <w:rFonts w:asciiTheme="majorHAnsi" w:hAnsiTheme="majorHAnsi" w:cstheme="majorHAnsi"/>
                <w:b/>
                <w:sz w:val="18"/>
                <w:szCs w:val="18"/>
              </w:rPr>
              <w:t>% Distribution Based on BLS</w:t>
            </w:r>
          </w:p>
        </w:tc>
        <w:tc>
          <w:tcPr>
            <w:tcW w:w="1440" w:type="dxa"/>
            <w:tcBorders>
              <w:bottom w:val="single" w:sz="4" w:space="0" w:color="auto"/>
            </w:tcBorders>
            <w:shd w:val="clear" w:color="auto" w:fill="A6A6A6" w:themeFill="background1" w:themeFillShade="A6"/>
            <w:vAlign w:val="bottom"/>
          </w:tcPr>
          <w:p w14:paraId="65126978" w14:textId="77777777" w:rsidR="00D62ECE" w:rsidRPr="0038321F" w:rsidRDefault="00D62ECE" w:rsidP="00B23EFD">
            <w:pPr>
              <w:spacing w:before="40" w:after="40"/>
              <w:jc w:val="center"/>
              <w:rPr>
                <w:rFonts w:asciiTheme="majorHAnsi" w:hAnsiTheme="majorHAnsi" w:cstheme="majorHAnsi"/>
                <w:b/>
                <w:sz w:val="18"/>
                <w:szCs w:val="18"/>
              </w:rPr>
            </w:pPr>
            <w:r w:rsidRPr="0038321F">
              <w:rPr>
                <w:rFonts w:asciiTheme="majorHAnsi" w:hAnsiTheme="majorHAnsi" w:cstheme="majorHAnsi"/>
                <w:b/>
                <w:sz w:val="18"/>
                <w:szCs w:val="18"/>
              </w:rPr>
              <w:t>Estimated Sample N (Participating)</w:t>
            </w:r>
          </w:p>
        </w:tc>
        <w:tc>
          <w:tcPr>
            <w:tcW w:w="1558" w:type="dxa"/>
            <w:tcBorders>
              <w:bottom w:val="single" w:sz="4" w:space="0" w:color="auto"/>
            </w:tcBorders>
            <w:shd w:val="clear" w:color="auto" w:fill="A6A6A6" w:themeFill="background1" w:themeFillShade="A6"/>
            <w:vAlign w:val="bottom"/>
          </w:tcPr>
          <w:p w14:paraId="0E651A21" w14:textId="20F5A81D" w:rsidR="00D62ECE" w:rsidRPr="0038321F" w:rsidRDefault="00D62ECE" w:rsidP="00B23EFD">
            <w:pPr>
              <w:spacing w:before="40" w:after="40"/>
              <w:jc w:val="center"/>
              <w:rPr>
                <w:rFonts w:asciiTheme="majorHAnsi" w:hAnsiTheme="majorHAnsi" w:cstheme="majorHAnsi"/>
                <w:b/>
                <w:sz w:val="18"/>
                <w:szCs w:val="18"/>
              </w:rPr>
            </w:pPr>
            <w:r w:rsidRPr="0038321F">
              <w:rPr>
                <w:rFonts w:asciiTheme="majorHAnsi" w:hAnsiTheme="majorHAnsi" w:cstheme="majorHAnsi"/>
                <w:b/>
                <w:sz w:val="18"/>
                <w:szCs w:val="18"/>
              </w:rPr>
              <w:t>Estimated Sample N (Non</w:t>
            </w:r>
            <w:r w:rsidR="00CF3EE7">
              <w:rPr>
                <w:rFonts w:asciiTheme="majorHAnsi" w:hAnsiTheme="majorHAnsi" w:cstheme="majorHAnsi"/>
                <w:b/>
                <w:sz w:val="18"/>
                <w:szCs w:val="18"/>
              </w:rPr>
              <w:noBreakHyphen/>
            </w:r>
            <w:r w:rsidRPr="0038321F">
              <w:rPr>
                <w:rFonts w:asciiTheme="majorHAnsi" w:hAnsiTheme="majorHAnsi" w:cstheme="majorHAnsi"/>
                <w:b/>
                <w:sz w:val="18"/>
                <w:szCs w:val="18"/>
              </w:rPr>
              <w:t>-participating)</w:t>
            </w:r>
          </w:p>
        </w:tc>
      </w:tr>
      <w:tr w:rsidR="00D62ECE" w:rsidRPr="0038321F" w14:paraId="71F0A0B6" w14:textId="77777777" w:rsidTr="00CF3EE7">
        <w:trPr>
          <w:cantSplit/>
        </w:trPr>
        <w:tc>
          <w:tcPr>
            <w:tcW w:w="2515" w:type="dxa"/>
            <w:vAlign w:val="center"/>
          </w:tcPr>
          <w:p w14:paraId="12625D8B" w14:textId="77777777" w:rsidR="00D62ECE" w:rsidRPr="0038321F" w:rsidRDefault="00D62ECE" w:rsidP="00B23EFD">
            <w:pPr>
              <w:spacing w:before="40" w:after="40"/>
              <w:rPr>
                <w:rFonts w:asciiTheme="majorHAnsi" w:hAnsiTheme="majorHAnsi" w:cstheme="majorHAnsi"/>
                <w:sz w:val="18"/>
                <w:szCs w:val="18"/>
              </w:rPr>
            </w:pPr>
            <w:r w:rsidRPr="0038321F">
              <w:rPr>
                <w:rFonts w:asciiTheme="majorHAnsi" w:hAnsiTheme="majorHAnsi" w:cstheme="majorHAnsi"/>
                <w:sz w:val="18"/>
                <w:szCs w:val="18"/>
              </w:rPr>
              <w:t>QIN I (NY)</w:t>
            </w:r>
          </w:p>
        </w:tc>
        <w:tc>
          <w:tcPr>
            <w:tcW w:w="1710" w:type="dxa"/>
            <w:vAlign w:val="center"/>
          </w:tcPr>
          <w:p w14:paraId="62AB4967" w14:textId="77777777" w:rsidR="00D62ECE" w:rsidRPr="0038321F" w:rsidRDefault="00D62ECE" w:rsidP="00B23EFD">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Physicians</w:t>
            </w:r>
          </w:p>
        </w:tc>
        <w:tc>
          <w:tcPr>
            <w:tcW w:w="1350" w:type="dxa"/>
            <w:vAlign w:val="center"/>
          </w:tcPr>
          <w:p w14:paraId="602BDF30"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4.7%</w:t>
            </w:r>
          </w:p>
        </w:tc>
        <w:tc>
          <w:tcPr>
            <w:tcW w:w="1440" w:type="dxa"/>
            <w:vAlign w:val="center"/>
          </w:tcPr>
          <w:p w14:paraId="0E1E2E6D"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14</w:t>
            </w:r>
          </w:p>
        </w:tc>
        <w:tc>
          <w:tcPr>
            <w:tcW w:w="1558" w:type="dxa"/>
            <w:vAlign w:val="center"/>
          </w:tcPr>
          <w:p w14:paraId="36E7B3FC"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14</w:t>
            </w:r>
          </w:p>
        </w:tc>
      </w:tr>
      <w:tr w:rsidR="00D62ECE" w:rsidRPr="0038321F" w14:paraId="6C4E6033" w14:textId="77777777" w:rsidTr="00CF3EE7">
        <w:trPr>
          <w:cantSplit/>
        </w:trPr>
        <w:tc>
          <w:tcPr>
            <w:tcW w:w="2515" w:type="dxa"/>
            <w:vAlign w:val="center"/>
          </w:tcPr>
          <w:p w14:paraId="6E857109" w14:textId="77777777" w:rsidR="00D62ECE" w:rsidRPr="0038321F" w:rsidRDefault="00D62ECE" w:rsidP="00B23EFD">
            <w:pPr>
              <w:spacing w:before="40" w:after="40"/>
              <w:rPr>
                <w:rFonts w:asciiTheme="majorHAnsi" w:hAnsiTheme="majorHAnsi" w:cstheme="majorHAnsi"/>
                <w:sz w:val="18"/>
                <w:szCs w:val="18"/>
              </w:rPr>
            </w:pPr>
            <w:r w:rsidRPr="0038321F">
              <w:rPr>
                <w:rFonts w:asciiTheme="majorHAnsi" w:hAnsiTheme="majorHAnsi" w:cstheme="majorHAnsi"/>
                <w:sz w:val="18"/>
                <w:szCs w:val="18"/>
              </w:rPr>
              <w:t>QIN G (MS)</w:t>
            </w:r>
          </w:p>
        </w:tc>
        <w:tc>
          <w:tcPr>
            <w:tcW w:w="1710" w:type="dxa"/>
            <w:vAlign w:val="center"/>
          </w:tcPr>
          <w:p w14:paraId="104E4F79" w14:textId="77777777" w:rsidR="00D62ECE" w:rsidRPr="0038321F" w:rsidRDefault="00D62ECE" w:rsidP="00B23EFD">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Physicians</w:t>
            </w:r>
          </w:p>
        </w:tc>
        <w:tc>
          <w:tcPr>
            <w:tcW w:w="1350" w:type="dxa"/>
            <w:vAlign w:val="center"/>
          </w:tcPr>
          <w:p w14:paraId="274B8955"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1.1%</w:t>
            </w:r>
          </w:p>
        </w:tc>
        <w:tc>
          <w:tcPr>
            <w:tcW w:w="1440" w:type="dxa"/>
            <w:vAlign w:val="center"/>
          </w:tcPr>
          <w:p w14:paraId="17E05A72"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3</w:t>
            </w:r>
          </w:p>
        </w:tc>
        <w:tc>
          <w:tcPr>
            <w:tcW w:w="1558" w:type="dxa"/>
            <w:vAlign w:val="center"/>
          </w:tcPr>
          <w:p w14:paraId="14FA95B8"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3</w:t>
            </w:r>
          </w:p>
        </w:tc>
      </w:tr>
      <w:tr w:rsidR="00D62ECE" w:rsidRPr="0038321F" w14:paraId="151C763D" w14:textId="77777777" w:rsidTr="00CF3EE7">
        <w:trPr>
          <w:cantSplit/>
        </w:trPr>
        <w:tc>
          <w:tcPr>
            <w:tcW w:w="2515" w:type="dxa"/>
            <w:vAlign w:val="center"/>
          </w:tcPr>
          <w:p w14:paraId="05B7EAB9" w14:textId="77777777" w:rsidR="00D62ECE" w:rsidRPr="0038321F" w:rsidRDefault="00D62ECE" w:rsidP="00B23EFD">
            <w:pPr>
              <w:spacing w:before="40" w:after="40"/>
              <w:rPr>
                <w:rFonts w:asciiTheme="majorHAnsi" w:hAnsiTheme="majorHAnsi" w:cstheme="majorHAnsi"/>
                <w:sz w:val="18"/>
                <w:szCs w:val="18"/>
              </w:rPr>
            </w:pPr>
            <w:r w:rsidRPr="0038321F">
              <w:rPr>
                <w:rFonts w:asciiTheme="majorHAnsi" w:hAnsiTheme="majorHAnsi" w:cstheme="majorHAnsi"/>
                <w:sz w:val="18"/>
                <w:szCs w:val="18"/>
              </w:rPr>
              <w:t>QIN A (ND, SD)</w:t>
            </w:r>
          </w:p>
        </w:tc>
        <w:tc>
          <w:tcPr>
            <w:tcW w:w="1710" w:type="dxa"/>
            <w:vAlign w:val="center"/>
          </w:tcPr>
          <w:p w14:paraId="7BB46CCE" w14:textId="77777777" w:rsidR="00D62ECE" w:rsidRPr="0038321F" w:rsidRDefault="00D62ECE" w:rsidP="00B23EFD">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Physicians</w:t>
            </w:r>
          </w:p>
        </w:tc>
        <w:tc>
          <w:tcPr>
            <w:tcW w:w="1350" w:type="dxa"/>
            <w:vAlign w:val="center"/>
          </w:tcPr>
          <w:p w14:paraId="53BF247A"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1.1%</w:t>
            </w:r>
          </w:p>
        </w:tc>
        <w:tc>
          <w:tcPr>
            <w:tcW w:w="1440" w:type="dxa"/>
            <w:vAlign w:val="center"/>
          </w:tcPr>
          <w:p w14:paraId="66E75015"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3</w:t>
            </w:r>
          </w:p>
        </w:tc>
        <w:tc>
          <w:tcPr>
            <w:tcW w:w="1558" w:type="dxa"/>
            <w:vAlign w:val="center"/>
          </w:tcPr>
          <w:p w14:paraId="52F827D2"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3</w:t>
            </w:r>
          </w:p>
        </w:tc>
      </w:tr>
      <w:tr w:rsidR="00D62ECE" w:rsidRPr="0038321F" w14:paraId="488A39BA" w14:textId="77777777" w:rsidTr="00CF3EE7">
        <w:trPr>
          <w:cantSplit/>
        </w:trPr>
        <w:tc>
          <w:tcPr>
            <w:tcW w:w="2515" w:type="dxa"/>
            <w:vAlign w:val="center"/>
          </w:tcPr>
          <w:p w14:paraId="50E51AD8" w14:textId="77777777" w:rsidR="00D62ECE" w:rsidRPr="0038321F" w:rsidRDefault="00D62ECE" w:rsidP="00B23EFD">
            <w:pPr>
              <w:spacing w:before="40" w:after="40"/>
              <w:rPr>
                <w:rFonts w:asciiTheme="majorHAnsi" w:hAnsiTheme="majorHAnsi" w:cstheme="majorHAnsi"/>
                <w:sz w:val="18"/>
                <w:szCs w:val="18"/>
              </w:rPr>
            </w:pPr>
            <w:r w:rsidRPr="0038321F">
              <w:rPr>
                <w:rFonts w:asciiTheme="majorHAnsi" w:hAnsiTheme="majorHAnsi" w:cstheme="majorHAnsi"/>
                <w:sz w:val="18"/>
                <w:szCs w:val="18"/>
              </w:rPr>
              <w:t>QIN N (CT, MA, ME, NH, RI, VT)</w:t>
            </w:r>
          </w:p>
        </w:tc>
        <w:tc>
          <w:tcPr>
            <w:tcW w:w="1710" w:type="dxa"/>
            <w:vAlign w:val="center"/>
          </w:tcPr>
          <w:p w14:paraId="0043A2AB" w14:textId="77777777" w:rsidR="00D62ECE" w:rsidRPr="0038321F" w:rsidRDefault="00D62ECE" w:rsidP="00B23EFD">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Physicians</w:t>
            </w:r>
          </w:p>
        </w:tc>
        <w:tc>
          <w:tcPr>
            <w:tcW w:w="1350" w:type="dxa"/>
            <w:vAlign w:val="center"/>
          </w:tcPr>
          <w:p w14:paraId="3DC43790"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10.9%</w:t>
            </w:r>
          </w:p>
        </w:tc>
        <w:tc>
          <w:tcPr>
            <w:tcW w:w="1440" w:type="dxa"/>
            <w:vAlign w:val="center"/>
          </w:tcPr>
          <w:p w14:paraId="2B94670E"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33</w:t>
            </w:r>
          </w:p>
        </w:tc>
        <w:tc>
          <w:tcPr>
            <w:tcW w:w="1558" w:type="dxa"/>
            <w:vAlign w:val="center"/>
          </w:tcPr>
          <w:p w14:paraId="774260D8"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33</w:t>
            </w:r>
          </w:p>
        </w:tc>
      </w:tr>
      <w:tr w:rsidR="00D62ECE" w:rsidRPr="0038321F" w14:paraId="79A890BE" w14:textId="77777777" w:rsidTr="00CF3EE7">
        <w:trPr>
          <w:cantSplit/>
        </w:trPr>
        <w:tc>
          <w:tcPr>
            <w:tcW w:w="2515" w:type="dxa"/>
            <w:vAlign w:val="center"/>
          </w:tcPr>
          <w:p w14:paraId="0AD45103" w14:textId="77777777" w:rsidR="00D62ECE" w:rsidRPr="0038321F" w:rsidRDefault="00D62ECE" w:rsidP="00B23EFD">
            <w:pPr>
              <w:spacing w:before="40" w:after="40"/>
              <w:rPr>
                <w:rFonts w:asciiTheme="majorHAnsi" w:hAnsiTheme="majorHAnsi" w:cstheme="majorHAnsi"/>
                <w:sz w:val="18"/>
                <w:szCs w:val="18"/>
              </w:rPr>
            </w:pPr>
            <w:r w:rsidRPr="0038321F">
              <w:rPr>
                <w:rFonts w:asciiTheme="majorHAnsi" w:hAnsiTheme="majorHAnsi" w:cstheme="majorHAnsi"/>
                <w:sz w:val="18"/>
                <w:szCs w:val="18"/>
              </w:rPr>
              <w:t>QIN C (WI)</w:t>
            </w:r>
          </w:p>
        </w:tc>
        <w:tc>
          <w:tcPr>
            <w:tcW w:w="1710" w:type="dxa"/>
            <w:vAlign w:val="center"/>
          </w:tcPr>
          <w:p w14:paraId="0E349179" w14:textId="77777777" w:rsidR="00D62ECE" w:rsidRPr="0038321F" w:rsidRDefault="00D62ECE" w:rsidP="00B23EFD">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Physicians</w:t>
            </w:r>
          </w:p>
        </w:tc>
        <w:tc>
          <w:tcPr>
            <w:tcW w:w="1350" w:type="dxa"/>
            <w:vAlign w:val="center"/>
          </w:tcPr>
          <w:p w14:paraId="11BD76F9"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4.0%</w:t>
            </w:r>
          </w:p>
        </w:tc>
        <w:tc>
          <w:tcPr>
            <w:tcW w:w="1440" w:type="dxa"/>
            <w:vAlign w:val="center"/>
          </w:tcPr>
          <w:p w14:paraId="2C89E1C9"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12</w:t>
            </w:r>
          </w:p>
        </w:tc>
        <w:tc>
          <w:tcPr>
            <w:tcW w:w="1558" w:type="dxa"/>
            <w:vAlign w:val="center"/>
          </w:tcPr>
          <w:p w14:paraId="40A79FC1"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12</w:t>
            </w:r>
          </w:p>
        </w:tc>
      </w:tr>
      <w:tr w:rsidR="00D62ECE" w:rsidRPr="0038321F" w14:paraId="74317B3C" w14:textId="77777777" w:rsidTr="00CF3EE7">
        <w:trPr>
          <w:cantSplit/>
        </w:trPr>
        <w:tc>
          <w:tcPr>
            <w:tcW w:w="2515" w:type="dxa"/>
            <w:vAlign w:val="center"/>
          </w:tcPr>
          <w:p w14:paraId="06EB3D3C" w14:textId="77777777" w:rsidR="00D62ECE" w:rsidRPr="0038321F" w:rsidRDefault="00D62ECE" w:rsidP="00B23EFD">
            <w:pPr>
              <w:spacing w:before="40" w:after="40"/>
              <w:rPr>
                <w:rFonts w:asciiTheme="majorHAnsi" w:hAnsiTheme="majorHAnsi" w:cstheme="majorHAnsi"/>
                <w:sz w:val="18"/>
                <w:szCs w:val="18"/>
              </w:rPr>
            </w:pPr>
            <w:r w:rsidRPr="0038321F">
              <w:rPr>
                <w:rFonts w:asciiTheme="majorHAnsi" w:hAnsiTheme="majorHAnsi" w:cstheme="majorHAnsi"/>
                <w:sz w:val="18"/>
                <w:szCs w:val="18"/>
              </w:rPr>
              <w:t>QIN J (NJ, PA)</w:t>
            </w:r>
          </w:p>
        </w:tc>
        <w:tc>
          <w:tcPr>
            <w:tcW w:w="1710" w:type="dxa"/>
            <w:vAlign w:val="center"/>
          </w:tcPr>
          <w:p w14:paraId="0998DD33" w14:textId="77777777" w:rsidR="00D62ECE" w:rsidRPr="0038321F" w:rsidRDefault="00D62ECE" w:rsidP="00B23EFD">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Physicians</w:t>
            </w:r>
          </w:p>
        </w:tc>
        <w:tc>
          <w:tcPr>
            <w:tcW w:w="1350" w:type="dxa"/>
            <w:vAlign w:val="center"/>
          </w:tcPr>
          <w:p w14:paraId="486A9C0F"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9.6%</w:t>
            </w:r>
          </w:p>
        </w:tc>
        <w:tc>
          <w:tcPr>
            <w:tcW w:w="1440" w:type="dxa"/>
            <w:vAlign w:val="center"/>
          </w:tcPr>
          <w:p w14:paraId="3CF1BD92"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29</w:t>
            </w:r>
          </w:p>
        </w:tc>
        <w:tc>
          <w:tcPr>
            <w:tcW w:w="1558" w:type="dxa"/>
            <w:vAlign w:val="center"/>
          </w:tcPr>
          <w:p w14:paraId="210266E1"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29</w:t>
            </w:r>
          </w:p>
        </w:tc>
      </w:tr>
      <w:tr w:rsidR="00D62ECE" w:rsidRPr="0038321F" w14:paraId="43FA577D" w14:textId="77777777" w:rsidTr="00CF3EE7">
        <w:trPr>
          <w:cantSplit/>
        </w:trPr>
        <w:tc>
          <w:tcPr>
            <w:tcW w:w="2515" w:type="dxa"/>
            <w:vAlign w:val="center"/>
          </w:tcPr>
          <w:p w14:paraId="3BA07F2E" w14:textId="77777777" w:rsidR="00D62ECE" w:rsidRPr="0038321F" w:rsidRDefault="00D62ECE" w:rsidP="00B23EFD">
            <w:pPr>
              <w:spacing w:before="40" w:after="40"/>
              <w:rPr>
                <w:rFonts w:asciiTheme="majorHAnsi" w:hAnsiTheme="majorHAnsi" w:cstheme="majorHAnsi"/>
                <w:sz w:val="18"/>
                <w:szCs w:val="18"/>
              </w:rPr>
            </w:pPr>
            <w:r w:rsidRPr="0038321F">
              <w:rPr>
                <w:rFonts w:asciiTheme="majorHAnsi" w:hAnsiTheme="majorHAnsi" w:cstheme="majorHAnsi"/>
                <w:sz w:val="18"/>
                <w:szCs w:val="18"/>
              </w:rPr>
              <w:t>QIN B (AR)</w:t>
            </w:r>
          </w:p>
        </w:tc>
        <w:tc>
          <w:tcPr>
            <w:tcW w:w="1710" w:type="dxa"/>
            <w:vAlign w:val="center"/>
          </w:tcPr>
          <w:p w14:paraId="173BE706" w14:textId="77777777" w:rsidR="00D62ECE" w:rsidRPr="0038321F" w:rsidRDefault="00D62ECE" w:rsidP="00B23EFD">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Physicians</w:t>
            </w:r>
          </w:p>
        </w:tc>
        <w:tc>
          <w:tcPr>
            <w:tcW w:w="1350" w:type="dxa"/>
            <w:vAlign w:val="center"/>
          </w:tcPr>
          <w:p w14:paraId="701A8673"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1.7%</w:t>
            </w:r>
          </w:p>
        </w:tc>
        <w:tc>
          <w:tcPr>
            <w:tcW w:w="1440" w:type="dxa"/>
            <w:vAlign w:val="center"/>
          </w:tcPr>
          <w:p w14:paraId="44A4EF99"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5</w:t>
            </w:r>
          </w:p>
        </w:tc>
        <w:tc>
          <w:tcPr>
            <w:tcW w:w="1558" w:type="dxa"/>
            <w:vAlign w:val="center"/>
          </w:tcPr>
          <w:p w14:paraId="0688AA4F"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5</w:t>
            </w:r>
          </w:p>
        </w:tc>
      </w:tr>
      <w:tr w:rsidR="00D62ECE" w:rsidRPr="0038321F" w14:paraId="3CB94F7D" w14:textId="77777777" w:rsidTr="00CF3EE7">
        <w:trPr>
          <w:cantSplit/>
        </w:trPr>
        <w:tc>
          <w:tcPr>
            <w:tcW w:w="2515" w:type="dxa"/>
            <w:vAlign w:val="center"/>
          </w:tcPr>
          <w:p w14:paraId="41B30AB2" w14:textId="77777777" w:rsidR="00D62ECE" w:rsidRPr="0038321F" w:rsidRDefault="00D62ECE" w:rsidP="00B23EFD">
            <w:pPr>
              <w:spacing w:before="40" w:after="40"/>
              <w:rPr>
                <w:rFonts w:asciiTheme="majorHAnsi" w:hAnsiTheme="majorHAnsi" w:cstheme="majorHAnsi"/>
                <w:sz w:val="18"/>
                <w:szCs w:val="18"/>
              </w:rPr>
            </w:pPr>
            <w:r w:rsidRPr="0038321F">
              <w:rPr>
                <w:rFonts w:asciiTheme="majorHAnsi" w:hAnsiTheme="majorHAnsi" w:cstheme="majorHAnsi"/>
                <w:sz w:val="18"/>
                <w:szCs w:val="18"/>
              </w:rPr>
              <w:t>QIN K (MD, VA)</w:t>
            </w:r>
          </w:p>
        </w:tc>
        <w:tc>
          <w:tcPr>
            <w:tcW w:w="1710" w:type="dxa"/>
            <w:vAlign w:val="center"/>
          </w:tcPr>
          <w:p w14:paraId="0CAE2F1A" w14:textId="77777777" w:rsidR="00D62ECE" w:rsidRPr="0038321F" w:rsidRDefault="00D62ECE" w:rsidP="00B23EFD">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Physicians</w:t>
            </w:r>
          </w:p>
        </w:tc>
        <w:tc>
          <w:tcPr>
            <w:tcW w:w="1350" w:type="dxa"/>
            <w:vAlign w:val="center"/>
          </w:tcPr>
          <w:p w14:paraId="1151A328"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10.0%</w:t>
            </w:r>
          </w:p>
        </w:tc>
        <w:tc>
          <w:tcPr>
            <w:tcW w:w="1440" w:type="dxa"/>
            <w:vAlign w:val="center"/>
          </w:tcPr>
          <w:p w14:paraId="03ECFD8B"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30</w:t>
            </w:r>
          </w:p>
        </w:tc>
        <w:tc>
          <w:tcPr>
            <w:tcW w:w="1558" w:type="dxa"/>
            <w:vAlign w:val="center"/>
          </w:tcPr>
          <w:p w14:paraId="35C75FF7" w14:textId="77777777" w:rsidR="00D62ECE" w:rsidRPr="0038321F" w:rsidRDefault="00D62ECE" w:rsidP="00B23EFD">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30</w:t>
            </w:r>
          </w:p>
        </w:tc>
      </w:tr>
    </w:tbl>
    <w:p w14:paraId="2AB58E45" w14:textId="0E953B26" w:rsidR="00D62ECE" w:rsidRPr="00CF3EE7" w:rsidRDefault="00D62ECE" w:rsidP="00B4704C">
      <w:pPr>
        <w:pStyle w:val="NoSpacing"/>
        <w:rPr>
          <w:sz w:val="2"/>
          <w:szCs w:val="2"/>
        </w:rPr>
      </w:pPr>
    </w:p>
    <w:p w14:paraId="29EFA867" w14:textId="77777777" w:rsidR="00B4704C" w:rsidRPr="00B4704C" w:rsidRDefault="00B4704C" w:rsidP="00CF3EE7">
      <w:pPr>
        <w:keepNext/>
        <w:pBdr>
          <w:top w:val="single" w:sz="4" w:space="1" w:color="auto"/>
          <w:left w:val="single" w:sz="4" w:space="3" w:color="auto"/>
          <w:right w:val="single" w:sz="4" w:space="3" w:color="auto"/>
        </w:pBdr>
        <w:shd w:val="clear" w:color="auto" w:fill="D9D9D9" w:themeFill="background1" w:themeFillShade="D9"/>
        <w:spacing w:before="40" w:after="0"/>
        <w:ind w:left="806" w:right="158"/>
        <w:jc w:val="center"/>
        <w:rPr>
          <w:rFonts w:asciiTheme="majorHAnsi" w:eastAsia="Times New Roman" w:hAnsiTheme="majorHAnsi" w:cstheme="majorHAnsi"/>
          <w:b/>
          <w:sz w:val="18"/>
          <w:szCs w:val="18"/>
          <w:lang w:eastAsia="zh-TW"/>
        </w:rPr>
      </w:pPr>
      <w:r w:rsidRPr="00B4704C">
        <w:rPr>
          <w:rFonts w:asciiTheme="majorHAnsi" w:eastAsia="Times New Roman" w:hAnsiTheme="majorHAnsi" w:cstheme="majorHAnsi"/>
          <w:b/>
          <w:sz w:val="18"/>
          <w:szCs w:val="18"/>
          <w:lang w:eastAsia="zh-TW"/>
        </w:rPr>
        <w:t>State Group:  States where QIN-QIO work with group practice physicians only</w:t>
      </w:r>
    </w:p>
    <w:tbl>
      <w:tblPr>
        <w:tblStyle w:val="TableGrid"/>
        <w:tblW w:w="0" w:type="auto"/>
        <w:tblInd w:w="720" w:type="dxa"/>
        <w:tblLayout w:type="fixed"/>
        <w:tblCellMar>
          <w:left w:w="115" w:type="dxa"/>
          <w:right w:w="115" w:type="dxa"/>
        </w:tblCellMar>
        <w:tblLook w:val="04A0" w:firstRow="1" w:lastRow="0" w:firstColumn="1" w:lastColumn="0" w:noHBand="0" w:noVBand="1"/>
      </w:tblPr>
      <w:tblGrid>
        <w:gridCol w:w="2515"/>
        <w:gridCol w:w="1710"/>
        <w:gridCol w:w="1359"/>
        <w:gridCol w:w="1440"/>
        <w:gridCol w:w="1548"/>
      </w:tblGrid>
      <w:tr w:rsidR="00CF3EE7" w:rsidRPr="00CF3EE7" w14:paraId="660053E0" w14:textId="60D8143D" w:rsidTr="00CF3EE7">
        <w:trPr>
          <w:cantSplit/>
          <w:tblHeader/>
        </w:trPr>
        <w:tc>
          <w:tcPr>
            <w:tcW w:w="2515" w:type="dxa"/>
            <w:tcBorders>
              <w:bottom w:val="single" w:sz="4" w:space="0" w:color="auto"/>
            </w:tcBorders>
            <w:shd w:val="clear" w:color="auto" w:fill="A6A6A6" w:themeFill="background1" w:themeFillShade="A6"/>
            <w:vAlign w:val="bottom"/>
          </w:tcPr>
          <w:p w14:paraId="7B015448" w14:textId="2F908824" w:rsidR="00B4704C" w:rsidRPr="00CF3EE7" w:rsidRDefault="00B4704C" w:rsidP="00CF3EE7">
            <w:pPr>
              <w:spacing w:before="40" w:after="40"/>
              <w:rPr>
                <w:rFonts w:asciiTheme="majorHAnsi" w:hAnsiTheme="majorHAnsi" w:cstheme="majorHAnsi"/>
                <w:b/>
                <w:sz w:val="18"/>
                <w:szCs w:val="18"/>
              </w:rPr>
            </w:pPr>
            <w:r w:rsidRPr="00CF3EE7">
              <w:rPr>
                <w:rFonts w:asciiTheme="majorHAnsi" w:hAnsiTheme="majorHAnsi" w:cstheme="majorHAnsi"/>
                <w:b/>
                <w:sz w:val="18"/>
                <w:szCs w:val="18"/>
              </w:rPr>
              <w:t>QIN-QIO Region / States</w:t>
            </w:r>
          </w:p>
        </w:tc>
        <w:tc>
          <w:tcPr>
            <w:tcW w:w="1710" w:type="dxa"/>
            <w:tcBorders>
              <w:bottom w:val="single" w:sz="4" w:space="0" w:color="auto"/>
            </w:tcBorders>
            <w:shd w:val="clear" w:color="auto" w:fill="A6A6A6" w:themeFill="background1" w:themeFillShade="A6"/>
            <w:vAlign w:val="bottom"/>
          </w:tcPr>
          <w:p w14:paraId="14F9EE24" w14:textId="52275541" w:rsidR="00B4704C" w:rsidRPr="00CF3EE7" w:rsidRDefault="00B4704C" w:rsidP="00CF3EE7">
            <w:pPr>
              <w:spacing w:before="40" w:after="40"/>
              <w:jc w:val="center"/>
              <w:rPr>
                <w:rFonts w:asciiTheme="majorHAnsi" w:hAnsiTheme="majorHAnsi" w:cstheme="majorHAnsi"/>
                <w:b/>
                <w:sz w:val="18"/>
                <w:szCs w:val="18"/>
              </w:rPr>
            </w:pPr>
            <w:r w:rsidRPr="00CF3EE7">
              <w:rPr>
                <w:rFonts w:asciiTheme="majorHAnsi" w:hAnsiTheme="majorHAnsi" w:cstheme="majorHAnsi"/>
                <w:b/>
                <w:sz w:val="18"/>
                <w:szCs w:val="18"/>
              </w:rPr>
              <w:t>Group Practice Provider Type</w:t>
            </w:r>
          </w:p>
        </w:tc>
        <w:tc>
          <w:tcPr>
            <w:tcW w:w="1359" w:type="dxa"/>
            <w:tcBorders>
              <w:bottom w:val="single" w:sz="4" w:space="0" w:color="auto"/>
            </w:tcBorders>
            <w:shd w:val="clear" w:color="auto" w:fill="A6A6A6" w:themeFill="background1" w:themeFillShade="A6"/>
            <w:vAlign w:val="bottom"/>
          </w:tcPr>
          <w:p w14:paraId="2E3C9A83" w14:textId="6A250734" w:rsidR="00B4704C" w:rsidRPr="00CF3EE7" w:rsidRDefault="00B4704C" w:rsidP="00CF3EE7">
            <w:pPr>
              <w:spacing w:before="40" w:after="40"/>
              <w:jc w:val="center"/>
              <w:rPr>
                <w:rFonts w:asciiTheme="majorHAnsi" w:hAnsiTheme="majorHAnsi" w:cstheme="majorHAnsi"/>
                <w:b/>
                <w:sz w:val="18"/>
                <w:szCs w:val="18"/>
              </w:rPr>
            </w:pPr>
            <w:r w:rsidRPr="00CF3EE7">
              <w:rPr>
                <w:rFonts w:asciiTheme="majorHAnsi" w:hAnsiTheme="majorHAnsi" w:cstheme="majorHAnsi"/>
                <w:b/>
                <w:sz w:val="18"/>
                <w:szCs w:val="18"/>
              </w:rPr>
              <w:t>% Distribution Based on BLS</w:t>
            </w:r>
          </w:p>
        </w:tc>
        <w:tc>
          <w:tcPr>
            <w:tcW w:w="1440" w:type="dxa"/>
            <w:tcBorders>
              <w:bottom w:val="single" w:sz="4" w:space="0" w:color="auto"/>
            </w:tcBorders>
            <w:shd w:val="clear" w:color="auto" w:fill="A6A6A6" w:themeFill="background1" w:themeFillShade="A6"/>
            <w:vAlign w:val="bottom"/>
          </w:tcPr>
          <w:p w14:paraId="43D7A5C5" w14:textId="4A3DB1CF" w:rsidR="00B4704C" w:rsidRPr="00CF3EE7" w:rsidRDefault="00B4704C" w:rsidP="00CF3EE7">
            <w:pPr>
              <w:spacing w:before="40" w:after="40"/>
              <w:jc w:val="center"/>
              <w:rPr>
                <w:rFonts w:asciiTheme="majorHAnsi" w:hAnsiTheme="majorHAnsi" w:cstheme="majorHAnsi"/>
                <w:b/>
                <w:sz w:val="18"/>
                <w:szCs w:val="18"/>
              </w:rPr>
            </w:pPr>
            <w:r w:rsidRPr="00CF3EE7">
              <w:rPr>
                <w:rFonts w:asciiTheme="majorHAnsi" w:hAnsiTheme="majorHAnsi" w:cstheme="majorHAnsi"/>
                <w:b/>
                <w:sz w:val="18"/>
                <w:szCs w:val="18"/>
              </w:rPr>
              <w:t>Estimated Sample N (Participating)</w:t>
            </w:r>
          </w:p>
        </w:tc>
        <w:tc>
          <w:tcPr>
            <w:tcW w:w="1548" w:type="dxa"/>
            <w:tcBorders>
              <w:bottom w:val="single" w:sz="4" w:space="0" w:color="auto"/>
            </w:tcBorders>
            <w:shd w:val="clear" w:color="auto" w:fill="A6A6A6" w:themeFill="background1" w:themeFillShade="A6"/>
            <w:vAlign w:val="bottom"/>
          </w:tcPr>
          <w:p w14:paraId="5C8D51A8" w14:textId="2D82B113" w:rsidR="00B4704C" w:rsidRPr="00CF3EE7" w:rsidRDefault="00B4704C" w:rsidP="00CF3EE7">
            <w:pPr>
              <w:spacing w:before="40" w:after="40"/>
              <w:jc w:val="center"/>
              <w:rPr>
                <w:rFonts w:asciiTheme="majorHAnsi" w:hAnsiTheme="majorHAnsi" w:cstheme="majorHAnsi"/>
                <w:b/>
                <w:sz w:val="18"/>
                <w:szCs w:val="18"/>
              </w:rPr>
            </w:pPr>
            <w:r w:rsidRPr="00CF3EE7">
              <w:rPr>
                <w:rFonts w:asciiTheme="majorHAnsi" w:hAnsiTheme="majorHAnsi" w:cstheme="majorHAnsi"/>
                <w:b/>
                <w:sz w:val="18"/>
                <w:szCs w:val="18"/>
              </w:rPr>
              <w:t>Estimated Sample N (Non-participating)</w:t>
            </w:r>
          </w:p>
        </w:tc>
      </w:tr>
      <w:tr w:rsidR="00B4704C" w:rsidRPr="0038321F" w14:paraId="41E81F13" w14:textId="77777777" w:rsidTr="00CF3EE7">
        <w:trPr>
          <w:cantSplit/>
        </w:trPr>
        <w:tc>
          <w:tcPr>
            <w:tcW w:w="2515" w:type="dxa"/>
            <w:tcBorders>
              <w:bottom w:val="nil"/>
            </w:tcBorders>
            <w:vAlign w:val="center"/>
          </w:tcPr>
          <w:p w14:paraId="03A3B9DA" w14:textId="3569D299" w:rsidR="00B4704C" w:rsidRPr="0038321F" w:rsidRDefault="00B4704C" w:rsidP="00B4704C">
            <w:pPr>
              <w:spacing w:before="40" w:after="40"/>
              <w:rPr>
                <w:rFonts w:asciiTheme="majorHAnsi" w:hAnsiTheme="majorHAnsi" w:cstheme="majorHAnsi"/>
                <w:sz w:val="18"/>
                <w:szCs w:val="18"/>
              </w:rPr>
            </w:pPr>
            <w:r w:rsidRPr="0038321F">
              <w:rPr>
                <w:rFonts w:asciiTheme="majorHAnsi" w:hAnsiTheme="majorHAnsi" w:cstheme="majorHAnsi"/>
                <w:sz w:val="18"/>
                <w:szCs w:val="18"/>
              </w:rPr>
              <w:t>QIN F (GA, NC)</w:t>
            </w:r>
          </w:p>
        </w:tc>
        <w:tc>
          <w:tcPr>
            <w:tcW w:w="1710" w:type="dxa"/>
            <w:vAlign w:val="center"/>
          </w:tcPr>
          <w:p w14:paraId="3B1DA248" w14:textId="35EA1885" w:rsidR="00B4704C" w:rsidRPr="0038321F" w:rsidRDefault="00B4704C" w:rsidP="00CF3EE7">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Physicians</w:t>
            </w:r>
          </w:p>
        </w:tc>
        <w:tc>
          <w:tcPr>
            <w:tcW w:w="1359" w:type="dxa"/>
            <w:vAlign w:val="bottom"/>
          </w:tcPr>
          <w:p w14:paraId="7AE785EF" w14:textId="70BB7BA8" w:rsidR="00B4704C" w:rsidRPr="0038321F" w:rsidRDefault="00B4704C" w:rsidP="00CF3EE7">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6.6%</w:t>
            </w:r>
          </w:p>
        </w:tc>
        <w:tc>
          <w:tcPr>
            <w:tcW w:w="1440" w:type="dxa"/>
            <w:vAlign w:val="bottom"/>
          </w:tcPr>
          <w:p w14:paraId="1F0A239A" w14:textId="6383D7F6" w:rsidR="00B4704C" w:rsidRPr="0038321F" w:rsidRDefault="00B4704C" w:rsidP="00CF3EE7">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20</w:t>
            </w:r>
          </w:p>
        </w:tc>
        <w:tc>
          <w:tcPr>
            <w:tcW w:w="1548" w:type="dxa"/>
            <w:vAlign w:val="bottom"/>
          </w:tcPr>
          <w:p w14:paraId="6304957F" w14:textId="5400E2FD" w:rsidR="00B4704C" w:rsidRPr="0038321F" w:rsidRDefault="00B4704C" w:rsidP="00CF3EE7">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20</w:t>
            </w:r>
          </w:p>
        </w:tc>
      </w:tr>
      <w:tr w:rsidR="00B4704C" w:rsidRPr="0038321F" w14:paraId="02D71731" w14:textId="77777777" w:rsidTr="00CF3EE7">
        <w:trPr>
          <w:cantSplit/>
        </w:trPr>
        <w:tc>
          <w:tcPr>
            <w:tcW w:w="2515" w:type="dxa"/>
            <w:tcBorders>
              <w:top w:val="nil"/>
              <w:bottom w:val="nil"/>
            </w:tcBorders>
            <w:vAlign w:val="center"/>
          </w:tcPr>
          <w:p w14:paraId="7B970220" w14:textId="77777777" w:rsidR="00B4704C" w:rsidRPr="0038321F" w:rsidRDefault="00B4704C" w:rsidP="00B4704C">
            <w:pPr>
              <w:spacing w:before="40" w:after="40"/>
              <w:rPr>
                <w:rFonts w:asciiTheme="majorHAnsi" w:hAnsiTheme="majorHAnsi" w:cstheme="majorHAnsi"/>
                <w:sz w:val="18"/>
                <w:szCs w:val="18"/>
              </w:rPr>
            </w:pPr>
          </w:p>
        </w:tc>
        <w:tc>
          <w:tcPr>
            <w:tcW w:w="1710" w:type="dxa"/>
            <w:vAlign w:val="center"/>
          </w:tcPr>
          <w:p w14:paraId="6B397976" w14:textId="4110EFF5" w:rsidR="00B4704C" w:rsidRPr="0038321F" w:rsidRDefault="00B4704C" w:rsidP="00CF3EE7">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 Assistants</w:t>
            </w:r>
          </w:p>
        </w:tc>
        <w:tc>
          <w:tcPr>
            <w:tcW w:w="1359" w:type="dxa"/>
            <w:vAlign w:val="bottom"/>
          </w:tcPr>
          <w:p w14:paraId="16F59D2E" w14:textId="41D260FF"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5.7%</w:t>
            </w:r>
          </w:p>
        </w:tc>
        <w:tc>
          <w:tcPr>
            <w:tcW w:w="1440" w:type="dxa"/>
            <w:vAlign w:val="bottom"/>
          </w:tcPr>
          <w:p w14:paraId="679BA42F" w14:textId="3EDFEC0E"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17</w:t>
            </w:r>
          </w:p>
        </w:tc>
        <w:tc>
          <w:tcPr>
            <w:tcW w:w="1548" w:type="dxa"/>
            <w:vAlign w:val="bottom"/>
          </w:tcPr>
          <w:p w14:paraId="58F67AEF" w14:textId="2F6FB1A0"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17</w:t>
            </w:r>
          </w:p>
        </w:tc>
      </w:tr>
      <w:tr w:rsidR="00B4704C" w:rsidRPr="0038321F" w14:paraId="52447B4D" w14:textId="77777777" w:rsidTr="00CF3EE7">
        <w:trPr>
          <w:cantSplit/>
        </w:trPr>
        <w:tc>
          <w:tcPr>
            <w:tcW w:w="2515" w:type="dxa"/>
            <w:tcBorders>
              <w:top w:val="nil"/>
              <w:bottom w:val="single" w:sz="4" w:space="0" w:color="auto"/>
            </w:tcBorders>
            <w:vAlign w:val="center"/>
          </w:tcPr>
          <w:p w14:paraId="3C68F484" w14:textId="77777777" w:rsidR="00B4704C" w:rsidRPr="0038321F" w:rsidRDefault="00B4704C" w:rsidP="00B4704C">
            <w:pPr>
              <w:spacing w:before="40" w:after="40"/>
              <w:rPr>
                <w:rFonts w:asciiTheme="majorHAnsi" w:hAnsiTheme="majorHAnsi" w:cstheme="majorHAnsi"/>
                <w:sz w:val="18"/>
                <w:szCs w:val="18"/>
              </w:rPr>
            </w:pPr>
          </w:p>
        </w:tc>
        <w:tc>
          <w:tcPr>
            <w:tcW w:w="1710" w:type="dxa"/>
            <w:vAlign w:val="center"/>
          </w:tcPr>
          <w:p w14:paraId="21792E6B" w14:textId="6AFE071D" w:rsidR="00B4704C" w:rsidRPr="0038321F" w:rsidRDefault="00B4704C" w:rsidP="00CF3EE7">
            <w:pPr>
              <w:spacing w:before="40" w:after="40"/>
              <w:rPr>
                <w:rFonts w:asciiTheme="majorHAnsi" w:hAnsiTheme="majorHAnsi" w:cstheme="majorHAnsi"/>
                <w:sz w:val="18"/>
                <w:szCs w:val="18"/>
              </w:rPr>
            </w:pPr>
            <w:r w:rsidRPr="0038321F">
              <w:rPr>
                <w:rFonts w:asciiTheme="majorHAnsi" w:hAnsiTheme="majorHAnsi" w:cstheme="majorHAnsi"/>
                <w:sz w:val="18"/>
                <w:szCs w:val="18"/>
              </w:rPr>
              <w:t>Nurse Practitioners</w:t>
            </w:r>
          </w:p>
        </w:tc>
        <w:tc>
          <w:tcPr>
            <w:tcW w:w="1359" w:type="dxa"/>
            <w:vAlign w:val="bottom"/>
          </w:tcPr>
          <w:p w14:paraId="40F676C5" w14:textId="2E63C205"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6.0%</w:t>
            </w:r>
          </w:p>
        </w:tc>
        <w:tc>
          <w:tcPr>
            <w:tcW w:w="1440" w:type="dxa"/>
            <w:vAlign w:val="bottom"/>
          </w:tcPr>
          <w:p w14:paraId="4A372A60" w14:textId="4417159B"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18</w:t>
            </w:r>
          </w:p>
        </w:tc>
        <w:tc>
          <w:tcPr>
            <w:tcW w:w="1548" w:type="dxa"/>
            <w:vAlign w:val="bottom"/>
          </w:tcPr>
          <w:p w14:paraId="4161714D" w14:textId="44A4A257"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18</w:t>
            </w:r>
          </w:p>
        </w:tc>
      </w:tr>
      <w:tr w:rsidR="00B4704C" w:rsidRPr="0038321F" w14:paraId="708859F9" w14:textId="77777777" w:rsidTr="00CF3EE7">
        <w:trPr>
          <w:cantSplit/>
        </w:trPr>
        <w:tc>
          <w:tcPr>
            <w:tcW w:w="2515" w:type="dxa"/>
            <w:tcBorders>
              <w:bottom w:val="nil"/>
            </w:tcBorders>
            <w:vAlign w:val="center"/>
          </w:tcPr>
          <w:p w14:paraId="20755BB1" w14:textId="059ED037" w:rsidR="00B4704C" w:rsidRPr="0038321F" w:rsidRDefault="00B4704C" w:rsidP="00CF3EE7">
            <w:pPr>
              <w:keepNext/>
              <w:spacing w:before="40" w:after="40"/>
              <w:rPr>
                <w:rFonts w:asciiTheme="majorHAnsi" w:hAnsiTheme="majorHAnsi" w:cstheme="majorHAnsi"/>
                <w:sz w:val="18"/>
                <w:szCs w:val="18"/>
              </w:rPr>
            </w:pPr>
            <w:r w:rsidRPr="0038321F">
              <w:rPr>
                <w:rFonts w:asciiTheme="majorHAnsi" w:hAnsiTheme="majorHAnsi" w:cstheme="majorHAnsi"/>
                <w:sz w:val="18"/>
                <w:szCs w:val="18"/>
              </w:rPr>
              <w:t>QIN I (DC, SC)</w:t>
            </w:r>
          </w:p>
        </w:tc>
        <w:tc>
          <w:tcPr>
            <w:tcW w:w="1710" w:type="dxa"/>
            <w:vAlign w:val="center"/>
          </w:tcPr>
          <w:p w14:paraId="514B6732" w14:textId="528C0076" w:rsidR="00B4704C" w:rsidRPr="0038321F" w:rsidRDefault="00B4704C" w:rsidP="00CF3EE7">
            <w:pPr>
              <w:keepNext/>
              <w:spacing w:before="40" w:after="40"/>
              <w:rPr>
                <w:rFonts w:asciiTheme="majorHAnsi" w:hAnsiTheme="majorHAnsi" w:cstheme="majorHAnsi"/>
                <w:sz w:val="18"/>
                <w:szCs w:val="18"/>
              </w:rPr>
            </w:pPr>
            <w:r w:rsidRPr="0038321F">
              <w:rPr>
                <w:rFonts w:asciiTheme="majorHAnsi" w:hAnsiTheme="majorHAnsi" w:cstheme="majorHAnsi"/>
                <w:sz w:val="18"/>
                <w:szCs w:val="18"/>
              </w:rPr>
              <w:t>Physicians</w:t>
            </w:r>
          </w:p>
        </w:tc>
        <w:tc>
          <w:tcPr>
            <w:tcW w:w="1359" w:type="dxa"/>
            <w:vAlign w:val="bottom"/>
          </w:tcPr>
          <w:p w14:paraId="54C2D775" w14:textId="5FFA913F"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7.1%</w:t>
            </w:r>
          </w:p>
        </w:tc>
        <w:tc>
          <w:tcPr>
            <w:tcW w:w="1440" w:type="dxa"/>
            <w:vAlign w:val="bottom"/>
          </w:tcPr>
          <w:p w14:paraId="51D08BBA" w14:textId="2AA31626"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21</w:t>
            </w:r>
          </w:p>
        </w:tc>
        <w:tc>
          <w:tcPr>
            <w:tcW w:w="1548" w:type="dxa"/>
            <w:vAlign w:val="bottom"/>
          </w:tcPr>
          <w:p w14:paraId="488D51CF" w14:textId="4D9577BC"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21</w:t>
            </w:r>
          </w:p>
        </w:tc>
      </w:tr>
      <w:tr w:rsidR="00B4704C" w:rsidRPr="0038321F" w14:paraId="666455AC" w14:textId="77777777" w:rsidTr="00CF3EE7">
        <w:trPr>
          <w:cantSplit/>
        </w:trPr>
        <w:tc>
          <w:tcPr>
            <w:tcW w:w="2515" w:type="dxa"/>
            <w:tcBorders>
              <w:top w:val="nil"/>
              <w:bottom w:val="nil"/>
            </w:tcBorders>
            <w:vAlign w:val="center"/>
          </w:tcPr>
          <w:p w14:paraId="568D8AAE" w14:textId="77777777" w:rsidR="00B4704C" w:rsidRPr="0038321F" w:rsidRDefault="00B4704C" w:rsidP="00CF3EE7">
            <w:pPr>
              <w:keepNext/>
              <w:spacing w:before="40" w:after="40"/>
              <w:rPr>
                <w:rFonts w:asciiTheme="majorHAnsi" w:hAnsiTheme="majorHAnsi" w:cstheme="majorHAnsi"/>
                <w:sz w:val="18"/>
                <w:szCs w:val="18"/>
              </w:rPr>
            </w:pPr>
          </w:p>
        </w:tc>
        <w:tc>
          <w:tcPr>
            <w:tcW w:w="1710" w:type="dxa"/>
            <w:vAlign w:val="center"/>
          </w:tcPr>
          <w:p w14:paraId="0F0E156C" w14:textId="7A1F4F85" w:rsidR="00B4704C" w:rsidRPr="0038321F" w:rsidRDefault="00B4704C" w:rsidP="00CF3EE7">
            <w:pPr>
              <w:keepNext/>
              <w:spacing w:before="40" w:after="40"/>
              <w:rPr>
                <w:rFonts w:asciiTheme="majorHAnsi" w:hAnsiTheme="majorHAnsi" w:cstheme="majorHAnsi"/>
                <w:sz w:val="18"/>
                <w:szCs w:val="18"/>
              </w:rPr>
            </w:pPr>
            <w:r w:rsidRPr="0038321F">
              <w:rPr>
                <w:rFonts w:asciiTheme="majorHAnsi" w:hAnsiTheme="majorHAnsi" w:cstheme="majorHAnsi"/>
                <w:sz w:val="18"/>
                <w:szCs w:val="18"/>
              </w:rPr>
              <w:t>Physician Assistants</w:t>
            </w:r>
          </w:p>
        </w:tc>
        <w:tc>
          <w:tcPr>
            <w:tcW w:w="1359" w:type="dxa"/>
            <w:vAlign w:val="bottom"/>
          </w:tcPr>
          <w:p w14:paraId="2A588C67" w14:textId="1E3A948F"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1.9%</w:t>
            </w:r>
          </w:p>
        </w:tc>
        <w:tc>
          <w:tcPr>
            <w:tcW w:w="1440" w:type="dxa"/>
            <w:vAlign w:val="bottom"/>
          </w:tcPr>
          <w:p w14:paraId="220F1FCA" w14:textId="4861F383"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6</w:t>
            </w:r>
          </w:p>
        </w:tc>
        <w:tc>
          <w:tcPr>
            <w:tcW w:w="1548" w:type="dxa"/>
            <w:vAlign w:val="bottom"/>
          </w:tcPr>
          <w:p w14:paraId="39435017" w14:textId="70C7BFF4"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6</w:t>
            </w:r>
          </w:p>
        </w:tc>
      </w:tr>
      <w:tr w:rsidR="00B4704C" w:rsidRPr="0038321F" w14:paraId="69A03A7B" w14:textId="77777777" w:rsidTr="00CF3EE7">
        <w:trPr>
          <w:cantSplit/>
        </w:trPr>
        <w:tc>
          <w:tcPr>
            <w:tcW w:w="2515" w:type="dxa"/>
            <w:tcBorders>
              <w:top w:val="nil"/>
              <w:bottom w:val="single" w:sz="4" w:space="0" w:color="auto"/>
            </w:tcBorders>
            <w:vAlign w:val="center"/>
          </w:tcPr>
          <w:p w14:paraId="5885C70F" w14:textId="77777777" w:rsidR="00B4704C" w:rsidRPr="0038321F" w:rsidRDefault="00B4704C" w:rsidP="00CF3EE7">
            <w:pPr>
              <w:keepNext/>
              <w:spacing w:before="40" w:after="40"/>
              <w:rPr>
                <w:rFonts w:asciiTheme="majorHAnsi" w:hAnsiTheme="majorHAnsi" w:cstheme="majorHAnsi"/>
                <w:sz w:val="18"/>
                <w:szCs w:val="18"/>
              </w:rPr>
            </w:pPr>
          </w:p>
        </w:tc>
        <w:tc>
          <w:tcPr>
            <w:tcW w:w="1710" w:type="dxa"/>
            <w:vAlign w:val="center"/>
          </w:tcPr>
          <w:p w14:paraId="1F326869" w14:textId="3A1BEBE7" w:rsidR="00B4704C" w:rsidRPr="0038321F" w:rsidRDefault="00B4704C" w:rsidP="00CF3EE7">
            <w:pPr>
              <w:keepNext/>
              <w:spacing w:before="40" w:after="40"/>
              <w:rPr>
                <w:rFonts w:asciiTheme="majorHAnsi" w:hAnsiTheme="majorHAnsi" w:cstheme="majorHAnsi"/>
                <w:sz w:val="18"/>
                <w:szCs w:val="18"/>
              </w:rPr>
            </w:pPr>
            <w:r w:rsidRPr="0038321F">
              <w:rPr>
                <w:rFonts w:asciiTheme="majorHAnsi" w:hAnsiTheme="majorHAnsi" w:cstheme="majorHAnsi"/>
                <w:sz w:val="18"/>
                <w:szCs w:val="18"/>
              </w:rPr>
              <w:t>Nurse Practitioners</w:t>
            </w:r>
          </w:p>
        </w:tc>
        <w:tc>
          <w:tcPr>
            <w:tcW w:w="1359" w:type="dxa"/>
            <w:vAlign w:val="bottom"/>
          </w:tcPr>
          <w:p w14:paraId="6BDC5570" w14:textId="5C35C4EC"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2.8%</w:t>
            </w:r>
          </w:p>
        </w:tc>
        <w:tc>
          <w:tcPr>
            <w:tcW w:w="1440" w:type="dxa"/>
            <w:vAlign w:val="bottom"/>
          </w:tcPr>
          <w:p w14:paraId="7EC6ACF5" w14:textId="15D080EE"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8</w:t>
            </w:r>
          </w:p>
        </w:tc>
        <w:tc>
          <w:tcPr>
            <w:tcW w:w="1548" w:type="dxa"/>
            <w:vAlign w:val="bottom"/>
          </w:tcPr>
          <w:p w14:paraId="26E63C33" w14:textId="7AEEF337"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8</w:t>
            </w:r>
          </w:p>
        </w:tc>
      </w:tr>
      <w:tr w:rsidR="00B4704C" w:rsidRPr="0038321F" w14:paraId="5998E479" w14:textId="77777777" w:rsidTr="00CF3EE7">
        <w:trPr>
          <w:cantSplit/>
        </w:trPr>
        <w:tc>
          <w:tcPr>
            <w:tcW w:w="2515" w:type="dxa"/>
            <w:tcBorders>
              <w:bottom w:val="nil"/>
            </w:tcBorders>
            <w:vAlign w:val="center"/>
          </w:tcPr>
          <w:p w14:paraId="30B18952" w14:textId="653588C3" w:rsidR="00B4704C" w:rsidRPr="0038321F" w:rsidRDefault="00B4704C" w:rsidP="00CF3EE7">
            <w:pPr>
              <w:keepNext/>
              <w:spacing w:before="40" w:after="40"/>
              <w:rPr>
                <w:rFonts w:asciiTheme="majorHAnsi" w:hAnsiTheme="majorHAnsi" w:cstheme="majorHAnsi"/>
                <w:sz w:val="18"/>
                <w:szCs w:val="18"/>
              </w:rPr>
            </w:pPr>
            <w:r w:rsidRPr="0038321F">
              <w:rPr>
                <w:rFonts w:asciiTheme="majorHAnsi" w:hAnsiTheme="majorHAnsi" w:cstheme="majorHAnsi"/>
                <w:sz w:val="18"/>
                <w:szCs w:val="18"/>
              </w:rPr>
              <w:t>QIN G  (IN, TN)</w:t>
            </w:r>
          </w:p>
        </w:tc>
        <w:tc>
          <w:tcPr>
            <w:tcW w:w="1710" w:type="dxa"/>
            <w:vAlign w:val="center"/>
          </w:tcPr>
          <w:p w14:paraId="25EDE46F" w14:textId="45019911" w:rsidR="00B4704C" w:rsidRPr="0038321F" w:rsidRDefault="00B4704C" w:rsidP="00CF3EE7">
            <w:pPr>
              <w:keepNext/>
              <w:spacing w:before="40" w:after="40"/>
              <w:rPr>
                <w:rFonts w:asciiTheme="majorHAnsi" w:hAnsiTheme="majorHAnsi" w:cstheme="majorHAnsi"/>
                <w:sz w:val="18"/>
                <w:szCs w:val="18"/>
              </w:rPr>
            </w:pPr>
            <w:r w:rsidRPr="0038321F">
              <w:rPr>
                <w:rFonts w:asciiTheme="majorHAnsi" w:hAnsiTheme="majorHAnsi" w:cstheme="majorHAnsi"/>
                <w:sz w:val="18"/>
                <w:szCs w:val="18"/>
              </w:rPr>
              <w:t>Physicians</w:t>
            </w:r>
          </w:p>
        </w:tc>
        <w:tc>
          <w:tcPr>
            <w:tcW w:w="1359" w:type="dxa"/>
            <w:vAlign w:val="bottom"/>
          </w:tcPr>
          <w:p w14:paraId="32614167" w14:textId="6959FED5"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3.8%</w:t>
            </w:r>
          </w:p>
        </w:tc>
        <w:tc>
          <w:tcPr>
            <w:tcW w:w="1440" w:type="dxa"/>
            <w:vAlign w:val="bottom"/>
          </w:tcPr>
          <w:p w14:paraId="5816E668" w14:textId="3C923388"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11</w:t>
            </w:r>
          </w:p>
        </w:tc>
        <w:tc>
          <w:tcPr>
            <w:tcW w:w="1548" w:type="dxa"/>
            <w:vAlign w:val="bottom"/>
          </w:tcPr>
          <w:p w14:paraId="01920365" w14:textId="4FCFAF70"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11</w:t>
            </w:r>
          </w:p>
        </w:tc>
      </w:tr>
      <w:tr w:rsidR="00B4704C" w:rsidRPr="0038321F" w14:paraId="6C060F8E" w14:textId="77777777" w:rsidTr="00CF3EE7">
        <w:trPr>
          <w:cantSplit/>
        </w:trPr>
        <w:tc>
          <w:tcPr>
            <w:tcW w:w="2515" w:type="dxa"/>
            <w:tcBorders>
              <w:top w:val="nil"/>
              <w:bottom w:val="nil"/>
            </w:tcBorders>
            <w:vAlign w:val="center"/>
          </w:tcPr>
          <w:p w14:paraId="42AA5756" w14:textId="77777777" w:rsidR="00B4704C" w:rsidRPr="0038321F" w:rsidRDefault="00B4704C" w:rsidP="00CF3EE7">
            <w:pPr>
              <w:keepNext/>
              <w:spacing w:before="40" w:after="40"/>
              <w:rPr>
                <w:rFonts w:asciiTheme="majorHAnsi" w:hAnsiTheme="majorHAnsi" w:cstheme="majorHAnsi"/>
                <w:sz w:val="18"/>
                <w:szCs w:val="18"/>
              </w:rPr>
            </w:pPr>
          </w:p>
        </w:tc>
        <w:tc>
          <w:tcPr>
            <w:tcW w:w="1710" w:type="dxa"/>
            <w:vAlign w:val="center"/>
          </w:tcPr>
          <w:p w14:paraId="1BE54760" w14:textId="6D8A3D04" w:rsidR="00B4704C" w:rsidRPr="0038321F" w:rsidRDefault="00B4704C" w:rsidP="00CF3EE7">
            <w:pPr>
              <w:keepNext/>
              <w:spacing w:before="40" w:after="40"/>
              <w:rPr>
                <w:rFonts w:asciiTheme="majorHAnsi" w:hAnsiTheme="majorHAnsi" w:cstheme="majorHAnsi"/>
                <w:sz w:val="18"/>
                <w:szCs w:val="18"/>
              </w:rPr>
            </w:pPr>
            <w:r w:rsidRPr="0038321F">
              <w:rPr>
                <w:rFonts w:asciiTheme="majorHAnsi" w:hAnsiTheme="majorHAnsi" w:cstheme="majorHAnsi"/>
                <w:sz w:val="18"/>
                <w:szCs w:val="18"/>
              </w:rPr>
              <w:t>Physician Assistants</w:t>
            </w:r>
          </w:p>
        </w:tc>
        <w:tc>
          <w:tcPr>
            <w:tcW w:w="1359" w:type="dxa"/>
            <w:vAlign w:val="bottom"/>
          </w:tcPr>
          <w:p w14:paraId="45EFEC24" w14:textId="6B53C0C8"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0.9%</w:t>
            </w:r>
          </w:p>
        </w:tc>
        <w:tc>
          <w:tcPr>
            <w:tcW w:w="1440" w:type="dxa"/>
            <w:vAlign w:val="bottom"/>
          </w:tcPr>
          <w:p w14:paraId="2042F8BF" w14:textId="07179C17"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3</w:t>
            </w:r>
          </w:p>
        </w:tc>
        <w:tc>
          <w:tcPr>
            <w:tcW w:w="1548" w:type="dxa"/>
            <w:vAlign w:val="bottom"/>
          </w:tcPr>
          <w:p w14:paraId="444D7ECB" w14:textId="2FCBD355"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3</w:t>
            </w:r>
          </w:p>
        </w:tc>
      </w:tr>
      <w:tr w:rsidR="00B4704C" w:rsidRPr="0038321F" w14:paraId="2F666513" w14:textId="77777777" w:rsidTr="00CF3EE7">
        <w:trPr>
          <w:cantSplit/>
        </w:trPr>
        <w:tc>
          <w:tcPr>
            <w:tcW w:w="2515" w:type="dxa"/>
            <w:tcBorders>
              <w:top w:val="nil"/>
              <w:bottom w:val="single" w:sz="4" w:space="0" w:color="auto"/>
            </w:tcBorders>
            <w:vAlign w:val="center"/>
          </w:tcPr>
          <w:p w14:paraId="1C41F018" w14:textId="77777777" w:rsidR="00B4704C" w:rsidRPr="0038321F" w:rsidRDefault="00B4704C" w:rsidP="00CF3EE7">
            <w:pPr>
              <w:keepNext/>
              <w:spacing w:before="40" w:after="40"/>
              <w:rPr>
                <w:rFonts w:asciiTheme="majorHAnsi" w:hAnsiTheme="majorHAnsi" w:cstheme="majorHAnsi"/>
                <w:sz w:val="18"/>
                <w:szCs w:val="18"/>
              </w:rPr>
            </w:pPr>
          </w:p>
        </w:tc>
        <w:tc>
          <w:tcPr>
            <w:tcW w:w="1710" w:type="dxa"/>
            <w:vAlign w:val="center"/>
          </w:tcPr>
          <w:p w14:paraId="28A49479" w14:textId="39772777" w:rsidR="00B4704C" w:rsidRPr="0038321F" w:rsidRDefault="00B4704C" w:rsidP="00CF3EE7">
            <w:pPr>
              <w:keepNext/>
              <w:spacing w:before="40" w:after="40"/>
              <w:rPr>
                <w:rFonts w:asciiTheme="majorHAnsi" w:hAnsiTheme="majorHAnsi" w:cstheme="majorHAnsi"/>
                <w:sz w:val="18"/>
                <w:szCs w:val="18"/>
              </w:rPr>
            </w:pPr>
            <w:r w:rsidRPr="0038321F">
              <w:rPr>
                <w:rFonts w:asciiTheme="majorHAnsi" w:hAnsiTheme="majorHAnsi" w:cstheme="majorHAnsi"/>
                <w:sz w:val="18"/>
                <w:szCs w:val="18"/>
              </w:rPr>
              <w:t>Nurse Practitioners</w:t>
            </w:r>
          </w:p>
        </w:tc>
        <w:tc>
          <w:tcPr>
            <w:tcW w:w="1359" w:type="dxa"/>
            <w:vAlign w:val="bottom"/>
          </w:tcPr>
          <w:p w14:paraId="4CE0B1EF" w14:textId="2B31D3ED"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4.2%</w:t>
            </w:r>
          </w:p>
        </w:tc>
        <w:tc>
          <w:tcPr>
            <w:tcW w:w="1440" w:type="dxa"/>
            <w:vAlign w:val="bottom"/>
          </w:tcPr>
          <w:p w14:paraId="6316FEB4" w14:textId="319C00D1"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13</w:t>
            </w:r>
          </w:p>
        </w:tc>
        <w:tc>
          <w:tcPr>
            <w:tcW w:w="1548" w:type="dxa"/>
            <w:vAlign w:val="bottom"/>
          </w:tcPr>
          <w:p w14:paraId="04363A47" w14:textId="48D823F9" w:rsidR="00B4704C" w:rsidRPr="0038321F" w:rsidRDefault="00B4704C" w:rsidP="00CF3EE7">
            <w:pPr>
              <w:keepNext/>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13</w:t>
            </w:r>
          </w:p>
        </w:tc>
      </w:tr>
      <w:tr w:rsidR="00B4704C" w:rsidRPr="0038321F" w14:paraId="5E89BBBF" w14:textId="77777777" w:rsidTr="00CF3EE7">
        <w:trPr>
          <w:cantSplit/>
        </w:trPr>
        <w:tc>
          <w:tcPr>
            <w:tcW w:w="2515" w:type="dxa"/>
            <w:tcBorders>
              <w:bottom w:val="nil"/>
            </w:tcBorders>
            <w:vAlign w:val="center"/>
          </w:tcPr>
          <w:p w14:paraId="791D2046" w14:textId="2722E6F0" w:rsidR="00B4704C" w:rsidRPr="0038321F" w:rsidRDefault="00B4704C" w:rsidP="00B4704C">
            <w:pPr>
              <w:spacing w:before="40" w:after="40"/>
              <w:rPr>
                <w:rFonts w:asciiTheme="majorHAnsi" w:hAnsiTheme="majorHAnsi" w:cstheme="majorHAnsi"/>
                <w:sz w:val="18"/>
                <w:szCs w:val="18"/>
              </w:rPr>
            </w:pPr>
            <w:r w:rsidRPr="0038321F">
              <w:rPr>
                <w:rFonts w:asciiTheme="majorHAnsi" w:hAnsiTheme="majorHAnsi" w:cstheme="majorHAnsi"/>
                <w:sz w:val="18"/>
                <w:szCs w:val="18"/>
              </w:rPr>
              <w:t>QIN A (KS, NE)</w:t>
            </w:r>
          </w:p>
        </w:tc>
        <w:tc>
          <w:tcPr>
            <w:tcW w:w="1710" w:type="dxa"/>
            <w:vAlign w:val="center"/>
          </w:tcPr>
          <w:p w14:paraId="6D6C12C4" w14:textId="4B34B578" w:rsidR="00B4704C" w:rsidRPr="0038321F" w:rsidRDefault="00B4704C" w:rsidP="00CF3EE7">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Physicians</w:t>
            </w:r>
          </w:p>
        </w:tc>
        <w:tc>
          <w:tcPr>
            <w:tcW w:w="1359" w:type="dxa"/>
            <w:vAlign w:val="bottom"/>
          </w:tcPr>
          <w:p w14:paraId="6618D46C" w14:textId="40228CCE"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1.5%</w:t>
            </w:r>
          </w:p>
        </w:tc>
        <w:tc>
          <w:tcPr>
            <w:tcW w:w="1440" w:type="dxa"/>
            <w:vAlign w:val="bottom"/>
          </w:tcPr>
          <w:p w14:paraId="619A30BD" w14:textId="088092A8"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5</w:t>
            </w:r>
          </w:p>
        </w:tc>
        <w:tc>
          <w:tcPr>
            <w:tcW w:w="1548" w:type="dxa"/>
            <w:vAlign w:val="bottom"/>
          </w:tcPr>
          <w:p w14:paraId="734CA603" w14:textId="4786E603"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5</w:t>
            </w:r>
          </w:p>
        </w:tc>
      </w:tr>
      <w:tr w:rsidR="00B4704C" w:rsidRPr="0038321F" w14:paraId="6EAEC016" w14:textId="77777777" w:rsidTr="00CF3EE7">
        <w:trPr>
          <w:cantSplit/>
        </w:trPr>
        <w:tc>
          <w:tcPr>
            <w:tcW w:w="2515" w:type="dxa"/>
            <w:tcBorders>
              <w:top w:val="nil"/>
              <w:bottom w:val="nil"/>
            </w:tcBorders>
            <w:vAlign w:val="center"/>
          </w:tcPr>
          <w:p w14:paraId="62401968" w14:textId="77777777" w:rsidR="00B4704C" w:rsidRPr="0038321F" w:rsidRDefault="00B4704C" w:rsidP="00B4704C">
            <w:pPr>
              <w:spacing w:before="40" w:after="40"/>
              <w:rPr>
                <w:rFonts w:asciiTheme="majorHAnsi" w:hAnsiTheme="majorHAnsi" w:cstheme="majorHAnsi"/>
                <w:sz w:val="18"/>
                <w:szCs w:val="18"/>
              </w:rPr>
            </w:pPr>
          </w:p>
        </w:tc>
        <w:tc>
          <w:tcPr>
            <w:tcW w:w="1710" w:type="dxa"/>
            <w:vAlign w:val="center"/>
          </w:tcPr>
          <w:p w14:paraId="501BA776" w14:textId="1D32D6A9" w:rsidR="00B4704C" w:rsidRPr="0038321F" w:rsidRDefault="00B4704C" w:rsidP="00CF3EE7">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 Assistants</w:t>
            </w:r>
          </w:p>
        </w:tc>
        <w:tc>
          <w:tcPr>
            <w:tcW w:w="1359" w:type="dxa"/>
            <w:vAlign w:val="bottom"/>
          </w:tcPr>
          <w:p w14:paraId="4FF43D4C" w14:textId="4261D581"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1.3%</w:t>
            </w:r>
          </w:p>
        </w:tc>
        <w:tc>
          <w:tcPr>
            <w:tcW w:w="1440" w:type="dxa"/>
            <w:vAlign w:val="bottom"/>
          </w:tcPr>
          <w:p w14:paraId="67E067DF" w14:textId="3E4893F9"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4</w:t>
            </w:r>
          </w:p>
        </w:tc>
        <w:tc>
          <w:tcPr>
            <w:tcW w:w="1548" w:type="dxa"/>
            <w:vAlign w:val="bottom"/>
          </w:tcPr>
          <w:p w14:paraId="26FDB8FE" w14:textId="016196B2"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4</w:t>
            </w:r>
          </w:p>
        </w:tc>
      </w:tr>
      <w:tr w:rsidR="00B4704C" w:rsidRPr="0038321F" w14:paraId="55BB6E4B" w14:textId="77777777" w:rsidTr="00CF3EE7">
        <w:trPr>
          <w:cantSplit/>
        </w:trPr>
        <w:tc>
          <w:tcPr>
            <w:tcW w:w="2515" w:type="dxa"/>
            <w:tcBorders>
              <w:top w:val="nil"/>
              <w:bottom w:val="single" w:sz="4" w:space="0" w:color="auto"/>
            </w:tcBorders>
            <w:vAlign w:val="center"/>
          </w:tcPr>
          <w:p w14:paraId="6F99A673" w14:textId="77777777" w:rsidR="00B4704C" w:rsidRPr="0038321F" w:rsidRDefault="00B4704C" w:rsidP="00B4704C">
            <w:pPr>
              <w:spacing w:before="40" w:after="40"/>
              <w:rPr>
                <w:rFonts w:asciiTheme="majorHAnsi" w:hAnsiTheme="majorHAnsi" w:cstheme="majorHAnsi"/>
                <w:sz w:val="18"/>
                <w:szCs w:val="18"/>
              </w:rPr>
            </w:pPr>
          </w:p>
        </w:tc>
        <w:tc>
          <w:tcPr>
            <w:tcW w:w="1710" w:type="dxa"/>
            <w:vAlign w:val="center"/>
          </w:tcPr>
          <w:p w14:paraId="74937E4A" w14:textId="17DED8F9" w:rsidR="00B4704C" w:rsidRPr="0038321F" w:rsidRDefault="00B4704C" w:rsidP="00CF3EE7">
            <w:pPr>
              <w:spacing w:before="40" w:after="40"/>
              <w:rPr>
                <w:rFonts w:asciiTheme="majorHAnsi" w:hAnsiTheme="majorHAnsi" w:cstheme="majorHAnsi"/>
                <w:sz w:val="18"/>
                <w:szCs w:val="18"/>
              </w:rPr>
            </w:pPr>
            <w:r w:rsidRPr="0038321F">
              <w:rPr>
                <w:rFonts w:asciiTheme="majorHAnsi" w:hAnsiTheme="majorHAnsi" w:cstheme="majorHAnsi"/>
                <w:sz w:val="18"/>
                <w:szCs w:val="18"/>
              </w:rPr>
              <w:t>Nurse Practitioners</w:t>
            </w:r>
          </w:p>
        </w:tc>
        <w:tc>
          <w:tcPr>
            <w:tcW w:w="1359" w:type="dxa"/>
            <w:vAlign w:val="bottom"/>
          </w:tcPr>
          <w:p w14:paraId="5960C81B" w14:textId="5B3685AC"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1.8%</w:t>
            </w:r>
          </w:p>
        </w:tc>
        <w:tc>
          <w:tcPr>
            <w:tcW w:w="1440" w:type="dxa"/>
            <w:vAlign w:val="bottom"/>
          </w:tcPr>
          <w:p w14:paraId="70E98AF3" w14:textId="55B30C2F"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5</w:t>
            </w:r>
          </w:p>
        </w:tc>
        <w:tc>
          <w:tcPr>
            <w:tcW w:w="1548" w:type="dxa"/>
            <w:vAlign w:val="bottom"/>
          </w:tcPr>
          <w:p w14:paraId="4A846FA2" w14:textId="50E7506C"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5</w:t>
            </w:r>
          </w:p>
        </w:tc>
      </w:tr>
      <w:tr w:rsidR="00B4704C" w:rsidRPr="0038321F" w14:paraId="5892BCAC" w14:textId="77777777" w:rsidTr="00CF3EE7">
        <w:trPr>
          <w:cantSplit/>
        </w:trPr>
        <w:tc>
          <w:tcPr>
            <w:tcW w:w="2515" w:type="dxa"/>
            <w:tcBorders>
              <w:bottom w:val="nil"/>
            </w:tcBorders>
            <w:vAlign w:val="center"/>
          </w:tcPr>
          <w:p w14:paraId="5A5065A2" w14:textId="33AFB153" w:rsidR="00B4704C" w:rsidRPr="0038321F" w:rsidRDefault="00B4704C" w:rsidP="00B4704C">
            <w:pPr>
              <w:spacing w:before="40" w:after="40"/>
              <w:rPr>
                <w:rFonts w:asciiTheme="majorHAnsi" w:hAnsiTheme="majorHAnsi" w:cstheme="majorHAnsi"/>
                <w:sz w:val="18"/>
                <w:szCs w:val="18"/>
              </w:rPr>
            </w:pPr>
            <w:r w:rsidRPr="0038321F">
              <w:rPr>
                <w:rFonts w:asciiTheme="majorHAnsi" w:hAnsiTheme="majorHAnsi" w:cstheme="majorHAnsi"/>
                <w:sz w:val="18"/>
                <w:szCs w:val="18"/>
              </w:rPr>
              <w:t>QIN M (AZ)</w:t>
            </w:r>
          </w:p>
        </w:tc>
        <w:tc>
          <w:tcPr>
            <w:tcW w:w="1710" w:type="dxa"/>
            <w:vAlign w:val="center"/>
          </w:tcPr>
          <w:p w14:paraId="5957EC97" w14:textId="36204320" w:rsidR="00B4704C" w:rsidRPr="0038321F" w:rsidRDefault="00B4704C" w:rsidP="00CF3EE7">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Physicians</w:t>
            </w:r>
          </w:p>
        </w:tc>
        <w:tc>
          <w:tcPr>
            <w:tcW w:w="1359" w:type="dxa"/>
            <w:vAlign w:val="bottom"/>
          </w:tcPr>
          <w:p w14:paraId="1D1C368C" w14:textId="0EBBF1D4"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2.4%</w:t>
            </w:r>
          </w:p>
        </w:tc>
        <w:tc>
          <w:tcPr>
            <w:tcW w:w="1440" w:type="dxa"/>
            <w:vAlign w:val="bottom"/>
          </w:tcPr>
          <w:p w14:paraId="5E655C98" w14:textId="5B390544"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7</w:t>
            </w:r>
          </w:p>
        </w:tc>
        <w:tc>
          <w:tcPr>
            <w:tcW w:w="1548" w:type="dxa"/>
            <w:vAlign w:val="bottom"/>
          </w:tcPr>
          <w:p w14:paraId="719E14D9" w14:textId="358BE4D6"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7</w:t>
            </w:r>
          </w:p>
        </w:tc>
      </w:tr>
      <w:tr w:rsidR="00B4704C" w:rsidRPr="0038321F" w14:paraId="5B8169AE" w14:textId="77777777" w:rsidTr="00CF3EE7">
        <w:trPr>
          <w:cantSplit/>
        </w:trPr>
        <w:tc>
          <w:tcPr>
            <w:tcW w:w="2515" w:type="dxa"/>
            <w:tcBorders>
              <w:top w:val="nil"/>
              <w:bottom w:val="nil"/>
            </w:tcBorders>
            <w:vAlign w:val="center"/>
          </w:tcPr>
          <w:p w14:paraId="58E47E52" w14:textId="77777777" w:rsidR="00B4704C" w:rsidRPr="0038321F" w:rsidRDefault="00B4704C" w:rsidP="00B4704C">
            <w:pPr>
              <w:spacing w:before="40" w:after="40"/>
              <w:rPr>
                <w:rFonts w:asciiTheme="majorHAnsi" w:hAnsiTheme="majorHAnsi" w:cstheme="majorHAnsi"/>
                <w:sz w:val="18"/>
                <w:szCs w:val="18"/>
              </w:rPr>
            </w:pPr>
          </w:p>
        </w:tc>
        <w:tc>
          <w:tcPr>
            <w:tcW w:w="1710" w:type="dxa"/>
            <w:vAlign w:val="center"/>
          </w:tcPr>
          <w:p w14:paraId="50CF007B" w14:textId="52D6A521" w:rsidR="00B4704C" w:rsidRPr="0038321F" w:rsidRDefault="00B4704C" w:rsidP="00CF3EE7">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 Assistants</w:t>
            </w:r>
          </w:p>
        </w:tc>
        <w:tc>
          <w:tcPr>
            <w:tcW w:w="1359" w:type="dxa"/>
            <w:vAlign w:val="bottom"/>
          </w:tcPr>
          <w:p w14:paraId="30524FB8" w14:textId="0F89D675"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1.8%</w:t>
            </w:r>
          </w:p>
        </w:tc>
        <w:tc>
          <w:tcPr>
            <w:tcW w:w="1440" w:type="dxa"/>
            <w:vAlign w:val="bottom"/>
          </w:tcPr>
          <w:p w14:paraId="60C901EF" w14:textId="35F4F675"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6</w:t>
            </w:r>
          </w:p>
        </w:tc>
        <w:tc>
          <w:tcPr>
            <w:tcW w:w="1548" w:type="dxa"/>
            <w:vAlign w:val="bottom"/>
          </w:tcPr>
          <w:p w14:paraId="1A5C2197" w14:textId="119FC9F0"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6</w:t>
            </w:r>
          </w:p>
        </w:tc>
      </w:tr>
      <w:tr w:rsidR="00B4704C" w:rsidRPr="0038321F" w14:paraId="2144D211" w14:textId="77777777" w:rsidTr="00CF3EE7">
        <w:trPr>
          <w:cantSplit/>
        </w:trPr>
        <w:tc>
          <w:tcPr>
            <w:tcW w:w="2515" w:type="dxa"/>
            <w:tcBorders>
              <w:top w:val="nil"/>
              <w:bottom w:val="single" w:sz="4" w:space="0" w:color="auto"/>
            </w:tcBorders>
            <w:vAlign w:val="center"/>
          </w:tcPr>
          <w:p w14:paraId="29C5087D" w14:textId="77777777" w:rsidR="00B4704C" w:rsidRPr="0038321F" w:rsidRDefault="00B4704C" w:rsidP="00B4704C">
            <w:pPr>
              <w:spacing w:before="40" w:after="40"/>
              <w:rPr>
                <w:rFonts w:asciiTheme="majorHAnsi" w:hAnsiTheme="majorHAnsi" w:cstheme="majorHAnsi"/>
                <w:sz w:val="18"/>
                <w:szCs w:val="18"/>
              </w:rPr>
            </w:pPr>
          </w:p>
        </w:tc>
        <w:tc>
          <w:tcPr>
            <w:tcW w:w="1710" w:type="dxa"/>
            <w:vAlign w:val="center"/>
          </w:tcPr>
          <w:p w14:paraId="06E37EE7" w14:textId="3A12B116" w:rsidR="00B4704C" w:rsidRPr="0038321F" w:rsidRDefault="00B4704C" w:rsidP="00CF3EE7">
            <w:pPr>
              <w:spacing w:before="40" w:after="40"/>
              <w:rPr>
                <w:rFonts w:asciiTheme="majorHAnsi" w:hAnsiTheme="majorHAnsi" w:cstheme="majorHAnsi"/>
                <w:sz w:val="18"/>
                <w:szCs w:val="18"/>
              </w:rPr>
            </w:pPr>
            <w:r w:rsidRPr="0038321F">
              <w:rPr>
                <w:rFonts w:asciiTheme="majorHAnsi" w:hAnsiTheme="majorHAnsi" w:cstheme="majorHAnsi"/>
                <w:sz w:val="18"/>
                <w:szCs w:val="18"/>
              </w:rPr>
              <w:t>Nurse Practitioners</w:t>
            </w:r>
          </w:p>
        </w:tc>
        <w:tc>
          <w:tcPr>
            <w:tcW w:w="1359" w:type="dxa"/>
            <w:vAlign w:val="bottom"/>
          </w:tcPr>
          <w:p w14:paraId="60880F13" w14:textId="7A207BF8"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1.8%</w:t>
            </w:r>
          </w:p>
        </w:tc>
        <w:tc>
          <w:tcPr>
            <w:tcW w:w="1440" w:type="dxa"/>
            <w:vAlign w:val="bottom"/>
          </w:tcPr>
          <w:p w14:paraId="5EB73DB8" w14:textId="4B40D746"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5</w:t>
            </w:r>
          </w:p>
        </w:tc>
        <w:tc>
          <w:tcPr>
            <w:tcW w:w="1548" w:type="dxa"/>
            <w:vAlign w:val="bottom"/>
          </w:tcPr>
          <w:p w14:paraId="36C79250" w14:textId="118F6DC7"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5</w:t>
            </w:r>
          </w:p>
        </w:tc>
      </w:tr>
      <w:tr w:rsidR="00B4704C" w:rsidRPr="0038321F" w14:paraId="0950BA52" w14:textId="77777777" w:rsidTr="00CF3EE7">
        <w:trPr>
          <w:cantSplit/>
        </w:trPr>
        <w:tc>
          <w:tcPr>
            <w:tcW w:w="2515" w:type="dxa"/>
            <w:tcBorders>
              <w:bottom w:val="nil"/>
            </w:tcBorders>
            <w:vAlign w:val="center"/>
          </w:tcPr>
          <w:p w14:paraId="24A816D4" w14:textId="110CDAA6" w:rsidR="00B4704C" w:rsidRPr="0038321F" w:rsidRDefault="00B4704C" w:rsidP="00B4704C">
            <w:pPr>
              <w:spacing w:before="40" w:after="40"/>
              <w:rPr>
                <w:rFonts w:asciiTheme="majorHAnsi" w:hAnsiTheme="majorHAnsi" w:cstheme="majorHAnsi"/>
                <w:sz w:val="18"/>
                <w:szCs w:val="18"/>
              </w:rPr>
            </w:pPr>
            <w:r w:rsidRPr="0038321F">
              <w:rPr>
                <w:rFonts w:asciiTheme="majorHAnsi" w:hAnsiTheme="majorHAnsi" w:cstheme="majorHAnsi"/>
                <w:sz w:val="18"/>
                <w:szCs w:val="18"/>
              </w:rPr>
              <w:t>QIN H (AK, WY)</w:t>
            </w:r>
          </w:p>
        </w:tc>
        <w:tc>
          <w:tcPr>
            <w:tcW w:w="1710" w:type="dxa"/>
            <w:vAlign w:val="center"/>
          </w:tcPr>
          <w:p w14:paraId="5F808613" w14:textId="0677956B" w:rsidR="00B4704C" w:rsidRPr="0038321F" w:rsidRDefault="00B4704C" w:rsidP="00CF3EE7">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Physicians</w:t>
            </w:r>
          </w:p>
        </w:tc>
        <w:tc>
          <w:tcPr>
            <w:tcW w:w="1359" w:type="dxa"/>
            <w:vAlign w:val="bottom"/>
          </w:tcPr>
          <w:p w14:paraId="60A4768B" w14:textId="34ABE4C4"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0.9%</w:t>
            </w:r>
          </w:p>
        </w:tc>
        <w:tc>
          <w:tcPr>
            <w:tcW w:w="1440" w:type="dxa"/>
            <w:vAlign w:val="bottom"/>
          </w:tcPr>
          <w:p w14:paraId="2064A510" w14:textId="41740433"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3</w:t>
            </w:r>
          </w:p>
        </w:tc>
        <w:tc>
          <w:tcPr>
            <w:tcW w:w="1548" w:type="dxa"/>
            <w:vAlign w:val="bottom"/>
          </w:tcPr>
          <w:p w14:paraId="501D263C" w14:textId="1AD1FFEE"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3</w:t>
            </w:r>
          </w:p>
        </w:tc>
      </w:tr>
      <w:tr w:rsidR="00B4704C" w:rsidRPr="0038321F" w14:paraId="09D48446" w14:textId="77777777" w:rsidTr="00CF3EE7">
        <w:trPr>
          <w:cantSplit/>
        </w:trPr>
        <w:tc>
          <w:tcPr>
            <w:tcW w:w="2515" w:type="dxa"/>
            <w:tcBorders>
              <w:top w:val="nil"/>
              <w:bottom w:val="nil"/>
            </w:tcBorders>
            <w:vAlign w:val="center"/>
          </w:tcPr>
          <w:p w14:paraId="720A32A8" w14:textId="77777777" w:rsidR="00B4704C" w:rsidRPr="0038321F" w:rsidRDefault="00B4704C" w:rsidP="00B4704C">
            <w:pPr>
              <w:spacing w:before="40" w:after="40"/>
              <w:rPr>
                <w:rFonts w:asciiTheme="majorHAnsi" w:hAnsiTheme="majorHAnsi" w:cstheme="majorHAnsi"/>
                <w:sz w:val="18"/>
                <w:szCs w:val="18"/>
              </w:rPr>
            </w:pPr>
          </w:p>
        </w:tc>
        <w:tc>
          <w:tcPr>
            <w:tcW w:w="1710" w:type="dxa"/>
            <w:vAlign w:val="center"/>
          </w:tcPr>
          <w:p w14:paraId="0C465597" w14:textId="05541A6B" w:rsidR="00B4704C" w:rsidRPr="0038321F" w:rsidRDefault="00B4704C" w:rsidP="00CF3EE7">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 Assistants</w:t>
            </w:r>
          </w:p>
        </w:tc>
        <w:tc>
          <w:tcPr>
            <w:tcW w:w="1359" w:type="dxa"/>
            <w:vAlign w:val="bottom"/>
          </w:tcPr>
          <w:p w14:paraId="014E2D65" w14:textId="06861CE4"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0.5%</w:t>
            </w:r>
          </w:p>
        </w:tc>
        <w:tc>
          <w:tcPr>
            <w:tcW w:w="1440" w:type="dxa"/>
            <w:vAlign w:val="bottom"/>
          </w:tcPr>
          <w:p w14:paraId="2F301D43" w14:textId="620F1C23"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w:t>
            </w:r>
          </w:p>
        </w:tc>
        <w:tc>
          <w:tcPr>
            <w:tcW w:w="1548" w:type="dxa"/>
            <w:vAlign w:val="bottom"/>
          </w:tcPr>
          <w:p w14:paraId="63DF5533" w14:textId="78B7453A"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w:t>
            </w:r>
          </w:p>
        </w:tc>
      </w:tr>
      <w:tr w:rsidR="00B4704C" w:rsidRPr="0038321F" w14:paraId="674FDF12" w14:textId="77777777" w:rsidTr="00CF3EE7">
        <w:trPr>
          <w:cantSplit/>
        </w:trPr>
        <w:tc>
          <w:tcPr>
            <w:tcW w:w="2515" w:type="dxa"/>
            <w:tcBorders>
              <w:top w:val="nil"/>
              <w:bottom w:val="single" w:sz="4" w:space="0" w:color="auto"/>
            </w:tcBorders>
            <w:vAlign w:val="center"/>
          </w:tcPr>
          <w:p w14:paraId="571FC501" w14:textId="77777777" w:rsidR="00B4704C" w:rsidRPr="0038321F" w:rsidRDefault="00B4704C" w:rsidP="00B4704C">
            <w:pPr>
              <w:spacing w:before="40" w:after="40"/>
              <w:rPr>
                <w:rFonts w:asciiTheme="majorHAnsi" w:hAnsiTheme="majorHAnsi" w:cstheme="majorHAnsi"/>
                <w:sz w:val="18"/>
                <w:szCs w:val="18"/>
              </w:rPr>
            </w:pPr>
          </w:p>
        </w:tc>
        <w:tc>
          <w:tcPr>
            <w:tcW w:w="1710" w:type="dxa"/>
            <w:vAlign w:val="center"/>
          </w:tcPr>
          <w:p w14:paraId="78D59B8A" w14:textId="29E7AC18" w:rsidR="00B4704C" w:rsidRPr="0038321F" w:rsidRDefault="00B4704C" w:rsidP="00CF3EE7">
            <w:pPr>
              <w:spacing w:before="40" w:after="40"/>
              <w:rPr>
                <w:rFonts w:asciiTheme="majorHAnsi" w:hAnsiTheme="majorHAnsi" w:cstheme="majorHAnsi"/>
                <w:sz w:val="18"/>
                <w:szCs w:val="18"/>
              </w:rPr>
            </w:pPr>
            <w:r w:rsidRPr="0038321F">
              <w:rPr>
                <w:rFonts w:asciiTheme="majorHAnsi" w:hAnsiTheme="majorHAnsi" w:cstheme="majorHAnsi"/>
                <w:sz w:val="18"/>
                <w:szCs w:val="18"/>
              </w:rPr>
              <w:t>Nurse Practitioners</w:t>
            </w:r>
          </w:p>
        </w:tc>
        <w:tc>
          <w:tcPr>
            <w:tcW w:w="1359" w:type="dxa"/>
            <w:vAlign w:val="bottom"/>
          </w:tcPr>
          <w:p w14:paraId="35BCF7B7" w14:textId="37C1EF75"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0.6%</w:t>
            </w:r>
          </w:p>
        </w:tc>
        <w:tc>
          <w:tcPr>
            <w:tcW w:w="1440" w:type="dxa"/>
            <w:vAlign w:val="bottom"/>
          </w:tcPr>
          <w:p w14:paraId="2D78079D" w14:textId="260C3412"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w:t>
            </w:r>
          </w:p>
        </w:tc>
        <w:tc>
          <w:tcPr>
            <w:tcW w:w="1548" w:type="dxa"/>
            <w:vAlign w:val="bottom"/>
          </w:tcPr>
          <w:p w14:paraId="70C8ED98" w14:textId="3D3664D7"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w:t>
            </w:r>
          </w:p>
        </w:tc>
      </w:tr>
      <w:tr w:rsidR="00B4704C" w:rsidRPr="0038321F" w14:paraId="330D2C03" w14:textId="77777777" w:rsidTr="00CF3EE7">
        <w:trPr>
          <w:cantSplit/>
        </w:trPr>
        <w:tc>
          <w:tcPr>
            <w:tcW w:w="2515" w:type="dxa"/>
            <w:tcBorders>
              <w:bottom w:val="nil"/>
            </w:tcBorders>
            <w:vAlign w:val="center"/>
          </w:tcPr>
          <w:p w14:paraId="263FBB2B" w14:textId="2C0403F3" w:rsidR="00B4704C" w:rsidRPr="0038321F" w:rsidRDefault="00B4704C" w:rsidP="00B4704C">
            <w:pPr>
              <w:spacing w:before="40" w:after="40"/>
              <w:rPr>
                <w:rFonts w:asciiTheme="majorHAnsi" w:hAnsiTheme="majorHAnsi" w:cstheme="majorHAnsi"/>
                <w:sz w:val="18"/>
                <w:szCs w:val="18"/>
              </w:rPr>
            </w:pPr>
            <w:r w:rsidRPr="0038321F">
              <w:rPr>
                <w:rFonts w:asciiTheme="majorHAnsi" w:hAnsiTheme="majorHAnsi" w:cstheme="majorHAnsi"/>
                <w:sz w:val="18"/>
                <w:szCs w:val="18"/>
              </w:rPr>
              <w:t>QIN L (ID, WA)</w:t>
            </w:r>
          </w:p>
        </w:tc>
        <w:tc>
          <w:tcPr>
            <w:tcW w:w="1710" w:type="dxa"/>
            <w:vAlign w:val="center"/>
          </w:tcPr>
          <w:p w14:paraId="75FC1584" w14:textId="6AC75ED3" w:rsidR="00B4704C" w:rsidRPr="0038321F" w:rsidRDefault="00B4704C" w:rsidP="00CF3EE7">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Physicians</w:t>
            </w:r>
          </w:p>
        </w:tc>
        <w:tc>
          <w:tcPr>
            <w:tcW w:w="1359" w:type="dxa"/>
            <w:vAlign w:val="bottom"/>
          </w:tcPr>
          <w:p w14:paraId="62D2724B" w14:textId="7D8DB2DE"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1.7%</w:t>
            </w:r>
          </w:p>
        </w:tc>
        <w:tc>
          <w:tcPr>
            <w:tcW w:w="1440" w:type="dxa"/>
            <w:vAlign w:val="bottom"/>
          </w:tcPr>
          <w:p w14:paraId="3E77A580" w14:textId="4013F658"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5</w:t>
            </w:r>
          </w:p>
        </w:tc>
        <w:tc>
          <w:tcPr>
            <w:tcW w:w="1548" w:type="dxa"/>
            <w:vAlign w:val="bottom"/>
          </w:tcPr>
          <w:p w14:paraId="0F14FBD1" w14:textId="58DE6602"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5</w:t>
            </w:r>
          </w:p>
        </w:tc>
      </w:tr>
      <w:tr w:rsidR="00B4704C" w:rsidRPr="0038321F" w14:paraId="5BC7ADC5" w14:textId="77777777" w:rsidTr="00CF3EE7">
        <w:trPr>
          <w:cantSplit/>
        </w:trPr>
        <w:tc>
          <w:tcPr>
            <w:tcW w:w="2515" w:type="dxa"/>
            <w:tcBorders>
              <w:top w:val="nil"/>
              <w:bottom w:val="nil"/>
            </w:tcBorders>
            <w:vAlign w:val="center"/>
          </w:tcPr>
          <w:p w14:paraId="70A937B7" w14:textId="77777777" w:rsidR="00B4704C" w:rsidRPr="0038321F" w:rsidRDefault="00B4704C" w:rsidP="00B4704C">
            <w:pPr>
              <w:spacing w:before="40" w:after="40"/>
              <w:rPr>
                <w:rFonts w:asciiTheme="majorHAnsi" w:hAnsiTheme="majorHAnsi" w:cstheme="majorHAnsi"/>
                <w:sz w:val="18"/>
                <w:szCs w:val="18"/>
              </w:rPr>
            </w:pPr>
          </w:p>
        </w:tc>
        <w:tc>
          <w:tcPr>
            <w:tcW w:w="1710" w:type="dxa"/>
            <w:vAlign w:val="center"/>
          </w:tcPr>
          <w:p w14:paraId="26CB67AF" w14:textId="66FC44F9" w:rsidR="00B4704C" w:rsidRPr="0038321F" w:rsidRDefault="00B4704C" w:rsidP="00CF3EE7">
            <w:pPr>
              <w:spacing w:before="40" w:after="40"/>
              <w:rPr>
                <w:rFonts w:asciiTheme="majorHAnsi" w:hAnsiTheme="majorHAnsi" w:cstheme="majorHAnsi"/>
                <w:sz w:val="18"/>
                <w:szCs w:val="18"/>
              </w:rPr>
            </w:pPr>
            <w:r w:rsidRPr="0038321F">
              <w:rPr>
                <w:rFonts w:asciiTheme="majorHAnsi" w:hAnsiTheme="majorHAnsi" w:cstheme="majorHAnsi"/>
                <w:sz w:val="18"/>
                <w:szCs w:val="18"/>
              </w:rPr>
              <w:t>Physician Assistants</w:t>
            </w:r>
          </w:p>
        </w:tc>
        <w:tc>
          <w:tcPr>
            <w:tcW w:w="1359" w:type="dxa"/>
            <w:vAlign w:val="bottom"/>
          </w:tcPr>
          <w:p w14:paraId="64557652" w14:textId="76EEF406"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1.7%</w:t>
            </w:r>
          </w:p>
        </w:tc>
        <w:tc>
          <w:tcPr>
            <w:tcW w:w="1440" w:type="dxa"/>
            <w:vAlign w:val="bottom"/>
          </w:tcPr>
          <w:p w14:paraId="3DA90826" w14:textId="481475C7"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5</w:t>
            </w:r>
          </w:p>
        </w:tc>
        <w:tc>
          <w:tcPr>
            <w:tcW w:w="1548" w:type="dxa"/>
            <w:vAlign w:val="bottom"/>
          </w:tcPr>
          <w:p w14:paraId="18AA63E9" w14:textId="53F726D6"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5</w:t>
            </w:r>
          </w:p>
        </w:tc>
      </w:tr>
      <w:tr w:rsidR="00B4704C" w:rsidRPr="0038321F" w14:paraId="736C1BDE" w14:textId="77777777" w:rsidTr="00CF3EE7">
        <w:trPr>
          <w:cantSplit/>
        </w:trPr>
        <w:tc>
          <w:tcPr>
            <w:tcW w:w="2515" w:type="dxa"/>
            <w:tcBorders>
              <w:top w:val="nil"/>
            </w:tcBorders>
            <w:vAlign w:val="center"/>
          </w:tcPr>
          <w:p w14:paraId="7BD4AEE8" w14:textId="77777777" w:rsidR="00B4704C" w:rsidRPr="0038321F" w:rsidRDefault="00B4704C" w:rsidP="00B4704C">
            <w:pPr>
              <w:spacing w:before="40" w:after="40"/>
              <w:rPr>
                <w:rFonts w:asciiTheme="majorHAnsi" w:hAnsiTheme="majorHAnsi" w:cstheme="majorHAnsi"/>
                <w:sz w:val="18"/>
                <w:szCs w:val="18"/>
              </w:rPr>
            </w:pPr>
          </w:p>
        </w:tc>
        <w:tc>
          <w:tcPr>
            <w:tcW w:w="1710" w:type="dxa"/>
            <w:vAlign w:val="center"/>
          </w:tcPr>
          <w:p w14:paraId="2946FFF4" w14:textId="4B99CDE3" w:rsidR="00B4704C" w:rsidRPr="0038321F" w:rsidRDefault="00B4704C" w:rsidP="00CF3EE7">
            <w:pPr>
              <w:spacing w:before="40" w:after="40"/>
              <w:rPr>
                <w:rFonts w:asciiTheme="majorHAnsi" w:hAnsiTheme="majorHAnsi" w:cstheme="majorHAnsi"/>
                <w:sz w:val="18"/>
                <w:szCs w:val="18"/>
              </w:rPr>
            </w:pPr>
            <w:r w:rsidRPr="0038321F">
              <w:rPr>
                <w:rFonts w:asciiTheme="majorHAnsi" w:hAnsiTheme="majorHAnsi" w:cstheme="majorHAnsi"/>
                <w:sz w:val="18"/>
                <w:szCs w:val="18"/>
              </w:rPr>
              <w:t>Nurse Practitioners</w:t>
            </w:r>
          </w:p>
        </w:tc>
        <w:tc>
          <w:tcPr>
            <w:tcW w:w="1359" w:type="dxa"/>
            <w:vAlign w:val="bottom"/>
          </w:tcPr>
          <w:p w14:paraId="23D60F48" w14:textId="667C57C0"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2.0%</w:t>
            </w:r>
          </w:p>
        </w:tc>
        <w:tc>
          <w:tcPr>
            <w:tcW w:w="1440" w:type="dxa"/>
            <w:vAlign w:val="bottom"/>
          </w:tcPr>
          <w:p w14:paraId="6614F640" w14:textId="4B3F5C3B"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6</w:t>
            </w:r>
          </w:p>
        </w:tc>
        <w:tc>
          <w:tcPr>
            <w:tcW w:w="1548" w:type="dxa"/>
            <w:vAlign w:val="bottom"/>
          </w:tcPr>
          <w:p w14:paraId="4D37DED3" w14:textId="58C22A75" w:rsidR="00B4704C" w:rsidRPr="0038321F" w:rsidRDefault="00B4704C" w:rsidP="00B4704C">
            <w:pPr>
              <w:spacing w:before="40" w:after="40"/>
              <w:jc w:val="center"/>
              <w:rPr>
                <w:rFonts w:asciiTheme="majorHAnsi" w:hAnsiTheme="majorHAnsi" w:cstheme="majorHAnsi"/>
                <w:sz w:val="18"/>
                <w:szCs w:val="18"/>
              </w:rPr>
            </w:pPr>
            <w:r w:rsidRPr="0038321F">
              <w:rPr>
                <w:rFonts w:asciiTheme="majorHAnsi" w:hAnsiTheme="majorHAnsi" w:cstheme="majorHAnsi"/>
                <w:sz w:val="18"/>
                <w:szCs w:val="18"/>
              </w:rPr>
              <w:t>6</w:t>
            </w:r>
          </w:p>
        </w:tc>
      </w:tr>
      <w:tr w:rsidR="00B4704C" w:rsidRPr="0038321F" w14:paraId="37E9DB7C" w14:textId="77777777" w:rsidTr="00CF3EE7">
        <w:trPr>
          <w:cantSplit/>
        </w:trPr>
        <w:tc>
          <w:tcPr>
            <w:tcW w:w="2515" w:type="dxa"/>
            <w:shd w:val="clear" w:color="auto" w:fill="000000" w:themeFill="text1"/>
            <w:vAlign w:val="center"/>
          </w:tcPr>
          <w:p w14:paraId="6B3812D7" w14:textId="2E2C1450" w:rsidR="00B4704C" w:rsidRPr="0038321F" w:rsidRDefault="00B4704C" w:rsidP="00B4704C">
            <w:pPr>
              <w:spacing w:before="40" w:after="40"/>
              <w:rPr>
                <w:rFonts w:asciiTheme="majorHAnsi" w:hAnsiTheme="majorHAnsi" w:cstheme="majorHAnsi"/>
                <w:b/>
                <w:sz w:val="18"/>
                <w:szCs w:val="18"/>
              </w:rPr>
            </w:pPr>
            <w:r>
              <w:rPr>
                <w:rFonts w:asciiTheme="majorHAnsi" w:hAnsiTheme="majorHAnsi" w:cstheme="majorHAnsi"/>
                <w:b/>
                <w:sz w:val="18"/>
                <w:szCs w:val="18"/>
              </w:rPr>
              <w:t>TOTAL</w:t>
            </w:r>
          </w:p>
        </w:tc>
        <w:tc>
          <w:tcPr>
            <w:tcW w:w="1710" w:type="dxa"/>
            <w:shd w:val="clear" w:color="auto" w:fill="000000" w:themeFill="text1"/>
            <w:vAlign w:val="center"/>
          </w:tcPr>
          <w:p w14:paraId="6137AC5A" w14:textId="77777777" w:rsidR="00B4704C" w:rsidRPr="0038321F" w:rsidRDefault="00B4704C" w:rsidP="00B4704C">
            <w:pPr>
              <w:spacing w:before="40" w:after="40"/>
              <w:rPr>
                <w:rFonts w:asciiTheme="majorHAnsi" w:hAnsiTheme="majorHAnsi" w:cstheme="majorHAnsi"/>
                <w:b/>
                <w:sz w:val="18"/>
                <w:szCs w:val="18"/>
              </w:rPr>
            </w:pPr>
          </w:p>
        </w:tc>
        <w:tc>
          <w:tcPr>
            <w:tcW w:w="1359" w:type="dxa"/>
            <w:shd w:val="clear" w:color="auto" w:fill="000000" w:themeFill="text1"/>
            <w:vAlign w:val="bottom"/>
          </w:tcPr>
          <w:p w14:paraId="2FDBE86A" w14:textId="02C301C8" w:rsidR="00B4704C" w:rsidRPr="0038321F" w:rsidRDefault="00B4704C" w:rsidP="00B4704C">
            <w:pPr>
              <w:spacing w:before="40" w:after="40"/>
              <w:jc w:val="center"/>
              <w:rPr>
                <w:rFonts w:asciiTheme="majorHAnsi" w:hAnsiTheme="majorHAnsi" w:cstheme="majorHAnsi"/>
                <w:b/>
                <w:sz w:val="18"/>
                <w:szCs w:val="18"/>
              </w:rPr>
            </w:pPr>
            <w:r w:rsidRPr="0038321F">
              <w:rPr>
                <w:rFonts w:asciiTheme="majorHAnsi" w:hAnsiTheme="majorHAnsi" w:cstheme="majorHAnsi"/>
                <w:b/>
                <w:sz w:val="18"/>
                <w:szCs w:val="18"/>
              </w:rPr>
              <w:t>100%</w:t>
            </w:r>
          </w:p>
        </w:tc>
        <w:tc>
          <w:tcPr>
            <w:tcW w:w="1440" w:type="dxa"/>
            <w:shd w:val="clear" w:color="auto" w:fill="000000" w:themeFill="text1"/>
            <w:vAlign w:val="bottom"/>
          </w:tcPr>
          <w:p w14:paraId="226FFDAE" w14:textId="6F43CBF1" w:rsidR="00B4704C" w:rsidRPr="0038321F" w:rsidRDefault="00B4704C" w:rsidP="00B4704C">
            <w:pPr>
              <w:spacing w:before="40" w:after="40"/>
              <w:jc w:val="center"/>
              <w:rPr>
                <w:rFonts w:asciiTheme="majorHAnsi" w:hAnsiTheme="majorHAnsi" w:cstheme="majorHAnsi"/>
                <w:b/>
                <w:sz w:val="18"/>
                <w:szCs w:val="18"/>
              </w:rPr>
            </w:pPr>
            <w:r w:rsidRPr="0038321F">
              <w:rPr>
                <w:rFonts w:asciiTheme="majorHAnsi" w:hAnsiTheme="majorHAnsi" w:cstheme="majorHAnsi"/>
                <w:b/>
                <w:sz w:val="18"/>
                <w:szCs w:val="18"/>
              </w:rPr>
              <w:t>300</w:t>
            </w:r>
          </w:p>
        </w:tc>
        <w:tc>
          <w:tcPr>
            <w:tcW w:w="1548" w:type="dxa"/>
            <w:shd w:val="clear" w:color="auto" w:fill="000000" w:themeFill="text1"/>
            <w:vAlign w:val="bottom"/>
          </w:tcPr>
          <w:p w14:paraId="3D63C784" w14:textId="203D1D0D" w:rsidR="00B4704C" w:rsidRPr="0038321F" w:rsidRDefault="00B4704C" w:rsidP="00B4704C">
            <w:pPr>
              <w:spacing w:before="40" w:after="40"/>
              <w:jc w:val="center"/>
              <w:rPr>
                <w:rFonts w:asciiTheme="majorHAnsi" w:hAnsiTheme="majorHAnsi" w:cstheme="majorHAnsi"/>
                <w:b/>
                <w:sz w:val="18"/>
                <w:szCs w:val="18"/>
              </w:rPr>
            </w:pPr>
            <w:r w:rsidRPr="0038321F">
              <w:rPr>
                <w:rFonts w:asciiTheme="majorHAnsi" w:hAnsiTheme="majorHAnsi" w:cstheme="majorHAnsi"/>
                <w:b/>
                <w:sz w:val="18"/>
                <w:szCs w:val="18"/>
              </w:rPr>
              <w:t>300</w:t>
            </w:r>
          </w:p>
        </w:tc>
      </w:tr>
    </w:tbl>
    <w:p w14:paraId="3F0AE304" w14:textId="77777777" w:rsidR="0005704C" w:rsidRPr="0038321F" w:rsidRDefault="0005704C" w:rsidP="00D74FF4">
      <w:pPr>
        <w:pStyle w:val="Heading3"/>
      </w:pPr>
      <w:r w:rsidRPr="0038321F">
        <w:t>Estimation Procedure</w:t>
      </w:r>
    </w:p>
    <w:p w14:paraId="1FB3EB7E" w14:textId="77777777" w:rsidR="0005704C" w:rsidRPr="0038321F" w:rsidRDefault="00875A0A" w:rsidP="001A5DA8">
      <w:pPr>
        <w:ind w:left="720"/>
      </w:pPr>
      <w:r w:rsidRPr="0038321F">
        <w:t xml:space="preserve">We will assess </w:t>
      </w:r>
      <w:r w:rsidR="0005704C" w:rsidRPr="0038321F">
        <w:t xml:space="preserve">the </w:t>
      </w:r>
      <w:r w:rsidR="00123A4E" w:rsidRPr="0038321F">
        <w:rPr>
          <w:sz w:val="22"/>
          <w:lang w:eastAsia="zh-TW"/>
        </w:rPr>
        <w:t xml:space="preserve">QIN-QIO’s </w:t>
      </w:r>
      <w:r w:rsidR="0005704C" w:rsidRPr="0038321F">
        <w:t xml:space="preserve">impact on </w:t>
      </w:r>
      <w:r w:rsidR="001A5DA8" w:rsidRPr="0038321F">
        <w:t>promoting resources and activities designed to promote medication safety and prevent adverse drug events, as well as clarifying attribution of the QIN-QIO program to the observed outcomes relative to other sources of information used</w:t>
      </w:r>
      <w:r w:rsidR="00C3273B" w:rsidRPr="0038321F">
        <w:t xml:space="preserve"> by providers</w:t>
      </w:r>
      <w:r w:rsidR="001A5DA8" w:rsidRPr="0038321F">
        <w:t xml:space="preserve">. </w:t>
      </w:r>
      <w:r w:rsidR="009D0F69" w:rsidRPr="0038321F">
        <w:t xml:space="preserve">We will </w:t>
      </w:r>
      <w:r w:rsidR="001579B6" w:rsidRPr="0038321F">
        <w:t>document</w:t>
      </w:r>
      <w:r w:rsidR="003B7AC3" w:rsidRPr="0038321F">
        <w:t xml:space="preserve"> </w:t>
      </w:r>
      <w:r w:rsidR="005E7068" w:rsidRPr="0038321F">
        <w:t>the use of resources and activities to promote medication safety and prevent adverse drug events</w:t>
      </w:r>
      <w:r w:rsidR="001579B6" w:rsidRPr="0038321F">
        <w:t xml:space="preserve"> </w:t>
      </w:r>
      <w:r w:rsidR="005E7068" w:rsidRPr="0038321F">
        <w:t xml:space="preserve">among healthcare providers </w:t>
      </w:r>
      <w:r w:rsidR="001579B6" w:rsidRPr="0038321F">
        <w:t>that did not actively participate in the QIN-QIO program</w:t>
      </w:r>
      <w:r w:rsidR="0005704C" w:rsidRPr="0038321F">
        <w:t xml:space="preserve">. Our analysis for each evaluation question will begin with descriptive statistics including percentages and means in total and across subgroups. Appropriate statistical tests will be employed including t-tests, chi-square tests and analyses of variance (ANOVA) depending on the evaluation question. To identify potential drivers of high performance among </w:t>
      </w:r>
      <w:r w:rsidR="00123A4E" w:rsidRPr="0038321F">
        <w:rPr>
          <w:sz w:val="22"/>
          <w:lang w:eastAsia="zh-TW"/>
        </w:rPr>
        <w:t>QIN-QIOs</w:t>
      </w:r>
      <w:r w:rsidR="0005704C" w:rsidRPr="0038321F">
        <w:t xml:space="preserve">, analyses will include bi-variate analyses such as cross-tabulations, correlations or attributable effects. </w:t>
      </w:r>
      <w:r w:rsidR="00401A56" w:rsidRPr="0038321F">
        <w:t xml:space="preserve">The survey findings will also be used in </w:t>
      </w:r>
      <w:r w:rsidR="0005704C" w:rsidRPr="0038321F">
        <w:t>multivariate modeling such as regression modeling, impact analysis, return on investment (ROI), and analysis</w:t>
      </w:r>
      <w:r w:rsidR="006C1968" w:rsidRPr="0038321F">
        <w:t xml:space="preserve"> of </w:t>
      </w:r>
      <w:r w:rsidR="00401A56" w:rsidRPr="0038321F">
        <w:t xml:space="preserve">changed processes or outcomes that can be </w:t>
      </w:r>
      <w:r w:rsidR="006C1968" w:rsidRPr="0038321F">
        <w:t>att</w:t>
      </w:r>
      <w:r w:rsidR="00401A56" w:rsidRPr="0038321F">
        <w:t>ributed</w:t>
      </w:r>
      <w:r w:rsidR="006C1968" w:rsidRPr="0038321F">
        <w:t xml:space="preserve"> to </w:t>
      </w:r>
      <w:r w:rsidR="00401A56" w:rsidRPr="0038321F">
        <w:t xml:space="preserve">the </w:t>
      </w:r>
      <w:r w:rsidR="00123A4E" w:rsidRPr="0038321F">
        <w:rPr>
          <w:sz w:val="22"/>
          <w:lang w:eastAsia="zh-TW"/>
        </w:rPr>
        <w:t xml:space="preserve">QIN-QIO </w:t>
      </w:r>
      <w:r w:rsidR="00401A56" w:rsidRPr="0038321F">
        <w:t>versus other quality improvement programs</w:t>
      </w:r>
      <w:r w:rsidR="0005704C" w:rsidRPr="0038321F">
        <w:t>. Our evaluation analytics will combine survey data with qualitative and secondary data when possible, including information derived from CMS claims data.</w:t>
      </w:r>
    </w:p>
    <w:p w14:paraId="545E0ED9" w14:textId="77777777" w:rsidR="00ED3D62" w:rsidRPr="0038321F" w:rsidRDefault="00ED3D62" w:rsidP="00ED3D62">
      <w:pPr>
        <w:pStyle w:val="Heading3"/>
      </w:pPr>
      <w:r w:rsidRPr="0038321F">
        <w:t>Degree of accuracy needed for the purpose described in the justification</w:t>
      </w:r>
    </w:p>
    <w:p w14:paraId="376C7F03" w14:textId="1AD6B7F5" w:rsidR="00ED3D62" w:rsidRPr="0038321F" w:rsidRDefault="00854329" w:rsidP="00ED3D62">
      <w:pPr>
        <w:ind w:left="720"/>
      </w:pPr>
      <w:r w:rsidRPr="0038321F">
        <w:fldChar w:fldCharType="begin"/>
      </w:r>
      <w:r w:rsidRPr="0038321F">
        <w:instrText xml:space="preserve"> REF _Ref449625315 \h  \* MERGEFORMAT </w:instrText>
      </w:r>
      <w:r w:rsidRPr="0038321F">
        <w:fldChar w:fldCharType="separate"/>
      </w:r>
      <w:r w:rsidR="00D62ECE" w:rsidRPr="0038321F">
        <w:t xml:space="preserve">Table </w:t>
      </w:r>
      <w:r w:rsidR="00D62ECE">
        <w:rPr>
          <w:noProof/>
        </w:rPr>
        <w:t>6</w:t>
      </w:r>
      <w:r w:rsidRPr="0038321F">
        <w:fldChar w:fldCharType="end"/>
      </w:r>
      <w:r w:rsidRPr="0038321F">
        <w:t xml:space="preserve"> </w:t>
      </w:r>
      <w:r w:rsidR="00ED3D62" w:rsidRPr="0038321F">
        <w:t xml:space="preserve">shows the planned margins of error for the </w:t>
      </w:r>
      <w:r w:rsidR="00767BC7" w:rsidRPr="0038321F">
        <w:t>t</w:t>
      </w:r>
      <w:r w:rsidR="00197591" w:rsidRPr="0038321F">
        <w:t>wo</w:t>
      </w:r>
      <w:r w:rsidR="00767BC7" w:rsidRPr="0038321F">
        <w:t xml:space="preserve"> health professional groups</w:t>
      </w:r>
      <w:r w:rsidR="00ED3D62" w:rsidRPr="0038321F">
        <w:t xml:space="preserve"> and for the subsample of participating and non-participating</w:t>
      </w:r>
      <w:r w:rsidR="00767BC7" w:rsidRPr="0038321F">
        <w:t xml:space="preserve"> members</w:t>
      </w:r>
      <w:r w:rsidR="00ED3D62" w:rsidRPr="0038321F">
        <w:t xml:space="preserve">. </w:t>
      </w:r>
      <w:r w:rsidR="00697607" w:rsidRPr="0038321F">
        <w:t>The groupings represent the common recipients of adverse drug event-related technical assistance from the QIN-QIOs</w:t>
      </w:r>
      <w:r w:rsidR="00D22734" w:rsidRPr="0038321F">
        <w:t>,</w:t>
      </w:r>
      <w:r w:rsidR="00697607" w:rsidRPr="0038321F">
        <w:t xml:space="preserve"> </w:t>
      </w:r>
      <w:r w:rsidR="00D22734" w:rsidRPr="0038321F">
        <w:t xml:space="preserve">and </w:t>
      </w:r>
      <w:r w:rsidR="00535A5A" w:rsidRPr="0038321F">
        <w:t>the stud</w:t>
      </w:r>
      <w:r w:rsidR="00A1502A" w:rsidRPr="0038321F">
        <w:t xml:space="preserve">y design prioritizes estimation accuracy </w:t>
      </w:r>
      <w:r w:rsidR="00D22734" w:rsidRPr="0038321F">
        <w:t xml:space="preserve">within </w:t>
      </w:r>
      <w:r w:rsidR="00A1502A" w:rsidRPr="0038321F">
        <w:t xml:space="preserve">these groups. </w:t>
      </w:r>
    </w:p>
    <w:p w14:paraId="58516A4F" w14:textId="497C79EF" w:rsidR="00ED3D62" w:rsidRPr="0038321F" w:rsidRDefault="00ED3D62" w:rsidP="00953AC3">
      <w:pPr>
        <w:pStyle w:val="Caption"/>
      </w:pPr>
      <w:bookmarkStart w:id="22" w:name="_Ref449625315"/>
      <w:r w:rsidRPr="0038321F">
        <w:t xml:space="preserve">Table </w:t>
      </w:r>
      <w:r w:rsidR="00FC5E37">
        <w:fldChar w:fldCharType="begin"/>
      </w:r>
      <w:r w:rsidR="00FC5E37">
        <w:instrText xml:space="preserve"> SEQ Table \* ARABIC </w:instrText>
      </w:r>
      <w:r w:rsidR="00FC5E37">
        <w:fldChar w:fldCharType="separate"/>
      </w:r>
      <w:r w:rsidR="00D62ECE">
        <w:rPr>
          <w:noProof/>
        </w:rPr>
        <w:t>6</w:t>
      </w:r>
      <w:r w:rsidR="00FC5E37">
        <w:rPr>
          <w:noProof/>
        </w:rPr>
        <w:fldChar w:fldCharType="end"/>
      </w:r>
      <w:bookmarkEnd w:id="22"/>
      <w:r w:rsidRPr="0038321F">
        <w:t>: Sample Size</w:t>
      </w:r>
      <w:r w:rsidR="00A1502A" w:rsidRPr="0038321F">
        <w:t xml:space="preserve"> </w:t>
      </w:r>
      <w:r w:rsidRPr="0038321F">
        <w:t>and Margin of Error</w:t>
      </w:r>
    </w:p>
    <w:tbl>
      <w:tblPr>
        <w:tblW w:w="8620" w:type="dxa"/>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4"/>
        <w:gridCol w:w="2316"/>
        <w:gridCol w:w="1080"/>
        <w:gridCol w:w="1081"/>
        <w:gridCol w:w="1027"/>
        <w:gridCol w:w="1266"/>
        <w:gridCol w:w="936"/>
      </w:tblGrid>
      <w:tr w:rsidR="0038321F" w:rsidRPr="0038321F" w14:paraId="4839A644" w14:textId="77777777" w:rsidTr="00D62ECE">
        <w:trPr>
          <w:cantSplit/>
          <w:tblHeader/>
        </w:trPr>
        <w:tc>
          <w:tcPr>
            <w:tcW w:w="914" w:type="dxa"/>
            <w:shd w:val="clear" w:color="auto" w:fill="D0CECE" w:themeFill="background2" w:themeFillShade="E6"/>
            <w:vAlign w:val="bottom"/>
            <w:hideMark/>
          </w:tcPr>
          <w:p w14:paraId="466838D5" w14:textId="77777777" w:rsidR="001D1A11" w:rsidRPr="0038321F" w:rsidRDefault="001D1A11" w:rsidP="00D62ECE">
            <w:pPr>
              <w:spacing w:before="40" w:after="40"/>
              <w:jc w:val="center"/>
              <w:rPr>
                <w:rFonts w:asciiTheme="majorHAnsi" w:hAnsiTheme="majorHAnsi" w:cstheme="majorHAnsi"/>
                <w:b/>
                <w:sz w:val="20"/>
              </w:rPr>
            </w:pPr>
            <w:r w:rsidRPr="0038321F">
              <w:rPr>
                <w:rFonts w:asciiTheme="majorHAnsi" w:hAnsiTheme="majorHAnsi" w:cstheme="majorHAnsi"/>
                <w:b/>
                <w:sz w:val="20"/>
              </w:rPr>
              <w:t>Sample Size</w:t>
            </w:r>
          </w:p>
        </w:tc>
        <w:tc>
          <w:tcPr>
            <w:tcW w:w="2316" w:type="dxa"/>
            <w:shd w:val="clear" w:color="auto" w:fill="D0CECE" w:themeFill="background2" w:themeFillShade="E6"/>
            <w:vAlign w:val="bottom"/>
            <w:hideMark/>
          </w:tcPr>
          <w:p w14:paraId="27591EF1" w14:textId="77777777" w:rsidR="001D1A11" w:rsidRPr="0038321F" w:rsidRDefault="001D1A11" w:rsidP="00D62ECE">
            <w:pPr>
              <w:spacing w:before="40" w:after="40"/>
              <w:jc w:val="center"/>
              <w:rPr>
                <w:rFonts w:asciiTheme="majorHAnsi" w:hAnsiTheme="majorHAnsi" w:cstheme="majorHAnsi"/>
                <w:b/>
                <w:sz w:val="20"/>
              </w:rPr>
            </w:pPr>
            <w:r w:rsidRPr="0038321F">
              <w:rPr>
                <w:rFonts w:asciiTheme="majorHAnsi" w:hAnsiTheme="majorHAnsi" w:cstheme="majorHAnsi"/>
                <w:b/>
                <w:sz w:val="20"/>
              </w:rPr>
              <w:t>Group</w:t>
            </w:r>
          </w:p>
        </w:tc>
        <w:tc>
          <w:tcPr>
            <w:tcW w:w="1080" w:type="dxa"/>
            <w:shd w:val="clear" w:color="auto" w:fill="D0CECE" w:themeFill="background2" w:themeFillShade="E6"/>
            <w:vAlign w:val="bottom"/>
            <w:hideMark/>
          </w:tcPr>
          <w:p w14:paraId="2104DC0B" w14:textId="77777777" w:rsidR="001D1A11" w:rsidRPr="0038321F" w:rsidRDefault="001D1A11" w:rsidP="00D62ECE">
            <w:pPr>
              <w:spacing w:before="40" w:after="40"/>
              <w:jc w:val="center"/>
              <w:rPr>
                <w:rFonts w:asciiTheme="majorHAnsi" w:hAnsiTheme="majorHAnsi" w:cstheme="majorHAnsi"/>
                <w:b/>
                <w:sz w:val="20"/>
              </w:rPr>
            </w:pPr>
            <w:r w:rsidRPr="0038321F">
              <w:rPr>
                <w:rFonts w:asciiTheme="majorHAnsi" w:hAnsiTheme="majorHAnsi" w:cstheme="majorHAnsi"/>
                <w:b/>
                <w:sz w:val="20"/>
              </w:rPr>
              <w:t>Margin of Error</w:t>
            </w:r>
          </w:p>
        </w:tc>
        <w:tc>
          <w:tcPr>
            <w:tcW w:w="1081" w:type="dxa"/>
            <w:shd w:val="clear" w:color="auto" w:fill="D0CECE" w:themeFill="background2" w:themeFillShade="E6"/>
            <w:vAlign w:val="bottom"/>
            <w:hideMark/>
          </w:tcPr>
          <w:p w14:paraId="527A5954" w14:textId="77777777" w:rsidR="001D1A11" w:rsidRPr="0038321F" w:rsidRDefault="001D1A11" w:rsidP="00D62ECE">
            <w:pPr>
              <w:spacing w:before="40" w:after="40"/>
              <w:jc w:val="center"/>
              <w:rPr>
                <w:rFonts w:asciiTheme="majorHAnsi" w:hAnsiTheme="majorHAnsi" w:cstheme="majorHAnsi"/>
                <w:b/>
                <w:sz w:val="20"/>
              </w:rPr>
            </w:pPr>
            <w:r w:rsidRPr="0038321F">
              <w:rPr>
                <w:rFonts w:asciiTheme="majorHAnsi" w:hAnsiTheme="majorHAnsi" w:cstheme="majorHAnsi"/>
                <w:b/>
                <w:sz w:val="20"/>
              </w:rPr>
              <w:t>Recruited</w:t>
            </w:r>
          </w:p>
        </w:tc>
        <w:tc>
          <w:tcPr>
            <w:tcW w:w="1027" w:type="dxa"/>
            <w:shd w:val="clear" w:color="auto" w:fill="D0CECE" w:themeFill="background2" w:themeFillShade="E6"/>
            <w:vAlign w:val="bottom"/>
            <w:hideMark/>
          </w:tcPr>
          <w:p w14:paraId="3AC1C25C" w14:textId="77777777" w:rsidR="001D1A11" w:rsidRPr="0038321F" w:rsidRDefault="001D1A11" w:rsidP="00D62ECE">
            <w:pPr>
              <w:spacing w:before="40" w:after="40"/>
              <w:jc w:val="center"/>
              <w:rPr>
                <w:rFonts w:asciiTheme="majorHAnsi" w:hAnsiTheme="majorHAnsi" w:cstheme="majorHAnsi"/>
                <w:b/>
                <w:sz w:val="20"/>
              </w:rPr>
            </w:pPr>
            <w:r w:rsidRPr="0038321F">
              <w:rPr>
                <w:rFonts w:asciiTheme="majorHAnsi" w:hAnsiTheme="majorHAnsi" w:cstheme="majorHAnsi"/>
                <w:b/>
                <w:sz w:val="20"/>
              </w:rPr>
              <w:t>Margin of Error</w:t>
            </w:r>
          </w:p>
        </w:tc>
        <w:tc>
          <w:tcPr>
            <w:tcW w:w="1266" w:type="dxa"/>
            <w:shd w:val="clear" w:color="auto" w:fill="D0CECE" w:themeFill="background2" w:themeFillShade="E6"/>
            <w:vAlign w:val="bottom"/>
            <w:hideMark/>
          </w:tcPr>
          <w:p w14:paraId="364A0AE8" w14:textId="77777777" w:rsidR="001D1A11" w:rsidRPr="0038321F" w:rsidRDefault="001D1A11" w:rsidP="00D62ECE">
            <w:pPr>
              <w:spacing w:before="40" w:after="40"/>
              <w:jc w:val="center"/>
              <w:rPr>
                <w:rFonts w:asciiTheme="majorHAnsi" w:hAnsiTheme="majorHAnsi" w:cstheme="majorHAnsi"/>
                <w:b/>
                <w:sz w:val="20"/>
              </w:rPr>
            </w:pPr>
            <w:r w:rsidRPr="0038321F">
              <w:rPr>
                <w:rFonts w:asciiTheme="majorHAnsi" w:hAnsiTheme="majorHAnsi" w:cstheme="majorHAnsi"/>
                <w:b/>
                <w:sz w:val="20"/>
              </w:rPr>
              <w:t xml:space="preserve">Non-Recruited </w:t>
            </w:r>
          </w:p>
        </w:tc>
        <w:tc>
          <w:tcPr>
            <w:tcW w:w="936" w:type="dxa"/>
            <w:shd w:val="clear" w:color="auto" w:fill="D0CECE" w:themeFill="background2" w:themeFillShade="E6"/>
            <w:vAlign w:val="bottom"/>
            <w:hideMark/>
          </w:tcPr>
          <w:p w14:paraId="519124B2" w14:textId="77777777" w:rsidR="001D1A11" w:rsidRPr="0038321F" w:rsidRDefault="001D1A11" w:rsidP="00D62ECE">
            <w:pPr>
              <w:spacing w:before="40" w:after="40"/>
              <w:jc w:val="center"/>
              <w:rPr>
                <w:rFonts w:asciiTheme="majorHAnsi" w:hAnsiTheme="majorHAnsi" w:cstheme="majorHAnsi"/>
                <w:b/>
                <w:sz w:val="20"/>
              </w:rPr>
            </w:pPr>
            <w:r w:rsidRPr="0038321F">
              <w:rPr>
                <w:rFonts w:asciiTheme="majorHAnsi" w:hAnsiTheme="majorHAnsi" w:cstheme="majorHAnsi"/>
                <w:b/>
                <w:sz w:val="20"/>
              </w:rPr>
              <w:t>Margin of Error</w:t>
            </w:r>
          </w:p>
        </w:tc>
      </w:tr>
      <w:tr w:rsidR="0038321F" w:rsidRPr="0038321F" w14:paraId="42148D2F" w14:textId="77777777" w:rsidTr="00D62ECE">
        <w:trPr>
          <w:cantSplit/>
        </w:trPr>
        <w:tc>
          <w:tcPr>
            <w:tcW w:w="914" w:type="dxa"/>
            <w:shd w:val="clear" w:color="auto" w:fill="auto"/>
            <w:noWrap/>
            <w:vAlign w:val="center"/>
            <w:hideMark/>
          </w:tcPr>
          <w:p w14:paraId="66AC643B" w14:textId="77777777" w:rsidR="001D1A11" w:rsidRPr="0038321F" w:rsidRDefault="001D1A11" w:rsidP="00D62ECE">
            <w:pPr>
              <w:spacing w:before="40" w:after="40"/>
              <w:jc w:val="center"/>
              <w:rPr>
                <w:rFonts w:asciiTheme="majorHAnsi" w:hAnsiTheme="majorHAnsi" w:cstheme="majorHAnsi"/>
                <w:sz w:val="20"/>
              </w:rPr>
            </w:pPr>
            <w:r w:rsidRPr="0038321F">
              <w:rPr>
                <w:rFonts w:asciiTheme="majorHAnsi" w:hAnsiTheme="majorHAnsi" w:cstheme="majorHAnsi"/>
                <w:sz w:val="20"/>
              </w:rPr>
              <w:t>600</w:t>
            </w:r>
          </w:p>
        </w:tc>
        <w:tc>
          <w:tcPr>
            <w:tcW w:w="2316" w:type="dxa"/>
            <w:shd w:val="clear" w:color="auto" w:fill="auto"/>
            <w:noWrap/>
            <w:vAlign w:val="center"/>
            <w:hideMark/>
          </w:tcPr>
          <w:p w14:paraId="7E8E09FD" w14:textId="77777777" w:rsidR="001D1A11" w:rsidRPr="0038321F" w:rsidRDefault="001D1A11" w:rsidP="00D62ECE">
            <w:pPr>
              <w:spacing w:before="40" w:after="40"/>
              <w:rPr>
                <w:rFonts w:asciiTheme="majorHAnsi" w:hAnsiTheme="majorHAnsi" w:cstheme="majorHAnsi"/>
                <w:sz w:val="20"/>
              </w:rPr>
            </w:pPr>
            <w:r w:rsidRPr="0038321F">
              <w:rPr>
                <w:rFonts w:asciiTheme="majorHAnsi" w:hAnsiTheme="majorHAnsi" w:cstheme="majorHAnsi"/>
                <w:sz w:val="20"/>
              </w:rPr>
              <w:t>Community Pharmacists</w:t>
            </w:r>
          </w:p>
        </w:tc>
        <w:tc>
          <w:tcPr>
            <w:tcW w:w="1080" w:type="dxa"/>
            <w:shd w:val="clear" w:color="auto" w:fill="auto"/>
            <w:noWrap/>
            <w:vAlign w:val="center"/>
            <w:hideMark/>
          </w:tcPr>
          <w:p w14:paraId="2A2237F5" w14:textId="77777777" w:rsidR="001D1A11" w:rsidRPr="0038321F" w:rsidRDefault="001D1A11" w:rsidP="00D62ECE">
            <w:pPr>
              <w:spacing w:before="40" w:after="40"/>
              <w:jc w:val="center"/>
              <w:rPr>
                <w:rFonts w:asciiTheme="majorHAnsi" w:hAnsiTheme="majorHAnsi" w:cstheme="majorHAnsi"/>
                <w:sz w:val="20"/>
              </w:rPr>
            </w:pPr>
            <w:r w:rsidRPr="0038321F">
              <w:rPr>
                <w:rFonts w:asciiTheme="majorHAnsi" w:hAnsiTheme="majorHAnsi" w:cstheme="majorHAnsi"/>
                <w:sz w:val="20"/>
              </w:rPr>
              <w:t>4.00%</w:t>
            </w:r>
          </w:p>
        </w:tc>
        <w:tc>
          <w:tcPr>
            <w:tcW w:w="1081" w:type="dxa"/>
            <w:shd w:val="clear" w:color="auto" w:fill="auto"/>
            <w:noWrap/>
            <w:vAlign w:val="center"/>
            <w:hideMark/>
          </w:tcPr>
          <w:p w14:paraId="7DC96E05" w14:textId="77777777" w:rsidR="001D1A11" w:rsidRPr="0038321F" w:rsidRDefault="001D1A11" w:rsidP="00D62ECE">
            <w:pPr>
              <w:spacing w:before="40" w:after="40"/>
              <w:jc w:val="center"/>
              <w:rPr>
                <w:rFonts w:asciiTheme="majorHAnsi" w:hAnsiTheme="majorHAnsi" w:cstheme="majorHAnsi"/>
                <w:sz w:val="20"/>
              </w:rPr>
            </w:pPr>
            <w:r w:rsidRPr="0038321F">
              <w:rPr>
                <w:rFonts w:asciiTheme="majorHAnsi" w:hAnsiTheme="majorHAnsi" w:cstheme="majorHAnsi"/>
                <w:sz w:val="20"/>
              </w:rPr>
              <w:t>300</w:t>
            </w:r>
          </w:p>
        </w:tc>
        <w:tc>
          <w:tcPr>
            <w:tcW w:w="1027" w:type="dxa"/>
            <w:shd w:val="clear" w:color="auto" w:fill="auto"/>
            <w:noWrap/>
            <w:vAlign w:val="center"/>
            <w:hideMark/>
          </w:tcPr>
          <w:p w14:paraId="338EA29D" w14:textId="77777777" w:rsidR="001D1A11" w:rsidRPr="0038321F" w:rsidRDefault="001D1A11" w:rsidP="00D62ECE">
            <w:pPr>
              <w:spacing w:before="40" w:after="40"/>
              <w:jc w:val="center"/>
              <w:rPr>
                <w:rFonts w:asciiTheme="majorHAnsi" w:hAnsiTheme="majorHAnsi" w:cstheme="majorHAnsi"/>
                <w:sz w:val="20"/>
              </w:rPr>
            </w:pPr>
            <w:r w:rsidRPr="0038321F">
              <w:rPr>
                <w:rFonts w:asciiTheme="majorHAnsi" w:hAnsiTheme="majorHAnsi" w:cstheme="majorHAnsi"/>
                <w:sz w:val="20"/>
              </w:rPr>
              <w:t>5.66%</w:t>
            </w:r>
          </w:p>
        </w:tc>
        <w:tc>
          <w:tcPr>
            <w:tcW w:w="1266" w:type="dxa"/>
            <w:shd w:val="clear" w:color="auto" w:fill="auto"/>
            <w:noWrap/>
            <w:vAlign w:val="center"/>
            <w:hideMark/>
          </w:tcPr>
          <w:p w14:paraId="020130FD" w14:textId="77777777" w:rsidR="001D1A11" w:rsidRPr="0038321F" w:rsidRDefault="001D1A11" w:rsidP="00D62ECE">
            <w:pPr>
              <w:spacing w:before="40" w:after="40"/>
              <w:jc w:val="center"/>
              <w:rPr>
                <w:rFonts w:asciiTheme="majorHAnsi" w:hAnsiTheme="majorHAnsi" w:cstheme="majorHAnsi"/>
                <w:sz w:val="20"/>
              </w:rPr>
            </w:pPr>
            <w:r w:rsidRPr="0038321F">
              <w:rPr>
                <w:rFonts w:asciiTheme="majorHAnsi" w:hAnsiTheme="majorHAnsi" w:cstheme="majorHAnsi"/>
                <w:sz w:val="20"/>
              </w:rPr>
              <w:t>300</w:t>
            </w:r>
          </w:p>
        </w:tc>
        <w:tc>
          <w:tcPr>
            <w:tcW w:w="936" w:type="dxa"/>
            <w:shd w:val="clear" w:color="auto" w:fill="auto"/>
            <w:noWrap/>
            <w:vAlign w:val="center"/>
            <w:hideMark/>
          </w:tcPr>
          <w:p w14:paraId="02C1061F" w14:textId="77777777" w:rsidR="001D1A11" w:rsidRPr="0038321F" w:rsidRDefault="001D1A11" w:rsidP="00D62ECE">
            <w:pPr>
              <w:spacing w:before="40" w:after="40"/>
              <w:jc w:val="center"/>
              <w:rPr>
                <w:rFonts w:asciiTheme="majorHAnsi" w:hAnsiTheme="majorHAnsi" w:cstheme="majorHAnsi"/>
                <w:sz w:val="20"/>
              </w:rPr>
            </w:pPr>
            <w:r w:rsidRPr="0038321F">
              <w:rPr>
                <w:rFonts w:asciiTheme="majorHAnsi" w:hAnsiTheme="majorHAnsi" w:cstheme="majorHAnsi"/>
                <w:sz w:val="20"/>
              </w:rPr>
              <w:t>5.66%</w:t>
            </w:r>
          </w:p>
        </w:tc>
      </w:tr>
      <w:tr w:rsidR="0038321F" w:rsidRPr="0038321F" w14:paraId="76DB1658" w14:textId="77777777" w:rsidTr="00D62ECE">
        <w:trPr>
          <w:cantSplit/>
        </w:trPr>
        <w:tc>
          <w:tcPr>
            <w:tcW w:w="914" w:type="dxa"/>
            <w:shd w:val="clear" w:color="auto" w:fill="auto"/>
            <w:noWrap/>
            <w:vAlign w:val="center"/>
            <w:hideMark/>
          </w:tcPr>
          <w:p w14:paraId="29791E36" w14:textId="17C065C0" w:rsidR="001D1A11" w:rsidRPr="0038321F" w:rsidRDefault="00197591" w:rsidP="00D62ECE">
            <w:pPr>
              <w:spacing w:before="40" w:after="40"/>
              <w:jc w:val="center"/>
              <w:rPr>
                <w:rFonts w:asciiTheme="majorHAnsi" w:hAnsiTheme="majorHAnsi" w:cstheme="majorHAnsi"/>
                <w:sz w:val="20"/>
              </w:rPr>
            </w:pPr>
            <w:r w:rsidRPr="0038321F">
              <w:rPr>
                <w:rFonts w:asciiTheme="majorHAnsi" w:hAnsiTheme="majorHAnsi" w:cstheme="majorHAnsi"/>
                <w:sz w:val="20"/>
              </w:rPr>
              <w:t>6</w:t>
            </w:r>
            <w:r w:rsidR="001D1A11" w:rsidRPr="0038321F">
              <w:rPr>
                <w:rFonts w:asciiTheme="majorHAnsi" w:hAnsiTheme="majorHAnsi" w:cstheme="majorHAnsi"/>
                <w:sz w:val="20"/>
              </w:rPr>
              <w:t>00</w:t>
            </w:r>
          </w:p>
        </w:tc>
        <w:tc>
          <w:tcPr>
            <w:tcW w:w="2316" w:type="dxa"/>
            <w:shd w:val="clear" w:color="auto" w:fill="auto"/>
            <w:noWrap/>
            <w:vAlign w:val="center"/>
            <w:hideMark/>
          </w:tcPr>
          <w:p w14:paraId="2688BD29" w14:textId="2DDF17AF" w:rsidR="001D1A11" w:rsidRPr="0038321F" w:rsidRDefault="007475E5" w:rsidP="00D62ECE">
            <w:pPr>
              <w:spacing w:before="40" w:after="40"/>
              <w:rPr>
                <w:rFonts w:asciiTheme="majorHAnsi" w:hAnsiTheme="majorHAnsi" w:cstheme="majorHAnsi"/>
                <w:sz w:val="20"/>
              </w:rPr>
            </w:pPr>
            <w:r w:rsidRPr="0038321F">
              <w:rPr>
                <w:rFonts w:asciiTheme="majorHAnsi" w:hAnsiTheme="majorHAnsi" w:cstheme="majorHAnsi"/>
                <w:sz w:val="20"/>
              </w:rPr>
              <w:t>Group Practice</w:t>
            </w:r>
            <w:r w:rsidR="001D1A11" w:rsidRPr="0038321F">
              <w:rPr>
                <w:rFonts w:asciiTheme="majorHAnsi" w:hAnsiTheme="majorHAnsi" w:cstheme="majorHAnsi"/>
                <w:sz w:val="20"/>
              </w:rPr>
              <w:t xml:space="preserve"> P</w:t>
            </w:r>
            <w:r w:rsidRPr="0038321F">
              <w:rPr>
                <w:rFonts w:asciiTheme="majorHAnsi" w:hAnsiTheme="majorHAnsi" w:cstheme="majorHAnsi"/>
                <w:sz w:val="20"/>
              </w:rPr>
              <w:t>roviders</w:t>
            </w:r>
          </w:p>
        </w:tc>
        <w:tc>
          <w:tcPr>
            <w:tcW w:w="1080" w:type="dxa"/>
            <w:shd w:val="clear" w:color="auto" w:fill="auto"/>
            <w:noWrap/>
            <w:vAlign w:val="center"/>
            <w:hideMark/>
          </w:tcPr>
          <w:p w14:paraId="66CD8291" w14:textId="629C4D5E" w:rsidR="001D1A11" w:rsidRPr="0038321F" w:rsidRDefault="001D1A11" w:rsidP="00D62ECE">
            <w:pPr>
              <w:spacing w:before="40" w:after="40"/>
              <w:jc w:val="center"/>
              <w:rPr>
                <w:rFonts w:asciiTheme="majorHAnsi" w:hAnsiTheme="majorHAnsi" w:cstheme="majorHAnsi"/>
                <w:sz w:val="20"/>
              </w:rPr>
            </w:pPr>
            <w:r w:rsidRPr="0038321F">
              <w:rPr>
                <w:rFonts w:asciiTheme="majorHAnsi" w:hAnsiTheme="majorHAnsi" w:cstheme="majorHAnsi"/>
                <w:sz w:val="20"/>
              </w:rPr>
              <w:t>4.</w:t>
            </w:r>
            <w:r w:rsidR="00D22734" w:rsidRPr="0038321F">
              <w:rPr>
                <w:rFonts w:asciiTheme="majorHAnsi" w:hAnsiTheme="majorHAnsi" w:cstheme="majorHAnsi"/>
                <w:sz w:val="20"/>
              </w:rPr>
              <w:t>00</w:t>
            </w:r>
            <w:r w:rsidRPr="0038321F">
              <w:rPr>
                <w:rFonts w:asciiTheme="majorHAnsi" w:hAnsiTheme="majorHAnsi" w:cstheme="majorHAnsi"/>
                <w:sz w:val="20"/>
              </w:rPr>
              <w:t>%</w:t>
            </w:r>
          </w:p>
        </w:tc>
        <w:tc>
          <w:tcPr>
            <w:tcW w:w="1081" w:type="dxa"/>
            <w:shd w:val="clear" w:color="auto" w:fill="auto"/>
            <w:noWrap/>
            <w:vAlign w:val="center"/>
            <w:hideMark/>
          </w:tcPr>
          <w:p w14:paraId="7516E91D" w14:textId="21510337" w:rsidR="001D1A11" w:rsidRPr="0038321F" w:rsidRDefault="00D22734" w:rsidP="00D62ECE">
            <w:pPr>
              <w:spacing w:before="40" w:after="40"/>
              <w:jc w:val="center"/>
              <w:rPr>
                <w:rFonts w:asciiTheme="majorHAnsi" w:hAnsiTheme="majorHAnsi" w:cstheme="majorHAnsi"/>
                <w:sz w:val="20"/>
              </w:rPr>
            </w:pPr>
            <w:r w:rsidRPr="0038321F">
              <w:rPr>
                <w:rFonts w:asciiTheme="majorHAnsi" w:hAnsiTheme="majorHAnsi" w:cstheme="majorHAnsi"/>
                <w:sz w:val="20"/>
              </w:rPr>
              <w:t>3</w:t>
            </w:r>
            <w:r w:rsidR="001D1A11" w:rsidRPr="0038321F">
              <w:rPr>
                <w:rFonts w:asciiTheme="majorHAnsi" w:hAnsiTheme="majorHAnsi" w:cstheme="majorHAnsi"/>
                <w:sz w:val="20"/>
              </w:rPr>
              <w:t>00</w:t>
            </w:r>
          </w:p>
        </w:tc>
        <w:tc>
          <w:tcPr>
            <w:tcW w:w="1027" w:type="dxa"/>
            <w:shd w:val="clear" w:color="auto" w:fill="auto"/>
            <w:noWrap/>
            <w:vAlign w:val="center"/>
            <w:hideMark/>
          </w:tcPr>
          <w:p w14:paraId="0AF9E1B8" w14:textId="3BF51652" w:rsidR="001D1A11" w:rsidRPr="0038321F" w:rsidRDefault="00D22734" w:rsidP="00D62ECE">
            <w:pPr>
              <w:spacing w:before="40" w:after="40"/>
              <w:jc w:val="center"/>
              <w:rPr>
                <w:rFonts w:asciiTheme="majorHAnsi" w:hAnsiTheme="majorHAnsi" w:cstheme="majorHAnsi"/>
                <w:sz w:val="20"/>
              </w:rPr>
            </w:pPr>
            <w:r w:rsidRPr="0038321F">
              <w:rPr>
                <w:rFonts w:asciiTheme="majorHAnsi" w:hAnsiTheme="majorHAnsi" w:cstheme="majorHAnsi"/>
                <w:sz w:val="20"/>
              </w:rPr>
              <w:t>5.66</w:t>
            </w:r>
            <w:r w:rsidR="001D1A11" w:rsidRPr="0038321F">
              <w:rPr>
                <w:rFonts w:asciiTheme="majorHAnsi" w:hAnsiTheme="majorHAnsi" w:cstheme="majorHAnsi"/>
                <w:sz w:val="20"/>
              </w:rPr>
              <w:t>%</w:t>
            </w:r>
          </w:p>
        </w:tc>
        <w:tc>
          <w:tcPr>
            <w:tcW w:w="1266" w:type="dxa"/>
            <w:shd w:val="clear" w:color="auto" w:fill="auto"/>
            <w:noWrap/>
            <w:vAlign w:val="center"/>
            <w:hideMark/>
          </w:tcPr>
          <w:p w14:paraId="2F54FDC7" w14:textId="44660A40" w:rsidR="001D1A11" w:rsidRPr="0038321F" w:rsidRDefault="00D22734" w:rsidP="00D62ECE">
            <w:pPr>
              <w:spacing w:before="40" w:after="40"/>
              <w:jc w:val="center"/>
              <w:rPr>
                <w:rFonts w:asciiTheme="majorHAnsi" w:hAnsiTheme="majorHAnsi" w:cstheme="majorHAnsi"/>
                <w:sz w:val="20"/>
              </w:rPr>
            </w:pPr>
            <w:r w:rsidRPr="0038321F">
              <w:rPr>
                <w:rFonts w:asciiTheme="majorHAnsi" w:hAnsiTheme="majorHAnsi" w:cstheme="majorHAnsi"/>
                <w:sz w:val="20"/>
              </w:rPr>
              <w:t>3</w:t>
            </w:r>
            <w:r w:rsidR="001D1A11" w:rsidRPr="0038321F">
              <w:rPr>
                <w:rFonts w:asciiTheme="majorHAnsi" w:hAnsiTheme="majorHAnsi" w:cstheme="majorHAnsi"/>
                <w:sz w:val="20"/>
              </w:rPr>
              <w:t>00</w:t>
            </w:r>
          </w:p>
        </w:tc>
        <w:tc>
          <w:tcPr>
            <w:tcW w:w="936" w:type="dxa"/>
            <w:shd w:val="clear" w:color="auto" w:fill="auto"/>
            <w:noWrap/>
            <w:vAlign w:val="center"/>
            <w:hideMark/>
          </w:tcPr>
          <w:p w14:paraId="6A987C07" w14:textId="19A41783" w:rsidR="001D1A11" w:rsidRPr="0038321F" w:rsidRDefault="00D22734" w:rsidP="00D62ECE">
            <w:pPr>
              <w:spacing w:before="40" w:after="40"/>
              <w:jc w:val="center"/>
              <w:rPr>
                <w:rFonts w:asciiTheme="majorHAnsi" w:hAnsiTheme="majorHAnsi" w:cstheme="majorHAnsi"/>
                <w:sz w:val="20"/>
              </w:rPr>
            </w:pPr>
            <w:r w:rsidRPr="0038321F">
              <w:rPr>
                <w:rFonts w:asciiTheme="majorHAnsi" w:hAnsiTheme="majorHAnsi" w:cstheme="majorHAnsi"/>
                <w:sz w:val="20"/>
              </w:rPr>
              <w:t>5.66</w:t>
            </w:r>
            <w:r w:rsidR="001D1A11" w:rsidRPr="0038321F">
              <w:rPr>
                <w:rFonts w:asciiTheme="majorHAnsi" w:hAnsiTheme="majorHAnsi" w:cstheme="majorHAnsi"/>
                <w:sz w:val="20"/>
              </w:rPr>
              <w:t>%</w:t>
            </w:r>
          </w:p>
        </w:tc>
      </w:tr>
    </w:tbl>
    <w:p w14:paraId="0EE59C93" w14:textId="77777777" w:rsidR="001D1A11" w:rsidRPr="0038321F" w:rsidRDefault="001D1A11" w:rsidP="001D1A11">
      <w:pPr>
        <w:ind w:left="720"/>
      </w:pPr>
    </w:p>
    <w:p w14:paraId="19B46994" w14:textId="1916DE9B" w:rsidR="001D1A11" w:rsidRPr="0038321F" w:rsidRDefault="001D1A11" w:rsidP="00953AC3">
      <w:pPr>
        <w:ind w:left="720"/>
      </w:pPr>
      <w:r w:rsidRPr="0038321F">
        <w:t xml:space="preserve">This sample size also provides sufficient power for testing between groups within the sample. The following figure is a power chart that shows sample sizes and the corresponding effect size detected with power of 90%, Type I probability of 5% and accounting for the finite population. </w:t>
      </w:r>
      <w:r w:rsidR="006D0554" w:rsidRPr="0038321F">
        <w:t xml:space="preserve">Both the </w:t>
      </w:r>
      <w:r w:rsidRPr="0038321F">
        <w:t xml:space="preserve">community pharmacist group </w:t>
      </w:r>
      <w:r w:rsidR="00667DBA" w:rsidRPr="0038321F">
        <w:t xml:space="preserve">and the </w:t>
      </w:r>
      <w:r w:rsidR="007475E5" w:rsidRPr="0038321F">
        <w:t>group practice provider group</w:t>
      </w:r>
      <w:r w:rsidR="00667DBA" w:rsidRPr="0038321F">
        <w:t xml:space="preserve">, </w:t>
      </w:r>
      <w:r w:rsidR="00D22734" w:rsidRPr="0038321F">
        <w:t xml:space="preserve">each </w:t>
      </w:r>
      <w:r w:rsidRPr="0038321F">
        <w:t>with sample size of 600</w:t>
      </w:r>
      <w:r w:rsidR="00667DBA" w:rsidRPr="0038321F">
        <w:t>,</w:t>
      </w:r>
      <w:r w:rsidRPr="0038321F">
        <w:t xml:space="preserve"> achieve an effect size of under 0.15 In other words, the sample size will </w:t>
      </w:r>
      <w:r w:rsidR="00D22734" w:rsidRPr="0038321F">
        <w:t xml:space="preserve">allow for the detection of </w:t>
      </w:r>
      <w:r w:rsidRPr="0038321F">
        <w:t>medium to smaller size differences between groups.</w:t>
      </w:r>
    </w:p>
    <w:p w14:paraId="394312C1" w14:textId="44379AC5" w:rsidR="00ED3D62" w:rsidRPr="0038321F" w:rsidRDefault="00ED3D62" w:rsidP="00ED3D62">
      <w:pPr>
        <w:pStyle w:val="Caption"/>
      </w:pPr>
      <w:r w:rsidRPr="0038321F">
        <w:t xml:space="preserve">Figure </w:t>
      </w:r>
      <w:r w:rsidR="00FC5E37">
        <w:fldChar w:fldCharType="begin"/>
      </w:r>
      <w:r w:rsidR="00FC5E37">
        <w:instrText xml:space="preserve"> SEQ Figure \* ARABIC </w:instrText>
      </w:r>
      <w:r w:rsidR="00FC5E37">
        <w:fldChar w:fldCharType="separate"/>
      </w:r>
      <w:r w:rsidR="00D62ECE">
        <w:rPr>
          <w:noProof/>
        </w:rPr>
        <w:t>1</w:t>
      </w:r>
      <w:r w:rsidR="00FC5E37">
        <w:rPr>
          <w:noProof/>
        </w:rPr>
        <w:fldChar w:fldCharType="end"/>
      </w:r>
      <w:r w:rsidRPr="0038321F">
        <w:t>. Sample Size and Effect Size</w:t>
      </w:r>
    </w:p>
    <w:p w14:paraId="5D335499" w14:textId="243555E9" w:rsidR="00ED3D62" w:rsidRPr="0038321F" w:rsidRDefault="0024362B" w:rsidP="00D62ECE">
      <w:pPr>
        <w:jc w:val="center"/>
      </w:pPr>
      <w:r w:rsidRPr="0038321F">
        <w:rPr>
          <w:noProof/>
        </w:rPr>
        <w:drawing>
          <wp:inline distT="0" distB="0" distL="0" distR="0" wp14:anchorId="3CBEB2D2" wp14:editId="2C8F2A67">
            <wp:extent cx="5436443" cy="2979868"/>
            <wp:effectExtent l="0" t="0" r="0" b="0"/>
            <wp:docPr id="2" name="Picture 2" descr="Line chart showing decreasing effect size with increasing sample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ar.Pedraza\Desktop\kjlkjl.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4875" cy="2995452"/>
                    </a:xfrm>
                    <a:prstGeom prst="rect">
                      <a:avLst/>
                    </a:prstGeom>
                    <a:noFill/>
                    <a:ln>
                      <a:noFill/>
                    </a:ln>
                  </pic:spPr>
                </pic:pic>
              </a:graphicData>
            </a:graphic>
          </wp:inline>
        </w:drawing>
      </w:r>
    </w:p>
    <w:p w14:paraId="15414D4C" w14:textId="77777777" w:rsidR="0005704C" w:rsidRPr="0038321F" w:rsidRDefault="0005704C" w:rsidP="00D74FF4">
      <w:pPr>
        <w:pStyle w:val="Heading3"/>
      </w:pPr>
      <w:r w:rsidRPr="0038321F">
        <w:t>Unusual problems requiring specialized sampling procedures</w:t>
      </w:r>
    </w:p>
    <w:p w14:paraId="053F1CAD" w14:textId="77777777" w:rsidR="0005704C" w:rsidRPr="0038321F" w:rsidRDefault="0005704C" w:rsidP="0005704C">
      <w:pPr>
        <w:ind w:left="720"/>
      </w:pPr>
      <w:r w:rsidRPr="0038321F">
        <w:t xml:space="preserve">We do not foresee any unusual problems that require specialized sampling procedures. </w:t>
      </w:r>
    </w:p>
    <w:p w14:paraId="613BD7F0" w14:textId="77777777" w:rsidR="0005704C" w:rsidRPr="0038321F" w:rsidRDefault="0005704C" w:rsidP="00D74FF4">
      <w:pPr>
        <w:pStyle w:val="Heading3"/>
      </w:pPr>
      <w:r w:rsidRPr="0038321F">
        <w:t>Any use of periodic (less frequent than annual) data collection cycles to reduce burden</w:t>
      </w:r>
    </w:p>
    <w:p w14:paraId="4FD7E9C7" w14:textId="77777777" w:rsidR="0005704C" w:rsidRPr="0038321F" w:rsidRDefault="0005704C" w:rsidP="0005704C">
      <w:pPr>
        <w:ind w:left="720"/>
      </w:pPr>
      <w:r w:rsidRPr="0038321F">
        <w:t xml:space="preserve">The </w:t>
      </w:r>
      <w:r w:rsidR="00C56274" w:rsidRPr="0038321F">
        <w:t>adverse drug events survey</w:t>
      </w:r>
      <w:r w:rsidR="003A6DD7" w:rsidRPr="0038321F">
        <w:t xml:space="preserve"> will </w:t>
      </w:r>
      <w:r w:rsidR="003F3412" w:rsidRPr="0038321F">
        <w:t xml:space="preserve">be conducted </w:t>
      </w:r>
      <w:r w:rsidR="00C97F0C" w:rsidRPr="0038321F">
        <w:t>once</w:t>
      </w:r>
      <w:r w:rsidRPr="0038321F">
        <w:t>.</w:t>
      </w:r>
    </w:p>
    <w:p w14:paraId="29305E19" w14:textId="77777777" w:rsidR="0005704C" w:rsidRPr="0038321F" w:rsidRDefault="0005704C" w:rsidP="00D74FF4">
      <w:pPr>
        <w:pStyle w:val="Heading2"/>
      </w:pPr>
      <w:bookmarkStart w:id="23" w:name="_Toc433627285"/>
      <w:bookmarkStart w:id="24" w:name="_Toc429570406"/>
      <w:bookmarkStart w:id="25" w:name="_Toc410331717"/>
      <w:bookmarkStart w:id="26" w:name="_Toc410331611"/>
      <w:bookmarkStart w:id="27" w:name="_Ref406145797"/>
      <w:r w:rsidRPr="0038321F">
        <w:t>Methods to Maximize Response Rates and Deal with Issues of Non-Response</w:t>
      </w:r>
      <w:bookmarkEnd w:id="23"/>
      <w:bookmarkEnd w:id="24"/>
      <w:bookmarkEnd w:id="25"/>
      <w:bookmarkEnd w:id="26"/>
      <w:bookmarkEnd w:id="27"/>
    </w:p>
    <w:p w14:paraId="3F96A0A6" w14:textId="77777777" w:rsidR="0005704C" w:rsidRPr="0038321F" w:rsidRDefault="0005704C" w:rsidP="00D74FF4">
      <w:pPr>
        <w:pStyle w:val="Heading3"/>
      </w:pPr>
      <w:bookmarkStart w:id="28" w:name="_Toc433627286"/>
      <w:bookmarkStart w:id="29" w:name="_Toc429570407"/>
      <w:bookmarkStart w:id="30" w:name="_Toc410331718"/>
      <w:bookmarkStart w:id="31" w:name="_Toc410331612"/>
      <w:bookmarkStart w:id="32" w:name="_Ref406145782"/>
      <w:r w:rsidRPr="0038321F">
        <w:t>Methods to Maximize Response Rates</w:t>
      </w:r>
      <w:bookmarkEnd w:id="28"/>
      <w:bookmarkEnd w:id="29"/>
      <w:bookmarkEnd w:id="30"/>
      <w:bookmarkEnd w:id="31"/>
      <w:bookmarkEnd w:id="32"/>
    </w:p>
    <w:p w14:paraId="109DE9A8" w14:textId="77777777" w:rsidR="0005704C" w:rsidRPr="0038321F" w:rsidRDefault="0005704C" w:rsidP="00401789">
      <w:pPr>
        <w:ind w:left="720"/>
      </w:pPr>
      <w:r w:rsidRPr="0038321F">
        <w:t xml:space="preserve">To maximize response rates </w:t>
      </w:r>
      <w:r w:rsidR="003D12C9" w:rsidRPr="0038321F">
        <w:t xml:space="preserve">of </w:t>
      </w:r>
      <w:r w:rsidRPr="0038321F">
        <w:t>the surveys</w:t>
      </w:r>
      <w:r w:rsidR="004312BD" w:rsidRPr="0038321F">
        <w:t xml:space="preserve"> </w:t>
      </w:r>
      <w:r w:rsidRPr="0038321F">
        <w:t>we will employ multiple contacts.</w:t>
      </w:r>
      <w:r w:rsidR="005D1977" w:rsidRPr="0038321F">
        <w:t xml:space="preserve"> Please see Appendix </w:t>
      </w:r>
      <w:r w:rsidR="009C5259" w:rsidRPr="0038321F">
        <w:t xml:space="preserve">B </w:t>
      </w:r>
      <w:r w:rsidR="00242E49" w:rsidRPr="0038321F">
        <w:t xml:space="preserve">and C </w:t>
      </w:r>
      <w:r w:rsidR="005D1977" w:rsidRPr="0038321F">
        <w:t>for a sample of the email</w:t>
      </w:r>
      <w:r w:rsidR="00DB0472" w:rsidRPr="0038321F">
        <w:t>s</w:t>
      </w:r>
      <w:r w:rsidR="005D1977" w:rsidRPr="0038321F">
        <w:t xml:space="preserve"> th</w:t>
      </w:r>
      <w:r w:rsidR="00F641E9" w:rsidRPr="0038321F">
        <w:t xml:space="preserve">at will be sent to </w:t>
      </w:r>
      <w:r w:rsidR="00401789" w:rsidRPr="0038321F">
        <w:t>healthcare providers</w:t>
      </w:r>
      <w:r w:rsidR="00C32F24" w:rsidRPr="0038321F">
        <w:t xml:space="preserve"> inviting them to take the survey</w:t>
      </w:r>
      <w:r w:rsidR="008A66E6" w:rsidRPr="0038321F">
        <w:t xml:space="preserve">. In addition, we will work with CMS to establish advance communication about the study, its purpose, the public policy objectives of the effort, and anticipated timing for the data collection effort. Communications will establish CMS as the sponsor of the study to improve provider confidence in the work. </w:t>
      </w:r>
    </w:p>
    <w:p w14:paraId="15199459" w14:textId="77777777" w:rsidR="004312BD" w:rsidRPr="0038321F" w:rsidRDefault="0005704C" w:rsidP="0005704C">
      <w:pPr>
        <w:ind w:left="720"/>
      </w:pPr>
      <w:r w:rsidRPr="0038321F">
        <w:rPr>
          <w:i/>
          <w:iCs/>
        </w:rPr>
        <w:t>Multiple contacts:</w:t>
      </w:r>
      <w:r w:rsidR="00146A48" w:rsidRPr="0038321F">
        <w:rPr>
          <w:i/>
          <w:iCs/>
        </w:rPr>
        <w:t xml:space="preserve"> </w:t>
      </w:r>
      <w:r w:rsidRPr="0038321F">
        <w:t xml:space="preserve">In this data collection, we plan to follow some of the principles of </w:t>
      </w:r>
      <w:r w:rsidR="009C5259" w:rsidRPr="0038321F">
        <w:t xml:space="preserve">the </w:t>
      </w:r>
      <w:r w:rsidRPr="0038321F">
        <w:t>Dillman Total Design survey method</w:t>
      </w:r>
      <w:r w:rsidRPr="0038321F">
        <w:rPr>
          <w:rStyle w:val="FootnoteReference"/>
          <w:szCs w:val="24"/>
          <w:vertAlign w:val="superscript"/>
        </w:rPr>
        <w:footnoteReference w:id="4"/>
      </w:r>
      <w:r w:rsidRPr="0038321F">
        <w:t xml:space="preserve"> which emphasizes multiple contacts with members of the sample as being one of the most successful techniques to increase response rates. This technique is now considered standard methodology for any survey. </w:t>
      </w:r>
    </w:p>
    <w:p w14:paraId="115CC44C" w14:textId="0540ECBE" w:rsidR="0005704C" w:rsidRPr="0038321F" w:rsidRDefault="0005704C" w:rsidP="0070439A">
      <w:pPr>
        <w:ind w:left="720"/>
      </w:pPr>
      <w:r w:rsidRPr="0038321F">
        <w:t xml:space="preserve">When possible, we will work with </w:t>
      </w:r>
      <w:r w:rsidR="00123A4E" w:rsidRPr="0038321F">
        <w:rPr>
          <w:sz w:val="22"/>
          <w:lang w:eastAsia="zh-TW"/>
        </w:rPr>
        <w:t xml:space="preserve">QIN-QIOs </w:t>
      </w:r>
      <w:r w:rsidRPr="0038321F">
        <w:t>to provide its members with information</w:t>
      </w:r>
      <w:r w:rsidR="00C3273B" w:rsidRPr="0038321F">
        <w:t xml:space="preserve"> and </w:t>
      </w:r>
      <w:r w:rsidRPr="0038321F">
        <w:t xml:space="preserve">notices about the </w:t>
      </w:r>
      <w:r w:rsidR="003D12C9" w:rsidRPr="0038321F">
        <w:t>data collection effort</w:t>
      </w:r>
      <w:r w:rsidRPr="0038321F">
        <w:t>,</w:t>
      </w:r>
      <w:r w:rsidR="003D12C9" w:rsidRPr="0038321F">
        <w:t xml:space="preserve"> </w:t>
      </w:r>
      <w:r w:rsidRPr="0038321F">
        <w:t xml:space="preserve">purpose, and a time frame of when to expect a contact. </w:t>
      </w:r>
      <w:r w:rsidR="00D54D95" w:rsidRPr="0038321F">
        <w:t xml:space="preserve">Also, </w:t>
      </w:r>
      <w:r w:rsidR="0070439A" w:rsidRPr="0038321F">
        <w:t>CMS’s contractor for this survey effort</w:t>
      </w:r>
      <w:r w:rsidR="009C5259" w:rsidRPr="0038321F">
        <w:t>, the Independent Evaluation Center (IEC) for the Quality Improvement Program in the 11</w:t>
      </w:r>
      <w:r w:rsidR="009C5259" w:rsidRPr="0038321F">
        <w:rPr>
          <w:vertAlign w:val="superscript"/>
        </w:rPr>
        <w:t>th</w:t>
      </w:r>
      <w:r w:rsidR="009C5259" w:rsidRPr="0038321F">
        <w:t xml:space="preserve"> Scope of Work,</w:t>
      </w:r>
      <w:r w:rsidR="0070439A" w:rsidRPr="0038321F">
        <w:t xml:space="preserve"> has conducted numerous online surveys using panel sample on a variety of topics that will be leveraged to maximize response rates. </w:t>
      </w:r>
      <w:r w:rsidR="00C32F24" w:rsidRPr="0038321F">
        <w:t xml:space="preserve">The </w:t>
      </w:r>
      <w:r w:rsidR="008A66E6" w:rsidRPr="0038321F">
        <w:t>initial survey invitation</w:t>
      </w:r>
      <w:r w:rsidR="00C32F24" w:rsidRPr="0038321F">
        <w:t xml:space="preserve"> will provide more information on the study </w:t>
      </w:r>
      <w:r w:rsidR="00C3273B" w:rsidRPr="0038321F">
        <w:t xml:space="preserve">to </w:t>
      </w:r>
      <w:r w:rsidR="00C32F24" w:rsidRPr="0038321F">
        <w:t>increase respondent confidence in the validity</w:t>
      </w:r>
      <w:r w:rsidR="00A02752" w:rsidRPr="0038321F">
        <w:t xml:space="preserve"> and the importance of the survey</w:t>
      </w:r>
      <w:r w:rsidR="00C32F24" w:rsidRPr="0038321F">
        <w:t xml:space="preserve"> resulting in higher response rates.</w:t>
      </w:r>
      <w:r w:rsidR="00C32F24" w:rsidRPr="0038321F">
        <w:rPr>
          <w:rStyle w:val="FootnoteReference"/>
          <w:vertAlign w:val="superscript"/>
        </w:rPr>
        <w:footnoteReference w:id="5"/>
      </w:r>
      <w:r w:rsidR="00C32F24" w:rsidRPr="0038321F">
        <w:t xml:space="preserve"> </w:t>
      </w:r>
      <w:r w:rsidRPr="0038321F">
        <w:t xml:space="preserve">Multiple </w:t>
      </w:r>
      <w:r w:rsidR="00C32F24" w:rsidRPr="0038321F">
        <w:t xml:space="preserve">email follow-ups will be </w:t>
      </w:r>
      <w:r w:rsidR="00D54D95" w:rsidRPr="0038321F">
        <w:t xml:space="preserve">employed </w:t>
      </w:r>
      <w:r w:rsidR="00C32F24" w:rsidRPr="0038321F">
        <w:t>following the initial invitation</w:t>
      </w:r>
      <w:r w:rsidR="00D54D95" w:rsidRPr="0038321F">
        <w:t xml:space="preserve"> to take the survey</w:t>
      </w:r>
      <w:r w:rsidR="00C32F24" w:rsidRPr="0038321F">
        <w:t xml:space="preserve">. The </w:t>
      </w:r>
      <w:r w:rsidR="0070439A" w:rsidRPr="0038321F">
        <w:t xml:space="preserve">email invitations will be CMS-sponsored, prominently displaying their logo to increase confidence in the content and importance of the study. </w:t>
      </w:r>
      <w:r w:rsidR="008A66E6" w:rsidRPr="0038321F">
        <w:t xml:space="preserve">Providers will </w:t>
      </w:r>
      <w:r w:rsidR="009C5259" w:rsidRPr="0038321F">
        <w:t xml:space="preserve">also </w:t>
      </w:r>
      <w:r w:rsidR="008A66E6" w:rsidRPr="0038321F">
        <w:t xml:space="preserve">be provided with </w:t>
      </w:r>
      <w:r w:rsidR="00BF4823" w:rsidRPr="0038321F">
        <w:t>an honorarium</w:t>
      </w:r>
      <w:r w:rsidR="00F05FD2" w:rsidRPr="0038321F">
        <w:t xml:space="preserve"> for their time spent on the survey</w:t>
      </w:r>
      <w:r w:rsidR="00C36C38" w:rsidRPr="0038321F">
        <w:t xml:space="preserve"> in keeping with standard practice for the </w:t>
      </w:r>
      <w:r w:rsidR="00B467C3" w:rsidRPr="0038321F">
        <w:t xml:space="preserve">Medscape </w:t>
      </w:r>
      <w:r w:rsidR="00C36C38" w:rsidRPr="0038321F">
        <w:t>panel</w:t>
      </w:r>
      <w:r w:rsidR="00F05FD2" w:rsidRPr="0038321F">
        <w:t xml:space="preserve">. </w:t>
      </w:r>
      <w:r w:rsidR="008A66E6" w:rsidRPr="0038321F">
        <w:t xml:space="preserve"> </w:t>
      </w:r>
    </w:p>
    <w:p w14:paraId="2EE3404C" w14:textId="77777777" w:rsidR="003D12C9" w:rsidRPr="0038321F" w:rsidRDefault="0005704C" w:rsidP="003D12C9">
      <w:pPr>
        <w:pStyle w:val="Heading3"/>
      </w:pPr>
      <w:bookmarkStart w:id="33" w:name="_Toc433627287"/>
      <w:bookmarkStart w:id="34" w:name="_Toc429570408"/>
      <w:bookmarkStart w:id="35" w:name="_Toc410331719"/>
      <w:bookmarkStart w:id="36" w:name="_Toc410331613"/>
      <w:bookmarkStart w:id="37" w:name="_Ref406147819"/>
      <w:r w:rsidRPr="0038321F">
        <w:t>Methods to Deal with Issues of Non-Response</w:t>
      </w:r>
      <w:bookmarkEnd w:id="33"/>
      <w:bookmarkEnd w:id="34"/>
      <w:bookmarkEnd w:id="35"/>
      <w:bookmarkEnd w:id="36"/>
      <w:bookmarkEnd w:id="37"/>
    </w:p>
    <w:p w14:paraId="5F266F49" w14:textId="77777777" w:rsidR="0005704C" w:rsidRPr="0038321F" w:rsidRDefault="0005704C" w:rsidP="0005704C">
      <w:pPr>
        <w:ind w:left="720"/>
      </w:pPr>
      <w:r w:rsidRPr="0038321F">
        <w:t>There are two types of non-response – unit non-response and item non-response. Unit non-response, the failure of a sampled entity to respond, is handled in two ways:</w:t>
      </w:r>
    </w:p>
    <w:p w14:paraId="60882EE4" w14:textId="77777777" w:rsidR="0005704C" w:rsidRPr="0038321F" w:rsidRDefault="0005704C" w:rsidP="0044723A">
      <w:pPr>
        <w:pStyle w:val="ListParagraph"/>
        <w:numPr>
          <w:ilvl w:val="0"/>
          <w:numId w:val="19"/>
        </w:numPr>
        <w:spacing w:before="160" w:after="160"/>
        <w:contextualSpacing w:val="0"/>
      </w:pPr>
      <w:r w:rsidRPr="0038321F">
        <w:rPr>
          <w:i/>
        </w:rPr>
        <w:t>Intensive contact and re</w:t>
      </w:r>
      <w:r w:rsidR="00BD6616" w:rsidRPr="0038321F">
        <w:rPr>
          <w:i/>
        </w:rPr>
        <w:t>-</w:t>
      </w:r>
      <w:r w:rsidRPr="0038321F">
        <w:rPr>
          <w:i/>
        </w:rPr>
        <w:t>contact plan to receive a response from the sampled entity.</w:t>
      </w:r>
      <w:r w:rsidRPr="0038321F">
        <w:t xml:space="preserve"> We will make follow up attempts with each sample entity. If the designated respondent is unavailable after several attempts, we identify a qualified alternative respondent.</w:t>
      </w:r>
    </w:p>
    <w:p w14:paraId="637BC5D4" w14:textId="26C6E49B" w:rsidR="0044723A" w:rsidRPr="0038321F" w:rsidRDefault="0044723A" w:rsidP="0044723A">
      <w:pPr>
        <w:pStyle w:val="ListParagraph"/>
        <w:numPr>
          <w:ilvl w:val="0"/>
          <w:numId w:val="19"/>
        </w:numPr>
        <w:spacing w:before="160" w:after="160"/>
        <w:contextualSpacing w:val="0"/>
      </w:pPr>
      <w:r w:rsidRPr="0038321F">
        <w:rPr>
          <w:i/>
        </w:rPr>
        <w:t>A weighting plan to compensate for nonresponse.</w:t>
      </w:r>
      <w:r w:rsidRPr="0038321F">
        <w:t xml:space="preserve"> The sampling plan calls for a proportionate allocation of the sample. In theory, the sample would be self-weighting. Due to unit non-response, the sample distribution may not be proportionate. Initial weighting will be </w:t>
      </w:r>
      <w:r w:rsidR="00D54D95" w:rsidRPr="0038321F">
        <w:t xml:space="preserve">employed </w:t>
      </w:r>
      <w:r w:rsidRPr="0038321F">
        <w:t xml:space="preserve">to bring the strata back into proportion. There may be key qualities of the sample entities that are related to their propensity to respond. The IEC team will review response rates across information available in the sampling frame to identify qualities and characteristics that differentiate between the propensities to respond. Measures that may be available or used include urban/non-urban, </w:t>
      </w:r>
      <w:r w:rsidR="00FA16E5" w:rsidRPr="0038321F">
        <w:t>provider age, and size of the facility where the individual is practicing</w:t>
      </w:r>
      <w:r w:rsidRPr="0038321F">
        <w:t xml:space="preserve">. If any of these measures indicate a differentiation in the yield rates, they will be included in the weighting plan where we will use methods such as raking ratio adjustment to balance the sample according to these </w:t>
      </w:r>
      <w:r w:rsidR="00DA297D" w:rsidRPr="0038321F">
        <w:t>variables and</w:t>
      </w:r>
      <w:r w:rsidRPr="0038321F">
        <w:t xml:space="preserve"> hold the relative proportion across the QIOs.</w:t>
      </w:r>
    </w:p>
    <w:p w14:paraId="1E615087" w14:textId="77777777" w:rsidR="0005704C" w:rsidRPr="0038321F" w:rsidRDefault="0005704C" w:rsidP="0005704C">
      <w:pPr>
        <w:ind w:left="720"/>
      </w:pPr>
      <w:r w:rsidRPr="0038321F">
        <w:t xml:space="preserve">Item non-response is the event of not providing a response to question either by No Answer, Refusal or </w:t>
      </w:r>
      <w:r w:rsidR="009C5259" w:rsidRPr="0038321F">
        <w:t xml:space="preserve">by </w:t>
      </w:r>
      <w:r w:rsidRPr="0038321F">
        <w:t>responding “Don’t Know.” In this study, we consider item nonresponse to be substantial if the missing rate is 30% or more for any given survey item or the missing item rate is greater than 70% for any single questionnaire. Item nonresponse will be handled in two different ways:</w:t>
      </w:r>
    </w:p>
    <w:p w14:paraId="165AFDD9" w14:textId="77777777" w:rsidR="0044723A" w:rsidRPr="0038321F" w:rsidRDefault="0044723A" w:rsidP="0044723A">
      <w:pPr>
        <w:pStyle w:val="ListParagraph"/>
        <w:numPr>
          <w:ilvl w:val="0"/>
          <w:numId w:val="21"/>
        </w:numPr>
        <w:spacing w:before="160" w:after="160"/>
        <w:contextualSpacing w:val="0"/>
      </w:pPr>
      <w:r w:rsidRPr="0038321F">
        <w:rPr>
          <w:i/>
        </w:rPr>
        <w:t>Re-contact of sample entity</w:t>
      </w:r>
      <w:r w:rsidRPr="0038321F">
        <w:t xml:space="preserve">. In the case of item nonresponse for a specific question, we will re-contact the sample entity to ask for clarification and completion of the question. </w:t>
      </w:r>
    </w:p>
    <w:p w14:paraId="3BC92727" w14:textId="373CCEE6" w:rsidR="0044723A" w:rsidRPr="0038321F" w:rsidRDefault="0044723A" w:rsidP="0044723A">
      <w:pPr>
        <w:pStyle w:val="ListParagraph"/>
        <w:numPr>
          <w:ilvl w:val="0"/>
          <w:numId w:val="21"/>
        </w:numPr>
        <w:spacing w:before="160" w:after="160"/>
        <w:contextualSpacing w:val="0"/>
      </w:pPr>
      <w:r w:rsidRPr="0038321F">
        <w:rPr>
          <w:i/>
        </w:rPr>
        <w:t>Imputation</w:t>
      </w:r>
      <w:r w:rsidRPr="0038321F">
        <w:t xml:space="preserve">. We propose to use imputation sparingly and only for interval scaled questions. We will impute the missing value using a general linear model capturing the relationship between </w:t>
      </w:r>
      <w:r w:rsidR="008A66E6" w:rsidRPr="0038321F">
        <w:t xml:space="preserve">providers like age, provider type, setting, </w:t>
      </w:r>
      <w:r w:rsidR="00601C39" w:rsidRPr="0038321F">
        <w:t xml:space="preserve">practice </w:t>
      </w:r>
      <w:r w:rsidR="008A66E6" w:rsidRPr="0038321F">
        <w:t xml:space="preserve">size, </w:t>
      </w:r>
      <w:r w:rsidRPr="0038321F">
        <w:t>urban/non-urban splits, etc. to create a prediction model. The predicted value for the missing cases could be included in the analysis.</w:t>
      </w:r>
    </w:p>
    <w:p w14:paraId="2EEFDB49" w14:textId="77777777" w:rsidR="0005704C" w:rsidRPr="0038321F" w:rsidRDefault="0005704C" w:rsidP="00D74FF4">
      <w:pPr>
        <w:pStyle w:val="Heading3"/>
      </w:pPr>
      <w:bookmarkStart w:id="38" w:name="_Toc433627289"/>
      <w:bookmarkStart w:id="39" w:name="_Toc429570410"/>
      <w:bookmarkStart w:id="40" w:name="_Toc410331722"/>
      <w:bookmarkStart w:id="41" w:name="_Toc410331616"/>
      <w:r w:rsidRPr="0038321F">
        <w:t>Generalizing to the Universe Studied</w:t>
      </w:r>
      <w:bookmarkEnd w:id="38"/>
      <w:bookmarkEnd w:id="39"/>
      <w:bookmarkEnd w:id="40"/>
      <w:bookmarkEnd w:id="41"/>
    </w:p>
    <w:p w14:paraId="42BC4A60" w14:textId="77777777" w:rsidR="00A02752" w:rsidRPr="0038321F" w:rsidRDefault="00A02752" w:rsidP="0005704C">
      <w:pPr>
        <w:ind w:left="720"/>
      </w:pPr>
      <w:r w:rsidRPr="0038321F">
        <w:t>The Medscape panel represe</w:t>
      </w:r>
      <w:r w:rsidR="00A1576D" w:rsidRPr="0038321F">
        <w:t>nts a sizable proportion of healthcare providers</w:t>
      </w:r>
      <w:r w:rsidRPr="0038321F">
        <w:t xml:space="preserve">. We will use pre-collected panel information and data collected from surveys to develop </w:t>
      </w:r>
      <w:r w:rsidR="00A1576D" w:rsidRPr="0038321F">
        <w:t xml:space="preserve">weights that will make the data more representative of the universe of healthcare providers. The information collected should yield data that is reliable to CMS in informing future decisions on the QIN-QIO program.  </w:t>
      </w:r>
    </w:p>
    <w:p w14:paraId="1A50E7FA" w14:textId="77777777" w:rsidR="0005704C" w:rsidRPr="0038321F" w:rsidRDefault="0005704C" w:rsidP="00EF3135">
      <w:pPr>
        <w:pStyle w:val="Heading2"/>
      </w:pPr>
      <w:bookmarkStart w:id="42" w:name="_Toc429570411"/>
      <w:bookmarkStart w:id="43" w:name="_Toc410331723"/>
      <w:bookmarkStart w:id="44" w:name="_Toc410331617"/>
      <w:bookmarkStart w:id="45" w:name="_Ref406148914"/>
      <w:bookmarkStart w:id="46" w:name="_Toc433627290"/>
      <w:r w:rsidRPr="0038321F">
        <w:t>Test</w:t>
      </w:r>
      <w:r w:rsidR="00854329" w:rsidRPr="0038321F">
        <w:t>s</w:t>
      </w:r>
      <w:r w:rsidRPr="0038321F">
        <w:t xml:space="preserve"> of Procedures or Methods</w:t>
      </w:r>
      <w:bookmarkEnd w:id="42"/>
      <w:bookmarkEnd w:id="43"/>
      <w:bookmarkEnd w:id="44"/>
      <w:bookmarkEnd w:id="45"/>
      <w:r w:rsidRPr="0038321F">
        <w:t xml:space="preserve"> to be Undertaken</w:t>
      </w:r>
      <w:bookmarkEnd w:id="46"/>
    </w:p>
    <w:p w14:paraId="2CE031D8" w14:textId="77777777" w:rsidR="0005704C" w:rsidRPr="0038321F" w:rsidRDefault="0005704C" w:rsidP="00FB72AA">
      <w:pPr>
        <w:ind w:left="360"/>
      </w:pPr>
      <w:r w:rsidRPr="0038321F">
        <w:t>As part of developing the survey instruments</w:t>
      </w:r>
      <w:r w:rsidR="008B0F15" w:rsidRPr="0038321F">
        <w:t xml:space="preserve">, the project team </w:t>
      </w:r>
      <w:r w:rsidR="008A66E6" w:rsidRPr="0038321F">
        <w:t>has conducted</w:t>
      </w:r>
      <w:r w:rsidRPr="0038321F">
        <w:t xml:space="preserve"> internal beta-testing to assess the hour burden per respondent and </w:t>
      </w:r>
      <w:r w:rsidR="009118F9" w:rsidRPr="0038321F">
        <w:t xml:space="preserve">to </w:t>
      </w:r>
      <w:r w:rsidRPr="0038321F">
        <w:t xml:space="preserve">ensure that the questions and responses are readily understandable and skip patterns are logical. </w:t>
      </w:r>
    </w:p>
    <w:p w14:paraId="2FE50502" w14:textId="4C526D4E" w:rsidR="0005704C" w:rsidRPr="0038321F" w:rsidRDefault="0005704C" w:rsidP="00FB72AA">
      <w:pPr>
        <w:ind w:left="360"/>
      </w:pPr>
      <w:r w:rsidRPr="0038321F">
        <w:t xml:space="preserve">Additionally, we </w:t>
      </w:r>
      <w:r w:rsidR="00601C39" w:rsidRPr="0038321F">
        <w:t>have conducted</w:t>
      </w:r>
      <w:r w:rsidR="00EF7B7D" w:rsidRPr="0038321F">
        <w:t xml:space="preserve"> cognitive interviews</w:t>
      </w:r>
      <w:r w:rsidRPr="0038321F">
        <w:t xml:space="preserve"> of the surveys</w:t>
      </w:r>
      <w:r w:rsidR="00EF7B7D" w:rsidRPr="0038321F">
        <w:t xml:space="preserve"> with </w:t>
      </w:r>
      <w:r w:rsidR="00DB6B55" w:rsidRPr="0038321F">
        <w:t xml:space="preserve">the </w:t>
      </w:r>
      <w:r w:rsidR="008B0F15" w:rsidRPr="0038321F">
        <w:t>healthcare providers being targeted for this study</w:t>
      </w:r>
      <w:r w:rsidRPr="0038321F">
        <w:t xml:space="preserve">. </w:t>
      </w:r>
      <w:r w:rsidR="00601C39" w:rsidRPr="0038321F">
        <w:t>Eight c</w:t>
      </w:r>
      <w:r w:rsidR="00C97F0C" w:rsidRPr="0038321F">
        <w:t xml:space="preserve">ognitive interviews </w:t>
      </w:r>
      <w:r w:rsidR="00601C39" w:rsidRPr="0038321F">
        <w:t>have been</w:t>
      </w:r>
      <w:r w:rsidR="00C97F0C" w:rsidRPr="0038321F">
        <w:t xml:space="preserve"> conducted in-person with the recruited respondents</w:t>
      </w:r>
      <w:r w:rsidR="00601C39" w:rsidRPr="0038321F">
        <w:t xml:space="preserve"> (four pharmacists and 4 providers, including those who </w:t>
      </w:r>
      <w:r w:rsidR="00363405" w:rsidRPr="0038321F">
        <w:t>were participating</w:t>
      </w:r>
      <w:r w:rsidR="00601C39" w:rsidRPr="0038321F">
        <w:t xml:space="preserve"> with QIOs and those who weren’t</w:t>
      </w:r>
      <w:r w:rsidR="00363405" w:rsidRPr="0038321F">
        <w:t xml:space="preserve"> participating</w:t>
      </w:r>
      <w:r w:rsidR="00601C39" w:rsidRPr="0038321F">
        <w:t>)</w:t>
      </w:r>
      <w:r w:rsidR="00C97F0C" w:rsidRPr="0038321F">
        <w:t xml:space="preserve">. </w:t>
      </w:r>
      <w:r w:rsidR="00601C39" w:rsidRPr="0038321F">
        <w:t>Participants who did not work with the QIO were recruited through Medscape. Interview participants were</w:t>
      </w:r>
      <w:r w:rsidR="008B0F15" w:rsidRPr="0038321F">
        <w:t xml:space="preserve"> asked to complete the survey online</w:t>
      </w:r>
      <w:r w:rsidR="00C97F0C" w:rsidRPr="0038321F">
        <w:t xml:space="preserve">. This </w:t>
      </w:r>
      <w:r w:rsidR="00601C39" w:rsidRPr="0038321F">
        <w:t xml:space="preserve">was </w:t>
      </w:r>
      <w:r w:rsidR="00C97F0C" w:rsidRPr="0038321F">
        <w:t>followed by an in-depth cognitive interview.</w:t>
      </w:r>
      <w:r w:rsidR="008B0F15" w:rsidRPr="0038321F">
        <w:t xml:space="preserve"> T</w:t>
      </w:r>
      <w:r w:rsidR="00EF7B7D" w:rsidRPr="0038321F">
        <w:t>he cognitive interviews</w:t>
      </w:r>
      <w:r w:rsidR="008B0F15" w:rsidRPr="0038321F">
        <w:t xml:space="preserve"> will solicit</w:t>
      </w:r>
      <w:r w:rsidR="00EF3135" w:rsidRPr="0038321F">
        <w:t xml:space="preserve"> </w:t>
      </w:r>
      <w:r w:rsidRPr="0038321F">
        <w:t xml:space="preserve">feedback </w:t>
      </w:r>
      <w:r w:rsidR="008B0F15" w:rsidRPr="0038321F">
        <w:t xml:space="preserve">from providers </w:t>
      </w:r>
      <w:r w:rsidRPr="0038321F">
        <w:t xml:space="preserve">about possible improvements to the survey and the survey administration process. This pre-testing </w:t>
      </w:r>
      <w:r w:rsidR="00601C39" w:rsidRPr="0038321F">
        <w:t xml:space="preserve">has </w:t>
      </w:r>
      <w:r w:rsidRPr="0038321F">
        <w:t>enable</w:t>
      </w:r>
      <w:r w:rsidR="00601C39" w:rsidRPr="0038321F">
        <w:t>d</w:t>
      </w:r>
      <w:r w:rsidR="008B0F15" w:rsidRPr="0038321F">
        <w:t xml:space="preserve"> </w:t>
      </w:r>
      <w:r w:rsidRPr="0038321F">
        <w:t>the team to assess and correct ambiguities in the survey questions and instruc</w:t>
      </w:r>
      <w:r w:rsidR="008B0F15" w:rsidRPr="0038321F">
        <w:t>tions</w:t>
      </w:r>
      <w:r w:rsidRPr="0038321F">
        <w:t xml:space="preserve">. </w:t>
      </w:r>
      <w:r w:rsidR="008B0F15" w:rsidRPr="0038321F">
        <w:t xml:space="preserve">We </w:t>
      </w:r>
      <w:r w:rsidR="00601C39" w:rsidRPr="0038321F">
        <w:t>have made several</w:t>
      </w:r>
      <w:r w:rsidR="008B0F15" w:rsidRPr="0038321F">
        <w:t xml:space="preserve"> </w:t>
      </w:r>
      <w:r w:rsidRPr="0038321F">
        <w:t xml:space="preserve">changes </w:t>
      </w:r>
      <w:r w:rsidR="00601C39" w:rsidRPr="0038321F">
        <w:t xml:space="preserve">to </w:t>
      </w:r>
      <w:r w:rsidRPr="0038321F">
        <w:t xml:space="preserve">survey content </w:t>
      </w:r>
      <w:r w:rsidR="00601C39" w:rsidRPr="0038321F">
        <w:t>based on this input</w:t>
      </w:r>
      <w:r w:rsidRPr="0038321F">
        <w:t>.</w:t>
      </w:r>
      <w:r w:rsidR="00C97F0C" w:rsidRPr="0038321F">
        <w:t xml:space="preserve"> </w:t>
      </w:r>
    </w:p>
    <w:p w14:paraId="7FFDF9E3" w14:textId="77777777" w:rsidR="0005704C" w:rsidRPr="0038321F" w:rsidRDefault="0005704C" w:rsidP="00D74FF4">
      <w:pPr>
        <w:pStyle w:val="Heading2"/>
      </w:pPr>
      <w:bookmarkStart w:id="47" w:name="_Toc433627291"/>
      <w:bookmarkStart w:id="48" w:name="_Toc410331618"/>
      <w:bookmarkStart w:id="49" w:name="_Toc410331724"/>
      <w:bookmarkStart w:id="50" w:name="_Toc429570412"/>
      <w:r w:rsidRPr="0038321F">
        <w:t xml:space="preserve">Individuals Consulted on Statistical Aspects and Individuals Collecting and/or Analyzing the Data </w:t>
      </w:r>
    </w:p>
    <w:p w14:paraId="4D686357" w14:textId="7C659D0F" w:rsidR="0005704C" w:rsidRPr="0038321F" w:rsidRDefault="00854329" w:rsidP="00D74FF4">
      <w:pPr>
        <w:ind w:left="360"/>
      </w:pPr>
      <w:r w:rsidRPr="0038321F">
        <w:fldChar w:fldCharType="begin"/>
      </w:r>
      <w:r w:rsidRPr="0038321F">
        <w:instrText xml:space="preserve"> REF _Ref435096034 \h  \* MERGEFORMAT </w:instrText>
      </w:r>
      <w:r w:rsidRPr="0038321F">
        <w:fldChar w:fldCharType="separate"/>
      </w:r>
      <w:r w:rsidR="00D62ECE" w:rsidRPr="0038321F">
        <w:t xml:space="preserve">Table </w:t>
      </w:r>
      <w:r w:rsidR="00D62ECE">
        <w:rPr>
          <w:noProof/>
        </w:rPr>
        <w:t>7</w:t>
      </w:r>
      <w:r w:rsidRPr="0038321F">
        <w:fldChar w:fldCharType="end"/>
      </w:r>
      <w:r w:rsidRPr="0038321F">
        <w:t xml:space="preserve"> </w:t>
      </w:r>
      <w:r w:rsidR="0005704C" w:rsidRPr="0038321F">
        <w:t>provides the names and affiliation for those consulted on the statistical aspects of the design and who will collect or analyze the information.</w:t>
      </w:r>
    </w:p>
    <w:p w14:paraId="38B7CD68" w14:textId="7FFC42EE" w:rsidR="0005704C" w:rsidRPr="0038321F" w:rsidRDefault="00FB72AA" w:rsidP="00FB72AA">
      <w:pPr>
        <w:pStyle w:val="Caption"/>
      </w:pPr>
      <w:bookmarkStart w:id="51" w:name="_Ref435096034"/>
      <w:bookmarkEnd w:id="47"/>
      <w:bookmarkEnd w:id="48"/>
      <w:bookmarkEnd w:id="49"/>
      <w:bookmarkEnd w:id="50"/>
      <w:r w:rsidRPr="0038321F">
        <w:t xml:space="preserve">Table </w:t>
      </w:r>
      <w:r w:rsidR="00FC5E37">
        <w:fldChar w:fldCharType="begin"/>
      </w:r>
      <w:r w:rsidR="00FC5E37">
        <w:instrText xml:space="preserve"> SEQ Table \* ARABIC </w:instrText>
      </w:r>
      <w:r w:rsidR="00FC5E37">
        <w:fldChar w:fldCharType="separate"/>
      </w:r>
      <w:r w:rsidR="00D62ECE">
        <w:rPr>
          <w:noProof/>
        </w:rPr>
        <w:t>7</w:t>
      </w:r>
      <w:r w:rsidR="00FC5E37">
        <w:rPr>
          <w:noProof/>
        </w:rPr>
        <w:fldChar w:fldCharType="end"/>
      </w:r>
      <w:bookmarkEnd w:id="51"/>
      <w:r w:rsidR="00596ADC" w:rsidRPr="0038321F">
        <w:t>:</w:t>
      </w:r>
      <w:r w:rsidR="0005704C" w:rsidRPr="0038321F">
        <w:t xml:space="preserve"> Individuals Consulted on Statistical Aspects a</w:t>
      </w:r>
      <w:r w:rsidRPr="0038321F">
        <w:t>nd Performing Data Collection &amp; </w:t>
      </w:r>
      <w:r w:rsidR="0005704C" w:rsidRPr="0038321F">
        <w:t>Analysis</w:t>
      </w:r>
    </w:p>
    <w:tbl>
      <w:tblPr>
        <w:tblW w:w="78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provides Name and Affiliation"/>
      </w:tblPr>
      <w:tblGrid>
        <w:gridCol w:w="3632"/>
        <w:gridCol w:w="4193"/>
      </w:tblGrid>
      <w:tr w:rsidR="0038321F" w:rsidRPr="0038321F" w14:paraId="3A850C9F" w14:textId="77777777" w:rsidTr="001A42C2">
        <w:trPr>
          <w:cantSplit/>
          <w:tblHeader/>
        </w:trPr>
        <w:tc>
          <w:tcPr>
            <w:tcW w:w="3632" w:type="dxa"/>
            <w:shd w:val="clear" w:color="auto" w:fill="D0CECE" w:themeFill="background2" w:themeFillShade="E6"/>
            <w:vAlign w:val="center"/>
            <w:hideMark/>
          </w:tcPr>
          <w:p w14:paraId="7E4FEF96" w14:textId="77777777" w:rsidR="0005704C" w:rsidRPr="0038321F" w:rsidRDefault="0005704C" w:rsidP="00D62ECE">
            <w:pPr>
              <w:keepNext/>
              <w:spacing w:before="40" w:after="40"/>
              <w:rPr>
                <w:rFonts w:asciiTheme="majorHAnsi" w:hAnsiTheme="majorHAnsi" w:cstheme="majorHAnsi"/>
                <w:b/>
                <w:sz w:val="22"/>
              </w:rPr>
            </w:pPr>
            <w:r w:rsidRPr="0038321F">
              <w:rPr>
                <w:rFonts w:asciiTheme="majorHAnsi" w:hAnsiTheme="majorHAnsi" w:cstheme="majorHAnsi"/>
                <w:b/>
                <w:sz w:val="22"/>
              </w:rPr>
              <w:t>Name</w:t>
            </w:r>
          </w:p>
        </w:tc>
        <w:tc>
          <w:tcPr>
            <w:tcW w:w="4193" w:type="dxa"/>
            <w:shd w:val="clear" w:color="auto" w:fill="D0CECE" w:themeFill="background2" w:themeFillShade="E6"/>
            <w:vAlign w:val="center"/>
            <w:hideMark/>
          </w:tcPr>
          <w:p w14:paraId="5BA74168" w14:textId="77777777" w:rsidR="0005704C" w:rsidRPr="0038321F" w:rsidRDefault="0005704C" w:rsidP="00D62ECE">
            <w:pPr>
              <w:keepNext/>
              <w:spacing w:before="40" w:after="40"/>
              <w:rPr>
                <w:rFonts w:asciiTheme="majorHAnsi" w:hAnsiTheme="majorHAnsi" w:cstheme="majorHAnsi"/>
                <w:b/>
                <w:sz w:val="22"/>
              </w:rPr>
            </w:pPr>
            <w:r w:rsidRPr="0038321F">
              <w:rPr>
                <w:rFonts w:asciiTheme="majorHAnsi" w:hAnsiTheme="majorHAnsi" w:cstheme="majorHAnsi"/>
                <w:b/>
                <w:sz w:val="22"/>
              </w:rPr>
              <w:t>Affiliation</w:t>
            </w:r>
          </w:p>
        </w:tc>
      </w:tr>
      <w:tr w:rsidR="0038321F" w:rsidRPr="0038321F" w14:paraId="47AFB2B5" w14:textId="77777777" w:rsidTr="001A42C2">
        <w:trPr>
          <w:cantSplit/>
        </w:trPr>
        <w:tc>
          <w:tcPr>
            <w:tcW w:w="3632" w:type="dxa"/>
            <w:shd w:val="clear" w:color="auto" w:fill="auto"/>
            <w:hideMark/>
          </w:tcPr>
          <w:p w14:paraId="1D420170"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rPr>
              <w:t>Michael Samuhel, PhD</w:t>
            </w:r>
          </w:p>
        </w:tc>
        <w:tc>
          <w:tcPr>
            <w:tcW w:w="4193" w:type="dxa"/>
            <w:shd w:val="clear" w:color="auto" w:fill="auto"/>
            <w:hideMark/>
          </w:tcPr>
          <w:p w14:paraId="083DD8B8"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rPr>
              <w:t>Booz Allen Hamilton</w:t>
            </w:r>
          </w:p>
        </w:tc>
      </w:tr>
      <w:tr w:rsidR="0038321F" w:rsidRPr="0038321F" w14:paraId="3FAD73C6" w14:textId="77777777" w:rsidTr="001A42C2">
        <w:trPr>
          <w:cantSplit/>
        </w:trPr>
        <w:tc>
          <w:tcPr>
            <w:tcW w:w="3632" w:type="dxa"/>
            <w:shd w:val="clear" w:color="auto" w:fill="auto"/>
            <w:hideMark/>
          </w:tcPr>
          <w:p w14:paraId="3A679582"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rPr>
              <w:t>Ping Yu, PhD</w:t>
            </w:r>
          </w:p>
        </w:tc>
        <w:tc>
          <w:tcPr>
            <w:tcW w:w="4193" w:type="dxa"/>
            <w:shd w:val="clear" w:color="auto" w:fill="auto"/>
            <w:hideMark/>
          </w:tcPr>
          <w:p w14:paraId="32DF6834"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rPr>
              <w:t>Booz Allen Hamilton</w:t>
            </w:r>
          </w:p>
        </w:tc>
      </w:tr>
      <w:tr w:rsidR="0038321F" w:rsidRPr="0038321F" w14:paraId="29A8E664" w14:textId="77777777" w:rsidTr="001A42C2">
        <w:trPr>
          <w:cantSplit/>
        </w:trPr>
        <w:tc>
          <w:tcPr>
            <w:tcW w:w="3632" w:type="dxa"/>
            <w:shd w:val="clear" w:color="auto" w:fill="auto"/>
          </w:tcPr>
          <w:p w14:paraId="7C3F4772" w14:textId="77777777" w:rsidR="00CF0792" w:rsidRPr="0038321F" w:rsidRDefault="00CF0792" w:rsidP="00D62ECE">
            <w:pPr>
              <w:spacing w:before="40" w:after="40"/>
              <w:rPr>
                <w:rFonts w:asciiTheme="majorHAnsi" w:hAnsiTheme="majorHAnsi" w:cstheme="majorHAnsi"/>
                <w:sz w:val="22"/>
              </w:rPr>
            </w:pPr>
            <w:r w:rsidRPr="0038321F">
              <w:rPr>
                <w:rFonts w:asciiTheme="majorHAnsi" w:hAnsiTheme="majorHAnsi" w:cstheme="majorHAnsi"/>
                <w:sz w:val="22"/>
              </w:rPr>
              <w:t>Jiaqi Li, PhD</w:t>
            </w:r>
          </w:p>
        </w:tc>
        <w:tc>
          <w:tcPr>
            <w:tcW w:w="4193" w:type="dxa"/>
            <w:shd w:val="clear" w:color="auto" w:fill="auto"/>
          </w:tcPr>
          <w:p w14:paraId="22A4DC6C" w14:textId="77777777" w:rsidR="00CF0792" w:rsidRPr="0038321F" w:rsidRDefault="00CF0792" w:rsidP="00D62ECE">
            <w:pPr>
              <w:spacing w:before="40" w:after="40"/>
              <w:rPr>
                <w:rFonts w:asciiTheme="majorHAnsi" w:hAnsiTheme="majorHAnsi" w:cstheme="majorHAnsi"/>
                <w:sz w:val="22"/>
              </w:rPr>
            </w:pPr>
            <w:r w:rsidRPr="0038321F">
              <w:rPr>
                <w:rFonts w:asciiTheme="majorHAnsi" w:hAnsiTheme="majorHAnsi" w:cstheme="majorHAnsi"/>
                <w:sz w:val="22"/>
              </w:rPr>
              <w:t>Booz Allen Hamilton</w:t>
            </w:r>
          </w:p>
        </w:tc>
      </w:tr>
      <w:tr w:rsidR="0038321F" w:rsidRPr="0038321F" w14:paraId="022C753C" w14:textId="77777777" w:rsidTr="001A42C2">
        <w:trPr>
          <w:cantSplit/>
        </w:trPr>
        <w:tc>
          <w:tcPr>
            <w:tcW w:w="3632" w:type="dxa"/>
            <w:shd w:val="clear" w:color="auto" w:fill="auto"/>
          </w:tcPr>
          <w:p w14:paraId="4F9B44EC"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rPr>
              <w:t>Vonna Drayton, DrPH</w:t>
            </w:r>
          </w:p>
        </w:tc>
        <w:tc>
          <w:tcPr>
            <w:tcW w:w="4193" w:type="dxa"/>
            <w:shd w:val="clear" w:color="auto" w:fill="auto"/>
          </w:tcPr>
          <w:p w14:paraId="12AFED3A"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rPr>
              <w:t>Booz Allen Hamilton</w:t>
            </w:r>
          </w:p>
        </w:tc>
      </w:tr>
      <w:tr w:rsidR="0038321F" w:rsidRPr="0038321F" w14:paraId="3F6E5FE8" w14:textId="77777777" w:rsidTr="001A42C2">
        <w:trPr>
          <w:cantSplit/>
        </w:trPr>
        <w:tc>
          <w:tcPr>
            <w:tcW w:w="3632" w:type="dxa"/>
            <w:shd w:val="clear" w:color="auto" w:fill="auto"/>
          </w:tcPr>
          <w:p w14:paraId="7E9A23E2"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rPr>
              <w:t>Anna Ettinger, PhD</w:t>
            </w:r>
            <w:r w:rsidR="00105641" w:rsidRPr="0038321F">
              <w:rPr>
                <w:rFonts w:asciiTheme="majorHAnsi" w:hAnsiTheme="majorHAnsi" w:cstheme="majorHAnsi"/>
                <w:sz w:val="22"/>
              </w:rPr>
              <w:t>, MSW, MPH</w:t>
            </w:r>
          </w:p>
        </w:tc>
        <w:tc>
          <w:tcPr>
            <w:tcW w:w="4193" w:type="dxa"/>
            <w:shd w:val="clear" w:color="auto" w:fill="auto"/>
          </w:tcPr>
          <w:p w14:paraId="7A5F91EE"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rPr>
              <w:t>Booz Allen Hamilton</w:t>
            </w:r>
          </w:p>
        </w:tc>
      </w:tr>
      <w:tr w:rsidR="0038321F" w:rsidRPr="0038321F" w14:paraId="5A00A21D" w14:textId="77777777" w:rsidTr="001A42C2">
        <w:trPr>
          <w:cantSplit/>
        </w:trPr>
        <w:tc>
          <w:tcPr>
            <w:tcW w:w="3632" w:type="dxa"/>
            <w:shd w:val="clear" w:color="auto" w:fill="auto"/>
            <w:hideMark/>
          </w:tcPr>
          <w:p w14:paraId="08621848"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rPr>
              <w:t>Elyse Levine, PhD</w:t>
            </w:r>
          </w:p>
        </w:tc>
        <w:tc>
          <w:tcPr>
            <w:tcW w:w="4193" w:type="dxa"/>
            <w:shd w:val="clear" w:color="auto" w:fill="auto"/>
            <w:hideMark/>
          </w:tcPr>
          <w:p w14:paraId="364A4332"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rPr>
              <w:t>Booz Allen Hamilton</w:t>
            </w:r>
          </w:p>
        </w:tc>
      </w:tr>
      <w:tr w:rsidR="0038321F" w:rsidRPr="0038321F" w14:paraId="33768BBF" w14:textId="77777777" w:rsidTr="001A42C2">
        <w:trPr>
          <w:cantSplit/>
        </w:trPr>
        <w:tc>
          <w:tcPr>
            <w:tcW w:w="3632" w:type="dxa"/>
            <w:shd w:val="clear" w:color="auto" w:fill="auto"/>
          </w:tcPr>
          <w:p w14:paraId="65582147"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rPr>
              <w:t>Tse Hua, Shih, PhD</w:t>
            </w:r>
          </w:p>
        </w:tc>
        <w:tc>
          <w:tcPr>
            <w:tcW w:w="4193" w:type="dxa"/>
            <w:shd w:val="clear" w:color="auto" w:fill="auto"/>
          </w:tcPr>
          <w:p w14:paraId="01018C78"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rPr>
              <w:t>Booz Allen Hamilton</w:t>
            </w:r>
          </w:p>
        </w:tc>
      </w:tr>
      <w:tr w:rsidR="0038321F" w:rsidRPr="0038321F" w14:paraId="0B6210E4" w14:textId="77777777" w:rsidTr="001A42C2">
        <w:trPr>
          <w:cantSplit/>
        </w:trPr>
        <w:tc>
          <w:tcPr>
            <w:tcW w:w="3632" w:type="dxa"/>
            <w:shd w:val="clear" w:color="auto" w:fill="auto"/>
          </w:tcPr>
          <w:p w14:paraId="65DBE20C"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rPr>
              <w:t>Jia Zhao, PhD</w:t>
            </w:r>
          </w:p>
        </w:tc>
        <w:tc>
          <w:tcPr>
            <w:tcW w:w="4193" w:type="dxa"/>
            <w:shd w:val="clear" w:color="auto" w:fill="auto"/>
          </w:tcPr>
          <w:p w14:paraId="3F7BCC86"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rPr>
              <w:t>Booz Allen Hamilton</w:t>
            </w:r>
          </w:p>
        </w:tc>
      </w:tr>
      <w:tr w:rsidR="0038321F" w:rsidRPr="0038321F" w14:paraId="2744F96F" w14:textId="77777777" w:rsidTr="001A42C2">
        <w:trPr>
          <w:cantSplit/>
        </w:trPr>
        <w:tc>
          <w:tcPr>
            <w:tcW w:w="3632" w:type="dxa"/>
            <w:shd w:val="clear" w:color="auto" w:fill="auto"/>
          </w:tcPr>
          <w:p w14:paraId="4C2EB6FF"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rPr>
              <w:t>Zachary Lewis, MA</w:t>
            </w:r>
          </w:p>
        </w:tc>
        <w:tc>
          <w:tcPr>
            <w:tcW w:w="4193" w:type="dxa"/>
            <w:shd w:val="clear" w:color="auto" w:fill="auto"/>
          </w:tcPr>
          <w:p w14:paraId="372F2902"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lang w:eastAsia="zh-TW"/>
              </w:rPr>
              <w:t>Ipsos</w:t>
            </w:r>
          </w:p>
        </w:tc>
      </w:tr>
      <w:tr w:rsidR="0038321F" w:rsidRPr="0038321F" w14:paraId="41EEEC5D" w14:textId="77777777" w:rsidTr="001A42C2">
        <w:trPr>
          <w:cantSplit/>
        </w:trPr>
        <w:tc>
          <w:tcPr>
            <w:tcW w:w="3632" w:type="dxa"/>
            <w:shd w:val="clear" w:color="auto" w:fill="auto"/>
          </w:tcPr>
          <w:p w14:paraId="1C21EAA6"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rPr>
              <w:t>Omar Pedraza, MPH</w:t>
            </w:r>
          </w:p>
        </w:tc>
        <w:tc>
          <w:tcPr>
            <w:tcW w:w="4193" w:type="dxa"/>
            <w:shd w:val="clear" w:color="auto" w:fill="auto"/>
          </w:tcPr>
          <w:p w14:paraId="5C33952E"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lang w:eastAsia="zh-TW"/>
              </w:rPr>
              <w:t>Ipsos</w:t>
            </w:r>
          </w:p>
        </w:tc>
      </w:tr>
      <w:tr w:rsidR="0038321F" w:rsidRPr="0038321F" w14:paraId="4FAE5407" w14:textId="77777777" w:rsidTr="001A42C2">
        <w:trPr>
          <w:cantSplit/>
        </w:trPr>
        <w:tc>
          <w:tcPr>
            <w:tcW w:w="3632" w:type="dxa"/>
            <w:shd w:val="clear" w:color="auto" w:fill="auto"/>
          </w:tcPr>
          <w:p w14:paraId="05EE7FC9" w14:textId="77777777" w:rsidR="00601C39" w:rsidRPr="0038321F" w:rsidRDefault="00601C39" w:rsidP="00D62ECE">
            <w:pPr>
              <w:spacing w:before="40" w:after="40"/>
              <w:rPr>
                <w:rFonts w:asciiTheme="majorHAnsi" w:hAnsiTheme="majorHAnsi" w:cstheme="majorHAnsi"/>
                <w:sz w:val="22"/>
              </w:rPr>
            </w:pPr>
            <w:r w:rsidRPr="0038321F">
              <w:rPr>
                <w:rFonts w:asciiTheme="majorHAnsi" w:hAnsiTheme="majorHAnsi" w:cstheme="majorHAnsi"/>
                <w:sz w:val="22"/>
              </w:rPr>
              <w:t>Helen Fisun, MPH</w:t>
            </w:r>
          </w:p>
        </w:tc>
        <w:tc>
          <w:tcPr>
            <w:tcW w:w="4193" w:type="dxa"/>
            <w:shd w:val="clear" w:color="auto" w:fill="auto"/>
          </w:tcPr>
          <w:p w14:paraId="29A8E6E3" w14:textId="77777777" w:rsidR="00601C39" w:rsidRPr="0038321F" w:rsidRDefault="00601C39" w:rsidP="00D62ECE">
            <w:pPr>
              <w:spacing w:before="40" w:after="40"/>
              <w:rPr>
                <w:rFonts w:asciiTheme="majorHAnsi" w:hAnsiTheme="majorHAnsi" w:cstheme="majorHAnsi"/>
                <w:sz w:val="22"/>
                <w:lang w:eastAsia="zh-TW"/>
              </w:rPr>
            </w:pPr>
            <w:r w:rsidRPr="0038321F">
              <w:rPr>
                <w:rFonts w:asciiTheme="majorHAnsi" w:hAnsiTheme="majorHAnsi" w:cstheme="majorHAnsi"/>
                <w:sz w:val="22"/>
                <w:lang w:eastAsia="zh-TW"/>
              </w:rPr>
              <w:t>Ipsos</w:t>
            </w:r>
          </w:p>
        </w:tc>
      </w:tr>
      <w:tr w:rsidR="0005704C" w:rsidRPr="0038321F" w14:paraId="68E6C780" w14:textId="77777777" w:rsidTr="001A42C2">
        <w:trPr>
          <w:cantSplit/>
        </w:trPr>
        <w:tc>
          <w:tcPr>
            <w:tcW w:w="3632" w:type="dxa"/>
            <w:shd w:val="clear" w:color="auto" w:fill="auto"/>
          </w:tcPr>
          <w:p w14:paraId="6DDA67E8"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lang w:eastAsia="zh-TW"/>
              </w:rPr>
              <w:t>Alan Roshwalb, PhD</w:t>
            </w:r>
          </w:p>
        </w:tc>
        <w:tc>
          <w:tcPr>
            <w:tcW w:w="4193" w:type="dxa"/>
            <w:shd w:val="clear" w:color="auto" w:fill="auto"/>
          </w:tcPr>
          <w:p w14:paraId="6ED1278A" w14:textId="77777777" w:rsidR="0005704C" w:rsidRPr="0038321F" w:rsidRDefault="0005704C" w:rsidP="00D62ECE">
            <w:pPr>
              <w:spacing w:before="40" w:after="40"/>
              <w:rPr>
                <w:rFonts w:asciiTheme="majorHAnsi" w:hAnsiTheme="majorHAnsi" w:cstheme="majorHAnsi"/>
                <w:sz w:val="22"/>
              </w:rPr>
            </w:pPr>
            <w:r w:rsidRPr="0038321F">
              <w:rPr>
                <w:rFonts w:asciiTheme="majorHAnsi" w:hAnsiTheme="majorHAnsi" w:cstheme="majorHAnsi"/>
                <w:sz w:val="22"/>
                <w:lang w:eastAsia="zh-TW"/>
              </w:rPr>
              <w:t>Ipsos</w:t>
            </w:r>
          </w:p>
        </w:tc>
      </w:tr>
    </w:tbl>
    <w:p w14:paraId="788068C4" w14:textId="77777777" w:rsidR="00FB72AA" w:rsidRPr="0038321F" w:rsidRDefault="00FB72AA" w:rsidP="00FB72AA"/>
    <w:p w14:paraId="71401D4A" w14:textId="13F9034D" w:rsidR="0005704C" w:rsidRPr="0038321F" w:rsidRDefault="00854329" w:rsidP="001A42C2">
      <w:pPr>
        <w:keepNext/>
        <w:spacing w:before="60" w:after="60"/>
      </w:pPr>
      <w:r w:rsidRPr="0038321F">
        <w:fldChar w:fldCharType="begin"/>
      </w:r>
      <w:r w:rsidRPr="0038321F">
        <w:instrText xml:space="preserve"> REF _Ref435096043 \h  \* MERGEFORMAT </w:instrText>
      </w:r>
      <w:r w:rsidRPr="0038321F">
        <w:fldChar w:fldCharType="separate"/>
      </w:r>
      <w:r w:rsidR="00D62ECE" w:rsidRPr="0038321F">
        <w:t xml:space="preserve">Table </w:t>
      </w:r>
      <w:r w:rsidR="00D62ECE">
        <w:rPr>
          <w:noProof/>
        </w:rPr>
        <w:t>8</w:t>
      </w:r>
      <w:r w:rsidRPr="0038321F">
        <w:fldChar w:fldCharType="end"/>
      </w:r>
      <w:r w:rsidRPr="0038321F">
        <w:t xml:space="preserve"> </w:t>
      </w:r>
      <w:r w:rsidR="0005704C" w:rsidRPr="0038321F">
        <w:t>shows the name of CMS staff who advised on survey design.</w:t>
      </w:r>
    </w:p>
    <w:p w14:paraId="43B083EA" w14:textId="3BAA9C25" w:rsidR="0005704C" w:rsidRPr="0038321F" w:rsidRDefault="00FB72AA" w:rsidP="00FB72AA">
      <w:pPr>
        <w:pStyle w:val="Caption"/>
      </w:pPr>
      <w:bookmarkStart w:id="52" w:name="_Ref435096043"/>
      <w:r w:rsidRPr="0038321F">
        <w:t xml:space="preserve">Table </w:t>
      </w:r>
      <w:r w:rsidR="00FC5E37">
        <w:fldChar w:fldCharType="begin"/>
      </w:r>
      <w:r w:rsidR="00FC5E37">
        <w:instrText xml:space="preserve"> SEQ Table \* ARABIC </w:instrText>
      </w:r>
      <w:r w:rsidR="00FC5E37">
        <w:fldChar w:fldCharType="separate"/>
      </w:r>
      <w:r w:rsidR="00D62ECE">
        <w:rPr>
          <w:noProof/>
        </w:rPr>
        <w:t>8</w:t>
      </w:r>
      <w:r w:rsidR="00FC5E37">
        <w:rPr>
          <w:noProof/>
        </w:rPr>
        <w:fldChar w:fldCharType="end"/>
      </w:r>
      <w:bookmarkEnd w:id="52"/>
      <w:r w:rsidR="00596ADC" w:rsidRPr="0038321F">
        <w:t>:</w:t>
      </w:r>
      <w:r w:rsidR="0005704C" w:rsidRPr="0038321F">
        <w:t xml:space="preserve"> CMS Staff </w:t>
      </w:r>
      <w:r w:rsidR="00146A48" w:rsidRPr="0038321F">
        <w:t>W</w:t>
      </w:r>
      <w:r w:rsidR="0005704C" w:rsidRPr="0038321F">
        <w:t>ho Advised on Survey Design</w:t>
      </w:r>
    </w:p>
    <w:tbl>
      <w:tblPr>
        <w:tblW w:w="78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provides name and affiliation"/>
      </w:tblPr>
      <w:tblGrid>
        <w:gridCol w:w="3674"/>
        <w:gridCol w:w="4151"/>
      </w:tblGrid>
      <w:tr w:rsidR="0038321F" w:rsidRPr="0038321F" w14:paraId="360429AE" w14:textId="77777777" w:rsidTr="001A42C2">
        <w:trPr>
          <w:cantSplit/>
          <w:tblHeader/>
        </w:trPr>
        <w:tc>
          <w:tcPr>
            <w:tcW w:w="3674" w:type="dxa"/>
            <w:shd w:val="clear" w:color="auto" w:fill="D0CECE" w:themeFill="background2" w:themeFillShade="E6"/>
            <w:vAlign w:val="center"/>
            <w:hideMark/>
          </w:tcPr>
          <w:p w14:paraId="65C16E5D" w14:textId="77777777" w:rsidR="0005704C" w:rsidRPr="0038321F" w:rsidRDefault="0005704C" w:rsidP="00D62ECE">
            <w:pPr>
              <w:keepNext/>
              <w:spacing w:before="40" w:after="40"/>
              <w:rPr>
                <w:b/>
                <w:sz w:val="22"/>
              </w:rPr>
            </w:pPr>
            <w:r w:rsidRPr="0038321F">
              <w:rPr>
                <w:b/>
                <w:sz w:val="22"/>
              </w:rPr>
              <w:t>Name</w:t>
            </w:r>
          </w:p>
        </w:tc>
        <w:tc>
          <w:tcPr>
            <w:tcW w:w="4151" w:type="dxa"/>
            <w:shd w:val="clear" w:color="auto" w:fill="D0CECE" w:themeFill="background2" w:themeFillShade="E6"/>
            <w:vAlign w:val="center"/>
            <w:hideMark/>
          </w:tcPr>
          <w:p w14:paraId="48B3D521" w14:textId="77777777" w:rsidR="0005704C" w:rsidRPr="0038321F" w:rsidRDefault="0005704C" w:rsidP="00D62ECE">
            <w:pPr>
              <w:keepNext/>
              <w:spacing w:before="40" w:after="40"/>
              <w:rPr>
                <w:b/>
                <w:sz w:val="22"/>
              </w:rPr>
            </w:pPr>
            <w:r w:rsidRPr="0038321F">
              <w:rPr>
                <w:b/>
                <w:sz w:val="22"/>
              </w:rPr>
              <w:t>Affiliation</w:t>
            </w:r>
          </w:p>
        </w:tc>
      </w:tr>
      <w:tr w:rsidR="0038321F" w:rsidRPr="0038321F" w14:paraId="7F7E9339" w14:textId="77777777" w:rsidTr="001A42C2">
        <w:trPr>
          <w:cantSplit/>
        </w:trPr>
        <w:tc>
          <w:tcPr>
            <w:tcW w:w="3674" w:type="dxa"/>
            <w:shd w:val="clear" w:color="auto" w:fill="auto"/>
          </w:tcPr>
          <w:p w14:paraId="58BFD81E" w14:textId="77777777" w:rsidR="0005704C" w:rsidRPr="0038321F" w:rsidRDefault="0005704C" w:rsidP="00D62ECE">
            <w:pPr>
              <w:keepNext/>
              <w:spacing w:before="40" w:after="40"/>
              <w:rPr>
                <w:sz w:val="22"/>
              </w:rPr>
            </w:pPr>
            <w:r w:rsidRPr="0038321F">
              <w:rPr>
                <w:sz w:val="22"/>
              </w:rPr>
              <w:t>Nancy Sonnenfeld, PhD</w:t>
            </w:r>
          </w:p>
        </w:tc>
        <w:tc>
          <w:tcPr>
            <w:tcW w:w="4151" w:type="dxa"/>
            <w:shd w:val="clear" w:color="auto" w:fill="auto"/>
          </w:tcPr>
          <w:p w14:paraId="52D2E3EB" w14:textId="77777777" w:rsidR="0005704C" w:rsidRPr="0038321F" w:rsidRDefault="00966109" w:rsidP="00D62ECE">
            <w:pPr>
              <w:keepNext/>
              <w:spacing w:before="40" w:after="40"/>
              <w:rPr>
                <w:sz w:val="22"/>
              </w:rPr>
            </w:pPr>
            <w:r w:rsidRPr="0038321F">
              <w:rPr>
                <w:sz w:val="22"/>
              </w:rPr>
              <w:t>Center for</w:t>
            </w:r>
            <w:r w:rsidR="0005704C" w:rsidRPr="0038321F">
              <w:rPr>
                <w:sz w:val="22"/>
              </w:rPr>
              <w:t xml:space="preserve"> Clinical Standards and Quality</w:t>
            </w:r>
          </w:p>
        </w:tc>
      </w:tr>
      <w:tr w:rsidR="0038321F" w:rsidRPr="0038321F" w14:paraId="5F670255" w14:textId="77777777" w:rsidTr="001A42C2">
        <w:trPr>
          <w:cantSplit/>
        </w:trPr>
        <w:tc>
          <w:tcPr>
            <w:tcW w:w="3674" w:type="dxa"/>
            <w:shd w:val="clear" w:color="auto" w:fill="auto"/>
          </w:tcPr>
          <w:p w14:paraId="35E2DE47" w14:textId="77777777" w:rsidR="0005704C" w:rsidRPr="0038321F" w:rsidRDefault="0005704C" w:rsidP="00D62ECE">
            <w:pPr>
              <w:keepNext/>
              <w:spacing w:before="40" w:after="40"/>
              <w:rPr>
                <w:sz w:val="22"/>
              </w:rPr>
            </w:pPr>
            <w:r w:rsidRPr="0038321F">
              <w:rPr>
                <w:sz w:val="22"/>
              </w:rPr>
              <w:t>Lawrence LaVoie, PhD</w:t>
            </w:r>
          </w:p>
        </w:tc>
        <w:tc>
          <w:tcPr>
            <w:tcW w:w="4151" w:type="dxa"/>
            <w:shd w:val="clear" w:color="auto" w:fill="auto"/>
          </w:tcPr>
          <w:p w14:paraId="5B762B46" w14:textId="77777777" w:rsidR="0005704C" w:rsidRPr="0038321F" w:rsidRDefault="00966109" w:rsidP="00D62ECE">
            <w:pPr>
              <w:keepNext/>
              <w:spacing w:before="40" w:after="40"/>
              <w:rPr>
                <w:sz w:val="22"/>
              </w:rPr>
            </w:pPr>
            <w:r w:rsidRPr="0038321F">
              <w:rPr>
                <w:sz w:val="22"/>
              </w:rPr>
              <w:t>Center for</w:t>
            </w:r>
            <w:r w:rsidR="0005704C" w:rsidRPr="0038321F">
              <w:rPr>
                <w:sz w:val="22"/>
              </w:rPr>
              <w:t xml:space="preserve"> Clinical Standards and Quality</w:t>
            </w:r>
          </w:p>
        </w:tc>
      </w:tr>
      <w:tr w:rsidR="004A49DE" w:rsidRPr="0038321F" w14:paraId="6D736397" w14:textId="77777777" w:rsidTr="001A42C2">
        <w:trPr>
          <w:cantSplit/>
        </w:trPr>
        <w:tc>
          <w:tcPr>
            <w:tcW w:w="3674" w:type="dxa"/>
            <w:shd w:val="clear" w:color="auto" w:fill="auto"/>
          </w:tcPr>
          <w:p w14:paraId="0DD151EC" w14:textId="77777777" w:rsidR="004A49DE" w:rsidRPr="0038321F" w:rsidRDefault="00CF0792" w:rsidP="00D62ECE">
            <w:pPr>
              <w:spacing w:before="40" w:after="40"/>
              <w:rPr>
                <w:sz w:val="22"/>
              </w:rPr>
            </w:pPr>
            <w:r w:rsidRPr="0038321F">
              <w:rPr>
                <w:sz w:val="22"/>
              </w:rPr>
              <w:t>Anita Thomas</w:t>
            </w:r>
            <w:r w:rsidR="004A49DE" w:rsidRPr="0038321F">
              <w:rPr>
                <w:sz w:val="22"/>
              </w:rPr>
              <w:t>, PhD</w:t>
            </w:r>
          </w:p>
        </w:tc>
        <w:tc>
          <w:tcPr>
            <w:tcW w:w="4151" w:type="dxa"/>
            <w:shd w:val="clear" w:color="auto" w:fill="auto"/>
          </w:tcPr>
          <w:p w14:paraId="32407273" w14:textId="77777777" w:rsidR="004A49DE" w:rsidRPr="0038321F" w:rsidRDefault="005D1977" w:rsidP="00D62ECE">
            <w:pPr>
              <w:spacing w:before="40" w:after="40"/>
              <w:rPr>
                <w:sz w:val="22"/>
              </w:rPr>
            </w:pPr>
            <w:r w:rsidRPr="0038321F">
              <w:rPr>
                <w:sz w:val="22"/>
              </w:rPr>
              <w:t>Center for Clinical Standards and Quality</w:t>
            </w:r>
          </w:p>
        </w:tc>
      </w:tr>
    </w:tbl>
    <w:p w14:paraId="7EC0926F" w14:textId="77777777" w:rsidR="00A87CDD" w:rsidRPr="0038321F" w:rsidRDefault="00A87CDD" w:rsidP="0005704C"/>
    <w:sectPr w:rsidR="00A87CDD" w:rsidRPr="0038321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533C3" w14:textId="77777777" w:rsidR="00FC5E37" w:rsidRDefault="00FC5E37" w:rsidP="00A87CDD">
      <w:pPr>
        <w:spacing w:after="0"/>
      </w:pPr>
      <w:r>
        <w:separator/>
      </w:r>
    </w:p>
  </w:endnote>
  <w:endnote w:type="continuationSeparator" w:id="0">
    <w:p w14:paraId="540375BE" w14:textId="77777777" w:rsidR="00FC5E37" w:rsidRDefault="00FC5E37" w:rsidP="00A87CDD">
      <w:pPr>
        <w:spacing w:after="0"/>
      </w:pPr>
      <w:r>
        <w:continuationSeparator/>
      </w:r>
    </w:p>
  </w:endnote>
  <w:endnote w:type="continuationNotice" w:id="1">
    <w:p w14:paraId="6D9F327C" w14:textId="77777777" w:rsidR="00FC5E37" w:rsidRDefault="00FC5E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763DF" w14:textId="56D9995B" w:rsidR="00CB0F47" w:rsidRDefault="00CB0F47" w:rsidP="00A87CDD">
    <w:pPr>
      <w:pStyle w:val="Header"/>
      <w:jc w:val="center"/>
    </w:pPr>
    <w:r>
      <w:fldChar w:fldCharType="begin"/>
    </w:r>
    <w:r>
      <w:instrText xml:space="preserve"> PAGE   \* MERGEFORMAT </w:instrText>
    </w:r>
    <w:r>
      <w:fldChar w:fldCharType="separate"/>
    </w:r>
    <w:r w:rsidR="00DF0F8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5E256" w14:textId="77777777" w:rsidR="00FC5E37" w:rsidRDefault="00FC5E37" w:rsidP="00A87CDD">
      <w:pPr>
        <w:spacing w:after="0"/>
      </w:pPr>
      <w:r>
        <w:separator/>
      </w:r>
    </w:p>
  </w:footnote>
  <w:footnote w:type="continuationSeparator" w:id="0">
    <w:p w14:paraId="0DC3CFFA" w14:textId="77777777" w:rsidR="00FC5E37" w:rsidRDefault="00FC5E37" w:rsidP="00A87CDD">
      <w:pPr>
        <w:spacing w:after="0"/>
      </w:pPr>
      <w:r>
        <w:continuationSeparator/>
      </w:r>
    </w:p>
  </w:footnote>
  <w:footnote w:type="continuationNotice" w:id="1">
    <w:p w14:paraId="3E6E7AA9" w14:textId="77777777" w:rsidR="00FC5E37" w:rsidRDefault="00FC5E37">
      <w:pPr>
        <w:spacing w:after="0"/>
      </w:pPr>
    </w:p>
  </w:footnote>
  <w:footnote w:id="2">
    <w:p w14:paraId="062B4DB4" w14:textId="77777777" w:rsidR="00CB0F47" w:rsidRDefault="00CB0F47" w:rsidP="00D95426">
      <w:pPr>
        <w:pStyle w:val="FootnoteText"/>
      </w:pPr>
      <w:r>
        <w:rPr>
          <w:rStyle w:val="FootnoteReference"/>
        </w:rPr>
        <w:footnoteRef/>
      </w:r>
      <w:r>
        <w:t xml:space="preserve"> There are 14 QIN-QIO regions made up of one or more states (plus Washington, DC, Puerto Rico, and the U.S. Virgin Islands) covered by a QIN-QIO. Subsequent references to “geographic distribution” address these QIN-QIO regions.</w:t>
      </w:r>
    </w:p>
  </w:footnote>
  <w:footnote w:id="3">
    <w:p w14:paraId="0A23FD87" w14:textId="77777777" w:rsidR="00CB0F47" w:rsidRDefault="00CB0F47" w:rsidP="00953AC3">
      <w:pPr>
        <w:pStyle w:val="FootnoteText"/>
      </w:pPr>
      <w:r w:rsidRPr="00DB0472">
        <w:rPr>
          <w:rStyle w:val="FootnoteReference"/>
          <w:vertAlign w:val="superscript"/>
        </w:rPr>
        <w:footnoteRef/>
      </w:r>
      <w:r>
        <w:t xml:space="preserve"> Discussions of provider response rates in online surveys can be found in articles such as </w:t>
      </w:r>
      <w:r w:rsidRPr="00353B45">
        <w:t>Cunningham, Ceara Tess, et al. "Exploring physician specialist response rates to web-based surveys." BMC Medical Research Methodology 15.1 (2015): 32.</w:t>
      </w:r>
      <w:r>
        <w:t xml:space="preserve"> and </w:t>
      </w:r>
      <w:r w:rsidRPr="00C14132">
        <w:t>Blackstock, Oni J., et al. "A cross-sectional online survey of HIV pre-exposure prophylaxis adoption among primary care physicians." Journal of General Internal Medicine 32.1 (2017): 62-70</w:t>
      </w:r>
      <w:r>
        <w:t xml:space="preserve">. </w:t>
      </w:r>
    </w:p>
  </w:footnote>
  <w:footnote w:id="4">
    <w:p w14:paraId="21C1D712" w14:textId="77777777" w:rsidR="00CB0F47" w:rsidRDefault="00CB0F47" w:rsidP="00953AC3">
      <w:pPr>
        <w:pStyle w:val="FootnoteText"/>
      </w:pPr>
      <w:r>
        <w:rPr>
          <w:rStyle w:val="FootnoteReference"/>
        </w:rPr>
        <w:footnoteRef/>
      </w:r>
      <w:r>
        <w:t xml:space="preserve"> </w:t>
      </w:r>
      <w:r>
        <w:rPr>
          <w:shd w:val="clear" w:color="auto" w:fill="FFFFFF"/>
        </w:rPr>
        <w:t>Dillman DA (2000).</w:t>
      </w:r>
      <w:r>
        <w:rPr>
          <w:rStyle w:val="apple-converted-space"/>
          <w:rFonts w:ascii="Arial" w:hAnsi="Arial" w:cs="Arial"/>
          <w:color w:val="222222"/>
          <w:shd w:val="clear" w:color="auto" w:fill="FFFFFF"/>
        </w:rPr>
        <w:t> </w:t>
      </w:r>
      <w:r w:rsidRPr="00FB72AA">
        <w:rPr>
          <w:shd w:val="clear" w:color="auto" w:fill="FFFFFF"/>
        </w:rPr>
        <w:t>Mail and internet surveys: The tailored design method</w:t>
      </w:r>
      <w:r>
        <w:rPr>
          <w:shd w:val="clear" w:color="auto" w:fill="FFFFFF"/>
        </w:rPr>
        <w:t xml:space="preserve"> (Vol. 2). New York: Wiley.</w:t>
      </w:r>
    </w:p>
  </w:footnote>
  <w:footnote w:id="5">
    <w:p w14:paraId="24649BC4" w14:textId="77777777" w:rsidR="00CB0F47" w:rsidRDefault="00CB0F47" w:rsidP="00953AC3">
      <w:pPr>
        <w:pStyle w:val="FootnoteText"/>
      </w:pPr>
      <w:r w:rsidRPr="00953AC3">
        <w:rPr>
          <w:rStyle w:val="FootnoteReference"/>
          <w:vertAlign w:val="superscript"/>
        </w:rPr>
        <w:footnoteRef/>
      </w:r>
      <w:r>
        <w:t xml:space="preserve"> </w:t>
      </w:r>
      <w:r w:rsidRPr="002108D8">
        <w:t xml:space="preserve">Pit SW, Vo T, Pyakurel S. (2014). The effectiveness of recruitment strategies on general practitioner’s survey response rates–a systematic review. </w:t>
      </w:r>
      <w:r w:rsidRPr="002108D8">
        <w:rPr>
          <w:i/>
        </w:rPr>
        <w:t>BMC medical research methodology, 14</w:t>
      </w:r>
      <w:r w:rsidRPr="002108D8">
        <w:t>(1),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BCEF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A010AF"/>
    <w:multiLevelType w:val="hybridMultilevel"/>
    <w:tmpl w:val="C6064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D6194"/>
    <w:multiLevelType w:val="multilevel"/>
    <w:tmpl w:val="DAF48430"/>
    <w:styleLink w:val="Bullets"/>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22430C"/>
    <w:multiLevelType w:val="hybridMultilevel"/>
    <w:tmpl w:val="C88A0D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E0F4E"/>
    <w:multiLevelType w:val="hybridMultilevel"/>
    <w:tmpl w:val="A3FA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D501C"/>
    <w:multiLevelType w:val="hybridMultilevel"/>
    <w:tmpl w:val="DF86DBF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5E5BE0"/>
    <w:multiLevelType w:val="hybridMultilevel"/>
    <w:tmpl w:val="D1184426"/>
    <w:lvl w:ilvl="0" w:tplc="DF38FF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A3570"/>
    <w:multiLevelType w:val="multilevel"/>
    <w:tmpl w:val="3B6CECE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B510189"/>
    <w:multiLevelType w:val="hybridMultilevel"/>
    <w:tmpl w:val="0BF64CFC"/>
    <w:lvl w:ilvl="0" w:tplc="E3665736">
      <w:start w:val="1"/>
      <w:numFmt w:val="decimal"/>
      <w:lvlText w:val="%1."/>
      <w:lvlJc w:val="left"/>
      <w:pPr>
        <w:ind w:left="2160" w:hanging="360"/>
      </w:pPr>
      <w:rPr>
        <w:rFonts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3ED4EA8"/>
    <w:multiLevelType w:val="hybridMultilevel"/>
    <w:tmpl w:val="1344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207486"/>
    <w:multiLevelType w:val="hybridMultilevel"/>
    <w:tmpl w:val="12A00B5A"/>
    <w:lvl w:ilvl="0" w:tplc="04090011">
      <w:start w:val="1"/>
      <w:numFmt w:val="decimal"/>
      <w:lvlText w:val="%1)"/>
      <w:lvlJc w:val="left"/>
      <w:pPr>
        <w:ind w:left="2160" w:hanging="360"/>
      </w:pPr>
      <w:rPr>
        <w:rFonts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63C833E9"/>
    <w:multiLevelType w:val="hybridMultilevel"/>
    <w:tmpl w:val="A99679EE"/>
    <w:lvl w:ilvl="0" w:tplc="90D25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557503E"/>
    <w:multiLevelType w:val="hybridMultilevel"/>
    <w:tmpl w:val="94504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C241A5"/>
    <w:multiLevelType w:val="multilevel"/>
    <w:tmpl w:val="CBD89CDA"/>
    <w:lvl w:ilvl="0">
      <w:start w:val="1"/>
      <w:numFmt w:val="none"/>
      <w:pStyle w:val="Heading1"/>
      <w:lvlText w:val=""/>
      <w:lvlJc w:val="left"/>
      <w:pPr>
        <w:ind w:left="0" w:firstLine="0"/>
      </w:pPr>
      <w:rPr>
        <w:rFonts w:hint="default"/>
      </w:rPr>
    </w:lvl>
    <w:lvl w:ilvl="1">
      <w:start w:val="1"/>
      <w:numFmt w:val="decimal"/>
      <w:pStyle w:val="Heading2"/>
      <w:lvlText w:val="%2."/>
      <w:lvlJc w:val="left"/>
      <w:pPr>
        <w:ind w:left="360" w:hanging="360"/>
      </w:pPr>
      <w:rPr>
        <w:rFonts w:hint="default"/>
      </w:rPr>
    </w:lvl>
    <w:lvl w:ilvl="2">
      <w:start w:val="1"/>
      <w:numFmt w:val="lowerLetter"/>
      <w:pStyle w:val="Heading3"/>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4">
    <w:nsid w:val="7ACB0414"/>
    <w:multiLevelType w:val="hybridMultilevel"/>
    <w:tmpl w:val="2944893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0"/>
  </w:num>
  <w:num w:numId="5">
    <w:abstractNumId w:val="13"/>
  </w:num>
  <w:num w:numId="6">
    <w:abstractNumId w:val="13"/>
    <w:lvlOverride w:ilvl="0">
      <w:lvl w:ilvl="0">
        <w:start w:val="1"/>
        <w:numFmt w:val="none"/>
        <w:pStyle w:val="Heading1"/>
        <w:lvlText w:val=""/>
        <w:lvlJc w:val="left"/>
        <w:pPr>
          <w:ind w:left="0" w:firstLine="0"/>
        </w:pPr>
        <w:rPr>
          <w:rFonts w:hint="default"/>
        </w:rPr>
      </w:lvl>
    </w:lvlOverride>
    <w:lvlOverride w:ilvl="1">
      <w:lvl w:ilvl="1">
        <w:start w:val="1"/>
        <w:numFmt w:val="upperLetter"/>
        <w:pStyle w:val="Heading2"/>
        <w:lvlText w:val="%2."/>
        <w:lvlJc w:val="left"/>
        <w:pPr>
          <w:ind w:left="360" w:hanging="360"/>
        </w:pPr>
        <w:rPr>
          <w:rFonts w:hint="default"/>
        </w:rPr>
      </w:lvl>
    </w:lvlOverride>
    <w:lvlOverride w:ilvl="2">
      <w:lvl w:ilvl="2">
        <w:start w:val="1"/>
        <w:numFmt w:val="decimal"/>
        <w:pStyle w:val="Heading3"/>
        <w:lvlText w:val="%3."/>
        <w:lvlJc w:val="left"/>
        <w:pPr>
          <w:ind w:left="720" w:hanging="36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7">
    <w:abstractNumId w:val="8"/>
  </w:num>
  <w:num w:numId="8">
    <w:abstractNumId w:val="10"/>
  </w:num>
  <w:num w:numId="9">
    <w:abstractNumId w:val="5"/>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1"/>
  </w:num>
  <w:num w:numId="20">
    <w:abstractNumId w:val="7"/>
  </w:num>
  <w:num w:numId="21">
    <w:abstractNumId w:val="6"/>
  </w:num>
  <w:num w:numId="22">
    <w:abstractNumId w:val="3"/>
  </w:num>
  <w:num w:numId="23">
    <w:abstractNumId w:val="14"/>
  </w:num>
  <w:num w:numId="24">
    <w:abstractNumId w:val="1"/>
  </w:num>
  <w:num w:numId="25">
    <w:abstractNumId w:val="13"/>
  </w:num>
  <w:num w:numId="26">
    <w:abstractNumId w:val="12"/>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DD"/>
    <w:rsid w:val="00014FDC"/>
    <w:rsid w:val="00015700"/>
    <w:rsid w:val="00017DE4"/>
    <w:rsid w:val="000308E4"/>
    <w:rsid w:val="0003450F"/>
    <w:rsid w:val="00041370"/>
    <w:rsid w:val="00046B7D"/>
    <w:rsid w:val="00046EAC"/>
    <w:rsid w:val="0005704C"/>
    <w:rsid w:val="00067C0B"/>
    <w:rsid w:val="000713B1"/>
    <w:rsid w:val="000850CD"/>
    <w:rsid w:val="000876A4"/>
    <w:rsid w:val="000A4A85"/>
    <w:rsid w:val="000A537B"/>
    <w:rsid w:val="000D6AF0"/>
    <w:rsid w:val="000D7D29"/>
    <w:rsid w:val="000E6769"/>
    <w:rsid w:val="000E69E0"/>
    <w:rsid w:val="000E7578"/>
    <w:rsid w:val="000F20A4"/>
    <w:rsid w:val="000F30F7"/>
    <w:rsid w:val="000F528B"/>
    <w:rsid w:val="000F7DDC"/>
    <w:rsid w:val="00105641"/>
    <w:rsid w:val="00111808"/>
    <w:rsid w:val="001212C9"/>
    <w:rsid w:val="00121FFF"/>
    <w:rsid w:val="00122380"/>
    <w:rsid w:val="0012372C"/>
    <w:rsid w:val="00123A4E"/>
    <w:rsid w:val="001256A8"/>
    <w:rsid w:val="0013231C"/>
    <w:rsid w:val="00133173"/>
    <w:rsid w:val="001453A2"/>
    <w:rsid w:val="001464D0"/>
    <w:rsid w:val="00146A48"/>
    <w:rsid w:val="0015274D"/>
    <w:rsid w:val="00155590"/>
    <w:rsid w:val="001579B6"/>
    <w:rsid w:val="001665C4"/>
    <w:rsid w:val="001701A6"/>
    <w:rsid w:val="0017199F"/>
    <w:rsid w:val="001810FD"/>
    <w:rsid w:val="00197523"/>
    <w:rsid w:val="00197591"/>
    <w:rsid w:val="001A42C2"/>
    <w:rsid w:val="001A5DA8"/>
    <w:rsid w:val="001B14DA"/>
    <w:rsid w:val="001B3752"/>
    <w:rsid w:val="001C1720"/>
    <w:rsid w:val="001C3C3F"/>
    <w:rsid w:val="001D1A11"/>
    <w:rsid w:val="001E7F2B"/>
    <w:rsid w:val="00201ECB"/>
    <w:rsid w:val="00205273"/>
    <w:rsid w:val="00216ED7"/>
    <w:rsid w:val="00242E49"/>
    <w:rsid w:val="002434BA"/>
    <w:rsid w:val="0024362B"/>
    <w:rsid w:val="002450E6"/>
    <w:rsid w:val="00267507"/>
    <w:rsid w:val="002727E8"/>
    <w:rsid w:val="00293829"/>
    <w:rsid w:val="00295844"/>
    <w:rsid w:val="002958DC"/>
    <w:rsid w:val="00297634"/>
    <w:rsid w:val="002A1633"/>
    <w:rsid w:val="002A2AC9"/>
    <w:rsid w:val="002B1198"/>
    <w:rsid w:val="002B144D"/>
    <w:rsid w:val="002B1E92"/>
    <w:rsid w:val="002B51E2"/>
    <w:rsid w:val="002B5692"/>
    <w:rsid w:val="002D5E35"/>
    <w:rsid w:val="002D67EF"/>
    <w:rsid w:val="002D68E4"/>
    <w:rsid w:val="002E0519"/>
    <w:rsid w:val="002E4E30"/>
    <w:rsid w:val="002E5D04"/>
    <w:rsid w:val="002F3A1A"/>
    <w:rsid w:val="00300834"/>
    <w:rsid w:val="00300EB3"/>
    <w:rsid w:val="003168D3"/>
    <w:rsid w:val="00323580"/>
    <w:rsid w:val="0032385D"/>
    <w:rsid w:val="00330BA6"/>
    <w:rsid w:val="00345C2D"/>
    <w:rsid w:val="00353B45"/>
    <w:rsid w:val="00356B09"/>
    <w:rsid w:val="00363405"/>
    <w:rsid w:val="0037401E"/>
    <w:rsid w:val="00375008"/>
    <w:rsid w:val="003779AB"/>
    <w:rsid w:val="0038321F"/>
    <w:rsid w:val="003838BC"/>
    <w:rsid w:val="00386500"/>
    <w:rsid w:val="0039016E"/>
    <w:rsid w:val="00397325"/>
    <w:rsid w:val="003A4A22"/>
    <w:rsid w:val="003A6DD7"/>
    <w:rsid w:val="003B1F03"/>
    <w:rsid w:val="003B2743"/>
    <w:rsid w:val="003B6953"/>
    <w:rsid w:val="003B7AC3"/>
    <w:rsid w:val="003C0555"/>
    <w:rsid w:val="003C580B"/>
    <w:rsid w:val="003C6B60"/>
    <w:rsid w:val="003C7886"/>
    <w:rsid w:val="003D12C9"/>
    <w:rsid w:val="003D6B4E"/>
    <w:rsid w:val="003E2593"/>
    <w:rsid w:val="003E40EA"/>
    <w:rsid w:val="003F0532"/>
    <w:rsid w:val="003F3184"/>
    <w:rsid w:val="003F3412"/>
    <w:rsid w:val="003F4706"/>
    <w:rsid w:val="003F4927"/>
    <w:rsid w:val="003F56F0"/>
    <w:rsid w:val="00401789"/>
    <w:rsid w:val="00401A56"/>
    <w:rsid w:val="00412E4C"/>
    <w:rsid w:val="00420FD3"/>
    <w:rsid w:val="004218AB"/>
    <w:rsid w:val="004218F1"/>
    <w:rsid w:val="004253C9"/>
    <w:rsid w:val="0042666E"/>
    <w:rsid w:val="00426A40"/>
    <w:rsid w:val="004312BD"/>
    <w:rsid w:val="00442CE9"/>
    <w:rsid w:val="00444E68"/>
    <w:rsid w:val="00445D0D"/>
    <w:rsid w:val="0044723A"/>
    <w:rsid w:val="0046273F"/>
    <w:rsid w:val="00466766"/>
    <w:rsid w:val="00467031"/>
    <w:rsid w:val="00486C29"/>
    <w:rsid w:val="0049426D"/>
    <w:rsid w:val="004A49DE"/>
    <w:rsid w:val="004A551E"/>
    <w:rsid w:val="004A6D18"/>
    <w:rsid w:val="004A7989"/>
    <w:rsid w:val="004B6BE1"/>
    <w:rsid w:val="004C03A6"/>
    <w:rsid w:val="004C76B9"/>
    <w:rsid w:val="004D033B"/>
    <w:rsid w:val="004E1797"/>
    <w:rsid w:val="004F1382"/>
    <w:rsid w:val="004F1432"/>
    <w:rsid w:val="004F3305"/>
    <w:rsid w:val="004F54C6"/>
    <w:rsid w:val="00500B73"/>
    <w:rsid w:val="00505114"/>
    <w:rsid w:val="00506EA9"/>
    <w:rsid w:val="00510679"/>
    <w:rsid w:val="005131DF"/>
    <w:rsid w:val="0052093D"/>
    <w:rsid w:val="00535A5A"/>
    <w:rsid w:val="00537D9B"/>
    <w:rsid w:val="0054039A"/>
    <w:rsid w:val="00560893"/>
    <w:rsid w:val="00562076"/>
    <w:rsid w:val="005652C7"/>
    <w:rsid w:val="00576E86"/>
    <w:rsid w:val="00586020"/>
    <w:rsid w:val="005869C1"/>
    <w:rsid w:val="005869EC"/>
    <w:rsid w:val="00596ADC"/>
    <w:rsid w:val="005973A8"/>
    <w:rsid w:val="005975B3"/>
    <w:rsid w:val="005A208A"/>
    <w:rsid w:val="005B2FBF"/>
    <w:rsid w:val="005C46C6"/>
    <w:rsid w:val="005D0C4B"/>
    <w:rsid w:val="005D1618"/>
    <w:rsid w:val="005D1977"/>
    <w:rsid w:val="005D1C57"/>
    <w:rsid w:val="005E1CF0"/>
    <w:rsid w:val="005E32D8"/>
    <w:rsid w:val="005E4C0C"/>
    <w:rsid w:val="005E58FD"/>
    <w:rsid w:val="005E7068"/>
    <w:rsid w:val="005F1C55"/>
    <w:rsid w:val="00600022"/>
    <w:rsid w:val="00601C39"/>
    <w:rsid w:val="0061516D"/>
    <w:rsid w:val="0062116B"/>
    <w:rsid w:val="00622A5D"/>
    <w:rsid w:val="00625DC9"/>
    <w:rsid w:val="0063194C"/>
    <w:rsid w:val="0063796C"/>
    <w:rsid w:val="0065088C"/>
    <w:rsid w:val="00653AC8"/>
    <w:rsid w:val="0065455F"/>
    <w:rsid w:val="0065781F"/>
    <w:rsid w:val="00667DBA"/>
    <w:rsid w:val="0067004F"/>
    <w:rsid w:val="006708D4"/>
    <w:rsid w:val="006723BC"/>
    <w:rsid w:val="00674F6B"/>
    <w:rsid w:val="00686DFB"/>
    <w:rsid w:val="006915F4"/>
    <w:rsid w:val="00691B1C"/>
    <w:rsid w:val="00697125"/>
    <w:rsid w:val="00697607"/>
    <w:rsid w:val="006A747A"/>
    <w:rsid w:val="006C1968"/>
    <w:rsid w:val="006C3362"/>
    <w:rsid w:val="006C7B7D"/>
    <w:rsid w:val="006D0554"/>
    <w:rsid w:val="006E4371"/>
    <w:rsid w:val="006E6C91"/>
    <w:rsid w:val="006F7573"/>
    <w:rsid w:val="0070439A"/>
    <w:rsid w:val="007067F4"/>
    <w:rsid w:val="007078C0"/>
    <w:rsid w:val="00712143"/>
    <w:rsid w:val="007234CA"/>
    <w:rsid w:val="00742905"/>
    <w:rsid w:val="007475E5"/>
    <w:rsid w:val="00755C4B"/>
    <w:rsid w:val="00767BC7"/>
    <w:rsid w:val="007702C5"/>
    <w:rsid w:val="007805A1"/>
    <w:rsid w:val="00787AC9"/>
    <w:rsid w:val="007900D8"/>
    <w:rsid w:val="00790C1E"/>
    <w:rsid w:val="00791874"/>
    <w:rsid w:val="00792A69"/>
    <w:rsid w:val="007A3BCF"/>
    <w:rsid w:val="007A647D"/>
    <w:rsid w:val="007A75AA"/>
    <w:rsid w:val="007B5958"/>
    <w:rsid w:val="007C160B"/>
    <w:rsid w:val="007C5A51"/>
    <w:rsid w:val="007E0DE5"/>
    <w:rsid w:val="007E59CD"/>
    <w:rsid w:val="007F224F"/>
    <w:rsid w:val="00803F39"/>
    <w:rsid w:val="00815BBA"/>
    <w:rsid w:val="00817B53"/>
    <w:rsid w:val="00821329"/>
    <w:rsid w:val="008238CE"/>
    <w:rsid w:val="008251AD"/>
    <w:rsid w:val="00832660"/>
    <w:rsid w:val="00835349"/>
    <w:rsid w:val="00840BF9"/>
    <w:rsid w:val="008414C5"/>
    <w:rsid w:val="008417AE"/>
    <w:rsid w:val="00852BC8"/>
    <w:rsid w:val="00854329"/>
    <w:rsid w:val="008548D3"/>
    <w:rsid w:val="00875A0A"/>
    <w:rsid w:val="00880D33"/>
    <w:rsid w:val="008A552C"/>
    <w:rsid w:val="008A66E6"/>
    <w:rsid w:val="008A798F"/>
    <w:rsid w:val="008B0F15"/>
    <w:rsid w:val="008B4E6F"/>
    <w:rsid w:val="008E0AB5"/>
    <w:rsid w:val="008E65F9"/>
    <w:rsid w:val="008F4D3B"/>
    <w:rsid w:val="008F562A"/>
    <w:rsid w:val="008F5DAB"/>
    <w:rsid w:val="00902910"/>
    <w:rsid w:val="009118F9"/>
    <w:rsid w:val="00911C71"/>
    <w:rsid w:val="0092183C"/>
    <w:rsid w:val="00923809"/>
    <w:rsid w:val="00923AED"/>
    <w:rsid w:val="00924D3B"/>
    <w:rsid w:val="0093177B"/>
    <w:rsid w:val="00937F47"/>
    <w:rsid w:val="00940488"/>
    <w:rsid w:val="00942FBF"/>
    <w:rsid w:val="00945A18"/>
    <w:rsid w:val="00946234"/>
    <w:rsid w:val="00946960"/>
    <w:rsid w:val="00953AC3"/>
    <w:rsid w:val="00966109"/>
    <w:rsid w:val="00971070"/>
    <w:rsid w:val="00984CEF"/>
    <w:rsid w:val="00985A0E"/>
    <w:rsid w:val="00992595"/>
    <w:rsid w:val="00992E5F"/>
    <w:rsid w:val="009A61A2"/>
    <w:rsid w:val="009B09A7"/>
    <w:rsid w:val="009C5259"/>
    <w:rsid w:val="009C7FB2"/>
    <w:rsid w:val="009D026F"/>
    <w:rsid w:val="009D0BE7"/>
    <w:rsid w:val="009D0F69"/>
    <w:rsid w:val="009D51CA"/>
    <w:rsid w:val="009E4369"/>
    <w:rsid w:val="00A02752"/>
    <w:rsid w:val="00A050AD"/>
    <w:rsid w:val="00A0567C"/>
    <w:rsid w:val="00A05BCE"/>
    <w:rsid w:val="00A102AB"/>
    <w:rsid w:val="00A1502A"/>
    <w:rsid w:val="00A15395"/>
    <w:rsid w:val="00A1576D"/>
    <w:rsid w:val="00A21660"/>
    <w:rsid w:val="00A22901"/>
    <w:rsid w:val="00A43D6B"/>
    <w:rsid w:val="00A61E0C"/>
    <w:rsid w:val="00A62EA6"/>
    <w:rsid w:val="00A648B6"/>
    <w:rsid w:val="00A65A39"/>
    <w:rsid w:val="00A741CE"/>
    <w:rsid w:val="00A74DE7"/>
    <w:rsid w:val="00A765AC"/>
    <w:rsid w:val="00A77FDC"/>
    <w:rsid w:val="00A806F0"/>
    <w:rsid w:val="00A87CDD"/>
    <w:rsid w:val="00A94B3B"/>
    <w:rsid w:val="00A97777"/>
    <w:rsid w:val="00AA104B"/>
    <w:rsid w:val="00AA6C44"/>
    <w:rsid w:val="00AA6FD7"/>
    <w:rsid w:val="00AA7E52"/>
    <w:rsid w:val="00AB29D0"/>
    <w:rsid w:val="00AB33ED"/>
    <w:rsid w:val="00AC3670"/>
    <w:rsid w:val="00AD05F6"/>
    <w:rsid w:val="00AD1C7C"/>
    <w:rsid w:val="00AD36B7"/>
    <w:rsid w:val="00AD44B3"/>
    <w:rsid w:val="00AD6659"/>
    <w:rsid w:val="00AE2BD7"/>
    <w:rsid w:val="00AE521F"/>
    <w:rsid w:val="00AF689C"/>
    <w:rsid w:val="00B027BB"/>
    <w:rsid w:val="00B05BEE"/>
    <w:rsid w:val="00B11C4B"/>
    <w:rsid w:val="00B17492"/>
    <w:rsid w:val="00B23DE8"/>
    <w:rsid w:val="00B30FFA"/>
    <w:rsid w:val="00B43163"/>
    <w:rsid w:val="00B467C3"/>
    <w:rsid w:val="00B4704C"/>
    <w:rsid w:val="00B6135A"/>
    <w:rsid w:val="00B640B9"/>
    <w:rsid w:val="00B651A3"/>
    <w:rsid w:val="00B82944"/>
    <w:rsid w:val="00BB04B4"/>
    <w:rsid w:val="00BB2670"/>
    <w:rsid w:val="00BC5499"/>
    <w:rsid w:val="00BC619D"/>
    <w:rsid w:val="00BD2933"/>
    <w:rsid w:val="00BD6616"/>
    <w:rsid w:val="00BE019D"/>
    <w:rsid w:val="00BE19DF"/>
    <w:rsid w:val="00BF3DAF"/>
    <w:rsid w:val="00BF4823"/>
    <w:rsid w:val="00C01A6C"/>
    <w:rsid w:val="00C03D04"/>
    <w:rsid w:val="00C12C08"/>
    <w:rsid w:val="00C136C6"/>
    <w:rsid w:val="00C14132"/>
    <w:rsid w:val="00C142A6"/>
    <w:rsid w:val="00C14FFA"/>
    <w:rsid w:val="00C21D64"/>
    <w:rsid w:val="00C22097"/>
    <w:rsid w:val="00C30FC1"/>
    <w:rsid w:val="00C3273B"/>
    <w:rsid w:val="00C32F24"/>
    <w:rsid w:val="00C36C38"/>
    <w:rsid w:val="00C371C6"/>
    <w:rsid w:val="00C432CE"/>
    <w:rsid w:val="00C50BE9"/>
    <w:rsid w:val="00C50FD6"/>
    <w:rsid w:val="00C51137"/>
    <w:rsid w:val="00C56274"/>
    <w:rsid w:val="00C65509"/>
    <w:rsid w:val="00C6575A"/>
    <w:rsid w:val="00C65B9B"/>
    <w:rsid w:val="00C67309"/>
    <w:rsid w:val="00C67D62"/>
    <w:rsid w:val="00C7594E"/>
    <w:rsid w:val="00C95E7E"/>
    <w:rsid w:val="00C97F0C"/>
    <w:rsid w:val="00CA0118"/>
    <w:rsid w:val="00CB0F47"/>
    <w:rsid w:val="00CD6405"/>
    <w:rsid w:val="00CD67D4"/>
    <w:rsid w:val="00CF0792"/>
    <w:rsid w:val="00CF2370"/>
    <w:rsid w:val="00CF3012"/>
    <w:rsid w:val="00CF3EE7"/>
    <w:rsid w:val="00CF7AE8"/>
    <w:rsid w:val="00D03341"/>
    <w:rsid w:val="00D0533F"/>
    <w:rsid w:val="00D1640E"/>
    <w:rsid w:val="00D22734"/>
    <w:rsid w:val="00D2352A"/>
    <w:rsid w:val="00D23B3B"/>
    <w:rsid w:val="00D30641"/>
    <w:rsid w:val="00D30CDB"/>
    <w:rsid w:val="00D3126B"/>
    <w:rsid w:val="00D34B21"/>
    <w:rsid w:val="00D35CB6"/>
    <w:rsid w:val="00D537E3"/>
    <w:rsid w:val="00D53ADF"/>
    <w:rsid w:val="00D54D95"/>
    <w:rsid w:val="00D608E1"/>
    <w:rsid w:val="00D62ECE"/>
    <w:rsid w:val="00D66B33"/>
    <w:rsid w:val="00D724B1"/>
    <w:rsid w:val="00D74FF4"/>
    <w:rsid w:val="00D80809"/>
    <w:rsid w:val="00D8443E"/>
    <w:rsid w:val="00D87F61"/>
    <w:rsid w:val="00D95426"/>
    <w:rsid w:val="00D96E15"/>
    <w:rsid w:val="00DA297D"/>
    <w:rsid w:val="00DB0472"/>
    <w:rsid w:val="00DB5BA6"/>
    <w:rsid w:val="00DB6B55"/>
    <w:rsid w:val="00DC162F"/>
    <w:rsid w:val="00DC22FE"/>
    <w:rsid w:val="00DC4944"/>
    <w:rsid w:val="00DF0F8D"/>
    <w:rsid w:val="00DF6F94"/>
    <w:rsid w:val="00E125AF"/>
    <w:rsid w:val="00E1459A"/>
    <w:rsid w:val="00E3078C"/>
    <w:rsid w:val="00E36938"/>
    <w:rsid w:val="00E41B59"/>
    <w:rsid w:val="00E46B74"/>
    <w:rsid w:val="00E5010C"/>
    <w:rsid w:val="00E51ECD"/>
    <w:rsid w:val="00E563E6"/>
    <w:rsid w:val="00E57110"/>
    <w:rsid w:val="00E6468A"/>
    <w:rsid w:val="00E7369B"/>
    <w:rsid w:val="00E76386"/>
    <w:rsid w:val="00E85B69"/>
    <w:rsid w:val="00E97541"/>
    <w:rsid w:val="00EB2CED"/>
    <w:rsid w:val="00EB3CD1"/>
    <w:rsid w:val="00EB5481"/>
    <w:rsid w:val="00EB5A2F"/>
    <w:rsid w:val="00EC7375"/>
    <w:rsid w:val="00ED0A74"/>
    <w:rsid w:val="00ED3D62"/>
    <w:rsid w:val="00EE4E86"/>
    <w:rsid w:val="00EF3135"/>
    <w:rsid w:val="00EF5A25"/>
    <w:rsid w:val="00EF7B7D"/>
    <w:rsid w:val="00F025D4"/>
    <w:rsid w:val="00F05FD2"/>
    <w:rsid w:val="00F07AC4"/>
    <w:rsid w:val="00F12ECD"/>
    <w:rsid w:val="00F22378"/>
    <w:rsid w:val="00F340A0"/>
    <w:rsid w:val="00F36C4E"/>
    <w:rsid w:val="00F41401"/>
    <w:rsid w:val="00F435AC"/>
    <w:rsid w:val="00F441EE"/>
    <w:rsid w:val="00F449A2"/>
    <w:rsid w:val="00F52A18"/>
    <w:rsid w:val="00F536D4"/>
    <w:rsid w:val="00F57A18"/>
    <w:rsid w:val="00F641E9"/>
    <w:rsid w:val="00F81C4F"/>
    <w:rsid w:val="00F84F6F"/>
    <w:rsid w:val="00F85B99"/>
    <w:rsid w:val="00F87D8C"/>
    <w:rsid w:val="00F912B1"/>
    <w:rsid w:val="00FA16E5"/>
    <w:rsid w:val="00FA3C3A"/>
    <w:rsid w:val="00FB30C5"/>
    <w:rsid w:val="00FB72AA"/>
    <w:rsid w:val="00FC5E37"/>
    <w:rsid w:val="00FD1975"/>
    <w:rsid w:val="00FD461A"/>
    <w:rsid w:val="00FE521E"/>
    <w:rsid w:val="00FE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A6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CDD"/>
    <w:pPr>
      <w:spacing w:line="240" w:lineRule="auto"/>
    </w:pPr>
    <w:rPr>
      <w:sz w:val="24"/>
    </w:rPr>
  </w:style>
  <w:style w:type="paragraph" w:styleId="Heading1">
    <w:name w:val="heading 1"/>
    <w:basedOn w:val="Normal"/>
    <w:next w:val="Normal"/>
    <w:link w:val="Heading1Char"/>
    <w:uiPriority w:val="9"/>
    <w:qFormat/>
    <w:rsid w:val="00A87CDD"/>
    <w:pPr>
      <w:keepNext/>
      <w:keepLines/>
      <w:numPr>
        <w:numId w:val="5"/>
      </w:numPr>
      <w:spacing w:before="240" w:after="120"/>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D74FF4"/>
    <w:pPr>
      <w:keepNext/>
      <w:keepLines/>
      <w:numPr>
        <w:ilvl w:val="1"/>
        <w:numId w:val="5"/>
      </w:numPr>
      <w:spacing w:before="240"/>
      <w:outlineLvl w:val="1"/>
    </w:pPr>
    <w:rPr>
      <w:rFonts w:asciiTheme="majorHAnsi" w:eastAsiaTheme="majorEastAsia" w:hAnsiTheme="majorHAnsi" w:cstheme="majorBidi"/>
      <w:szCs w:val="26"/>
      <w:u w:val="single"/>
    </w:rPr>
  </w:style>
  <w:style w:type="paragraph" w:styleId="Heading3">
    <w:name w:val="heading 3"/>
    <w:basedOn w:val="Normal"/>
    <w:next w:val="Normal"/>
    <w:link w:val="Heading3Char"/>
    <w:uiPriority w:val="9"/>
    <w:unhideWhenUsed/>
    <w:qFormat/>
    <w:rsid w:val="00D74FF4"/>
    <w:pPr>
      <w:keepNext/>
      <w:keepLines/>
      <w:numPr>
        <w:ilvl w:val="2"/>
        <w:numId w:val="5"/>
      </w:numPr>
      <w:spacing w:before="16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rsid w:val="00C95E7E"/>
    <w:pPr>
      <w:keepNext/>
      <w:spacing w:before="160"/>
      <w:ind w:left="72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A87CDD"/>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87CDD"/>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87CDD"/>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87CD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7CD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
    <w:name w:val="Bullets"/>
    <w:uiPriority w:val="99"/>
    <w:rsid w:val="003B2743"/>
    <w:pPr>
      <w:numPr>
        <w:numId w:val="1"/>
      </w:numPr>
    </w:pPr>
  </w:style>
  <w:style w:type="paragraph" w:styleId="BodyText">
    <w:name w:val="Body Text"/>
    <w:basedOn w:val="Normal"/>
    <w:link w:val="BodyTextChar"/>
    <w:uiPriority w:val="99"/>
    <w:unhideWhenUsed/>
    <w:rsid w:val="00A87CDD"/>
    <w:pPr>
      <w:spacing w:before="120" w:after="120"/>
    </w:pPr>
  </w:style>
  <w:style w:type="character" w:customStyle="1" w:styleId="BodyTextChar">
    <w:name w:val="Body Text Char"/>
    <w:basedOn w:val="DefaultParagraphFont"/>
    <w:link w:val="BodyText"/>
    <w:uiPriority w:val="99"/>
    <w:rsid w:val="00A87CDD"/>
    <w:rPr>
      <w:sz w:val="24"/>
    </w:rPr>
  </w:style>
  <w:style w:type="character" w:customStyle="1" w:styleId="Heading1Char">
    <w:name w:val="Heading 1 Char"/>
    <w:basedOn w:val="DefaultParagraphFont"/>
    <w:link w:val="Heading1"/>
    <w:uiPriority w:val="9"/>
    <w:rsid w:val="00A87CDD"/>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D74FF4"/>
    <w:rPr>
      <w:rFonts w:asciiTheme="majorHAnsi" w:eastAsiaTheme="majorEastAsia" w:hAnsiTheme="majorHAnsi" w:cstheme="majorBidi"/>
      <w:sz w:val="24"/>
      <w:szCs w:val="26"/>
      <w:u w:val="single"/>
    </w:rPr>
  </w:style>
  <w:style w:type="character" w:styleId="FootnoteReference">
    <w:name w:val="footnote reference"/>
    <w:uiPriority w:val="99"/>
    <w:rsid w:val="00A87CDD"/>
  </w:style>
  <w:style w:type="paragraph" w:styleId="FootnoteText">
    <w:name w:val="footnote text"/>
    <w:basedOn w:val="Normal"/>
    <w:link w:val="FootnoteTextChar"/>
    <w:uiPriority w:val="99"/>
    <w:rsid w:val="00953AC3"/>
    <w:pPr>
      <w:widowControl w:val="0"/>
      <w:autoSpaceDE w:val="0"/>
      <w:autoSpaceDN w:val="0"/>
      <w:adjustRightInd w:val="0"/>
      <w:spacing w:after="60"/>
      <w:ind w:left="187" w:hanging="187"/>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53AC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87CDD"/>
    <w:pPr>
      <w:tabs>
        <w:tab w:val="center" w:pos="4680"/>
        <w:tab w:val="right" w:pos="9360"/>
      </w:tabs>
      <w:spacing w:after="0"/>
    </w:pPr>
  </w:style>
  <w:style w:type="character" w:customStyle="1" w:styleId="HeaderChar">
    <w:name w:val="Header Char"/>
    <w:basedOn w:val="DefaultParagraphFont"/>
    <w:link w:val="Header"/>
    <w:uiPriority w:val="99"/>
    <w:rsid w:val="00A87CDD"/>
    <w:rPr>
      <w:sz w:val="24"/>
    </w:rPr>
  </w:style>
  <w:style w:type="paragraph" w:styleId="Footer">
    <w:name w:val="footer"/>
    <w:basedOn w:val="Normal"/>
    <w:link w:val="FooterChar"/>
    <w:uiPriority w:val="99"/>
    <w:unhideWhenUsed/>
    <w:rsid w:val="00A87CDD"/>
    <w:pPr>
      <w:tabs>
        <w:tab w:val="center" w:pos="4680"/>
        <w:tab w:val="right" w:pos="9360"/>
      </w:tabs>
      <w:spacing w:after="0"/>
    </w:pPr>
  </w:style>
  <w:style w:type="character" w:customStyle="1" w:styleId="FooterChar">
    <w:name w:val="Footer Char"/>
    <w:basedOn w:val="DefaultParagraphFont"/>
    <w:link w:val="Footer"/>
    <w:uiPriority w:val="99"/>
    <w:rsid w:val="00A87CDD"/>
    <w:rPr>
      <w:sz w:val="24"/>
    </w:rPr>
  </w:style>
  <w:style w:type="character" w:customStyle="1" w:styleId="Heading3Char">
    <w:name w:val="Heading 3 Char"/>
    <w:basedOn w:val="DefaultParagraphFont"/>
    <w:link w:val="Heading3"/>
    <w:uiPriority w:val="9"/>
    <w:rsid w:val="00D74FF4"/>
    <w:rPr>
      <w:rFonts w:asciiTheme="majorHAnsi" w:eastAsiaTheme="majorEastAsia" w:hAnsiTheme="majorHAnsi" w:cstheme="majorBidi"/>
      <w:i/>
      <w:sz w:val="24"/>
      <w:szCs w:val="24"/>
    </w:rPr>
  </w:style>
  <w:style w:type="paragraph" w:styleId="Caption">
    <w:name w:val="caption"/>
    <w:basedOn w:val="Normal"/>
    <w:next w:val="Normal"/>
    <w:link w:val="CaptionChar"/>
    <w:uiPriority w:val="35"/>
    <w:unhideWhenUsed/>
    <w:qFormat/>
    <w:rsid w:val="00A87CDD"/>
    <w:pPr>
      <w:keepNext/>
      <w:keepLines/>
      <w:spacing w:before="120" w:after="120"/>
      <w:jc w:val="center"/>
    </w:pPr>
    <w:rPr>
      <w:b/>
      <w:iCs/>
      <w:szCs w:val="18"/>
    </w:rPr>
  </w:style>
  <w:style w:type="table" w:styleId="TableGrid">
    <w:name w:val="Table Grid"/>
    <w:basedOn w:val="TableNormal"/>
    <w:uiPriority w:val="59"/>
    <w:rsid w:val="00A87CDD"/>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87CDD"/>
    <w:pPr>
      <w:spacing w:after="0"/>
      <w:ind w:left="360"/>
      <w:contextualSpacing/>
    </w:pPr>
  </w:style>
  <w:style w:type="paragraph" w:styleId="ListBullet">
    <w:name w:val="List Bullet"/>
    <w:basedOn w:val="Normal"/>
    <w:uiPriority w:val="99"/>
    <w:unhideWhenUsed/>
    <w:rsid w:val="00A87CDD"/>
    <w:pPr>
      <w:numPr>
        <w:numId w:val="4"/>
      </w:numPr>
      <w:spacing w:before="60" w:after="60"/>
    </w:pPr>
  </w:style>
  <w:style w:type="character" w:styleId="CommentReference">
    <w:name w:val="annotation reference"/>
    <w:rsid w:val="00A87CDD"/>
    <w:rPr>
      <w:sz w:val="16"/>
      <w:szCs w:val="16"/>
    </w:rPr>
  </w:style>
  <w:style w:type="paragraph" w:styleId="CommentText">
    <w:name w:val="annotation text"/>
    <w:basedOn w:val="Normal"/>
    <w:link w:val="CommentTextChar"/>
    <w:rsid w:val="00A87CDD"/>
    <w:pPr>
      <w:widowControl w:val="0"/>
      <w:autoSpaceDE w:val="0"/>
      <w:autoSpaceDN w:val="0"/>
      <w:adjustRightInd w:val="0"/>
      <w:spacing w:before="120" w:after="120"/>
    </w:pPr>
    <w:rPr>
      <w:rFonts w:ascii="Times New Roman" w:eastAsia="Times New Roman" w:hAnsi="Times New Roman" w:cs="Times New Roman"/>
      <w:szCs w:val="20"/>
    </w:rPr>
  </w:style>
  <w:style w:type="character" w:customStyle="1" w:styleId="CommentTextChar">
    <w:name w:val="Comment Text Char"/>
    <w:basedOn w:val="DefaultParagraphFont"/>
    <w:link w:val="CommentText"/>
    <w:rsid w:val="00A87CD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87C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CDD"/>
    <w:rPr>
      <w:rFonts w:ascii="Segoe UI" w:hAnsi="Segoe UI" w:cs="Segoe UI"/>
      <w:sz w:val="18"/>
      <w:szCs w:val="18"/>
    </w:rPr>
  </w:style>
  <w:style w:type="character" w:customStyle="1" w:styleId="Heading4Char">
    <w:name w:val="Heading 4 Char"/>
    <w:basedOn w:val="DefaultParagraphFont"/>
    <w:link w:val="Heading4"/>
    <w:uiPriority w:val="9"/>
    <w:rsid w:val="00C95E7E"/>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A87CD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A87CD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A87CD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87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7CDD"/>
    <w:rPr>
      <w:rFonts w:asciiTheme="majorHAnsi" w:eastAsiaTheme="majorEastAsia" w:hAnsiTheme="majorHAnsi" w:cstheme="majorBidi"/>
      <w:i/>
      <w:iCs/>
      <w:color w:val="272727" w:themeColor="text1" w:themeTint="D8"/>
      <w:sz w:val="21"/>
      <w:szCs w:val="21"/>
    </w:rPr>
  </w:style>
  <w:style w:type="paragraph" w:styleId="BodyTextFirstIndent">
    <w:name w:val="Body Text First Indent"/>
    <w:basedOn w:val="BodyText"/>
    <w:link w:val="BodyTextFirstIndentChar"/>
    <w:rsid w:val="0015274D"/>
    <w:pPr>
      <w:widowControl w:val="0"/>
      <w:autoSpaceDE w:val="0"/>
      <w:autoSpaceDN w:val="0"/>
      <w:adjustRightInd w:val="0"/>
      <w:ind w:firstLine="210"/>
    </w:pPr>
    <w:rPr>
      <w:rFonts w:ascii="Times New Roman" w:eastAsia="Times New Roman" w:hAnsi="Times New Roman" w:cs="Times New Roman"/>
      <w:szCs w:val="24"/>
    </w:rPr>
  </w:style>
  <w:style w:type="character" w:customStyle="1" w:styleId="BodyTextFirstIndentChar">
    <w:name w:val="Body Text First Indent Char"/>
    <w:basedOn w:val="BodyTextChar"/>
    <w:link w:val="BodyTextFirstIndent"/>
    <w:rsid w:val="0015274D"/>
    <w:rPr>
      <w:rFonts w:ascii="Times New Roman" w:eastAsia="Times New Roman" w:hAnsi="Times New Roman" w:cs="Times New Roman"/>
      <w:sz w:val="24"/>
      <w:szCs w:val="24"/>
    </w:rPr>
  </w:style>
  <w:style w:type="character" w:customStyle="1" w:styleId="CaptionChar">
    <w:name w:val="Caption Char"/>
    <w:link w:val="Caption"/>
    <w:uiPriority w:val="35"/>
    <w:locked/>
    <w:rsid w:val="0015274D"/>
    <w:rPr>
      <w:b/>
      <w:iCs/>
      <w:sz w:val="24"/>
      <w:szCs w:val="18"/>
    </w:rPr>
  </w:style>
  <w:style w:type="paragraph" w:styleId="CommentSubject">
    <w:name w:val="annotation subject"/>
    <w:basedOn w:val="CommentText"/>
    <w:next w:val="CommentText"/>
    <w:link w:val="CommentSubjectChar"/>
    <w:uiPriority w:val="99"/>
    <w:semiHidden/>
    <w:unhideWhenUsed/>
    <w:rsid w:val="00445D0D"/>
    <w:pPr>
      <w:widowControl/>
      <w:autoSpaceDE/>
      <w:autoSpaceDN/>
      <w:adjustRightInd/>
      <w:spacing w:before="0"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45D0D"/>
    <w:rPr>
      <w:rFonts w:ascii="Times New Roman" w:eastAsia="Times New Roman" w:hAnsi="Times New Roman" w:cs="Times New Roman"/>
      <w:b/>
      <w:bCs/>
      <w:sz w:val="20"/>
      <w:szCs w:val="20"/>
    </w:rPr>
  </w:style>
  <w:style w:type="character" w:customStyle="1" w:styleId="apple-converted-space">
    <w:name w:val="apple-converted-space"/>
    <w:rsid w:val="0005704C"/>
  </w:style>
  <w:style w:type="table" w:customStyle="1" w:styleId="IECTable">
    <w:name w:val="IEC Table"/>
    <w:basedOn w:val="TableNormal"/>
    <w:uiPriority w:val="99"/>
    <w:rsid w:val="00945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Pr>
    <w:trPr>
      <w:cantSplit/>
    </w:trPr>
    <w:tcPr>
      <w:shd w:val="clear" w:color="auto" w:fill="auto"/>
    </w:tcPr>
    <w:tblStylePr w:type="firstRow">
      <w:tblPr/>
      <w:tcPr>
        <w:shd w:val="clear" w:color="auto" w:fill="365F91"/>
      </w:tcPr>
    </w:tblStylePr>
  </w:style>
  <w:style w:type="paragraph" w:customStyle="1" w:styleId="Default">
    <w:name w:val="Default"/>
    <w:rsid w:val="004A49D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71070"/>
    <w:pPr>
      <w:spacing w:after="0" w:line="240" w:lineRule="auto"/>
    </w:pPr>
    <w:rPr>
      <w:sz w:val="24"/>
    </w:rPr>
  </w:style>
  <w:style w:type="paragraph" w:customStyle="1" w:styleId="Hiddenheaderrow">
    <w:name w:val="Hidden header row"/>
    <w:basedOn w:val="NoSpacing"/>
    <w:qFormat/>
    <w:rsid w:val="004218F1"/>
    <w:pPr>
      <w:keepNext/>
      <w:jc w:val="center"/>
    </w:pPr>
    <w:rPr>
      <w:color w:val="FFFFFF" w:themeColor="background1"/>
      <w:sz w:val="2"/>
      <w:szCs w:val="2"/>
    </w:rPr>
  </w:style>
  <w:style w:type="paragraph" w:customStyle="1" w:styleId="Headerrowgraphic">
    <w:name w:val="Header row graphic"/>
    <w:basedOn w:val="NoSpacing"/>
    <w:next w:val="Normal"/>
    <w:qFormat/>
    <w:rsid w:val="004218F1"/>
    <w:pPr>
      <w:keepNext/>
      <w:ind w:left="-14"/>
    </w:pPr>
  </w:style>
  <w:style w:type="character" w:customStyle="1" w:styleId="ListParagraphChar">
    <w:name w:val="List Paragraph Char"/>
    <w:link w:val="ListParagraph"/>
    <w:uiPriority w:val="34"/>
    <w:locked/>
    <w:rsid w:val="007234CA"/>
    <w:rPr>
      <w:sz w:val="24"/>
    </w:rPr>
  </w:style>
  <w:style w:type="paragraph" w:customStyle="1" w:styleId="responses">
    <w:name w:val="responses"/>
    <w:basedOn w:val="Normal"/>
    <w:qFormat/>
    <w:rsid w:val="007234CA"/>
    <w:pPr>
      <w:spacing w:before="200" w:after="200"/>
      <w:ind w:left="720"/>
      <w:contextualSpacing/>
    </w:pPr>
    <w:rPr>
      <w:rFonts w:ascii="Times New Roman" w:hAnsi="Times New Roman" w:cs="Times New Roman"/>
      <w:szCs w:val="24"/>
    </w:rPr>
  </w:style>
  <w:style w:type="paragraph" w:styleId="Revision">
    <w:name w:val="Revision"/>
    <w:hidden/>
    <w:uiPriority w:val="99"/>
    <w:semiHidden/>
    <w:rsid w:val="00EF3135"/>
    <w:pPr>
      <w:spacing w:after="0" w:line="24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CDD"/>
    <w:pPr>
      <w:spacing w:line="240" w:lineRule="auto"/>
    </w:pPr>
    <w:rPr>
      <w:sz w:val="24"/>
    </w:rPr>
  </w:style>
  <w:style w:type="paragraph" w:styleId="Heading1">
    <w:name w:val="heading 1"/>
    <w:basedOn w:val="Normal"/>
    <w:next w:val="Normal"/>
    <w:link w:val="Heading1Char"/>
    <w:uiPriority w:val="9"/>
    <w:qFormat/>
    <w:rsid w:val="00A87CDD"/>
    <w:pPr>
      <w:keepNext/>
      <w:keepLines/>
      <w:numPr>
        <w:numId w:val="5"/>
      </w:numPr>
      <w:spacing w:before="240" w:after="120"/>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D74FF4"/>
    <w:pPr>
      <w:keepNext/>
      <w:keepLines/>
      <w:numPr>
        <w:ilvl w:val="1"/>
        <w:numId w:val="5"/>
      </w:numPr>
      <w:spacing w:before="240"/>
      <w:outlineLvl w:val="1"/>
    </w:pPr>
    <w:rPr>
      <w:rFonts w:asciiTheme="majorHAnsi" w:eastAsiaTheme="majorEastAsia" w:hAnsiTheme="majorHAnsi" w:cstheme="majorBidi"/>
      <w:szCs w:val="26"/>
      <w:u w:val="single"/>
    </w:rPr>
  </w:style>
  <w:style w:type="paragraph" w:styleId="Heading3">
    <w:name w:val="heading 3"/>
    <w:basedOn w:val="Normal"/>
    <w:next w:val="Normal"/>
    <w:link w:val="Heading3Char"/>
    <w:uiPriority w:val="9"/>
    <w:unhideWhenUsed/>
    <w:qFormat/>
    <w:rsid w:val="00D74FF4"/>
    <w:pPr>
      <w:keepNext/>
      <w:keepLines/>
      <w:numPr>
        <w:ilvl w:val="2"/>
        <w:numId w:val="5"/>
      </w:numPr>
      <w:spacing w:before="16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rsid w:val="00C95E7E"/>
    <w:pPr>
      <w:keepNext/>
      <w:spacing w:before="160"/>
      <w:ind w:left="72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A87CDD"/>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87CDD"/>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87CDD"/>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87CD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7CD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
    <w:name w:val="Bullets"/>
    <w:uiPriority w:val="99"/>
    <w:rsid w:val="003B2743"/>
    <w:pPr>
      <w:numPr>
        <w:numId w:val="1"/>
      </w:numPr>
    </w:pPr>
  </w:style>
  <w:style w:type="paragraph" w:styleId="BodyText">
    <w:name w:val="Body Text"/>
    <w:basedOn w:val="Normal"/>
    <w:link w:val="BodyTextChar"/>
    <w:uiPriority w:val="99"/>
    <w:unhideWhenUsed/>
    <w:rsid w:val="00A87CDD"/>
    <w:pPr>
      <w:spacing w:before="120" w:after="120"/>
    </w:pPr>
  </w:style>
  <w:style w:type="character" w:customStyle="1" w:styleId="BodyTextChar">
    <w:name w:val="Body Text Char"/>
    <w:basedOn w:val="DefaultParagraphFont"/>
    <w:link w:val="BodyText"/>
    <w:uiPriority w:val="99"/>
    <w:rsid w:val="00A87CDD"/>
    <w:rPr>
      <w:sz w:val="24"/>
    </w:rPr>
  </w:style>
  <w:style w:type="character" w:customStyle="1" w:styleId="Heading1Char">
    <w:name w:val="Heading 1 Char"/>
    <w:basedOn w:val="DefaultParagraphFont"/>
    <w:link w:val="Heading1"/>
    <w:uiPriority w:val="9"/>
    <w:rsid w:val="00A87CDD"/>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D74FF4"/>
    <w:rPr>
      <w:rFonts w:asciiTheme="majorHAnsi" w:eastAsiaTheme="majorEastAsia" w:hAnsiTheme="majorHAnsi" w:cstheme="majorBidi"/>
      <w:sz w:val="24"/>
      <w:szCs w:val="26"/>
      <w:u w:val="single"/>
    </w:rPr>
  </w:style>
  <w:style w:type="character" w:styleId="FootnoteReference">
    <w:name w:val="footnote reference"/>
    <w:uiPriority w:val="99"/>
    <w:rsid w:val="00A87CDD"/>
  </w:style>
  <w:style w:type="paragraph" w:styleId="FootnoteText">
    <w:name w:val="footnote text"/>
    <w:basedOn w:val="Normal"/>
    <w:link w:val="FootnoteTextChar"/>
    <w:uiPriority w:val="99"/>
    <w:rsid w:val="00953AC3"/>
    <w:pPr>
      <w:widowControl w:val="0"/>
      <w:autoSpaceDE w:val="0"/>
      <w:autoSpaceDN w:val="0"/>
      <w:adjustRightInd w:val="0"/>
      <w:spacing w:after="60"/>
      <w:ind w:left="187" w:hanging="187"/>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53AC3"/>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87CDD"/>
    <w:pPr>
      <w:tabs>
        <w:tab w:val="center" w:pos="4680"/>
        <w:tab w:val="right" w:pos="9360"/>
      </w:tabs>
      <w:spacing w:after="0"/>
    </w:pPr>
  </w:style>
  <w:style w:type="character" w:customStyle="1" w:styleId="HeaderChar">
    <w:name w:val="Header Char"/>
    <w:basedOn w:val="DefaultParagraphFont"/>
    <w:link w:val="Header"/>
    <w:uiPriority w:val="99"/>
    <w:rsid w:val="00A87CDD"/>
    <w:rPr>
      <w:sz w:val="24"/>
    </w:rPr>
  </w:style>
  <w:style w:type="paragraph" w:styleId="Footer">
    <w:name w:val="footer"/>
    <w:basedOn w:val="Normal"/>
    <w:link w:val="FooterChar"/>
    <w:uiPriority w:val="99"/>
    <w:unhideWhenUsed/>
    <w:rsid w:val="00A87CDD"/>
    <w:pPr>
      <w:tabs>
        <w:tab w:val="center" w:pos="4680"/>
        <w:tab w:val="right" w:pos="9360"/>
      </w:tabs>
      <w:spacing w:after="0"/>
    </w:pPr>
  </w:style>
  <w:style w:type="character" w:customStyle="1" w:styleId="FooterChar">
    <w:name w:val="Footer Char"/>
    <w:basedOn w:val="DefaultParagraphFont"/>
    <w:link w:val="Footer"/>
    <w:uiPriority w:val="99"/>
    <w:rsid w:val="00A87CDD"/>
    <w:rPr>
      <w:sz w:val="24"/>
    </w:rPr>
  </w:style>
  <w:style w:type="character" w:customStyle="1" w:styleId="Heading3Char">
    <w:name w:val="Heading 3 Char"/>
    <w:basedOn w:val="DefaultParagraphFont"/>
    <w:link w:val="Heading3"/>
    <w:uiPriority w:val="9"/>
    <w:rsid w:val="00D74FF4"/>
    <w:rPr>
      <w:rFonts w:asciiTheme="majorHAnsi" w:eastAsiaTheme="majorEastAsia" w:hAnsiTheme="majorHAnsi" w:cstheme="majorBidi"/>
      <w:i/>
      <w:sz w:val="24"/>
      <w:szCs w:val="24"/>
    </w:rPr>
  </w:style>
  <w:style w:type="paragraph" w:styleId="Caption">
    <w:name w:val="caption"/>
    <w:basedOn w:val="Normal"/>
    <w:next w:val="Normal"/>
    <w:link w:val="CaptionChar"/>
    <w:uiPriority w:val="35"/>
    <w:unhideWhenUsed/>
    <w:qFormat/>
    <w:rsid w:val="00A87CDD"/>
    <w:pPr>
      <w:keepNext/>
      <w:keepLines/>
      <w:spacing w:before="120" w:after="120"/>
      <w:jc w:val="center"/>
    </w:pPr>
    <w:rPr>
      <w:b/>
      <w:iCs/>
      <w:szCs w:val="18"/>
    </w:rPr>
  </w:style>
  <w:style w:type="table" w:styleId="TableGrid">
    <w:name w:val="Table Grid"/>
    <w:basedOn w:val="TableNormal"/>
    <w:uiPriority w:val="59"/>
    <w:rsid w:val="00A87CDD"/>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87CDD"/>
    <w:pPr>
      <w:spacing w:after="0"/>
      <w:ind w:left="360"/>
      <w:contextualSpacing/>
    </w:pPr>
  </w:style>
  <w:style w:type="paragraph" w:styleId="ListBullet">
    <w:name w:val="List Bullet"/>
    <w:basedOn w:val="Normal"/>
    <w:uiPriority w:val="99"/>
    <w:unhideWhenUsed/>
    <w:rsid w:val="00A87CDD"/>
    <w:pPr>
      <w:numPr>
        <w:numId w:val="4"/>
      </w:numPr>
      <w:spacing w:before="60" w:after="60"/>
    </w:pPr>
  </w:style>
  <w:style w:type="character" w:styleId="CommentReference">
    <w:name w:val="annotation reference"/>
    <w:rsid w:val="00A87CDD"/>
    <w:rPr>
      <w:sz w:val="16"/>
      <w:szCs w:val="16"/>
    </w:rPr>
  </w:style>
  <w:style w:type="paragraph" w:styleId="CommentText">
    <w:name w:val="annotation text"/>
    <w:basedOn w:val="Normal"/>
    <w:link w:val="CommentTextChar"/>
    <w:rsid w:val="00A87CDD"/>
    <w:pPr>
      <w:widowControl w:val="0"/>
      <w:autoSpaceDE w:val="0"/>
      <w:autoSpaceDN w:val="0"/>
      <w:adjustRightInd w:val="0"/>
      <w:spacing w:before="120" w:after="120"/>
    </w:pPr>
    <w:rPr>
      <w:rFonts w:ascii="Times New Roman" w:eastAsia="Times New Roman" w:hAnsi="Times New Roman" w:cs="Times New Roman"/>
      <w:szCs w:val="20"/>
    </w:rPr>
  </w:style>
  <w:style w:type="character" w:customStyle="1" w:styleId="CommentTextChar">
    <w:name w:val="Comment Text Char"/>
    <w:basedOn w:val="DefaultParagraphFont"/>
    <w:link w:val="CommentText"/>
    <w:rsid w:val="00A87CD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87C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CDD"/>
    <w:rPr>
      <w:rFonts w:ascii="Segoe UI" w:hAnsi="Segoe UI" w:cs="Segoe UI"/>
      <w:sz w:val="18"/>
      <w:szCs w:val="18"/>
    </w:rPr>
  </w:style>
  <w:style w:type="character" w:customStyle="1" w:styleId="Heading4Char">
    <w:name w:val="Heading 4 Char"/>
    <w:basedOn w:val="DefaultParagraphFont"/>
    <w:link w:val="Heading4"/>
    <w:uiPriority w:val="9"/>
    <w:rsid w:val="00C95E7E"/>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A87CD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A87CD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A87CD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87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7CDD"/>
    <w:rPr>
      <w:rFonts w:asciiTheme="majorHAnsi" w:eastAsiaTheme="majorEastAsia" w:hAnsiTheme="majorHAnsi" w:cstheme="majorBidi"/>
      <w:i/>
      <w:iCs/>
      <w:color w:val="272727" w:themeColor="text1" w:themeTint="D8"/>
      <w:sz w:val="21"/>
      <w:szCs w:val="21"/>
    </w:rPr>
  </w:style>
  <w:style w:type="paragraph" w:styleId="BodyTextFirstIndent">
    <w:name w:val="Body Text First Indent"/>
    <w:basedOn w:val="BodyText"/>
    <w:link w:val="BodyTextFirstIndentChar"/>
    <w:rsid w:val="0015274D"/>
    <w:pPr>
      <w:widowControl w:val="0"/>
      <w:autoSpaceDE w:val="0"/>
      <w:autoSpaceDN w:val="0"/>
      <w:adjustRightInd w:val="0"/>
      <w:ind w:firstLine="210"/>
    </w:pPr>
    <w:rPr>
      <w:rFonts w:ascii="Times New Roman" w:eastAsia="Times New Roman" w:hAnsi="Times New Roman" w:cs="Times New Roman"/>
      <w:szCs w:val="24"/>
    </w:rPr>
  </w:style>
  <w:style w:type="character" w:customStyle="1" w:styleId="BodyTextFirstIndentChar">
    <w:name w:val="Body Text First Indent Char"/>
    <w:basedOn w:val="BodyTextChar"/>
    <w:link w:val="BodyTextFirstIndent"/>
    <w:rsid w:val="0015274D"/>
    <w:rPr>
      <w:rFonts w:ascii="Times New Roman" w:eastAsia="Times New Roman" w:hAnsi="Times New Roman" w:cs="Times New Roman"/>
      <w:sz w:val="24"/>
      <w:szCs w:val="24"/>
    </w:rPr>
  </w:style>
  <w:style w:type="character" w:customStyle="1" w:styleId="CaptionChar">
    <w:name w:val="Caption Char"/>
    <w:link w:val="Caption"/>
    <w:uiPriority w:val="35"/>
    <w:locked/>
    <w:rsid w:val="0015274D"/>
    <w:rPr>
      <w:b/>
      <w:iCs/>
      <w:sz w:val="24"/>
      <w:szCs w:val="18"/>
    </w:rPr>
  </w:style>
  <w:style w:type="paragraph" w:styleId="CommentSubject">
    <w:name w:val="annotation subject"/>
    <w:basedOn w:val="CommentText"/>
    <w:next w:val="CommentText"/>
    <w:link w:val="CommentSubjectChar"/>
    <w:uiPriority w:val="99"/>
    <w:semiHidden/>
    <w:unhideWhenUsed/>
    <w:rsid w:val="00445D0D"/>
    <w:pPr>
      <w:widowControl/>
      <w:autoSpaceDE/>
      <w:autoSpaceDN/>
      <w:adjustRightInd/>
      <w:spacing w:before="0"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45D0D"/>
    <w:rPr>
      <w:rFonts w:ascii="Times New Roman" w:eastAsia="Times New Roman" w:hAnsi="Times New Roman" w:cs="Times New Roman"/>
      <w:b/>
      <w:bCs/>
      <w:sz w:val="20"/>
      <w:szCs w:val="20"/>
    </w:rPr>
  </w:style>
  <w:style w:type="character" w:customStyle="1" w:styleId="apple-converted-space">
    <w:name w:val="apple-converted-space"/>
    <w:rsid w:val="0005704C"/>
  </w:style>
  <w:style w:type="table" w:customStyle="1" w:styleId="IECTable">
    <w:name w:val="IEC Table"/>
    <w:basedOn w:val="TableNormal"/>
    <w:uiPriority w:val="99"/>
    <w:rsid w:val="00945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Pr>
    <w:trPr>
      <w:cantSplit/>
    </w:trPr>
    <w:tcPr>
      <w:shd w:val="clear" w:color="auto" w:fill="auto"/>
    </w:tcPr>
    <w:tblStylePr w:type="firstRow">
      <w:tblPr/>
      <w:tcPr>
        <w:shd w:val="clear" w:color="auto" w:fill="365F91"/>
      </w:tcPr>
    </w:tblStylePr>
  </w:style>
  <w:style w:type="paragraph" w:customStyle="1" w:styleId="Default">
    <w:name w:val="Default"/>
    <w:rsid w:val="004A49D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71070"/>
    <w:pPr>
      <w:spacing w:after="0" w:line="240" w:lineRule="auto"/>
    </w:pPr>
    <w:rPr>
      <w:sz w:val="24"/>
    </w:rPr>
  </w:style>
  <w:style w:type="paragraph" w:customStyle="1" w:styleId="Hiddenheaderrow">
    <w:name w:val="Hidden header row"/>
    <w:basedOn w:val="NoSpacing"/>
    <w:qFormat/>
    <w:rsid w:val="004218F1"/>
    <w:pPr>
      <w:keepNext/>
      <w:jc w:val="center"/>
    </w:pPr>
    <w:rPr>
      <w:color w:val="FFFFFF" w:themeColor="background1"/>
      <w:sz w:val="2"/>
      <w:szCs w:val="2"/>
    </w:rPr>
  </w:style>
  <w:style w:type="paragraph" w:customStyle="1" w:styleId="Headerrowgraphic">
    <w:name w:val="Header row graphic"/>
    <w:basedOn w:val="NoSpacing"/>
    <w:next w:val="Normal"/>
    <w:qFormat/>
    <w:rsid w:val="004218F1"/>
    <w:pPr>
      <w:keepNext/>
      <w:ind w:left="-14"/>
    </w:pPr>
  </w:style>
  <w:style w:type="character" w:customStyle="1" w:styleId="ListParagraphChar">
    <w:name w:val="List Paragraph Char"/>
    <w:link w:val="ListParagraph"/>
    <w:uiPriority w:val="34"/>
    <w:locked/>
    <w:rsid w:val="007234CA"/>
    <w:rPr>
      <w:sz w:val="24"/>
    </w:rPr>
  </w:style>
  <w:style w:type="paragraph" w:customStyle="1" w:styleId="responses">
    <w:name w:val="responses"/>
    <w:basedOn w:val="Normal"/>
    <w:qFormat/>
    <w:rsid w:val="007234CA"/>
    <w:pPr>
      <w:spacing w:before="200" w:after="200"/>
      <w:ind w:left="720"/>
      <w:contextualSpacing/>
    </w:pPr>
    <w:rPr>
      <w:rFonts w:ascii="Times New Roman" w:hAnsi="Times New Roman" w:cs="Times New Roman"/>
      <w:szCs w:val="24"/>
    </w:rPr>
  </w:style>
  <w:style w:type="paragraph" w:styleId="Revision">
    <w:name w:val="Revision"/>
    <w:hidden/>
    <w:uiPriority w:val="99"/>
    <w:semiHidden/>
    <w:rsid w:val="00EF3135"/>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6618">
      <w:bodyDiv w:val="1"/>
      <w:marLeft w:val="0"/>
      <w:marRight w:val="0"/>
      <w:marTop w:val="0"/>
      <w:marBottom w:val="0"/>
      <w:divBdr>
        <w:top w:val="none" w:sz="0" w:space="0" w:color="auto"/>
        <w:left w:val="none" w:sz="0" w:space="0" w:color="auto"/>
        <w:bottom w:val="none" w:sz="0" w:space="0" w:color="auto"/>
        <w:right w:val="none" w:sz="0" w:space="0" w:color="auto"/>
      </w:divBdr>
    </w:div>
    <w:div w:id="377779640">
      <w:bodyDiv w:val="1"/>
      <w:marLeft w:val="0"/>
      <w:marRight w:val="0"/>
      <w:marTop w:val="0"/>
      <w:marBottom w:val="0"/>
      <w:divBdr>
        <w:top w:val="none" w:sz="0" w:space="0" w:color="auto"/>
        <w:left w:val="none" w:sz="0" w:space="0" w:color="auto"/>
        <w:bottom w:val="none" w:sz="0" w:space="0" w:color="auto"/>
        <w:right w:val="none" w:sz="0" w:space="0" w:color="auto"/>
      </w:divBdr>
    </w:div>
    <w:div w:id="535580417">
      <w:bodyDiv w:val="1"/>
      <w:marLeft w:val="0"/>
      <w:marRight w:val="0"/>
      <w:marTop w:val="0"/>
      <w:marBottom w:val="0"/>
      <w:divBdr>
        <w:top w:val="none" w:sz="0" w:space="0" w:color="auto"/>
        <w:left w:val="none" w:sz="0" w:space="0" w:color="auto"/>
        <w:bottom w:val="none" w:sz="0" w:space="0" w:color="auto"/>
        <w:right w:val="none" w:sz="0" w:space="0" w:color="auto"/>
      </w:divBdr>
    </w:div>
    <w:div w:id="601836083">
      <w:bodyDiv w:val="1"/>
      <w:marLeft w:val="0"/>
      <w:marRight w:val="0"/>
      <w:marTop w:val="0"/>
      <w:marBottom w:val="0"/>
      <w:divBdr>
        <w:top w:val="none" w:sz="0" w:space="0" w:color="auto"/>
        <w:left w:val="none" w:sz="0" w:space="0" w:color="auto"/>
        <w:bottom w:val="none" w:sz="0" w:space="0" w:color="auto"/>
        <w:right w:val="none" w:sz="0" w:space="0" w:color="auto"/>
      </w:divBdr>
    </w:div>
    <w:div w:id="698552210">
      <w:bodyDiv w:val="1"/>
      <w:marLeft w:val="0"/>
      <w:marRight w:val="0"/>
      <w:marTop w:val="0"/>
      <w:marBottom w:val="0"/>
      <w:divBdr>
        <w:top w:val="none" w:sz="0" w:space="0" w:color="auto"/>
        <w:left w:val="none" w:sz="0" w:space="0" w:color="auto"/>
        <w:bottom w:val="none" w:sz="0" w:space="0" w:color="auto"/>
        <w:right w:val="none" w:sz="0" w:space="0" w:color="auto"/>
      </w:divBdr>
    </w:div>
    <w:div w:id="1009984140">
      <w:bodyDiv w:val="1"/>
      <w:marLeft w:val="0"/>
      <w:marRight w:val="0"/>
      <w:marTop w:val="0"/>
      <w:marBottom w:val="0"/>
      <w:divBdr>
        <w:top w:val="none" w:sz="0" w:space="0" w:color="auto"/>
        <w:left w:val="none" w:sz="0" w:space="0" w:color="auto"/>
        <w:bottom w:val="none" w:sz="0" w:space="0" w:color="auto"/>
        <w:right w:val="none" w:sz="0" w:space="0" w:color="auto"/>
      </w:divBdr>
    </w:div>
    <w:div w:id="1460609057">
      <w:bodyDiv w:val="1"/>
      <w:marLeft w:val="0"/>
      <w:marRight w:val="0"/>
      <w:marTop w:val="0"/>
      <w:marBottom w:val="0"/>
      <w:divBdr>
        <w:top w:val="none" w:sz="0" w:space="0" w:color="auto"/>
        <w:left w:val="none" w:sz="0" w:space="0" w:color="auto"/>
        <w:bottom w:val="none" w:sz="0" w:space="0" w:color="auto"/>
        <w:right w:val="none" w:sz="0" w:space="0" w:color="auto"/>
      </w:divBdr>
    </w:div>
    <w:div w:id="161482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80">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9C805A1EC74F44BCC27148D65E643F" ma:contentTypeVersion="0" ma:contentTypeDescription="Create a new document." ma:contentTypeScope="" ma:versionID="3bce5bd314b505d856761e2137719fe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05020-E573-4510-B980-E0DFF689C60B}">
  <ds:schemaRefs>
    <ds:schemaRef ds:uri="http://schemas.microsoft.com/office/2006/metadata/properties"/>
  </ds:schemaRefs>
</ds:datastoreItem>
</file>

<file path=customXml/itemProps2.xml><?xml version="1.0" encoding="utf-8"?>
<ds:datastoreItem xmlns:ds="http://schemas.openxmlformats.org/officeDocument/2006/customXml" ds:itemID="{A59D47D3-A2C8-483A-9255-54DA0FE13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6F24903-2193-4EBF-A153-260752F3970C}">
  <ds:schemaRefs>
    <ds:schemaRef ds:uri="http://schemas.microsoft.com/sharepoint/v3/contenttype/forms"/>
  </ds:schemaRefs>
</ds:datastoreItem>
</file>

<file path=customXml/itemProps4.xml><?xml version="1.0" encoding="utf-8"?>
<ds:datastoreItem xmlns:ds="http://schemas.openxmlformats.org/officeDocument/2006/customXml" ds:itemID="{C87EFD1A-D5AD-40E7-B915-F10FE09B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3127</Words>
  <Characters>17826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 Part B:  Collections of Information Employing Statistical Methods for Survey of Community-Based Health Professionals for QIN-QIO Program to Increase Medication Safety and Prevent Adverse Drug Events</vt:lpstr>
    </vt:vector>
  </TitlesOfParts>
  <Company>Booz Allen Hamilton</Company>
  <LinksUpToDate>false</LinksUpToDate>
  <CharactersWithSpaces>20912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  Collections of Information Employing Statistical Methods for Survey of Community-Based Health Professionals for QIN-QIO Program to Increase Medication Safety and Prevent Adverse Drug Events</dc:title>
  <dc:subject>Medication Safety and Adverse Drug Events Prevention</dc:subject>
  <dc:creator>Booz Allen Hamilton</dc:creator>
  <cp:keywords>Supporting Statement, Information collection, survey community-based health professionals, Quality Improvement, Medication Safety, Adverse Drug Event</cp:keywords>
  <dc:description/>
  <cp:lastModifiedBy>SYSTEM</cp:lastModifiedBy>
  <cp:revision>2</cp:revision>
  <cp:lastPrinted>2018-02-27T19:12:00Z</cp:lastPrinted>
  <dcterms:created xsi:type="dcterms:W3CDTF">2018-12-04T19:13:00Z</dcterms:created>
  <dcterms:modified xsi:type="dcterms:W3CDTF">2018-12-04T19:13:00Z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pyright Status">
    <vt:lpwstr>Unknown</vt:lpwstr>
  </property>
  <property fmtid="{D5CDD505-2E9C-101B-9397-08002B2CF9AE}" pid="4" name="ContentTypeId">
    <vt:lpwstr>0x010100299C805A1EC74F44BCC27148D65E643F</vt:lpwstr>
  </property>
</Properties>
</file>