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2C84E" w14:textId="77777777" w:rsidR="00A87CDD" w:rsidRPr="00961D57" w:rsidRDefault="00A87CDD" w:rsidP="00A460CC">
      <w:pPr>
        <w:pStyle w:val="Heading1"/>
        <w:numPr>
          <w:ilvl w:val="0"/>
          <w:numId w:val="0"/>
        </w:numPr>
        <w:spacing w:before="0"/>
      </w:pPr>
      <w:bookmarkStart w:id="0" w:name="_GoBack"/>
      <w:bookmarkEnd w:id="0"/>
      <w:r w:rsidRPr="00961D57">
        <w:t>Supporting Statement – Part A</w:t>
      </w:r>
    </w:p>
    <w:p w14:paraId="6F1B5038" w14:textId="77777777" w:rsidR="00F22378" w:rsidRPr="00961D57" w:rsidRDefault="00A87CDD" w:rsidP="00C952C6">
      <w:pPr>
        <w:jc w:val="center"/>
        <w:rPr>
          <w:rFonts w:asciiTheme="majorHAnsi" w:eastAsiaTheme="majorEastAsia" w:hAnsiTheme="majorHAnsi" w:cstheme="majorBidi"/>
          <w:b/>
          <w:szCs w:val="32"/>
        </w:rPr>
      </w:pPr>
      <w:r w:rsidRPr="00961D57">
        <w:rPr>
          <w:rFonts w:asciiTheme="majorHAnsi" w:eastAsiaTheme="majorEastAsia" w:hAnsiTheme="majorHAnsi" w:cstheme="majorBidi"/>
          <w:b/>
          <w:szCs w:val="32"/>
        </w:rPr>
        <w:t>Evaluation of the CMS</w:t>
      </w:r>
      <w:r w:rsidR="00CA3B62" w:rsidRPr="00961D57">
        <w:rPr>
          <w:rFonts w:asciiTheme="majorHAnsi" w:eastAsiaTheme="majorEastAsia" w:hAnsiTheme="majorHAnsi" w:cstheme="majorBidi"/>
          <w:b/>
          <w:szCs w:val="32"/>
        </w:rPr>
        <w:t xml:space="preserve"> </w:t>
      </w:r>
      <w:r w:rsidRPr="00961D57">
        <w:rPr>
          <w:rFonts w:asciiTheme="majorHAnsi" w:eastAsiaTheme="majorEastAsia" w:hAnsiTheme="majorHAnsi" w:cstheme="majorBidi"/>
          <w:b/>
          <w:szCs w:val="32"/>
        </w:rPr>
        <w:t>Quality Improvement Organization</w:t>
      </w:r>
      <w:r w:rsidR="00B14712" w:rsidRPr="00961D57">
        <w:rPr>
          <w:rFonts w:asciiTheme="majorHAnsi" w:eastAsiaTheme="majorEastAsia" w:hAnsiTheme="majorHAnsi" w:cstheme="majorBidi"/>
          <w:b/>
          <w:szCs w:val="32"/>
        </w:rPr>
        <w:t>s</w:t>
      </w:r>
      <w:r w:rsidR="00EE2830" w:rsidRPr="00961D57">
        <w:rPr>
          <w:rFonts w:asciiTheme="majorHAnsi" w:eastAsiaTheme="majorEastAsia" w:hAnsiTheme="majorHAnsi" w:cstheme="majorBidi"/>
          <w:b/>
          <w:szCs w:val="32"/>
        </w:rPr>
        <w:t xml:space="preserve">: </w:t>
      </w:r>
      <w:r w:rsidR="00E229E7" w:rsidRPr="00961D57">
        <w:rPr>
          <w:rFonts w:asciiTheme="majorHAnsi" w:eastAsiaTheme="majorEastAsia" w:hAnsiTheme="majorHAnsi" w:cstheme="majorBidi"/>
          <w:b/>
          <w:szCs w:val="32"/>
        </w:rPr>
        <w:br/>
      </w:r>
      <w:r w:rsidR="00A460CC" w:rsidRPr="00961D57">
        <w:rPr>
          <w:rFonts w:asciiTheme="majorHAnsi" w:eastAsiaTheme="majorEastAsia" w:hAnsiTheme="majorHAnsi" w:cstheme="majorBidi"/>
          <w:b/>
          <w:szCs w:val="32"/>
        </w:rPr>
        <w:t>Medication Safety and Adverse Drug Event Prevention</w:t>
      </w:r>
      <w:r w:rsidR="00876CD1" w:rsidRPr="00961D57">
        <w:rPr>
          <w:rFonts w:asciiTheme="majorHAnsi" w:eastAsiaTheme="majorEastAsia" w:hAnsiTheme="majorHAnsi" w:cstheme="majorBidi"/>
          <w:b/>
          <w:szCs w:val="32"/>
        </w:rPr>
        <w:t xml:space="preserve"> (CMS-10675)</w:t>
      </w:r>
    </w:p>
    <w:p w14:paraId="05E1662A" w14:textId="77777777" w:rsidR="00A87CDD" w:rsidRPr="00961D57" w:rsidRDefault="00A87CDD" w:rsidP="00066C5F">
      <w:pPr>
        <w:pStyle w:val="Heading2"/>
        <w:numPr>
          <w:ilvl w:val="0"/>
          <w:numId w:val="0"/>
        </w:numPr>
      </w:pPr>
      <w:r w:rsidRPr="00961D57">
        <w:t>Background</w:t>
      </w:r>
    </w:p>
    <w:p w14:paraId="33190970" w14:textId="0819A581" w:rsidR="00BF4287" w:rsidRPr="00961D57" w:rsidRDefault="00A87CDD" w:rsidP="00066C5F">
      <w:pPr>
        <w:pStyle w:val="BodyText"/>
      </w:pPr>
      <w:r w:rsidRPr="00961D57">
        <w:t>The purpose of this Information Collection Request (ICR) is to</w:t>
      </w:r>
      <w:r w:rsidR="00B71B5A" w:rsidRPr="00961D57">
        <w:t xml:space="preserve"> collect data to inform the</w:t>
      </w:r>
      <w:r w:rsidRPr="00961D57">
        <w:t xml:space="preserve"> program evaluation </w:t>
      </w:r>
      <w:r w:rsidR="00A460CC" w:rsidRPr="00961D57">
        <w:t xml:space="preserve">of </w:t>
      </w:r>
      <w:r w:rsidRPr="00961D57">
        <w:t>the Centers for Medicare &amp; Medicaid Services (CMS) Quality Improvement Organization</w:t>
      </w:r>
      <w:r w:rsidR="006061C1" w:rsidRPr="00961D57">
        <w:t>s</w:t>
      </w:r>
      <w:r w:rsidRPr="00961D57">
        <w:t xml:space="preserve"> (QIO) </w:t>
      </w:r>
      <w:r w:rsidR="002C188A" w:rsidRPr="00961D57">
        <w:t>current contract known as the</w:t>
      </w:r>
      <w:r w:rsidR="003877F5" w:rsidRPr="00961D57">
        <w:t xml:space="preserve"> </w:t>
      </w:r>
      <w:r w:rsidRPr="00961D57">
        <w:t>11</w:t>
      </w:r>
      <w:r w:rsidRPr="00961D57">
        <w:rPr>
          <w:vertAlign w:val="superscript"/>
        </w:rPr>
        <w:t>th</w:t>
      </w:r>
      <w:r w:rsidRPr="00961D57">
        <w:t xml:space="preserve"> Scope of Work (SOW)</w:t>
      </w:r>
      <w:r w:rsidR="002C188A" w:rsidRPr="00961D57">
        <w:t>.</w:t>
      </w:r>
      <w:r w:rsidR="006762F4" w:rsidRPr="00961D57">
        <w:rPr>
          <w:rStyle w:val="FootnoteReference"/>
        </w:rPr>
        <w:footnoteReference w:id="2"/>
      </w:r>
      <w:r w:rsidRPr="00961D57">
        <w:t xml:space="preserve"> </w:t>
      </w:r>
      <w:r w:rsidR="003877F5" w:rsidRPr="00961D57">
        <w:t>T</w:t>
      </w:r>
      <w:r w:rsidR="00BF4287" w:rsidRPr="00961D57">
        <w:t xml:space="preserve">he current ICR focuses on evaluating </w:t>
      </w:r>
      <w:r w:rsidR="003747FE" w:rsidRPr="00961D57">
        <w:t>the national implementation</w:t>
      </w:r>
      <w:r w:rsidR="00BF4287" w:rsidRPr="00961D57">
        <w:t xml:space="preserve"> of the quality improvement activities of the Quality Innovation Network Quality Improvement Organizations (QIN-QIOs) and is part of a larger evaluation of the overall </w:t>
      </w:r>
      <w:r w:rsidR="003C6484" w:rsidRPr="00961D57">
        <w:t xml:space="preserve">national </w:t>
      </w:r>
      <w:r w:rsidR="00BF4287" w:rsidRPr="00961D57">
        <w:t xml:space="preserve">impact </w:t>
      </w:r>
      <w:r w:rsidR="00AF15F9" w:rsidRPr="00961D57">
        <w:t>o</w:t>
      </w:r>
      <w:r w:rsidR="00BF4287" w:rsidRPr="00961D57">
        <w:t>f the QIO program.</w:t>
      </w:r>
      <w:r w:rsidR="00A567AF" w:rsidRPr="00961D57">
        <w:rPr>
          <w:rStyle w:val="FootnoteReference"/>
        </w:rPr>
        <w:footnoteReference w:id="3"/>
      </w:r>
      <w:r w:rsidR="00BF4287" w:rsidRPr="00961D57">
        <w:t xml:space="preserve"> </w:t>
      </w:r>
      <w:r w:rsidRPr="00961D57">
        <w:t xml:space="preserve">This ICR </w:t>
      </w:r>
      <w:r w:rsidR="00B71B5A" w:rsidRPr="00961D57">
        <w:t xml:space="preserve">aims </w:t>
      </w:r>
      <w:r w:rsidRPr="00961D57">
        <w:t xml:space="preserve">to assess </w:t>
      </w:r>
      <w:r w:rsidR="00A460CC" w:rsidRPr="00961D57">
        <w:t xml:space="preserve">the QIN-QIO </w:t>
      </w:r>
      <w:r w:rsidR="00046A97" w:rsidRPr="00961D57">
        <w:t>T</w:t>
      </w:r>
      <w:r w:rsidRPr="00961D57">
        <w:t xml:space="preserve">ask </w:t>
      </w:r>
      <w:r w:rsidR="00A460CC" w:rsidRPr="00961D57">
        <w:t xml:space="preserve">which focuses on Medication Safety and </w:t>
      </w:r>
      <w:r w:rsidR="001B1573" w:rsidRPr="00961D57">
        <w:t>Adverse Drug Event</w:t>
      </w:r>
      <w:r w:rsidR="00F17401" w:rsidRPr="00961D57">
        <w:t xml:space="preserve"> </w:t>
      </w:r>
      <w:r w:rsidR="001553C3" w:rsidRPr="00961D57">
        <w:t xml:space="preserve">(ADE) </w:t>
      </w:r>
      <w:r w:rsidR="00A460CC" w:rsidRPr="00961D57">
        <w:t>Prevention.</w:t>
      </w:r>
      <w:r w:rsidR="00C26F85" w:rsidRPr="00961D57">
        <w:t xml:space="preserve"> For th</w:t>
      </w:r>
      <w:r w:rsidR="00EC27A8" w:rsidRPr="00961D57">
        <w:t>is</w:t>
      </w:r>
      <w:r w:rsidR="00C26F85" w:rsidRPr="00961D57">
        <w:t xml:space="preserve"> evaluation</w:t>
      </w:r>
      <w:r w:rsidR="00EF1237" w:rsidRPr="00961D57">
        <w:t>,</w:t>
      </w:r>
      <w:r w:rsidR="00C26F85" w:rsidRPr="00961D57">
        <w:t xml:space="preserve"> we are using a mixed</w:t>
      </w:r>
      <w:r w:rsidR="001553C3" w:rsidRPr="00961D57">
        <w:t xml:space="preserve"> </w:t>
      </w:r>
      <w:r w:rsidR="00C26F85" w:rsidRPr="00961D57">
        <w:t xml:space="preserve">methods design to compare quality </w:t>
      </w:r>
      <w:r w:rsidR="00523315" w:rsidRPr="00961D57">
        <w:t xml:space="preserve">improvement </w:t>
      </w:r>
      <w:r w:rsidR="00DD2DE0" w:rsidRPr="00961D57">
        <w:t>activities</w:t>
      </w:r>
      <w:r w:rsidR="00A460CC" w:rsidRPr="00961D57">
        <w:t xml:space="preserve"> of </w:t>
      </w:r>
      <w:r w:rsidR="00F17401" w:rsidRPr="00961D57">
        <w:t>pharmacists</w:t>
      </w:r>
      <w:r w:rsidR="00E13F93" w:rsidRPr="00961D57">
        <w:t xml:space="preserve"> and </w:t>
      </w:r>
      <w:r w:rsidR="001553C3" w:rsidRPr="00961D57">
        <w:t>healthcare providers (</w:t>
      </w:r>
      <w:r w:rsidR="004217B3" w:rsidRPr="00961D57">
        <w:t xml:space="preserve">physicians, </w:t>
      </w:r>
      <w:r w:rsidR="001553C3" w:rsidRPr="00961D57">
        <w:t xml:space="preserve">physician assistants, and nurse practitioners) </w:t>
      </w:r>
      <w:r w:rsidR="00C26F85" w:rsidRPr="00961D57">
        <w:t xml:space="preserve">participating in the </w:t>
      </w:r>
      <w:r w:rsidR="008D6AFA" w:rsidRPr="00961D57">
        <w:t xml:space="preserve">QIN-QIO </w:t>
      </w:r>
      <w:r w:rsidR="00A460CC" w:rsidRPr="00961D57">
        <w:t xml:space="preserve">program </w:t>
      </w:r>
      <w:r w:rsidR="00EE4510" w:rsidRPr="00961D57">
        <w:t>(participating</w:t>
      </w:r>
      <w:r w:rsidR="001553C3" w:rsidRPr="00961D57">
        <w:t xml:space="preserve"> group</w:t>
      </w:r>
      <w:r w:rsidR="00294F0E" w:rsidRPr="00961D57">
        <w:t xml:space="preserve">) </w:t>
      </w:r>
      <w:r w:rsidR="0023609B" w:rsidRPr="00961D57">
        <w:t xml:space="preserve">with those </w:t>
      </w:r>
      <w:r w:rsidR="00C26F85" w:rsidRPr="00961D57">
        <w:t xml:space="preserve">not participating in the </w:t>
      </w:r>
      <w:r w:rsidR="008D6AFA" w:rsidRPr="00961D57">
        <w:t xml:space="preserve">QIN-QIO </w:t>
      </w:r>
      <w:r w:rsidR="00C26F85" w:rsidRPr="00961D57">
        <w:t>program</w:t>
      </w:r>
      <w:r w:rsidR="00EE4510" w:rsidRPr="00961D57">
        <w:t xml:space="preserve"> (non-participating</w:t>
      </w:r>
      <w:r w:rsidR="001553C3" w:rsidRPr="00961D57">
        <w:t xml:space="preserve"> group</w:t>
      </w:r>
      <w:r w:rsidR="00294F0E" w:rsidRPr="00961D57">
        <w:t>)</w:t>
      </w:r>
      <w:r w:rsidR="00C26F85" w:rsidRPr="00961D57">
        <w:t>.</w:t>
      </w:r>
    </w:p>
    <w:p w14:paraId="628BDFA8" w14:textId="77777777" w:rsidR="00A87CDD" w:rsidRPr="00961D57" w:rsidRDefault="00A87CDD" w:rsidP="00D44AD2">
      <w:pPr>
        <w:spacing w:before="120" w:after="120"/>
      </w:pPr>
      <w:r w:rsidRPr="00961D57">
        <w:t xml:space="preserve">As </w:t>
      </w:r>
      <w:r w:rsidR="00B71B5A" w:rsidRPr="00961D57">
        <w:t>mandated</w:t>
      </w:r>
      <w:r w:rsidRPr="00961D57">
        <w:t xml:space="preserve"> by Sections 1152-1154 of the Social Security Act, CMS directs the QIO </w:t>
      </w:r>
      <w:r w:rsidR="00046A97" w:rsidRPr="00961D57">
        <w:t>p</w:t>
      </w:r>
      <w:r w:rsidRPr="00961D57">
        <w:t>rogram</w:t>
      </w:r>
      <w:r w:rsidR="00294F0E" w:rsidRPr="00961D57">
        <w:t>,</w:t>
      </w:r>
      <w:r w:rsidR="00AF15F9" w:rsidRPr="00961D57">
        <w:t xml:space="preserve"> which is </w:t>
      </w:r>
      <w:r w:rsidRPr="00961D57">
        <w:t>one of the largest federal programs dedicated to improving health quality for Medicare beneficiaries. QIOs are groups of health quality experts, clinicians, and consumers who work to assist Medicare providers with quality improvement throughout the spectrum of care and to review quality concerns for the protection of beneficiaries and the Medicare Trust Fund</w:t>
      </w:r>
      <w:r w:rsidRPr="00961D57">
        <w:rPr>
          <w:lang w:val="en"/>
        </w:rPr>
        <w:t>.</w:t>
      </w:r>
      <w:r w:rsidRPr="00961D57">
        <w:rPr>
          <w:rStyle w:val="FootnoteReference"/>
        </w:rPr>
        <w:footnoteReference w:id="4"/>
      </w:r>
      <w:r w:rsidRPr="00961D57">
        <w:rPr>
          <w:vertAlign w:val="superscript"/>
        </w:rPr>
        <w:t xml:space="preserve"> </w:t>
      </w:r>
      <w:r w:rsidRPr="00961D57">
        <w:t>This program is a key component of the U.S. Department of Health and Human Services</w:t>
      </w:r>
      <w:r w:rsidR="0023609B" w:rsidRPr="00961D57">
        <w:t>’</w:t>
      </w:r>
      <w:r w:rsidRPr="00961D57">
        <w:t xml:space="preserve"> (HHS) National Quality Strategy</w:t>
      </w:r>
      <w:r w:rsidRPr="00961D57">
        <w:rPr>
          <w:rStyle w:val="FootnoteReference"/>
        </w:rPr>
        <w:footnoteReference w:id="5"/>
      </w:r>
      <w:r w:rsidRPr="00961D57">
        <w:rPr>
          <w:vertAlign w:val="superscript"/>
        </w:rPr>
        <w:t xml:space="preserve"> </w:t>
      </w:r>
      <w:r w:rsidRPr="00961D57">
        <w:t>and the CMS Quality Strategy</w:t>
      </w:r>
      <w:r w:rsidR="0023609B" w:rsidRPr="00961D57">
        <w:t>.</w:t>
      </w:r>
      <w:r w:rsidRPr="00961D57">
        <w:rPr>
          <w:rStyle w:val="FootnoteReference"/>
        </w:rPr>
        <w:footnoteReference w:id="6"/>
      </w:r>
      <w:r w:rsidRPr="00961D57">
        <w:t xml:space="preserve"> </w:t>
      </w:r>
      <w:r w:rsidR="0023609B" w:rsidRPr="00961D57">
        <w:t>The work is</w:t>
      </w:r>
      <w:r w:rsidR="00A567AF" w:rsidRPr="00961D57">
        <w:t xml:space="preserve"> aligned with the current HHS and CMS administration priorities to empower patients and doctors to make decisions about their health care; usher in a new era of state flexibility and local leadership; support innovative approaches to improve quality, accessibility, and affordability; and improve the CMS customer experience</w:t>
      </w:r>
      <w:r w:rsidRPr="00961D57">
        <w:t xml:space="preserve">. </w:t>
      </w:r>
      <w:r w:rsidR="00EF042F" w:rsidRPr="00961D57">
        <w:t xml:space="preserve">In the current SOW, 14 QIN-QIOs coordinate the work </w:t>
      </w:r>
      <w:r w:rsidR="00F47EA2" w:rsidRPr="00961D57">
        <w:t xml:space="preserve">in </w:t>
      </w:r>
      <w:r w:rsidR="00EF042F" w:rsidRPr="00961D57">
        <w:t xml:space="preserve">53 </w:t>
      </w:r>
      <w:r w:rsidR="003877F5" w:rsidRPr="00961D57">
        <w:t xml:space="preserve">U.S. </w:t>
      </w:r>
      <w:r w:rsidR="00991CF0" w:rsidRPr="00961D57">
        <w:t>states and territories</w:t>
      </w:r>
      <w:r w:rsidR="00EF042F" w:rsidRPr="00961D57">
        <w:t>.</w:t>
      </w:r>
    </w:p>
    <w:p w14:paraId="2B10254C" w14:textId="77777777" w:rsidR="0086654C" w:rsidRPr="00961D57" w:rsidRDefault="00B71B5A" w:rsidP="00066C5F">
      <w:pPr>
        <w:pStyle w:val="BodyText"/>
      </w:pPr>
      <w:r w:rsidRPr="00961D57">
        <w:lastRenderedPageBreak/>
        <w:t>CMS evaluates</w:t>
      </w:r>
      <w:r w:rsidR="00A87CDD" w:rsidRPr="00961D57">
        <w:t xml:space="preserve"> the quality and effectiveness of the QIO program</w:t>
      </w:r>
      <w:r w:rsidRPr="00961D57">
        <w:t xml:space="preserve"> as authorized in Part B of Title XI of the Social Security Act</w:t>
      </w:r>
      <w:r w:rsidR="00A87CDD" w:rsidRPr="00961D57">
        <w:t>.</w:t>
      </w:r>
      <w:r w:rsidR="00A87CDD" w:rsidRPr="00961D57">
        <w:rPr>
          <w:rStyle w:val="FootnoteReference"/>
        </w:rPr>
        <w:footnoteReference w:id="7"/>
      </w:r>
      <w:r w:rsidR="00A87CDD" w:rsidRPr="00961D57">
        <w:t xml:space="preserve"> CMS created the Independent Evaluation Center (IEC) to provide CMS and its stakeholders with </w:t>
      </w:r>
      <w:r w:rsidR="00142980" w:rsidRPr="00961D57">
        <w:t xml:space="preserve">an </w:t>
      </w:r>
      <w:r w:rsidR="00A87CDD" w:rsidRPr="00961D57">
        <w:t xml:space="preserve">independent and objective program evaluation of the 11th SOW.  </w:t>
      </w:r>
    </w:p>
    <w:p w14:paraId="5DC253F2" w14:textId="7B0D1E46" w:rsidR="005D5AB4" w:rsidRPr="00961D57" w:rsidRDefault="00882ED2" w:rsidP="009F72BD">
      <w:pPr>
        <w:pStyle w:val="BodyText"/>
      </w:pPr>
      <w:bookmarkStart w:id="1" w:name="_Hlk513472549"/>
      <w:r w:rsidRPr="00961D57">
        <w:t>ADEs</w:t>
      </w:r>
      <w:r w:rsidR="00A80A9E" w:rsidRPr="00961D57">
        <w:t xml:space="preserve"> are defined as “injury resulting from medical intervention related to a drug</w:t>
      </w:r>
      <w:r w:rsidR="008E634A" w:rsidRPr="00961D57">
        <w:t>,</w:t>
      </w:r>
      <w:r w:rsidR="00A80A9E" w:rsidRPr="00961D57">
        <w:t>”</w:t>
      </w:r>
      <w:r w:rsidR="00870476" w:rsidRPr="00961D57">
        <w:rPr>
          <w:rStyle w:val="FootnoteReference"/>
        </w:rPr>
        <w:footnoteReference w:id="8"/>
      </w:r>
      <w:r w:rsidR="00A80A9E" w:rsidRPr="00961D57">
        <w:t xml:space="preserve"> and cause the majority of preventable deaths</w:t>
      </w:r>
      <w:r w:rsidR="003E7D2D" w:rsidRPr="00961D57">
        <w:t xml:space="preserve"> in hospital</w:t>
      </w:r>
      <w:r w:rsidR="000F0A06" w:rsidRPr="00961D57">
        <w:t>s</w:t>
      </w:r>
      <w:r w:rsidR="00A80A9E" w:rsidRPr="00961D57">
        <w:t>.</w:t>
      </w:r>
      <w:r w:rsidR="00870476" w:rsidRPr="00961D57">
        <w:rPr>
          <w:rStyle w:val="FootnoteReference"/>
        </w:rPr>
        <w:footnoteReference w:id="9"/>
      </w:r>
      <w:r w:rsidR="00A80A9E" w:rsidRPr="00961D57">
        <w:t xml:space="preserve"> ADEs escalate healthcare costs and utilization, increasing admission and readmission rates, emergency department (ED) visits, and physician visits.</w:t>
      </w:r>
      <w:r w:rsidR="00870476" w:rsidRPr="00961D57">
        <w:rPr>
          <w:rStyle w:val="FootnoteReference"/>
        </w:rPr>
        <w:footnoteReference w:id="10"/>
      </w:r>
      <w:r w:rsidR="00A80A9E" w:rsidRPr="00961D57">
        <w:rPr>
          <w:vertAlign w:val="superscript"/>
        </w:rPr>
        <w:t xml:space="preserve"> </w:t>
      </w:r>
      <w:r w:rsidR="004C2931" w:rsidRPr="00961D57">
        <w:t xml:space="preserve">ADEs are particularly problematic for older adults who have multiple chronic conditions and interact with many care settings. </w:t>
      </w:r>
      <w:r w:rsidR="00D8671D" w:rsidRPr="00961D57">
        <w:t>In particular, o</w:t>
      </w:r>
      <w:r w:rsidR="00DB619B" w:rsidRPr="00961D57">
        <w:t>pioid misuse and overdose is a significant cause of ADEs</w:t>
      </w:r>
      <w:r w:rsidRPr="00961D57">
        <w:t xml:space="preserve"> and was declared a public health emergency by the White House in 2017</w:t>
      </w:r>
      <w:r w:rsidR="00DB619B" w:rsidRPr="00961D57">
        <w:t xml:space="preserve">. </w:t>
      </w:r>
      <w:r w:rsidR="005D5AB4" w:rsidRPr="00961D57">
        <w:t xml:space="preserve">In 2016, over 14 million Medicare Part D </w:t>
      </w:r>
      <w:r w:rsidR="00DB619B" w:rsidRPr="00961D57">
        <w:t>b</w:t>
      </w:r>
      <w:r w:rsidR="005D5AB4" w:rsidRPr="00961D57">
        <w:t>eneficiaries received opioid prescriptions</w:t>
      </w:r>
      <w:r w:rsidRPr="00961D57">
        <w:t>,</w:t>
      </w:r>
      <w:r w:rsidR="00BA449B" w:rsidRPr="00961D57">
        <w:rPr>
          <w:rStyle w:val="FootnoteReference"/>
        </w:rPr>
        <w:footnoteReference w:id="11"/>
      </w:r>
      <w:r w:rsidR="00BA449B" w:rsidRPr="00961D57">
        <w:t xml:space="preserve"> </w:t>
      </w:r>
      <w:r w:rsidRPr="00961D57">
        <w:t>and m</w:t>
      </w:r>
      <w:r w:rsidR="005D5AB4" w:rsidRPr="00961D57">
        <w:t>any of these b</w:t>
      </w:r>
      <w:r w:rsidR="00DB619B" w:rsidRPr="00961D57">
        <w:t xml:space="preserve">eneficiaries received </w:t>
      </w:r>
      <w:r w:rsidR="005D5AB4" w:rsidRPr="00961D57">
        <w:t>extreme amounts of the drugs</w:t>
      </w:r>
      <w:r w:rsidR="00FD3A5B" w:rsidRPr="00961D57">
        <w:t>.</w:t>
      </w:r>
      <w:r w:rsidR="00FD3A5B" w:rsidRPr="00961D57">
        <w:rPr>
          <w:rStyle w:val="FootnoteReference"/>
        </w:rPr>
        <w:footnoteReference w:id="12"/>
      </w:r>
      <w:r w:rsidR="005D5AB4" w:rsidRPr="00961D57">
        <w:t xml:space="preserve"> </w:t>
      </w:r>
      <w:r w:rsidR="008E634A" w:rsidRPr="00961D57">
        <w:t>T</w:t>
      </w:r>
      <w:r w:rsidR="005D5AB4" w:rsidRPr="00961D57">
        <w:t xml:space="preserve">he Medicare population has </w:t>
      </w:r>
      <w:r w:rsidR="008E634A" w:rsidRPr="00961D57">
        <w:t xml:space="preserve">one of </w:t>
      </w:r>
      <w:r w:rsidR="005D5AB4" w:rsidRPr="00961D57">
        <w:t>the highest and fastest-growing rates of diagnosed opioid use disorder.</w:t>
      </w:r>
      <w:r w:rsidR="00DB619B" w:rsidRPr="00961D57">
        <w:rPr>
          <w:rStyle w:val="FootnoteReference"/>
        </w:rPr>
        <w:footnoteReference w:id="13"/>
      </w:r>
      <w:r w:rsidR="005D5AB4" w:rsidRPr="00961D57">
        <w:t xml:space="preserve"> </w:t>
      </w:r>
    </w:p>
    <w:p w14:paraId="031B4F2C" w14:textId="414F5087" w:rsidR="00A80A9E" w:rsidRPr="00961D57" w:rsidRDefault="00D269C2" w:rsidP="00F22103">
      <w:r w:rsidRPr="00961D57">
        <w:t xml:space="preserve">As </w:t>
      </w:r>
      <w:r w:rsidR="005D5AB4" w:rsidRPr="00961D57">
        <w:t xml:space="preserve">part of the HHS Opioid Initiative launched in March 2015, </w:t>
      </w:r>
      <w:r w:rsidRPr="00961D57">
        <w:t xml:space="preserve">CMS developed a multipronged approach </w:t>
      </w:r>
      <w:r w:rsidR="005D5AB4" w:rsidRPr="00961D57">
        <w:t xml:space="preserve">to </w:t>
      </w:r>
      <w:r w:rsidR="001553C3" w:rsidRPr="00961D57">
        <w:t xml:space="preserve">address </w:t>
      </w:r>
      <w:r w:rsidR="005D5AB4" w:rsidRPr="00961D57">
        <w:t>misuse and promote programs that support treatment and recovery support services for clinicians, beneficiaries, and families.</w:t>
      </w:r>
      <w:r w:rsidR="000F0A06" w:rsidRPr="00961D57">
        <w:t xml:space="preserve"> </w:t>
      </w:r>
      <w:r w:rsidR="00A80A9E" w:rsidRPr="00961D57">
        <w:t xml:space="preserve">CMS </w:t>
      </w:r>
      <w:r w:rsidR="00EF32FD" w:rsidRPr="00961D57">
        <w:t xml:space="preserve">also </w:t>
      </w:r>
      <w:r w:rsidR="00A80A9E" w:rsidRPr="00961D57">
        <w:t xml:space="preserve">worked with </w:t>
      </w:r>
      <w:r w:rsidR="00AF15F9" w:rsidRPr="00961D57">
        <w:t xml:space="preserve">HHS </w:t>
      </w:r>
      <w:r w:rsidR="00A80A9E" w:rsidRPr="00961D57">
        <w:t xml:space="preserve">and other health agencies to develop a </w:t>
      </w:r>
      <w:r w:rsidR="00A80A9E" w:rsidRPr="00961D57">
        <w:rPr>
          <w:i/>
        </w:rPr>
        <w:t>National Action Plan for Adverse Drug Prevention</w:t>
      </w:r>
      <w:r w:rsidR="00A80A9E" w:rsidRPr="00961D57">
        <w:t xml:space="preserve"> (2014).</w:t>
      </w:r>
      <w:r w:rsidR="00870476" w:rsidRPr="00961D57">
        <w:rPr>
          <w:rStyle w:val="FootnoteReference"/>
        </w:rPr>
        <w:footnoteReference w:id="14"/>
      </w:r>
      <w:r w:rsidR="008E634A" w:rsidRPr="00961D57">
        <w:t xml:space="preserve"> </w:t>
      </w:r>
      <w:r w:rsidR="000F0A06" w:rsidRPr="00961D57">
        <w:t>In addition to opioids, t</w:t>
      </w:r>
      <w:r w:rsidR="00A80A9E" w:rsidRPr="00961D57">
        <w:t xml:space="preserve">he </w:t>
      </w:r>
      <w:r w:rsidR="00AF15F9" w:rsidRPr="00961D57">
        <w:t xml:space="preserve">Action </w:t>
      </w:r>
      <w:r w:rsidR="00A80A9E" w:rsidRPr="00961D57">
        <w:t xml:space="preserve">Plan focused on ADEs </w:t>
      </w:r>
      <w:r w:rsidR="000F0A06" w:rsidRPr="00961D57">
        <w:t>caused by</w:t>
      </w:r>
      <w:r w:rsidR="00A80A9E" w:rsidRPr="00961D57">
        <w:t xml:space="preserve"> </w:t>
      </w:r>
      <w:r w:rsidR="008E634A" w:rsidRPr="00961D57">
        <w:t xml:space="preserve">other high-risk medication (HRM) groups: </w:t>
      </w:r>
      <w:r w:rsidR="00A80A9E" w:rsidRPr="00961D57">
        <w:t>anticoagulants</w:t>
      </w:r>
      <w:r w:rsidR="000F0A06" w:rsidRPr="00961D57">
        <w:t xml:space="preserve"> and</w:t>
      </w:r>
      <w:r w:rsidR="00A80A9E" w:rsidRPr="00961D57">
        <w:t xml:space="preserve"> diabetic medications</w:t>
      </w:r>
      <w:r w:rsidR="008E634A" w:rsidRPr="00961D57">
        <w:t xml:space="preserve">. </w:t>
      </w:r>
      <w:r w:rsidR="00A80A9E" w:rsidRPr="00961D57">
        <w:t xml:space="preserve">Given the burden of ADEs caused by these three classes of drugs, focusing prevention efforts in these areas could have </w:t>
      </w:r>
      <w:r w:rsidR="00984073" w:rsidRPr="00961D57">
        <w:t>a significant impact</w:t>
      </w:r>
      <w:r w:rsidR="00A80A9E" w:rsidRPr="00961D57">
        <w:t xml:space="preserve"> on reducing harm and improving population health</w:t>
      </w:r>
      <w:r w:rsidR="00882ED2" w:rsidRPr="00961D57">
        <w:t xml:space="preserve"> among Medicare beneficiaries</w:t>
      </w:r>
      <w:r w:rsidR="00A80A9E" w:rsidRPr="00961D57">
        <w:t>.</w:t>
      </w:r>
    </w:p>
    <w:p w14:paraId="49B8FFCF" w14:textId="77777777" w:rsidR="003102AF" w:rsidRPr="00961D57" w:rsidRDefault="003102AF" w:rsidP="003102AF">
      <w:pPr>
        <w:pStyle w:val="BodyText"/>
      </w:pPr>
      <w:r w:rsidRPr="00961D57">
        <w:t xml:space="preserve">The QIO </w:t>
      </w:r>
      <w:r w:rsidR="00882ED2" w:rsidRPr="00961D57">
        <w:t xml:space="preserve">program </w:t>
      </w:r>
      <w:r w:rsidR="00D269C2" w:rsidRPr="00961D57">
        <w:t xml:space="preserve">provides technical assistance to </w:t>
      </w:r>
      <w:r w:rsidRPr="00961D57">
        <w:t>reduc</w:t>
      </w:r>
      <w:r w:rsidR="00D269C2" w:rsidRPr="00961D57">
        <w:t>e</w:t>
      </w:r>
      <w:r w:rsidRPr="00961D57">
        <w:t xml:space="preserve"> </w:t>
      </w:r>
      <w:r w:rsidR="00503FC4" w:rsidRPr="00961D57">
        <w:t>ADEs</w:t>
      </w:r>
      <w:r w:rsidRPr="00961D57">
        <w:t xml:space="preserve"> in beneficiaries </w:t>
      </w:r>
      <w:r w:rsidR="00984073" w:rsidRPr="00961D57">
        <w:t>resulting from</w:t>
      </w:r>
      <w:r w:rsidRPr="00961D57">
        <w:t xml:space="preserve"> polypharmacy, specifically those who use three or more medications including a prescription in </w:t>
      </w:r>
      <w:r w:rsidR="006F66EB" w:rsidRPr="00961D57">
        <w:t xml:space="preserve">a </w:t>
      </w:r>
      <w:r w:rsidRPr="00961D57">
        <w:t>HRM)</w:t>
      </w:r>
      <w:r w:rsidR="008E634A" w:rsidRPr="00961D57">
        <w:t xml:space="preserve"> </w:t>
      </w:r>
      <w:r w:rsidRPr="00961D57">
        <w:t>drug groups.</w:t>
      </w:r>
      <w:r w:rsidR="00A80A9E" w:rsidRPr="00961D57">
        <w:t xml:space="preserve"> </w:t>
      </w:r>
      <w:r w:rsidRPr="00961D57">
        <w:t xml:space="preserve">In the 11th SOW, </w:t>
      </w:r>
      <w:r w:rsidR="00A80A9E" w:rsidRPr="00961D57">
        <w:t>specific</w:t>
      </w:r>
      <w:r w:rsidRPr="00961D57">
        <w:t xml:space="preserve"> interventions include</w:t>
      </w:r>
      <w:r w:rsidR="00057FA7" w:rsidRPr="00961D57">
        <w:t xml:space="preserve"> training providers through Learning Action Networks; developing collaborations among local providers across care settings; providing materials and information resources; and helping providers </w:t>
      </w:r>
      <w:r w:rsidR="000F0A06" w:rsidRPr="00961D57">
        <w:t xml:space="preserve">collect </w:t>
      </w:r>
      <w:r w:rsidR="00057FA7" w:rsidRPr="00961D57">
        <w:t xml:space="preserve">data </w:t>
      </w:r>
      <w:r w:rsidR="000F0A06" w:rsidRPr="00961D57">
        <w:t>to monitor prescribing practices.</w:t>
      </w:r>
      <w:r w:rsidR="00057FA7" w:rsidRPr="00961D57">
        <w:t xml:space="preserve"> </w:t>
      </w:r>
    </w:p>
    <w:bookmarkEnd w:id="1"/>
    <w:p w14:paraId="593A8436" w14:textId="50EE6573" w:rsidR="00BF2E48" w:rsidRPr="00961D57" w:rsidRDefault="00E61C1F" w:rsidP="00BF2E48">
      <w:pPr>
        <w:pStyle w:val="BodyText"/>
      </w:pPr>
      <w:r w:rsidRPr="00961D57">
        <w:lastRenderedPageBreak/>
        <w:t xml:space="preserve">To evaluate the </w:t>
      </w:r>
      <w:r w:rsidR="000F0A06" w:rsidRPr="00961D57">
        <w:t xml:space="preserve">effectiveness </w:t>
      </w:r>
      <w:r w:rsidRPr="00961D57">
        <w:t xml:space="preserve">of this program, we will use a mixed method evaluation combining secondary data analysis of Medicare claims with a community provider survey. </w:t>
      </w:r>
      <w:r w:rsidR="00B904EE" w:rsidRPr="00961D57">
        <w:t xml:space="preserve">We </w:t>
      </w:r>
      <w:r w:rsidR="008D6AFA" w:rsidRPr="00961D57">
        <w:t>plan to</w:t>
      </w:r>
      <w:r w:rsidR="00EF1237" w:rsidRPr="00961D57">
        <w:t xml:space="preserve"> conduct a</w:t>
      </w:r>
      <w:r w:rsidR="002F5A08" w:rsidRPr="00961D57">
        <w:t>n</w:t>
      </w:r>
      <w:r w:rsidR="00EF1237" w:rsidRPr="00961D57">
        <w:t xml:space="preserve"> </w:t>
      </w:r>
      <w:r w:rsidR="002F5A08" w:rsidRPr="00961D57">
        <w:t>online</w:t>
      </w:r>
      <w:r w:rsidR="00A93554" w:rsidRPr="00961D57">
        <w:t xml:space="preserve"> </w:t>
      </w:r>
      <w:r w:rsidR="00B904EE" w:rsidRPr="00961D57">
        <w:t xml:space="preserve">survey </w:t>
      </w:r>
      <w:r w:rsidR="00BB1409" w:rsidRPr="00961D57">
        <w:t xml:space="preserve">of </w:t>
      </w:r>
      <w:r w:rsidR="00A93554" w:rsidRPr="00961D57">
        <w:t xml:space="preserve">1,200 </w:t>
      </w:r>
      <w:r w:rsidR="00BF2E48" w:rsidRPr="00961D57">
        <w:t xml:space="preserve">community-based </w:t>
      </w:r>
      <w:r w:rsidR="00A93554" w:rsidRPr="00961D57">
        <w:t>pharmacists</w:t>
      </w:r>
      <w:r w:rsidR="00964338" w:rsidRPr="00961D57">
        <w:t xml:space="preserve"> and providers (</w:t>
      </w:r>
      <w:r w:rsidR="00A93554" w:rsidRPr="00961D57">
        <w:t xml:space="preserve">physicians, </w:t>
      </w:r>
      <w:r w:rsidR="00964338" w:rsidRPr="00961D57">
        <w:t>nurse practitioners, and physician assistants)</w:t>
      </w:r>
      <w:r w:rsidR="00FF0C2F" w:rsidRPr="00961D57">
        <w:t>.</w:t>
      </w:r>
      <w:r w:rsidR="008B0BA2" w:rsidRPr="00961D57">
        <w:t xml:space="preserve"> </w:t>
      </w:r>
      <w:r w:rsidR="002A6E6A" w:rsidRPr="00961D57">
        <w:t xml:space="preserve">These participants were selected based on </w:t>
      </w:r>
      <w:r w:rsidR="00E13F93" w:rsidRPr="00961D57">
        <w:t xml:space="preserve">the volume and settings of professionals recruited by QIOs to support </w:t>
      </w:r>
      <w:r w:rsidR="0064388A" w:rsidRPr="00961D57">
        <w:t xml:space="preserve">this QIN-QIO </w:t>
      </w:r>
      <w:r w:rsidR="0064388A" w:rsidRPr="00961D57">
        <w:rPr>
          <w:rFonts w:asciiTheme="majorHAnsi" w:hAnsiTheme="majorHAnsi"/>
        </w:rPr>
        <w:t>Task C.3.6 Medication Safety and Adve</w:t>
      </w:r>
      <w:r w:rsidR="006625A0">
        <w:rPr>
          <w:rFonts w:asciiTheme="majorHAnsi" w:hAnsiTheme="majorHAnsi"/>
        </w:rPr>
        <w:t>rse Drug Event (ADE) Prevention</w:t>
      </w:r>
      <w:r w:rsidR="008B0BA2" w:rsidRPr="00961D57">
        <w:t>.</w:t>
      </w:r>
      <w:r w:rsidR="002A6E6A" w:rsidRPr="00961D57">
        <w:t xml:space="preserve"> </w:t>
      </w:r>
      <w:r w:rsidR="00BF2E48" w:rsidRPr="00961D57">
        <w:t>The</w:t>
      </w:r>
      <w:r w:rsidR="00A93554" w:rsidRPr="00961D57">
        <w:t xml:space="preserve"> survey</w:t>
      </w:r>
      <w:r w:rsidR="00EC524A" w:rsidRPr="00961D57">
        <w:t xml:space="preserve"> </w:t>
      </w:r>
      <w:r w:rsidR="00BF2E48" w:rsidRPr="00961D57">
        <w:t xml:space="preserve">will include </w:t>
      </w:r>
      <w:r w:rsidR="00B51D31" w:rsidRPr="00961D57">
        <w:t xml:space="preserve">professionals </w:t>
      </w:r>
      <w:r w:rsidR="00EC524A" w:rsidRPr="00961D57">
        <w:t>participating in the QIN-QIO program (</w:t>
      </w:r>
      <w:r w:rsidR="001553C3" w:rsidRPr="00961D57">
        <w:t xml:space="preserve">participating </w:t>
      </w:r>
      <w:r w:rsidR="00A25876" w:rsidRPr="00961D57">
        <w:t xml:space="preserve">group) and a </w:t>
      </w:r>
      <w:r w:rsidR="00B51D31" w:rsidRPr="00961D57">
        <w:t>similar sample</w:t>
      </w:r>
      <w:r w:rsidR="00A93554" w:rsidRPr="00961D57" w:rsidDel="00A93554">
        <w:t xml:space="preserve"> </w:t>
      </w:r>
      <w:r w:rsidR="00EC524A" w:rsidRPr="00961D57">
        <w:t>that are not participating in the QIN-QIO program (</w:t>
      </w:r>
      <w:r w:rsidR="00F90444" w:rsidRPr="00961D57">
        <w:t>non-</w:t>
      </w:r>
      <w:r w:rsidR="001553C3" w:rsidRPr="00961D57">
        <w:t xml:space="preserve">participating </w:t>
      </w:r>
      <w:r w:rsidR="00EC524A" w:rsidRPr="00961D57">
        <w:t xml:space="preserve">group). </w:t>
      </w:r>
      <w:r w:rsidR="00E13F93" w:rsidRPr="00961D57">
        <w:t xml:space="preserve">Contact information for </w:t>
      </w:r>
      <w:r w:rsidR="00BE788D" w:rsidRPr="00961D57">
        <w:t>the participating group</w:t>
      </w:r>
      <w:r w:rsidR="00E13F93" w:rsidRPr="00961D57">
        <w:t xml:space="preserve"> will be collected from QIO staff.</w:t>
      </w:r>
      <w:r w:rsidR="00162E2E" w:rsidRPr="00961D57">
        <w:t xml:space="preserve"> </w:t>
      </w:r>
      <w:r w:rsidR="00647262" w:rsidRPr="00961D57">
        <w:t>The non-</w:t>
      </w:r>
      <w:r w:rsidR="00BE788D" w:rsidRPr="00961D57">
        <w:t>participating</w:t>
      </w:r>
      <w:r w:rsidR="00647262" w:rsidRPr="00961D57">
        <w:t xml:space="preserve"> </w:t>
      </w:r>
      <w:r w:rsidR="00162E2E" w:rsidRPr="00961D57">
        <w:t xml:space="preserve">group </w:t>
      </w:r>
      <w:r w:rsidR="00647262" w:rsidRPr="00961D57">
        <w:t>of providers will be contacted through the Medscape Market Research Panel, an online panel of physicians and other healthcare professionals in the U</w:t>
      </w:r>
      <w:r w:rsidR="00BE788D" w:rsidRPr="00961D57">
        <w:t>.</w:t>
      </w:r>
      <w:r w:rsidR="00647262" w:rsidRPr="00961D57">
        <w:t>S.</w:t>
      </w:r>
      <w:r w:rsidR="00BE788D" w:rsidRPr="00961D57">
        <w:t xml:space="preserve"> States where QIN-QIOs do not work with group practice physicians related to ADEs will be excluded from the survey.</w:t>
      </w:r>
    </w:p>
    <w:p w14:paraId="34EEFE8F" w14:textId="66F24B86" w:rsidR="00E65CBD" w:rsidRPr="00961D57" w:rsidRDefault="00010094" w:rsidP="004F47B0">
      <w:pPr>
        <w:autoSpaceDE w:val="0"/>
        <w:autoSpaceDN w:val="0"/>
        <w:rPr>
          <w:sz w:val="22"/>
        </w:rPr>
      </w:pPr>
      <w:r w:rsidRPr="00961D57">
        <w:t xml:space="preserve">Our proposed survey assesses </w:t>
      </w:r>
      <w:r w:rsidR="00940115" w:rsidRPr="00961D57">
        <w:t xml:space="preserve">the extent to which </w:t>
      </w:r>
      <w:r w:rsidR="005F07AC" w:rsidRPr="00961D57">
        <w:t xml:space="preserve">best practices </w:t>
      </w:r>
      <w:r w:rsidR="00E62DBB" w:rsidRPr="00961D57">
        <w:t>have been used (</w:t>
      </w:r>
      <w:r w:rsidR="005F07AC" w:rsidRPr="00961D57">
        <w:t>as summarized by the Joint Commission on Accreditation of Healthcare Organizations patient safety event taxonomy model,</w:t>
      </w:r>
      <w:r w:rsidR="00E62DBB" w:rsidRPr="00961D57">
        <w:t xml:space="preserve"> the basis for</w:t>
      </w:r>
      <w:r w:rsidR="005F07AC" w:rsidRPr="00961D57">
        <w:t xml:space="preserve"> the </w:t>
      </w:r>
      <w:r w:rsidR="005F07AC" w:rsidRPr="00961D57">
        <w:rPr>
          <w:i/>
        </w:rPr>
        <w:t xml:space="preserve">National </w:t>
      </w:r>
      <w:r w:rsidR="00E62DBB" w:rsidRPr="00961D57">
        <w:rPr>
          <w:i/>
        </w:rPr>
        <w:t xml:space="preserve">Action </w:t>
      </w:r>
      <w:r w:rsidR="005F07AC" w:rsidRPr="00961D57">
        <w:rPr>
          <w:i/>
        </w:rPr>
        <w:t>Plan</w:t>
      </w:r>
      <w:r w:rsidR="005F07AC" w:rsidRPr="00961D57">
        <w:t xml:space="preserve"> Section 3:  Prevention Approaches)</w:t>
      </w:r>
      <w:r w:rsidR="002B78ED" w:rsidRPr="00961D57">
        <w:t>,</w:t>
      </w:r>
      <w:r w:rsidR="00940115" w:rsidRPr="00961D57">
        <w:t xml:space="preserve"> </w:t>
      </w:r>
      <w:r w:rsidR="000D20C7" w:rsidRPr="00961D57">
        <w:t xml:space="preserve">the level of engagement with the QIO, </w:t>
      </w:r>
      <w:r w:rsidR="00940115" w:rsidRPr="00961D57">
        <w:t xml:space="preserve">and other influences </w:t>
      </w:r>
      <w:r w:rsidR="00C61724" w:rsidRPr="00961D57">
        <w:t>that</w:t>
      </w:r>
      <w:r w:rsidR="00940115" w:rsidRPr="00961D57">
        <w:t xml:space="preserve"> can help explain </w:t>
      </w:r>
      <w:r w:rsidRPr="00961D57">
        <w:t xml:space="preserve">progress towards the goals of the </w:t>
      </w:r>
      <w:r w:rsidR="00142980" w:rsidRPr="00961D57">
        <w:t xml:space="preserve">QIN-QIO </w:t>
      </w:r>
      <w:r w:rsidRPr="00961D57">
        <w:t>SOW.</w:t>
      </w:r>
      <w:r w:rsidRPr="00961D57">
        <w:rPr>
          <w:vertAlign w:val="superscript"/>
        </w:rPr>
        <w:t xml:space="preserve"> </w:t>
      </w:r>
      <w:r w:rsidR="00940115" w:rsidRPr="00961D57">
        <w:t>The questions used for these constructs related to program and non-program influences have been adopted from previously used and/or validated instruments</w:t>
      </w:r>
      <w:r w:rsidR="00BF2E48" w:rsidRPr="00961D57">
        <w:t>, including the</w:t>
      </w:r>
      <w:r w:rsidR="00E90E0A" w:rsidRPr="00961D57">
        <w:t xml:space="preserve"> IEC</w:t>
      </w:r>
      <w:r w:rsidR="00BF2E48" w:rsidRPr="00961D57">
        <w:t xml:space="preserve"> Nursing Home Survey that was approved</w:t>
      </w:r>
      <w:r w:rsidR="00E90E0A" w:rsidRPr="00961D57">
        <w:t xml:space="preserve"> by OMB</w:t>
      </w:r>
      <w:r w:rsidR="00BF2E48" w:rsidRPr="00961D57">
        <w:t xml:space="preserve"> (</w:t>
      </w:r>
      <w:r w:rsidR="0023609B" w:rsidRPr="00961D57">
        <w:t>OMB control number 0938-1330, Expiration date 6/30/20</w:t>
      </w:r>
      <w:r w:rsidR="00BF2E48" w:rsidRPr="00961D57">
        <w:t>)</w:t>
      </w:r>
      <w:r w:rsidR="00C61724" w:rsidRPr="00961D57">
        <w:t>.</w:t>
      </w:r>
      <w:r w:rsidR="00940115" w:rsidRPr="00961D57">
        <w:t xml:space="preserve"> </w:t>
      </w:r>
    </w:p>
    <w:p w14:paraId="4FA87FDA" w14:textId="660CCE9A" w:rsidR="003D7D87" w:rsidRPr="00961D57" w:rsidRDefault="00010094" w:rsidP="00066C5F">
      <w:pPr>
        <w:pStyle w:val="BodyText"/>
      </w:pPr>
      <w:r w:rsidRPr="00961D57">
        <w:t xml:space="preserve">The survey will also </w:t>
      </w:r>
      <w:r w:rsidR="00042851">
        <w:t>support</w:t>
      </w:r>
      <w:r w:rsidRPr="00961D57">
        <w:t xml:space="preserve"> </w:t>
      </w:r>
      <w:r w:rsidR="00EC524A" w:rsidRPr="00961D57">
        <w:t>estimate</w:t>
      </w:r>
      <w:r w:rsidRPr="00961D57">
        <w:t>s of</w:t>
      </w:r>
      <w:r w:rsidR="00EC524A" w:rsidRPr="00961D57">
        <w:t xml:space="preserve"> the </w:t>
      </w:r>
      <w:r w:rsidR="00042851">
        <w:t xml:space="preserve">perceived </w:t>
      </w:r>
      <w:r w:rsidR="00EC524A" w:rsidRPr="00961D57">
        <w:t xml:space="preserve">attribution of the QIN-QIO program </w:t>
      </w:r>
      <w:r w:rsidR="00042851">
        <w:t>impact in</w:t>
      </w:r>
      <w:r w:rsidR="00042851" w:rsidRPr="00961D57">
        <w:t xml:space="preserve"> </w:t>
      </w:r>
      <w:r w:rsidR="00EC524A" w:rsidRPr="00961D57">
        <w:t>improv</w:t>
      </w:r>
      <w:r w:rsidR="00B51D31" w:rsidRPr="00961D57">
        <w:t>ing</w:t>
      </w:r>
      <w:r w:rsidR="00EC524A" w:rsidRPr="00961D57">
        <w:t xml:space="preserve"> </w:t>
      </w:r>
      <w:r w:rsidR="00BF2E48" w:rsidRPr="00961D57">
        <w:t xml:space="preserve">ADE </w:t>
      </w:r>
      <w:r w:rsidR="00B51D31" w:rsidRPr="00961D57">
        <w:t>prevention</w:t>
      </w:r>
      <w:r w:rsidR="00EC524A" w:rsidRPr="00961D57">
        <w:t xml:space="preserve"> </w:t>
      </w:r>
      <w:r w:rsidRPr="00961D57">
        <w:t xml:space="preserve">from the perspective of </w:t>
      </w:r>
      <w:r w:rsidR="00FF0C2F" w:rsidRPr="00961D57">
        <w:t>healthcare providers</w:t>
      </w:r>
      <w:r w:rsidRPr="00961D57">
        <w:t>.</w:t>
      </w:r>
      <w:r w:rsidR="00EE1EF2" w:rsidRPr="00961D57">
        <w:t xml:space="preserve"> </w:t>
      </w:r>
      <w:r w:rsidR="00B417E3" w:rsidRPr="00961D57">
        <w:t>The perceived influence on quality improvement efforts will be quantified and, along with econometric modeling methods, will be used to assess program</w:t>
      </w:r>
      <w:r w:rsidR="00FB5262" w:rsidRPr="00961D57">
        <w:t xml:space="preserve"> </w:t>
      </w:r>
      <w:r w:rsidR="00042851">
        <w:t>impact</w:t>
      </w:r>
      <w:r w:rsidR="00B417E3" w:rsidRPr="00961D57">
        <w:t xml:space="preserve">. Estimating attribution is a contract requirement for the </w:t>
      </w:r>
      <w:r w:rsidR="00FD4603" w:rsidRPr="00961D57">
        <w:t>I</w:t>
      </w:r>
      <w:r w:rsidR="00B417E3" w:rsidRPr="00961D57">
        <w:t>EC</w:t>
      </w:r>
      <w:r w:rsidR="00BF2E48" w:rsidRPr="00961D57">
        <w:t xml:space="preserve"> and helps provide evidence of impact of the QIN-QIO program</w:t>
      </w:r>
      <w:r w:rsidR="00B417E3" w:rsidRPr="00961D57">
        <w:t xml:space="preserve">. Since </w:t>
      </w:r>
      <w:r w:rsidR="00C61724" w:rsidRPr="00961D57">
        <w:t>current analytical</w:t>
      </w:r>
      <w:r w:rsidR="00B417E3" w:rsidRPr="00961D57">
        <w:t xml:space="preserve"> methods </w:t>
      </w:r>
      <w:r w:rsidR="00C61724" w:rsidRPr="00961D57">
        <w:t xml:space="preserve">do not </w:t>
      </w:r>
      <w:r w:rsidR="00B417E3" w:rsidRPr="00961D57">
        <w:t xml:space="preserve">adequately address the overlap of quality improvement initiatives targeting </w:t>
      </w:r>
      <w:r w:rsidR="00FF0C2F" w:rsidRPr="00961D57">
        <w:t xml:space="preserve">medication safety and </w:t>
      </w:r>
      <w:r w:rsidR="00194555" w:rsidRPr="00961D57">
        <w:t>ADE prevention</w:t>
      </w:r>
      <w:r w:rsidR="00B417E3" w:rsidRPr="00961D57">
        <w:t>, the IEC developed an innovative approach, combining survey input with modeling, to estimate the relative importance of the QIN-QIO program. The concept is supported at the highest level of administration for Quality Improvement at CMS and has been presented at national conferences</w:t>
      </w:r>
      <w:r w:rsidR="00B417E3" w:rsidRPr="00961D57">
        <w:rPr>
          <w:rStyle w:val="FootnoteReference"/>
        </w:rPr>
        <w:footnoteReference w:id="15"/>
      </w:r>
      <w:r w:rsidR="00B417E3" w:rsidRPr="00961D57">
        <w:rPr>
          <w:vertAlign w:val="superscript"/>
        </w:rPr>
        <w:t>,</w:t>
      </w:r>
      <w:r w:rsidR="00B417E3" w:rsidRPr="00961D57">
        <w:rPr>
          <w:rStyle w:val="FootnoteReference"/>
        </w:rPr>
        <w:footnoteReference w:id="16"/>
      </w:r>
      <w:r w:rsidR="00B417E3" w:rsidRPr="00961D57">
        <w:rPr>
          <w:vertAlign w:val="superscript"/>
        </w:rPr>
        <w:t xml:space="preserve"> </w:t>
      </w:r>
      <w:r w:rsidR="00B417E3" w:rsidRPr="00961D57">
        <w:t xml:space="preserve">and </w:t>
      </w:r>
      <w:r w:rsidR="00E17BFD" w:rsidRPr="00961D57">
        <w:t xml:space="preserve">to </w:t>
      </w:r>
      <w:r w:rsidR="00B417E3" w:rsidRPr="00961D57">
        <w:t>CMS/CCSQ leadership</w:t>
      </w:r>
      <w:r w:rsidR="00E17BFD" w:rsidRPr="00961D57">
        <w:t>.</w:t>
      </w:r>
      <w:r w:rsidR="00E17BFD" w:rsidRPr="00961D57">
        <w:rPr>
          <w:rStyle w:val="FootnoteReference"/>
        </w:rPr>
        <w:footnoteReference w:id="17"/>
      </w:r>
      <w:r w:rsidR="00B417E3" w:rsidRPr="00961D57">
        <w:t xml:space="preserve"> The survey data is an essential component of this </w:t>
      </w:r>
      <w:r w:rsidR="00BF2E48" w:rsidRPr="00961D57">
        <w:t xml:space="preserve">analytic </w:t>
      </w:r>
      <w:r w:rsidR="00B417E3" w:rsidRPr="00961D57">
        <w:t xml:space="preserve">method. </w:t>
      </w:r>
    </w:p>
    <w:p w14:paraId="0E3DA81D" w14:textId="71B3D4E9" w:rsidR="00CD7204" w:rsidRPr="00961D57" w:rsidRDefault="003D1E09" w:rsidP="00856DD9">
      <w:pPr>
        <w:pStyle w:val="BodyText2"/>
        <w:ind w:left="0"/>
      </w:pPr>
      <w:r w:rsidRPr="00961D57">
        <w:t xml:space="preserve">An overview of </w:t>
      </w:r>
      <w:r w:rsidR="00BF2E48" w:rsidRPr="00961D57">
        <w:t xml:space="preserve">our </w:t>
      </w:r>
      <w:r w:rsidRPr="00961D57">
        <w:t xml:space="preserve">proposed </w:t>
      </w:r>
      <w:r w:rsidR="00BF2E48" w:rsidRPr="00961D57">
        <w:t>survey</w:t>
      </w:r>
      <w:r w:rsidRPr="00961D57">
        <w:t xml:space="preserve">, including survey topics, </w:t>
      </w:r>
      <w:r w:rsidR="00570091" w:rsidRPr="00961D57">
        <w:t>participants</w:t>
      </w:r>
      <w:r w:rsidRPr="00961D57">
        <w:t>, and frequency</w:t>
      </w:r>
      <w:r w:rsidR="00E90E0A" w:rsidRPr="00961D57">
        <w:t xml:space="preserve"> and duration</w:t>
      </w:r>
      <w:r w:rsidRPr="00961D57">
        <w:t xml:space="preserve"> of data collection is shown in </w:t>
      </w:r>
      <w:r w:rsidR="00483188" w:rsidRPr="00961D57">
        <w:fldChar w:fldCharType="begin"/>
      </w:r>
      <w:r w:rsidR="00483188" w:rsidRPr="00961D57">
        <w:instrText xml:space="preserve"> REF _Ref449621004 \h </w:instrText>
      </w:r>
      <w:r w:rsidR="007E6989" w:rsidRPr="00961D57">
        <w:instrText xml:space="preserve"> \* MERGEFORMAT </w:instrText>
      </w:r>
      <w:r w:rsidR="00483188" w:rsidRPr="00961D57">
        <w:fldChar w:fldCharType="separate"/>
      </w:r>
      <w:r w:rsidR="00F34FDF" w:rsidRPr="00961D57">
        <w:t>Table </w:t>
      </w:r>
      <w:r w:rsidR="00F34FDF">
        <w:t>1</w:t>
      </w:r>
      <w:r w:rsidR="00483188" w:rsidRPr="00961D57">
        <w:fldChar w:fldCharType="end"/>
      </w:r>
      <w:r w:rsidRPr="00961D57">
        <w:t>.</w:t>
      </w:r>
      <w:r w:rsidR="009954D3" w:rsidRPr="00961D57">
        <w:t xml:space="preserve"> </w:t>
      </w:r>
      <w:r w:rsidR="00BF2E48" w:rsidRPr="00961D57">
        <w:t>T</w:t>
      </w:r>
      <w:r w:rsidR="009954D3" w:rsidRPr="00961D57">
        <w:t xml:space="preserve">he </w:t>
      </w:r>
      <w:r w:rsidR="00DF0955" w:rsidRPr="00961D57">
        <w:t xml:space="preserve">survey </w:t>
      </w:r>
      <w:r w:rsidR="00BF2E48" w:rsidRPr="00961D57">
        <w:t xml:space="preserve">instrument is </w:t>
      </w:r>
      <w:r w:rsidR="00984073" w:rsidRPr="00961D57">
        <w:t>included</w:t>
      </w:r>
      <w:r w:rsidR="009954D3" w:rsidRPr="00961D57">
        <w:t xml:space="preserve"> in Appendix A.</w:t>
      </w:r>
      <w:r w:rsidR="00856DD9" w:rsidRPr="00961D57">
        <w:t xml:space="preserve"> The information collected through </w:t>
      </w:r>
      <w:r w:rsidR="00BF2E48" w:rsidRPr="00961D57">
        <w:t xml:space="preserve">the </w:t>
      </w:r>
      <w:r w:rsidR="00173ED7" w:rsidRPr="00961D57">
        <w:t xml:space="preserve">survey </w:t>
      </w:r>
      <w:r w:rsidR="00856DD9" w:rsidRPr="00961D57">
        <w:t xml:space="preserve">will complement the existing data by helping identify factors associated with </w:t>
      </w:r>
      <w:r w:rsidR="00E90E0A" w:rsidRPr="00961D57">
        <w:t xml:space="preserve">ADE </w:t>
      </w:r>
      <w:r w:rsidR="00856DD9" w:rsidRPr="00961D57">
        <w:t xml:space="preserve">outcomes of interest </w:t>
      </w:r>
      <w:r w:rsidR="00CD7204" w:rsidRPr="00961D57">
        <w:t>from existing data sets such as</w:t>
      </w:r>
      <w:r w:rsidR="00856DD9" w:rsidRPr="00961D57">
        <w:t xml:space="preserve"> Medicare claims. For example, </w:t>
      </w:r>
      <w:r w:rsidR="003D35FB" w:rsidRPr="00961D57">
        <w:t xml:space="preserve">claims data can provide information on whether the number of prescriptions for opioids has decreased, but not what has helped to facilitate the decrease. </w:t>
      </w:r>
      <w:r w:rsidR="00CD7204" w:rsidRPr="00961D57">
        <w:t>Please see Attachment 1 that provides a crosswalk of how the existing and new data sources will address the evaluation questions.</w:t>
      </w:r>
    </w:p>
    <w:p w14:paraId="6E6712CF" w14:textId="3803D3A5" w:rsidR="00EC524A" w:rsidRPr="00961D57" w:rsidRDefault="00EC524A" w:rsidP="00066C5F">
      <w:pPr>
        <w:pStyle w:val="Caption"/>
        <w:ind w:left="720"/>
      </w:pPr>
      <w:bookmarkStart w:id="2" w:name="_Ref449621004"/>
      <w:r w:rsidRPr="00961D57">
        <w:t>Table </w:t>
      </w:r>
      <w:r w:rsidR="005F2D7F">
        <w:rPr>
          <w:noProof/>
        </w:rPr>
        <w:fldChar w:fldCharType="begin"/>
      </w:r>
      <w:r w:rsidR="005F2D7F">
        <w:rPr>
          <w:noProof/>
        </w:rPr>
        <w:instrText xml:space="preserve"> SEQ Table \* ARABIC </w:instrText>
      </w:r>
      <w:r w:rsidR="005F2D7F">
        <w:rPr>
          <w:noProof/>
        </w:rPr>
        <w:fldChar w:fldCharType="separate"/>
      </w:r>
      <w:r w:rsidR="00F34FDF">
        <w:rPr>
          <w:noProof/>
        </w:rPr>
        <w:t>1</w:t>
      </w:r>
      <w:r w:rsidR="005F2D7F">
        <w:rPr>
          <w:noProof/>
        </w:rPr>
        <w:fldChar w:fldCharType="end"/>
      </w:r>
      <w:bookmarkEnd w:id="2"/>
      <w:r w:rsidRPr="00961D57">
        <w:t xml:space="preserve">: Overview of </w:t>
      </w:r>
      <w:r w:rsidR="00E90E0A" w:rsidRPr="00961D57">
        <w:t>IEC Community-Provider Survey</w:t>
      </w:r>
      <w:r w:rsidR="007902A3" w:rsidRPr="00961D57">
        <w:t xml:space="preserve"> </w:t>
      </w:r>
    </w:p>
    <w:tbl>
      <w:tblPr>
        <w:tblStyle w:val="TableGrid"/>
        <w:tblW w:w="5000" w:type="pct"/>
        <w:jc w:val="center"/>
        <w:tblLayout w:type="fixed"/>
        <w:tblCellMar>
          <w:top w:w="43" w:type="dxa"/>
          <w:left w:w="115" w:type="dxa"/>
          <w:bottom w:w="43" w:type="dxa"/>
          <w:right w:w="115" w:type="dxa"/>
        </w:tblCellMar>
        <w:tblLook w:val="04A0" w:firstRow="1" w:lastRow="0" w:firstColumn="1" w:lastColumn="0" w:noHBand="0" w:noVBand="1"/>
        <w:tblDescription w:val="Data Collection Methods, Survey Topics, Respondents and Frequency are shown"/>
      </w:tblPr>
      <w:tblGrid>
        <w:gridCol w:w="1657"/>
        <w:gridCol w:w="3046"/>
        <w:gridCol w:w="2956"/>
        <w:gridCol w:w="1931"/>
      </w:tblGrid>
      <w:tr w:rsidR="00961D57" w:rsidRPr="00961D57" w14:paraId="262C99FC" w14:textId="77777777" w:rsidTr="001745F0">
        <w:trPr>
          <w:cantSplit/>
          <w:tblHeader/>
          <w:jc w:val="center"/>
        </w:trPr>
        <w:tc>
          <w:tcPr>
            <w:tcW w:w="864" w:type="pct"/>
            <w:shd w:val="clear" w:color="auto" w:fill="D0CECE" w:themeFill="background2" w:themeFillShade="E6"/>
            <w:vAlign w:val="bottom"/>
            <w:hideMark/>
          </w:tcPr>
          <w:p w14:paraId="03498AD6" w14:textId="77777777" w:rsidR="00EC524A" w:rsidRPr="00961D57" w:rsidRDefault="0058097D" w:rsidP="007E70E6">
            <w:pPr>
              <w:jc w:val="center"/>
              <w:rPr>
                <w:b/>
                <w:sz w:val="22"/>
                <w:szCs w:val="22"/>
              </w:rPr>
            </w:pPr>
            <w:r w:rsidRPr="00961D57">
              <w:rPr>
                <w:b/>
                <w:sz w:val="22"/>
                <w:szCs w:val="22"/>
              </w:rPr>
              <w:t>Survey Mode</w:t>
            </w:r>
          </w:p>
        </w:tc>
        <w:tc>
          <w:tcPr>
            <w:tcW w:w="1588" w:type="pct"/>
            <w:shd w:val="clear" w:color="auto" w:fill="D0CECE" w:themeFill="background2" w:themeFillShade="E6"/>
            <w:vAlign w:val="bottom"/>
            <w:hideMark/>
          </w:tcPr>
          <w:p w14:paraId="375FDC21" w14:textId="77777777" w:rsidR="00EC524A" w:rsidRPr="00961D57" w:rsidRDefault="00EC524A" w:rsidP="007E70E6">
            <w:pPr>
              <w:jc w:val="center"/>
              <w:rPr>
                <w:b/>
                <w:sz w:val="22"/>
                <w:szCs w:val="22"/>
              </w:rPr>
            </w:pPr>
            <w:r w:rsidRPr="00961D57">
              <w:rPr>
                <w:b/>
                <w:sz w:val="22"/>
                <w:szCs w:val="22"/>
              </w:rPr>
              <w:t>Surve</w:t>
            </w:r>
            <w:r w:rsidR="00C538BF" w:rsidRPr="00961D57">
              <w:rPr>
                <w:b/>
                <w:sz w:val="22"/>
                <w:szCs w:val="22"/>
              </w:rPr>
              <w:t>y</w:t>
            </w:r>
            <w:r w:rsidRPr="00961D57">
              <w:rPr>
                <w:b/>
                <w:sz w:val="22"/>
                <w:szCs w:val="22"/>
              </w:rPr>
              <w:t xml:space="preserve"> Topics</w:t>
            </w:r>
          </w:p>
        </w:tc>
        <w:tc>
          <w:tcPr>
            <w:tcW w:w="1541" w:type="pct"/>
            <w:shd w:val="clear" w:color="auto" w:fill="D0CECE" w:themeFill="background2" w:themeFillShade="E6"/>
            <w:vAlign w:val="bottom"/>
            <w:hideMark/>
          </w:tcPr>
          <w:p w14:paraId="738CB428" w14:textId="77777777" w:rsidR="00EC524A" w:rsidRPr="00961D57" w:rsidRDefault="001D6FA8" w:rsidP="007E70E6">
            <w:pPr>
              <w:jc w:val="center"/>
              <w:rPr>
                <w:b/>
                <w:sz w:val="22"/>
                <w:szCs w:val="22"/>
              </w:rPr>
            </w:pPr>
            <w:r w:rsidRPr="00961D57">
              <w:rPr>
                <w:b/>
                <w:sz w:val="22"/>
                <w:szCs w:val="22"/>
              </w:rPr>
              <w:t>Participants</w:t>
            </w:r>
          </w:p>
        </w:tc>
        <w:tc>
          <w:tcPr>
            <w:tcW w:w="1007" w:type="pct"/>
            <w:shd w:val="clear" w:color="auto" w:fill="D0CECE" w:themeFill="background2" w:themeFillShade="E6"/>
            <w:vAlign w:val="bottom"/>
            <w:hideMark/>
          </w:tcPr>
          <w:p w14:paraId="77E84F06" w14:textId="77777777" w:rsidR="00EC524A" w:rsidRPr="00961D57" w:rsidRDefault="00EC524A" w:rsidP="007E70E6">
            <w:pPr>
              <w:jc w:val="center"/>
              <w:rPr>
                <w:b/>
                <w:sz w:val="22"/>
                <w:szCs w:val="22"/>
              </w:rPr>
            </w:pPr>
            <w:r w:rsidRPr="00961D57">
              <w:rPr>
                <w:b/>
                <w:sz w:val="22"/>
                <w:szCs w:val="22"/>
              </w:rPr>
              <w:t>Frequency</w:t>
            </w:r>
          </w:p>
        </w:tc>
      </w:tr>
      <w:tr w:rsidR="007902A3" w:rsidRPr="00961D57" w14:paraId="2D0464F9" w14:textId="77777777" w:rsidTr="001745F0">
        <w:trPr>
          <w:cantSplit/>
          <w:jc w:val="center"/>
        </w:trPr>
        <w:tc>
          <w:tcPr>
            <w:tcW w:w="864" w:type="pct"/>
          </w:tcPr>
          <w:p w14:paraId="181C1551" w14:textId="063A7FA5" w:rsidR="00EC524A" w:rsidRPr="00961D57" w:rsidRDefault="00C538BF" w:rsidP="00D84D19">
            <w:pPr>
              <w:rPr>
                <w:sz w:val="22"/>
                <w:szCs w:val="22"/>
              </w:rPr>
            </w:pPr>
            <w:r w:rsidRPr="00961D57">
              <w:rPr>
                <w:sz w:val="22"/>
                <w:szCs w:val="22"/>
              </w:rPr>
              <w:t>Online</w:t>
            </w:r>
            <w:r w:rsidR="006744C6" w:rsidRPr="00961D57">
              <w:rPr>
                <w:sz w:val="22"/>
                <w:szCs w:val="22"/>
              </w:rPr>
              <w:t xml:space="preserve"> </w:t>
            </w:r>
            <w:r w:rsidR="008C030C" w:rsidRPr="00961D57">
              <w:rPr>
                <w:sz w:val="22"/>
                <w:szCs w:val="22"/>
              </w:rPr>
              <w:t>survey</w:t>
            </w:r>
            <w:r w:rsidR="00BF2E48" w:rsidRPr="00961D57">
              <w:rPr>
                <w:sz w:val="22"/>
                <w:szCs w:val="22"/>
              </w:rPr>
              <w:t xml:space="preserve"> </w:t>
            </w:r>
            <w:r w:rsidR="00BE788D" w:rsidRPr="00961D57">
              <w:rPr>
                <w:sz w:val="22"/>
                <w:szCs w:val="22"/>
              </w:rPr>
              <w:t xml:space="preserve">community- </w:t>
            </w:r>
            <w:r w:rsidR="00BF2E48" w:rsidRPr="00961D57">
              <w:rPr>
                <w:sz w:val="22"/>
                <w:szCs w:val="22"/>
              </w:rPr>
              <w:t xml:space="preserve">based </w:t>
            </w:r>
            <w:r w:rsidR="00BE788D" w:rsidRPr="00961D57">
              <w:rPr>
                <w:sz w:val="22"/>
                <w:szCs w:val="22"/>
              </w:rPr>
              <w:t>pharmacists and healthcare</w:t>
            </w:r>
            <w:r w:rsidR="00BF2E48" w:rsidRPr="00961D57">
              <w:rPr>
                <w:sz w:val="22"/>
                <w:szCs w:val="22"/>
              </w:rPr>
              <w:t xml:space="preserve"> providers </w:t>
            </w:r>
          </w:p>
        </w:tc>
        <w:tc>
          <w:tcPr>
            <w:tcW w:w="1588" w:type="pct"/>
          </w:tcPr>
          <w:p w14:paraId="086A83D2" w14:textId="77777777" w:rsidR="00EC524A" w:rsidRPr="00961D57" w:rsidRDefault="002F5A08" w:rsidP="001745F0">
            <w:pPr>
              <w:pStyle w:val="ListBullet"/>
              <w:tabs>
                <w:tab w:val="clear" w:pos="360"/>
              </w:tabs>
              <w:spacing w:before="0" w:after="0"/>
              <w:ind w:left="187" w:hanging="187"/>
              <w:rPr>
                <w:sz w:val="22"/>
                <w:szCs w:val="22"/>
              </w:rPr>
            </w:pPr>
            <w:r w:rsidRPr="00961D57">
              <w:rPr>
                <w:sz w:val="22"/>
                <w:szCs w:val="22"/>
              </w:rPr>
              <w:t>Community-based h</w:t>
            </w:r>
            <w:r w:rsidR="00E7062D" w:rsidRPr="00961D57">
              <w:rPr>
                <w:sz w:val="22"/>
                <w:szCs w:val="22"/>
              </w:rPr>
              <w:t>ealthcare providers’</w:t>
            </w:r>
            <w:r w:rsidR="00EC524A" w:rsidRPr="00961D57">
              <w:rPr>
                <w:sz w:val="22"/>
                <w:szCs w:val="22"/>
              </w:rPr>
              <w:t xml:space="preserve"> </w:t>
            </w:r>
            <w:r w:rsidR="00E7062D" w:rsidRPr="00961D57">
              <w:rPr>
                <w:sz w:val="22"/>
                <w:szCs w:val="22"/>
              </w:rPr>
              <w:t>quality improvement efforts to prevent ADEs</w:t>
            </w:r>
          </w:p>
          <w:p w14:paraId="794FB606" w14:textId="77777777" w:rsidR="00EC524A" w:rsidRPr="00961D57" w:rsidRDefault="00EC524A" w:rsidP="001745F0">
            <w:pPr>
              <w:pStyle w:val="ListBullet"/>
              <w:tabs>
                <w:tab w:val="clear" w:pos="360"/>
              </w:tabs>
              <w:spacing w:before="0" w:after="0"/>
              <w:ind w:left="187" w:hanging="187"/>
              <w:rPr>
                <w:sz w:val="22"/>
                <w:szCs w:val="22"/>
              </w:rPr>
            </w:pPr>
            <w:r w:rsidRPr="00961D57">
              <w:rPr>
                <w:sz w:val="22"/>
                <w:szCs w:val="22"/>
              </w:rPr>
              <w:t>Attribution of the QIN-QIO program for quality improvement outcomes</w:t>
            </w:r>
          </w:p>
          <w:p w14:paraId="020700DD" w14:textId="77777777" w:rsidR="00EC524A" w:rsidRPr="00961D57" w:rsidRDefault="00EC524A" w:rsidP="001745F0">
            <w:pPr>
              <w:pStyle w:val="ListBullet"/>
              <w:tabs>
                <w:tab w:val="clear" w:pos="360"/>
              </w:tabs>
              <w:spacing w:before="0" w:after="0"/>
              <w:ind w:left="187" w:hanging="187"/>
              <w:rPr>
                <w:sz w:val="22"/>
                <w:szCs w:val="22"/>
              </w:rPr>
            </w:pPr>
            <w:r w:rsidRPr="00961D57">
              <w:rPr>
                <w:sz w:val="22"/>
                <w:szCs w:val="22"/>
              </w:rPr>
              <w:t xml:space="preserve">Level of </w:t>
            </w:r>
            <w:r w:rsidR="00E7062D" w:rsidRPr="00961D57">
              <w:rPr>
                <w:sz w:val="22"/>
                <w:szCs w:val="22"/>
              </w:rPr>
              <w:t>involvement</w:t>
            </w:r>
            <w:r w:rsidRPr="00961D57">
              <w:rPr>
                <w:sz w:val="22"/>
                <w:szCs w:val="22"/>
              </w:rPr>
              <w:t xml:space="preserve"> with QIN-QIO program</w:t>
            </w:r>
          </w:p>
          <w:p w14:paraId="61B8DB5A" w14:textId="77777777" w:rsidR="00EC524A" w:rsidRPr="00961D57" w:rsidRDefault="00E7062D" w:rsidP="001745F0">
            <w:pPr>
              <w:pStyle w:val="ListBullet"/>
              <w:tabs>
                <w:tab w:val="clear" w:pos="360"/>
              </w:tabs>
              <w:spacing w:before="0" w:after="0"/>
              <w:ind w:left="187" w:hanging="187"/>
              <w:rPr>
                <w:sz w:val="22"/>
                <w:szCs w:val="22"/>
              </w:rPr>
            </w:pPr>
            <w:r w:rsidRPr="00961D57">
              <w:rPr>
                <w:sz w:val="22"/>
                <w:szCs w:val="22"/>
              </w:rPr>
              <w:t>QIN-QIO interventions used by healthcare providers</w:t>
            </w:r>
            <w:r w:rsidR="00EC524A" w:rsidRPr="00961D57">
              <w:rPr>
                <w:sz w:val="22"/>
                <w:szCs w:val="22"/>
              </w:rPr>
              <w:t xml:space="preserve"> </w:t>
            </w:r>
          </w:p>
        </w:tc>
        <w:tc>
          <w:tcPr>
            <w:tcW w:w="1541" w:type="pct"/>
          </w:tcPr>
          <w:p w14:paraId="0BC3E6F7" w14:textId="77777777" w:rsidR="006D5748" w:rsidRPr="00961D57" w:rsidRDefault="00BD120A" w:rsidP="001745F0">
            <w:pPr>
              <w:pStyle w:val="ListBullet"/>
              <w:tabs>
                <w:tab w:val="clear" w:pos="360"/>
              </w:tabs>
              <w:spacing w:before="0" w:after="0"/>
              <w:ind w:left="187" w:hanging="187"/>
              <w:rPr>
                <w:sz w:val="22"/>
                <w:szCs w:val="22"/>
              </w:rPr>
            </w:pPr>
            <w:r w:rsidRPr="00961D57">
              <w:rPr>
                <w:sz w:val="22"/>
                <w:szCs w:val="22"/>
              </w:rPr>
              <w:t>6</w:t>
            </w:r>
            <w:r w:rsidR="00B20937" w:rsidRPr="00961D57">
              <w:rPr>
                <w:sz w:val="22"/>
                <w:szCs w:val="22"/>
              </w:rPr>
              <w:t xml:space="preserve">00 </w:t>
            </w:r>
            <w:r w:rsidR="001D6FA8" w:rsidRPr="00961D57">
              <w:rPr>
                <w:sz w:val="22"/>
                <w:szCs w:val="22"/>
              </w:rPr>
              <w:t>P</w:t>
            </w:r>
            <w:r w:rsidR="00974B43" w:rsidRPr="00961D57">
              <w:rPr>
                <w:sz w:val="22"/>
                <w:szCs w:val="22"/>
              </w:rPr>
              <w:t xml:space="preserve">harmacists </w:t>
            </w:r>
            <w:r w:rsidR="00BF2E48" w:rsidRPr="00961D57">
              <w:rPr>
                <w:sz w:val="22"/>
                <w:szCs w:val="22"/>
              </w:rPr>
              <w:t>(</w:t>
            </w:r>
            <w:r w:rsidR="0064436B" w:rsidRPr="00961D57">
              <w:rPr>
                <w:sz w:val="22"/>
                <w:szCs w:val="22"/>
              </w:rPr>
              <w:t>30</w:t>
            </w:r>
            <w:r w:rsidR="00EE4510" w:rsidRPr="00961D57">
              <w:rPr>
                <w:sz w:val="22"/>
                <w:szCs w:val="22"/>
              </w:rPr>
              <w:t>0 in participating</w:t>
            </w:r>
            <w:r w:rsidR="00BF2E48" w:rsidRPr="00961D57">
              <w:rPr>
                <w:sz w:val="22"/>
                <w:szCs w:val="22"/>
              </w:rPr>
              <w:t xml:space="preserve"> group and </w:t>
            </w:r>
            <w:r w:rsidR="0064436B" w:rsidRPr="00961D57">
              <w:rPr>
                <w:sz w:val="22"/>
                <w:szCs w:val="22"/>
              </w:rPr>
              <w:t>30</w:t>
            </w:r>
            <w:r w:rsidR="00BF2E48" w:rsidRPr="00961D57">
              <w:rPr>
                <w:sz w:val="22"/>
                <w:szCs w:val="22"/>
              </w:rPr>
              <w:t xml:space="preserve">0 in </w:t>
            </w:r>
            <w:r w:rsidR="00F23533" w:rsidRPr="00961D57">
              <w:rPr>
                <w:sz w:val="22"/>
                <w:szCs w:val="22"/>
              </w:rPr>
              <w:t>non-participating</w:t>
            </w:r>
            <w:r w:rsidR="00BF2E48" w:rsidRPr="00961D57">
              <w:rPr>
                <w:sz w:val="22"/>
                <w:szCs w:val="22"/>
              </w:rPr>
              <w:t xml:space="preserve"> group)</w:t>
            </w:r>
          </w:p>
          <w:p w14:paraId="75803EFC" w14:textId="055E0DE8" w:rsidR="00BF2E48" w:rsidRPr="00961D57" w:rsidRDefault="003C6484" w:rsidP="001745F0">
            <w:pPr>
              <w:pStyle w:val="ListBullet"/>
              <w:tabs>
                <w:tab w:val="clear" w:pos="360"/>
              </w:tabs>
              <w:spacing w:before="0" w:after="0"/>
              <w:ind w:left="187" w:hanging="187"/>
              <w:rPr>
                <w:sz w:val="22"/>
                <w:szCs w:val="22"/>
              </w:rPr>
            </w:pPr>
            <w:r w:rsidRPr="00961D57">
              <w:rPr>
                <w:sz w:val="22"/>
                <w:szCs w:val="22"/>
              </w:rPr>
              <w:t xml:space="preserve">600 </w:t>
            </w:r>
            <w:r w:rsidR="008C7FEE" w:rsidRPr="00961D57">
              <w:rPr>
                <w:sz w:val="22"/>
                <w:szCs w:val="22"/>
              </w:rPr>
              <w:t>Providers</w:t>
            </w:r>
            <w:r w:rsidR="00BF2E48" w:rsidRPr="00961D57">
              <w:rPr>
                <w:sz w:val="22"/>
                <w:szCs w:val="22"/>
              </w:rPr>
              <w:t xml:space="preserve"> (</w:t>
            </w:r>
            <w:r w:rsidRPr="00961D57">
              <w:rPr>
                <w:sz w:val="22"/>
                <w:szCs w:val="22"/>
              </w:rPr>
              <w:t xml:space="preserve">300 </w:t>
            </w:r>
            <w:r w:rsidR="00BF2E48" w:rsidRPr="00961D57">
              <w:rPr>
                <w:sz w:val="22"/>
                <w:szCs w:val="22"/>
              </w:rPr>
              <w:t xml:space="preserve">in </w:t>
            </w:r>
            <w:r w:rsidR="00EE4510" w:rsidRPr="00961D57">
              <w:rPr>
                <w:sz w:val="22"/>
                <w:szCs w:val="22"/>
              </w:rPr>
              <w:t xml:space="preserve">participating </w:t>
            </w:r>
            <w:r w:rsidR="00BF2E48" w:rsidRPr="00961D57">
              <w:rPr>
                <w:sz w:val="22"/>
                <w:szCs w:val="22"/>
              </w:rPr>
              <w:t xml:space="preserve">group and </w:t>
            </w:r>
            <w:r w:rsidRPr="00961D57">
              <w:rPr>
                <w:sz w:val="22"/>
                <w:szCs w:val="22"/>
              </w:rPr>
              <w:t xml:space="preserve">300 </w:t>
            </w:r>
            <w:r w:rsidR="00BF2E48" w:rsidRPr="00961D57">
              <w:rPr>
                <w:sz w:val="22"/>
                <w:szCs w:val="22"/>
              </w:rPr>
              <w:t xml:space="preserve">in </w:t>
            </w:r>
            <w:r w:rsidR="00F23533" w:rsidRPr="00961D57">
              <w:rPr>
                <w:sz w:val="22"/>
                <w:szCs w:val="22"/>
              </w:rPr>
              <w:t xml:space="preserve">non-participating </w:t>
            </w:r>
            <w:r w:rsidR="00BF2E48" w:rsidRPr="00961D57">
              <w:rPr>
                <w:sz w:val="22"/>
                <w:szCs w:val="22"/>
              </w:rPr>
              <w:t>group)</w:t>
            </w:r>
          </w:p>
          <w:p w14:paraId="53FD3EA9" w14:textId="18527B1C" w:rsidR="006D5748" w:rsidRPr="00961D57" w:rsidRDefault="006D5748" w:rsidP="008C7FEE">
            <w:pPr>
              <w:pStyle w:val="ListBullet"/>
              <w:numPr>
                <w:ilvl w:val="0"/>
                <w:numId w:val="0"/>
              </w:numPr>
              <w:spacing w:before="0" w:after="0"/>
              <w:ind w:left="187"/>
              <w:rPr>
                <w:sz w:val="22"/>
                <w:szCs w:val="22"/>
              </w:rPr>
            </w:pPr>
          </w:p>
        </w:tc>
        <w:tc>
          <w:tcPr>
            <w:tcW w:w="1007" w:type="pct"/>
          </w:tcPr>
          <w:p w14:paraId="3559AFA3" w14:textId="77777777" w:rsidR="00E12993" w:rsidRPr="00961D57" w:rsidRDefault="00650E2D" w:rsidP="008D5E91">
            <w:pPr>
              <w:rPr>
                <w:sz w:val="22"/>
                <w:szCs w:val="22"/>
              </w:rPr>
            </w:pPr>
            <w:r w:rsidRPr="00961D57">
              <w:rPr>
                <w:sz w:val="22"/>
                <w:szCs w:val="22"/>
              </w:rPr>
              <w:t xml:space="preserve">Once </w:t>
            </w:r>
          </w:p>
          <w:p w14:paraId="4CB3DCAD" w14:textId="4785721E" w:rsidR="00EC524A" w:rsidRPr="00961D57" w:rsidRDefault="00650E2D" w:rsidP="008D5E91">
            <w:pPr>
              <w:rPr>
                <w:sz w:val="22"/>
                <w:szCs w:val="22"/>
              </w:rPr>
            </w:pPr>
            <w:r w:rsidRPr="00961D57">
              <w:rPr>
                <w:sz w:val="22"/>
                <w:szCs w:val="22"/>
              </w:rPr>
              <w:t>(</w:t>
            </w:r>
            <w:r w:rsidR="00E90E0A" w:rsidRPr="00961D57">
              <w:rPr>
                <w:sz w:val="22"/>
                <w:szCs w:val="22"/>
              </w:rPr>
              <w:t>May</w:t>
            </w:r>
            <w:r w:rsidR="00F46A5F">
              <w:rPr>
                <w:sz w:val="22"/>
                <w:szCs w:val="22"/>
              </w:rPr>
              <w:t>-June</w:t>
            </w:r>
            <w:r w:rsidR="00E90E0A" w:rsidRPr="00961D57">
              <w:rPr>
                <w:sz w:val="22"/>
                <w:szCs w:val="22"/>
              </w:rPr>
              <w:t xml:space="preserve"> </w:t>
            </w:r>
            <w:r w:rsidRPr="00961D57">
              <w:rPr>
                <w:sz w:val="22"/>
                <w:szCs w:val="22"/>
              </w:rPr>
              <w:t>2019)</w:t>
            </w:r>
          </w:p>
          <w:p w14:paraId="2B25B83C" w14:textId="77777777" w:rsidR="008E0F78" w:rsidRPr="00961D57" w:rsidRDefault="008072A3" w:rsidP="001745F0">
            <w:pPr>
              <w:pStyle w:val="ListParagraph"/>
              <w:numPr>
                <w:ilvl w:val="0"/>
                <w:numId w:val="25"/>
              </w:numPr>
              <w:ind w:left="187" w:hanging="187"/>
              <w:contextualSpacing w:val="0"/>
              <w:rPr>
                <w:sz w:val="22"/>
              </w:rPr>
            </w:pPr>
            <w:r w:rsidRPr="00961D57">
              <w:rPr>
                <w:sz w:val="22"/>
              </w:rPr>
              <w:t>20-minute</w:t>
            </w:r>
            <w:r w:rsidR="008E0F78" w:rsidRPr="00961D57">
              <w:rPr>
                <w:sz w:val="22"/>
              </w:rPr>
              <w:t xml:space="preserve"> survey for </w:t>
            </w:r>
            <w:r w:rsidR="00F23533" w:rsidRPr="00961D57">
              <w:rPr>
                <w:sz w:val="22"/>
                <w:szCs w:val="22"/>
              </w:rPr>
              <w:t>participating</w:t>
            </w:r>
            <w:r w:rsidR="008E0F78" w:rsidRPr="00961D57">
              <w:rPr>
                <w:sz w:val="22"/>
              </w:rPr>
              <w:t xml:space="preserve"> </w:t>
            </w:r>
            <w:r w:rsidR="00F23533" w:rsidRPr="00961D57">
              <w:rPr>
                <w:sz w:val="22"/>
              </w:rPr>
              <w:t>respondents</w:t>
            </w:r>
          </w:p>
          <w:p w14:paraId="6119920A" w14:textId="77777777" w:rsidR="008E0F78" w:rsidRPr="00961D57" w:rsidRDefault="008072A3" w:rsidP="001745F0">
            <w:pPr>
              <w:pStyle w:val="ListParagraph"/>
              <w:numPr>
                <w:ilvl w:val="0"/>
                <w:numId w:val="25"/>
              </w:numPr>
              <w:ind w:left="187" w:hanging="187"/>
              <w:contextualSpacing w:val="0"/>
              <w:rPr>
                <w:sz w:val="22"/>
              </w:rPr>
            </w:pPr>
            <w:r w:rsidRPr="00961D57">
              <w:rPr>
                <w:sz w:val="22"/>
              </w:rPr>
              <w:t>10-minute</w:t>
            </w:r>
            <w:r w:rsidR="008E0F78" w:rsidRPr="00961D57">
              <w:rPr>
                <w:sz w:val="22"/>
              </w:rPr>
              <w:t xml:space="preserve"> s</w:t>
            </w:r>
            <w:r w:rsidR="00B20937" w:rsidRPr="00961D57">
              <w:rPr>
                <w:sz w:val="22"/>
              </w:rPr>
              <w:t xml:space="preserve">urvey for </w:t>
            </w:r>
            <w:r w:rsidR="00F23533" w:rsidRPr="00961D57">
              <w:rPr>
                <w:sz w:val="22"/>
                <w:szCs w:val="22"/>
              </w:rPr>
              <w:t>non-participating</w:t>
            </w:r>
            <w:r w:rsidR="00F23533" w:rsidRPr="00961D57">
              <w:rPr>
                <w:sz w:val="22"/>
              </w:rPr>
              <w:t xml:space="preserve"> respondents</w:t>
            </w:r>
          </w:p>
        </w:tc>
      </w:tr>
    </w:tbl>
    <w:p w14:paraId="1CA2680B" w14:textId="77777777" w:rsidR="00BF4287" w:rsidRPr="00961D57" w:rsidRDefault="00BF4287" w:rsidP="007E70E6"/>
    <w:p w14:paraId="1D7E41B2" w14:textId="77777777" w:rsidR="00A87CDD" w:rsidRPr="00961D57" w:rsidRDefault="00A87CDD" w:rsidP="007E70E6">
      <w:pPr>
        <w:pStyle w:val="Heading2"/>
        <w:numPr>
          <w:ilvl w:val="0"/>
          <w:numId w:val="0"/>
        </w:numPr>
        <w:ind w:left="360" w:hanging="360"/>
      </w:pPr>
      <w:r w:rsidRPr="00961D57">
        <w:t>Justification</w:t>
      </w:r>
    </w:p>
    <w:p w14:paraId="0FAAF906" w14:textId="77777777" w:rsidR="00A87CDD" w:rsidRPr="00961D57" w:rsidRDefault="00A87CDD" w:rsidP="00066C5F">
      <w:pPr>
        <w:pStyle w:val="Heading3"/>
      </w:pPr>
      <w:r w:rsidRPr="00961D57">
        <w:t>Need and Legal Basis</w:t>
      </w:r>
    </w:p>
    <w:p w14:paraId="2D2006DD" w14:textId="77777777" w:rsidR="00A87CDD" w:rsidRPr="00961D57" w:rsidRDefault="00A87CDD" w:rsidP="007E70E6">
      <w:pPr>
        <w:pStyle w:val="BodyText2"/>
      </w:pPr>
      <w:r w:rsidRPr="00961D57">
        <w:t xml:space="preserve">The QIO </w:t>
      </w:r>
      <w:r w:rsidR="006061C1" w:rsidRPr="00961D57">
        <w:t>p</w:t>
      </w:r>
      <w:r w:rsidRPr="00961D57">
        <w:t xml:space="preserve">rogram is mandated by Sections 1152-1154 of Part B of Title XI of the Social Security Act, as amended by the Peer Review Improvement Act of 1982 and by the Trade Adjustment Assistance reauthorization bill (Pub. L. 112-40) signed by the President in October 2011. This law includes language </w:t>
      </w:r>
      <w:r w:rsidR="00104343" w:rsidRPr="00961D57">
        <w:t>authorizing evaluation of</w:t>
      </w:r>
      <w:r w:rsidRPr="00961D57">
        <w:t xml:space="preserve"> the QIO </w:t>
      </w:r>
      <w:r w:rsidR="006061C1" w:rsidRPr="00961D57">
        <w:t>p</w:t>
      </w:r>
      <w:r w:rsidRPr="00961D57">
        <w:t>rogram:</w:t>
      </w:r>
      <w:r w:rsidR="00445D0D" w:rsidRPr="00961D57">
        <w:t xml:space="preserve"> </w:t>
      </w:r>
    </w:p>
    <w:p w14:paraId="40B42227" w14:textId="77777777" w:rsidR="00A87CDD" w:rsidRPr="00961D57" w:rsidRDefault="00A87CDD" w:rsidP="007E70E6">
      <w:pPr>
        <w:pStyle w:val="BodyText2"/>
      </w:pPr>
      <w:bookmarkStart w:id="3" w:name="act-1153-c-2"/>
      <w:r w:rsidRPr="00961D57">
        <w:t>§</w:t>
      </w:r>
      <w:r w:rsidRPr="00961D57">
        <w:rPr>
          <w:smallCaps/>
        </w:rPr>
        <w:t xml:space="preserve"> </w:t>
      </w:r>
      <w:r w:rsidRPr="00961D57">
        <w:t>Social Security Section. </w:t>
      </w:r>
      <w:bookmarkStart w:id="4" w:name="act-1153"/>
      <w:r w:rsidRPr="00961D57">
        <w:t>1153</w:t>
      </w:r>
      <w:bookmarkEnd w:id="4"/>
      <w:r w:rsidRPr="00961D57">
        <w:t>. [42 U.S.C. 1320c–2] c(2)</w:t>
      </w:r>
      <w:bookmarkEnd w:id="3"/>
      <w:r w:rsidRPr="00961D57">
        <w:t>: “the Secretary shall have the right to evaluate the quality and effectiveness of the organization in carrying out the functions specified in the contract.”</w:t>
      </w:r>
      <w:r w:rsidRPr="00961D57">
        <w:rPr>
          <w:rStyle w:val="FootnoteReference"/>
        </w:rPr>
        <w:footnoteReference w:id="18"/>
      </w:r>
    </w:p>
    <w:p w14:paraId="598F1226" w14:textId="77777777" w:rsidR="00A87CDD" w:rsidRPr="00961D57" w:rsidRDefault="003D1135" w:rsidP="007E70E6">
      <w:pPr>
        <w:pStyle w:val="BodyText2"/>
      </w:pPr>
      <w:r w:rsidRPr="00961D57">
        <w:t>Our proposed data collection is necessary for CMS to evaluate the QIO program and provide reports on the performance of QIOs. Sections 1152-1154 of Part B of Title XI of the Social Security Act</w:t>
      </w:r>
      <w:r w:rsidR="00A87CDD" w:rsidRPr="00961D57">
        <w:t xml:space="preserve"> requires CMS to “regularly furnish each quality improvement organization with a contract under this section with a report that documents the performance of the organization in relation to the performance of other such organizations.” </w:t>
      </w:r>
    </w:p>
    <w:p w14:paraId="60B82FCB" w14:textId="77777777" w:rsidR="00A87CDD" w:rsidRPr="00961D57" w:rsidRDefault="00A87CDD" w:rsidP="007E70E6">
      <w:pPr>
        <w:pStyle w:val="BodyText2"/>
      </w:pPr>
      <w:r w:rsidRPr="00961D57">
        <w:t>As required by this law, CMS published the general criteria and standards used for evaluating the efficient and effective performance of contract obligations for the program and provided the opportunity for public comment in the following Federal Register notice:</w:t>
      </w:r>
    </w:p>
    <w:p w14:paraId="150E5F7B" w14:textId="77777777" w:rsidR="00A87CDD" w:rsidRPr="00961D57" w:rsidRDefault="00A87CDD" w:rsidP="00066C5F">
      <w:pPr>
        <w:pStyle w:val="ListBullet"/>
        <w:tabs>
          <w:tab w:val="clear" w:pos="360"/>
          <w:tab w:val="num" w:pos="1080"/>
        </w:tabs>
        <w:ind w:left="1080"/>
      </w:pPr>
      <w:r w:rsidRPr="00961D57">
        <w:t xml:space="preserve">Medicare Program; Evaluation Criteria and Standards for Quality Improvement Networks Quality Improvement Program Contracts [Base and Task Order(s)]: 60-day Notice published on August 11, 2014 in Federal Register Volume 79, Number 154, pg. 46830-46835 (CMS–3300–NC); Final Notice published on December 30, 2014 in Federal Register Volume 79, Number 249, pg. 78440-78442 CMS–3300–FN). </w:t>
      </w:r>
    </w:p>
    <w:p w14:paraId="6371B844" w14:textId="77777777" w:rsidR="00CB30F8" w:rsidRPr="00961D57" w:rsidRDefault="00CB30F8" w:rsidP="00CB30F8">
      <w:pPr>
        <w:pStyle w:val="ListBullet"/>
        <w:numPr>
          <w:ilvl w:val="0"/>
          <w:numId w:val="0"/>
        </w:numPr>
        <w:ind w:left="360"/>
      </w:pPr>
      <w:r w:rsidRPr="00961D57">
        <w:t xml:space="preserve">These evaluation criteria are required for contract monitoring rather than evaluation of overall impact of the program. We will use </w:t>
      </w:r>
      <w:r w:rsidR="009D1161" w:rsidRPr="00961D57">
        <w:t>the</w:t>
      </w:r>
      <w:r w:rsidRPr="00961D57">
        <w:t xml:space="preserve"> data required for contract monitoring </w:t>
      </w:r>
      <w:r w:rsidR="009D1161" w:rsidRPr="00961D57">
        <w:t xml:space="preserve">along with the proposed data </w:t>
      </w:r>
      <w:r w:rsidRPr="00961D57">
        <w:t>in outcome and impact analyses</w:t>
      </w:r>
      <w:r w:rsidR="00B44E77" w:rsidRPr="00961D57">
        <w:t>.</w:t>
      </w:r>
      <w:r w:rsidRPr="00961D57">
        <w:t xml:space="preserve"> Attachment 1 provides a crosswalk</w:t>
      </w:r>
      <w:r w:rsidRPr="00961D57">
        <w:rPr>
          <w:b/>
        </w:rPr>
        <w:t xml:space="preserve"> </w:t>
      </w:r>
      <w:r w:rsidRPr="00961D57">
        <w:t xml:space="preserve">between the evaluation </w:t>
      </w:r>
      <w:r w:rsidR="009D1161" w:rsidRPr="00961D57">
        <w:t xml:space="preserve">data needs, </w:t>
      </w:r>
      <w:r w:rsidRPr="00961D57">
        <w:t>existing data</w:t>
      </w:r>
      <w:r w:rsidR="003B1759" w:rsidRPr="00961D57">
        <w:t xml:space="preserve"> sources</w:t>
      </w:r>
      <w:r w:rsidRPr="00961D57">
        <w:t xml:space="preserve">, and the </w:t>
      </w:r>
      <w:r w:rsidR="009D1161" w:rsidRPr="00961D57">
        <w:t>proposed</w:t>
      </w:r>
      <w:r w:rsidRPr="00961D57">
        <w:t xml:space="preserve"> data to be collected under this information collection request to show how the data will be integrated efficiently to assess the impact of the program.</w:t>
      </w:r>
    </w:p>
    <w:p w14:paraId="1CB6E697" w14:textId="77777777" w:rsidR="00A87CDD" w:rsidRPr="00961D57" w:rsidRDefault="00A87CDD" w:rsidP="00066C5F">
      <w:pPr>
        <w:pStyle w:val="Heading3"/>
      </w:pPr>
      <w:r w:rsidRPr="00961D57">
        <w:t>Information Users</w:t>
      </w:r>
    </w:p>
    <w:p w14:paraId="2FB8F930" w14:textId="77777777" w:rsidR="00A87CDD" w:rsidRPr="00961D57" w:rsidRDefault="00A87CDD" w:rsidP="008050AD">
      <w:pPr>
        <w:pStyle w:val="BodyText2"/>
      </w:pPr>
      <w:r w:rsidRPr="00961D57">
        <w:t>The purpose of this data collection is to inform the program evaluation of the QIO program’s 11</w:t>
      </w:r>
      <w:r w:rsidRPr="00961D57">
        <w:rPr>
          <w:vertAlign w:val="superscript"/>
        </w:rPr>
        <w:t>th</w:t>
      </w:r>
      <w:r w:rsidRPr="00961D57">
        <w:t xml:space="preserve"> SOW as required in Sections 1152-1154 of the Social Security Act. The </w:t>
      </w:r>
      <w:r w:rsidR="006E28AF" w:rsidRPr="00961D57">
        <w:t xml:space="preserve">current </w:t>
      </w:r>
      <w:r w:rsidR="00EC524A" w:rsidRPr="00961D57">
        <w:t>data collection</w:t>
      </w:r>
      <w:r w:rsidRPr="00961D57">
        <w:t xml:space="preserve"> will focus on the impact of the QIO program on </w:t>
      </w:r>
      <w:r w:rsidR="008C030C" w:rsidRPr="00961D57">
        <w:t xml:space="preserve">medication safety and reducing </w:t>
      </w:r>
      <w:r w:rsidR="003B1759" w:rsidRPr="00961D57">
        <w:t>ADEs</w:t>
      </w:r>
      <w:r w:rsidR="008C030C" w:rsidRPr="00961D57">
        <w:t xml:space="preserve"> through collaborations with community</w:t>
      </w:r>
      <w:r w:rsidR="00E7062D" w:rsidRPr="00961D57">
        <w:t>-based healthcare providers</w:t>
      </w:r>
      <w:r w:rsidRPr="00961D57">
        <w:t>.</w:t>
      </w:r>
      <w:r w:rsidRPr="00961D57">
        <w:rPr>
          <w:lang w:eastAsia="zh-TW"/>
        </w:rPr>
        <w:t xml:space="preserve"> </w:t>
      </w:r>
      <w:r w:rsidRPr="00961D57">
        <w:t xml:space="preserve">The findings </w:t>
      </w:r>
      <w:r w:rsidR="00E74030" w:rsidRPr="00961D57">
        <w:t>will also be used to inform CMS</w:t>
      </w:r>
      <w:r w:rsidRPr="00961D57">
        <w:t xml:space="preserve"> annual reports to Congress, reports and briefings to OMB, and other stakeholder groups. The results from this data collection may be published in annual program reports and peer-reviewed journal publications.</w:t>
      </w:r>
    </w:p>
    <w:p w14:paraId="663C611B" w14:textId="77777777" w:rsidR="00726A21" w:rsidRPr="00961D57" w:rsidRDefault="003B1759" w:rsidP="008050AD">
      <w:pPr>
        <w:spacing w:before="120" w:after="120"/>
        <w:ind w:left="360"/>
        <w:textAlignment w:val="center"/>
      </w:pPr>
      <w:r w:rsidRPr="00961D57">
        <w:t>CMS can use these findings to improve the delivery of the QIN-QIO program. For example, if we identify covariates</w:t>
      </w:r>
      <w:r w:rsidR="008D5E91" w:rsidRPr="00961D57">
        <w:t>, such as engagement with QIO,</w:t>
      </w:r>
      <w:r w:rsidRPr="00961D57">
        <w:t xml:space="preserve"> that are influential in predicting improved outcomes (e.g., reduced </w:t>
      </w:r>
      <w:r w:rsidR="00172F1C" w:rsidRPr="00961D57">
        <w:t>admissions</w:t>
      </w:r>
      <w:r w:rsidRPr="00961D57">
        <w:t xml:space="preserve">), CMS can focus on ways to increase engagement with healthcare providers or strategically recruit facilities that are most likely to benefit from the program. We will use this information to identify QIO program elements that help healthcare providers comply with the </w:t>
      </w:r>
      <w:r w:rsidRPr="00961D57">
        <w:rPr>
          <w:i/>
        </w:rPr>
        <w:t>National Action Plan for Adverse Drug Prevention Strategies</w:t>
      </w:r>
      <w:r w:rsidRPr="00961D57">
        <w:t>. CMS can also use this information to modify future Scopes of Work for continued improvement of the QIO Program.</w:t>
      </w:r>
      <w:r w:rsidR="00726A21" w:rsidRPr="00961D57">
        <w:t xml:space="preserve"> For example, </w:t>
      </w:r>
      <w:r w:rsidR="002261BC" w:rsidRPr="00961D57">
        <w:t>a strategic goal for the 12</w:t>
      </w:r>
      <w:r w:rsidR="002261BC" w:rsidRPr="00961D57">
        <w:rPr>
          <w:vertAlign w:val="superscript"/>
        </w:rPr>
        <w:t>th</w:t>
      </w:r>
      <w:r w:rsidR="002261BC" w:rsidRPr="00961D57">
        <w:t xml:space="preserve"> SOW is to empower patient and providers to make informed decisions</w:t>
      </w:r>
      <w:r w:rsidR="0071050B" w:rsidRPr="00961D57">
        <w:t>.</w:t>
      </w:r>
      <w:r w:rsidR="002261BC" w:rsidRPr="00961D57">
        <w:rPr>
          <w:rStyle w:val="FootnoteReference"/>
        </w:rPr>
        <w:footnoteReference w:id="19"/>
      </w:r>
      <w:r w:rsidR="002261BC" w:rsidRPr="00961D57">
        <w:t xml:space="preserve"> If involving beneficiaries and families is found to be correlated with effectiveness or engagement with QIOs, CMS can use this finding to support adding this aim to other programs addressing substance abuse. </w:t>
      </w:r>
    </w:p>
    <w:p w14:paraId="35662B44" w14:textId="77777777" w:rsidR="00726A21" w:rsidRPr="00961D57" w:rsidRDefault="00726A21" w:rsidP="008050AD">
      <w:pPr>
        <w:spacing w:before="120" w:after="120"/>
        <w:ind w:left="360"/>
        <w:textAlignment w:val="center"/>
      </w:pPr>
      <w:r w:rsidRPr="00961D57">
        <w:t>Since medication safety and ADE reduction will continue to be a focus in the 12</w:t>
      </w:r>
      <w:r w:rsidRPr="00961D57">
        <w:rPr>
          <w:vertAlign w:val="superscript"/>
        </w:rPr>
        <w:t>th</w:t>
      </w:r>
      <w:r w:rsidRPr="00961D57">
        <w:t xml:space="preserve"> SOW</w:t>
      </w:r>
      <w:r w:rsidR="006F66EB" w:rsidRPr="00961D57">
        <w:t>,</w:t>
      </w:r>
      <w:r w:rsidR="00EE4510" w:rsidRPr="00961D57">
        <w:rPr>
          <w:vertAlign w:val="superscript"/>
        </w:rPr>
        <w:t>18</w:t>
      </w:r>
      <w:r w:rsidR="002261BC" w:rsidRPr="00961D57">
        <w:t xml:space="preserve"> the survey will provide a baseline for activities, resources used, and perc</w:t>
      </w:r>
      <w:r w:rsidR="00327801" w:rsidRPr="00961D57">
        <w:t>eived effectiveness of the QIO p</w:t>
      </w:r>
      <w:r w:rsidR="002261BC" w:rsidRPr="00961D57">
        <w:t xml:space="preserve">rogram. </w:t>
      </w:r>
      <w:r w:rsidR="00327801" w:rsidRPr="00961D57">
        <w:t xml:space="preserve">Finally, CMS may use findings from the survey in Reports to Congress or responses to investigations from the General Accounting </w:t>
      </w:r>
      <w:r w:rsidR="006F66EB" w:rsidRPr="00961D57">
        <w:t>O</w:t>
      </w:r>
      <w:r w:rsidR="00327801" w:rsidRPr="00961D57">
        <w:t>ffice to address acceptance and use of the QIO program by community-based providers who are responsible for prescribing and filling the majority of prescriptions for high-risk medications to the Medicare population.</w:t>
      </w:r>
    </w:p>
    <w:p w14:paraId="2B969D1B" w14:textId="77777777" w:rsidR="00A87CDD" w:rsidRPr="00961D57" w:rsidRDefault="00A87CDD" w:rsidP="00066C5F">
      <w:pPr>
        <w:pStyle w:val="Heading3"/>
      </w:pPr>
      <w:r w:rsidRPr="00961D57">
        <w:t>Use of Information Technology</w:t>
      </w:r>
    </w:p>
    <w:p w14:paraId="4C15E0A3" w14:textId="41FEF675" w:rsidR="00A87CDD" w:rsidRPr="00961D57" w:rsidRDefault="00FB4853" w:rsidP="007E70E6">
      <w:pPr>
        <w:pStyle w:val="BodyText2"/>
      </w:pPr>
      <w:r w:rsidRPr="00961D57">
        <w:t>We will conduct</w:t>
      </w:r>
      <w:r w:rsidR="00E24601" w:rsidRPr="00961D57">
        <w:t xml:space="preserve"> </w:t>
      </w:r>
      <w:r w:rsidR="003B1759" w:rsidRPr="00961D57">
        <w:t xml:space="preserve">an </w:t>
      </w:r>
      <w:r w:rsidR="00E7062D" w:rsidRPr="00961D57">
        <w:t>online</w:t>
      </w:r>
      <w:r w:rsidR="00E24601" w:rsidRPr="00961D57">
        <w:t xml:space="preserve"> </w:t>
      </w:r>
      <w:r w:rsidRPr="00961D57">
        <w:t xml:space="preserve">survey to effectively balance the need for program information with the costs of data collection and potential burden on program staff and stakeholders. </w:t>
      </w:r>
      <w:r w:rsidR="007C0A26" w:rsidRPr="00961D57">
        <w:t>The online</w:t>
      </w:r>
      <w:r w:rsidR="006744C6" w:rsidRPr="00961D57">
        <w:t xml:space="preserve"> </w:t>
      </w:r>
      <w:r w:rsidR="00A87CDD" w:rsidRPr="00961D57">
        <w:t xml:space="preserve">survey will be brief </w:t>
      </w:r>
      <w:r w:rsidR="008D5E91" w:rsidRPr="00961D57">
        <w:t xml:space="preserve">to minimize burden on participants and to minimize break-offs. </w:t>
      </w:r>
      <w:r w:rsidR="00A87CDD" w:rsidRPr="00961D57">
        <w:t>We conduct</w:t>
      </w:r>
      <w:r w:rsidR="00BE788D" w:rsidRPr="00961D57">
        <w:t>ed</w:t>
      </w:r>
      <w:r w:rsidR="00A87CDD" w:rsidRPr="00961D57">
        <w:t xml:space="preserve"> pre</w:t>
      </w:r>
      <w:r w:rsidR="00BD356F" w:rsidRPr="00961D57">
        <w:t>-</w:t>
      </w:r>
      <w:r w:rsidR="00A87CDD" w:rsidRPr="00961D57">
        <w:t xml:space="preserve">tests to improve clarity and understandability of the survey questions, to reduce participant burden, and to enhance survey administration. Tested recruitment and data collection procedures will be used to maximize </w:t>
      </w:r>
      <w:r w:rsidR="002F5A08" w:rsidRPr="00961D57">
        <w:t xml:space="preserve">completion </w:t>
      </w:r>
      <w:r w:rsidR="00A87CDD" w:rsidRPr="00961D57">
        <w:t xml:space="preserve">and to achieve the desired response rate. </w:t>
      </w:r>
    </w:p>
    <w:p w14:paraId="7E57A028" w14:textId="77777777" w:rsidR="00A87CDD" w:rsidRPr="00961D57" w:rsidRDefault="00A87CDD" w:rsidP="007E70E6">
      <w:pPr>
        <w:pStyle w:val="BodyText2"/>
      </w:pPr>
      <w:r w:rsidRPr="00961D57">
        <w:t xml:space="preserve">This data collection request does not require a signature from participants. Consent will be obtained </w:t>
      </w:r>
      <w:r w:rsidR="007C0A26" w:rsidRPr="00961D57">
        <w:t>implicitly when they choose to continue the survey after reading the OMB statement</w:t>
      </w:r>
      <w:r w:rsidRPr="00961D57">
        <w:t>.</w:t>
      </w:r>
    </w:p>
    <w:p w14:paraId="02A821A9" w14:textId="77777777" w:rsidR="00A87CDD" w:rsidRPr="00961D57" w:rsidRDefault="00A87CDD" w:rsidP="00066C5F">
      <w:pPr>
        <w:pStyle w:val="Heading3"/>
      </w:pPr>
      <w:r w:rsidRPr="00961D57">
        <w:t>Duplication of Efforts</w:t>
      </w:r>
    </w:p>
    <w:p w14:paraId="071FFF14" w14:textId="77777777" w:rsidR="00A87CDD" w:rsidRPr="00961D57" w:rsidRDefault="00A87CDD" w:rsidP="007E70E6">
      <w:pPr>
        <w:pStyle w:val="BodyText2"/>
      </w:pPr>
      <w:r w:rsidRPr="00961D57">
        <w:t>This information collection does not duplicate any other effort</w:t>
      </w:r>
      <w:r w:rsidR="003B1759" w:rsidRPr="00961D57">
        <w:t>,</w:t>
      </w:r>
      <w:r w:rsidRPr="00961D57">
        <w:t xml:space="preserve"> and the information cannot be obtained from any other source. </w:t>
      </w:r>
      <w:r w:rsidR="007C0A26" w:rsidRPr="00961D57">
        <w:t>Administrative d</w:t>
      </w:r>
      <w:r w:rsidR="00745C96" w:rsidRPr="00961D57">
        <w:t xml:space="preserve">ata are regularly collected from QIN-QIOs, but not from </w:t>
      </w:r>
      <w:r w:rsidR="009541BC" w:rsidRPr="00961D57">
        <w:t>community</w:t>
      </w:r>
      <w:r w:rsidR="007C0A26" w:rsidRPr="00961D57">
        <w:t>-based healthcare providers</w:t>
      </w:r>
      <w:r w:rsidR="009541BC" w:rsidRPr="00961D57">
        <w:t xml:space="preserve"> </w:t>
      </w:r>
      <w:r w:rsidR="00745C96" w:rsidRPr="00961D57">
        <w:t xml:space="preserve">related to these quality improvement efforts. </w:t>
      </w:r>
      <w:r w:rsidR="00984073" w:rsidRPr="00961D57">
        <w:t>To</w:t>
      </w:r>
      <w:r w:rsidRPr="00961D57">
        <w:t xml:space="preserve"> prevent duplication of data collection, the IEC developed a Baseline Current Environment Report and Data Inventory, which outlined the current CMS and secondary datasets and sources that can be used to inform the evaluation, including Medicare claims data. Additional data collection is only proposed when data necessary to inform the QIO evaluation questions are not available in current data sets, program reports, or other sources. The IEC is collaborating with the QIN National Coordinating Center (NCC), the </w:t>
      </w:r>
      <w:r w:rsidR="002F5A08" w:rsidRPr="00961D57">
        <w:t>Home Health Quality Initiative</w:t>
      </w:r>
      <w:r w:rsidRPr="00961D57">
        <w:t xml:space="preserve">, and other </w:t>
      </w:r>
      <w:r w:rsidR="0029211C" w:rsidRPr="00961D57">
        <w:t xml:space="preserve">quality improvement </w:t>
      </w:r>
      <w:r w:rsidRPr="00961D57">
        <w:t>program</w:t>
      </w:r>
      <w:r w:rsidR="0029211C" w:rsidRPr="00961D57">
        <w:t>s</w:t>
      </w:r>
      <w:r w:rsidRPr="00961D57">
        <w:t xml:space="preserve"> to share information and data </w:t>
      </w:r>
      <w:r w:rsidR="00984073" w:rsidRPr="00961D57">
        <w:t>to</w:t>
      </w:r>
      <w:r w:rsidRPr="00961D57">
        <w:t xml:space="preserve"> avoid any duplication of data collections from QIO providers and beneficiaries.</w:t>
      </w:r>
    </w:p>
    <w:p w14:paraId="71895BF6" w14:textId="77777777" w:rsidR="007C0A26" w:rsidRPr="00961D57" w:rsidRDefault="00E66941" w:rsidP="007E70E6">
      <w:pPr>
        <w:pStyle w:val="BodyText2"/>
      </w:pPr>
      <w:r w:rsidRPr="00961D57">
        <w:t xml:space="preserve">The existing datasets and newly collected data will be integrated to address the evaluation questions and meet the goals of the data collection as previously described in the Background </w:t>
      </w:r>
      <w:r w:rsidR="00B561A4" w:rsidRPr="00961D57">
        <w:t>Section</w:t>
      </w:r>
      <w:r w:rsidRPr="00961D57">
        <w:t xml:space="preserve">. </w:t>
      </w:r>
      <w:r w:rsidR="007C0A26" w:rsidRPr="00961D57">
        <w:t>The IEC has conducted preliminary analysis of outcomes associated with ADEs using claims data</w:t>
      </w:r>
      <w:r w:rsidR="003621DC" w:rsidRPr="00961D57">
        <w:t xml:space="preserve"> (see Attachment </w:t>
      </w:r>
      <w:r w:rsidR="00DB7D85" w:rsidRPr="00961D57">
        <w:t>2</w:t>
      </w:r>
      <w:r w:rsidR="003621DC" w:rsidRPr="00961D57">
        <w:t>)</w:t>
      </w:r>
      <w:r w:rsidR="007C0A26" w:rsidRPr="00961D57">
        <w:t xml:space="preserve">. </w:t>
      </w:r>
      <w:r w:rsidR="000002FA" w:rsidRPr="00961D57">
        <w:t xml:space="preserve">These findings showed significant reductions in hospital readmission rates for Medicare beneficiaries at risk for ADEs served by providers who participate in the QIN-QIO program, compared to at-risk beneficiaries whose providers are not involved with the program. However, no differences in rates were observed for readmissions related to specific high-risk medications (anticoagulants, opioids or diabetes agents). This survey will help identify factors which may be influencing the </w:t>
      </w:r>
      <w:r w:rsidR="00B30653" w:rsidRPr="00961D57">
        <w:t>outcomes</w:t>
      </w:r>
      <w:r w:rsidRPr="00961D57">
        <w:t xml:space="preserve"> and could be </w:t>
      </w:r>
      <w:r w:rsidR="00E74030" w:rsidRPr="00961D57">
        <w:t>used</w:t>
      </w:r>
      <w:r w:rsidRPr="00961D57">
        <w:t xml:space="preserve"> to </w:t>
      </w:r>
      <w:r w:rsidR="00E74030" w:rsidRPr="00961D57">
        <w:t xml:space="preserve">adjust </w:t>
      </w:r>
      <w:r w:rsidRPr="00961D57">
        <w:t>the analysis.</w:t>
      </w:r>
    </w:p>
    <w:p w14:paraId="3D99D7F5" w14:textId="7A548ABA" w:rsidR="00986C8D" w:rsidRPr="00961D57" w:rsidRDefault="00E40F1B" w:rsidP="00B4373B">
      <w:pPr>
        <w:pStyle w:val="BodyText2"/>
      </w:pPr>
      <w:r w:rsidRPr="00961D57">
        <w:t xml:space="preserve">The survey instrument, as seen in Appendix A, </w:t>
      </w:r>
      <w:r w:rsidR="00580615" w:rsidRPr="00961D57">
        <w:t>has</w:t>
      </w:r>
      <w:r w:rsidRPr="00961D57">
        <w:t xml:space="preserve"> </w:t>
      </w:r>
      <w:r w:rsidR="00BE788D" w:rsidRPr="00961D57">
        <w:t>similar</w:t>
      </w:r>
      <w:r w:rsidRPr="00961D57">
        <w:t xml:space="preserve"> questions </w:t>
      </w:r>
      <w:r w:rsidR="00BE788D" w:rsidRPr="00961D57">
        <w:t>to</w:t>
      </w:r>
      <w:r w:rsidR="00580615" w:rsidRPr="00961D57">
        <w:t xml:space="preserve"> </w:t>
      </w:r>
      <w:r w:rsidR="00B4373B" w:rsidRPr="00961D57">
        <w:t xml:space="preserve">the survey </w:t>
      </w:r>
      <w:r w:rsidR="00D8671D" w:rsidRPr="00961D57">
        <w:t xml:space="preserve">conducted </w:t>
      </w:r>
      <w:r w:rsidR="00B4373B" w:rsidRPr="00961D57">
        <w:t>to support the evaluation of the CMS QIO program “Reducing Healthcare Acquired Conditions in Nursing Homes”</w:t>
      </w:r>
      <w:r w:rsidR="00580615" w:rsidRPr="00961D57">
        <w:t>,</w:t>
      </w:r>
      <w:r w:rsidR="00B4373B" w:rsidRPr="00961D57">
        <w:t xml:space="preserve"> which is under OMB control number 0938-1330. The </w:t>
      </w:r>
      <w:r w:rsidR="00962466" w:rsidRPr="00961D57">
        <w:t>similarity</w:t>
      </w:r>
      <w:r w:rsidR="00BE788D" w:rsidRPr="00961D57">
        <w:t xml:space="preserve"> </w:t>
      </w:r>
      <w:r w:rsidR="00B4373B" w:rsidRPr="00961D57">
        <w:t>of question</w:t>
      </w:r>
      <w:r w:rsidR="00986C8D" w:rsidRPr="00961D57">
        <w:t>s</w:t>
      </w:r>
      <w:r w:rsidR="00B4373B" w:rsidRPr="00961D57">
        <w:t xml:space="preserve"> is due to similar objectives and guiding evaluation questions </w:t>
      </w:r>
      <w:r w:rsidR="00986C8D" w:rsidRPr="00961D57">
        <w:t>common to</w:t>
      </w:r>
      <w:r w:rsidR="00B4373B" w:rsidRPr="00961D57">
        <w:t xml:space="preserve"> both evaluations</w:t>
      </w:r>
      <w:r w:rsidR="00BE788D" w:rsidRPr="00961D57">
        <w:t>, while tailored to the specific objectives of this data collection</w:t>
      </w:r>
      <w:r w:rsidR="00B4373B" w:rsidRPr="00961D57">
        <w:t xml:space="preserve">. Also, </w:t>
      </w:r>
      <w:r w:rsidR="00582D8A" w:rsidRPr="00961D57">
        <w:t xml:space="preserve">responses to </w:t>
      </w:r>
      <w:r w:rsidR="00B4373B" w:rsidRPr="00961D57">
        <w:t xml:space="preserve">the first fielding of the survey under OMB 0938-1330 </w:t>
      </w:r>
      <w:r w:rsidR="00582D8A" w:rsidRPr="00961D57">
        <w:t xml:space="preserve">(from September to November 2017) </w:t>
      </w:r>
      <w:r w:rsidR="00B4373B" w:rsidRPr="00961D57">
        <w:t>validated the majority of questions</w:t>
      </w:r>
      <w:r w:rsidR="00986C8D" w:rsidRPr="00961D57">
        <w:t>,</w:t>
      </w:r>
      <w:r w:rsidR="00B4373B" w:rsidRPr="00961D57">
        <w:t xml:space="preserve"> </w:t>
      </w:r>
      <w:r w:rsidR="00986C8D" w:rsidRPr="00961D57">
        <w:t>while</w:t>
      </w:r>
      <w:r w:rsidR="00B4373B" w:rsidRPr="00961D57">
        <w:t xml:space="preserve"> pro</w:t>
      </w:r>
      <w:r w:rsidR="00986C8D" w:rsidRPr="00961D57">
        <w:t>viding</w:t>
      </w:r>
      <w:r w:rsidR="00B4373B" w:rsidRPr="00961D57">
        <w:t xml:space="preserve"> guidance for mino</w:t>
      </w:r>
      <w:r w:rsidR="00986C8D" w:rsidRPr="00961D57">
        <w:t xml:space="preserve">r revisions of other items. </w:t>
      </w:r>
    </w:p>
    <w:p w14:paraId="51FE966A" w14:textId="1589765B" w:rsidR="00E40F1B" w:rsidRPr="00961D57" w:rsidRDefault="00DB7D85" w:rsidP="00B4373B">
      <w:pPr>
        <w:pStyle w:val="BodyText2"/>
      </w:pPr>
      <w:r w:rsidRPr="00961D57">
        <w:t>As seen in A</w:t>
      </w:r>
      <w:r w:rsidR="00DD2BF5">
        <w:t>ppendix A</w:t>
      </w:r>
      <w:r w:rsidR="00986C8D" w:rsidRPr="00961D57">
        <w:t>, the content of this</w:t>
      </w:r>
      <w:r w:rsidR="00B4373B" w:rsidRPr="00961D57">
        <w:t xml:space="preserve"> survey </w:t>
      </w:r>
      <w:r w:rsidR="00986C8D" w:rsidRPr="00961D57">
        <w:t xml:space="preserve">is tailored to the activities and resources </w:t>
      </w:r>
      <w:r w:rsidR="00580615" w:rsidRPr="00961D57">
        <w:t xml:space="preserve">relevant to the settings and health professionals participating in the QIO program to increase medication safety and reduce adverse drug events—pharmacists working in retail pharmacies, </w:t>
      </w:r>
      <w:r w:rsidR="00DD2BF5">
        <w:t xml:space="preserve">and providers working </w:t>
      </w:r>
      <w:r w:rsidR="00580615" w:rsidRPr="00961D57">
        <w:t>in either independent or group practices</w:t>
      </w:r>
      <w:r w:rsidR="00582D8A" w:rsidRPr="00961D57">
        <w:t xml:space="preserve">. Another difference </w:t>
      </w:r>
      <w:r w:rsidR="00AC3523" w:rsidRPr="00961D57">
        <w:t>from the previous survey is the mode of administration—the current data collection request is for an online survey, whereas the survey under OMB 0938-1330 is by telephone—and this change is also reflected in the wording.</w:t>
      </w:r>
    </w:p>
    <w:p w14:paraId="2EDD3421" w14:textId="77777777" w:rsidR="00A87CDD" w:rsidRPr="00961D57" w:rsidRDefault="00A87CDD" w:rsidP="00066C5F">
      <w:pPr>
        <w:pStyle w:val="Heading3"/>
      </w:pPr>
      <w:r w:rsidRPr="00961D57">
        <w:t>Small Businesses</w:t>
      </w:r>
    </w:p>
    <w:p w14:paraId="7725A4BC" w14:textId="5E801EA7" w:rsidR="00D8113D" w:rsidRPr="00961D57" w:rsidRDefault="00587845" w:rsidP="00D8113D">
      <w:pPr>
        <w:pStyle w:val="BodyText2"/>
      </w:pPr>
      <w:r w:rsidRPr="00961D57">
        <w:t>Survey participants</w:t>
      </w:r>
      <w:r w:rsidR="00A87CDD" w:rsidRPr="00961D57">
        <w:t xml:space="preserve"> may be </w:t>
      </w:r>
      <w:r w:rsidR="004A34D2" w:rsidRPr="00961D57">
        <w:t xml:space="preserve">employed by </w:t>
      </w:r>
      <w:r w:rsidR="00A87CDD" w:rsidRPr="00961D57">
        <w:t>small or large business</w:t>
      </w:r>
      <w:r w:rsidR="003B1759" w:rsidRPr="00961D57">
        <w:t>es</w:t>
      </w:r>
      <w:r w:rsidR="00745C96" w:rsidRPr="00961D57">
        <w:t xml:space="preserve"> </w:t>
      </w:r>
      <w:r w:rsidR="00840494" w:rsidRPr="00961D57">
        <w:t xml:space="preserve">based on the definition of the Small </w:t>
      </w:r>
      <w:r w:rsidR="00745C96" w:rsidRPr="00961D57">
        <w:t xml:space="preserve">Business Paperwork </w:t>
      </w:r>
      <w:r w:rsidR="00840494" w:rsidRPr="00961D57">
        <w:t>Relief Task Force</w:t>
      </w:r>
      <w:r w:rsidR="00745C96" w:rsidRPr="00961D57">
        <w:t xml:space="preserve"> as having 500 or fewer employees or $6M or less in receipts</w:t>
      </w:r>
      <w:r w:rsidR="00840494" w:rsidRPr="00961D57">
        <w:t>.</w:t>
      </w:r>
      <w:r w:rsidR="00840494" w:rsidRPr="00961D57">
        <w:rPr>
          <w:vertAlign w:val="superscript"/>
        </w:rPr>
        <w:footnoteReference w:id="20"/>
      </w:r>
      <w:r w:rsidR="00745C96" w:rsidRPr="00961D57">
        <w:rPr>
          <w:vertAlign w:val="superscript"/>
        </w:rPr>
        <w:t xml:space="preserve"> </w:t>
      </w:r>
      <w:r w:rsidR="00E66941" w:rsidRPr="00961D57">
        <w:t xml:space="preserve">For example, </w:t>
      </w:r>
      <w:r w:rsidR="004A34D2" w:rsidRPr="00961D57">
        <w:t xml:space="preserve">approximately </w:t>
      </w:r>
      <w:r w:rsidR="00F86D70" w:rsidRPr="00961D57">
        <w:t>58</w:t>
      </w:r>
      <w:r w:rsidR="00EF2C9A" w:rsidRPr="00961D57">
        <w:t xml:space="preserve">% </w:t>
      </w:r>
      <w:r w:rsidR="004A34D2" w:rsidRPr="00961D57">
        <w:t xml:space="preserve">of physicians </w:t>
      </w:r>
      <w:r w:rsidR="00F86D70" w:rsidRPr="00961D57">
        <w:t>work in</w:t>
      </w:r>
      <w:r w:rsidR="004A34D2" w:rsidRPr="00961D57">
        <w:t xml:space="preserve"> practice</w:t>
      </w:r>
      <w:r w:rsidR="00F86D70" w:rsidRPr="00961D57">
        <w:t>s owned by 10 or fewer physicians</w:t>
      </w:r>
      <w:r w:rsidR="004A34D2" w:rsidRPr="00961D57">
        <w:t>,</w:t>
      </w:r>
      <w:r w:rsidR="004A34D2" w:rsidRPr="00961D57">
        <w:rPr>
          <w:rStyle w:val="FootnoteReference"/>
        </w:rPr>
        <w:footnoteReference w:id="21"/>
      </w:r>
      <w:r w:rsidR="00047430" w:rsidRPr="00961D57">
        <w:t xml:space="preserve"> and</w:t>
      </w:r>
      <w:r w:rsidR="004A34D2" w:rsidRPr="00961D57">
        <w:t xml:space="preserve"> </w:t>
      </w:r>
      <w:r w:rsidR="00D46C34" w:rsidRPr="00961D57">
        <w:t xml:space="preserve">more than 22,000 community </w:t>
      </w:r>
      <w:r w:rsidR="00E24601" w:rsidRPr="00961D57">
        <w:t>pharmacies</w:t>
      </w:r>
      <w:r w:rsidR="004A34D2" w:rsidRPr="00961D57">
        <w:t xml:space="preserve"> are considered small busines</w:t>
      </w:r>
      <w:r w:rsidR="00733C14" w:rsidRPr="00961D57">
        <w:t>ses</w:t>
      </w:r>
      <w:r w:rsidR="00E13F93" w:rsidRPr="00961D57">
        <w:t>.</w:t>
      </w:r>
      <w:r w:rsidR="00E13F93" w:rsidRPr="00961D57">
        <w:rPr>
          <w:rStyle w:val="FootnoteReference"/>
        </w:rPr>
        <w:footnoteReference w:id="22"/>
      </w:r>
      <w:r w:rsidR="00E13F93" w:rsidRPr="00961D57">
        <w:t xml:space="preserve"> </w:t>
      </w:r>
    </w:p>
    <w:p w14:paraId="7A2DBCD3" w14:textId="77777777" w:rsidR="00D8113D" w:rsidRPr="00961D57" w:rsidRDefault="00A87CDD" w:rsidP="00D8113D">
      <w:pPr>
        <w:pStyle w:val="BodyText2"/>
      </w:pPr>
      <w:r w:rsidRPr="00961D57">
        <w:t>To reduce the impact on these small businesses and entities, data collection will be streamlined</w:t>
      </w:r>
      <w:r w:rsidR="00172F1C" w:rsidRPr="00961D57">
        <w:t xml:space="preserve">, </w:t>
      </w:r>
      <w:r w:rsidRPr="00961D57">
        <w:t xml:space="preserve">focused, </w:t>
      </w:r>
      <w:r w:rsidR="00E74030" w:rsidRPr="00961D57">
        <w:t xml:space="preserve">and </w:t>
      </w:r>
      <w:r w:rsidRPr="00961D57">
        <w:t xml:space="preserve">limited to only the collection of data required to answer the evaluation questions. </w:t>
      </w:r>
      <w:r w:rsidR="0086654C" w:rsidRPr="00961D57">
        <w:t xml:space="preserve">Surveys will </w:t>
      </w:r>
      <w:r w:rsidR="00E74030" w:rsidRPr="00961D57">
        <w:t>require</w:t>
      </w:r>
      <w:r w:rsidR="0086654C" w:rsidRPr="00961D57">
        <w:t xml:space="preserve"> </w:t>
      </w:r>
      <w:r w:rsidR="003B1759" w:rsidRPr="00961D57">
        <w:t>20 minutes or le</w:t>
      </w:r>
      <w:r w:rsidR="00F23533" w:rsidRPr="00961D57">
        <w:t xml:space="preserve">ss to complete for respondents participating </w:t>
      </w:r>
      <w:r w:rsidR="003B1759" w:rsidRPr="00961D57">
        <w:t xml:space="preserve">in the QIN-QIO program, </w:t>
      </w:r>
      <w:r w:rsidR="00F32751" w:rsidRPr="00961D57">
        <w:t xml:space="preserve">and </w:t>
      </w:r>
      <w:r w:rsidR="003B1759" w:rsidRPr="00961D57">
        <w:t xml:space="preserve">10 </w:t>
      </w:r>
      <w:r w:rsidR="0086654C" w:rsidRPr="00961D57">
        <w:t>minutes or less</w:t>
      </w:r>
      <w:r w:rsidR="00E74030" w:rsidRPr="00961D57">
        <w:t xml:space="preserve"> to complete</w:t>
      </w:r>
      <w:r w:rsidR="003B1759" w:rsidRPr="00961D57">
        <w:t xml:space="preserve"> for </w:t>
      </w:r>
      <w:r w:rsidR="00F23533" w:rsidRPr="00961D57">
        <w:rPr>
          <w:sz w:val="22"/>
        </w:rPr>
        <w:t>respondents</w:t>
      </w:r>
      <w:r w:rsidR="00F23533" w:rsidRPr="00961D57">
        <w:t xml:space="preserve"> </w:t>
      </w:r>
      <w:r w:rsidR="003B1759" w:rsidRPr="00961D57">
        <w:t xml:space="preserve">not </w:t>
      </w:r>
      <w:r w:rsidR="00F23533" w:rsidRPr="00961D57">
        <w:t xml:space="preserve">participating </w:t>
      </w:r>
      <w:r w:rsidR="003B1759" w:rsidRPr="00961D57">
        <w:t>in the QIN-QIO program, for an average of 15 minutes or less</w:t>
      </w:r>
      <w:r w:rsidR="0086654C" w:rsidRPr="00961D57">
        <w:t xml:space="preserve">. </w:t>
      </w:r>
      <w:r w:rsidR="00D8113D" w:rsidRPr="00961D57">
        <w:t xml:space="preserve">Pre-notification emails </w:t>
      </w:r>
      <w:r w:rsidR="00F32751" w:rsidRPr="00961D57">
        <w:t xml:space="preserve">or letters </w:t>
      </w:r>
      <w:r w:rsidR="00D8113D" w:rsidRPr="00961D57">
        <w:t>will be sent out to respondents prior to data collection to inform them about the purpose of the data collection, expected time required, and to provide other elements of informed consent (Appendix B).</w:t>
      </w:r>
    </w:p>
    <w:p w14:paraId="47B1E6A9" w14:textId="77777777" w:rsidR="00A87CDD" w:rsidRPr="00961D57" w:rsidRDefault="00A87CDD" w:rsidP="00066C5F">
      <w:pPr>
        <w:pStyle w:val="Heading3"/>
      </w:pPr>
      <w:r w:rsidRPr="00961D57">
        <w:t>Less Frequent Collection</w:t>
      </w:r>
    </w:p>
    <w:p w14:paraId="0EEAAC8D" w14:textId="77777777" w:rsidR="00A87CDD" w:rsidRPr="00961D57" w:rsidRDefault="00A87CDD" w:rsidP="007E70E6">
      <w:pPr>
        <w:pStyle w:val="BodyText2"/>
      </w:pPr>
      <w:r w:rsidRPr="00961D57">
        <w:t xml:space="preserve">If these information collection activities are not conducted, CMS will not be able to fulfill the mandates of the Social Security Act Title XI Section 1153 to evaluate the QIO program and provide a report on performance to contracted QIOs. </w:t>
      </w:r>
      <w:r w:rsidR="003B1759" w:rsidRPr="00961D57">
        <w:t xml:space="preserve">This survey will be administered only once to provide CMS and QIOs </w:t>
      </w:r>
      <w:r w:rsidRPr="00961D57">
        <w:t xml:space="preserve">feedback to improve their services and programs </w:t>
      </w:r>
      <w:r w:rsidR="00F32751" w:rsidRPr="00961D57">
        <w:t>in future efforts</w:t>
      </w:r>
      <w:r w:rsidRPr="00961D57">
        <w:t>.</w:t>
      </w:r>
    </w:p>
    <w:p w14:paraId="5BEA57D1" w14:textId="77777777" w:rsidR="00A87CDD" w:rsidRPr="00961D57" w:rsidRDefault="00A87CDD" w:rsidP="00066C5F">
      <w:pPr>
        <w:pStyle w:val="Heading3"/>
      </w:pPr>
      <w:r w:rsidRPr="00961D57">
        <w:t>Special Circumstances</w:t>
      </w:r>
    </w:p>
    <w:p w14:paraId="4837C86A" w14:textId="77777777" w:rsidR="00A87CDD" w:rsidRPr="00961D57" w:rsidRDefault="00A87CDD" w:rsidP="007E70E6">
      <w:pPr>
        <w:pStyle w:val="BodyText2"/>
      </w:pPr>
      <w:r w:rsidRPr="00961D57">
        <w:t>There are no special circumstances relating to the Guidelines of 5 CFR 1320.5.</w:t>
      </w:r>
    </w:p>
    <w:p w14:paraId="1F105C08" w14:textId="77777777" w:rsidR="00A87CDD" w:rsidRPr="00961D57" w:rsidRDefault="00A87CDD" w:rsidP="00066C5F">
      <w:pPr>
        <w:pStyle w:val="Heading3"/>
      </w:pPr>
      <w:r w:rsidRPr="00961D57">
        <w:t>Federal Register/Outside Consultation</w:t>
      </w:r>
    </w:p>
    <w:p w14:paraId="51A76A5C" w14:textId="0B93AD25" w:rsidR="00A87CDD" w:rsidRPr="00961D57" w:rsidRDefault="00AA00E1" w:rsidP="00D113D7">
      <w:pPr>
        <w:pStyle w:val="Default"/>
        <w:spacing w:after="240"/>
        <w:ind w:left="360"/>
        <w:rPr>
          <w:color w:val="auto"/>
        </w:rPr>
      </w:pPr>
      <w:r w:rsidRPr="00961D57">
        <w:rPr>
          <w:color w:val="auto"/>
        </w:rPr>
        <w:t xml:space="preserve">The 60-day Federal Register notice </w:t>
      </w:r>
      <w:r w:rsidR="002E7EFE" w:rsidRPr="00961D57">
        <w:rPr>
          <w:color w:val="auto"/>
        </w:rPr>
        <w:t>was</w:t>
      </w:r>
      <w:r w:rsidR="00F10C73" w:rsidRPr="00961D57">
        <w:rPr>
          <w:color w:val="auto"/>
        </w:rPr>
        <w:t xml:space="preserve"> </w:t>
      </w:r>
      <w:r w:rsidRPr="00961D57">
        <w:rPr>
          <w:color w:val="auto"/>
        </w:rPr>
        <w:t xml:space="preserve">published on </w:t>
      </w:r>
      <w:r w:rsidR="002E7EFE" w:rsidRPr="00961D57">
        <w:rPr>
          <w:color w:val="auto"/>
        </w:rPr>
        <w:t>07/20/2018</w:t>
      </w:r>
      <w:r w:rsidR="002D5BBF">
        <w:rPr>
          <w:color w:val="auto"/>
        </w:rPr>
        <w:t xml:space="preserve"> (</w:t>
      </w:r>
      <w:r w:rsidR="002E7EFE" w:rsidRPr="00961D57">
        <w:rPr>
          <w:color w:val="auto"/>
        </w:rPr>
        <w:t>83</w:t>
      </w:r>
      <w:r w:rsidR="002D5BBF">
        <w:rPr>
          <w:color w:val="auto"/>
        </w:rPr>
        <w:t xml:space="preserve"> FR</w:t>
      </w:r>
      <w:r w:rsidR="002E7EFE" w:rsidRPr="00961D57">
        <w:rPr>
          <w:color w:val="auto"/>
        </w:rPr>
        <w:t xml:space="preserve"> 34593</w:t>
      </w:r>
      <w:r w:rsidR="00770C31" w:rsidRPr="00961D57">
        <w:rPr>
          <w:color w:val="auto"/>
        </w:rPr>
        <w:t>)</w:t>
      </w:r>
      <w:r w:rsidR="007D0ED0" w:rsidRPr="00961D57">
        <w:rPr>
          <w:color w:val="auto"/>
        </w:rPr>
        <w:t>.</w:t>
      </w:r>
      <w:r w:rsidRPr="00961D57">
        <w:rPr>
          <w:color w:val="auto"/>
        </w:rPr>
        <w:t xml:space="preserve"> </w:t>
      </w:r>
      <w:r w:rsidR="002E7EFE" w:rsidRPr="00961D57">
        <w:rPr>
          <w:color w:val="auto"/>
        </w:rPr>
        <w:t xml:space="preserve">The 30-day Federal Register notice published on </w:t>
      </w:r>
      <w:r w:rsidR="002D5BBF">
        <w:rPr>
          <w:color w:val="auto"/>
        </w:rPr>
        <w:t>November 29, 2018 (83 FR 61383)</w:t>
      </w:r>
      <w:r w:rsidR="002E7EFE" w:rsidRPr="00961D57">
        <w:rPr>
          <w:color w:val="auto"/>
        </w:rPr>
        <w:t xml:space="preserve">. </w:t>
      </w:r>
      <w:r w:rsidRPr="00961D57">
        <w:rPr>
          <w:color w:val="auto"/>
        </w:rPr>
        <w:t>In addition to the required public notices, w</w:t>
      </w:r>
      <w:r w:rsidR="00A87CDD" w:rsidRPr="00961D57">
        <w:rPr>
          <w:color w:val="auto"/>
        </w:rPr>
        <w:t>e pre-test</w:t>
      </w:r>
      <w:r w:rsidR="002E7EFE" w:rsidRPr="00961D57">
        <w:rPr>
          <w:color w:val="auto"/>
        </w:rPr>
        <w:t>ed</w:t>
      </w:r>
      <w:r w:rsidR="00A87CDD" w:rsidRPr="00961D57">
        <w:rPr>
          <w:color w:val="auto"/>
        </w:rPr>
        <w:t xml:space="preserve"> instruments among </w:t>
      </w:r>
      <w:r w:rsidR="00CD11C9" w:rsidRPr="00961D57">
        <w:rPr>
          <w:color w:val="auto"/>
        </w:rPr>
        <w:t>8</w:t>
      </w:r>
      <w:r w:rsidR="002E7EFE" w:rsidRPr="00961D57">
        <w:rPr>
          <w:color w:val="auto"/>
        </w:rPr>
        <w:t xml:space="preserve"> </w:t>
      </w:r>
      <w:r w:rsidR="00570091" w:rsidRPr="00961D57">
        <w:rPr>
          <w:color w:val="auto"/>
        </w:rPr>
        <w:t xml:space="preserve">participants </w:t>
      </w:r>
      <w:r w:rsidR="00A87CDD" w:rsidRPr="00961D57">
        <w:rPr>
          <w:color w:val="auto"/>
        </w:rPr>
        <w:t>to obtain their views on the availability of data, frequency of collection, the clarity of instructions and recordkeeping, disclosure, or reporting format, and on the data elements to be recorded, disclosed, or reported.</w:t>
      </w:r>
      <w:r w:rsidR="005D5961" w:rsidRPr="00961D57">
        <w:rPr>
          <w:color w:val="auto"/>
        </w:rPr>
        <w:t xml:space="preserve"> </w:t>
      </w:r>
      <w:r w:rsidR="002E7EFE" w:rsidRPr="00961D57">
        <w:rPr>
          <w:color w:val="auto"/>
        </w:rPr>
        <w:t xml:space="preserve">We have made updates to the survey instrument based on the survey pretest (see </w:t>
      </w:r>
      <w:r w:rsidR="00FB3DF0" w:rsidRPr="00961D57">
        <w:rPr>
          <w:color w:val="auto"/>
        </w:rPr>
        <w:t>Appendix A for the revised survey instrument</w:t>
      </w:r>
      <w:r w:rsidR="008D712E">
        <w:rPr>
          <w:color w:val="auto"/>
        </w:rPr>
        <w:t>, Appendix A1 for screen shots with an example,</w:t>
      </w:r>
      <w:r w:rsidR="00FB3DF0" w:rsidRPr="00961D57">
        <w:rPr>
          <w:color w:val="auto"/>
        </w:rPr>
        <w:t xml:space="preserve"> and </w:t>
      </w:r>
      <w:r w:rsidR="00AD66DC" w:rsidRPr="00961D57">
        <w:rPr>
          <w:color w:val="auto"/>
        </w:rPr>
        <w:t>Attachment 3</w:t>
      </w:r>
      <w:r w:rsidR="00FB3DF0" w:rsidRPr="00961D57">
        <w:rPr>
          <w:color w:val="auto"/>
        </w:rPr>
        <w:t xml:space="preserve"> for a</w:t>
      </w:r>
      <w:r w:rsidR="002E7EFE" w:rsidRPr="00961D57">
        <w:rPr>
          <w:color w:val="auto"/>
        </w:rPr>
        <w:t xml:space="preserve"> Crosswalk of Survey Instrument Changes)</w:t>
      </w:r>
      <w:r w:rsidR="005D5961" w:rsidRPr="00961D57">
        <w:rPr>
          <w:color w:val="auto"/>
        </w:rPr>
        <w:t>.</w:t>
      </w:r>
    </w:p>
    <w:p w14:paraId="4F2CB721" w14:textId="04F70BF0" w:rsidR="00926A85" w:rsidRPr="00B13B1B" w:rsidRDefault="002E7EFE" w:rsidP="00F34FDF">
      <w:pPr>
        <w:spacing w:after="240"/>
        <w:ind w:left="360"/>
        <w:rPr>
          <w:color w:val="000000" w:themeColor="text1"/>
        </w:rPr>
      </w:pPr>
      <w:r w:rsidRPr="00961D57">
        <w:t xml:space="preserve">We </w:t>
      </w:r>
      <w:r w:rsidR="00CD11C9" w:rsidRPr="00961D57">
        <w:t xml:space="preserve">received </w:t>
      </w:r>
      <w:r w:rsidR="00BC10B0" w:rsidRPr="00961D57">
        <w:t>two</w:t>
      </w:r>
      <w:r w:rsidR="0096291E" w:rsidRPr="00961D57">
        <w:t xml:space="preserve"> </w:t>
      </w:r>
      <w:r w:rsidR="0096291E" w:rsidRPr="00B13B1B">
        <w:rPr>
          <w:color w:val="000000" w:themeColor="text1"/>
        </w:rPr>
        <w:t xml:space="preserve">public </w:t>
      </w:r>
      <w:r w:rsidR="00CD11C9" w:rsidRPr="00B13B1B">
        <w:rPr>
          <w:color w:val="000000" w:themeColor="text1"/>
        </w:rPr>
        <w:t>comment</w:t>
      </w:r>
      <w:r w:rsidR="00BC10B0" w:rsidRPr="00B13B1B">
        <w:rPr>
          <w:color w:val="000000" w:themeColor="text1"/>
        </w:rPr>
        <w:t>s</w:t>
      </w:r>
      <w:r w:rsidR="0096291E" w:rsidRPr="00B13B1B">
        <w:rPr>
          <w:color w:val="000000" w:themeColor="text1"/>
        </w:rPr>
        <w:t xml:space="preserve"> about </w:t>
      </w:r>
      <w:r w:rsidR="00BC10B0" w:rsidRPr="00B13B1B">
        <w:rPr>
          <w:color w:val="000000" w:themeColor="text1"/>
        </w:rPr>
        <w:t xml:space="preserve">the ICR </w:t>
      </w:r>
      <w:r w:rsidR="00926A85" w:rsidRPr="00B13B1B">
        <w:rPr>
          <w:color w:val="000000" w:themeColor="text1"/>
        </w:rPr>
        <w:t xml:space="preserve">from the general public. One comment expressed concerns over access to medication for people with chronic pain conditions, and we referred them to the HHS </w:t>
      </w:r>
      <w:r w:rsidR="00AE003E" w:rsidRPr="00B13B1B">
        <w:rPr>
          <w:color w:val="000000" w:themeColor="text1"/>
        </w:rPr>
        <w:t>Pain Management Best Practices Inter-Agency Task Force</w:t>
      </w:r>
      <w:r w:rsidR="00B21363" w:rsidRPr="00B13B1B">
        <w:rPr>
          <w:color w:val="000000" w:themeColor="text1"/>
        </w:rPr>
        <w:t>. </w:t>
      </w:r>
      <w:r w:rsidR="00926A85" w:rsidRPr="00B13B1B">
        <w:rPr>
          <w:color w:val="000000" w:themeColor="text1"/>
        </w:rPr>
        <w:t>T</w:t>
      </w:r>
      <w:r w:rsidR="00B21363" w:rsidRPr="00B13B1B">
        <w:rPr>
          <w:color w:val="000000" w:themeColor="text1"/>
        </w:rPr>
        <w:t>he</w:t>
      </w:r>
      <w:r w:rsidR="00926A85" w:rsidRPr="00B13B1B">
        <w:rPr>
          <w:color w:val="000000" w:themeColor="text1"/>
        </w:rPr>
        <w:t xml:space="preserve"> second </w:t>
      </w:r>
      <w:r w:rsidR="00B21363" w:rsidRPr="00B13B1B">
        <w:rPr>
          <w:color w:val="000000" w:themeColor="text1"/>
        </w:rPr>
        <w:t>comment provided background on and requested endorsement of</w:t>
      </w:r>
      <w:r w:rsidR="00D54CEC" w:rsidRPr="00B13B1B">
        <w:rPr>
          <w:color w:val="000000" w:themeColor="text1"/>
        </w:rPr>
        <w:t xml:space="preserve"> new</w:t>
      </w:r>
      <w:r w:rsidR="00B21363" w:rsidRPr="00B13B1B">
        <w:rPr>
          <w:color w:val="000000" w:themeColor="text1"/>
        </w:rPr>
        <w:t xml:space="preserve"> </w:t>
      </w:r>
      <w:r w:rsidR="00D54CEC" w:rsidRPr="00B13B1B">
        <w:rPr>
          <w:color w:val="000000" w:themeColor="text1"/>
        </w:rPr>
        <w:t>bill</w:t>
      </w:r>
      <w:r w:rsidR="00587895" w:rsidRPr="00B13B1B">
        <w:rPr>
          <w:color w:val="000000" w:themeColor="text1"/>
        </w:rPr>
        <w:t xml:space="preserve"> to increase access to providers </w:t>
      </w:r>
      <w:r w:rsidR="00D54CEC" w:rsidRPr="00B13B1B">
        <w:rPr>
          <w:color w:val="000000" w:themeColor="text1"/>
        </w:rPr>
        <w:t>for</w:t>
      </w:r>
      <w:r w:rsidR="00587895" w:rsidRPr="00B13B1B">
        <w:rPr>
          <w:color w:val="000000" w:themeColor="text1"/>
        </w:rPr>
        <w:t xml:space="preserve"> opioid </w:t>
      </w:r>
      <w:r w:rsidR="00D54CEC" w:rsidRPr="00B13B1B">
        <w:rPr>
          <w:color w:val="000000" w:themeColor="text1"/>
        </w:rPr>
        <w:t>treatment</w:t>
      </w:r>
      <w:r w:rsidR="00B21363" w:rsidRPr="00B13B1B">
        <w:rPr>
          <w:color w:val="000000" w:themeColor="text1"/>
        </w:rPr>
        <w:t xml:space="preserve">. Since these </w:t>
      </w:r>
      <w:r w:rsidR="00926A85" w:rsidRPr="00B13B1B">
        <w:rPr>
          <w:color w:val="000000" w:themeColor="text1"/>
        </w:rPr>
        <w:t>comments we</w:t>
      </w:r>
      <w:r w:rsidR="00B21363" w:rsidRPr="00B13B1B">
        <w:rPr>
          <w:color w:val="000000" w:themeColor="text1"/>
        </w:rPr>
        <w:t>re</w:t>
      </w:r>
      <w:r w:rsidR="00926A85" w:rsidRPr="00B13B1B">
        <w:rPr>
          <w:color w:val="000000" w:themeColor="text1"/>
        </w:rPr>
        <w:t xml:space="preserve"> not directly related to the data collection process under way, they did not influence the design (see Attachment 4 for Response to Public Comments).</w:t>
      </w:r>
    </w:p>
    <w:p w14:paraId="1EA821E4" w14:textId="5E756AB2" w:rsidR="00425A76" w:rsidRPr="00B13B1B" w:rsidRDefault="00926A85" w:rsidP="00F34FDF">
      <w:pPr>
        <w:spacing w:after="240"/>
        <w:ind w:left="360"/>
        <w:rPr>
          <w:color w:val="000000" w:themeColor="text1"/>
        </w:rPr>
      </w:pPr>
      <w:r w:rsidRPr="00B13B1B">
        <w:rPr>
          <w:color w:val="000000" w:themeColor="text1"/>
        </w:rPr>
        <w:t>We also received additional comments from one professional society and one QIN-QIO</w:t>
      </w:r>
      <w:r w:rsidR="006D3F6B" w:rsidRPr="00B13B1B">
        <w:rPr>
          <w:color w:val="000000" w:themeColor="text1"/>
        </w:rPr>
        <w:t xml:space="preserve"> </w:t>
      </w:r>
      <w:r w:rsidR="00CD11C9" w:rsidRPr="00B13B1B">
        <w:rPr>
          <w:color w:val="000000" w:themeColor="text1"/>
        </w:rPr>
        <w:t xml:space="preserve">and discussed questions about the survey with QIN-QIOs during a regularly scheduled </w:t>
      </w:r>
      <w:r w:rsidR="006D3F6B" w:rsidRPr="00B13B1B">
        <w:rPr>
          <w:color w:val="000000" w:themeColor="text1"/>
        </w:rPr>
        <w:t>“</w:t>
      </w:r>
      <w:r w:rsidR="00CD11C9" w:rsidRPr="00B13B1B">
        <w:rPr>
          <w:color w:val="000000" w:themeColor="text1"/>
        </w:rPr>
        <w:t>Think Tank</w:t>
      </w:r>
      <w:r w:rsidR="006D3F6B" w:rsidRPr="00B13B1B">
        <w:rPr>
          <w:color w:val="000000" w:themeColor="text1"/>
        </w:rPr>
        <w:t>”</w:t>
      </w:r>
      <w:r w:rsidR="00425A76" w:rsidRPr="00B13B1B">
        <w:rPr>
          <w:color w:val="000000" w:themeColor="text1"/>
        </w:rPr>
        <w:t xml:space="preserve"> meeting for the</w:t>
      </w:r>
      <w:r w:rsidR="00CD11C9" w:rsidRPr="00B13B1B">
        <w:rPr>
          <w:color w:val="000000" w:themeColor="text1"/>
        </w:rPr>
        <w:t xml:space="preserve"> </w:t>
      </w:r>
      <w:r w:rsidR="006D3F6B" w:rsidRPr="00B13B1B">
        <w:rPr>
          <w:color w:val="000000" w:themeColor="text1"/>
        </w:rPr>
        <w:t xml:space="preserve">ADE Prevention </w:t>
      </w:r>
      <w:r w:rsidR="00CD11C9" w:rsidRPr="00B13B1B">
        <w:rPr>
          <w:color w:val="000000" w:themeColor="text1"/>
        </w:rPr>
        <w:t>task</w:t>
      </w:r>
      <w:r w:rsidR="006D3F6B" w:rsidRPr="00B13B1B">
        <w:rPr>
          <w:color w:val="000000" w:themeColor="text1"/>
        </w:rPr>
        <w:t>.</w:t>
      </w:r>
      <w:r w:rsidR="00CD11C9" w:rsidRPr="00B13B1B">
        <w:rPr>
          <w:color w:val="000000" w:themeColor="text1"/>
        </w:rPr>
        <w:t xml:space="preserve"> </w:t>
      </w:r>
      <w:r w:rsidR="006D3F6B" w:rsidRPr="00B13B1B">
        <w:rPr>
          <w:color w:val="000000" w:themeColor="text1"/>
        </w:rPr>
        <w:t xml:space="preserve">The major questions and concerns </w:t>
      </w:r>
      <w:r w:rsidR="00FC4D65" w:rsidRPr="00B13B1B">
        <w:rPr>
          <w:color w:val="000000" w:themeColor="text1"/>
        </w:rPr>
        <w:t xml:space="preserve">from QIOs </w:t>
      </w:r>
      <w:r w:rsidR="008C7FEE" w:rsidRPr="00B13B1B">
        <w:rPr>
          <w:color w:val="000000" w:themeColor="text1"/>
        </w:rPr>
        <w:t xml:space="preserve">related </w:t>
      </w:r>
      <w:r w:rsidR="006D3F6B" w:rsidRPr="00B13B1B">
        <w:rPr>
          <w:color w:val="000000" w:themeColor="text1"/>
        </w:rPr>
        <w:t>to</w:t>
      </w:r>
      <w:r w:rsidR="008C7FEE" w:rsidRPr="00B13B1B">
        <w:rPr>
          <w:color w:val="000000" w:themeColor="text1"/>
        </w:rPr>
        <w:t xml:space="preserve"> </w:t>
      </w:r>
      <w:r w:rsidR="006D3F6B" w:rsidRPr="00B13B1B">
        <w:rPr>
          <w:color w:val="000000" w:themeColor="text1"/>
        </w:rPr>
        <w:t>(1) sampl</w:t>
      </w:r>
      <w:r w:rsidR="008C7FEE" w:rsidRPr="00B13B1B">
        <w:rPr>
          <w:color w:val="000000" w:themeColor="text1"/>
        </w:rPr>
        <w:t>ing</w:t>
      </w:r>
      <w:r w:rsidR="006D3F6B" w:rsidRPr="00B13B1B">
        <w:rPr>
          <w:color w:val="000000" w:themeColor="text1"/>
        </w:rPr>
        <w:t xml:space="preserve"> and (2) methods for discerning attribution toward quality improvement efforts from QIN-QIO resources</w:t>
      </w:r>
      <w:r w:rsidR="00425A76" w:rsidRPr="00B13B1B">
        <w:rPr>
          <w:color w:val="000000" w:themeColor="text1"/>
        </w:rPr>
        <w:t>, which are summarized below</w:t>
      </w:r>
      <w:r w:rsidR="006D3F6B" w:rsidRPr="00B13B1B">
        <w:rPr>
          <w:color w:val="000000" w:themeColor="text1"/>
        </w:rPr>
        <w:t>.</w:t>
      </w:r>
      <w:r w:rsidR="0065688E" w:rsidRPr="00B13B1B">
        <w:rPr>
          <w:color w:val="000000" w:themeColor="text1"/>
        </w:rPr>
        <w:t xml:space="preserve"> We have made changes to the sample and survey instrument based on these comments.</w:t>
      </w:r>
    </w:p>
    <w:p w14:paraId="3328F2D5" w14:textId="16BC22C8" w:rsidR="00425A76" w:rsidRPr="00961D57" w:rsidRDefault="008C7FEE" w:rsidP="00B13B1B">
      <w:pPr>
        <w:pStyle w:val="Default"/>
        <w:spacing w:after="240"/>
        <w:ind w:firstLine="360"/>
        <w:rPr>
          <w:i/>
          <w:color w:val="auto"/>
        </w:rPr>
      </w:pPr>
      <w:r w:rsidRPr="00961D57">
        <w:rPr>
          <w:i/>
          <w:color w:val="auto"/>
        </w:rPr>
        <w:t xml:space="preserve">Comments on </w:t>
      </w:r>
      <w:r w:rsidR="00425A76" w:rsidRPr="00961D57">
        <w:rPr>
          <w:i/>
          <w:color w:val="auto"/>
        </w:rPr>
        <w:t xml:space="preserve">Sampling </w:t>
      </w:r>
      <w:bookmarkStart w:id="5" w:name="_Hlk528590191"/>
      <w:r w:rsidR="00DD2BF5">
        <w:rPr>
          <w:i/>
          <w:color w:val="auto"/>
        </w:rPr>
        <w:t>(S1 and S2 on Appendix A Survey Instrument)</w:t>
      </w:r>
      <w:bookmarkEnd w:id="5"/>
      <w:r w:rsidR="00DD2BF5">
        <w:rPr>
          <w:i/>
          <w:color w:val="auto"/>
        </w:rPr>
        <w:t xml:space="preserve"> </w:t>
      </w:r>
    </w:p>
    <w:p w14:paraId="44F8A866" w14:textId="23D2EE39" w:rsidR="006B12AA" w:rsidRPr="00961D57" w:rsidRDefault="006D3F6B" w:rsidP="00D113D7">
      <w:pPr>
        <w:pStyle w:val="Default"/>
        <w:spacing w:after="240"/>
        <w:ind w:left="360"/>
        <w:rPr>
          <w:color w:val="auto"/>
        </w:rPr>
      </w:pPr>
      <w:r w:rsidRPr="00961D57">
        <w:rPr>
          <w:color w:val="auto"/>
        </w:rPr>
        <w:t xml:space="preserve">One </w:t>
      </w:r>
      <w:r w:rsidR="0065688E">
        <w:rPr>
          <w:color w:val="auto"/>
        </w:rPr>
        <w:t>comment</w:t>
      </w:r>
      <w:r w:rsidR="0065688E" w:rsidRPr="00961D57">
        <w:rPr>
          <w:color w:val="auto"/>
        </w:rPr>
        <w:t xml:space="preserve"> </w:t>
      </w:r>
      <w:r w:rsidR="005F2423" w:rsidRPr="00961D57">
        <w:rPr>
          <w:color w:val="auto"/>
        </w:rPr>
        <w:t>mentioned</w:t>
      </w:r>
      <w:r w:rsidR="00746DF7" w:rsidRPr="00961D57">
        <w:rPr>
          <w:color w:val="auto"/>
        </w:rPr>
        <w:t xml:space="preserve"> was</w:t>
      </w:r>
      <w:r w:rsidRPr="00961D57">
        <w:rPr>
          <w:color w:val="auto"/>
        </w:rPr>
        <w:t xml:space="preserve"> </w:t>
      </w:r>
      <w:r w:rsidR="00746DF7" w:rsidRPr="00961D57">
        <w:rPr>
          <w:color w:val="auto"/>
        </w:rPr>
        <w:t xml:space="preserve">that </w:t>
      </w:r>
      <w:r w:rsidRPr="00961D57">
        <w:rPr>
          <w:color w:val="auto"/>
        </w:rPr>
        <w:t xml:space="preserve">the sample </w:t>
      </w:r>
      <w:r w:rsidR="00746DF7" w:rsidRPr="00961D57">
        <w:rPr>
          <w:color w:val="auto"/>
        </w:rPr>
        <w:t xml:space="preserve">was </w:t>
      </w:r>
      <w:r w:rsidR="00425A76" w:rsidRPr="00961D57">
        <w:rPr>
          <w:color w:val="auto"/>
        </w:rPr>
        <w:t>not representative of all</w:t>
      </w:r>
      <w:r w:rsidR="00746DF7" w:rsidRPr="00961D57">
        <w:rPr>
          <w:color w:val="auto"/>
        </w:rPr>
        <w:t xml:space="preserve"> settings </w:t>
      </w:r>
      <w:r w:rsidR="00425A76" w:rsidRPr="00961D57">
        <w:rPr>
          <w:color w:val="auto"/>
        </w:rPr>
        <w:t>and</w:t>
      </w:r>
      <w:r w:rsidR="00746DF7" w:rsidRPr="00961D57">
        <w:rPr>
          <w:color w:val="auto"/>
        </w:rPr>
        <w:t xml:space="preserve"> professional</w:t>
      </w:r>
      <w:r w:rsidR="00425A76" w:rsidRPr="00961D57">
        <w:rPr>
          <w:color w:val="auto"/>
        </w:rPr>
        <w:t xml:space="preserve"> type</w:t>
      </w:r>
      <w:r w:rsidR="00746DF7" w:rsidRPr="00961D57">
        <w:rPr>
          <w:color w:val="auto"/>
        </w:rPr>
        <w:t>s that have been recruited across QIN-QIOs</w:t>
      </w:r>
      <w:r w:rsidR="00DC1AAF" w:rsidRPr="00961D57">
        <w:rPr>
          <w:color w:val="auto"/>
        </w:rPr>
        <w:t xml:space="preserve">, </w:t>
      </w:r>
      <w:r w:rsidR="008C7FEE" w:rsidRPr="00961D57">
        <w:rPr>
          <w:color w:val="auto"/>
        </w:rPr>
        <w:t>such as</w:t>
      </w:r>
      <w:r w:rsidR="00746DF7" w:rsidRPr="00961D57">
        <w:rPr>
          <w:color w:val="auto"/>
        </w:rPr>
        <w:t xml:space="preserve"> “home health, social work, care transitions nurses, EMS, and non-medical home care, to name a few”</w:t>
      </w:r>
      <w:r w:rsidR="00425A76" w:rsidRPr="00961D57">
        <w:rPr>
          <w:color w:val="auto"/>
        </w:rPr>
        <w:t xml:space="preserve">. </w:t>
      </w:r>
      <w:r w:rsidR="0065688E">
        <w:rPr>
          <w:color w:val="auto"/>
        </w:rPr>
        <w:t>It</w:t>
      </w:r>
      <w:r w:rsidR="00235A16" w:rsidRPr="00961D57">
        <w:rPr>
          <w:color w:val="auto"/>
        </w:rPr>
        <w:t xml:space="preserve"> is</w:t>
      </w:r>
      <w:r w:rsidR="00425A76" w:rsidRPr="00961D57">
        <w:rPr>
          <w:color w:val="auto"/>
        </w:rPr>
        <w:t xml:space="preserve"> not feasible to develop a comparison group across each setting and professional type recruited for the program, and </w:t>
      </w:r>
      <w:r w:rsidR="006400F7" w:rsidRPr="00961D57">
        <w:rPr>
          <w:color w:val="auto"/>
        </w:rPr>
        <w:t xml:space="preserve">that </w:t>
      </w:r>
      <w:r w:rsidR="00425A76" w:rsidRPr="00961D57">
        <w:rPr>
          <w:color w:val="auto"/>
        </w:rPr>
        <w:t>our choices of community-based pharmacies</w:t>
      </w:r>
      <w:r w:rsidR="008C7FEE" w:rsidRPr="00961D57">
        <w:rPr>
          <w:color w:val="auto"/>
        </w:rPr>
        <w:t xml:space="preserve"> and</w:t>
      </w:r>
      <w:r w:rsidR="00425A76" w:rsidRPr="00961D57">
        <w:rPr>
          <w:color w:val="auto"/>
        </w:rPr>
        <w:t xml:space="preserve"> physician </w:t>
      </w:r>
      <w:r w:rsidR="00235A16" w:rsidRPr="00961D57">
        <w:rPr>
          <w:color w:val="auto"/>
        </w:rPr>
        <w:t>practices were</w:t>
      </w:r>
      <w:r w:rsidR="00425A76" w:rsidRPr="00961D57">
        <w:rPr>
          <w:color w:val="auto"/>
        </w:rPr>
        <w:t xml:space="preserve"> based on a</w:t>
      </w:r>
      <w:r w:rsidR="00235A16" w:rsidRPr="00961D57">
        <w:rPr>
          <w:color w:val="auto"/>
        </w:rPr>
        <w:t>ssessing</w:t>
      </w:r>
      <w:r w:rsidR="00425A76" w:rsidRPr="00961D57">
        <w:rPr>
          <w:color w:val="auto"/>
        </w:rPr>
        <w:t xml:space="preserve"> the volume of recruiting efforts</w:t>
      </w:r>
      <w:r w:rsidR="00537544" w:rsidRPr="00961D57">
        <w:rPr>
          <w:color w:val="auto"/>
        </w:rPr>
        <w:t xml:space="preserve"> from administrative records</w:t>
      </w:r>
      <w:r w:rsidR="00425A76" w:rsidRPr="00961D57">
        <w:rPr>
          <w:color w:val="auto"/>
        </w:rPr>
        <w:t xml:space="preserve">. </w:t>
      </w:r>
      <w:r w:rsidR="00537544" w:rsidRPr="00961D57">
        <w:rPr>
          <w:color w:val="auto"/>
        </w:rPr>
        <w:t>H</w:t>
      </w:r>
      <w:r w:rsidR="006B12AA" w:rsidRPr="00961D57">
        <w:rPr>
          <w:color w:val="auto"/>
        </w:rPr>
        <w:t xml:space="preserve">owever, </w:t>
      </w:r>
      <w:r w:rsidR="0065688E">
        <w:rPr>
          <w:color w:val="auto"/>
        </w:rPr>
        <w:t xml:space="preserve">in response to this comment, </w:t>
      </w:r>
      <w:r w:rsidR="00537544" w:rsidRPr="00961D57">
        <w:rPr>
          <w:color w:val="auto"/>
        </w:rPr>
        <w:t xml:space="preserve">we </w:t>
      </w:r>
      <w:r w:rsidR="006B12AA" w:rsidRPr="00961D57">
        <w:rPr>
          <w:color w:val="auto"/>
        </w:rPr>
        <w:t>expand</w:t>
      </w:r>
      <w:r w:rsidR="00537544" w:rsidRPr="00961D57">
        <w:rPr>
          <w:color w:val="auto"/>
        </w:rPr>
        <w:t>ed</w:t>
      </w:r>
      <w:r w:rsidR="006B12AA" w:rsidRPr="00961D57">
        <w:rPr>
          <w:color w:val="auto"/>
        </w:rPr>
        <w:t xml:space="preserve"> the sample to include nurse practitioners and physician assistants working in physicia</w:t>
      </w:r>
      <w:r w:rsidR="0058442E" w:rsidRPr="00961D57">
        <w:rPr>
          <w:color w:val="auto"/>
        </w:rPr>
        <w:t xml:space="preserve">n practices based on the input. </w:t>
      </w:r>
      <w:r w:rsidR="00B263C5" w:rsidRPr="00961D57">
        <w:rPr>
          <w:color w:val="auto"/>
        </w:rPr>
        <w:t xml:space="preserve">We also consulted with the QIN-QIOs about obtaining their help </w:t>
      </w:r>
      <w:r w:rsidR="00547A63" w:rsidRPr="00961D57">
        <w:rPr>
          <w:color w:val="auto"/>
        </w:rPr>
        <w:t>with contact lists of community-</w:t>
      </w:r>
      <w:r w:rsidR="00B263C5" w:rsidRPr="00961D57">
        <w:rPr>
          <w:color w:val="auto"/>
        </w:rPr>
        <w:t xml:space="preserve">based pharmacies and practices that </w:t>
      </w:r>
      <w:r w:rsidR="00547A63" w:rsidRPr="00961D57">
        <w:rPr>
          <w:color w:val="auto"/>
        </w:rPr>
        <w:t>participate in</w:t>
      </w:r>
      <w:r w:rsidR="00B263C5" w:rsidRPr="00961D57">
        <w:rPr>
          <w:color w:val="auto"/>
        </w:rPr>
        <w:t xml:space="preserve"> the QIO program</w:t>
      </w:r>
      <w:r w:rsidR="00547A63" w:rsidRPr="00961D57">
        <w:rPr>
          <w:color w:val="auto"/>
        </w:rPr>
        <w:t xml:space="preserve"> and received these lists along with information to help participants identify QIO resources</w:t>
      </w:r>
      <w:r w:rsidR="00B263C5" w:rsidRPr="00961D57">
        <w:rPr>
          <w:color w:val="auto"/>
        </w:rPr>
        <w:t xml:space="preserve">. </w:t>
      </w:r>
    </w:p>
    <w:p w14:paraId="126134CA" w14:textId="05831E8D" w:rsidR="00235A16" w:rsidRPr="00961D57" w:rsidRDefault="006B12AA" w:rsidP="00D113D7">
      <w:pPr>
        <w:pStyle w:val="Default"/>
        <w:spacing w:after="240"/>
        <w:ind w:left="360"/>
        <w:rPr>
          <w:color w:val="auto"/>
        </w:rPr>
      </w:pPr>
      <w:r w:rsidRPr="00961D57">
        <w:rPr>
          <w:color w:val="auto"/>
        </w:rPr>
        <w:t>A</w:t>
      </w:r>
      <w:r w:rsidR="00A036AF" w:rsidRPr="00961D57">
        <w:rPr>
          <w:color w:val="auto"/>
        </w:rPr>
        <w:t xml:space="preserve"> second </w:t>
      </w:r>
      <w:r w:rsidR="0065688E">
        <w:rPr>
          <w:color w:val="auto"/>
        </w:rPr>
        <w:t>comment</w:t>
      </w:r>
      <w:r w:rsidR="0065688E" w:rsidRPr="00961D57">
        <w:rPr>
          <w:color w:val="auto"/>
        </w:rPr>
        <w:t xml:space="preserve"> </w:t>
      </w:r>
      <w:r w:rsidRPr="00961D57">
        <w:rPr>
          <w:color w:val="auto"/>
        </w:rPr>
        <w:t>was about including nursing homes</w:t>
      </w:r>
      <w:r w:rsidR="007C589F" w:rsidRPr="00961D57">
        <w:rPr>
          <w:color w:val="auto"/>
        </w:rPr>
        <w:t xml:space="preserve"> in the sample; a</w:t>
      </w:r>
      <w:r w:rsidRPr="00961D57">
        <w:rPr>
          <w:color w:val="auto"/>
        </w:rPr>
        <w:t xml:space="preserve">lthough </w:t>
      </w:r>
      <w:r w:rsidR="006400F7" w:rsidRPr="00961D57">
        <w:rPr>
          <w:color w:val="auto"/>
        </w:rPr>
        <w:t>these facilities were the settings for a</w:t>
      </w:r>
      <w:r w:rsidRPr="00961D57">
        <w:rPr>
          <w:color w:val="auto"/>
        </w:rPr>
        <w:t xml:space="preserve"> large volume of technical assistance </w:t>
      </w:r>
      <w:r w:rsidR="007C589F" w:rsidRPr="00961D57">
        <w:rPr>
          <w:color w:val="auto"/>
        </w:rPr>
        <w:t xml:space="preserve">(TA) </w:t>
      </w:r>
      <w:r w:rsidR="006400F7" w:rsidRPr="00961D57">
        <w:rPr>
          <w:color w:val="auto"/>
        </w:rPr>
        <w:t>provided for increasing</w:t>
      </w:r>
      <w:r w:rsidRPr="00961D57">
        <w:rPr>
          <w:color w:val="auto"/>
        </w:rPr>
        <w:t xml:space="preserve"> medication safety and ADE preventi</w:t>
      </w:r>
      <w:r w:rsidR="006400F7" w:rsidRPr="00961D57">
        <w:rPr>
          <w:color w:val="auto"/>
        </w:rPr>
        <w:t>on</w:t>
      </w:r>
      <w:r w:rsidRPr="00961D57">
        <w:rPr>
          <w:color w:val="auto"/>
        </w:rPr>
        <w:t>, QIN-QIOs also recruit</w:t>
      </w:r>
      <w:r w:rsidR="006400F7" w:rsidRPr="00961D57">
        <w:rPr>
          <w:color w:val="auto"/>
        </w:rPr>
        <w:t xml:space="preserve">ed nursing homes for </w:t>
      </w:r>
      <w:r w:rsidR="008C7FEE" w:rsidRPr="00961D57">
        <w:rPr>
          <w:color w:val="auto"/>
        </w:rPr>
        <w:t xml:space="preserve">a </w:t>
      </w:r>
      <w:r w:rsidR="006400F7" w:rsidRPr="00961D57">
        <w:rPr>
          <w:color w:val="auto"/>
        </w:rPr>
        <w:t>different</w:t>
      </w:r>
      <w:r w:rsidR="00A036AF" w:rsidRPr="00961D57">
        <w:rPr>
          <w:color w:val="auto"/>
        </w:rPr>
        <w:t xml:space="preserve"> task</w:t>
      </w:r>
      <w:r w:rsidR="007C589F" w:rsidRPr="00961D57">
        <w:rPr>
          <w:color w:val="auto"/>
        </w:rPr>
        <w:t xml:space="preserve">. Commenters speculated that </w:t>
      </w:r>
      <w:r w:rsidRPr="00961D57">
        <w:rPr>
          <w:color w:val="auto"/>
        </w:rPr>
        <w:t>surv</w:t>
      </w:r>
      <w:r w:rsidR="007C589F" w:rsidRPr="00961D57">
        <w:rPr>
          <w:color w:val="auto"/>
        </w:rPr>
        <w:t xml:space="preserve">ey participants may confuse the TA provided </w:t>
      </w:r>
      <w:r w:rsidRPr="00961D57">
        <w:rPr>
          <w:color w:val="auto"/>
        </w:rPr>
        <w:t xml:space="preserve">for these </w:t>
      </w:r>
      <w:r w:rsidR="00235A16" w:rsidRPr="00961D57">
        <w:rPr>
          <w:color w:val="auto"/>
        </w:rPr>
        <w:t xml:space="preserve">tasks. They also noted “Nursing homes are over-burdened with surveys, QAPI, composite measures, and </w:t>
      </w:r>
      <w:r w:rsidR="008C7FEE" w:rsidRPr="00961D57">
        <w:rPr>
          <w:bCs/>
          <w:color w:val="auto"/>
        </w:rPr>
        <w:t>National Healthcare Safety Network</w:t>
      </w:r>
      <w:r w:rsidR="008C7FEE" w:rsidRPr="00961D57">
        <w:rPr>
          <w:rStyle w:val="st1"/>
          <w:rFonts w:ascii="Arial" w:hAnsi="Arial" w:cs="Arial"/>
          <w:color w:val="auto"/>
          <w:lang w:val="en"/>
        </w:rPr>
        <w:t xml:space="preserve"> (</w:t>
      </w:r>
      <w:r w:rsidR="00235A16" w:rsidRPr="00961D57">
        <w:rPr>
          <w:color w:val="auto"/>
        </w:rPr>
        <w:t>NHSN</w:t>
      </w:r>
      <w:r w:rsidR="008C7FEE" w:rsidRPr="00961D57">
        <w:rPr>
          <w:color w:val="auto"/>
        </w:rPr>
        <w:t>)</w:t>
      </w:r>
      <w:r w:rsidR="00235A16" w:rsidRPr="00961D57">
        <w:rPr>
          <w:color w:val="auto"/>
        </w:rPr>
        <w:t xml:space="preserve"> reporting, not-withstanding the enormous burden of staff turnover.” We agree with these comments and for these reasons have removed nursing homes from the sample. </w:t>
      </w:r>
    </w:p>
    <w:p w14:paraId="3632D3CB" w14:textId="06DEE711" w:rsidR="00235A16" w:rsidRPr="00961D57" w:rsidRDefault="00235A16" w:rsidP="00D113D7">
      <w:pPr>
        <w:pStyle w:val="Default"/>
        <w:spacing w:after="240"/>
        <w:ind w:left="360"/>
        <w:rPr>
          <w:i/>
          <w:color w:val="auto"/>
        </w:rPr>
      </w:pPr>
      <w:r w:rsidRPr="00961D57">
        <w:rPr>
          <w:i/>
          <w:color w:val="auto"/>
        </w:rPr>
        <w:t xml:space="preserve">Comments on Attribution </w:t>
      </w:r>
      <w:r w:rsidR="008C7FEE" w:rsidRPr="00961D57">
        <w:rPr>
          <w:i/>
          <w:color w:val="auto"/>
        </w:rPr>
        <w:t>Methods</w:t>
      </w:r>
      <w:r w:rsidR="00DD2BF5">
        <w:rPr>
          <w:i/>
          <w:color w:val="auto"/>
        </w:rPr>
        <w:t xml:space="preserve"> (Q</w:t>
      </w:r>
      <w:r w:rsidR="00547A63" w:rsidRPr="00961D57">
        <w:rPr>
          <w:i/>
          <w:color w:val="auto"/>
        </w:rPr>
        <w:t xml:space="preserve">6 &amp; </w:t>
      </w:r>
      <w:r w:rsidR="00DD2BF5">
        <w:rPr>
          <w:i/>
          <w:color w:val="auto"/>
        </w:rPr>
        <w:t>Q</w:t>
      </w:r>
      <w:r w:rsidR="00547A63" w:rsidRPr="00961D57">
        <w:rPr>
          <w:i/>
          <w:color w:val="auto"/>
        </w:rPr>
        <w:t>7)</w:t>
      </w:r>
    </w:p>
    <w:p w14:paraId="56F3E53E" w14:textId="0F03DF64" w:rsidR="00235A16" w:rsidRPr="00961D57" w:rsidRDefault="00447219" w:rsidP="00D113D7">
      <w:pPr>
        <w:pStyle w:val="Default"/>
        <w:spacing w:after="240"/>
        <w:ind w:left="360"/>
        <w:rPr>
          <w:color w:val="auto"/>
        </w:rPr>
      </w:pPr>
      <w:r w:rsidRPr="00961D57">
        <w:rPr>
          <w:color w:val="auto"/>
        </w:rPr>
        <w:t xml:space="preserve">Commenters noted that it may be difficult for </w:t>
      </w:r>
      <w:r w:rsidR="00CD6A5C" w:rsidRPr="00961D57">
        <w:rPr>
          <w:color w:val="auto"/>
        </w:rPr>
        <w:t>participants</w:t>
      </w:r>
      <w:r w:rsidRPr="00961D57">
        <w:rPr>
          <w:color w:val="auto"/>
        </w:rPr>
        <w:t xml:space="preserve"> to identify TA provided by the QIN-QIOs because</w:t>
      </w:r>
      <w:r w:rsidR="00CD6A5C" w:rsidRPr="00961D57">
        <w:rPr>
          <w:color w:val="auto"/>
        </w:rPr>
        <w:t xml:space="preserve"> the program frequently collaborates with other CMS programs as well as state and local initiatives.</w:t>
      </w:r>
      <w:r w:rsidR="0058442E" w:rsidRPr="00961D57">
        <w:rPr>
          <w:color w:val="auto"/>
        </w:rPr>
        <w:t xml:space="preserve"> </w:t>
      </w:r>
      <w:r w:rsidR="00CD6A5C" w:rsidRPr="00961D57">
        <w:rPr>
          <w:color w:val="auto"/>
        </w:rPr>
        <w:t xml:space="preserve">For this reason, we reached out to the QIOs to obtain the names by which they would be recognized by participants (e.g., local QIO name, campaign name, etc.). We also asked for the names of the </w:t>
      </w:r>
      <w:r w:rsidR="00C91B43" w:rsidRPr="00961D57">
        <w:rPr>
          <w:color w:val="auto"/>
        </w:rPr>
        <w:t xml:space="preserve">partnering organizations, which can </w:t>
      </w:r>
      <w:r w:rsidR="00EB1130" w:rsidRPr="00961D57">
        <w:rPr>
          <w:color w:val="auto"/>
        </w:rPr>
        <w:t xml:space="preserve">be </w:t>
      </w:r>
      <w:r w:rsidR="00C91B43" w:rsidRPr="00961D57">
        <w:rPr>
          <w:color w:val="auto"/>
        </w:rPr>
        <w:t xml:space="preserve">used to </w:t>
      </w:r>
      <w:r w:rsidR="0058442E" w:rsidRPr="00961D57">
        <w:rPr>
          <w:color w:val="auto"/>
        </w:rPr>
        <w:t>adjust</w:t>
      </w:r>
      <w:r w:rsidR="00C91B43" w:rsidRPr="00961D57">
        <w:rPr>
          <w:color w:val="auto"/>
        </w:rPr>
        <w:t xml:space="preserve"> analysis if participants identify QIO activities but not the name</w:t>
      </w:r>
      <w:r w:rsidR="0058442E" w:rsidRPr="00961D57">
        <w:rPr>
          <w:color w:val="auto"/>
        </w:rPr>
        <w:t xml:space="preserve"> of the QIO</w:t>
      </w:r>
      <w:r w:rsidR="00C91B43" w:rsidRPr="00961D57">
        <w:rPr>
          <w:color w:val="auto"/>
        </w:rPr>
        <w:t>.</w:t>
      </w:r>
      <w:r w:rsidR="00CD6A5C" w:rsidRPr="00961D57">
        <w:rPr>
          <w:color w:val="auto"/>
        </w:rPr>
        <w:t xml:space="preserve"> </w:t>
      </w:r>
    </w:p>
    <w:p w14:paraId="65AE54D6" w14:textId="7FF3ABD5" w:rsidR="00235A16" w:rsidRPr="00961D57" w:rsidRDefault="0058442E" w:rsidP="00D113D7">
      <w:pPr>
        <w:pStyle w:val="Default"/>
        <w:spacing w:after="240"/>
        <w:ind w:left="360"/>
        <w:rPr>
          <w:b/>
          <w:color w:val="auto"/>
        </w:rPr>
      </w:pPr>
      <w:r w:rsidRPr="00961D57">
        <w:rPr>
          <w:color w:val="auto"/>
        </w:rPr>
        <w:t xml:space="preserve">Another </w:t>
      </w:r>
      <w:r w:rsidR="00C91B43" w:rsidRPr="00961D57">
        <w:rPr>
          <w:color w:val="auto"/>
        </w:rPr>
        <w:t>comment was about the attribution measure requiring participants to enter percentages representin</w:t>
      </w:r>
      <w:r w:rsidRPr="00961D57">
        <w:rPr>
          <w:color w:val="auto"/>
        </w:rPr>
        <w:t>g</w:t>
      </w:r>
      <w:r w:rsidR="00C91B43" w:rsidRPr="00961D57">
        <w:rPr>
          <w:color w:val="auto"/>
        </w:rPr>
        <w:t xml:space="preserve"> how helpful they found each resource</w:t>
      </w:r>
      <w:r w:rsidRPr="00961D57">
        <w:rPr>
          <w:color w:val="auto"/>
        </w:rPr>
        <w:t xml:space="preserve"> they use to prevent ADEs</w:t>
      </w:r>
      <w:r w:rsidR="00C91B43" w:rsidRPr="00961D57">
        <w:rPr>
          <w:color w:val="auto"/>
        </w:rPr>
        <w:t xml:space="preserve">. Commenters believed this process would be too confusing and suggested using 5-point scales for each resource instead. We had used both percentages and scales </w:t>
      </w:r>
      <w:r w:rsidRPr="00961D57">
        <w:rPr>
          <w:color w:val="auto"/>
        </w:rPr>
        <w:t>for a similar question in the survey of nursing home administrators (OMB control number 0938-1330) and found th</w:t>
      </w:r>
      <w:r w:rsidR="00EB1130" w:rsidRPr="00961D57">
        <w:rPr>
          <w:color w:val="auto"/>
        </w:rPr>
        <w:t>at</w:t>
      </w:r>
      <w:r w:rsidRPr="00961D57">
        <w:rPr>
          <w:color w:val="auto"/>
        </w:rPr>
        <w:t xml:space="preserve"> participants could manage both methods of assigning </w:t>
      </w:r>
      <w:r w:rsidR="005130CD" w:rsidRPr="00961D57">
        <w:rPr>
          <w:color w:val="auto"/>
        </w:rPr>
        <w:t>attribution and</w:t>
      </w:r>
      <w:r w:rsidR="00DD2BF5">
        <w:rPr>
          <w:color w:val="auto"/>
        </w:rPr>
        <w:t xml:space="preserve"> </w:t>
      </w:r>
      <w:r w:rsidRPr="00961D57">
        <w:rPr>
          <w:color w:val="auto"/>
        </w:rPr>
        <w:t xml:space="preserve">that responses were highly correlated. However, in pretests of the current survey instrument we observed that the percentage method was slightly more </w:t>
      </w:r>
      <w:r w:rsidR="00E318BB">
        <w:rPr>
          <w:color w:val="auto"/>
        </w:rPr>
        <w:t>challenging than in the nursing home survey</w:t>
      </w:r>
      <w:r w:rsidRPr="00961D57">
        <w:rPr>
          <w:color w:val="auto"/>
        </w:rPr>
        <w:t xml:space="preserve">, partly because pharmacists and physicians tend to use more sources of information than did nursing home administrators. For these reasons, we </w:t>
      </w:r>
      <w:r w:rsidR="008428CA" w:rsidRPr="00961D57">
        <w:rPr>
          <w:color w:val="auto"/>
        </w:rPr>
        <w:t>ch</w:t>
      </w:r>
      <w:r w:rsidRPr="00961D57">
        <w:rPr>
          <w:color w:val="auto"/>
        </w:rPr>
        <w:t xml:space="preserve">anged </w:t>
      </w:r>
      <w:r w:rsidR="00EB1130" w:rsidRPr="00961D57">
        <w:rPr>
          <w:color w:val="auto"/>
        </w:rPr>
        <w:t xml:space="preserve">the </w:t>
      </w:r>
      <w:r w:rsidRPr="00961D57">
        <w:rPr>
          <w:color w:val="auto"/>
        </w:rPr>
        <w:t xml:space="preserve">responses </w:t>
      </w:r>
      <w:r w:rsidR="00EB1130" w:rsidRPr="00961D57">
        <w:rPr>
          <w:color w:val="auto"/>
        </w:rPr>
        <w:t xml:space="preserve">to this question to </w:t>
      </w:r>
      <w:r w:rsidRPr="00961D57">
        <w:rPr>
          <w:color w:val="auto"/>
        </w:rPr>
        <w:t xml:space="preserve">a </w:t>
      </w:r>
      <w:r w:rsidR="0065688E">
        <w:rPr>
          <w:color w:val="auto"/>
        </w:rPr>
        <w:t>nominal</w:t>
      </w:r>
      <w:r w:rsidR="0065688E" w:rsidRPr="00961D57">
        <w:rPr>
          <w:color w:val="auto"/>
        </w:rPr>
        <w:t xml:space="preserve"> </w:t>
      </w:r>
      <w:r w:rsidRPr="00961D57">
        <w:rPr>
          <w:color w:val="auto"/>
        </w:rPr>
        <w:t>scale</w:t>
      </w:r>
      <w:r w:rsidRPr="00961D57">
        <w:rPr>
          <w:b/>
          <w:color w:val="auto"/>
        </w:rPr>
        <w:t>.</w:t>
      </w:r>
    </w:p>
    <w:p w14:paraId="6BF9835C" w14:textId="77777777" w:rsidR="00235A16" w:rsidRPr="00961D57" w:rsidRDefault="00547A63" w:rsidP="00D113D7">
      <w:pPr>
        <w:pStyle w:val="Default"/>
        <w:spacing w:after="240"/>
        <w:ind w:left="360"/>
        <w:rPr>
          <w:color w:val="auto"/>
        </w:rPr>
      </w:pPr>
      <w:r w:rsidRPr="00961D57">
        <w:rPr>
          <w:i/>
          <w:color w:val="auto"/>
        </w:rPr>
        <w:t>Comments on O</w:t>
      </w:r>
      <w:r w:rsidR="00235A16" w:rsidRPr="00961D57">
        <w:rPr>
          <w:i/>
          <w:color w:val="auto"/>
        </w:rPr>
        <w:t>ther Content</w:t>
      </w:r>
    </w:p>
    <w:p w14:paraId="25D65D26" w14:textId="4214093C" w:rsidR="002E7EFE" w:rsidRPr="00961D57" w:rsidRDefault="00547A63" w:rsidP="00D113D7">
      <w:pPr>
        <w:pStyle w:val="Default"/>
        <w:spacing w:after="240"/>
        <w:ind w:left="360"/>
        <w:rPr>
          <w:color w:val="auto"/>
        </w:rPr>
      </w:pPr>
      <w:r w:rsidRPr="00961D57">
        <w:rPr>
          <w:color w:val="auto"/>
        </w:rPr>
        <w:t xml:space="preserve">Other helpful comments that led to changes on the instrument were to add a definition of ADEs in the introduction and to </w:t>
      </w:r>
      <w:r w:rsidR="00EB1130" w:rsidRPr="00961D57">
        <w:rPr>
          <w:color w:val="auto"/>
        </w:rPr>
        <w:t xml:space="preserve">include </w:t>
      </w:r>
      <w:r w:rsidRPr="00961D57">
        <w:rPr>
          <w:color w:val="auto"/>
        </w:rPr>
        <w:t xml:space="preserve">other quality improvement activities that are best practices (Question 5). These changes were tested in the pretests and added. </w:t>
      </w:r>
    </w:p>
    <w:p w14:paraId="2BC046C9" w14:textId="77777777" w:rsidR="00A87CDD" w:rsidRPr="00961D57" w:rsidRDefault="00A87CDD" w:rsidP="00066C5F">
      <w:pPr>
        <w:pStyle w:val="Heading3"/>
      </w:pPr>
      <w:r w:rsidRPr="00961D57">
        <w:t xml:space="preserve">Payments/Gifts to </w:t>
      </w:r>
      <w:r w:rsidR="00570091" w:rsidRPr="00961D57">
        <w:t>Participants</w:t>
      </w:r>
    </w:p>
    <w:p w14:paraId="0A68478B" w14:textId="6DCE45B8" w:rsidR="000067B1" w:rsidRPr="00961D57" w:rsidRDefault="000067B1" w:rsidP="000067B1">
      <w:pPr>
        <w:pStyle w:val="BodyText2"/>
        <w:rPr>
          <w:rFonts w:eastAsia="Calibri"/>
        </w:rPr>
      </w:pPr>
      <w:r w:rsidRPr="00961D57">
        <w:t xml:space="preserve">Although the burden of response is </w:t>
      </w:r>
      <w:r w:rsidR="00E74030" w:rsidRPr="00961D57">
        <w:t>low, we will provide an honorarium</w:t>
      </w:r>
      <w:r w:rsidRPr="00961D57">
        <w:t xml:space="preserve"> to each panel member </w:t>
      </w:r>
      <w:r w:rsidR="00984073" w:rsidRPr="00961D57">
        <w:t>to</w:t>
      </w:r>
      <w:r w:rsidRPr="00961D57">
        <w:t xml:space="preserve"> increase response rates. </w:t>
      </w:r>
      <w:r w:rsidR="00E74030" w:rsidRPr="00961D57">
        <w:t>Providing small incentives has</w:t>
      </w:r>
      <w:r w:rsidR="001E4EC0" w:rsidRPr="00961D57">
        <w:t xml:space="preserve"> been shown effective in increasing response rates, especially for online surveys.</w:t>
      </w:r>
      <w:r w:rsidR="000622A8" w:rsidRPr="00961D57">
        <w:rPr>
          <w:rStyle w:val="FootnoteReference"/>
        </w:rPr>
        <w:footnoteReference w:id="23"/>
      </w:r>
      <w:r w:rsidR="001E4EC0" w:rsidRPr="00961D57">
        <w:rPr>
          <w:vertAlign w:val="superscript"/>
        </w:rPr>
        <w:t xml:space="preserve"> </w:t>
      </w:r>
      <w:r w:rsidR="00E74030" w:rsidRPr="00961D57">
        <w:t>Honoraria</w:t>
      </w:r>
      <w:r w:rsidRPr="00961D57">
        <w:t xml:space="preserve"> values will </w:t>
      </w:r>
      <w:r w:rsidR="00662948" w:rsidRPr="00961D57">
        <w:t>be</w:t>
      </w:r>
      <w:r w:rsidR="007D0ED0" w:rsidRPr="00961D57">
        <w:t xml:space="preserve"> based on industry standard practice</w:t>
      </w:r>
      <w:r w:rsidR="00662948" w:rsidRPr="00961D57">
        <w:t>s for different professions using</w:t>
      </w:r>
      <w:r w:rsidR="007D0ED0" w:rsidRPr="00961D57">
        <w:t xml:space="preserve"> the Medscape online panel</w:t>
      </w:r>
      <w:r w:rsidRPr="00961D57">
        <w:t xml:space="preserve">. </w:t>
      </w:r>
      <w:bookmarkStart w:id="6" w:name="_Hlk528229824"/>
      <w:r w:rsidR="00F4008A" w:rsidRPr="00961D57">
        <w:t>Using Medscape’s established rate</w:t>
      </w:r>
      <w:r w:rsidR="00EB1130" w:rsidRPr="00961D57">
        <w:t>s</w:t>
      </w:r>
      <w:r w:rsidR="00F4008A" w:rsidRPr="00961D57">
        <w:t>, p</w:t>
      </w:r>
      <w:r w:rsidRPr="00961D57">
        <w:t xml:space="preserve">hysicians who respond will </w:t>
      </w:r>
      <w:r w:rsidR="00C504A2" w:rsidRPr="00961D57">
        <w:t>receive</w:t>
      </w:r>
      <w:r w:rsidRPr="00961D57">
        <w:t xml:space="preserve"> $35</w:t>
      </w:r>
      <w:r w:rsidR="008C7FEE" w:rsidRPr="00961D57">
        <w:t>,</w:t>
      </w:r>
      <w:r w:rsidR="00984073" w:rsidRPr="00961D57">
        <w:t xml:space="preserve"> and</w:t>
      </w:r>
      <w:r w:rsidRPr="00961D57">
        <w:t xml:space="preserve"> </w:t>
      </w:r>
      <w:r w:rsidR="003621DC" w:rsidRPr="00961D57">
        <w:t>p</w:t>
      </w:r>
      <w:r w:rsidRPr="00961D57">
        <w:t>harmacists</w:t>
      </w:r>
      <w:r w:rsidR="005C51F1" w:rsidRPr="00961D57">
        <w:t>,</w:t>
      </w:r>
      <w:r w:rsidR="0096291E" w:rsidRPr="00961D57">
        <w:t xml:space="preserve"> physician assistants, and nurse practitioners</w:t>
      </w:r>
      <w:r w:rsidRPr="00961D57">
        <w:t xml:space="preserve"> who respond will </w:t>
      </w:r>
      <w:r w:rsidR="00C504A2" w:rsidRPr="00961D57">
        <w:t>receive</w:t>
      </w:r>
      <w:r w:rsidRPr="00961D57">
        <w:t xml:space="preserve"> $30. </w:t>
      </w:r>
      <w:bookmarkEnd w:id="6"/>
      <w:r w:rsidRPr="00961D57">
        <w:t>These incentives, along with evidence-based s</w:t>
      </w:r>
      <w:r w:rsidRPr="00961D57">
        <w:rPr>
          <w:rFonts w:eastAsia="Calibri"/>
        </w:rPr>
        <w:t>trateg</w:t>
      </w:r>
      <w:r w:rsidR="00245E06" w:rsidRPr="00961D57">
        <w:rPr>
          <w:rFonts w:eastAsia="Calibri"/>
        </w:rPr>
        <w:t xml:space="preserve">ies for successful recruiting (e.g., </w:t>
      </w:r>
      <w:r w:rsidRPr="00961D57">
        <w:rPr>
          <w:rFonts w:eastAsia="Calibri"/>
        </w:rPr>
        <w:t>using relationships among QIN-QIO program staff</w:t>
      </w:r>
      <w:r w:rsidR="00E74030" w:rsidRPr="00961D57">
        <w:rPr>
          <w:rFonts w:eastAsia="Calibri"/>
        </w:rPr>
        <w:t xml:space="preserve">, </w:t>
      </w:r>
      <w:r w:rsidR="00E74030" w:rsidRPr="00961D57">
        <w:t>establishing CMS as the sponsor of the study to improve provider confidence in the work</w:t>
      </w:r>
      <w:r w:rsidRPr="00961D57">
        <w:rPr>
          <w:rFonts w:eastAsia="Calibri"/>
        </w:rPr>
        <w:t xml:space="preserve">), will be used to encourage participation. </w:t>
      </w:r>
    </w:p>
    <w:p w14:paraId="5D8D4DA7" w14:textId="77777777" w:rsidR="00A87CDD" w:rsidRPr="00961D57" w:rsidRDefault="00A87CDD">
      <w:pPr>
        <w:pStyle w:val="Heading3"/>
      </w:pPr>
      <w:r w:rsidRPr="00961D57">
        <w:t>Confidentiality</w:t>
      </w:r>
    </w:p>
    <w:p w14:paraId="10E8D550" w14:textId="77777777" w:rsidR="009F392A" w:rsidRPr="00961D57" w:rsidRDefault="009F392A" w:rsidP="007E70E6">
      <w:pPr>
        <w:pStyle w:val="BodyText2"/>
      </w:pPr>
      <w:r w:rsidRPr="00961D57">
        <w:rPr>
          <w:rFonts w:eastAsia="Calibri"/>
        </w:rPr>
        <w:t xml:space="preserve">To protect the privacy of participant data, each survey respondent will be de-identified and given a unique identification (ID) number. This ID number will be the only information that is recorded on </w:t>
      </w:r>
      <w:r w:rsidR="005011AB" w:rsidRPr="00961D57">
        <w:rPr>
          <w:rFonts w:eastAsia="Calibri"/>
        </w:rPr>
        <w:t>survey</w:t>
      </w:r>
      <w:r w:rsidRPr="00961D57">
        <w:rPr>
          <w:rFonts w:eastAsia="Calibri"/>
        </w:rPr>
        <w:t xml:space="preserve"> instruments, and the </w:t>
      </w:r>
      <w:r w:rsidR="005011AB" w:rsidRPr="00961D57">
        <w:rPr>
          <w:rFonts w:eastAsia="Calibri"/>
        </w:rPr>
        <w:t>survey</w:t>
      </w:r>
      <w:r w:rsidRPr="00961D57">
        <w:rPr>
          <w:rFonts w:eastAsia="Calibri"/>
        </w:rPr>
        <w:t xml:space="preserve"> instruments will be stored separately from other data collected within this project. </w:t>
      </w:r>
      <w:r w:rsidR="00C504A2" w:rsidRPr="00961D57">
        <w:rPr>
          <w:rFonts w:eastAsia="Calibri"/>
        </w:rPr>
        <w:t xml:space="preserve">National Provider Identification numbers </w:t>
      </w:r>
      <w:r w:rsidRPr="00961D57">
        <w:rPr>
          <w:rFonts w:eastAsia="Calibri"/>
        </w:rPr>
        <w:t>will be stored separately from data files and will only be accessed by authorized team members f</w:t>
      </w:r>
      <w:r w:rsidRPr="00961D57">
        <w:t xml:space="preserve">or </w:t>
      </w:r>
      <w:r w:rsidR="00C504A2" w:rsidRPr="00961D57">
        <w:t>further analysis</w:t>
      </w:r>
      <w:r w:rsidRPr="00961D57">
        <w:t xml:space="preserve"> (e.g.</w:t>
      </w:r>
      <w:r w:rsidR="006C5AAC" w:rsidRPr="00961D57">
        <w:t>,</w:t>
      </w:r>
      <w:r w:rsidRPr="00961D57">
        <w:t xml:space="preserve"> </w:t>
      </w:r>
      <w:r w:rsidR="00C504A2" w:rsidRPr="00961D57">
        <w:t>using survey results in further analysis of beneficiary outcomes</w:t>
      </w:r>
      <w:r w:rsidRPr="00961D57">
        <w:t xml:space="preserve">). </w:t>
      </w:r>
    </w:p>
    <w:p w14:paraId="4F4C2924" w14:textId="77777777" w:rsidR="009F392A" w:rsidRPr="00961D57" w:rsidRDefault="009F392A" w:rsidP="007E70E6">
      <w:pPr>
        <w:pStyle w:val="BodyText2"/>
      </w:pPr>
      <w:r w:rsidRPr="00961D57">
        <w:t xml:space="preserve">No one outside the </w:t>
      </w:r>
      <w:r w:rsidR="00662948" w:rsidRPr="00961D57">
        <w:t xml:space="preserve">evaluation </w:t>
      </w:r>
      <w:r w:rsidRPr="00961D57">
        <w:t xml:space="preserve">team will have access to the individual responses, nor will anyone outside the team be able to identify any individual </w:t>
      </w:r>
      <w:r w:rsidR="00570091" w:rsidRPr="00961D57">
        <w:t xml:space="preserve">participant </w:t>
      </w:r>
      <w:r w:rsidRPr="00961D57">
        <w:t xml:space="preserve">with their responses. </w:t>
      </w:r>
      <w:r w:rsidRPr="00961D57">
        <w:rPr>
          <w:rFonts w:eastAsia="Calibri"/>
        </w:rPr>
        <w:t>Reports on data collected will be presented in aggregate form only. At the end of the project, the Primary Investigator will arrange for the proper storage and destruction of all data in compliance with all relevant government regulations and policies</w:t>
      </w:r>
      <w:r w:rsidR="00C504A2" w:rsidRPr="00961D57">
        <w:rPr>
          <w:rFonts w:eastAsia="Calibri"/>
        </w:rPr>
        <w:t>.</w:t>
      </w:r>
    </w:p>
    <w:p w14:paraId="37D32411" w14:textId="77777777" w:rsidR="00A87CDD" w:rsidRPr="00961D57" w:rsidRDefault="00A87CDD" w:rsidP="00066C5F">
      <w:pPr>
        <w:pStyle w:val="Heading3"/>
      </w:pPr>
      <w:r w:rsidRPr="00961D57">
        <w:t>Sensitive Questions</w:t>
      </w:r>
    </w:p>
    <w:p w14:paraId="3A1B7FC9" w14:textId="77777777" w:rsidR="00A87CDD" w:rsidRPr="00961D57" w:rsidRDefault="00A87CDD" w:rsidP="007E70E6">
      <w:pPr>
        <w:pStyle w:val="BodyText2"/>
      </w:pPr>
      <w:r w:rsidRPr="00961D57">
        <w:t>The survey do</w:t>
      </w:r>
      <w:r w:rsidR="008378B9" w:rsidRPr="00961D57">
        <w:t>es</w:t>
      </w:r>
      <w:r w:rsidRPr="00961D57">
        <w:t xml:space="preserve"> not include any sensitive questions related to private matters.</w:t>
      </w:r>
    </w:p>
    <w:p w14:paraId="4C02132B" w14:textId="77777777" w:rsidR="00A87CDD" w:rsidRPr="00961D57" w:rsidRDefault="00A87CDD" w:rsidP="00066C5F">
      <w:pPr>
        <w:pStyle w:val="Heading3"/>
      </w:pPr>
      <w:r w:rsidRPr="00961D57">
        <w:t>Burden Estimates (Hours &amp; Wages)</w:t>
      </w:r>
    </w:p>
    <w:p w14:paraId="06A62799" w14:textId="1905D09D" w:rsidR="00A87CDD" w:rsidRPr="00961D57" w:rsidRDefault="00A87CDD" w:rsidP="00903B7E">
      <w:pPr>
        <w:pStyle w:val="BodyText2"/>
      </w:pPr>
      <w:r w:rsidRPr="00961D57">
        <w:t>The estimated annual burden (number of burden hours per year)</w:t>
      </w:r>
      <w:r w:rsidR="00662948" w:rsidRPr="00961D57">
        <w:t xml:space="preserve"> and costs fo</w:t>
      </w:r>
      <w:r w:rsidR="00C21CAA" w:rsidRPr="00961D57">
        <w:t>r</w:t>
      </w:r>
      <w:r w:rsidR="00662948" w:rsidRPr="00961D57">
        <w:t xml:space="preserve"> the data collection</w:t>
      </w:r>
      <w:r w:rsidRPr="00961D57">
        <w:t xml:space="preserve"> are outlined in </w:t>
      </w:r>
      <w:r w:rsidR="00F43245" w:rsidRPr="00961D57">
        <w:fldChar w:fldCharType="begin"/>
      </w:r>
      <w:r w:rsidR="00F43245" w:rsidRPr="00961D57">
        <w:instrText xml:space="preserve"> REF _Ref449621551 \h </w:instrText>
      </w:r>
      <w:r w:rsidR="00F43245" w:rsidRPr="00961D57">
        <w:fldChar w:fldCharType="separate"/>
      </w:r>
      <w:r w:rsidR="00F34FDF" w:rsidRPr="00961D57">
        <w:t xml:space="preserve">Table </w:t>
      </w:r>
      <w:r w:rsidR="00F34FDF">
        <w:rPr>
          <w:noProof/>
        </w:rPr>
        <w:t>2</w:t>
      </w:r>
      <w:r w:rsidR="00F43245" w:rsidRPr="00961D57">
        <w:fldChar w:fldCharType="end"/>
      </w:r>
      <w:r w:rsidRPr="00961D57">
        <w:t xml:space="preserve"> below. </w:t>
      </w:r>
    </w:p>
    <w:p w14:paraId="2F49DD4B" w14:textId="0081919A" w:rsidR="00A87CDD" w:rsidRPr="00961D57" w:rsidRDefault="00A87CDD" w:rsidP="00066C5F">
      <w:pPr>
        <w:pStyle w:val="Caption"/>
      </w:pPr>
      <w:bookmarkStart w:id="7" w:name="_Ref449621551"/>
      <w:r w:rsidRPr="00961D57">
        <w:t xml:space="preserve">Table </w:t>
      </w:r>
      <w:r w:rsidR="005F2D7F">
        <w:rPr>
          <w:noProof/>
        </w:rPr>
        <w:fldChar w:fldCharType="begin"/>
      </w:r>
      <w:r w:rsidR="005F2D7F">
        <w:rPr>
          <w:noProof/>
        </w:rPr>
        <w:instrText xml:space="preserve"> SEQ Table \* ARABIC </w:instrText>
      </w:r>
      <w:r w:rsidR="005F2D7F">
        <w:rPr>
          <w:noProof/>
        </w:rPr>
        <w:fldChar w:fldCharType="separate"/>
      </w:r>
      <w:r w:rsidR="00F34FDF">
        <w:rPr>
          <w:noProof/>
        </w:rPr>
        <w:t>2</w:t>
      </w:r>
      <w:r w:rsidR="005F2D7F">
        <w:rPr>
          <w:noProof/>
        </w:rPr>
        <w:fldChar w:fldCharType="end"/>
      </w:r>
      <w:bookmarkEnd w:id="7"/>
      <w:r w:rsidRPr="00961D57">
        <w:t>: Estimated Annual Burden Hours</w:t>
      </w:r>
      <w:r w:rsidR="0086654C" w:rsidRPr="00961D57">
        <w:t xml:space="preserve"> and Cost</w:t>
      </w:r>
    </w:p>
    <w:p w14:paraId="3FBB4F60" w14:textId="77777777" w:rsidR="00903B7E" w:rsidRPr="00961D57" w:rsidRDefault="00903B7E" w:rsidP="00903B7E">
      <w:pPr>
        <w:keepNext/>
        <w:pBdr>
          <w:top w:val="single" w:sz="4" w:space="1" w:color="auto"/>
          <w:left w:val="single" w:sz="4" w:space="4" w:color="auto"/>
          <w:bottom w:val="single" w:sz="4" w:space="1" w:color="auto"/>
          <w:right w:val="single" w:sz="4" w:space="4" w:color="auto"/>
        </w:pBdr>
        <w:shd w:val="clear" w:color="auto" w:fill="E7E6E6" w:themeFill="background2"/>
        <w:ind w:left="108" w:right="115"/>
        <w:jc w:val="center"/>
      </w:pPr>
      <w:r w:rsidRPr="00961D57">
        <w:rPr>
          <w:b/>
          <w:sz w:val="20"/>
          <w:szCs w:val="20"/>
        </w:rPr>
        <w:t>Survey with QIN-QIO Participating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Description w:val="Survey with QIN-QIO Participating Respondents"/>
      </w:tblPr>
      <w:tblGrid>
        <w:gridCol w:w="1909"/>
        <w:gridCol w:w="1187"/>
        <w:gridCol w:w="1368"/>
        <w:gridCol w:w="1003"/>
        <w:gridCol w:w="1550"/>
        <w:gridCol w:w="913"/>
        <w:gridCol w:w="1546"/>
      </w:tblGrid>
      <w:tr w:rsidR="00961D57" w:rsidRPr="00961D57" w14:paraId="74AE9557" w14:textId="77777777" w:rsidTr="00903B7E">
        <w:trPr>
          <w:cantSplit/>
          <w:trHeight w:val="926"/>
          <w:tblHeader/>
        </w:trPr>
        <w:tc>
          <w:tcPr>
            <w:tcW w:w="1007" w:type="pct"/>
            <w:shd w:val="clear" w:color="auto" w:fill="BFBFBF"/>
          </w:tcPr>
          <w:p w14:paraId="0FE0FA82" w14:textId="77777777" w:rsidR="00903B7E" w:rsidRPr="00961D57" w:rsidRDefault="00903B7E" w:rsidP="00903B7E">
            <w:pPr>
              <w:keepNext/>
              <w:spacing w:before="60" w:after="60"/>
              <w:jc w:val="center"/>
              <w:rPr>
                <w:b/>
                <w:sz w:val="20"/>
                <w:szCs w:val="20"/>
              </w:rPr>
            </w:pPr>
            <w:r w:rsidRPr="00961D57">
              <w:rPr>
                <w:b/>
                <w:sz w:val="20"/>
                <w:szCs w:val="20"/>
              </w:rPr>
              <w:t>Data Collection Activity and Type of Participant</w:t>
            </w:r>
          </w:p>
        </w:tc>
        <w:tc>
          <w:tcPr>
            <w:tcW w:w="626" w:type="pct"/>
            <w:shd w:val="clear" w:color="auto" w:fill="BFBFBF"/>
          </w:tcPr>
          <w:p w14:paraId="44F6FE88" w14:textId="77777777" w:rsidR="00903B7E" w:rsidRPr="00961D57" w:rsidRDefault="00903B7E" w:rsidP="00903B7E">
            <w:pPr>
              <w:keepNext/>
              <w:spacing w:before="60" w:after="60"/>
              <w:jc w:val="center"/>
              <w:rPr>
                <w:b/>
                <w:sz w:val="20"/>
                <w:szCs w:val="20"/>
              </w:rPr>
            </w:pPr>
            <w:r w:rsidRPr="00961D57">
              <w:rPr>
                <w:b/>
                <w:sz w:val="20"/>
                <w:szCs w:val="20"/>
              </w:rPr>
              <w:t>Estimated Number of Participants</w:t>
            </w:r>
            <w:r w:rsidRPr="00961D57">
              <w:rPr>
                <w:b/>
                <w:sz w:val="20"/>
                <w:szCs w:val="20"/>
              </w:rPr>
              <w:br/>
              <w:t>(1)</w:t>
            </w:r>
          </w:p>
        </w:tc>
        <w:tc>
          <w:tcPr>
            <w:tcW w:w="722" w:type="pct"/>
            <w:shd w:val="clear" w:color="auto" w:fill="BFBFBF"/>
          </w:tcPr>
          <w:p w14:paraId="528F6ED0" w14:textId="77777777" w:rsidR="00903B7E" w:rsidRPr="00961D57" w:rsidRDefault="00903B7E" w:rsidP="00903B7E">
            <w:pPr>
              <w:keepNext/>
              <w:spacing w:before="60" w:after="60"/>
              <w:jc w:val="center"/>
              <w:rPr>
                <w:b/>
                <w:sz w:val="20"/>
                <w:szCs w:val="20"/>
              </w:rPr>
            </w:pPr>
            <w:r w:rsidRPr="00961D57">
              <w:rPr>
                <w:b/>
                <w:sz w:val="20"/>
                <w:szCs w:val="20"/>
              </w:rPr>
              <w:t>Number of Responses per Participant</w:t>
            </w:r>
            <w:r w:rsidRPr="00961D57">
              <w:rPr>
                <w:b/>
                <w:sz w:val="20"/>
                <w:szCs w:val="20"/>
              </w:rPr>
              <w:br/>
              <w:t>(2)</w:t>
            </w:r>
          </w:p>
        </w:tc>
        <w:tc>
          <w:tcPr>
            <w:tcW w:w="529" w:type="pct"/>
            <w:shd w:val="clear" w:color="auto" w:fill="BFBFBF"/>
          </w:tcPr>
          <w:p w14:paraId="639AFF5F" w14:textId="77777777" w:rsidR="00903B7E" w:rsidRPr="00961D57" w:rsidRDefault="00903B7E" w:rsidP="00903B7E">
            <w:pPr>
              <w:keepNext/>
              <w:spacing w:before="60" w:after="60"/>
              <w:jc w:val="center"/>
              <w:rPr>
                <w:b/>
                <w:sz w:val="20"/>
                <w:szCs w:val="20"/>
              </w:rPr>
            </w:pPr>
            <w:r w:rsidRPr="00961D57">
              <w:rPr>
                <w:b/>
                <w:sz w:val="20"/>
                <w:szCs w:val="20"/>
              </w:rPr>
              <w:t>Hours per Response</w:t>
            </w:r>
            <w:r w:rsidRPr="00961D57">
              <w:rPr>
                <w:b/>
                <w:sz w:val="20"/>
                <w:szCs w:val="20"/>
              </w:rPr>
              <w:br/>
            </w:r>
            <w:r w:rsidRPr="00961D57">
              <w:rPr>
                <w:b/>
                <w:sz w:val="20"/>
                <w:szCs w:val="20"/>
              </w:rPr>
              <w:br/>
              <w:t>(3)</w:t>
            </w:r>
          </w:p>
        </w:tc>
        <w:tc>
          <w:tcPr>
            <w:tcW w:w="818" w:type="pct"/>
            <w:shd w:val="clear" w:color="auto" w:fill="BFBFBF"/>
          </w:tcPr>
          <w:p w14:paraId="4C43C93C" w14:textId="77777777" w:rsidR="00903B7E" w:rsidRPr="00961D57" w:rsidRDefault="00903B7E" w:rsidP="00903B7E">
            <w:pPr>
              <w:keepNext/>
              <w:spacing w:before="60" w:after="60"/>
              <w:jc w:val="center"/>
              <w:rPr>
                <w:b/>
                <w:sz w:val="20"/>
                <w:szCs w:val="20"/>
              </w:rPr>
            </w:pPr>
            <w:r w:rsidRPr="00961D57">
              <w:rPr>
                <w:b/>
                <w:sz w:val="20"/>
                <w:szCs w:val="20"/>
              </w:rPr>
              <w:t>Estimated Annual Burden Hours</w:t>
            </w:r>
            <w:r w:rsidRPr="00961D57">
              <w:rPr>
                <w:b/>
                <w:sz w:val="20"/>
                <w:szCs w:val="20"/>
              </w:rPr>
              <w:br/>
              <w:t>(4=1*2*3)</w:t>
            </w:r>
          </w:p>
        </w:tc>
        <w:tc>
          <w:tcPr>
            <w:tcW w:w="482" w:type="pct"/>
            <w:shd w:val="clear" w:color="auto" w:fill="BFBFBF"/>
          </w:tcPr>
          <w:p w14:paraId="5F8BE7F3" w14:textId="77777777" w:rsidR="00903B7E" w:rsidRPr="00961D57" w:rsidRDefault="00903B7E" w:rsidP="00903B7E">
            <w:pPr>
              <w:keepNext/>
              <w:spacing w:before="60" w:after="60"/>
              <w:jc w:val="center"/>
              <w:rPr>
                <w:b/>
                <w:sz w:val="20"/>
                <w:szCs w:val="20"/>
              </w:rPr>
            </w:pPr>
            <w:r w:rsidRPr="00961D57">
              <w:rPr>
                <w:b/>
                <w:sz w:val="20"/>
                <w:szCs w:val="20"/>
              </w:rPr>
              <w:t>Hourly Wage Rate</w:t>
            </w:r>
            <w:bookmarkStart w:id="8" w:name="_Ref519071407"/>
            <w:r w:rsidRPr="00961D57">
              <w:rPr>
                <w:rStyle w:val="FootnoteReference"/>
                <w:sz w:val="20"/>
                <w:szCs w:val="20"/>
              </w:rPr>
              <w:footnoteReference w:id="24"/>
            </w:r>
            <w:bookmarkEnd w:id="8"/>
            <w:r w:rsidRPr="00961D57">
              <w:rPr>
                <w:b/>
                <w:sz w:val="20"/>
                <w:szCs w:val="20"/>
              </w:rPr>
              <w:br/>
              <w:t>(5)</w:t>
            </w:r>
          </w:p>
        </w:tc>
        <w:tc>
          <w:tcPr>
            <w:tcW w:w="816" w:type="pct"/>
            <w:shd w:val="clear" w:color="auto" w:fill="BFBFBF"/>
          </w:tcPr>
          <w:p w14:paraId="154E375D" w14:textId="77777777" w:rsidR="00903B7E" w:rsidRPr="00961D57" w:rsidRDefault="00903B7E" w:rsidP="00903B7E">
            <w:pPr>
              <w:keepNext/>
              <w:spacing w:before="60" w:after="60"/>
              <w:jc w:val="center"/>
              <w:rPr>
                <w:b/>
                <w:sz w:val="20"/>
                <w:szCs w:val="20"/>
              </w:rPr>
            </w:pPr>
            <w:r w:rsidRPr="00961D57">
              <w:rPr>
                <w:b/>
                <w:sz w:val="20"/>
                <w:szCs w:val="20"/>
              </w:rPr>
              <w:t xml:space="preserve">Estimated Total Annual Participant Cost </w:t>
            </w:r>
            <w:r w:rsidRPr="00961D57">
              <w:rPr>
                <w:b/>
                <w:sz w:val="20"/>
                <w:szCs w:val="20"/>
              </w:rPr>
              <w:br/>
              <w:t>(6=4*5)</w:t>
            </w:r>
          </w:p>
        </w:tc>
      </w:tr>
      <w:tr w:rsidR="00961D57" w:rsidRPr="00961D57" w14:paraId="7CD77182" w14:textId="77777777" w:rsidTr="00903B7E">
        <w:trPr>
          <w:cantSplit/>
          <w:trHeight w:val="503"/>
        </w:trPr>
        <w:tc>
          <w:tcPr>
            <w:tcW w:w="1007" w:type="pct"/>
            <w:shd w:val="clear" w:color="auto" w:fill="auto"/>
            <w:vAlign w:val="center"/>
          </w:tcPr>
          <w:p w14:paraId="68A43166" w14:textId="77777777" w:rsidR="00903B7E" w:rsidRPr="00961D57" w:rsidDel="0016733F" w:rsidRDefault="00903B7E" w:rsidP="00903B7E">
            <w:pPr>
              <w:spacing w:before="40" w:after="40"/>
              <w:rPr>
                <w:sz w:val="20"/>
                <w:szCs w:val="20"/>
                <w:highlight w:val="yellow"/>
              </w:rPr>
            </w:pPr>
            <w:r w:rsidRPr="00961D57">
              <w:rPr>
                <w:sz w:val="20"/>
                <w:szCs w:val="20"/>
              </w:rPr>
              <w:t>Pharmacists in a community setting</w:t>
            </w:r>
          </w:p>
        </w:tc>
        <w:tc>
          <w:tcPr>
            <w:tcW w:w="626" w:type="pct"/>
            <w:shd w:val="clear" w:color="auto" w:fill="auto"/>
            <w:vAlign w:val="center"/>
          </w:tcPr>
          <w:p w14:paraId="7E080D90" w14:textId="77777777" w:rsidR="00903B7E" w:rsidRPr="00961D57" w:rsidRDefault="00903B7E" w:rsidP="00903B7E">
            <w:pPr>
              <w:spacing w:before="40" w:after="40"/>
              <w:jc w:val="center"/>
              <w:rPr>
                <w:sz w:val="20"/>
                <w:szCs w:val="20"/>
              </w:rPr>
            </w:pPr>
            <w:r w:rsidRPr="00961D57">
              <w:rPr>
                <w:sz w:val="20"/>
                <w:szCs w:val="20"/>
              </w:rPr>
              <w:t>300</w:t>
            </w:r>
          </w:p>
        </w:tc>
        <w:tc>
          <w:tcPr>
            <w:tcW w:w="722" w:type="pct"/>
            <w:shd w:val="clear" w:color="auto" w:fill="auto"/>
            <w:vAlign w:val="center"/>
          </w:tcPr>
          <w:p w14:paraId="15FD42A7" w14:textId="77777777" w:rsidR="00903B7E" w:rsidRPr="00961D57" w:rsidRDefault="00903B7E" w:rsidP="00903B7E">
            <w:pPr>
              <w:spacing w:before="40" w:after="40"/>
              <w:jc w:val="center"/>
              <w:rPr>
                <w:sz w:val="20"/>
                <w:szCs w:val="20"/>
              </w:rPr>
            </w:pPr>
            <w:r w:rsidRPr="00961D57">
              <w:rPr>
                <w:sz w:val="20"/>
                <w:szCs w:val="20"/>
              </w:rPr>
              <w:t>1</w:t>
            </w:r>
          </w:p>
        </w:tc>
        <w:tc>
          <w:tcPr>
            <w:tcW w:w="529" w:type="pct"/>
            <w:shd w:val="clear" w:color="auto" w:fill="auto"/>
            <w:vAlign w:val="center"/>
          </w:tcPr>
          <w:p w14:paraId="2FF2C587" w14:textId="77777777" w:rsidR="00903B7E" w:rsidRPr="00961D57" w:rsidRDefault="00903B7E" w:rsidP="00903B7E">
            <w:pPr>
              <w:spacing w:before="40" w:after="40"/>
              <w:jc w:val="center"/>
              <w:rPr>
                <w:sz w:val="20"/>
                <w:szCs w:val="20"/>
              </w:rPr>
            </w:pPr>
            <w:r w:rsidRPr="00961D57">
              <w:rPr>
                <w:sz w:val="20"/>
                <w:szCs w:val="20"/>
              </w:rPr>
              <w:t>0.33</w:t>
            </w:r>
          </w:p>
        </w:tc>
        <w:tc>
          <w:tcPr>
            <w:tcW w:w="818" w:type="pct"/>
            <w:shd w:val="clear" w:color="auto" w:fill="auto"/>
            <w:vAlign w:val="center"/>
          </w:tcPr>
          <w:p w14:paraId="0F90A31D" w14:textId="77777777" w:rsidR="00903B7E" w:rsidRPr="00961D57" w:rsidRDefault="00903B7E" w:rsidP="00903B7E">
            <w:pPr>
              <w:spacing w:before="40" w:after="40"/>
              <w:jc w:val="center"/>
              <w:rPr>
                <w:sz w:val="20"/>
                <w:szCs w:val="20"/>
              </w:rPr>
            </w:pPr>
            <w:r w:rsidRPr="00961D57">
              <w:rPr>
                <w:sz w:val="20"/>
                <w:szCs w:val="20"/>
              </w:rPr>
              <w:t>99</w:t>
            </w:r>
          </w:p>
        </w:tc>
        <w:tc>
          <w:tcPr>
            <w:tcW w:w="482" w:type="pct"/>
            <w:vAlign w:val="center"/>
          </w:tcPr>
          <w:p w14:paraId="3ACE458F" w14:textId="57D2E327" w:rsidR="00903B7E" w:rsidRPr="00961D57" w:rsidRDefault="00903B7E" w:rsidP="00903B7E">
            <w:pPr>
              <w:spacing w:before="40" w:after="40"/>
              <w:jc w:val="center"/>
              <w:rPr>
                <w:sz w:val="20"/>
                <w:szCs w:val="20"/>
              </w:rPr>
            </w:pPr>
            <w:r w:rsidRPr="00961D57">
              <w:rPr>
                <w:sz w:val="20"/>
                <w:szCs w:val="20"/>
              </w:rPr>
              <w:t>$</w:t>
            </w:r>
            <w:r w:rsidR="001B683D" w:rsidRPr="00961D57">
              <w:rPr>
                <w:sz w:val="20"/>
                <w:szCs w:val="20"/>
              </w:rPr>
              <w:t>117.04</w:t>
            </w:r>
          </w:p>
        </w:tc>
        <w:tc>
          <w:tcPr>
            <w:tcW w:w="816" w:type="pct"/>
            <w:vAlign w:val="center"/>
          </w:tcPr>
          <w:p w14:paraId="164F575E" w14:textId="5061325F" w:rsidR="00903B7E" w:rsidRPr="00961D57" w:rsidRDefault="00903B7E" w:rsidP="00903B7E">
            <w:pPr>
              <w:spacing w:before="40" w:after="40"/>
              <w:jc w:val="center"/>
              <w:rPr>
                <w:sz w:val="20"/>
                <w:szCs w:val="20"/>
              </w:rPr>
            </w:pPr>
            <w:r w:rsidRPr="00961D57">
              <w:rPr>
                <w:sz w:val="20"/>
                <w:szCs w:val="20"/>
              </w:rPr>
              <w:t>$11,</w:t>
            </w:r>
            <w:r w:rsidR="001B683D" w:rsidRPr="00961D57">
              <w:rPr>
                <w:sz w:val="20"/>
                <w:szCs w:val="20"/>
              </w:rPr>
              <w:t>587</w:t>
            </w:r>
          </w:p>
        </w:tc>
      </w:tr>
      <w:tr w:rsidR="00961D57" w:rsidRPr="00961D57" w14:paraId="0CFC5FCC" w14:textId="77777777" w:rsidTr="00903B7E">
        <w:trPr>
          <w:cantSplit/>
        </w:trPr>
        <w:tc>
          <w:tcPr>
            <w:tcW w:w="1007" w:type="pct"/>
            <w:shd w:val="clear" w:color="auto" w:fill="auto"/>
            <w:vAlign w:val="center"/>
          </w:tcPr>
          <w:p w14:paraId="702A898D" w14:textId="77777777" w:rsidR="00903B7E" w:rsidRPr="00961D57" w:rsidDel="0016733F" w:rsidRDefault="00903B7E" w:rsidP="00903B7E">
            <w:pPr>
              <w:spacing w:before="40" w:after="40"/>
              <w:rPr>
                <w:sz w:val="20"/>
                <w:szCs w:val="20"/>
              </w:rPr>
            </w:pPr>
            <w:r w:rsidRPr="00961D57">
              <w:rPr>
                <w:sz w:val="20"/>
                <w:szCs w:val="20"/>
              </w:rPr>
              <w:t>Physicians in a primary care practice</w:t>
            </w:r>
          </w:p>
        </w:tc>
        <w:tc>
          <w:tcPr>
            <w:tcW w:w="626" w:type="pct"/>
            <w:shd w:val="clear" w:color="auto" w:fill="auto"/>
            <w:vAlign w:val="center"/>
          </w:tcPr>
          <w:p w14:paraId="2AEBD3D8" w14:textId="2843EDC7" w:rsidR="00903B7E" w:rsidRPr="00961D57" w:rsidRDefault="00547A63" w:rsidP="00903B7E">
            <w:pPr>
              <w:spacing w:before="40" w:after="40"/>
              <w:jc w:val="center"/>
              <w:rPr>
                <w:sz w:val="20"/>
                <w:szCs w:val="20"/>
              </w:rPr>
            </w:pPr>
            <w:r w:rsidRPr="00961D57">
              <w:rPr>
                <w:sz w:val="20"/>
                <w:szCs w:val="20"/>
              </w:rPr>
              <w:t>2</w:t>
            </w:r>
            <w:r w:rsidR="001B683D" w:rsidRPr="00961D57">
              <w:rPr>
                <w:sz w:val="20"/>
                <w:szCs w:val="20"/>
              </w:rPr>
              <w:t>0</w:t>
            </w:r>
            <w:r w:rsidR="0096291E" w:rsidRPr="00961D57">
              <w:rPr>
                <w:sz w:val="20"/>
                <w:szCs w:val="20"/>
              </w:rPr>
              <w:t>1</w:t>
            </w:r>
          </w:p>
        </w:tc>
        <w:tc>
          <w:tcPr>
            <w:tcW w:w="722" w:type="pct"/>
            <w:shd w:val="clear" w:color="auto" w:fill="auto"/>
            <w:vAlign w:val="center"/>
          </w:tcPr>
          <w:p w14:paraId="342AD56B" w14:textId="77777777" w:rsidR="00903B7E" w:rsidRPr="00961D57" w:rsidRDefault="00903B7E" w:rsidP="00903B7E">
            <w:pPr>
              <w:spacing w:before="40" w:after="40"/>
              <w:jc w:val="center"/>
              <w:rPr>
                <w:sz w:val="20"/>
                <w:szCs w:val="20"/>
              </w:rPr>
            </w:pPr>
            <w:r w:rsidRPr="00961D57">
              <w:rPr>
                <w:sz w:val="20"/>
                <w:szCs w:val="20"/>
              </w:rPr>
              <w:t>1</w:t>
            </w:r>
          </w:p>
        </w:tc>
        <w:tc>
          <w:tcPr>
            <w:tcW w:w="529" w:type="pct"/>
            <w:shd w:val="clear" w:color="auto" w:fill="auto"/>
            <w:vAlign w:val="center"/>
          </w:tcPr>
          <w:p w14:paraId="6A4A3C71" w14:textId="77777777" w:rsidR="00903B7E" w:rsidRPr="00961D57" w:rsidRDefault="00903B7E" w:rsidP="00903B7E">
            <w:pPr>
              <w:spacing w:before="40" w:after="40"/>
              <w:jc w:val="center"/>
              <w:rPr>
                <w:sz w:val="20"/>
                <w:szCs w:val="20"/>
              </w:rPr>
            </w:pPr>
            <w:r w:rsidRPr="00961D57">
              <w:rPr>
                <w:sz w:val="20"/>
                <w:szCs w:val="20"/>
              </w:rPr>
              <w:t>0.33</w:t>
            </w:r>
          </w:p>
        </w:tc>
        <w:tc>
          <w:tcPr>
            <w:tcW w:w="818" w:type="pct"/>
            <w:shd w:val="clear" w:color="auto" w:fill="auto"/>
            <w:vAlign w:val="center"/>
          </w:tcPr>
          <w:p w14:paraId="683CF560" w14:textId="77777777" w:rsidR="00903B7E" w:rsidRPr="00961D57" w:rsidRDefault="00063DF1" w:rsidP="005C3AA5">
            <w:pPr>
              <w:spacing w:before="40" w:after="40"/>
              <w:jc w:val="center"/>
              <w:rPr>
                <w:sz w:val="20"/>
                <w:szCs w:val="20"/>
              </w:rPr>
            </w:pPr>
            <w:r w:rsidRPr="00961D57">
              <w:rPr>
                <w:sz w:val="20"/>
                <w:szCs w:val="20"/>
              </w:rPr>
              <w:t>72.60</w:t>
            </w:r>
          </w:p>
        </w:tc>
        <w:tc>
          <w:tcPr>
            <w:tcW w:w="482" w:type="pct"/>
            <w:vAlign w:val="center"/>
          </w:tcPr>
          <w:p w14:paraId="059E5A7E" w14:textId="64EFC074" w:rsidR="00903B7E" w:rsidRPr="00961D57" w:rsidRDefault="00903B7E" w:rsidP="00903B7E">
            <w:pPr>
              <w:spacing w:before="40" w:after="40"/>
              <w:jc w:val="center"/>
              <w:rPr>
                <w:sz w:val="20"/>
                <w:szCs w:val="20"/>
              </w:rPr>
            </w:pPr>
            <w:r w:rsidRPr="00961D57">
              <w:rPr>
                <w:sz w:val="20"/>
                <w:szCs w:val="20"/>
              </w:rPr>
              <w:t>$</w:t>
            </w:r>
            <w:r w:rsidR="001B683D" w:rsidRPr="00961D57">
              <w:rPr>
                <w:sz w:val="20"/>
                <w:szCs w:val="20"/>
              </w:rPr>
              <w:t>190.74</w:t>
            </w:r>
          </w:p>
        </w:tc>
        <w:tc>
          <w:tcPr>
            <w:tcW w:w="816" w:type="pct"/>
            <w:vAlign w:val="center"/>
          </w:tcPr>
          <w:p w14:paraId="76C8B609" w14:textId="04F534C1" w:rsidR="00903B7E" w:rsidRPr="00961D57" w:rsidRDefault="00063DF1" w:rsidP="005C3AA5">
            <w:pPr>
              <w:spacing w:before="40" w:after="40"/>
              <w:jc w:val="center"/>
              <w:rPr>
                <w:sz w:val="20"/>
                <w:szCs w:val="20"/>
              </w:rPr>
            </w:pPr>
            <w:r w:rsidRPr="00961D57">
              <w:rPr>
                <w:sz w:val="20"/>
                <w:szCs w:val="20"/>
              </w:rPr>
              <w:t>$</w:t>
            </w:r>
            <w:r w:rsidR="001B683D" w:rsidRPr="00961D57">
              <w:rPr>
                <w:sz w:val="20"/>
                <w:szCs w:val="20"/>
              </w:rPr>
              <w:t>12,</w:t>
            </w:r>
            <w:r w:rsidR="0096291E" w:rsidRPr="00961D57">
              <w:rPr>
                <w:sz w:val="20"/>
                <w:szCs w:val="20"/>
              </w:rPr>
              <w:t>652</w:t>
            </w:r>
          </w:p>
        </w:tc>
      </w:tr>
      <w:tr w:rsidR="00961D57" w:rsidRPr="00961D57" w14:paraId="7914B4EC" w14:textId="77777777" w:rsidTr="00903B7E">
        <w:trPr>
          <w:cantSplit/>
        </w:trPr>
        <w:tc>
          <w:tcPr>
            <w:tcW w:w="1007" w:type="pct"/>
            <w:shd w:val="clear" w:color="auto" w:fill="auto"/>
            <w:vAlign w:val="center"/>
          </w:tcPr>
          <w:p w14:paraId="6F540253" w14:textId="77777777" w:rsidR="00063DF1" w:rsidRPr="00961D57" w:rsidDel="002E7EFE" w:rsidRDefault="00063DF1" w:rsidP="00063DF1">
            <w:pPr>
              <w:spacing w:before="40" w:after="40"/>
              <w:rPr>
                <w:sz w:val="20"/>
                <w:szCs w:val="20"/>
              </w:rPr>
            </w:pPr>
            <w:r w:rsidRPr="00961D57">
              <w:rPr>
                <w:sz w:val="20"/>
                <w:szCs w:val="20"/>
              </w:rPr>
              <w:t>Physician Assistants</w:t>
            </w:r>
          </w:p>
        </w:tc>
        <w:tc>
          <w:tcPr>
            <w:tcW w:w="626" w:type="pct"/>
            <w:shd w:val="clear" w:color="auto" w:fill="auto"/>
            <w:vAlign w:val="center"/>
          </w:tcPr>
          <w:p w14:paraId="04EA1501" w14:textId="41F45A46" w:rsidR="00063DF1" w:rsidRPr="00961D57" w:rsidDel="002E7EFE" w:rsidRDefault="00947A2A" w:rsidP="00063DF1">
            <w:pPr>
              <w:spacing w:before="40" w:after="40"/>
              <w:jc w:val="center"/>
              <w:rPr>
                <w:sz w:val="20"/>
                <w:szCs w:val="20"/>
              </w:rPr>
            </w:pPr>
            <w:r w:rsidRPr="00961D57">
              <w:rPr>
                <w:sz w:val="20"/>
                <w:szCs w:val="20"/>
              </w:rPr>
              <w:t>4</w:t>
            </w:r>
            <w:r w:rsidR="0096291E" w:rsidRPr="00961D57">
              <w:rPr>
                <w:sz w:val="20"/>
                <w:szCs w:val="20"/>
              </w:rPr>
              <w:t>2</w:t>
            </w:r>
          </w:p>
        </w:tc>
        <w:tc>
          <w:tcPr>
            <w:tcW w:w="722" w:type="pct"/>
            <w:shd w:val="clear" w:color="auto" w:fill="auto"/>
            <w:vAlign w:val="center"/>
          </w:tcPr>
          <w:p w14:paraId="23347BBE" w14:textId="77777777" w:rsidR="00063DF1" w:rsidRPr="00961D57" w:rsidDel="002E7EFE" w:rsidRDefault="00063DF1" w:rsidP="00063DF1">
            <w:pPr>
              <w:spacing w:before="40" w:after="40"/>
              <w:jc w:val="center"/>
              <w:rPr>
                <w:sz w:val="20"/>
                <w:szCs w:val="20"/>
              </w:rPr>
            </w:pPr>
            <w:r w:rsidRPr="00961D57">
              <w:rPr>
                <w:sz w:val="20"/>
                <w:szCs w:val="20"/>
              </w:rPr>
              <w:t>1</w:t>
            </w:r>
          </w:p>
        </w:tc>
        <w:tc>
          <w:tcPr>
            <w:tcW w:w="529" w:type="pct"/>
            <w:shd w:val="clear" w:color="auto" w:fill="auto"/>
            <w:vAlign w:val="center"/>
          </w:tcPr>
          <w:p w14:paraId="2F7BDA3A" w14:textId="77777777" w:rsidR="00063DF1" w:rsidRPr="00961D57" w:rsidDel="002E7EFE" w:rsidRDefault="00063DF1" w:rsidP="00063DF1">
            <w:pPr>
              <w:spacing w:before="40" w:after="40"/>
              <w:jc w:val="center"/>
              <w:rPr>
                <w:sz w:val="20"/>
                <w:szCs w:val="20"/>
              </w:rPr>
            </w:pPr>
            <w:r w:rsidRPr="00961D57">
              <w:rPr>
                <w:sz w:val="20"/>
                <w:szCs w:val="20"/>
              </w:rPr>
              <w:t>0.33</w:t>
            </w:r>
          </w:p>
        </w:tc>
        <w:tc>
          <w:tcPr>
            <w:tcW w:w="818" w:type="pct"/>
            <w:shd w:val="clear" w:color="auto" w:fill="auto"/>
            <w:vAlign w:val="center"/>
          </w:tcPr>
          <w:p w14:paraId="3D6FB15F" w14:textId="77777777" w:rsidR="00063DF1" w:rsidRPr="00961D57" w:rsidDel="002E7EFE" w:rsidRDefault="00063DF1" w:rsidP="00063DF1">
            <w:pPr>
              <w:spacing w:before="40" w:after="40"/>
              <w:jc w:val="center"/>
              <w:rPr>
                <w:sz w:val="20"/>
                <w:szCs w:val="20"/>
              </w:rPr>
            </w:pPr>
            <w:r w:rsidRPr="00961D57">
              <w:rPr>
                <w:sz w:val="20"/>
                <w:szCs w:val="20"/>
              </w:rPr>
              <w:t>11.55</w:t>
            </w:r>
          </w:p>
        </w:tc>
        <w:tc>
          <w:tcPr>
            <w:tcW w:w="482" w:type="pct"/>
            <w:vAlign w:val="center"/>
          </w:tcPr>
          <w:p w14:paraId="00F45C3D" w14:textId="79E8F563" w:rsidR="00063DF1" w:rsidRPr="00961D57" w:rsidDel="002E7EFE" w:rsidRDefault="001B683D" w:rsidP="00063DF1">
            <w:pPr>
              <w:spacing w:before="40" w:after="40"/>
              <w:jc w:val="center"/>
              <w:rPr>
                <w:sz w:val="20"/>
                <w:szCs w:val="20"/>
              </w:rPr>
            </w:pPr>
            <w:r w:rsidRPr="00961D57">
              <w:rPr>
                <w:sz w:val="20"/>
                <w:szCs w:val="20"/>
              </w:rPr>
              <w:t>$</w:t>
            </w:r>
            <w:r w:rsidR="008430B9" w:rsidRPr="00961D57">
              <w:rPr>
                <w:sz w:val="20"/>
                <w:szCs w:val="20"/>
              </w:rPr>
              <w:t>100.74</w:t>
            </w:r>
          </w:p>
        </w:tc>
        <w:tc>
          <w:tcPr>
            <w:tcW w:w="816" w:type="pct"/>
            <w:vAlign w:val="center"/>
          </w:tcPr>
          <w:p w14:paraId="398331A7" w14:textId="57CDD1F5" w:rsidR="00063DF1" w:rsidRPr="00961D57" w:rsidDel="002E7EFE" w:rsidRDefault="00063DF1" w:rsidP="00063DF1">
            <w:pPr>
              <w:spacing w:before="40" w:after="40"/>
              <w:jc w:val="center"/>
              <w:rPr>
                <w:sz w:val="20"/>
                <w:szCs w:val="20"/>
              </w:rPr>
            </w:pPr>
            <w:r w:rsidRPr="00961D57">
              <w:rPr>
                <w:sz w:val="20"/>
                <w:szCs w:val="20"/>
              </w:rPr>
              <w:t>$</w:t>
            </w:r>
            <w:r w:rsidR="001B683D" w:rsidRPr="00961D57">
              <w:rPr>
                <w:sz w:val="20"/>
                <w:szCs w:val="20"/>
              </w:rPr>
              <w:t>1,</w:t>
            </w:r>
            <w:r w:rsidR="0096291E" w:rsidRPr="00961D57">
              <w:rPr>
                <w:sz w:val="20"/>
                <w:szCs w:val="20"/>
              </w:rPr>
              <w:t>396</w:t>
            </w:r>
          </w:p>
        </w:tc>
      </w:tr>
      <w:tr w:rsidR="00961D57" w:rsidRPr="00961D57" w14:paraId="55184ADC" w14:textId="77777777" w:rsidTr="00903B7E">
        <w:trPr>
          <w:cantSplit/>
        </w:trPr>
        <w:tc>
          <w:tcPr>
            <w:tcW w:w="1007" w:type="pct"/>
            <w:shd w:val="clear" w:color="auto" w:fill="auto"/>
            <w:vAlign w:val="center"/>
          </w:tcPr>
          <w:p w14:paraId="2A6DC490" w14:textId="77777777" w:rsidR="00547A63" w:rsidRPr="00961D57" w:rsidDel="002E7EFE" w:rsidRDefault="00063DF1" w:rsidP="00547A63">
            <w:pPr>
              <w:spacing w:before="40" w:after="40"/>
              <w:rPr>
                <w:sz w:val="20"/>
                <w:szCs w:val="20"/>
              </w:rPr>
            </w:pPr>
            <w:r w:rsidRPr="00961D57">
              <w:rPr>
                <w:sz w:val="20"/>
                <w:szCs w:val="20"/>
              </w:rPr>
              <w:t>Nurse Practitioners</w:t>
            </w:r>
          </w:p>
        </w:tc>
        <w:tc>
          <w:tcPr>
            <w:tcW w:w="626" w:type="pct"/>
            <w:shd w:val="clear" w:color="auto" w:fill="auto"/>
            <w:vAlign w:val="center"/>
          </w:tcPr>
          <w:p w14:paraId="501A817B" w14:textId="3E2A54DA" w:rsidR="00547A63" w:rsidRPr="00961D57" w:rsidDel="002E7EFE" w:rsidRDefault="00947A2A" w:rsidP="00547A63">
            <w:pPr>
              <w:spacing w:before="40" w:after="40"/>
              <w:jc w:val="center"/>
              <w:rPr>
                <w:sz w:val="20"/>
                <w:szCs w:val="20"/>
              </w:rPr>
            </w:pPr>
            <w:r w:rsidRPr="00961D57">
              <w:rPr>
                <w:sz w:val="20"/>
                <w:szCs w:val="20"/>
              </w:rPr>
              <w:t>5</w:t>
            </w:r>
            <w:r w:rsidR="0096291E" w:rsidRPr="00961D57">
              <w:rPr>
                <w:sz w:val="20"/>
                <w:szCs w:val="20"/>
              </w:rPr>
              <w:t>7</w:t>
            </w:r>
          </w:p>
        </w:tc>
        <w:tc>
          <w:tcPr>
            <w:tcW w:w="722" w:type="pct"/>
            <w:shd w:val="clear" w:color="auto" w:fill="auto"/>
            <w:vAlign w:val="center"/>
          </w:tcPr>
          <w:p w14:paraId="23E63C3A" w14:textId="77777777" w:rsidR="00547A63" w:rsidRPr="00961D57" w:rsidDel="002E7EFE" w:rsidRDefault="00547A63" w:rsidP="00547A63">
            <w:pPr>
              <w:spacing w:before="40" w:after="40"/>
              <w:jc w:val="center"/>
              <w:rPr>
                <w:sz w:val="20"/>
                <w:szCs w:val="20"/>
              </w:rPr>
            </w:pPr>
            <w:r w:rsidRPr="00961D57">
              <w:rPr>
                <w:sz w:val="20"/>
                <w:szCs w:val="20"/>
              </w:rPr>
              <w:t>1</w:t>
            </w:r>
          </w:p>
        </w:tc>
        <w:tc>
          <w:tcPr>
            <w:tcW w:w="529" w:type="pct"/>
            <w:shd w:val="clear" w:color="auto" w:fill="auto"/>
            <w:vAlign w:val="center"/>
          </w:tcPr>
          <w:p w14:paraId="52A1502A" w14:textId="77777777" w:rsidR="00547A63" w:rsidRPr="00961D57" w:rsidDel="002E7EFE" w:rsidRDefault="00547A63" w:rsidP="00547A63">
            <w:pPr>
              <w:spacing w:before="40" w:after="40"/>
              <w:jc w:val="center"/>
              <w:rPr>
                <w:sz w:val="20"/>
                <w:szCs w:val="20"/>
              </w:rPr>
            </w:pPr>
            <w:r w:rsidRPr="00961D57">
              <w:rPr>
                <w:sz w:val="20"/>
                <w:szCs w:val="20"/>
              </w:rPr>
              <w:t>0.33</w:t>
            </w:r>
          </w:p>
        </w:tc>
        <w:tc>
          <w:tcPr>
            <w:tcW w:w="818" w:type="pct"/>
            <w:shd w:val="clear" w:color="auto" w:fill="auto"/>
            <w:vAlign w:val="center"/>
          </w:tcPr>
          <w:p w14:paraId="118D45F5" w14:textId="77777777" w:rsidR="00547A63" w:rsidRPr="00961D57" w:rsidDel="002E7EFE" w:rsidRDefault="00063DF1" w:rsidP="00547A63">
            <w:pPr>
              <w:spacing w:before="40" w:after="40"/>
              <w:jc w:val="center"/>
              <w:rPr>
                <w:sz w:val="20"/>
                <w:szCs w:val="20"/>
              </w:rPr>
            </w:pPr>
            <w:r w:rsidRPr="00961D57">
              <w:rPr>
                <w:sz w:val="20"/>
                <w:szCs w:val="20"/>
              </w:rPr>
              <w:t>14.85</w:t>
            </w:r>
          </w:p>
        </w:tc>
        <w:tc>
          <w:tcPr>
            <w:tcW w:w="482" w:type="pct"/>
            <w:vAlign w:val="center"/>
          </w:tcPr>
          <w:p w14:paraId="73C194A7" w14:textId="791AC029" w:rsidR="00547A63" w:rsidRPr="00961D57" w:rsidDel="002E7EFE" w:rsidRDefault="001B683D" w:rsidP="00547A63">
            <w:pPr>
              <w:spacing w:before="40" w:after="40"/>
              <w:jc w:val="center"/>
              <w:rPr>
                <w:sz w:val="20"/>
                <w:szCs w:val="20"/>
              </w:rPr>
            </w:pPr>
            <w:r w:rsidRPr="00961D57">
              <w:rPr>
                <w:sz w:val="20"/>
                <w:szCs w:val="20"/>
              </w:rPr>
              <w:t>$103.36</w:t>
            </w:r>
          </w:p>
        </w:tc>
        <w:tc>
          <w:tcPr>
            <w:tcW w:w="816" w:type="pct"/>
            <w:vAlign w:val="center"/>
          </w:tcPr>
          <w:p w14:paraId="6470C3E6" w14:textId="7A7081D5" w:rsidR="00547A63" w:rsidRPr="00961D57" w:rsidDel="002E7EFE" w:rsidRDefault="00063DF1" w:rsidP="00063DF1">
            <w:pPr>
              <w:spacing w:before="40" w:after="40"/>
              <w:jc w:val="center"/>
              <w:rPr>
                <w:sz w:val="20"/>
                <w:szCs w:val="20"/>
              </w:rPr>
            </w:pPr>
            <w:r w:rsidRPr="00961D57">
              <w:rPr>
                <w:sz w:val="20"/>
                <w:szCs w:val="20"/>
              </w:rPr>
              <w:t>$</w:t>
            </w:r>
            <w:r w:rsidR="001B683D" w:rsidRPr="00961D57">
              <w:rPr>
                <w:sz w:val="20"/>
                <w:szCs w:val="20"/>
              </w:rPr>
              <w:t>1,</w:t>
            </w:r>
            <w:r w:rsidR="0096291E" w:rsidRPr="00961D57">
              <w:rPr>
                <w:sz w:val="20"/>
                <w:szCs w:val="20"/>
              </w:rPr>
              <w:t>944</w:t>
            </w:r>
          </w:p>
        </w:tc>
      </w:tr>
    </w:tbl>
    <w:p w14:paraId="1FFCC0E0" w14:textId="77777777" w:rsidR="00903B7E" w:rsidRPr="00961D57" w:rsidRDefault="00903B7E" w:rsidP="00903B7E">
      <w:pPr>
        <w:keepNext/>
        <w:pBdr>
          <w:top w:val="single" w:sz="4" w:space="1" w:color="auto"/>
          <w:left w:val="single" w:sz="4" w:space="4" w:color="auto"/>
          <w:bottom w:val="single" w:sz="4" w:space="1" w:color="auto"/>
          <w:right w:val="single" w:sz="4" w:space="4" w:color="auto"/>
        </w:pBdr>
        <w:shd w:val="clear" w:color="auto" w:fill="E7E6E6" w:themeFill="background2"/>
        <w:ind w:left="108" w:right="115"/>
        <w:jc w:val="center"/>
      </w:pPr>
      <w:r w:rsidRPr="00961D57">
        <w:rPr>
          <w:b/>
          <w:sz w:val="20"/>
          <w:szCs w:val="20"/>
        </w:rPr>
        <w:t>Survey with Non-Participating Respondents</w:t>
      </w:r>
      <w:r w:rsidRPr="00961D57">
        <w:rPr>
          <w:rStyle w:val="FootnoteReference"/>
          <w:sz w:val="20"/>
          <w:szCs w:val="20"/>
        </w:rPr>
        <w:footnoteReference w:id="2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Description w:val="Survey with QIN-QIO with non-Participating Respondents"/>
      </w:tblPr>
      <w:tblGrid>
        <w:gridCol w:w="1909"/>
        <w:gridCol w:w="1187"/>
        <w:gridCol w:w="1368"/>
        <w:gridCol w:w="1003"/>
        <w:gridCol w:w="1550"/>
        <w:gridCol w:w="913"/>
        <w:gridCol w:w="1546"/>
      </w:tblGrid>
      <w:tr w:rsidR="00961D57" w:rsidRPr="00961D57" w14:paraId="0D891117" w14:textId="77777777" w:rsidTr="00903B7E">
        <w:trPr>
          <w:cantSplit/>
          <w:trHeight w:val="926"/>
          <w:tblHeader/>
        </w:trPr>
        <w:tc>
          <w:tcPr>
            <w:tcW w:w="1007" w:type="pct"/>
            <w:shd w:val="clear" w:color="auto" w:fill="BFBFBF"/>
          </w:tcPr>
          <w:p w14:paraId="3E801AE1" w14:textId="77777777" w:rsidR="0015274D" w:rsidRPr="00961D57" w:rsidRDefault="0015274D" w:rsidP="00903B7E">
            <w:pPr>
              <w:keepNext/>
              <w:spacing w:before="60" w:after="60"/>
              <w:jc w:val="center"/>
              <w:rPr>
                <w:b/>
                <w:sz w:val="20"/>
                <w:szCs w:val="20"/>
              </w:rPr>
            </w:pPr>
            <w:bookmarkStart w:id="9" w:name="_Hlk508179170"/>
            <w:r w:rsidRPr="00961D57">
              <w:rPr>
                <w:b/>
                <w:sz w:val="20"/>
                <w:szCs w:val="20"/>
              </w:rPr>
              <w:t>Data Collection Activity</w:t>
            </w:r>
            <w:r w:rsidR="00903B7E" w:rsidRPr="00961D57">
              <w:rPr>
                <w:b/>
                <w:sz w:val="20"/>
                <w:szCs w:val="20"/>
              </w:rPr>
              <w:t xml:space="preserve"> and Type of </w:t>
            </w:r>
            <w:r w:rsidR="00570091" w:rsidRPr="00961D57">
              <w:rPr>
                <w:b/>
                <w:sz w:val="20"/>
                <w:szCs w:val="20"/>
              </w:rPr>
              <w:t>Participant</w:t>
            </w:r>
          </w:p>
        </w:tc>
        <w:tc>
          <w:tcPr>
            <w:tcW w:w="626" w:type="pct"/>
            <w:shd w:val="clear" w:color="auto" w:fill="BFBFBF"/>
          </w:tcPr>
          <w:p w14:paraId="53940AD8" w14:textId="77777777" w:rsidR="0015274D" w:rsidRPr="00961D57" w:rsidRDefault="0015274D" w:rsidP="00903B7E">
            <w:pPr>
              <w:keepNext/>
              <w:spacing w:before="60" w:after="60"/>
              <w:jc w:val="center"/>
              <w:rPr>
                <w:b/>
                <w:sz w:val="20"/>
                <w:szCs w:val="20"/>
              </w:rPr>
            </w:pPr>
            <w:r w:rsidRPr="00961D57">
              <w:rPr>
                <w:b/>
                <w:sz w:val="20"/>
                <w:szCs w:val="20"/>
              </w:rPr>
              <w:t xml:space="preserve">Estimated Number of </w:t>
            </w:r>
            <w:r w:rsidR="00570091" w:rsidRPr="00961D57">
              <w:rPr>
                <w:b/>
                <w:sz w:val="20"/>
                <w:szCs w:val="20"/>
              </w:rPr>
              <w:t>Participant</w:t>
            </w:r>
            <w:r w:rsidR="00E72D6F" w:rsidRPr="00961D57">
              <w:rPr>
                <w:b/>
                <w:sz w:val="20"/>
                <w:szCs w:val="20"/>
              </w:rPr>
              <w:t>s</w:t>
            </w:r>
            <w:r w:rsidR="00483188" w:rsidRPr="00961D57">
              <w:rPr>
                <w:b/>
                <w:sz w:val="20"/>
                <w:szCs w:val="20"/>
              </w:rPr>
              <w:br/>
            </w:r>
            <w:r w:rsidRPr="00961D57">
              <w:rPr>
                <w:b/>
                <w:sz w:val="20"/>
                <w:szCs w:val="20"/>
              </w:rPr>
              <w:t>(1)</w:t>
            </w:r>
          </w:p>
        </w:tc>
        <w:tc>
          <w:tcPr>
            <w:tcW w:w="722" w:type="pct"/>
            <w:shd w:val="clear" w:color="auto" w:fill="BFBFBF"/>
          </w:tcPr>
          <w:p w14:paraId="7170E9E4" w14:textId="77777777" w:rsidR="0015274D" w:rsidRPr="00961D57" w:rsidRDefault="0015274D" w:rsidP="00903B7E">
            <w:pPr>
              <w:keepNext/>
              <w:spacing w:before="60" w:after="60"/>
              <w:jc w:val="center"/>
              <w:rPr>
                <w:b/>
                <w:sz w:val="20"/>
                <w:szCs w:val="20"/>
              </w:rPr>
            </w:pPr>
            <w:r w:rsidRPr="00961D57">
              <w:rPr>
                <w:b/>
                <w:sz w:val="20"/>
                <w:szCs w:val="20"/>
              </w:rPr>
              <w:t xml:space="preserve">Number of Responses per </w:t>
            </w:r>
            <w:r w:rsidR="00E72D6F" w:rsidRPr="00961D57">
              <w:rPr>
                <w:b/>
                <w:sz w:val="20"/>
                <w:szCs w:val="20"/>
              </w:rPr>
              <w:t>P</w:t>
            </w:r>
            <w:r w:rsidR="00570091" w:rsidRPr="00961D57">
              <w:rPr>
                <w:b/>
                <w:sz w:val="20"/>
                <w:szCs w:val="20"/>
              </w:rPr>
              <w:t>articipant</w:t>
            </w:r>
            <w:r w:rsidR="00483188" w:rsidRPr="00961D57">
              <w:rPr>
                <w:b/>
                <w:sz w:val="20"/>
                <w:szCs w:val="20"/>
              </w:rPr>
              <w:br/>
            </w:r>
            <w:r w:rsidRPr="00961D57">
              <w:rPr>
                <w:b/>
                <w:sz w:val="20"/>
                <w:szCs w:val="20"/>
              </w:rPr>
              <w:t>(2)</w:t>
            </w:r>
          </w:p>
        </w:tc>
        <w:tc>
          <w:tcPr>
            <w:tcW w:w="529" w:type="pct"/>
            <w:shd w:val="clear" w:color="auto" w:fill="BFBFBF"/>
          </w:tcPr>
          <w:p w14:paraId="13C9BF79" w14:textId="77777777" w:rsidR="0015274D" w:rsidRPr="00961D57" w:rsidRDefault="0015274D" w:rsidP="00903B7E">
            <w:pPr>
              <w:keepNext/>
              <w:spacing w:before="60" w:after="60"/>
              <w:jc w:val="center"/>
              <w:rPr>
                <w:b/>
                <w:sz w:val="20"/>
                <w:szCs w:val="20"/>
              </w:rPr>
            </w:pPr>
            <w:r w:rsidRPr="00961D57">
              <w:rPr>
                <w:b/>
                <w:sz w:val="20"/>
                <w:szCs w:val="20"/>
              </w:rPr>
              <w:t>Hours per Response</w:t>
            </w:r>
            <w:r w:rsidR="00903B7E" w:rsidRPr="00961D57">
              <w:rPr>
                <w:b/>
                <w:sz w:val="20"/>
                <w:szCs w:val="20"/>
              </w:rPr>
              <w:br/>
            </w:r>
            <w:r w:rsidR="00903B7E" w:rsidRPr="00961D57">
              <w:rPr>
                <w:b/>
                <w:sz w:val="20"/>
                <w:szCs w:val="20"/>
              </w:rPr>
              <w:br/>
            </w:r>
            <w:r w:rsidRPr="00961D57">
              <w:rPr>
                <w:b/>
                <w:sz w:val="20"/>
                <w:szCs w:val="20"/>
              </w:rPr>
              <w:t>(3)</w:t>
            </w:r>
          </w:p>
        </w:tc>
        <w:tc>
          <w:tcPr>
            <w:tcW w:w="818" w:type="pct"/>
            <w:shd w:val="clear" w:color="auto" w:fill="BFBFBF"/>
          </w:tcPr>
          <w:p w14:paraId="3DC3514F" w14:textId="77777777" w:rsidR="0015274D" w:rsidRPr="00961D57" w:rsidRDefault="0015274D" w:rsidP="00903B7E">
            <w:pPr>
              <w:keepNext/>
              <w:spacing w:before="60" w:after="60"/>
              <w:jc w:val="center"/>
              <w:rPr>
                <w:b/>
                <w:sz w:val="20"/>
                <w:szCs w:val="20"/>
              </w:rPr>
            </w:pPr>
            <w:r w:rsidRPr="00961D57">
              <w:rPr>
                <w:b/>
                <w:sz w:val="20"/>
                <w:szCs w:val="20"/>
              </w:rPr>
              <w:t>Estimated Annual Burden Hours</w:t>
            </w:r>
            <w:r w:rsidR="00483188" w:rsidRPr="00961D57">
              <w:rPr>
                <w:b/>
                <w:sz w:val="20"/>
                <w:szCs w:val="20"/>
              </w:rPr>
              <w:br/>
            </w:r>
            <w:r w:rsidRPr="00961D57">
              <w:rPr>
                <w:b/>
                <w:sz w:val="20"/>
                <w:szCs w:val="20"/>
              </w:rPr>
              <w:t>(4=1*2*3)</w:t>
            </w:r>
          </w:p>
        </w:tc>
        <w:tc>
          <w:tcPr>
            <w:tcW w:w="482" w:type="pct"/>
            <w:shd w:val="clear" w:color="auto" w:fill="BFBFBF"/>
          </w:tcPr>
          <w:p w14:paraId="09132110" w14:textId="4070031A" w:rsidR="0015274D" w:rsidRPr="00961D57" w:rsidRDefault="0015274D" w:rsidP="00903B7E">
            <w:pPr>
              <w:keepNext/>
              <w:spacing w:before="60" w:after="60"/>
              <w:jc w:val="center"/>
              <w:rPr>
                <w:b/>
                <w:sz w:val="20"/>
                <w:szCs w:val="20"/>
              </w:rPr>
            </w:pPr>
            <w:r w:rsidRPr="00961D57">
              <w:rPr>
                <w:b/>
                <w:sz w:val="20"/>
                <w:szCs w:val="20"/>
              </w:rPr>
              <w:t>Hourly Wage Rate</w:t>
            </w:r>
            <w:r w:rsidR="00903B7E" w:rsidRPr="00961D57">
              <w:rPr>
                <w:rStyle w:val="FootnoteReference"/>
                <w:sz w:val="20"/>
              </w:rPr>
              <w:fldChar w:fldCharType="begin"/>
            </w:r>
            <w:r w:rsidR="00903B7E" w:rsidRPr="00961D57">
              <w:rPr>
                <w:rStyle w:val="FootnoteReference"/>
                <w:sz w:val="20"/>
              </w:rPr>
              <w:instrText xml:space="preserve"> NOTEREF _Ref519071407 \h  \* MERGEFORMAT </w:instrText>
            </w:r>
            <w:r w:rsidR="00903B7E" w:rsidRPr="00961D57">
              <w:rPr>
                <w:rStyle w:val="FootnoteReference"/>
                <w:sz w:val="20"/>
              </w:rPr>
            </w:r>
            <w:r w:rsidR="00903B7E" w:rsidRPr="00961D57">
              <w:rPr>
                <w:rStyle w:val="FootnoteReference"/>
                <w:sz w:val="20"/>
              </w:rPr>
              <w:fldChar w:fldCharType="separate"/>
            </w:r>
            <w:r w:rsidR="00F34FDF">
              <w:rPr>
                <w:rStyle w:val="FootnoteReference"/>
                <w:sz w:val="20"/>
              </w:rPr>
              <w:t>23</w:t>
            </w:r>
            <w:r w:rsidR="00903B7E" w:rsidRPr="00961D57">
              <w:rPr>
                <w:rStyle w:val="FootnoteReference"/>
                <w:sz w:val="20"/>
              </w:rPr>
              <w:fldChar w:fldCharType="end"/>
            </w:r>
            <w:r w:rsidR="00483188" w:rsidRPr="00961D57">
              <w:rPr>
                <w:b/>
                <w:sz w:val="20"/>
                <w:szCs w:val="20"/>
              </w:rPr>
              <w:br/>
            </w:r>
            <w:r w:rsidRPr="00961D57">
              <w:rPr>
                <w:b/>
                <w:sz w:val="20"/>
                <w:szCs w:val="20"/>
              </w:rPr>
              <w:t>(5)</w:t>
            </w:r>
          </w:p>
        </w:tc>
        <w:tc>
          <w:tcPr>
            <w:tcW w:w="816" w:type="pct"/>
            <w:shd w:val="clear" w:color="auto" w:fill="BFBFBF"/>
          </w:tcPr>
          <w:p w14:paraId="3DE822BA" w14:textId="77777777" w:rsidR="0015274D" w:rsidRPr="00961D57" w:rsidRDefault="0015274D" w:rsidP="00903B7E">
            <w:pPr>
              <w:keepNext/>
              <w:spacing w:before="60" w:after="60"/>
              <w:jc w:val="center"/>
              <w:rPr>
                <w:b/>
                <w:sz w:val="20"/>
                <w:szCs w:val="20"/>
              </w:rPr>
            </w:pPr>
            <w:r w:rsidRPr="00961D57">
              <w:rPr>
                <w:b/>
                <w:sz w:val="20"/>
                <w:szCs w:val="20"/>
              </w:rPr>
              <w:t xml:space="preserve">Estimated Total Annual </w:t>
            </w:r>
            <w:r w:rsidR="00570091" w:rsidRPr="00961D57">
              <w:rPr>
                <w:b/>
                <w:sz w:val="20"/>
                <w:szCs w:val="20"/>
              </w:rPr>
              <w:t xml:space="preserve">Participant </w:t>
            </w:r>
            <w:r w:rsidRPr="00961D57">
              <w:rPr>
                <w:b/>
                <w:sz w:val="20"/>
                <w:szCs w:val="20"/>
              </w:rPr>
              <w:t>Cost</w:t>
            </w:r>
            <w:r w:rsidR="00483188" w:rsidRPr="00961D57">
              <w:rPr>
                <w:b/>
                <w:sz w:val="20"/>
                <w:szCs w:val="20"/>
              </w:rPr>
              <w:t xml:space="preserve"> </w:t>
            </w:r>
            <w:r w:rsidR="00483188" w:rsidRPr="00961D57">
              <w:rPr>
                <w:b/>
                <w:sz w:val="20"/>
                <w:szCs w:val="20"/>
              </w:rPr>
              <w:br/>
            </w:r>
            <w:r w:rsidRPr="00961D57">
              <w:rPr>
                <w:b/>
                <w:sz w:val="20"/>
                <w:szCs w:val="20"/>
              </w:rPr>
              <w:t>(6=4*5)</w:t>
            </w:r>
          </w:p>
        </w:tc>
      </w:tr>
      <w:tr w:rsidR="00961D57" w:rsidRPr="00961D57" w14:paraId="1F09A4E6" w14:textId="77777777" w:rsidTr="00903B7E">
        <w:trPr>
          <w:cantSplit/>
        </w:trPr>
        <w:tc>
          <w:tcPr>
            <w:tcW w:w="1007" w:type="pct"/>
            <w:shd w:val="clear" w:color="auto" w:fill="auto"/>
            <w:vAlign w:val="center"/>
          </w:tcPr>
          <w:p w14:paraId="5E6158D3" w14:textId="511738CA" w:rsidR="007C2EAE" w:rsidRPr="00961D57" w:rsidRDefault="007C2EAE" w:rsidP="00903B7E">
            <w:pPr>
              <w:keepNext/>
              <w:spacing w:before="40" w:after="40"/>
              <w:rPr>
                <w:sz w:val="20"/>
                <w:szCs w:val="20"/>
              </w:rPr>
            </w:pPr>
            <w:r w:rsidRPr="00961D57">
              <w:rPr>
                <w:sz w:val="20"/>
                <w:szCs w:val="20"/>
              </w:rPr>
              <w:t xml:space="preserve">Pharmacists in </w:t>
            </w:r>
            <w:r w:rsidR="00C40A9F" w:rsidRPr="00961D57">
              <w:rPr>
                <w:sz w:val="20"/>
                <w:szCs w:val="20"/>
              </w:rPr>
              <w:t xml:space="preserve">a </w:t>
            </w:r>
            <w:r w:rsidRPr="00961D57">
              <w:rPr>
                <w:sz w:val="20"/>
                <w:szCs w:val="20"/>
              </w:rPr>
              <w:t>community setting</w:t>
            </w:r>
          </w:p>
        </w:tc>
        <w:tc>
          <w:tcPr>
            <w:tcW w:w="626" w:type="pct"/>
            <w:shd w:val="clear" w:color="auto" w:fill="auto"/>
            <w:vAlign w:val="center"/>
          </w:tcPr>
          <w:p w14:paraId="57997CB4" w14:textId="77777777" w:rsidR="007C2EAE" w:rsidRPr="00961D57" w:rsidRDefault="007D0ED0" w:rsidP="00903B7E">
            <w:pPr>
              <w:keepNext/>
              <w:spacing w:before="40" w:after="40"/>
              <w:jc w:val="center"/>
              <w:rPr>
                <w:sz w:val="20"/>
                <w:szCs w:val="20"/>
              </w:rPr>
            </w:pPr>
            <w:r w:rsidRPr="00961D57">
              <w:rPr>
                <w:sz w:val="20"/>
                <w:szCs w:val="20"/>
              </w:rPr>
              <w:t>300</w:t>
            </w:r>
          </w:p>
        </w:tc>
        <w:tc>
          <w:tcPr>
            <w:tcW w:w="722" w:type="pct"/>
            <w:shd w:val="clear" w:color="auto" w:fill="auto"/>
            <w:vAlign w:val="center"/>
          </w:tcPr>
          <w:p w14:paraId="3651EE5E" w14:textId="77777777" w:rsidR="007C2EAE" w:rsidRPr="00961D57" w:rsidRDefault="007C2EAE" w:rsidP="00903B7E">
            <w:pPr>
              <w:keepNext/>
              <w:spacing w:before="40" w:after="40"/>
              <w:jc w:val="center"/>
              <w:rPr>
                <w:sz w:val="20"/>
                <w:szCs w:val="20"/>
              </w:rPr>
            </w:pPr>
            <w:r w:rsidRPr="00961D57">
              <w:rPr>
                <w:sz w:val="20"/>
                <w:szCs w:val="20"/>
              </w:rPr>
              <w:t>1</w:t>
            </w:r>
          </w:p>
        </w:tc>
        <w:tc>
          <w:tcPr>
            <w:tcW w:w="529" w:type="pct"/>
            <w:shd w:val="clear" w:color="auto" w:fill="auto"/>
            <w:vAlign w:val="center"/>
          </w:tcPr>
          <w:p w14:paraId="003251FC" w14:textId="77777777" w:rsidR="007C2EAE" w:rsidRPr="00961D57" w:rsidRDefault="007C2EAE" w:rsidP="00903B7E">
            <w:pPr>
              <w:keepNext/>
              <w:spacing w:before="40" w:after="40"/>
              <w:jc w:val="center"/>
              <w:rPr>
                <w:sz w:val="20"/>
                <w:szCs w:val="20"/>
              </w:rPr>
            </w:pPr>
            <w:r w:rsidRPr="00961D57">
              <w:rPr>
                <w:sz w:val="20"/>
                <w:szCs w:val="20"/>
              </w:rPr>
              <w:t>0.17</w:t>
            </w:r>
          </w:p>
        </w:tc>
        <w:tc>
          <w:tcPr>
            <w:tcW w:w="818" w:type="pct"/>
            <w:shd w:val="clear" w:color="auto" w:fill="auto"/>
            <w:vAlign w:val="center"/>
          </w:tcPr>
          <w:p w14:paraId="257FEF1D" w14:textId="77777777" w:rsidR="007C2EAE" w:rsidRPr="00961D57" w:rsidRDefault="0059683A" w:rsidP="00903B7E">
            <w:pPr>
              <w:keepNext/>
              <w:spacing w:before="40" w:after="40"/>
              <w:jc w:val="center"/>
              <w:rPr>
                <w:sz w:val="20"/>
                <w:szCs w:val="20"/>
              </w:rPr>
            </w:pPr>
            <w:r w:rsidRPr="00961D57">
              <w:rPr>
                <w:sz w:val="20"/>
                <w:szCs w:val="20"/>
              </w:rPr>
              <w:t>51</w:t>
            </w:r>
          </w:p>
        </w:tc>
        <w:tc>
          <w:tcPr>
            <w:tcW w:w="482" w:type="pct"/>
            <w:vAlign w:val="center"/>
          </w:tcPr>
          <w:p w14:paraId="3804F8B7" w14:textId="6B530F91" w:rsidR="007C2EAE" w:rsidRPr="00961D57" w:rsidRDefault="007C2EAE" w:rsidP="00903B7E">
            <w:pPr>
              <w:keepNext/>
              <w:spacing w:before="40" w:after="40"/>
              <w:jc w:val="center"/>
              <w:rPr>
                <w:sz w:val="20"/>
                <w:szCs w:val="20"/>
              </w:rPr>
            </w:pPr>
            <w:r w:rsidRPr="00961D57">
              <w:rPr>
                <w:sz w:val="20"/>
                <w:szCs w:val="20"/>
              </w:rPr>
              <w:t>$</w:t>
            </w:r>
            <w:r w:rsidR="001B683D" w:rsidRPr="00961D57">
              <w:rPr>
                <w:sz w:val="20"/>
                <w:szCs w:val="20"/>
              </w:rPr>
              <w:t>117</w:t>
            </w:r>
            <w:r w:rsidR="00287190" w:rsidRPr="00961D57">
              <w:rPr>
                <w:sz w:val="20"/>
                <w:szCs w:val="20"/>
              </w:rPr>
              <w:t>.</w:t>
            </w:r>
            <w:r w:rsidR="001B683D" w:rsidRPr="00961D57">
              <w:rPr>
                <w:sz w:val="20"/>
                <w:szCs w:val="20"/>
              </w:rPr>
              <w:t>04</w:t>
            </w:r>
          </w:p>
        </w:tc>
        <w:tc>
          <w:tcPr>
            <w:tcW w:w="816" w:type="pct"/>
            <w:vAlign w:val="center"/>
          </w:tcPr>
          <w:p w14:paraId="31C649CA" w14:textId="6C891DD7" w:rsidR="007C2EAE" w:rsidRPr="00961D57" w:rsidRDefault="007C2EAE" w:rsidP="00903B7E">
            <w:pPr>
              <w:keepNext/>
              <w:spacing w:before="40" w:after="40"/>
              <w:jc w:val="center"/>
              <w:rPr>
                <w:sz w:val="20"/>
                <w:szCs w:val="20"/>
              </w:rPr>
            </w:pPr>
            <w:r w:rsidRPr="00961D57">
              <w:rPr>
                <w:sz w:val="20"/>
                <w:szCs w:val="20"/>
              </w:rPr>
              <w:t>$</w:t>
            </w:r>
            <w:r w:rsidR="0059683A" w:rsidRPr="00961D57">
              <w:rPr>
                <w:sz w:val="20"/>
                <w:szCs w:val="20"/>
              </w:rPr>
              <w:t>5,</w:t>
            </w:r>
            <w:r w:rsidR="004C775C" w:rsidRPr="00961D57">
              <w:rPr>
                <w:sz w:val="20"/>
                <w:szCs w:val="20"/>
              </w:rPr>
              <w:t>969</w:t>
            </w:r>
          </w:p>
        </w:tc>
      </w:tr>
      <w:tr w:rsidR="00961D57" w:rsidRPr="00961D57" w14:paraId="601FE258" w14:textId="77777777" w:rsidTr="00903B7E">
        <w:trPr>
          <w:cantSplit/>
        </w:trPr>
        <w:tc>
          <w:tcPr>
            <w:tcW w:w="1007" w:type="pct"/>
            <w:shd w:val="clear" w:color="auto" w:fill="auto"/>
            <w:vAlign w:val="center"/>
          </w:tcPr>
          <w:p w14:paraId="5007CF37" w14:textId="77777777" w:rsidR="007C2EAE" w:rsidRPr="00961D57" w:rsidRDefault="002F6D18" w:rsidP="00903B7E">
            <w:pPr>
              <w:keepNext/>
              <w:spacing w:before="40" w:after="40"/>
              <w:rPr>
                <w:sz w:val="20"/>
                <w:szCs w:val="20"/>
              </w:rPr>
            </w:pPr>
            <w:r w:rsidRPr="00961D57">
              <w:rPr>
                <w:sz w:val="20"/>
                <w:szCs w:val="20"/>
              </w:rPr>
              <w:t>Physicians in a primary care practice</w:t>
            </w:r>
          </w:p>
        </w:tc>
        <w:tc>
          <w:tcPr>
            <w:tcW w:w="626" w:type="pct"/>
            <w:shd w:val="clear" w:color="auto" w:fill="auto"/>
            <w:vAlign w:val="center"/>
          </w:tcPr>
          <w:p w14:paraId="56A54BA5" w14:textId="29A4275E" w:rsidR="007C2EAE" w:rsidRPr="00961D57" w:rsidRDefault="00093187" w:rsidP="00903B7E">
            <w:pPr>
              <w:keepNext/>
              <w:spacing w:before="40" w:after="40"/>
              <w:jc w:val="center"/>
              <w:rPr>
                <w:sz w:val="20"/>
                <w:szCs w:val="20"/>
              </w:rPr>
            </w:pPr>
            <w:r w:rsidRPr="00961D57">
              <w:rPr>
                <w:sz w:val="20"/>
                <w:szCs w:val="20"/>
              </w:rPr>
              <w:t>2</w:t>
            </w:r>
            <w:r w:rsidR="004C775C" w:rsidRPr="00961D57">
              <w:rPr>
                <w:sz w:val="20"/>
                <w:szCs w:val="20"/>
              </w:rPr>
              <w:t>0</w:t>
            </w:r>
            <w:r w:rsidR="0096291E" w:rsidRPr="00961D57">
              <w:rPr>
                <w:sz w:val="20"/>
                <w:szCs w:val="20"/>
              </w:rPr>
              <w:t>1</w:t>
            </w:r>
          </w:p>
        </w:tc>
        <w:tc>
          <w:tcPr>
            <w:tcW w:w="722" w:type="pct"/>
            <w:shd w:val="clear" w:color="auto" w:fill="auto"/>
            <w:vAlign w:val="center"/>
          </w:tcPr>
          <w:p w14:paraId="1E53CA8A" w14:textId="77777777" w:rsidR="007C2EAE" w:rsidRPr="00961D57" w:rsidRDefault="007C2EAE" w:rsidP="00903B7E">
            <w:pPr>
              <w:keepNext/>
              <w:spacing w:before="40" w:after="40"/>
              <w:jc w:val="center"/>
              <w:rPr>
                <w:sz w:val="20"/>
                <w:szCs w:val="20"/>
              </w:rPr>
            </w:pPr>
            <w:r w:rsidRPr="00961D57">
              <w:rPr>
                <w:sz w:val="20"/>
                <w:szCs w:val="20"/>
              </w:rPr>
              <w:t>1</w:t>
            </w:r>
          </w:p>
        </w:tc>
        <w:tc>
          <w:tcPr>
            <w:tcW w:w="529" w:type="pct"/>
            <w:shd w:val="clear" w:color="auto" w:fill="auto"/>
            <w:vAlign w:val="center"/>
          </w:tcPr>
          <w:p w14:paraId="0F8DE28F" w14:textId="77777777" w:rsidR="007C2EAE" w:rsidRPr="00961D57" w:rsidDel="00297BEE" w:rsidRDefault="007C2EAE" w:rsidP="00903B7E">
            <w:pPr>
              <w:keepNext/>
              <w:spacing w:before="40" w:after="40"/>
              <w:jc w:val="center"/>
              <w:rPr>
                <w:sz w:val="20"/>
                <w:szCs w:val="20"/>
              </w:rPr>
            </w:pPr>
            <w:r w:rsidRPr="00961D57">
              <w:rPr>
                <w:sz w:val="20"/>
                <w:szCs w:val="20"/>
              </w:rPr>
              <w:t>0.17</w:t>
            </w:r>
          </w:p>
        </w:tc>
        <w:tc>
          <w:tcPr>
            <w:tcW w:w="818" w:type="pct"/>
            <w:shd w:val="clear" w:color="auto" w:fill="auto"/>
            <w:vAlign w:val="center"/>
          </w:tcPr>
          <w:p w14:paraId="513933EE" w14:textId="38C88592" w:rsidR="007C2EAE" w:rsidRPr="00961D57" w:rsidDel="00297BEE" w:rsidRDefault="005C3AA5" w:rsidP="00903B7E">
            <w:pPr>
              <w:keepNext/>
              <w:spacing w:before="40" w:after="40"/>
              <w:jc w:val="center"/>
              <w:rPr>
                <w:sz w:val="20"/>
                <w:szCs w:val="20"/>
              </w:rPr>
            </w:pPr>
            <w:r>
              <w:rPr>
                <w:sz w:val="20"/>
                <w:szCs w:val="20"/>
              </w:rPr>
              <w:t>34</w:t>
            </w:r>
          </w:p>
        </w:tc>
        <w:tc>
          <w:tcPr>
            <w:tcW w:w="482" w:type="pct"/>
            <w:vAlign w:val="center"/>
          </w:tcPr>
          <w:p w14:paraId="1A8A2334" w14:textId="6A6BE3E6" w:rsidR="007C2EAE" w:rsidRPr="00961D57" w:rsidDel="00297BEE" w:rsidRDefault="004D681C" w:rsidP="00903B7E">
            <w:pPr>
              <w:keepNext/>
              <w:spacing w:before="40" w:after="40"/>
              <w:jc w:val="center"/>
              <w:rPr>
                <w:sz w:val="20"/>
                <w:szCs w:val="20"/>
              </w:rPr>
            </w:pPr>
            <w:r w:rsidRPr="00961D57">
              <w:rPr>
                <w:sz w:val="20"/>
                <w:szCs w:val="20"/>
              </w:rPr>
              <w:t>$</w:t>
            </w:r>
            <w:r w:rsidR="001B683D" w:rsidRPr="00961D57">
              <w:rPr>
                <w:sz w:val="20"/>
                <w:szCs w:val="20"/>
              </w:rPr>
              <w:t>190.74</w:t>
            </w:r>
          </w:p>
        </w:tc>
        <w:tc>
          <w:tcPr>
            <w:tcW w:w="816" w:type="pct"/>
            <w:vAlign w:val="center"/>
          </w:tcPr>
          <w:p w14:paraId="3C428CC9" w14:textId="757D3146" w:rsidR="007C2EAE" w:rsidRPr="00961D57" w:rsidDel="00297BEE" w:rsidRDefault="00093187" w:rsidP="005C3AA5">
            <w:pPr>
              <w:jc w:val="center"/>
              <w:rPr>
                <w:sz w:val="20"/>
                <w:szCs w:val="20"/>
              </w:rPr>
            </w:pPr>
            <w:r w:rsidRPr="00961D57">
              <w:rPr>
                <w:sz w:val="20"/>
                <w:szCs w:val="20"/>
              </w:rPr>
              <w:t>$</w:t>
            </w:r>
            <w:r w:rsidR="004C775C" w:rsidRPr="00961D57">
              <w:rPr>
                <w:sz w:val="20"/>
                <w:szCs w:val="20"/>
              </w:rPr>
              <w:t>6,</w:t>
            </w:r>
            <w:r w:rsidR="0096291E" w:rsidRPr="00961D57">
              <w:rPr>
                <w:sz w:val="20"/>
                <w:szCs w:val="20"/>
              </w:rPr>
              <w:t>518</w:t>
            </w:r>
            <w:r w:rsidRPr="00961D57">
              <w:rPr>
                <w:sz w:val="20"/>
                <w:szCs w:val="20"/>
              </w:rPr>
              <w:t xml:space="preserve"> </w:t>
            </w:r>
          </w:p>
        </w:tc>
      </w:tr>
      <w:tr w:rsidR="00961D57" w:rsidRPr="00961D57" w14:paraId="04DDDBE3" w14:textId="77777777" w:rsidTr="00903B7E">
        <w:trPr>
          <w:cantSplit/>
        </w:trPr>
        <w:tc>
          <w:tcPr>
            <w:tcW w:w="1007" w:type="pct"/>
            <w:shd w:val="clear" w:color="auto" w:fill="auto"/>
            <w:vAlign w:val="center"/>
          </w:tcPr>
          <w:p w14:paraId="010BA9AD" w14:textId="77777777" w:rsidR="00093187" w:rsidRPr="00961D57" w:rsidDel="002E7EFE" w:rsidRDefault="00093187" w:rsidP="00093187">
            <w:pPr>
              <w:spacing w:before="40" w:after="40"/>
              <w:rPr>
                <w:sz w:val="20"/>
                <w:szCs w:val="20"/>
              </w:rPr>
            </w:pPr>
            <w:r w:rsidRPr="00961D57">
              <w:rPr>
                <w:sz w:val="20"/>
                <w:szCs w:val="20"/>
              </w:rPr>
              <w:t>Physician Assistants</w:t>
            </w:r>
          </w:p>
        </w:tc>
        <w:tc>
          <w:tcPr>
            <w:tcW w:w="626" w:type="pct"/>
            <w:shd w:val="clear" w:color="auto" w:fill="auto"/>
            <w:vAlign w:val="center"/>
          </w:tcPr>
          <w:p w14:paraId="3779108D" w14:textId="2357FA15" w:rsidR="00093187" w:rsidRPr="00961D57" w:rsidDel="002E7EFE" w:rsidRDefault="004C775C" w:rsidP="00093187">
            <w:pPr>
              <w:spacing w:before="40" w:after="40"/>
              <w:jc w:val="center"/>
              <w:rPr>
                <w:sz w:val="20"/>
                <w:szCs w:val="20"/>
              </w:rPr>
            </w:pPr>
            <w:r w:rsidRPr="00961D57">
              <w:rPr>
                <w:sz w:val="20"/>
                <w:szCs w:val="20"/>
              </w:rPr>
              <w:t>4</w:t>
            </w:r>
            <w:r w:rsidR="0096291E" w:rsidRPr="00961D57">
              <w:rPr>
                <w:sz w:val="20"/>
                <w:szCs w:val="20"/>
              </w:rPr>
              <w:t>2</w:t>
            </w:r>
          </w:p>
        </w:tc>
        <w:tc>
          <w:tcPr>
            <w:tcW w:w="722" w:type="pct"/>
            <w:shd w:val="clear" w:color="auto" w:fill="auto"/>
            <w:vAlign w:val="center"/>
          </w:tcPr>
          <w:p w14:paraId="3A7CB574" w14:textId="77777777" w:rsidR="00093187" w:rsidRPr="00961D57" w:rsidDel="002E7EFE" w:rsidRDefault="00093187" w:rsidP="00093187">
            <w:pPr>
              <w:spacing w:before="40" w:after="40"/>
              <w:jc w:val="center"/>
              <w:rPr>
                <w:sz w:val="20"/>
                <w:szCs w:val="20"/>
              </w:rPr>
            </w:pPr>
            <w:r w:rsidRPr="00961D57">
              <w:rPr>
                <w:sz w:val="20"/>
                <w:szCs w:val="20"/>
              </w:rPr>
              <w:t>1</w:t>
            </w:r>
          </w:p>
        </w:tc>
        <w:tc>
          <w:tcPr>
            <w:tcW w:w="529" w:type="pct"/>
            <w:shd w:val="clear" w:color="auto" w:fill="auto"/>
            <w:vAlign w:val="center"/>
          </w:tcPr>
          <w:p w14:paraId="5D49E54D" w14:textId="77777777" w:rsidR="00093187" w:rsidRPr="00961D57" w:rsidDel="002E7EFE" w:rsidRDefault="00093187" w:rsidP="00093187">
            <w:pPr>
              <w:spacing w:before="40" w:after="40"/>
              <w:jc w:val="center"/>
              <w:rPr>
                <w:sz w:val="20"/>
                <w:szCs w:val="20"/>
              </w:rPr>
            </w:pPr>
            <w:r w:rsidRPr="00961D57">
              <w:rPr>
                <w:sz w:val="20"/>
                <w:szCs w:val="20"/>
              </w:rPr>
              <w:t>0.17</w:t>
            </w:r>
          </w:p>
        </w:tc>
        <w:tc>
          <w:tcPr>
            <w:tcW w:w="818" w:type="pct"/>
            <w:shd w:val="clear" w:color="auto" w:fill="auto"/>
            <w:vAlign w:val="center"/>
          </w:tcPr>
          <w:p w14:paraId="76EEA3B8" w14:textId="77777777" w:rsidR="00093187" w:rsidRPr="00961D57" w:rsidDel="002E7EFE" w:rsidRDefault="00093187" w:rsidP="00093187">
            <w:pPr>
              <w:spacing w:before="40" w:after="40"/>
              <w:jc w:val="center"/>
              <w:rPr>
                <w:sz w:val="20"/>
                <w:szCs w:val="20"/>
              </w:rPr>
            </w:pPr>
            <w:r w:rsidRPr="00961D57">
              <w:rPr>
                <w:sz w:val="20"/>
                <w:szCs w:val="20"/>
              </w:rPr>
              <w:t>5.95</w:t>
            </w:r>
          </w:p>
        </w:tc>
        <w:tc>
          <w:tcPr>
            <w:tcW w:w="482" w:type="pct"/>
            <w:vAlign w:val="center"/>
          </w:tcPr>
          <w:p w14:paraId="3C0BC780" w14:textId="0121C376" w:rsidR="00093187" w:rsidRPr="00961D57" w:rsidDel="002E7EFE" w:rsidRDefault="001B683D" w:rsidP="00093187">
            <w:pPr>
              <w:spacing w:before="40" w:after="40"/>
              <w:jc w:val="center"/>
              <w:rPr>
                <w:sz w:val="20"/>
                <w:szCs w:val="20"/>
              </w:rPr>
            </w:pPr>
            <w:r w:rsidRPr="00961D57">
              <w:rPr>
                <w:sz w:val="20"/>
                <w:szCs w:val="20"/>
              </w:rPr>
              <w:t>$100.74</w:t>
            </w:r>
          </w:p>
        </w:tc>
        <w:tc>
          <w:tcPr>
            <w:tcW w:w="816" w:type="pct"/>
            <w:vAlign w:val="center"/>
          </w:tcPr>
          <w:p w14:paraId="2AF14481" w14:textId="07543274" w:rsidR="00093187" w:rsidRPr="00961D57" w:rsidDel="002E7EFE" w:rsidRDefault="00093187" w:rsidP="00093187">
            <w:pPr>
              <w:jc w:val="center"/>
              <w:rPr>
                <w:sz w:val="20"/>
                <w:szCs w:val="20"/>
              </w:rPr>
            </w:pPr>
            <w:r w:rsidRPr="00961D57">
              <w:rPr>
                <w:sz w:val="20"/>
                <w:szCs w:val="20"/>
              </w:rPr>
              <w:t>$</w:t>
            </w:r>
            <w:r w:rsidR="004C775C" w:rsidRPr="00961D57">
              <w:rPr>
                <w:sz w:val="20"/>
                <w:szCs w:val="20"/>
              </w:rPr>
              <w:t>7</w:t>
            </w:r>
            <w:r w:rsidR="0096291E" w:rsidRPr="00961D57">
              <w:rPr>
                <w:sz w:val="20"/>
                <w:szCs w:val="20"/>
              </w:rPr>
              <w:t>19</w:t>
            </w:r>
          </w:p>
        </w:tc>
      </w:tr>
      <w:tr w:rsidR="00961D57" w:rsidRPr="00961D57" w14:paraId="2F0D5F65" w14:textId="77777777" w:rsidTr="00903B7E">
        <w:trPr>
          <w:cantSplit/>
        </w:trPr>
        <w:tc>
          <w:tcPr>
            <w:tcW w:w="1007" w:type="pct"/>
            <w:shd w:val="clear" w:color="auto" w:fill="auto"/>
            <w:vAlign w:val="center"/>
          </w:tcPr>
          <w:p w14:paraId="4E4950D5" w14:textId="77777777" w:rsidR="00093187" w:rsidRPr="00961D57" w:rsidDel="002E7EFE" w:rsidRDefault="00093187" w:rsidP="00093187">
            <w:pPr>
              <w:spacing w:before="40" w:after="40"/>
              <w:rPr>
                <w:sz w:val="20"/>
                <w:szCs w:val="20"/>
              </w:rPr>
            </w:pPr>
            <w:r w:rsidRPr="00961D57">
              <w:rPr>
                <w:sz w:val="20"/>
                <w:szCs w:val="20"/>
              </w:rPr>
              <w:t>Nurse Practitioners</w:t>
            </w:r>
          </w:p>
        </w:tc>
        <w:tc>
          <w:tcPr>
            <w:tcW w:w="626" w:type="pct"/>
            <w:shd w:val="clear" w:color="auto" w:fill="auto"/>
            <w:vAlign w:val="center"/>
          </w:tcPr>
          <w:p w14:paraId="6DAECC26" w14:textId="24A58888" w:rsidR="00093187" w:rsidRPr="00961D57" w:rsidDel="002E7EFE" w:rsidRDefault="004C775C" w:rsidP="00093187">
            <w:pPr>
              <w:spacing w:before="40" w:after="40"/>
              <w:jc w:val="center"/>
              <w:rPr>
                <w:sz w:val="20"/>
                <w:szCs w:val="20"/>
              </w:rPr>
            </w:pPr>
            <w:r w:rsidRPr="00961D57">
              <w:rPr>
                <w:sz w:val="20"/>
                <w:szCs w:val="20"/>
              </w:rPr>
              <w:t>5</w:t>
            </w:r>
            <w:r w:rsidR="0096291E" w:rsidRPr="00961D57">
              <w:rPr>
                <w:sz w:val="20"/>
                <w:szCs w:val="20"/>
              </w:rPr>
              <w:t>7</w:t>
            </w:r>
          </w:p>
        </w:tc>
        <w:tc>
          <w:tcPr>
            <w:tcW w:w="722" w:type="pct"/>
            <w:shd w:val="clear" w:color="auto" w:fill="auto"/>
            <w:vAlign w:val="center"/>
          </w:tcPr>
          <w:p w14:paraId="65DAC6A9" w14:textId="77777777" w:rsidR="00093187" w:rsidRPr="00961D57" w:rsidDel="002E7EFE" w:rsidRDefault="00093187" w:rsidP="00093187">
            <w:pPr>
              <w:spacing w:before="40" w:after="40"/>
              <w:jc w:val="center"/>
              <w:rPr>
                <w:sz w:val="20"/>
                <w:szCs w:val="20"/>
              </w:rPr>
            </w:pPr>
            <w:r w:rsidRPr="00961D57">
              <w:rPr>
                <w:sz w:val="20"/>
                <w:szCs w:val="20"/>
              </w:rPr>
              <w:t>1</w:t>
            </w:r>
          </w:p>
        </w:tc>
        <w:tc>
          <w:tcPr>
            <w:tcW w:w="529" w:type="pct"/>
            <w:shd w:val="clear" w:color="auto" w:fill="auto"/>
            <w:vAlign w:val="center"/>
          </w:tcPr>
          <w:p w14:paraId="15044126" w14:textId="77777777" w:rsidR="00093187" w:rsidRPr="00961D57" w:rsidDel="002E7EFE" w:rsidRDefault="00093187" w:rsidP="00093187">
            <w:pPr>
              <w:spacing w:before="40" w:after="40"/>
              <w:jc w:val="center"/>
              <w:rPr>
                <w:sz w:val="20"/>
                <w:szCs w:val="20"/>
              </w:rPr>
            </w:pPr>
            <w:r w:rsidRPr="00961D57">
              <w:rPr>
                <w:sz w:val="20"/>
                <w:szCs w:val="20"/>
              </w:rPr>
              <w:t>0.17</w:t>
            </w:r>
          </w:p>
        </w:tc>
        <w:tc>
          <w:tcPr>
            <w:tcW w:w="818" w:type="pct"/>
            <w:shd w:val="clear" w:color="auto" w:fill="auto"/>
            <w:vAlign w:val="center"/>
          </w:tcPr>
          <w:p w14:paraId="5F441D07" w14:textId="77777777" w:rsidR="00093187" w:rsidRPr="00961D57" w:rsidDel="002E7EFE" w:rsidRDefault="00093187" w:rsidP="00093187">
            <w:pPr>
              <w:spacing w:before="40" w:after="40"/>
              <w:jc w:val="center"/>
              <w:rPr>
                <w:sz w:val="20"/>
                <w:szCs w:val="20"/>
              </w:rPr>
            </w:pPr>
            <w:r w:rsidRPr="00961D57">
              <w:rPr>
                <w:sz w:val="20"/>
                <w:szCs w:val="20"/>
              </w:rPr>
              <w:t>7.65</w:t>
            </w:r>
          </w:p>
        </w:tc>
        <w:tc>
          <w:tcPr>
            <w:tcW w:w="482" w:type="pct"/>
            <w:vAlign w:val="center"/>
          </w:tcPr>
          <w:p w14:paraId="531A87A8" w14:textId="172CDC4B" w:rsidR="00093187" w:rsidRPr="00961D57" w:rsidDel="002E7EFE" w:rsidRDefault="001B683D" w:rsidP="00093187">
            <w:pPr>
              <w:spacing w:before="40" w:after="40"/>
              <w:jc w:val="center"/>
              <w:rPr>
                <w:sz w:val="20"/>
                <w:szCs w:val="20"/>
              </w:rPr>
            </w:pPr>
            <w:r w:rsidRPr="00961D57">
              <w:rPr>
                <w:sz w:val="20"/>
                <w:szCs w:val="20"/>
              </w:rPr>
              <w:t>$103.36</w:t>
            </w:r>
          </w:p>
        </w:tc>
        <w:tc>
          <w:tcPr>
            <w:tcW w:w="816" w:type="pct"/>
            <w:vAlign w:val="center"/>
          </w:tcPr>
          <w:p w14:paraId="3BD32A5F" w14:textId="5652A5B8" w:rsidR="00093187" w:rsidRPr="00961D57" w:rsidDel="002E7EFE" w:rsidRDefault="00093187" w:rsidP="00093187">
            <w:pPr>
              <w:jc w:val="center"/>
              <w:rPr>
                <w:sz w:val="20"/>
                <w:szCs w:val="20"/>
              </w:rPr>
            </w:pPr>
            <w:r w:rsidRPr="00961D57">
              <w:rPr>
                <w:sz w:val="20"/>
                <w:szCs w:val="20"/>
              </w:rPr>
              <w:t>$</w:t>
            </w:r>
            <w:r w:rsidR="0096291E" w:rsidRPr="00961D57">
              <w:rPr>
                <w:sz w:val="20"/>
                <w:szCs w:val="20"/>
              </w:rPr>
              <w:t>1,002</w:t>
            </w:r>
            <w:r w:rsidRPr="00961D57">
              <w:rPr>
                <w:sz w:val="20"/>
                <w:szCs w:val="20"/>
              </w:rPr>
              <w:t xml:space="preserve"> </w:t>
            </w:r>
          </w:p>
        </w:tc>
      </w:tr>
      <w:tr w:rsidR="00961D57" w:rsidRPr="00961D57" w14:paraId="44DDFCA6" w14:textId="77777777" w:rsidTr="00903B7E">
        <w:trPr>
          <w:cantSplit/>
        </w:trPr>
        <w:tc>
          <w:tcPr>
            <w:tcW w:w="1007" w:type="pct"/>
            <w:shd w:val="clear" w:color="auto" w:fill="E7E6E6" w:themeFill="background2"/>
            <w:vAlign w:val="center"/>
          </w:tcPr>
          <w:p w14:paraId="2F117A36" w14:textId="264E65E4" w:rsidR="00093187" w:rsidRPr="00961D57" w:rsidRDefault="00093187" w:rsidP="00093187">
            <w:pPr>
              <w:spacing w:before="40" w:after="40"/>
              <w:rPr>
                <w:b/>
                <w:sz w:val="20"/>
                <w:szCs w:val="20"/>
              </w:rPr>
            </w:pPr>
            <w:r w:rsidRPr="00961D57">
              <w:rPr>
                <w:b/>
                <w:sz w:val="20"/>
                <w:szCs w:val="20"/>
              </w:rPr>
              <w:t>Total</w:t>
            </w:r>
            <w:r w:rsidR="004C775C" w:rsidRPr="00961D57">
              <w:rPr>
                <w:b/>
                <w:sz w:val="20"/>
                <w:szCs w:val="20"/>
              </w:rPr>
              <w:t xml:space="preserve"> for all respondents</w:t>
            </w:r>
          </w:p>
        </w:tc>
        <w:tc>
          <w:tcPr>
            <w:tcW w:w="626" w:type="pct"/>
            <w:shd w:val="clear" w:color="auto" w:fill="E7E6E6" w:themeFill="background2"/>
            <w:vAlign w:val="center"/>
          </w:tcPr>
          <w:p w14:paraId="4C8A3F43" w14:textId="77777777" w:rsidR="00093187" w:rsidRPr="00961D57" w:rsidRDefault="00093187" w:rsidP="00093187">
            <w:pPr>
              <w:spacing w:before="40" w:after="40"/>
              <w:jc w:val="center"/>
              <w:rPr>
                <w:b/>
                <w:sz w:val="20"/>
                <w:szCs w:val="20"/>
              </w:rPr>
            </w:pPr>
            <w:r w:rsidRPr="00961D57">
              <w:rPr>
                <w:b/>
                <w:sz w:val="20"/>
                <w:szCs w:val="20"/>
              </w:rPr>
              <w:t>1,200</w:t>
            </w:r>
          </w:p>
        </w:tc>
        <w:tc>
          <w:tcPr>
            <w:tcW w:w="722" w:type="pct"/>
            <w:shd w:val="clear" w:color="auto" w:fill="E7E6E6" w:themeFill="background2"/>
            <w:vAlign w:val="center"/>
          </w:tcPr>
          <w:p w14:paraId="6EA9B86A" w14:textId="77777777" w:rsidR="00093187" w:rsidRPr="00961D57" w:rsidRDefault="00093187" w:rsidP="00093187">
            <w:pPr>
              <w:spacing w:before="40" w:after="40"/>
              <w:jc w:val="center"/>
              <w:rPr>
                <w:b/>
                <w:sz w:val="20"/>
                <w:szCs w:val="20"/>
              </w:rPr>
            </w:pPr>
            <w:r w:rsidRPr="00961D57">
              <w:rPr>
                <w:b/>
                <w:sz w:val="20"/>
                <w:szCs w:val="20"/>
              </w:rPr>
              <w:t>--</w:t>
            </w:r>
          </w:p>
        </w:tc>
        <w:tc>
          <w:tcPr>
            <w:tcW w:w="529" w:type="pct"/>
            <w:shd w:val="clear" w:color="auto" w:fill="E7E6E6" w:themeFill="background2"/>
            <w:vAlign w:val="center"/>
          </w:tcPr>
          <w:p w14:paraId="0014BADD" w14:textId="77777777" w:rsidR="00093187" w:rsidRPr="00961D57" w:rsidRDefault="00093187" w:rsidP="00093187">
            <w:pPr>
              <w:spacing w:before="40" w:after="40"/>
              <w:jc w:val="center"/>
              <w:rPr>
                <w:b/>
                <w:sz w:val="20"/>
                <w:szCs w:val="20"/>
              </w:rPr>
            </w:pPr>
            <w:r w:rsidRPr="00961D57">
              <w:rPr>
                <w:b/>
                <w:sz w:val="20"/>
                <w:szCs w:val="20"/>
              </w:rPr>
              <w:t>--</w:t>
            </w:r>
          </w:p>
        </w:tc>
        <w:tc>
          <w:tcPr>
            <w:tcW w:w="818" w:type="pct"/>
            <w:shd w:val="clear" w:color="auto" w:fill="E7E6E6" w:themeFill="background2"/>
            <w:vAlign w:val="center"/>
          </w:tcPr>
          <w:p w14:paraId="3651699B" w14:textId="77777777" w:rsidR="00093187" w:rsidRPr="00961D57" w:rsidRDefault="00093187" w:rsidP="00093187">
            <w:pPr>
              <w:spacing w:before="40" w:after="40"/>
              <w:jc w:val="center"/>
              <w:rPr>
                <w:b/>
                <w:sz w:val="20"/>
                <w:szCs w:val="20"/>
              </w:rPr>
            </w:pPr>
            <w:r w:rsidRPr="00961D57">
              <w:rPr>
                <w:b/>
                <w:sz w:val="20"/>
                <w:szCs w:val="20"/>
              </w:rPr>
              <w:t>300</w:t>
            </w:r>
          </w:p>
        </w:tc>
        <w:tc>
          <w:tcPr>
            <w:tcW w:w="482" w:type="pct"/>
            <w:shd w:val="clear" w:color="auto" w:fill="E7E6E6" w:themeFill="background2"/>
            <w:vAlign w:val="center"/>
          </w:tcPr>
          <w:p w14:paraId="6C4D376C" w14:textId="77777777" w:rsidR="00093187" w:rsidRPr="00961D57" w:rsidRDefault="00093187" w:rsidP="00093187">
            <w:pPr>
              <w:spacing w:before="40" w:after="40"/>
              <w:jc w:val="center"/>
              <w:rPr>
                <w:b/>
                <w:sz w:val="20"/>
                <w:szCs w:val="20"/>
              </w:rPr>
            </w:pPr>
            <w:r w:rsidRPr="00961D57">
              <w:rPr>
                <w:b/>
                <w:sz w:val="20"/>
                <w:szCs w:val="20"/>
              </w:rPr>
              <w:t>--</w:t>
            </w:r>
          </w:p>
        </w:tc>
        <w:tc>
          <w:tcPr>
            <w:tcW w:w="816" w:type="pct"/>
            <w:shd w:val="clear" w:color="auto" w:fill="E7E6E6" w:themeFill="background2"/>
            <w:vAlign w:val="center"/>
          </w:tcPr>
          <w:p w14:paraId="5CB91EC3" w14:textId="3C013EBE" w:rsidR="00093187" w:rsidRPr="00961D57" w:rsidRDefault="00FF249F" w:rsidP="004C775C">
            <w:pPr>
              <w:spacing w:before="40" w:after="40"/>
              <w:jc w:val="center"/>
              <w:rPr>
                <w:sz w:val="20"/>
                <w:szCs w:val="20"/>
              </w:rPr>
            </w:pPr>
            <w:r w:rsidRPr="00961D57">
              <w:rPr>
                <w:sz w:val="20"/>
                <w:szCs w:val="20"/>
              </w:rPr>
              <w:t>$</w:t>
            </w:r>
            <w:r w:rsidR="004C775C" w:rsidRPr="00961D57">
              <w:rPr>
                <w:sz w:val="20"/>
                <w:szCs w:val="20"/>
              </w:rPr>
              <w:t>41,7</w:t>
            </w:r>
            <w:r w:rsidR="0096291E" w:rsidRPr="00961D57">
              <w:rPr>
                <w:sz w:val="20"/>
                <w:szCs w:val="20"/>
              </w:rPr>
              <w:t>87</w:t>
            </w:r>
            <w:r w:rsidR="00093187" w:rsidRPr="00961D57">
              <w:rPr>
                <w:b/>
                <w:sz w:val="20"/>
                <w:szCs w:val="20"/>
              </w:rPr>
              <w:t xml:space="preserve"> </w:t>
            </w:r>
          </w:p>
        </w:tc>
      </w:tr>
    </w:tbl>
    <w:bookmarkEnd w:id="9"/>
    <w:p w14:paraId="13325608" w14:textId="3DBCB341" w:rsidR="006D1D76" w:rsidRPr="00961D57" w:rsidRDefault="006D1D76" w:rsidP="007E70E6">
      <w:pPr>
        <w:pStyle w:val="BodyText2"/>
      </w:pPr>
      <w:r w:rsidRPr="00961D57">
        <w:t xml:space="preserve">The estimated number of survey respondents reflects the planned sample of </w:t>
      </w:r>
      <w:r w:rsidR="00BD7B2D" w:rsidRPr="00961D57">
        <w:t>1</w:t>
      </w:r>
      <w:r w:rsidR="004C6EAF" w:rsidRPr="00961D57">
        <w:t>,</w:t>
      </w:r>
      <w:r w:rsidR="00BD7B2D" w:rsidRPr="00961D57">
        <w:t>200 healthcare providers</w:t>
      </w:r>
      <w:r w:rsidR="00E670FD" w:rsidRPr="00961D57">
        <w:t xml:space="preserve"> (600 in the </w:t>
      </w:r>
      <w:r w:rsidR="00F23533" w:rsidRPr="00961D57">
        <w:t>participating</w:t>
      </w:r>
      <w:r w:rsidR="00E670FD" w:rsidRPr="00961D57">
        <w:t xml:space="preserve"> group and 600 in the </w:t>
      </w:r>
      <w:r w:rsidR="00F23533" w:rsidRPr="00961D57">
        <w:t xml:space="preserve">non-participating </w:t>
      </w:r>
      <w:r w:rsidR="00E670FD" w:rsidRPr="00961D57">
        <w:t>group)</w:t>
      </w:r>
      <w:r w:rsidRPr="00961D57">
        <w:t xml:space="preserve">. The burden hour estimates for the survey are based on pre-tests of the length of time each type of respondent is likely to need to complete the survey screener and questions. The survey is expected to take approximately 10 minutes with </w:t>
      </w:r>
      <w:r w:rsidR="00243E66" w:rsidRPr="00961D57">
        <w:t xml:space="preserve">community-based </w:t>
      </w:r>
      <w:r w:rsidR="00BD7B2D" w:rsidRPr="00961D57">
        <w:t xml:space="preserve">providers </w:t>
      </w:r>
      <w:r w:rsidRPr="00961D57">
        <w:t xml:space="preserve">that are not participating in the QIN-QIO program and approximately 20 minutes to complete if the </w:t>
      </w:r>
      <w:r w:rsidR="00BD7B2D" w:rsidRPr="00961D57">
        <w:t xml:space="preserve">provider </w:t>
      </w:r>
      <w:r w:rsidRPr="00961D57">
        <w:t xml:space="preserve">is participating in the QIO program, with an </w:t>
      </w:r>
      <w:r w:rsidR="00E14587" w:rsidRPr="00961D57">
        <w:t xml:space="preserve">overall </w:t>
      </w:r>
      <w:r w:rsidRPr="00961D57">
        <w:t xml:space="preserve">average </w:t>
      </w:r>
      <w:r w:rsidR="00E14587" w:rsidRPr="00961D57">
        <w:t xml:space="preserve">of </w:t>
      </w:r>
      <w:r w:rsidRPr="00961D57">
        <w:t xml:space="preserve">15 minutes. The number of questions asked </w:t>
      </w:r>
      <w:r w:rsidR="000B7D15" w:rsidRPr="00961D57">
        <w:t xml:space="preserve">of </w:t>
      </w:r>
      <w:r w:rsidRPr="00961D57">
        <w:t xml:space="preserve">a respondent will vary depending on factors like the </w:t>
      </w:r>
      <w:r w:rsidR="00195FA2" w:rsidRPr="00961D57">
        <w:t xml:space="preserve">number </w:t>
      </w:r>
      <w:r w:rsidRPr="00961D57">
        <w:t xml:space="preserve">of quality improvement objectives their </w:t>
      </w:r>
      <w:r w:rsidR="00BD7B2D" w:rsidRPr="00961D57">
        <w:t xml:space="preserve">organization </w:t>
      </w:r>
      <w:r w:rsidRPr="00961D57">
        <w:t xml:space="preserve">is addressing and whether their </w:t>
      </w:r>
      <w:r w:rsidR="00BD7B2D" w:rsidRPr="00961D57">
        <w:t xml:space="preserve">organization </w:t>
      </w:r>
      <w:r w:rsidRPr="00961D57">
        <w:t xml:space="preserve">is interacting with a QIN-QIO. </w:t>
      </w:r>
    </w:p>
    <w:p w14:paraId="0D1B2FB3" w14:textId="3EB220A3" w:rsidR="006D1D76" w:rsidRPr="00961D57" w:rsidRDefault="006D1D76" w:rsidP="007E70E6">
      <w:pPr>
        <w:pStyle w:val="BodyText2"/>
      </w:pPr>
      <w:r w:rsidRPr="00961D57">
        <w:t xml:space="preserve">The estimated annual hour and cost burden is based on the </w:t>
      </w:r>
      <w:r w:rsidR="001E3705" w:rsidRPr="00961D57">
        <w:t>201</w:t>
      </w:r>
      <w:r w:rsidR="00FF249F" w:rsidRPr="00961D57">
        <w:t>7</w:t>
      </w:r>
      <w:r w:rsidR="001E3705" w:rsidRPr="00961D57">
        <w:t xml:space="preserve"> </w:t>
      </w:r>
      <w:r w:rsidRPr="00961D57">
        <w:t xml:space="preserve">hourly wage rate of the categories of </w:t>
      </w:r>
      <w:r w:rsidR="00570091" w:rsidRPr="00961D57">
        <w:t xml:space="preserve">participants </w:t>
      </w:r>
      <w:r w:rsidRPr="00961D57">
        <w:t>for these data collections (</w:t>
      </w:r>
      <w:r w:rsidRPr="00961D57">
        <w:fldChar w:fldCharType="begin"/>
      </w:r>
      <w:r w:rsidRPr="00961D57">
        <w:instrText xml:space="preserve"> REF _Ref449621551 \h </w:instrText>
      </w:r>
      <w:r w:rsidR="008C030C" w:rsidRPr="00961D57">
        <w:instrText xml:space="preserve"> \* MERGEFORMAT </w:instrText>
      </w:r>
      <w:r w:rsidRPr="00961D57">
        <w:fldChar w:fldCharType="separate"/>
      </w:r>
      <w:r w:rsidR="00F34FDF" w:rsidRPr="00961D57">
        <w:t xml:space="preserve">Table </w:t>
      </w:r>
      <w:r w:rsidR="00F34FDF">
        <w:rPr>
          <w:noProof/>
        </w:rPr>
        <w:t>2</w:t>
      </w:r>
      <w:r w:rsidRPr="00961D57">
        <w:fldChar w:fldCharType="end"/>
      </w:r>
      <w:r w:rsidRPr="00961D57">
        <w:t xml:space="preserve">). The total cost is calculated by multiplying the number of responses by the average time per response by the </w:t>
      </w:r>
      <w:r w:rsidR="00662948" w:rsidRPr="00961D57">
        <w:t xml:space="preserve">adjusted </w:t>
      </w:r>
      <w:r w:rsidRPr="00961D57">
        <w:t xml:space="preserve">hourly wage. The costs are then summed to derive the total cost for all </w:t>
      </w:r>
      <w:r w:rsidR="00570091" w:rsidRPr="00961D57">
        <w:t>participants</w:t>
      </w:r>
      <w:r w:rsidRPr="00961D57">
        <w:t xml:space="preserve">. </w:t>
      </w:r>
    </w:p>
    <w:p w14:paraId="6701A1BE" w14:textId="77777777" w:rsidR="0015274D" w:rsidRPr="00961D57" w:rsidRDefault="0015274D" w:rsidP="00066C5F">
      <w:pPr>
        <w:pStyle w:val="Heading3"/>
      </w:pPr>
      <w:r w:rsidRPr="00961D57">
        <w:t>Capital Costs</w:t>
      </w:r>
    </w:p>
    <w:p w14:paraId="44A6ED4F" w14:textId="77777777" w:rsidR="0015274D" w:rsidRPr="00961D57" w:rsidRDefault="0015274D" w:rsidP="007E70E6">
      <w:pPr>
        <w:pStyle w:val="BodyText2"/>
      </w:pPr>
      <w:r w:rsidRPr="00961D57">
        <w:t>There are no capital</w:t>
      </w:r>
      <w:r w:rsidR="006B69BC" w:rsidRPr="00961D57">
        <w:t xml:space="preserve"> costs.</w:t>
      </w:r>
    </w:p>
    <w:p w14:paraId="52EAD022" w14:textId="77777777" w:rsidR="0015274D" w:rsidRPr="00961D57" w:rsidRDefault="0015274D" w:rsidP="00066C5F">
      <w:pPr>
        <w:pStyle w:val="Heading3"/>
      </w:pPr>
      <w:r w:rsidRPr="00961D57">
        <w:t>Cost to Federal Government</w:t>
      </w:r>
    </w:p>
    <w:p w14:paraId="153F796D" w14:textId="5E7F373C" w:rsidR="0015274D" w:rsidRPr="00961D57" w:rsidRDefault="0015274D" w:rsidP="007E70E6">
      <w:pPr>
        <w:pStyle w:val="BodyText2"/>
      </w:pPr>
      <w:r w:rsidRPr="00961D57">
        <w:t xml:space="preserve">The cost of this information collection effort to the Federal government consists of the costs for </w:t>
      </w:r>
      <w:r w:rsidR="002D2481" w:rsidRPr="00961D57">
        <w:t>government (</w:t>
      </w:r>
      <w:r w:rsidRPr="00961D57">
        <w:t>CMS</w:t>
      </w:r>
      <w:r w:rsidR="002D2481" w:rsidRPr="00961D57">
        <w:t>) activity and CMS’</w:t>
      </w:r>
      <w:r w:rsidR="00BD7B2D" w:rsidRPr="00961D57">
        <w:t>s</w:t>
      </w:r>
      <w:r w:rsidR="002D2481" w:rsidRPr="00961D57">
        <w:t xml:space="preserve"> contractor</w:t>
      </w:r>
      <w:r w:rsidRPr="00961D57">
        <w:t xml:space="preserve"> </w:t>
      </w:r>
      <w:r w:rsidR="002D2481" w:rsidRPr="00961D57">
        <w:t xml:space="preserve">activity </w:t>
      </w:r>
      <w:r w:rsidRPr="00961D57">
        <w:t>(</w:t>
      </w:r>
      <w:r w:rsidRPr="00961D57">
        <w:fldChar w:fldCharType="begin"/>
      </w:r>
      <w:r w:rsidRPr="00961D57">
        <w:instrText xml:space="preserve"> REF _Ref449621773 \h </w:instrText>
      </w:r>
      <w:r w:rsidRPr="00961D57">
        <w:fldChar w:fldCharType="separate"/>
      </w:r>
      <w:r w:rsidR="00F34FDF" w:rsidRPr="00961D57">
        <w:t xml:space="preserve">Table </w:t>
      </w:r>
      <w:r w:rsidR="00F34FDF">
        <w:rPr>
          <w:noProof/>
        </w:rPr>
        <w:t>3</w:t>
      </w:r>
      <w:r w:rsidRPr="00961D57">
        <w:fldChar w:fldCharType="end"/>
      </w:r>
      <w:r w:rsidRPr="00961D57">
        <w:t>). The costs to CMS involve labor costs for o</w:t>
      </w:r>
      <w:r w:rsidR="002D2481" w:rsidRPr="00961D57">
        <w:t>verseeing the contractor’s work and</w:t>
      </w:r>
      <w:r w:rsidRPr="00961D57">
        <w:t xml:space="preserve"> reviewing and providing guidance on data collection instruments, OMB clearance package, and other materials. The costs to CMS’</w:t>
      </w:r>
      <w:r w:rsidR="00BD7B2D" w:rsidRPr="00961D57">
        <w:t>s</w:t>
      </w:r>
      <w:r w:rsidRPr="00961D57">
        <w:t xml:space="preserve"> contractors are the costs to carry out the data collection and analysis, develop written reports, and present the findings to CMS and other stakeholders. These costs include labor hours</w:t>
      </w:r>
      <w:r w:rsidR="002D2481" w:rsidRPr="00961D57">
        <w:t xml:space="preserve"> for survey development and testing; sample recruitment, screening, and scheduling; survey administration and management; data cleaning and analysis; and developing reports. </w:t>
      </w:r>
      <w:r w:rsidR="00745C96" w:rsidRPr="00961D57">
        <w:t>O</w:t>
      </w:r>
      <w:r w:rsidRPr="00961D57">
        <w:t xml:space="preserve">perational expenses </w:t>
      </w:r>
      <w:r w:rsidR="002D2481" w:rsidRPr="00961D57">
        <w:t xml:space="preserve">include </w:t>
      </w:r>
      <w:r w:rsidRPr="00961D57">
        <w:t>overhead</w:t>
      </w:r>
      <w:r w:rsidR="002D2481" w:rsidRPr="00961D57">
        <w:t>,</w:t>
      </w:r>
      <w:r w:rsidR="00745C96" w:rsidRPr="00961D57">
        <w:t xml:space="preserve"> survey scripting,</w:t>
      </w:r>
      <w:r w:rsidR="002D2481" w:rsidRPr="00961D57">
        <w:t xml:space="preserve"> </w:t>
      </w:r>
      <w:r w:rsidR="00745C96" w:rsidRPr="00961D57">
        <w:t>data processing, and coding. Survey costs increase over time due to the escalation in rates and increased level of effort related to analysis and reporting.</w:t>
      </w:r>
    </w:p>
    <w:p w14:paraId="3F22129B" w14:textId="77777777" w:rsidR="008423EB" w:rsidRPr="00961D57" w:rsidRDefault="008423EB" w:rsidP="007E70E6">
      <w:pPr>
        <w:pStyle w:val="BodyText2"/>
      </w:pPr>
      <w:r w:rsidRPr="00961D57">
        <w:t xml:space="preserve">For purposes of OMB review and approval, we have annualized the number. The estimated annual cost to the Federal government over a standard 3-year OMB approval period will be </w:t>
      </w:r>
      <w:r w:rsidR="00C828CC" w:rsidRPr="00961D57">
        <w:t>$</w:t>
      </w:r>
      <w:r w:rsidR="00726286" w:rsidRPr="00961D57">
        <w:t>90,285</w:t>
      </w:r>
      <w:r w:rsidRPr="00961D57">
        <w:t>.</w:t>
      </w:r>
    </w:p>
    <w:p w14:paraId="19308D24" w14:textId="41B961EA" w:rsidR="0015274D" w:rsidRPr="00961D57" w:rsidRDefault="0015274D" w:rsidP="00066C5F">
      <w:pPr>
        <w:pStyle w:val="Caption"/>
        <w:ind w:left="720"/>
      </w:pPr>
      <w:bookmarkStart w:id="10" w:name="_Ref449621773"/>
      <w:r w:rsidRPr="00961D57">
        <w:t xml:space="preserve">Table </w:t>
      </w:r>
      <w:r w:rsidR="005F2D7F">
        <w:rPr>
          <w:noProof/>
        </w:rPr>
        <w:fldChar w:fldCharType="begin"/>
      </w:r>
      <w:r w:rsidR="005F2D7F">
        <w:rPr>
          <w:noProof/>
        </w:rPr>
        <w:instrText xml:space="preserve"> SEQ Table \* ARABIC </w:instrText>
      </w:r>
      <w:r w:rsidR="005F2D7F">
        <w:rPr>
          <w:noProof/>
        </w:rPr>
        <w:fldChar w:fldCharType="separate"/>
      </w:r>
      <w:r w:rsidR="00F34FDF">
        <w:rPr>
          <w:noProof/>
        </w:rPr>
        <w:t>3</w:t>
      </w:r>
      <w:r w:rsidR="005F2D7F">
        <w:rPr>
          <w:noProof/>
        </w:rPr>
        <w:fldChar w:fldCharType="end"/>
      </w:r>
      <w:bookmarkEnd w:id="10"/>
      <w:r w:rsidRPr="00961D57">
        <w:t>: Cost to the Federal Government</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ctivities and Total (5/2018-8/2020)"/>
      </w:tblPr>
      <w:tblGrid>
        <w:gridCol w:w="7830"/>
        <w:gridCol w:w="1474"/>
      </w:tblGrid>
      <w:tr w:rsidR="00961D57" w:rsidRPr="00961D57" w14:paraId="0454E478" w14:textId="77777777" w:rsidTr="008050AD">
        <w:trPr>
          <w:cantSplit/>
          <w:tblHeader/>
        </w:trPr>
        <w:tc>
          <w:tcPr>
            <w:tcW w:w="4208" w:type="pct"/>
            <w:tcBorders>
              <w:bottom w:val="single" w:sz="4" w:space="0" w:color="auto"/>
            </w:tcBorders>
            <w:shd w:val="clear" w:color="auto" w:fill="BFBFBF"/>
            <w:vAlign w:val="bottom"/>
          </w:tcPr>
          <w:p w14:paraId="76A366D5" w14:textId="77777777" w:rsidR="00984073" w:rsidRPr="00961D57" w:rsidRDefault="00984073" w:rsidP="00066C5F">
            <w:pPr>
              <w:keepNext/>
              <w:spacing w:before="60" w:after="60"/>
              <w:jc w:val="center"/>
              <w:rPr>
                <w:b/>
                <w:sz w:val="20"/>
                <w:szCs w:val="20"/>
              </w:rPr>
            </w:pPr>
            <w:r w:rsidRPr="00961D57">
              <w:rPr>
                <w:b/>
                <w:sz w:val="20"/>
                <w:szCs w:val="20"/>
              </w:rPr>
              <w:t>Activity</w:t>
            </w:r>
          </w:p>
        </w:tc>
        <w:tc>
          <w:tcPr>
            <w:tcW w:w="792" w:type="pct"/>
            <w:tcBorders>
              <w:bottom w:val="single" w:sz="4" w:space="0" w:color="auto"/>
            </w:tcBorders>
            <w:shd w:val="clear" w:color="auto" w:fill="BFBFBF"/>
            <w:vAlign w:val="bottom"/>
          </w:tcPr>
          <w:p w14:paraId="75ACE187" w14:textId="242C0CE2" w:rsidR="00984073" w:rsidRPr="00961D57" w:rsidRDefault="00984073" w:rsidP="00066C5F">
            <w:pPr>
              <w:keepNext/>
              <w:spacing w:before="60" w:after="60"/>
              <w:jc w:val="center"/>
              <w:rPr>
                <w:b/>
                <w:bCs/>
                <w:sz w:val="20"/>
                <w:szCs w:val="20"/>
              </w:rPr>
            </w:pPr>
            <w:r w:rsidRPr="00961D57">
              <w:rPr>
                <w:b/>
                <w:bCs/>
                <w:sz w:val="20"/>
                <w:szCs w:val="20"/>
              </w:rPr>
              <w:t xml:space="preserve">Total </w:t>
            </w:r>
            <w:r w:rsidRPr="00961D57">
              <w:rPr>
                <w:b/>
                <w:bCs/>
                <w:sz w:val="20"/>
                <w:szCs w:val="20"/>
              </w:rPr>
              <w:br/>
            </w:r>
            <w:r w:rsidR="004C775C" w:rsidRPr="00961D57">
              <w:rPr>
                <w:b/>
                <w:bCs/>
                <w:sz w:val="20"/>
                <w:szCs w:val="20"/>
              </w:rPr>
              <w:t>10</w:t>
            </w:r>
            <w:r w:rsidRPr="00961D57">
              <w:rPr>
                <w:b/>
                <w:bCs/>
                <w:sz w:val="20"/>
                <w:szCs w:val="20"/>
              </w:rPr>
              <w:t>/2018-8/2020</w:t>
            </w:r>
          </w:p>
        </w:tc>
      </w:tr>
      <w:tr w:rsidR="00961D57" w:rsidRPr="00961D57" w14:paraId="65480130" w14:textId="77777777" w:rsidTr="008050AD">
        <w:trPr>
          <w:cantSplit/>
        </w:trPr>
        <w:tc>
          <w:tcPr>
            <w:tcW w:w="4208" w:type="pct"/>
            <w:shd w:val="clear" w:color="auto" w:fill="auto"/>
            <w:vAlign w:val="center"/>
          </w:tcPr>
          <w:p w14:paraId="47CD7CC6" w14:textId="77777777" w:rsidR="00984073" w:rsidRPr="00961D57" w:rsidRDefault="00984073" w:rsidP="00066C5F">
            <w:pPr>
              <w:spacing w:before="60" w:after="60"/>
              <w:rPr>
                <w:b/>
                <w:sz w:val="20"/>
                <w:szCs w:val="20"/>
              </w:rPr>
            </w:pPr>
            <w:r w:rsidRPr="00961D57">
              <w:rPr>
                <w:b/>
                <w:sz w:val="20"/>
                <w:szCs w:val="20"/>
              </w:rPr>
              <w:t>Government Activity</w:t>
            </w:r>
            <w:r w:rsidRPr="00961D57">
              <w:rPr>
                <w:b/>
                <w:sz w:val="20"/>
                <w:szCs w:val="20"/>
              </w:rPr>
              <w:br/>
            </w:r>
            <w:r w:rsidRPr="00961D57">
              <w:rPr>
                <w:sz w:val="20"/>
                <w:szCs w:val="20"/>
              </w:rPr>
              <w:t>Review and provide guidance on instruments, OMB clearance, and data collection approach</w:t>
            </w:r>
          </w:p>
        </w:tc>
        <w:tc>
          <w:tcPr>
            <w:tcW w:w="792" w:type="pct"/>
            <w:shd w:val="clear" w:color="auto" w:fill="auto"/>
          </w:tcPr>
          <w:p w14:paraId="3138A613" w14:textId="77777777" w:rsidR="00984073" w:rsidRPr="00961D57" w:rsidRDefault="00984073" w:rsidP="007E70E6">
            <w:pPr>
              <w:spacing w:before="60" w:after="60"/>
              <w:jc w:val="right"/>
              <w:rPr>
                <w:sz w:val="20"/>
                <w:szCs w:val="20"/>
              </w:rPr>
            </w:pPr>
            <w:r w:rsidRPr="00961D57">
              <w:rPr>
                <w:sz w:val="20"/>
                <w:szCs w:val="20"/>
              </w:rPr>
              <w:t>$20,000</w:t>
            </w:r>
          </w:p>
        </w:tc>
      </w:tr>
      <w:tr w:rsidR="00961D57" w:rsidRPr="00961D57" w14:paraId="298D9088" w14:textId="77777777" w:rsidTr="008050AD">
        <w:trPr>
          <w:cantSplit/>
        </w:trPr>
        <w:tc>
          <w:tcPr>
            <w:tcW w:w="4208" w:type="pct"/>
            <w:shd w:val="clear" w:color="auto" w:fill="auto"/>
            <w:vAlign w:val="center"/>
          </w:tcPr>
          <w:p w14:paraId="166289EC" w14:textId="77777777" w:rsidR="00984073" w:rsidRPr="00961D57" w:rsidRDefault="00984073" w:rsidP="00066C5F">
            <w:pPr>
              <w:spacing w:before="60" w:after="60"/>
              <w:rPr>
                <w:sz w:val="20"/>
                <w:szCs w:val="20"/>
              </w:rPr>
            </w:pPr>
            <w:r w:rsidRPr="00961D57">
              <w:rPr>
                <w:b/>
                <w:sz w:val="20"/>
                <w:szCs w:val="20"/>
              </w:rPr>
              <w:t>Contractor Activity</w:t>
            </w:r>
            <w:r w:rsidRPr="00961D57">
              <w:rPr>
                <w:sz w:val="20"/>
                <w:szCs w:val="20"/>
              </w:rPr>
              <w:br/>
              <w:t xml:space="preserve">Instrument development, testing, administration, management; sample recruitment and scheduling; Data coding/transcribing; Analysis and reporting </w:t>
            </w:r>
          </w:p>
        </w:tc>
        <w:tc>
          <w:tcPr>
            <w:tcW w:w="792" w:type="pct"/>
            <w:shd w:val="clear" w:color="auto" w:fill="auto"/>
          </w:tcPr>
          <w:p w14:paraId="5D51E365" w14:textId="77777777" w:rsidR="00984073" w:rsidRPr="00961D57" w:rsidRDefault="00984073" w:rsidP="007E70E6">
            <w:pPr>
              <w:spacing w:before="60" w:after="60"/>
              <w:jc w:val="right"/>
              <w:rPr>
                <w:sz w:val="20"/>
                <w:szCs w:val="20"/>
              </w:rPr>
            </w:pPr>
            <w:r w:rsidRPr="00961D57">
              <w:rPr>
                <w:sz w:val="20"/>
                <w:szCs w:val="20"/>
              </w:rPr>
              <w:t>$</w:t>
            </w:r>
            <w:r w:rsidR="00A62901" w:rsidRPr="00961D57">
              <w:rPr>
                <w:sz w:val="20"/>
                <w:szCs w:val="20"/>
              </w:rPr>
              <w:t>160,570</w:t>
            </w:r>
          </w:p>
        </w:tc>
      </w:tr>
      <w:tr w:rsidR="00961D57" w:rsidRPr="00961D57" w14:paraId="3DA7FBBA" w14:textId="77777777" w:rsidTr="008050AD">
        <w:trPr>
          <w:cantSplit/>
        </w:trPr>
        <w:tc>
          <w:tcPr>
            <w:tcW w:w="4208" w:type="pct"/>
            <w:shd w:val="clear" w:color="auto" w:fill="E7E6E6" w:themeFill="background2"/>
          </w:tcPr>
          <w:p w14:paraId="36EE6808" w14:textId="77777777" w:rsidR="00984073" w:rsidRPr="00961D57" w:rsidRDefault="00984073" w:rsidP="00066C5F">
            <w:pPr>
              <w:spacing w:before="60" w:after="60"/>
              <w:rPr>
                <w:b/>
                <w:sz w:val="20"/>
                <w:szCs w:val="20"/>
              </w:rPr>
            </w:pPr>
            <w:r w:rsidRPr="00961D57">
              <w:rPr>
                <w:b/>
                <w:sz w:val="20"/>
                <w:szCs w:val="20"/>
              </w:rPr>
              <w:t>Total</w:t>
            </w:r>
          </w:p>
        </w:tc>
        <w:tc>
          <w:tcPr>
            <w:tcW w:w="792" w:type="pct"/>
            <w:shd w:val="clear" w:color="auto" w:fill="E7E6E6" w:themeFill="background2"/>
          </w:tcPr>
          <w:p w14:paraId="7319BE57" w14:textId="77777777" w:rsidR="00984073" w:rsidRPr="00961D57" w:rsidRDefault="00984073" w:rsidP="007E70E6">
            <w:pPr>
              <w:spacing w:before="60" w:after="60"/>
              <w:jc w:val="right"/>
              <w:rPr>
                <w:sz w:val="20"/>
                <w:szCs w:val="20"/>
              </w:rPr>
            </w:pPr>
            <w:r w:rsidRPr="00961D57">
              <w:rPr>
                <w:sz w:val="20"/>
                <w:szCs w:val="20"/>
              </w:rPr>
              <w:t>$</w:t>
            </w:r>
            <w:r w:rsidR="00A62901" w:rsidRPr="00961D57">
              <w:rPr>
                <w:sz w:val="20"/>
                <w:szCs w:val="20"/>
              </w:rPr>
              <w:t>180,570</w:t>
            </w:r>
          </w:p>
        </w:tc>
      </w:tr>
      <w:tr w:rsidR="00961D57" w:rsidRPr="00961D57" w14:paraId="0CCEB658" w14:textId="77777777" w:rsidTr="008050AD">
        <w:trPr>
          <w:cantSplit/>
        </w:trPr>
        <w:tc>
          <w:tcPr>
            <w:tcW w:w="4208" w:type="pct"/>
            <w:shd w:val="clear" w:color="auto" w:fill="E7E6E6" w:themeFill="background2"/>
          </w:tcPr>
          <w:p w14:paraId="7070EC9A" w14:textId="77777777" w:rsidR="00984073" w:rsidRPr="00961D57" w:rsidRDefault="00984073" w:rsidP="00066C5F">
            <w:pPr>
              <w:spacing w:before="60" w:after="60"/>
              <w:rPr>
                <w:b/>
                <w:sz w:val="20"/>
                <w:szCs w:val="20"/>
              </w:rPr>
            </w:pPr>
            <w:r w:rsidRPr="00961D57">
              <w:rPr>
                <w:b/>
                <w:sz w:val="20"/>
                <w:szCs w:val="20"/>
              </w:rPr>
              <w:t xml:space="preserve">Annual Cost </w:t>
            </w:r>
            <w:r w:rsidRPr="00961D57">
              <w:rPr>
                <w:b/>
                <w:sz w:val="20"/>
                <w:szCs w:val="20"/>
              </w:rPr>
              <w:br/>
              <w:t>(Total cost/2 years)</w:t>
            </w:r>
          </w:p>
        </w:tc>
        <w:tc>
          <w:tcPr>
            <w:tcW w:w="792" w:type="pct"/>
            <w:shd w:val="clear" w:color="auto" w:fill="E7E6E6" w:themeFill="background2"/>
            <w:vAlign w:val="center"/>
          </w:tcPr>
          <w:p w14:paraId="3731CE93" w14:textId="77777777" w:rsidR="00984073" w:rsidRPr="00961D57" w:rsidRDefault="00984073" w:rsidP="007E70E6">
            <w:pPr>
              <w:spacing w:before="60" w:after="60"/>
              <w:jc w:val="right"/>
              <w:rPr>
                <w:sz w:val="20"/>
                <w:szCs w:val="20"/>
              </w:rPr>
            </w:pPr>
            <w:r w:rsidRPr="00961D57">
              <w:rPr>
                <w:sz w:val="20"/>
                <w:szCs w:val="20"/>
              </w:rPr>
              <w:t>$</w:t>
            </w:r>
            <w:r w:rsidR="00A62901" w:rsidRPr="00961D57">
              <w:rPr>
                <w:sz w:val="20"/>
                <w:szCs w:val="20"/>
              </w:rPr>
              <w:t>90,285</w:t>
            </w:r>
          </w:p>
        </w:tc>
      </w:tr>
    </w:tbl>
    <w:p w14:paraId="713618BF" w14:textId="77777777" w:rsidR="0015274D" w:rsidRPr="00961D57" w:rsidRDefault="0015274D" w:rsidP="00066C5F">
      <w:pPr>
        <w:pStyle w:val="Heading3"/>
      </w:pPr>
      <w:r w:rsidRPr="00961D57">
        <w:t>Changes to Burden</w:t>
      </w:r>
    </w:p>
    <w:p w14:paraId="43603BDE" w14:textId="77777777" w:rsidR="00927263" w:rsidRPr="00961D57" w:rsidRDefault="0015274D" w:rsidP="007E70E6">
      <w:pPr>
        <w:pStyle w:val="BodyText2"/>
        <w:rPr>
          <w:rFonts w:ascii="Sylfaen" w:hAnsi="Sylfaen"/>
          <w:sz w:val="22"/>
        </w:rPr>
      </w:pPr>
      <w:r w:rsidRPr="00961D57">
        <w:t>This is a new information collection.</w:t>
      </w:r>
    </w:p>
    <w:p w14:paraId="5DE57D74" w14:textId="77777777" w:rsidR="0015274D" w:rsidRPr="00961D57" w:rsidRDefault="0015274D" w:rsidP="00066C5F">
      <w:pPr>
        <w:pStyle w:val="Heading3"/>
      </w:pPr>
      <w:r w:rsidRPr="00961D57">
        <w:t>Publication/Tabulation Dates</w:t>
      </w:r>
    </w:p>
    <w:p w14:paraId="480AA1C2" w14:textId="5822D313" w:rsidR="0015274D" w:rsidRPr="00961D57" w:rsidRDefault="00984073" w:rsidP="007E70E6">
      <w:pPr>
        <w:pStyle w:val="BodyText2"/>
        <w:rPr>
          <w:rFonts w:eastAsia="Calibri"/>
        </w:rPr>
      </w:pPr>
      <w:r w:rsidRPr="00961D57">
        <w:t>Data collection will take place between May 2019</w:t>
      </w:r>
      <w:r w:rsidR="00A01861" w:rsidRPr="00961D57">
        <w:t xml:space="preserve"> and June 2019</w:t>
      </w:r>
      <w:r w:rsidRPr="00961D57">
        <w:t xml:space="preserve">. </w:t>
      </w:r>
      <w:r w:rsidR="00165864" w:rsidRPr="00961D57">
        <w:t xml:space="preserve">Analysis of survey findings </w:t>
      </w:r>
      <w:r w:rsidR="0015274D" w:rsidRPr="00961D57">
        <w:t xml:space="preserve">will take place from </w:t>
      </w:r>
      <w:r w:rsidRPr="00961D57">
        <w:t xml:space="preserve">June </w:t>
      </w:r>
      <w:r w:rsidR="00563431" w:rsidRPr="00961D57">
        <w:t>201</w:t>
      </w:r>
      <w:r w:rsidR="00165864" w:rsidRPr="00961D57">
        <w:t>9</w:t>
      </w:r>
      <w:r w:rsidR="00F005FD" w:rsidRPr="00961D57">
        <w:t xml:space="preserve"> t</w:t>
      </w:r>
      <w:r w:rsidR="000F379D" w:rsidRPr="00961D57">
        <w:t>hrough</w:t>
      </w:r>
      <w:r w:rsidR="0015274D" w:rsidRPr="00961D57">
        <w:t xml:space="preserve"> </w:t>
      </w:r>
      <w:r w:rsidRPr="00961D57">
        <w:t xml:space="preserve">August </w:t>
      </w:r>
      <w:r w:rsidR="0015274D" w:rsidRPr="00961D57">
        <w:t>20</w:t>
      </w:r>
      <w:r w:rsidR="00354D46" w:rsidRPr="00961D57">
        <w:t>19</w:t>
      </w:r>
      <w:r w:rsidR="00165864" w:rsidRPr="00961D57">
        <w:t>.</w:t>
      </w:r>
      <w:r w:rsidR="0015274D" w:rsidRPr="00961D57">
        <w:t xml:space="preserve"> Our plans and timeline for reports and publications are outlined in </w:t>
      </w:r>
      <w:r w:rsidR="00F43245" w:rsidRPr="00961D57">
        <w:fldChar w:fldCharType="begin"/>
      </w:r>
      <w:r w:rsidR="00F43245" w:rsidRPr="00961D57">
        <w:instrText xml:space="preserve"> REF _Ref433197340 \h </w:instrText>
      </w:r>
      <w:r w:rsidR="00F43245" w:rsidRPr="00961D57">
        <w:fldChar w:fldCharType="separate"/>
      </w:r>
      <w:r w:rsidR="00F34FDF" w:rsidRPr="00961D57">
        <w:t xml:space="preserve">Table </w:t>
      </w:r>
      <w:r w:rsidR="00F34FDF">
        <w:rPr>
          <w:noProof/>
        </w:rPr>
        <w:t>4</w:t>
      </w:r>
      <w:r w:rsidR="00F43245" w:rsidRPr="00961D57">
        <w:fldChar w:fldCharType="end"/>
      </w:r>
      <w:r w:rsidR="00A01C58" w:rsidRPr="00961D57">
        <w:t xml:space="preserve">. Reports </w:t>
      </w:r>
      <w:r w:rsidR="0015274D" w:rsidRPr="00961D57">
        <w:t>include p</w:t>
      </w:r>
      <w:r w:rsidR="0015274D" w:rsidRPr="00961D57">
        <w:rPr>
          <w:rFonts w:eastAsia="Calibri"/>
        </w:rPr>
        <w:t>rogram management reports that provide ongoing performance data that can guide CMS’ program decisions regarding continuation or modification of contract recruitment and performance targets, measurement strategies, and recommended evidence-based interventions</w:t>
      </w:r>
      <w:r w:rsidR="00A01C58" w:rsidRPr="00961D57">
        <w:rPr>
          <w:rFonts w:eastAsia="Calibri"/>
        </w:rPr>
        <w:t>. In addition, we will develop</w:t>
      </w:r>
      <w:r w:rsidR="0015274D" w:rsidRPr="00961D57">
        <w:rPr>
          <w:rFonts w:eastAsia="Calibri"/>
        </w:rPr>
        <w:t xml:space="preserve"> documents and reports suitable for presentation to various audiences, national stakeholders, and policymakers, including presentation at professional meetings</w:t>
      </w:r>
      <w:r w:rsidR="00A37333" w:rsidRPr="00961D57">
        <w:rPr>
          <w:rFonts w:eastAsia="Calibri"/>
        </w:rPr>
        <w:t>,</w:t>
      </w:r>
      <w:r w:rsidR="0015274D" w:rsidRPr="00961D57">
        <w:rPr>
          <w:rFonts w:eastAsia="Calibri"/>
        </w:rPr>
        <w:t xml:space="preserve"> and publication</w:t>
      </w:r>
      <w:r w:rsidR="00E3426E" w:rsidRPr="00961D57">
        <w:rPr>
          <w:rFonts w:eastAsia="Calibri"/>
        </w:rPr>
        <w:t>s</w:t>
      </w:r>
      <w:r w:rsidR="0015274D" w:rsidRPr="00961D57">
        <w:rPr>
          <w:rFonts w:eastAsia="Calibri"/>
        </w:rPr>
        <w:t xml:space="preserve"> in peer</w:t>
      </w:r>
      <w:r w:rsidR="00E3426E" w:rsidRPr="00961D57">
        <w:rPr>
          <w:rFonts w:eastAsia="Calibri"/>
        </w:rPr>
        <w:t>-</w:t>
      </w:r>
      <w:r w:rsidR="0015274D" w:rsidRPr="00961D57">
        <w:rPr>
          <w:rFonts w:eastAsia="Calibri"/>
        </w:rPr>
        <w:t>review</w:t>
      </w:r>
      <w:r w:rsidR="00E3426E" w:rsidRPr="00961D57">
        <w:rPr>
          <w:rFonts w:eastAsia="Calibri"/>
        </w:rPr>
        <w:t>ed</w:t>
      </w:r>
      <w:r w:rsidR="0015274D" w:rsidRPr="00961D57">
        <w:rPr>
          <w:rFonts w:eastAsia="Calibri"/>
        </w:rPr>
        <w:t xml:space="preserve"> journals.</w:t>
      </w:r>
      <w:r w:rsidR="00445D0D" w:rsidRPr="00961D57">
        <w:rPr>
          <w:rFonts w:eastAsia="Calibri"/>
        </w:rPr>
        <w:t xml:space="preserve"> </w:t>
      </w:r>
    </w:p>
    <w:p w14:paraId="5AEC686A" w14:textId="78036FBE" w:rsidR="0015274D" w:rsidRPr="00961D57" w:rsidRDefault="0015274D" w:rsidP="00066C5F">
      <w:pPr>
        <w:pStyle w:val="Caption"/>
        <w:ind w:left="720"/>
      </w:pPr>
      <w:bookmarkStart w:id="11" w:name="_Ref433197340"/>
      <w:r w:rsidRPr="00961D57">
        <w:t xml:space="preserve">Table </w:t>
      </w:r>
      <w:r w:rsidR="005F2D7F">
        <w:rPr>
          <w:noProof/>
        </w:rPr>
        <w:fldChar w:fldCharType="begin"/>
      </w:r>
      <w:r w:rsidR="005F2D7F">
        <w:rPr>
          <w:noProof/>
        </w:rPr>
        <w:instrText xml:space="preserve"> SEQ Table \* ARABIC </w:instrText>
      </w:r>
      <w:r w:rsidR="005F2D7F">
        <w:rPr>
          <w:noProof/>
        </w:rPr>
        <w:fldChar w:fldCharType="separate"/>
      </w:r>
      <w:r w:rsidR="00F34FDF">
        <w:rPr>
          <w:noProof/>
        </w:rPr>
        <w:t>4</w:t>
      </w:r>
      <w:r w:rsidR="005F2D7F">
        <w:rPr>
          <w:noProof/>
        </w:rPr>
        <w:fldChar w:fldCharType="end"/>
      </w:r>
      <w:bookmarkEnd w:id="11"/>
      <w:r w:rsidR="00F43245" w:rsidRPr="00961D57">
        <w:t>:</w:t>
      </w:r>
      <w:r w:rsidRPr="00961D57">
        <w:t xml:space="preserve"> Deliverable Schedule for Data Collection and Reporting Activities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Description w:val="Deliverable and timelines"/>
      </w:tblPr>
      <w:tblGrid>
        <w:gridCol w:w="6927"/>
        <w:gridCol w:w="2427"/>
      </w:tblGrid>
      <w:tr w:rsidR="00961D57" w:rsidRPr="00961D57" w14:paraId="4141CFC0" w14:textId="77777777" w:rsidTr="0059683A">
        <w:trPr>
          <w:trHeight w:val="300"/>
          <w:tblHeader/>
        </w:trPr>
        <w:tc>
          <w:tcPr>
            <w:tcW w:w="6927" w:type="dxa"/>
            <w:tcBorders>
              <w:top w:val="single" w:sz="4" w:space="0" w:color="auto"/>
            </w:tcBorders>
            <w:shd w:val="clear" w:color="auto" w:fill="D0CECE" w:themeFill="background2" w:themeFillShade="E6"/>
            <w:vAlign w:val="center"/>
            <w:hideMark/>
          </w:tcPr>
          <w:p w14:paraId="3A6E9BA6" w14:textId="77777777" w:rsidR="0015274D" w:rsidRPr="00961D57" w:rsidRDefault="0015274D" w:rsidP="00066C5F">
            <w:pPr>
              <w:keepNext/>
              <w:spacing w:before="60" w:after="60"/>
              <w:ind w:left="450"/>
              <w:jc w:val="center"/>
              <w:rPr>
                <w:sz w:val="22"/>
              </w:rPr>
            </w:pPr>
            <w:r w:rsidRPr="00961D57">
              <w:rPr>
                <w:b/>
                <w:sz w:val="22"/>
              </w:rPr>
              <w:t>Deliverables</w:t>
            </w:r>
          </w:p>
        </w:tc>
        <w:tc>
          <w:tcPr>
            <w:tcW w:w="2427" w:type="dxa"/>
            <w:tcBorders>
              <w:top w:val="single" w:sz="4" w:space="0" w:color="auto"/>
            </w:tcBorders>
            <w:shd w:val="clear" w:color="auto" w:fill="D0CECE" w:themeFill="background2" w:themeFillShade="E6"/>
            <w:noWrap/>
            <w:vAlign w:val="bottom"/>
            <w:hideMark/>
          </w:tcPr>
          <w:p w14:paraId="405613C9" w14:textId="77777777" w:rsidR="0015274D" w:rsidRPr="00961D57" w:rsidRDefault="0015274D" w:rsidP="0059683A">
            <w:pPr>
              <w:keepNext/>
              <w:spacing w:before="60" w:after="60"/>
              <w:ind w:left="450"/>
              <w:rPr>
                <w:b/>
                <w:sz w:val="22"/>
              </w:rPr>
            </w:pPr>
            <w:r w:rsidRPr="00961D57">
              <w:rPr>
                <w:b/>
                <w:sz w:val="22"/>
              </w:rPr>
              <w:t>Timeline</w:t>
            </w:r>
          </w:p>
        </w:tc>
      </w:tr>
      <w:tr w:rsidR="00961D57" w:rsidRPr="00961D57" w14:paraId="20971F4E" w14:textId="77777777" w:rsidTr="0059683A">
        <w:trPr>
          <w:trHeight w:val="300"/>
        </w:trPr>
        <w:tc>
          <w:tcPr>
            <w:tcW w:w="6927" w:type="dxa"/>
            <w:shd w:val="clear" w:color="auto" w:fill="auto"/>
            <w:noWrap/>
            <w:vAlign w:val="center"/>
          </w:tcPr>
          <w:p w14:paraId="14CBC867" w14:textId="77777777" w:rsidR="0015274D" w:rsidRPr="00961D57" w:rsidRDefault="0015274D" w:rsidP="00066C5F">
            <w:pPr>
              <w:keepNext/>
              <w:spacing w:before="60" w:after="60"/>
              <w:rPr>
                <w:b/>
                <w:sz w:val="22"/>
              </w:rPr>
            </w:pPr>
            <w:r w:rsidRPr="00961D57">
              <w:rPr>
                <w:bCs/>
                <w:sz w:val="22"/>
              </w:rPr>
              <w:t>Data Collection and Analysis Report</w:t>
            </w:r>
          </w:p>
        </w:tc>
        <w:tc>
          <w:tcPr>
            <w:tcW w:w="2427" w:type="dxa"/>
            <w:shd w:val="clear" w:color="auto" w:fill="auto"/>
            <w:noWrap/>
            <w:vAlign w:val="center"/>
          </w:tcPr>
          <w:p w14:paraId="68D3CE1D" w14:textId="592F784D" w:rsidR="0015274D" w:rsidRPr="00961D57" w:rsidRDefault="00A01861" w:rsidP="0059683A">
            <w:pPr>
              <w:keepNext/>
              <w:spacing w:before="60" w:after="60"/>
              <w:rPr>
                <w:sz w:val="22"/>
              </w:rPr>
            </w:pPr>
            <w:r w:rsidRPr="00961D57">
              <w:rPr>
                <w:sz w:val="22"/>
              </w:rPr>
              <w:t>5</w:t>
            </w:r>
            <w:r w:rsidR="006C778B" w:rsidRPr="00961D57">
              <w:rPr>
                <w:sz w:val="22"/>
              </w:rPr>
              <w:t>/</w:t>
            </w:r>
            <w:r w:rsidR="0015274D" w:rsidRPr="00961D57">
              <w:rPr>
                <w:sz w:val="22"/>
              </w:rPr>
              <w:t>2019</w:t>
            </w:r>
            <w:r w:rsidR="006C778B" w:rsidRPr="00961D57">
              <w:rPr>
                <w:sz w:val="22"/>
              </w:rPr>
              <w:t xml:space="preserve"> – </w:t>
            </w:r>
            <w:r w:rsidRPr="00961D57">
              <w:rPr>
                <w:sz w:val="22"/>
              </w:rPr>
              <w:t>8</w:t>
            </w:r>
            <w:r w:rsidR="006C778B" w:rsidRPr="00961D57">
              <w:rPr>
                <w:sz w:val="22"/>
              </w:rPr>
              <w:t>/2019</w:t>
            </w:r>
          </w:p>
        </w:tc>
      </w:tr>
      <w:tr w:rsidR="00961D57" w:rsidRPr="00961D57" w14:paraId="50034385" w14:textId="77777777" w:rsidTr="0059683A">
        <w:trPr>
          <w:trHeight w:val="166"/>
        </w:trPr>
        <w:tc>
          <w:tcPr>
            <w:tcW w:w="6927" w:type="dxa"/>
            <w:shd w:val="clear" w:color="auto" w:fill="auto"/>
            <w:noWrap/>
            <w:vAlign w:val="center"/>
          </w:tcPr>
          <w:p w14:paraId="6098B4F9" w14:textId="77777777" w:rsidR="0015274D" w:rsidRPr="00961D57" w:rsidRDefault="0015274D" w:rsidP="00066C5F">
            <w:pPr>
              <w:keepNext/>
              <w:spacing w:before="60" w:after="60"/>
              <w:rPr>
                <w:bCs/>
                <w:sz w:val="22"/>
              </w:rPr>
            </w:pPr>
            <w:r w:rsidRPr="00961D57">
              <w:rPr>
                <w:bCs/>
                <w:sz w:val="22"/>
              </w:rPr>
              <w:t>Presentation</w:t>
            </w:r>
            <w:r w:rsidR="00984073" w:rsidRPr="00961D57">
              <w:rPr>
                <w:bCs/>
                <w:sz w:val="22"/>
              </w:rPr>
              <w:t>(s)</w:t>
            </w:r>
          </w:p>
        </w:tc>
        <w:tc>
          <w:tcPr>
            <w:tcW w:w="2427" w:type="dxa"/>
            <w:shd w:val="clear" w:color="auto" w:fill="auto"/>
            <w:noWrap/>
            <w:vAlign w:val="center"/>
          </w:tcPr>
          <w:p w14:paraId="5D6392CA" w14:textId="0D26F90B" w:rsidR="0015274D" w:rsidRPr="00961D57" w:rsidRDefault="00A01861" w:rsidP="0059683A">
            <w:pPr>
              <w:keepNext/>
              <w:spacing w:before="60" w:after="60"/>
              <w:rPr>
                <w:sz w:val="22"/>
              </w:rPr>
            </w:pPr>
            <w:r w:rsidRPr="00961D57">
              <w:rPr>
                <w:sz w:val="22"/>
              </w:rPr>
              <w:t>9</w:t>
            </w:r>
            <w:r w:rsidR="00327801" w:rsidRPr="00961D57">
              <w:rPr>
                <w:sz w:val="22"/>
              </w:rPr>
              <w:t>/</w:t>
            </w:r>
            <w:r w:rsidR="00354D46" w:rsidRPr="00961D57">
              <w:rPr>
                <w:sz w:val="22"/>
              </w:rPr>
              <w:t>2019</w:t>
            </w:r>
          </w:p>
        </w:tc>
      </w:tr>
      <w:tr w:rsidR="00961D57" w:rsidRPr="00961D57" w14:paraId="0A0E88E3" w14:textId="77777777" w:rsidTr="0059683A">
        <w:trPr>
          <w:trHeight w:val="300"/>
        </w:trPr>
        <w:tc>
          <w:tcPr>
            <w:tcW w:w="6927" w:type="dxa"/>
            <w:shd w:val="clear" w:color="auto" w:fill="auto"/>
            <w:noWrap/>
            <w:vAlign w:val="center"/>
          </w:tcPr>
          <w:p w14:paraId="284233FD" w14:textId="77777777" w:rsidR="0015274D" w:rsidRPr="00961D57" w:rsidRDefault="0015274D" w:rsidP="007E70E6">
            <w:pPr>
              <w:keepNext/>
              <w:spacing w:before="60" w:after="60"/>
              <w:rPr>
                <w:bCs/>
                <w:sz w:val="22"/>
              </w:rPr>
            </w:pPr>
            <w:r w:rsidRPr="00961D57">
              <w:rPr>
                <w:bCs/>
                <w:sz w:val="22"/>
              </w:rPr>
              <w:t>Publications (</w:t>
            </w:r>
            <w:r w:rsidR="00984073" w:rsidRPr="00961D57">
              <w:rPr>
                <w:bCs/>
                <w:sz w:val="22"/>
              </w:rPr>
              <w:t>e.g.</w:t>
            </w:r>
            <w:r w:rsidR="004D1B2A" w:rsidRPr="00961D57">
              <w:rPr>
                <w:bCs/>
                <w:sz w:val="22"/>
              </w:rPr>
              <w:t xml:space="preserve">, </w:t>
            </w:r>
            <w:r w:rsidRPr="00961D57">
              <w:rPr>
                <w:bCs/>
                <w:sz w:val="22"/>
              </w:rPr>
              <w:t xml:space="preserve">brief reports, analytic memos, and </w:t>
            </w:r>
            <w:r w:rsidR="00745C96" w:rsidRPr="00961D57">
              <w:rPr>
                <w:bCs/>
                <w:sz w:val="22"/>
              </w:rPr>
              <w:t>peer</w:t>
            </w:r>
            <w:r w:rsidR="007E70E6" w:rsidRPr="00961D57">
              <w:rPr>
                <w:bCs/>
                <w:sz w:val="22"/>
              </w:rPr>
              <w:noBreakHyphen/>
            </w:r>
            <w:r w:rsidR="00745C96" w:rsidRPr="00961D57">
              <w:rPr>
                <w:bCs/>
                <w:sz w:val="22"/>
              </w:rPr>
              <w:t xml:space="preserve">reviewed </w:t>
            </w:r>
            <w:r w:rsidRPr="00961D57">
              <w:rPr>
                <w:bCs/>
                <w:sz w:val="22"/>
              </w:rPr>
              <w:t>manuscripts)</w:t>
            </w:r>
          </w:p>
        </w:tc>
        <w:tc>
          <w:tcPr>
            <w:tcW w:w="2427" w:type="dxa"/>
            <w:shd w:val="clear" w:color="auto" w:fill="auto"/>
            <w:noWrap/>
            <w:vAlign w:val="center"/>
          </w:tcPr>
          <w:p w14:paraId="0ED12F41" w14:textId="2B2CD105" w:rsidR="0015274D" w:rsidRPr="00961D57" w:rsidRDefault="00A01861" w:rsidP="0059683A">
            <w:pPr>
              <w:keepNext/>
              <w:spacing w:before="60" w:after="60"/>
              <w:rPr>
                <w:sz w:val="22"/>
              </w:rPr>
            </w:pPr>
            <w:r w:rsidRPr="00961D57">
              <w:rPr>
                <w:sz w:val="22"/>
              </w:rPr>
              <w:t>9</w:t>
            </w:r>
            <w:r w:rsidR="00327801" w:rsidRPr="00961D57">
              <w:rPr>
                <w:sz w:val="22"/>
              </w:rPr>
              <w:t>/</w:t>
            </w:r>
            <w:r w:rsidR="00354D46" w:rsidRPr="00961D57">
              <w:rPr>
                <w:sz w:val="22"/>
              </w:rPr>
              <w:t>2019</w:t>
            </w:r>
            <w:r w:rsidR="00327801" w:rsidRPr="00961D57">
              <w:rPr>
                <w:sz w:val="22"/>
              </w:rPr>
              <w:t xml:space="preserve"> – 3/</w:t>
            </w:r>
            <w:r w:rsidR="0059683A" w:rsidRPr="00961D57">
              <w:rPr>
                <w:sz w:val="22"/>
              </w:rPr>
              <w:t>2020</w:t>
            </w:r>
          </w:p>
        </w:tc>
      </w:tr>
      <w:tr w:rsidR="0015274D" w:rsidRPr="00961D57" w14:paraId="25B0D507" w14:textId="77777777" w:rsidTr="0059683A">
        <w:trPr>
          <w:trHeight w:val="300"/>
        </w:trPr>
        <w:tc>
          <w:tcPr>
            <w:tcW w:w="6927" w:type="dxa"/>
            <w:shd w:val="clear" w:color="auto" w:fill="auto"/>
            <w:noWrap/>
            <w:vAlign w:val="center"/>
            <w:hideMark/>
          </w:tcPr>
          <w:p w14:paraId="6AA62FC0" w14:textId="77777777" w:rsidR="0015274D" w:rsidRPr="00961D57" w:rsidRDefault="0015274D" w:rsidP="00066C5F">
            <w:pPr>
              <w:spacing w:before="60" w:after="60"/>
              <w:rPr>
                <w:sz w:val="22"/>
              </w:rPr>
            </w:pPr>
            <w:r w:rsidRPr="00961D57">
              <w:rPr>
                <w:sz w:val="22"/>
              </w:rPr>
              <w:t>Final Data Collection and Analysis Report</w:t>
            </w:r>
            <w:r w:rsidR="00984073" w:rsidRPr="00961D57">
              <w:rPr>
                <w:sz w:val="22"/>
              </w:rPr>
              <w:t>s</w:t>
            </w:r>
          </w:p>
        </w:tc>
        <w:tc>
          <w:tcPr>
            <w:tcW w:w="2427" w:type="dxa"/>
            <w:shd w:val="clear" w:color="auto" w:fill="auto"/>
            <w:noWrap/>
            <w:vAlign w:val="center"/>
          </w:tcPr>
          <w:p w14:paraId="0482B6F0" w14:textId="77777777" w:rsidR="0015274D" w:rsidRPr="00961D57" w:rsidRDefault="00984073" w:rsidP="0059683A">
            <w:pPr>
              <w:spacing w:before="60" w:after="60"/>
              <w:rPr>
                <w:sz w:val="22"/>
              </w:rPr>
            </w:pPr>
            <w:r w:rsidRPr="00961D57">
              <w:rPr>
                <w:sz w:val="22"/>
              </w:rPr>
              <w:t>8/2019, 8/</w:t>
            </w:r>
            <w:r w:rsidR="0059683A" w:rsidRPr="00961D57">
              <w:rPr>
                <w:sz w:val="22"/>
              </w:rPr>
              <w:t>2020</w:t>
            </w:r>
          </w:p>
        </w:tc>
      </w:tr>
    </w:tbl>
    <w:p w14:paraId="0BE93E18" w14:textId="77777777" w:rsidR="00C67D62" w:rsidRPr="00961D57" w:rsidRDefault="00C67D62" w:rsidP="00066C5F"/>
    <w:p w14:paraId="0DFFDC50" w14:textId="77777777" w:rsidR="00D537E3" w:rsidRPr="00961D57" w:rsidRDefault="00D537E3" w:rsidP="007E70E6">
      <w:pPr>
        <w:pStyle w:val="BodyText2"/>
      </w:pPr>
      <w:r w:rsidRPr="00961D57">
        <w:t xml:space="preserve">Statement B provides an overview of our statistical techniques used to analyze survey data. </w:t>
      </w:r>
    </w:p>
    <w:p w14:paraId="2BB3A861" w14:textId="77777777" w:rsidR="00D537E3" w:rsidRPr="00961D57" w:rsidRDefault="00D537E3" w:rsidP="00066C5F">
      <w:pPr>
        <w:pStyle w:val="Heading3"/>
      </w:pPr>
      <w:r w:rsidRPr="00961D57">
        <w:t>Expiration Date</w:t>
      </w:r>
    </w:p>
    <w:p w14:paraId="264F5760" w14:textId="77777777" w:rsidR="00D537E3" w:rsidRPr="00961D57" w:rsidRDefault="008D6AFA" w:rsidP="007E70E6">
      <w:pPr>
        <w:pStyle w:val="BodyText2"/>
      </w:pPr>
      <w:r w:rsidRPr="00961D57">
        <w:t xml:space="preserve">The </w:t>
      </w:r>
      <w:r w:rsidR="00165864" w:rsidRPr="00961D57">
        <w:t xml:space="preserve">expiration date and </w:t>
      </w:r>
      <w:r w:rsidRPr="00961D57">
        <w:t xml:space="preserve">will be </w:t>
      </w:r>
      <w:r w:rsidR="00165864" w:rsidRPr="00961D57">
        <w:t xml:space="preserve">displayed on </w:t>
      </w:r>
      <w:r w:rsidR="00876CD1" w:rsidRPr="00961D57">
        <w:t>collection instruments.</w:t>
      </w:r>
    </w:p>
    <w:p w14:paraId="4CD7B1F3" w14:textId="77777777" w:rsidR="00D537E3" w:rsidRPr="00961D57" w:rsidRDefault="00D537E3" w:rsidP="00066C5F">
      <w:pPr>
        <w:pStyle w:val="Heading3"/>
      </w:pPr>
      <w:r w:rsidRPr="00961D57">
        <w:t>Certification Statement</w:t>
      </w:r>
    </w:p>
    <w:p w14:paraId="09D29A56" w14:textId="77777777" w:rsidR="00D537E3" w:rsidRPr="00961D57" w:rsidRDefault="00D537E3" w:rsidP="007E70E6">
      <w:pPr>
        <w:pStyle w:val="BodyText2"/>
      </w:pPr>
      <w:r w:rsidRPr="00961D57">
        <w:t>There are no exceptions to the certification statement.</w:t>
      </w:r>
    </w:p>
    <w:sectPr w:rsidR="00D537E3" w:rsidRPr="00961D5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0753A" w14:textId="77777777" w:rsidR="003A75DF" w:rsidRDefault="003A75DF" w:rsidP="00A87CDD">
      <w:r>
        <w:separator/>
      </w:r>
    </w:p>
  </w:endnote>
  <w:endnote w:type="continuationSeparator" w:id="0">
    <w:p w14:paraId="2239FFB7" w14:textId="77777777" w:rsidR="003A75DF" w:rsidRDefault="003A75DF" w:rsidP="00A87CDD">
      <w:r>
        <w:continuationSeparator/>
      </w:r>
    </w:p>
  </w:endnote>
  <w:endnote w:type="continuationNotice" w:id="1">
    <w:p w14:paraId="62D9D841" w14:textId="77777777" w:rsidR="003A75DF" w:rsidRDefault="003A7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F4BD0" w14:textId="77777777" w:rsidR="001B683D" w:rsidRDefault="001B683D" w:rsidP="00A87CDD">
    <w:pPr>
      <w:pStyle w:val="Header"/>
      <w:jc w:val="center"/>
    </w:pPr>
    <w:r>
      <w:fldChar w:fldCharType="begin"/>
    </w:r>
    <w:r>
      <w:instrText xml:space="preserve"> PAGE   \* MERGEFORMAT </w:instrText>
    </w:r>
    <w:r>
      <w:fldChar w:fldCharType="separate"/>
    </w:r>
    <w:r w:rsidR="003F73E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07C54" w14:textId="77777777" w:rsidR="003A75DF" w:rsidRDefault="003A75DF" w:rsidP="00A87CDD">
      <w:r>
        <w:separator/>
      </w:r>
    </w:p>
  </w:footnote>
  <w:footnote w:type="continuationSeparator" w:id="0">
    <w:p w14:paraId="0DE5914A" w14:textId="77777777" w:rsidR="003A75DF" w:rsidRDefault="003A75DF" w:rsidP="00A87CDD">
      <w:r>
        <w:continuationSeparator/>
      </w:r>
    </w:p>
  </w:footnote>
  <w:footnote w:type="continuationNotice" w:id="1">
    <w:p w14:paraId="0D85A76D" w14:textId="77777777" w:rsidR="003A75DF" w:rsidRDefault="003A75DF"/>
  </w:footnote>
  <w:footnote w:id="2">
    <w:p w14:paraId="63624627" w14:textId="77777777" w:rsidR="001B683D" w:rsidRPr="00070F28" w:rsidRDefault="001B683D" w:rsidP="00E17BFD">
      <w:pPr>
        <w:pStyle w:val="FootnoteText"/>
        <w:ind w:left="180" w:hanging="180"/>
        <w:rPr>
          <w:rStyle w:val="Hyperlink"/>
        </w:rPr>
      </w:pPr>
      <w:r>
        <w:rPr>
          <w:rStyle w:val="FootnoteReference"/>
        </w:rPr>
        <w:footnoteRef/>
      </w:r>
      <w:r>
        <w:t xml:space="preserve"> CMS. (2018). Current Work: </w:t>
      </w:r>
      <w:r w:rsidRPr="00940115">
        <w:t>QIO Program 11th SOW (2014-201</w:t>
      </w:r>
      <w:r>
        <w:t>9</w:t>
      </w:r>
      <w:r w:rsidRPr="00940115">
        <w:t>)</w:t>
      </w:r>
      <w:r>
        <w:t xml:space="preserve">. Retrieved February 2, 2018 from </w:t>
      </w:r>
      <w:r w:rsidRPr="00070F28">
        <w:rPr>
          <w:rStyle w:val="Hyperlink"/>
        </w:rPr>
        <w:t>https://www.cms.gov/Medicare/Quality-Initiatives-Patient-Assessment-Instruments/QualityImprovementOrgs/Current.html</w:t>
      </w:r>
    </w:p>
  </w:footnote>
  <w:footnote w:id="3">
    <w:p w14:paraId="4C2A4492" w14:textId="77777777" w:rsidR="001B683D" w:rsidRDefault="001B683D">
      <w:pPr>
        <w:pStyle w:val="FootnoteText"/>
      </w:pPr>
      <w:r>
        <w:rPr>
          <w:rStyle w:val="FootnoteReference"/>
        </w:rPr>
        <w:footnoteRef/>
      </w:r>
      <w:r>
        <w:t xml:space="preserve"> CMS previously submitted ICR 10622 and was approved to evaluate another QIN-QIO task focusing on reducing Healthcare Acquired Conditions in Nursing Homes.</w:t>
      </w:r>
    </w:p>
  </w:footnote>
  <w:footnote w:id="4">
    <w:p w14:paraId="0C957F4A" w14:textId="77777777" w:rsidR="001B683D" w:rsidRDefault="001B683D" w:rsidP="00382236">
      <w:pPr>
        <w:pStyle w:val="FootnoteText"/>
        <w:ind w:left="180" w:hanging="180"/>
      </w:pPr>
      <w:r>
        <w:rPr>
          <w:rStyle w:val="FootnoteReference"/>
        </w:rPr>
        <w:footnoteRef/>
      </w:r>
      <w:r w:rsidRPr="00142980">
        <w:rPr>
          <w:rStyle w:val="FootnoteReference"/>
        </w:rPr>
        <w:t xml:space="preserve"> </w:t>
      </w:r>
      <w:r>
        <w:t xml:space="preserve">CMS. (2017). </w:t>
      </w:r>
      <w:r w:rsidRPr="007C5779">
        <w:rPr>
          <w:i/>
        </w:rPr>
        <w:t>Quality Improvement Organizations</w:t>
      </w:r>
      <w:r>
        <w:t xml:space="preserve">. Retrieved February 2, 2018 from </w:t>
      </w:r>
      <w:hyperlink r:id="rId1" w:tooltip="the CMS website." w:history="1">
        <w:r w:rsidRPr="003C35DA">
          <w:rPr>
            <w:rStyle w:val="Hyperlink"/>
          </w:rPr>
          <w:t>https://www.cms.gov/Medicare/Quality-Initiatives-Patient-Assessment-Instruments/QualityImprovementOrgs/index.html?redirect=/qualityimprovementorgs/</w:t>
        </w:r>
      </w:hyperlink>
      <w:r>
        <w:t xml:space="preserve"> </w:t>
      </w:r>
    </w:p>
  </w:footnote>
  <w:footnote w:id="5">
    <w:p w14:paraId="5E410316" w14:textId="77777777" w:rsidR="001B683D" w:rsidRDefault="001B683D" w:rsidP="00382236">
      <w:pPr>
        <w:pStyle w:val="FootnoteText"/>
        <w:ind w:left="180" w:hanging="180"/>
      </w:pPr>
      <w:r>
        <w:rPr>
          <w:rStyle w:val="FootnoteReference"/>
        </w:rPr>
        <w:footnoteRef/>
      </w:r>
      <w:r>
        <w:t xml:space="preserve"> Department of Health and Human Services (D</w:t>
      </w:r>
      <w:r w:rsidRPr="00E20EA8">
        <w:t>HHS</w:t>
      </w:r>
      <w:r>
        <w:t>)</w:t>
      </w:r>
      <w:r w:rsidRPr="00E20EA8">
        <w:t>.</w:t>
      </w:r>
      <w:r>
        <w:t xml:space="preserve"> (2015).</w:t>
      </w:r>
      <w:r w:rsidRPr="00E20EA8">
        <w:t xml:space="preserve"> </w:t>
      </w:r>
      <w:r w:rsidRPr="007C5779">
        <w:rPr>
          <w:i/>
        </w:rPr>
        <w:t>201</w:t>
      </w:r>
      <w:r>
        <w:rPr>
          <w:i/>
        </w:rPr>
        <w:t>5</w:t>
      </w:r>
      <w:r w:rsidRPr="007C5779">
        <w:rPr>
          <w:i/>
        </w:rPr>
        <w:t xml:space="preserve"> Report to Congress: National Quality Strategy for Quality Improvement in Health Care.</w:t>
      </w:r>
      <w:r>
        <w:t xml:space="preserve"> Retrieved February 2, 2018 from </w:t>
      </w:r>
      <w:r w:rsidRPr="00F22103">
        <w:rPr>
          <w:rFonts w:asciiTheme="minorHAnsi" w:eastAsiaTheme="minorHAnsi" w:hAnsiTheme="minorHAnsi" w:cstheme="minorHAnsi"/>
        </w:rPr>
        <w:t>https://www.ahrq.gov/workingforquality/reports/2015-annual-report.html</w:t>
      </w:r>
      <w:r>
        <w:t xml:space="preserve">  </w:t>
      </w:r>
    </w:p>
  </w:footnote>
  <w:footnote w:id="6">
    <w:p w14:paraId="7F204E96" w14:textId="77777777" w:rsidR="001B683D" w:rsidRDefault="001B683D" w:rsidP="00382236">
      <w:pPr>
        <w:pStyle w:val="FootnoteText"/>
        <w:ind w:left="180" w:hanging="180"/>
      </w:pPr>
      <w:r>
        <w:rPr>
          <w:rStyle w:val="FootnoteReference"/>
        </w:rPr>
        <w:footnoteRef/>
      </w:r>
      <w:r>
        <w:t xml:space="preserve"> CMS. (2015). </w:t>
      </w:r>
      <w:r w:rsidRPr="007C5779">
        <w:rPr>
          <w:i/>
        </w:rPr>
        <w:t>CMS Quality Strategy 2016</w:t>
      </w:r>
      <w:r>
        <w:t xml:space="preserve">. Retrieved February 2, 2018 from </w:t>
      </w:r>
      <w:hyperlink r:id="rId2" w:tooltip="the CMS website." w:history="1">
        <w:r w:rsidRPr="003C35DA">
          <w:rPr>
            <w:rStyle w:val="Hyperlink"/>
          </w:rPr>
          <w:t>https://www.cms.gov/medicare/quality-initiatives-patient-assessment-instruments/qualityinitiativesgeninfo/downloads/cms-quality-strategy.pdf</w:t>
        </w:r>
      </w:hyperlink>
      <w:r>
        <w:t xml:space="preserve"> </w:t>
      </w:r>
    </w:p>
  </w:footnote>
  <w:footnote w:id="7">
    <w:p w14:paraId="1573CA67" w14:textId="77777777" w:rsidR="001B683D" w:rsidRDefault="001B683D" w:rsidP="00382236">
      <w:pPr>
        <w:pStyle w:val="FootnoteText"/>
        <w:ind w:left="180" w:hanging="180"/>
      </w:pPr>
      <w:r>
        <w:rPr>
          <w:rStyle w:val="FootnoteReference"/>
        </w:rPr>
        <w:footnoteRef/>
      </w:r>
      <w:r>
        <w:t xml:space="preserve"> Social Security Administration. Contracts with Quality Improvement Organizations. Retrieved February 2, 2018 from </w:t>
      </w:r>
      <w:hyperlink r:id="rId3" w:tooltip="the Social Security Administration website." w:history="1">
        <w:r w:rsidRPr="003C35DA">
          <w:rPr>
            <w:rStyle w:val="Hyperlink"/>
          </w:rPr>
          <w:t>https://www.ssa.gov/OP_Home/ssact/title11/1153.htm</w:t>
        </w:r>
      </w:hyperlink>
      <w:r>
        <w:t xml:space="preserve"> </w:t>
      </w:r>
    </w:p>
  </w:footnote>
  <w:footnote w:id="8">
    <w:p w14:paraId="16289947" w14:textId="77777777" w:rsidR="001B683D" w:rsidRDefault="001B683D">
      <w:pPr>
        <w:pStyle w:val="FootnoteText"/>
      </w:pPr>
      <w:r>
        <w:rPr>
          <w:rStyle w:val="FootnoteReference"/>
        </w:rPr>
        <w:footnoteRef/>
      </w:r>
      <w:r>
        <w:t xml:space="preserve"> </w:t>
      </w:r>
      <w:r w:rsidRPr="00112765">
        <w:t>IOM. A Blueprint for Transforming Prevention, Care, Education and Research. Institute of Medicine, 2011.</w:t>
      </w:r>
    </w:p>
  </w:footnote>
  <w:footnote w:id="9">
    <w:p w14:paraId="2E8CF3B0" w14:textId="77777777" w:rsidR="001B683D" w:rsidRDefault="001B683D" w:rsidP="002D2F0B">
      <w:pPr>
        <w:pStyle w:val="EndNoteBibliography"/>
        <w:spacing w:after="0"/>
        <w:ind w:left="360" w:hanging="360"/>
      </w:pPr>
      <w:r w:rsidRPr="00F22103">
        <w:rPr>
          <w:rStyle w:val="FootnoteReference"/>
          <w:sz w:val="20"/>
          <w:szCs w:val="20"/>
        </w:rPr>
        <w:footnoteRef/>
      </w:r>
      <w:r w:rsidRPr="00F22103">
        <w:rPr>
          <w:sz w:val="20"/>
          <w:szCs w:val="20"/>
        </w:rPr>
        <w:t xml:space="preserve"> Levinson DR. Adverse events in hospitals: national incidence among Medicare beneficiaries. U.S. Department of Health and Human Services, Office of Inspector General, 2010  Contract No.: OEI-06-09-00090.</w:t>
      </w:r>
    </w:p>
  </w:footnote>
  <w:footnote w:id="10">
    <w:p w14:paraId="706D77EF" w14:textId="77777777" w:rsidR="001B683D" w:rsidRDefault="001B683D">
      <w:pPr>
        <w:pStyle w:val="FootnoteText"/>
      </w:pPr>
      <w:r>
        <w:rPr>
          <w:rStyle w:val="FootnoteReference"/>
        </w:rPr>
        <w:footnoteRef/>
      </w:r>
      <w:r>
        <w:t xml:space="preserve"> </w:t>
      </w:r>
      <w:r w:rsidRPr="00112765">
        <w:t>Beijer HJ, de Blaey CJ. Hospitalisations caused by adverse drug reactions (ADR): a meta-analysis of observational studies. Pharm World Sci. 2002;24(2):46-54. PubMed PMID: 12061133.</w:t>
      </w:r>
    </w:p>
  </w:footnote>
  <w:footnote w:id="11">
    <w:p w14:paraId="329EF33A" w14:textId="77777777" w:rsidR="001B683D" w:rsidRDefault="001B683D" w:rsidP="00BA449B">
      <w:pPr>
        <w:pStyle w:val="FootnoteText"/>
      </w:pPr>
      <w:r>
        <w:rPr>
          <w:rStyle w:val="FootnoteReference"/>
        </w:rPr>
        <w:footnoteRef/>
      </w:r>
      <w:r>
        <w:t xml:space="preserve"> </w:t>
      </w:r>
      <w:r w:rsidRPr="00BA449B">
        <w:t>United States Government Accountability Office. (2017, October). Prescription Opioids: Medicare needs to expand oversight efforts to reduce the risk of harm. Retrieved from https://www.gao.gov/assets/690/687628.pdf</w:t>
      </w:r>
    </w:p>
  </w:footnote>
  <w:footnote w:id="12">
    <w:p w14:paraId="16E5C506" w14:textId="77777777" w:rsidR="001B683D" w:rsidRDefault="001B683D" w:rsidP="00FD3A5B">
      <w:pPr>
        <w:pStyle w:val="FootnoteText"/>
      </w:pPr>
      <w:r>
        <w:rPr>
          <w:rStyle w:val="FootnoteReference"/>
        </w:rPr>
        <w:footnoteRef/>
      </w:r>
      <w:r>
        <w:t xml:space="preserve"> </w:t>
      </w:r>
      <w:r w:rsidRPr="00FD3A5B">
        <w:t xml:space="preserve">U.S. Department of Health and Human Services – Office of Inspector General (OIG) (2017, July). HHS OIG Data Brief: Opioids in Medicare Part D – Concerns about extreme use and questionable prescribing. Retrieved from </w:t>
      </w:r>
      <w:hyperlink r:id="rId4" w:history="1">
        <w:r w:rsidRPr="001745F0">
          <w:rPr>
            <w:rStyle w:val="Hyperlink"/>
          </w:rPr>
          <w:t>https://oig.hhs.gov/oei/reports/oei-02-17-00250.pdf</w:t>
        </w:r>
      </w:hyperlink>
    </w:p>
  </w:footnote>
  <w:footnote w:id="13">
    <w:p w14:paraId="07C43F90" w14:textId="77777777" w:rsidR="001B683D" w:rsidRDefault="001B683D" w:rsidP="00DB619B">
      <w:pPr>
        <w:pStyle w:val="FootnoteText"/>
      </w:pPr>
      <w:r>
        <w:rPr>
          <w:rStyle w:val="FootnoteReference"/>
        </w:rPr>
        <w:footnoteRef/>
      </w:r>
      <w:r>
        <w:t xml:space="preserve"> </w:t>
      </w:r>
      <w:r w:rsidRPr="00FD3A5B">
        <w:t xml:space="preserve">Lembke, A. and Chen, J. (2016). Use of opioid agonist therapy for Medicare patients in 2013. JAMA Psychiatry. 73(9), 990- 992. Retrieved from </w:t>
      </w:r>
      <w:hyperlink r:id="rId5" w:history="1">
        <w:r w:rsidRPr="001745F0">
          <w:rPr>
            <w:rStyle w:val="Hyperlink"/>
          </w:rPr>
          <w:t>https://www.ncbi.nlm.nih.gov/pmc/articles/PMC5526587/</w:t>
        </w:r>
      </w:hyperlink>
    </w:p>
  </w:footnote>
  <w:footnote w:id="14">
    <w:p w14:paraId="0EC73CA0" w14:textId="77777777" w:rsidR="001B683D" w:rsidRDefault="001B683D">
      <w:pPr>
        <w:pStyle w:val="FootnoteText"/>
      </w:pPr>
      <w:r>
        <w:rPr>
          <w:rStyle w:val="FootnoteReference"/>
        </w:rPr>
        <w:footnoteRef/>
      </w:r>
      <w:r>
        <w:t xml:space="preserve"> </w:t>
      </w:r>
      <w:r w:rsidRPr="00112765">
        <w:t>National Action Plan for Adverse Drug Event Prevention</w:t>
      </w:r>
      <w:r>
        <w:t xml:space="preserve">. </w:t>
      </w:r>
      <w:r w:rsidRPr="00112765">
        <w:t>Washington D.C.: U.S. Department of Health and Human Services, Office of Disease Prevention and Health Promotion, 2014.</w:t>
      </w:r>
    </w:p>
  </w:footnote>
  <w:footnote w:id="15">
    <w:p w14:paraId="0C6D7A47" w14:textId="77777777" w:rsidR="001B683D" w:rsidRDefault="001B683D" w:rsidP="00B417E3">
      <w:pPr>
        <w:pStyle w:val="FootnoteText"/>
      </w:pPr>
      <w:r>
        <w:rPr>
          <w:rStyle w:val="FootnoteReference"/>
        </w:rPr>
        <w:footnoteRef/>
      </w:r>
      <w:r>
        <w:t xml:space="preserve"> Yu P, Sonnenfeld N. Innovative Evaluation Methods. Presented at CMS Quality Conference, February 2018 in Baltimore, MD. </w:t>
      </w:r>
    </w:p>
  </w:footnote>
  <w:footnote w:id="16">
    <w:p w14:paraId="5EF8B974" w14:textId="77777777" w:rsidR="001B683D" w:rsidRDefault="001B683D" w:rsidP="00B417E3">
      <w:pPr>
        <w:pStyle w:val="FootnoteText"/>
      </w:pPr>
      <w:r>
        <w:rPr>
          <w:rStyle w:val="FootnoteReference"/>
        </w:rPr>
        <w:footnoteRef/>
      </w:r>
      <w:r>
        <w:t xml:space="preserve"> Tregear S, Sonnenfeld N. Market Share approach for assessing program attribution. Presented at American Evaluation Association Conference, October 2016 in Atlanta, GA.</w:t>
      </w:r>
    </w:p>
  </w:footnote>
  <w:footnote w:id="17">
    <w:p w14:paraId="06EF71CF" w14:textId="109B4AB4" w:rsidR="001B683D" w:rsidRDefault="001B683D">
      <w:pPr>
        <w:pStyle w:val="FootnoteText"/>
      </w:pPr>
      <w:r>
        <w:rPr>
          <w:rStyle w:val="FootnoteReference"/>
        </w:rPr>
        <w:footnoteRef/>
      </w:r>
      <w:r>
        <w:t xml:space="preserve"> Yu, P. B</w:t>
      </w:r>
      <w:r w:rsidRPr="00FB5262">
        <w:t>riefing to</w:t>
      </w:r>
      <w:r w:rsidR="00042851">
        <w:t xml:space="preserve"> CMS</w:t>
      </w:r>
      <w:r w:rsidRPr="00FB5262">
        <w:t xml:space="preserve"> Chief Medical Officer</w:t>
      </w:r>
      <w:r w:rsidR="00042851">
        <w:t xml:space="preserve"> for </w:t>
      </w:r>
      <w:r w:rsidR="00E318BB">
        <w:t xml:space="preserve">Quality </w:t>
      </w:r>
      <w:r w:rsidR="00042851">
        <w:t>I</w:t>
      </w:r>
      <w:r w:rsidR="00E318BB">
        <w:t>mprovement</w:t>
      </w:r>
      <w:r w:rsidRPr="00CD7204">
        <w:t xml:space="preserve"> on July 25, 2016 in Baltimore, MD.</w:t>
      </w:r>
    </w:p>
  </w:footnote>
  <w:footnote w:id="18">
    <w:p w14:paraId="2AEDBD6F" w14:textId="77777777" w:rsidR="001B683D" w:rsidRDefault="001B683D" w:rsidP="00382236">
      <w:pPr>
        <w:pStyle w:val="FootnoteText"/>
        <w:ind w:left="180" w:hanging="180"/>
      </w:pPr>
      <w:r>
        <w:rPr>
          <w:rStyle w:val="FootnoteReference"/>
        </w:rPr>
        <w:footnoteRef/>
      </w:r>
      <w:r>
        <w:t xml:space="preserve"> Social Security Administration. Contracts with Quality Improvement Organizations. Retrieved February 8, 2018 from </w:t>
      </w:r>
      <w:hyperlink r:id="rId6" w:tooltip="Social Security Administration website" w:history="1">
        <w:r w:rsidRPr="003C35DA">
          <w:rPr>
            <w:rStyle w:val="Hyperlink"/>
          </w:rPr>
          <w:t>https://www.ssa.gov/OP_Home/ssact/title11/1153.htm</w:t>
        </w:r>
      </w:hyperlink>
      <w:r>
        <w:t xml:space="preserve"> </w:t>
      </w:r>
    </w:p>
  </w:footnote>
  <w:footnote w:id="19">
    <w:p w14:paraId="7D891DBE" w14:textId="77777777" w:rsidR="001B683D" w:rsidRDefault="001B683D" w:rsidP="002261BC">
      <w:pPr>
        <w:pStyle w:val="FootnoteText"/>
      </w:pPr>
      <w:r>
        <w:rPr>
          <w:rStyle w:val="FootnoteReference"/>
        </w:rPr>
        <w:footnoteRef/>
      </w:r>
      <w:r>
        <w:t xml:space="preserve"> Remarks by Dennis Wagner at the 2018 CMS Quality Conference special session: Aligning Future Quality Improvement Work with Administrative Priorities.</w:t>
      </w:r>
    </w:p>
  </w:footnote>
  <w:footnote w:id="20">
    <w:p w14:paraId="1046FABC" w14:textId="77777777" w:rsidR="001B683D" w:rsidRDefault="001B683D" w:rsidP="00382236">
      <w:pPr>
        <w:pStyle w:val="CM1"/>
        <w:spacing w:line="240" w:lineRule="auto"/>
        <w:ind w:left="180" w:hanging="180"/>
      </w:pPr>
      <w:r w:rsidRPr="00840494">
        <w:rPr>
          <w:rStyle w:val="FootnoteReference"/>
          <w:rFonts w:eastAsia="Times New Roman"/>
          <w:sz w:val="20"/>
          <w:szCs w:val="20"/>
        </w:rPr>
        <w:footnoteRef/>
      </w:r>
      <w:r w:rsidRPr="00840494">
        <w:rPr>
          <w:rStyle w:val="FootnoteReference"/>
          <w:rFonts w:eastAsia="Times New Roman"/>
          <w:sz w:val="20"/>
          <w:szCs w:val="20"/>
        </w:rPr>
        <w:t xml:space="preserve"> </w:t>
      </w:r>
      <w:r w:rsidRPr="00840494">
        <w:rPr>
          <w:rFonts w:eastAsia="Times New Roman"/>
          <w:sz w:val="20"/>
          <w:szCs w:val="20"/>
        </w:rPr>
        <w:t xml:space="preserve">Final Report of the Small Business Paperwork Relief Task Force. (2003). Retrieved </w:t>
      </w:r>
      <w:r>
        <w:rPr>
          <w:rFonts w:eastAsia="Times New Roman"/>
          <w:sz w:val="20"/>
          <w:szCs w:val="20"/>
        </w:rPr>
        <w:t>February</w:t>
      </w:r>
      <w:r w:rsidRPr="00840494">
        <w:rPr>
          <w:rFonts w:eastAsia="Times New Roman"/>
          <w:sz w:val="20"/>
          <w:szCs w:val="20"/>
        </w:rPr>
        <w:t xml:space="preserve"> 6, 201</w:t>
      </w:r>
      <w:r>
        <w:rPr>
          <w:rFonts w:eastAsia="Times New Roman"/>
          <w:sz w:val="20"/>
          <w:szCs w:val="20"/>
        </w:rPr>
        <w:t>8</w:t>
      </w:r>
      <w:r w:rsidRPr="00840494">
        <w:rPr>
          <w:rFonts w:eastAsia="Times New Roman"/>
          <w:sz w:val="20"/>
          <w:szCs w:val="20"/>
        </w:rPr>
        <w:t xml:space="preserve"> from </w:t>
      </w:r>
      <w:hyperlink r:id="rId7" w:tooltip="the Small Business Administration website." w:history="1">
        <w:r w:rsidRPr="00141790">
          <w:rPr>
            <w:rStyle w:val="Hyperlink"/>
            <w:rFonts w:eastAsia="Times New Roman"/>
            <w:sz w:val="20"/>
            <w:szCs w:val="20"/>
          </w:rPr>
          <w:t xml:space="preserve">https://www.sba.gov/sites/default/files/Final%20Task%20Force%20Report_June%202003.pdf </w:t>
        </w:r>
      </w:hyperlink>
    </w:p>
  </w:footnote>
  <w:footnote w:id="21">
    <w:p w14:paraId="0E0DC9C1" w14:textId="77777777" w:rsidR="001B683D" w:rsidRPr="00F22103" w:rsidRDefault="001B683D">
      <w:pPr>
        <w:pStyle w:val="FootnoteText"/>
        <w:rPr>
          <w:rFonts w:asciiTheme="minorHAnsi" w:hAnsiTheme="minorHAnsi" w:cstheme="minorHAnsi"/>
        </w:rPr>
      </w:pPr>
      <w:r>
        <w:rPr>
          <w:rStyle w:val="FootnoteReference"/>
        </w:rPr>
        <w:footnoteRef/>
      </w:r>
      <w:r>
        <w:t xml:space="preserve"> American Medical Association. (2017). </w:t>
      </w:r>
      <w:r w:rsidRPr="00F22103">
        <w:t>AMA 2016 Physician Practice Benchmark Survey</w:t>
      </w:r>
      <w:r>
        <w:rPr>
          <w:rFonts w:ascii="Helvetica" w:hAnsi="Helvetica" w:cs="Helvetica"/>
          <w:sz w:val="19"/>
          <w:szCs w:val="19"/>
        </w:rPr>
        <w:t xml:space="preserve">. </w:t>
      </w:r>
      <w:r w:rsidRPr="00F22103">
        <w:rPr>
          <w:rFonts w:asciiTheme="minorHAnsi" w:hAnsiTheme="minorHAnsi" w:cstheme="minorHAnsi"/>
        </w:rPr>
        <w:t xml:space="preserve">Accessed February 12, 2018 from </w:t>
      </w:r>
      <w:hyperlink r:id="rId8" w:history="1">
        <w:r w:rsidRPr="00F22103">
          <w:rPr>
            <w:rStyle w:val="Hyperlink"/>
            <w:rFonts w:asciiTheme="minorHAnsi" w:hAnsiTheme="minorHAnsi" w:cstheme="minorHAnsi"/>
          </w:rPr>
          <w:t>https://www.ama-assn.org/sites/default/files/media-browser/public/health-policy/PRP-2016-physician-benchmark-survey.pdf</w:t>
        </w:r>
      </w:hyperlink>
      <w:r>
        <w:rPr>
          <w:rFonts w:asciiTheme="minorHAnsi" w:hAnsiTheme="minorHAnsi" w:cstheme="minorHAnsi"/>
        </w:rPr>
        <w:t xml:space="preserve">. </w:t>
      </w:r>
    </w:p>
  </w:footnote>
  <w:footnote w:id="22">
    <w:p w14:paraId="5392AC59" w14:textId="77777777" w:rsidR="001B683D" w:rsidRDefault="001B683D">
      <w:pPr>
        <w:ind w:left="180" w:hanging="180"/>
      </w:pPr>
      <w:r w:rsidRPr="00840494">
        <w:rPr>
          <w:rStyle w:val="FootnoteReference"/>
          <w:sz w:val="20"/>
          <w:szCs w:val="20"/>
        </w:rPr>
        <w:footnoteRef/>
      </w:r>
      <w:r>
        <w:rPr>
          <w:sz w:val="20"/>
          <w:szCs w:val="20"/>
        </w:rPr>
        <w:t xml:space="preserve"> Letter to </w:t>
      </w:r>
      <w:r w:rsidRPr="00F22103">
        <w:rPr>
          <w:rFonts w:cstheme="minorHAnsi"/>
          <w:color w:val="000000"/>
          <w:sz w:val="20"/>
          <w:szCs w:val="20"/>
          <w:shd w:val="clear" w:color="auto" w:fill="FFFFFF"/>
        </w:rPr>
        <w:t xml:space="preserve">Congressional leadership from National Community Pharmacists Association to address tax fairness for small business owners. Accessed February 18, 2018 from </w:t>
      </w:r>
      <w:hyperlink r:id="rId9" w:history="1">
        <w:r w:rsidRPr="00F22103">
          <w:rPr>
            <w:rStyle w:val="Hyperlink"/>
            <w:rFonts w:cstheme="minorHAnsi"/>
            <w:sz w:val="20"/>
            <w:szCs w:val="20"/>
            <w:shd w:val="clear" w:color="auto" w:fill="FFFFFF"/>
          </w:rPr>
          <w:t>http://www.ncpanet.org/newsroom/details/2017/11/14/ncpa-supports-expanded-tax-relief-to-small-businesses</w:t>
        </w:r>
      </w:hyperlink>
      <w:r>
        <w:rPr>
          <w:rFonts w:ascii="Helvetica" w:hAnsi="Helvetica" w:cs="Helvetica"/>
          <w:color w:val="000000"/>
          <w:sz w:val="20"/>
          <w:szCs w:val="20"/>
          <w:shd w:val="clear" w:color="auto" w:fill="FFFFFF"/>
        </w:rPr>
        <w:t xml:space="preserve"> </w:t>
      </w:r>
    </w:p>
  </w:footnote>
  <w:footnote w:id="23">
    <w:p w14:paraId="10D6516E" w14:textId="77777777" w:rsidR="001B683D" w:rsidRDefault="001B683D" w:rsidP="008050AD">
      <w:r w:rsidRPr="007D0ED0">
        <w:rPr>
          <w:rStyle w:val="FootnoteReference"/>
          <w:sz w:val="20"/>
          <w:szCs w:val="20"/>
        </w:rPr>
        <w:footnoteRef/>
      </w:r>
      <w:r w:rsidRPr="007D0ED0">
        <w:rPr>
          <w:rStyle w:val="FootnoteReference"/>
          <w:sz w:val="20"/>
          <w:szCs w:val="20"/>
        </w:rPr>
        <w:t xml:space="preserve"> </w:t>
      </w:r>
      <w:r w:rsidRPr="00F22103">
        <w:rPr>
          <w:sz w:val="20"/>
          <w:szCs w:val="20"/>
        </w:rPr>
        <w:t>Goritz AS (2006). Incentives in web studies: methodological issues and a review. International Journal of Internet Science. 1:58-70.</w:t>
      </w:r>
    </w:p>
  </w:footnote>
  <w:footnote w:id="24">
    <w:p w14:paraId="08FE9360" w14:textId="28B3036C" w:rsidR="001B683D" w:rsidRPr="005C3AA5" w:rsidRDefault="001B683D" w:rsidP="00C96451">
      <w:pPr>
        <w:pStyle w:val="FootnoteText"/>
        <w:ind w:left="180" w:hanging="180"/>
      </w:pPr>
      <w:r w:rsidRPr="008050AD">
        <w:rPr>
          <w:rStyle w:val="FootnoteReference"/>
        </w:rPr>
        <w:footnoteRef/>
      </w:r>
      <w:r>
        <w:t xml:space="preserve"> Based</w:t>
      </w:r>
      <w:r w:rsidRPr="00941BA3">
        <w:t xml:space="preserve"> </w:t>
      </w:r>
      <w:r w:rsidRPr="00257046">
        <w:t xml:space="preserve">May </w:t>
      </w:r>
      <w:r w:rsidRPr="005C3AA5">
        <w:t xml:space="preserve">2017 National Industry-Specific Occupational Employment and Wage Estimates, Bureau of Labor Statistics (https://www.bls.gov/oes/current/oes_nat.htm#29-0000). To account for benefits and overhead, 100% x the hourly wage was added to the hourly wage to provide the adjusted hourly wage for each group. Pharmacists (29-1051) on average earned $58.52 in 2017 (adjusted hourly wage: $117.04). Physicians-General Internists (29-1063) on average earned $95.37 (adjusted hourly wage: $190.74). Physician Assistants (29-1071) on average earned $50.37 in 2017 (adjusted hourly wage: $100.74). Nurse practitioners (29-1171) on average earned $51.68 in 2017 (adjusted hourly wage: $103.36). </w:t>
      </w:r>
    </w:p>
  </w:footnote>
  <w:footnote w:id="25">
    <w:p w14:paraId="29687602" w14:textId="77777777" w:rsidR="001B683D" w:rsidRDefault="001B683D" w:rsidP="00903B7E">
      <w:pPr>
        <w:pStyle w:val="FootnoteText"/>
        <w:ind w:left="180" w:hanging="180"/>
      </w:pPr>
      <w:r>
        <w:rPr>
          <w:rStyle w:val="FootnoteReference"/>
        </w:rPr>
        <w:footnoteRef/>
      </w:r>
      <w:r>
        <w:t xml:space="preserve"> </w:t>
      </w:r>
      <w:r w:rsidRPr="00776896">
        <w:t xml:space="preserve">The survey is </w:t>
      </w:r>
      <w:r>
        <w:t>estimated</w:t>
      </w:r>
      <w:r w:rsidRPr="00776896">
        <w:t xml:space="preserve"> to take </w:t>
      </w:r>
      <w:r w:rsidRPr="0096055B">
        <w:t xml:space="preserve">approximately </w:t>
      </w:r>
      <w:r w:rsidRPr="00F22103">
        <w:t>10 minutes</w:t>
      </w:r>
      <w:r w:rsidRPr="0096055B">
        <w:t xml:space="preserve"> to complete if the facility is not participating in the QIN-QIO program. The survey is estimated to take approximately </w:t>
      </w:r>
      <w:r w:rsidRPr="00F22103">
        <w:t>20 minutes</w:t>
      </w:r>
      <w:r w:rsidRPr="0096055B">
        <w:t xml:space="preserve"> to</w:t>
      </w:r>
      <w:r w:rsidRPr="00776896">
        <w:t xml:space="preserve"> complete</w:t>
      </w:r>
      <w:r>
        <w:t xml:space="preserve"> if the facility is participating in the QIO program, because the survey includes additional questions related to interactions with the QIO.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DE889F2"/>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nsid w:val="FFFFFF89"/>
    <w:multiLevelType w:val="singleLevel"/>
    <w:tmpl w:val="F4D2D03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8A2ABB"/>
    <w:multiLevelType w:val="hybridMultilevel"/>
    <w:tmpl w:val="FA4E4848"/>
    <w:lvl w:ilvl="0" w:tplc="55261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6194"/>
    <w:multiLevelType w:val="multilevel"/>
    <w:tmpl w:val="DAF48430"/>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717BB"/>
    <w:multiLevelType w:val="hybridMultilevel"/>
    <w:tmpl w:val="277AC75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ABE0F4E"/>
    <w:multiLevelType w:val="hybridMultilevel"/>
    <w:tmpl w:val="A3F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10A89"/>
    <w:multiLevelType w:val="hybridMultilevel"/>
    <w:tmpl w:val="9C7CAB98"/>
    <w:lvl w:ilvl="0" w:tplc="4FE42E7C">
      <w:start w:val="1"/>
      <w:numFmt w:val="decimal"/>
      <w:lvlText w:val="%1."/>
      <w:lvlJc w:val="left"/>
      <w:pPr>
        <w:tabs>
          <w:tab w:val="num" w:pos="720"/>
        </w:tabs>
        <w:ind w:left="720" w:hanging="360"/>
      </w:pPr>
      <w:rPr>
        <w:rFonts w:ascii="Calibri" w:eastAsia="Calibri" w:hAnsi="Calibri" w:cs="Times New Roman"/>
      </w:rPr>
    </w:lvl>
    <w:lvl w:ilvl="1" w:tplc="6B9229D4">
      <w:start w:val="1"/>
      <w:numFmt w:val="decimal"/>
      <w:lvlText w:val="%2."/>
      <w:lvlJc w:val="left"/>
      <w:pPr>
        <w:tabs>
          <w:tab w:val="num" w:pos="1440"/>
        </w:tabs>
        <w:ind w:left="1440" w:hanging="360"/>
      </w:pPr>
    </w:lvl>
    <w:lvl w:ilvl="2" w:tplc="FF5C1D44">
      <w:start w:val="1"/>
      <w:numFmt w:val="decimal"/>
      <w:lvlText w:val="%3."/>
      <w:lvlJc w:val="left"/>
      <w:pPr>
        <w:tabs>
          <w:tab w:val="num" w:pos="2160"/>
        </w:tabs>
        <w:ind w:left="2160" w:hanging="360"/>
      </w:pPr>
    </w:lvl>
    <w:lvl w:ilvl="3" w:tplc="1D8E5AD4">
      <w:start w:val="1"/>
      <w:numFmt w:val="decimal"/>
      <w:lvlText w:val="%4."/>
      <w:lvlJc w:val="left"/>
      <w:pPr>
        <w:tabs>
          <w:tab w:val="num" w:pos="2880"/>
        </w:tabs>
        <w:ind w:left="2880" w:hanging="360"/>
      </w:pPr>
    </w:lvl>
    <w:lvl w:ilvl="4" w:tplc="E9D40BB6">
      <w:start w:val="1"/>
      <w:numFmt w:val="decimal"/>
      <w:lvlText w:val="%5."/>
      <w:lvlJc w:val="left"/>
      <w:pPr>
        <w:tabs>
          <w:tab w:val="num" w:pos="3600"/>
        </w:tabs>
        <w:ind w:left="3600" w:hanging="360"/>
      </w:pPr>
    </w:lvl>
    <w:lvl w:ilvl="5" w:tplc="B370445C">
      <w:start w:val="1"/>
      <w:numFmt w:val="decimal"/>
      <w:lvlText w:val="%6."/>
      <w:lvlJc w:val="left"/>
      <w:pPr>
        <w:tabs>
          <w:tab w:val="num" w:pos="4320"/>
        </w:tabs>
        <w:ind w:left="4320" w:hanging="360"/>
      </w:pPr>
    </w:lvl>
    <w:lvl w:ilvl="6" w:tplc="FBDCB27C">
      <w:start w:val="1"/>
      <w:numFmt w:val="decimal"/>
      <w:lvlText w:val="%7."/>
      <w:lvlJc w:val="left"/>
      <w:pPr>
        <w:tabs>
          <w:tab w:val="num" w:pos="5040"/>
        </w:tabs>
        <w:ind w:left="5040" w:hanging="360"/>
      </w:pPr>
    </w:lvl>
    <w:lvl w:ilvl="7" w:tplc="E45A12B0">
      <w:start w:val="1"/>
      <w:numFmt w:val="decimal"/>
      <w:lvlText w:val="%8."/>
      <w:lvlJc w:val="left"/>
      <w:pPr>
        <w:tabs>
          <w:tab w:val="num" w:pos="5760"/>
        </w:tabs>
        <w:ind w:left="5760" w:hanging="360"/>
      </w:pPr>
    </w:lvl>
    <w:lvl w:ilvl="8" w:tplc="2B70DBEA">
      <w:start w:val="1"/>
      <w:numFmt w:val="decimal"/>
      <w:lvlText w:val="%9."/>
      <w:lvlJc w:val="left"/>
      <w:pPr>
        <w:tabs>
          <w:tab w:val="num" w:pos="6480"/>
        </w:tabs>
        <w:ind w:left="6480" w:hanging="360"/>
      </w:pPr>
    </w:lvl>
  </w:abstractNum>
  <w:abstractNum w:abstractNumId="8">
    <w:nsid w:val="229F55B0"/>
    <w:multiLevelType w:val="hybridMultilevel"/>
    <w:tmpl w:val="49581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3CC6F4C"/>
    <w:multiLevelType w:val="hybridMultilevel"/>
    <w:tmpl w:val="0780065C"/>
    <w:lvl w:ilvl="0" w:tplc="04090001">
      <w:start w:val="1"/>
      <w:numFmt w:val="bullet"/>
      <w:lvlText w:val=""/>
      <w:lvlJc w:val="left"/>
      <w:pPr>
        <w:ind w:left="1080" w:hanging="360"/>
      </w:pPr>
      <w:rPr>
        <w:rFonts w:ascii="Symbol" w:hAnsi="Symbol" w:hint="default"/>
        <w:color w:val="auto"/>
        <w:sz w:val="22"/>
      </w:rPr>
    </w:lvl>
    <w:lvl w:ilvl="1" w:tplc="29DA04A2" w:tentative="1">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10">
    <w:nsid w:val="25EE611B"/>
    <w:multiLevelType w:val="hybridMultilevel"/>
    <w:tmpl w:val="F67A375E"/>
    <w:lvl w:ilvl="0" w:tplc="834A534C">
      <w:start w:val="1"/>
      <w:numFmt w:val="bullet"/>
      <w:pStyle w:val="bu"/>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148A7"/>
    <w:multiLevelType w:val="hybridMultilevel"/>
    <w:tmpl w:val="E4B47C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D4EA8"/>
    <w:multiLevelType w:val="hybridMultilevel"/>
    <w:tmpl w:val="1344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775E0F"/>
    <w:multiLevelType w:val="hybridMultilevel"/>
    <w:tmpl w:val="9A809F94"/>
    <w:lvl w:ilvl="0" w:tplc="04090001">
      <w:start w:val="1"/>
      <w:numFmt w:val="bullet"/>
      <w:lvlText w:val=""/>
      <w:lvlJc w:val="left"/>
      <w:pPr>
        <w:ind w:left="720" w:hanging="360"/>
      </w:pPr>
      <w:rPr>
        <w:rFonts w:ascii="Symbol" w:hAnsi="Symbol" w:hint="default"/>
      </w:rPr>
    </w:lvl>
    <w:lvl w:ilvl="1" w:tplc="A2E6C04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C0C3A"/>
    <w:multiLevelType w:val="hybridMultilevel"/>
    <w:tmpl w:val="F2BE1752"/>
    <w:lvl w:ilvl="0" w:tplc="53C2D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C6200"/>
    <w:multiLevelType w:val="hybridMultilevel"/>
    <w:tmpl w:val="E3A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FD3286"/>
    <w:multiLevelType w:val="hybridMultilevel"/>
    <w:tmpl w:val="80B4F672"/>
    <w:lvl w:ilvl="0" w:tplc="04090017">
      <w:start w:val="1"/>
      <w:numFmt w:val="lowerLetter"/>
      <w:lvlText w:val="%1)"/>
      <w:lvlJc w:val="left"/>
      <w:pPr>
        <w:ind w:left="720" w:hanging="360"/>
      </w:pPr>
      <w:rPr>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16122"/>
    <w:multiLevelType w:val="hybridMultilevel"/>
    <w:tmpl w:val="27DC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C241A5"/>
    <w:multiLevelType w:val="multilevel"/>
    <w:tmpl w:val="CC0A3BB6"/>
    <w:lvl w:ilvl="0">
      <w:start w:val="1"/>
      <w:numFmt w:val="none"/>
      <w:pStyle w:val="Heading1"/>
      <w:lvlText w:val=""/>
      <w:lvlJc w:val="left"/>
      <w:pPr>
        <w:ind w:left="0" w:firstLine="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72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0">
    <w:nsid w:val="773D372F"/>
    <w:multiLevelType w:val="hybridMultilevel"/>
    <w:tmpl w:val="878472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DF251F"/>
    <w:multiLevelType w:val="hybridMultilevel"/>
    <w:tmpl w:val="917A6794"/>
    <w:lvl w:ilvl="0" w:tplc="0409000F">
      <w:start w:val="1"/>
      <w:numFmt w:val="decimal"/>
      <w:lvlText w:val="%1."/>
      <w:lvlJc w:val="left"/>
      <w:pPr>
        <w:ind w:left="720" w:hanging="360"/>
      </w:pPr>
    </w:lvl>
    <w:lvl w:ilvl="1" w:tplc="016A971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E6695"/>
    <w:multiLevelType w:val="hybridMultilevel"/>
    <w:tmpl w:val="77C64E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9E4915"/>
    <w:multiLevelType w:val="hybridMultilevel"/>
    <w:tmpl w:val="028CF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6"/>
  </w:num>
  <w:num w:numId="4">
    <w:abstractNumId w:val="1"/>
  </w:num>
  <w:num w:numId="5">
    <w:abstractNumId w:val="19"/>
  </w:num>
  <w:num w:numId="6">
    <w:abstractNumId w:val="19"/>
    <w:lvlOverride w:ilvl="0">
      <w:lvl w:ilvl="0">
        <w:start w:val="1"/>
        <w:numFmt w:val="none"/>
        <w:pStyle w:val="Heading1"/>
        <w:lvlText w:val=""/>
        <w:lvlJc w:val="left"/>
        <w:pPr>
          <w:ind w:left="0" w:firstLine="0"/>
        </w:pPr>
        <w:rPr>
          <w:rFonts w:hint="default"/>
        </w:rPr>
      </w:lvl>
    </w:lvlOverride>
    <w:lvlOverride w:ilvl="1">
      <w:lvl w:ilvl="1">
        <w:start w:val="1"/>
        <w:numFmt w:val="upperLetter"/>
        <w:pStyle w:val="Heading2"/>
        <w:lvlText w:val="%2."/>
        <w:lvlJc w:val="left"/>
        <w:pPr>
          <w:ind w:left="360" w:hanging="360"/>
        </w:pPr>
        <w:rPr>
          <w:rFonts w:hint="default"/>
        </w:rPr>
      </w:lvl>
    </w:lvlOverride>
    <w:lvlOverride w:ilvl="2">
      <w:lvl w:ilvl="2">
        <w:start w:val="1"/>
        <w:numFmt w:val="decimal"/>
        <w:pStyle w:val="Heading3"/>
        <w:lvlText w:val="%3."/>
        <w:lvlJc w:val="left"/>
        <w:pPr>
          <w:ind w:left="3150" w:hanging="36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7">
    <w:abstractNumId w:val="19"/>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0"/>
  </w:num>
  <w:num w:numId="13">
    <w:abstractNumId w:val="17"/>
  </w:num>
  <w:num w:numId="14">
    <w:abstractNumId w:val="5"/>
  </w:num>
  <w:num w:numId="15">
    <w:abstractNumId w:val="22"/>
  </w:num>
  <w:num w:numId="16">
    <w:abstractNumId w:val="4"/>
  </w:num>
  <w:num w:numId="17">
    <w:abstractNumId w:val="16"/>
  </w:num>
  <w:num w:numId="18">
    <w:abstractNumId w:val="21"/>
  </w:num>
  <w:num w:numId="19">
    <w:abstractNumId w:val="11"/>
  </w:num>
  <w:num w:numId="20">
    <w:abstractNumId w:val="10"/>
  </w:num>
  <w:num w:numId="21">
    <w:abstractNumId w:val="1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DD"/>
    <w:rsid w:val="000002FA"/>
    <w:rsid w:val="00001EE8"/>
    <w:rsid w:val="000067B1"/>
    <w:rsid w:val="00010094"/>
    <w:rsid w:val="000120DC"/>
    <w:rsid w:val="00013D03"/>
    <w:rsid w:val="00016E8C"/>
    <w:rsid w:val="00017975"/>
    <w:rsid w:val="000245DD"/>
    <w:rsid w:val="00031438"/>
    <w:rsid w:val="00032AEB"/>
    <w:rsid w:val="00034967"/>
    <w:rsid w:val="000356B6"/>
    <w:rsid w:val="000363C1"/>
    <w:rsid w:val="00042851"/>
    <w:rsid w:val="00043875"/>
    <w:rsid w:val="0004585C"/>
    <w:rsid w:val="00045F01"/>
    <w:rsid w:val="00046A97"/>
    <w:rsid w:val="00047430"/>
    <w:rsid w:val="00047481"/>
    <w:rsid w:val="00057FA7"/>
    <w:rsid w:val="00061C57"/>
    <w:rsid w:val="000622A8"/>
    <w:rsid w:val="00063DF1"/>
    <w:rsid w:val="00064DBA"/>
    <w:rsid w:val="00066C5F"/>
    <w:rsid w:val="00070F28"/>
    <w:rsid w:val="0007174D"/>
    <w:rsid w:val="0007432C"/>
    <w:rsid w:val="00074449"/>
    <w:rsid w:val="00076189"/>
    <w:rsid w:val="00076B33"/>
    <w:rsid w:val="00081C61"/>
    <w:rsid w:val="00085AC7"/>
    <w:rsid w:val="00092585"/>
    <w:rsid w:val="00093187"/>
    <w:rsid w:val="00096C18"/>
    <w:rsid w:val="000A4061"/>
    <w:rsid w:val="000A62B8"/>
    <w:rsid w:val="000B1666"/>
    <w:rsid w:val="000B6EBC"/>
    <w:rsid w:val="000B7998"/>
    <w:rsid w:val="000B7D15"/>
    <w:rsid w:val="000C1318"/>
    <w:rsid w:val="000D20C7"/>
    <w:rsid w:val="000D5B42"/>
    <w:rsid w:val="000D6745"/>
    <w:rsid w:val="000D6AF0"/>
    <w:rsid w:val="000E25A1"/>
    <w:rsid w:val="000E58F3"/>
    <w:rsid w:val="000F0A06"/>
    <w:rsid w:val="000F379D"/>
    <w:rsid w:val="000F7DDC"/>
    <w:rsid w:val="0010352D"/>
    <w:rsid w:val="00104343"/>
    <w:rsid w:val="00116886"/>
    <w:rsid w:val="001201F0"/>
    <w:rsid w:val="00122380"/>
    <w:rsid w:val="00123A78"/>
    <w:rsid w:val="001256D8"/>
    <w:rsid w:val="001316AE"/>
    <w:rsid w:val="00141790"/>
    <w:rsid w:val="00142980"/>
    <w:rsid w:val="00150250"/>
    <w:rsid w:val="0015274D"/>
    <w:rsid w:val="001553C3"/>
    <w:rsid w:val="0016156A"/>
    <w:rsid w:val="00162E2E"/>
    <w:rsid w:val="00165864"/>
    <w:rsid w:val="0016733F"/>
    <w:rsid w:val="00172276"/>
    <w:rsid w:val="00172F1C"/>
    <w:rsid w:val="00173E85"/>
    <w:rsid w:val="00173ED7"/>
    <w:rsid w:val="001745F0"/>
    <w:rsid w:val="001779CE"/>
    <w:rsid w:val="00181B7C"/>
    <w:rsid w:val="0019257D"/>
    <w:rsid w:val="00193932"/>
    <w:rsid w:val="00194555"/>
    <w:rsid w:val="00194ACB"/>
    <w:rsid w:val="00194BD7"/>
    <w:rsid w:val="00195FA2"/>
    <w:rsid w:val="00197D64"/>
    <w:rsid w:val="001A3AEE"/>
    <w:rsid w:val="001A76F5"/>
    <w:rsid w:val="001B0F5C"/>
    <w:rsid w:val="001B1573"/>
    <w:rsid w:val="001B1C2A"/>
    <w:rsid w:val="001B3F0B"/>
    <w:rsid w:val="001B50B6"/>
    <w:rsid w:val="001B683D"/>
    <w:rsid w:val="001C03E8"/>
    <w:rsid w:val="001C044F"/>
    <w:rsid w:val="001C07AA"/>
    <w:rsid w:val="001C3CDD"/>
    <w:rsid w:val="001C4752"/>
    <w:rsid w:val="001D189A"/>
    <w:rsid w:val="001D6FA8"/>
    <w:rsid w:val="001E2196"/>
    <w:rsid w:val="001E3705"/>
    <w:rsid w:val="001E41A5"/>
    <w:rsid w:val="001E4EC0"/>
    <w:rsid w:val="001E71D1"/>
    <w:rsid w:val="001E74A1"/>
    <w:rsid w:val="001F319B"/>
    <w:rsid w:val="001F518D"/>
    <w:rsid w:val="001F6745"/>
    <w:rsid w:val="002007AB"/>
    <w:rsid w:val="002117C6"/>
    <w:rsid w:val="00212A3D"/>
    <w:rsid w:val="00213061"/>
    <w:rsid w:val="002138FD"/>
    <w:rsid w:val="00215FC6"/>
    <w:rsid w:val="00223901"/>
    <w:rsid w:val="002261BC"/>
    <w:rsid w:val="002310BE"/>
    <w:rsid w:val="00232D36"/>
    <w:rsid w:val="00232EFC"/>
    <w:rsid w:val="00232F98"/>
    <w:rsid w:val="00235A16"/>
    <w:rsid w:val="0023609B"/>
    <w:rsid w:val="002361D6"/>
    <w:rsid w:val="00237EB7"/>
    <w:rsid w:val="00242A5D"/>
    <w:rsid w:val="002435AA"/>
    <w:rsid w:val="00243E66"/>
    <w:rsid w:val="00245E06"/>
    <w:rsid w:val="00252163"/>
    <w:rsid w:val="00255006"/>
    <w:rsid w:val="00262F20"/>
    <w:rsid w:val="00263F2B"/>
    <w:rsid w:val="00280721"/>
    <w:rsid w:val="00284166"/>
    <w:rsid w:val="00287190"/>
    <w:rsid w:val="0029211C"/>
    <w:rsid w:val="00294F0E"/>
    <w:rsid w:val="00295844"/>
    <w:rsid w:val="00296098"/>
    <w:rsid w:val="00296E5C"/>
    <w:rsid w:val="00297BEE"/>
    <w:rsid w:val="002A26DA"/>
    <w:rsid w:val="002A57B5"/>
    <w:rsid w:val="002A6E6A"/>
    <w:rsid w:val="002B33BF"/>
    <w:rsid w:val="002B51E2"/>
    <w:rsid w:val="002B78ED"/>
    <w:rsid w:val="002C188A"/>
    <w:rsid w:val="002C27C7"/>
    <w:rsid w:val="002D1628"/>
    <w:rsid w:val="002D2481"/>
    <w:rsid w:val="002D2F0B"/>
    <w:rsid w:val="002D5BBF"/>
    <w:rsid w:val="002D5F32"/>
    <w:rsid w:val="002E5E70"/>
    <w:rsid w:val="002E7EFE"/>
    <w:rsid w:val="002F4F2C"/>
    <w:rsid w:val="002F4FD9"/>
    <w:rsid w:val="002F5A08"/>
    <w:rsid w:val="002F6D18"/>
    <w:rsid w:val="002F7B94"/>
    <w:rsid w:val="00301A0D"/>
    <w:rsid w:val="003048AE"/>
    <w:rsid w:val="00304BD0"/>
    <w:rsid w:val="003052E0"/>
    <w:rsid w:val="003063F9"/>
    <w:rsid w:val="003102AF"/>
    <w:rsid w:val="00315107"/>
    <w:rsid w:val="00323F3A"/>
    <w:rsid w:val="00327801"/>
    <w:rsid w:val="00332FB7"/>
    <w:rsid w:val="00342106"/>
    <w:rsid w:val="00351D52"/>
    <w:rsid w:val="00352D1B"/>
    <w:rsid w:val="00354D46"/>
    <w:rsid w:val="003621DC"/>
    <w:rsid w:val="003668D8"/>
    <w:rsid w:val="003706B5"/>
    <w:rsid w:val="003708EF"/>
    <w:rsid w:val="003747FE"/>
    <w:rsid w:val="00376705"/>
    <w:rsid w:val="00382236"/>
    <w:rsid w:val="003877F5"/>
    <w:rsid w:val="00393866"/>
    <w:rsid w:val="00395E32"/>
    <w:rsid w:val="003A75DF"/>
    <w:rsid w:val="003B1759"/>
    <w:rsid w:val="003B2743"/>
    <w:rsid w:val="003B6953"/>
    <w:rsid w:val="003C27E4"/>
    <w:rsid w:val="003C48A6"/>
    <w:rsid w:val="003C6484"/>
    <w:rsid w:val="003D1135"/>
    <w:rsid w:val="003D1E09"/>
    <w:rsid w:val="003D35FB"/>
    <w:rsid w:val="003D700F"/>
    <w:rsid w:val="003D7D87"/>
    <w:rsid w:val="003E128E"/>
    <w:rsid w:val="003E49E7"/>
    <w:rsid w:val="003E71A1"/>
    <w:rsid w:val="003E77B3"/>
    <w:rsid w:val="003E7D2D"/>
    <w:rsid w:val="003F1894"/>
    <w:rsid w:val="003F54EF"/>
    <w:rsid w:val="003F73ED"/>
    <w:rsid w:val="0040278E"/>
    <w:rsid w:val="004040FF"/>
    <w:rsid w:val="004062BE"/>
    <w:rsid w:val="00407D2A"/>
    <w:rsid w:val="00410294"/>
    <w:rsid w:val="004152A4"/>
    <w:rsid w:val="00415AA0"/>
    <w:rsid w:val="004217B3"/>
    <w:rsid w:val="004250F0"/>
    <w:rsid w:val="0042549A"/>
    <w:rsid w:val="00425A76"/>
    <w:rsid w:val="00436CD1"/>
    <w:rsid w:val="00436D92"/>
    <w:rsid w:val="00444605"/>
    <w:rsid w:val="00445D0D"/>
    <w:rsid w:val="00447219"/>
    <w:rsid w:val="004477C2"/>
    <w:rsid w:val="004516CC"/>
    <w:rsid w:val="0045238C"/>
    <w:rsid w:val="004749FD"/>
    <w:rsid w:val="00477383"/>
    <w:rsid w:val="00483188"/>
    <w:rsid w:val="00494584"/>
    <w:rsid w:val="004950E9"/>
    <w:rsid w:val="004954B1"/>
    <w:rsid w:val="00496FB5"/>
    <w:rsid w:val="004A0E3F"/>
    <w:rsid w:val="004A34D2"/>
    <w:rsid w:val="004A7989"/>
    <w:rsid w:val="004A799F"/>
    <w:rsid w:val="004B6B24"/>
    <w:rsid w:val="004C2931"/>
    <w:rsid w:val="004C6EAF"/>
    <w:rsid w:val="004C775C"/>
    <w:rsid w:val="004C79AA"/>
    <w:rsid w:val="004D1B2A"/>
    <w:rsid w:val="004D681C"/>
    <w:rsid w:val="004E4368"/>
    <w:rsid w:val="004E5F09"/>
    <w:rsid w:val="004E7DC9"/>
    <w:rsid w:val="004F47B0"/>
    <w:rsid w:val="005011AB"/>
    <w:rsid w:val="005032C2"/>
    <w:rsid w:val="00503FC4"/>
    <w:rsid w:val="0051101D"/>
    <w:rsid w:val="00512CA7"/>
    <w:rsid w:val="005130CD"/>
    <w:rsid w:val="005158A0"/>
    <w:rsid w:val="00517D47"/>
    <w:rsid w:val="00520B48"/>
    <w:rsid w:val="00521445"/>
    <w:rsid w:val="00523315"/>
    <w:rsid w:val="0052667A"/>
    <w:rsid w:val="005305E3"/>
    <w:rsid w:val="00535673"/>
    <w:rsid w:val="00537544"/>
    <w:rsid w:val="00540D77"/>
    <w:rsid w:val="00543BDE"/>
    <w:rsid w:val="00547A63"/>
    <w:rsid w:val="00552333"/>
    <w:rsid w:val="0055372F"/>
    <w:rsid w:val="00561D2F"/>
    <w:rsid w:val="00563431"/>
    <w:rsid w:val="0056486A"/>
    <w:rsid w:val="00566A2D"/>
    <w:rsid w:val="00570091"/>
    <w:rsid w:val="00572D20"/>
    <w:rsid w:val="00576039"/>
    <w:rsid w:val="00580615"/>
    <w:rsid w:val="0058097D"/>
    <w:rsid w:val="00581785"/>
    <w:rsid w:val="00582D8A"/>
    <w:rsid w:val="0058442E"/>
    <w:rsid w:val="00587845"/>
    <w:rsid w:val="00587895"/>
    <w:rsid w:val="00590ED6"/>
    <w:rsid w:val="00594CE7"/>
    <w:rsid w:val="00595B0F"/>
    <w:rsid w:val="0059635F"/>
    <w:rsid w:val="0059683A"/>
    <w:rsid w:val="005B0C3E"/>
    <w:rsid w:val="005B4EB5"/>
    <w:rsid w:val="005C2576"/>
    <w:rsid w:val="005C38D4"/>
    <w:rsid w:val="005C3AA5"/>
    <w:rsid w:val="005C3AB3"/>
    <w:rsid w:val="005C51F1"/>
    <w:rsid w:val="005D265D"/>
    <w:rsid w:val="005D428F"/>
    <w:rsid w:val="005D438B"/>
    <w:rsid w:val="005D5149"/>
    <w:rsid w:val="005D5961"/>
    <w:rsid w:val="005D5AB4"/>
    <w:rsid w:val="005E0FD4"/>
    <w:rsid w:val="005E3F74"/>
    <w:rsid w:val="005E477C"/>
    <w:rsid w:val="005F07AC"/>
    <w:rsid w:val="005F2334"/>
    <w:rsid w:val="005F2423"/>
    <w:rsid w:val="005F2D7F"/>
    <w:rsid w:val="00600825"/>
    <w:rsid w:val="00601A02"/>
    <w:rsid w:val="0060464E"/>
    <w:rsid w:val="006061C1"/>
    <w:rsid w:val="006116E8"/>
    <w:rsid w:val="00620EC6"/>
    <w:rsid w:val="0062186F"/>
    <w:rsid w:val="00622C01"/>
    <w:rsid w:val="00635CF0"/>
    <w:rsid w:val="006376B3"/>
    <w:rsid w:val="006400F7"/>
    <w:rsid w:val="00643054"/>
    <w:rsid w:val="0064388A"/>
    <w:rsid w:val="0064436B"/>
    <w:rsid w:val="00644B85"/>
    <w:rsid w:val="006466A2"/>
    <w:rsid w:val="00647262"/>
    <w:rsid w:val="00650E2D"/>
    <w:rsid w:val="006521D1"/>
    <w:rsid w:val="00652FD6"/>
    <w:rsid w:val="0065688E"/>
    <w:rsid w:val="006617BD"/>
    <w:rsid w:val="006625A0"/>
    <w:rsid w:val="00662948"/>
    <w:rsid w:val="00663652"/>
    <w:rsid w:val="00665A87"/>
    <w:rsid w:val="006744C6"/>
    <w:rsid w:val="006762F4"/>
    <w:rsid w:val="00683857"/>
    <w:rsid w:val="0069240F"/>
    <w:rsid w:val="00693524"/>
    <w:rsid w:val="00696673"/>
    <w:rsid w:val="00697125"/>
    <w:rsid w:val="006A363F"/>
    <w:rsid w:val="006A5F46"/>
    <w:rsid w:val="006A67E1"/>
    <w:rsid w:val="006B00A2"/>
    <w:rsid w:val="006B12AA"/>
    <w:rsid w:val="006B5D06"/>
    <w:rsid w:val="006B69BC"/>
    <w:rsid w:val="006C0F34"/>
    <w:rsid w:val="006C3794"/>
    <w:rsid w:val="006C3CDC"/>
    <w:rsid w:val="006C4418"/>
    <w:rsid w:val="006C5AAC"/>
    <w:rsid w:val="006C778B"/>
    <w:rsid w:val="006C7B7D"/>
    <w:rsid w:val="006D1D76"/>
    <w:rsid w:val="006D3500"/>
    <w:rsid w:val="006D370B"/>
    <w:rsid w:val="006D3F6B"/>
    <w:rsid w:val="006D5748"/>
    <w:rsid w:val="006E28AF"/>
    <w:rsid w:val="006E2D2C"/>
    <w:rsid w:val="006E3361"/>
    <w:rsid w:val="006F0CD3"/>
    <w:rsid w:val="006F5E9D"/>
    <w:rsid w:val="006F66EB"/>
    <w:rsid w:val="006F74AB"/>
    <w:rsid w:val="00705F08"/>
    <w:rsid w:val="0071050B"/>
    <w:rsid w:val="00713147"/>
    <w:rsid w:val="00715406"/>
    <w:rsid w:val="00720D32"/>
    <w:rsid w:val="007231CB"/>
    <w:rsid w:val="00726286"/>
    <w:rsid w:val="00726A21"/>
    <w:rsid w:val="00733C14"/>
    <w:rsid w:val="0073633B"/>
    <w:rsid w:val="00741265"/>
    <w:rsid w:val="00743595"/>
    <w:rsid w:val="00745773"/>
    <w:rsid w:val="00745C96"/>
    <w:rsid w:val="00746DF7"/>
    <w:rsid w:val="00752266"/>
    <w:rsid w:val="0076270F"/>
    <w:rsid w:val="00762B3F"/>
    <w:rsid w:val="00770C31"/>
    <w:rsid w:val="0077418A"/>
    <w:rsid w:val="00775121"/>
    <w:rsid w:val="007805A1"/>
    <w:rsid w:val="007805E0"/>
    <w:rsid w:val="0078579A"/>
    <w:rsid w:val="00786CB0"/>
    <w:rsid w:val="00790061"/>
    <w:rsid w:val="007902A3"/>
    <w:rsid w:val="00790494"/>
    <w:rsid w:val="00790CA8"/>
    <w:rsid w:val="00791EC3"/>
    <w:rsid w:val="00795E33"/>
    <w:rsid w:val="007A1312"/>
    <w:rsid w:val="007A32C7"/>
    <w:rsid w:val="007A7971"/>
    <w:rsid w:val="007C0A26"/>
    <w:rsid w:val="007C1BF3"/>
    <w:rsid w:val="007C2EAE"/>
    <w:rsid w:val="007C2F2D"/>
    <w:rsid w:val="007C47A4"/>
    <w:rsid w:val="007C589F"/>
    <w:rsid w:val="007C5B30"/>
    <w:rsid w:val="007C5EFC"/>
    <w:rsid w:val="007C714B"/>
    <w:rsid w:val="007D0ED0"/>
    <w:rsid w:val="007D5FCB"/>
    <w:rsid w:val="007E6989"/>
    <w:rsid w:val="007E70E6"/>
    <w:rsid w:val="007F3040"/>
    <w:rsid w:val="008050AD"/>
    <w:rsid w:val="008072A3"/>
    <w:rsid w:val="00814EFE"/>
    <w:rsid w:val="008165A1"/>
    <w:rsid w:val="00816958"/>
    <w:rsid w:val="0082683A"/>
    <w:rsid w:val="00832660"/>
    <w:rsid w:val="00835F8C"/>
    <w:rsid w:val="008365CA"/>
    <w:rsid w:val="008378B9"/>
    <w:rsid w:val="00840494"/>
    <w:rsid w:val="0084049D"/>
    <w:rsid w:val="008423EB"/>
    <w:rsid w:val="008428CA"/>
    <w:rsid w:val="008430B9"/>
    <w:rsid w:val="00845801"/>
    <w:rsid w:val="00856DD9"/>
    <w:rsid w:val="00862401"/>
    <w:rsid w:val="00865D09"/>
    <w:rsid w:val="0086654C"/>
    <w:rsid w:val="00870476"/>
    <w:rsid w:val="00875DC4"/>
    <w:rsid w:val="00876CD1"/>
    <w:rsid w:val="00876E69"/>
    <w:rsid w:val="00881683"/>
    <w:rsid w:val="00882ED2"/>
    <w:rsid w:val="00883786"/>
    <w:rsid w:val="00887328"/>
    <w:rsid w:val="00891113"/>
    <w:rsid w:val="00891E41"/>
    <w:rsid w:val="00895510"/>
    <w:rsid w:val="00895863"/>
    <w:rsid w:val="00895CF5"/>
    <w:rsid w:val="00895D1F"/>
    <w:rsid w:val="008A165F"/>
    <w:rsid w:val="008A3FAA"/>
    <w:rsid w:val="008A6665"/>
    <w:rsid w:val="008A77A1"/>
    <w:rsid w:val="008B0BA2"/>
    <w:rsid w:val="008C030C"/>
    <w:rsid w:val="008C0ED9"/>
    <w:rsid w:val="008C3CC3"/>
    <w:rsid w:val="008C7FEE"/>
    <w:rsid w:val="008D0767"/>
    <w:rsid w:val="008D46E6"/>
    <w:rsid w:val="008D5E91"/>
    <w:rsid w:val="008D6AFA"/>
    <w:rsid w:val="008D6D00"/>
    <w:rsid w:val="008D710C"/>
    <w:rsid w:val="008D712E"/>
    <w:rsid w:val="008E0F78"/>
    <w:rsid w:val="008E634A"/>
    <w:rsid w:val="008F2067"/>
    <w:rsid w:val="008F4D3B"/>
    <w:rsid w:val="008F6252"/>
    <w:rsid w:val="009000DB"/>
    <w:rsid w:val="00903B7E"/>
    <w:rsid w:val="0090562A"/>
    <w:rsid w:val="00905CB8"/>
    <w:rsid w:val="009077F1"/>
    <w:rsid w:val="00911130"/>
    <w:rsid w:val="00915B84"/>
    <w:rsid w:val="00916AEC"/>
    <w:rsid w:val="00921666"/>
    <w:rsid w:val="00923809"/>
    <w:rsid w:val="00925809"/>
    <w:rsid w:val="00926A85"/>
    <w:rsid w:val="00927263"/>
    <w:rsid w:val="00940115"/>
    <w:rsid w:val="00940F8B"/>
    <w:rsid w:val="00944D55"/>
    <w:rsid w:val="00947A2A"/>
    <w:rsid w:val="00947E60"/>
    <w:rsid w:val="009541BC"/>
    <w:rsid w:val="00955664"/>
    <w:rsid w:val="0096055B"/>
    <w:rsid w:val="00961D57"/>
    <w:rsid w:val="00962466"/>
    <w:rsid w:val="0096291E"/>
    <w:rsid w:val="00964338"/>
    <w:rsid w:val="00966293"/>
    <w:rsid w:val="0097063A"/>
    <w:rsid w:val="009731F5"/>
    <w:rsid w:val="00973570"/>
    <w:rsid w:val="00974B43"/>
    <w:rsid w:val="009762E5"/>
    <w:rsid w:val="009773C4"/>
    <w:rsid w:val="0098003C"/>
    <w:rsid w:val="00981FC4"/>
    <w:rsid w:val="00984073"/>
    <w:rsid w:val="00986B1A"/>
    <w:rsid w:val="00986C8D"/>
    <w:rsid w:val="00991B65"/>
    <w:rsid w:val="00991CF0"/>
    <w:rsid w:val="009954D3"/>
    <w:rsid w:val="009963F4"/>
    <w:rsid w:val="009B19AF"/>
    <w:rsid w:val="009B5C27"/>
    <w:rsid w:val="009C38D1"/>
    <w:rsid w:val="009C5528"/>
    <w:rsid w:val="009C799E"/>
    <w:rsid w:val="009C7FB2"/>
    <w:rsid w:val="009D0BF9"/>
    <w:rsid w:val="009D1161"/>
    <w:rsid w:val="009D2D68"/>
    <w:rsid w:val="009D662D"/>
    <w:rsid w:val="009E0CAD"/>
    <w:rsid w:val="009F392A"/>
    <w:rsid w:val="009F72BD"/>
    <w:rsid w:val="00A01861"/>
    <w:rsid w:val="00A01C58"/>
    <w:rsid w:val="00A036AF"/>
    <w:rsid w:val="00A054B0"/>
    <w:rsid w:val="00A15A9A"/>
    <w:rsid w:val="00A25876"/>
    <w:rsid w:val="00A30BB2"/>
    <w:rsid w:val="00A31D11"/>
    <w:rsid w:val="00A37333"/>
    <w:rsid w:val="00A4450D"/>
    <w:rsid w:val="00A460CC"/>
    <w:rsid w:val="00A55A97"/>
    <w:rsid w:val="00A567AF"/>
    <w:rsid w:val="00A62901"/>
    <w:rsid w:val="00A6664A"/>
    <w:rsid w:val="00A71718"/>
    <w:rsid w:val="00A72FB8"/>
    <w:rsid w:val="00A737EC"/>
    <w:rsid w:val="00A80A9E"/>
    <w:rsid w:val="00A8765C"/>
    <w:rsid w:val="00A87C38"/>
    <w:rsid w:val="00A87CDD"/>
    <w:rsid w:val="00A93554"/>
    <w:rsid w:val="00A97777"/>
    <w:rsid w:val="00AA00E1"/>
    <w:rsid w:val="00AA04EC"/>
    <w:rsid w:val="00AA5D1C"/>
    <w:rsid w:val="00AA5ED2"/>
    <w:rsid w:val="00AB5F27"/>
    <w:rsid w:val="00AB718D"/>
    <w:rsid w:val="00AB7307"/>
    <w:rsid w:val="00AB7771"/>
    <w:rsid w:val="00AC12E5"/>
    <w:rsid w:val="00AC3523"/>
    <w:rsid w:val="00AD6659"/>
    <w:rsid w:val="00AD66DC"/>
    <w:rsid w:val="00AE003E"/>
    <w:rsid w:val="00AE521F"/>
    <w:rsid w:val="00AE5EA6"/>
    <w:rsid w:val="00AF0CC4"/>
    <w:rsid w:val="00AF15F9"/>
    <w:rsid w:val="00AF33C9"/>
    <w:rsid w:val="00AF58B6"/>
    <w:rsid w:val="00AF6DD6"/>
    <w:rsid w:val="00B13B1B"/>
    <w:rsid w:val="00B14712"/>
    <w:rsid w:val="00B17044"/>
    <w:rsid w:val="00B20937"/>
    <w:rsid w:val="00B21363"/>
    <w:rsid w:val="00B2392C"/>
    <w:rsid w:val="00B23B29"/>
    <w:rsid w:val="00B23C6F"/>
    <w:rsid w:val="00B263C5"/>
    <w:rsid w:val="00B30286"/>
    <w:rsid w:val="00B30653"/>
    <w:rsid w:val="00B33C5E"/>
    <w:rsid w:val="00B359F6"/>
    <w:rsid w:val="00B417E3"/>
    <w:rsid w:val="00B4373B"/>
    <w:rsid w:val="00B44E77"/>
    <w:rsid w:val="00B47D3E"/>
    <w:rsid w:val="00B511A7"/>
    <w:rsid w:val="00B51D31"/>
    <w:rsid w:val="00B53006"/>
    <w:rsid w:val="00B561A4"/>
    <w:rsid w:val="00B6053A"/>
    <w:rsid w:val="00B651A3"/>
    <w:rsid w:val="00B6660F"/>
    <w:rsid w:val="00B71B5A"/>
    <w:rsid w:val="00B71B7E"/>
    <w:rsid w:val="00B727B9"/>
    <w:rsid w:val="00B76439"/>
    <w:rsid w:val="00B84EF6"/>
    <w:rsid w:val="00B87BE0"/>
    <w:rsid w:val="00B904EE"/>
    <w:rsid w:val="00B918FB"/>
    <w:rsid w:val="00B950AC"/>
    <w:rsid w:val="00BA2B20"/>
    <w:rsid w:val="00BA3DF2"/>
    <w:rsid w:val="00BA449B"/>
    <w:rsid w:val="00BB04B4"/>
    <w:rsid w:val="00BB1409"/>
    <w:rsid w:val="00BB2051"/>
    <w:rsid w:val="00BB5D33"/>
    <w:rsid w:val="00BB6983"/>
    <w:rsid w:val="00BB7A02"/>
    <w:rsid w:val="00BB7B2E"/>
    <w:rsid w:val="00BC10B0"/>
    <w:rsid w:val="00BC305F"/>
    <w:rsid w:val="00BC3BD7"/>
    <w:rsid w:val="00BC619D"/>
    <w:rsid w:val="00BD120A"/>
    <w:rsid w:val="00BD22B4"/>
    <w:rsid w:val="00BD2434"/>
    <w:rsid w:val="00BD356F"/>
    <w:rsid w:val="00BD7B2D"/>
    <w:rsid w:val="00BE62CA"/>
    <w:rsid w:val="00BE788D"/>
    <w:rsid w:val="00BF0E54"/>
    <w:rsid w:val="00BF2E48"/>
    <w:rsid w:val="00BF4287"/>
    <w:rsid w:val="00BF5AB5"/>
    <w:rsid w:val="00C04E1C"/>
    <w:rsid w:val="00C06596"/>
    <w:rsid w:val="00C115C7"/>
    <w:rsid w:val="00C142A6"/>
    <w:rsid w:val="00C1668E"/>
    <w:rsid w:val="00C21CAA"/>
    <w:rsid w:val="00C22B49"/>
    <w:rsid w:val="00C26F85"/>
    <w:rsid w:val="00C33986"/>
    <w:rsid w:val="00C3538F"/>
    <w:rsid w:val="00C40A9F"/>
    <w:rsid w:val="00C433C8"/>
    <w:rsid w:val="00C45322"/>
    <w:rsid w:val="00C504A2"/>
    <w:rsid w:val="00C538BF"/>
    <w:rsid w:val="00C608A3"/>
    <w:rsid w:val="00C61724"/>
    <w:rsid w:val="00C66DB2"/>
    <w:rsid w:val="00C67D62"/>
    <w:rsid w:val="00C70F37"/>
    <w:rsid w:val="00C814EB"/>
    <w:rsid w:val="00C828CC"/>
    <w:rsid w:val="00C867AA"/>
    <w:rsid w:val="00C912B1"/>
    <w:rsid w:val="00C91B43"/>
    <w:rsid w:val="00C952C6"/>
    <w:rsid w:val="00C96451"/>
    <w:rsid w:val="00C973F1"/>
    <w:rsid w:val="00CA3B62"/>
    <w:rsid w:val="00CB1B79"/>
    <w:rsid w:val="00CB1C68"/>
    <w:rsid w:val="00CB25DF"/>
    <w:rsid w:val="00CB30F8"/>
    <w:rsid w:val="00CB51A1"/>
    <w:rsid w:val="00CB64E3"/>
    <w:rsid w:val="00CD11C9"/>
    <w:rsid w:val="00CD38EA"/>
    <w:rsid w:val="00CD4077"/>
    <w:rsid w:val="00CD6A5C"/>
    <w:rsid w:val="00CD7204"/>
    <w:rsid w:val="00CE4281"/>
    <w:rsid w:val="00CF71BA"/>
    <w:rsid w:val="00D066FB"/>
    <w:rsid w:val="00D113D7"/>
    <w:rsid w:val="00D12E84"/>
    <w:rsid w:val="00D269C2"/>
    <w:rsid w:val="00D308CF"/>
    <w:rsid w:val="00D3126B"/>
    <w:rsid w:val="00D33A08"/>
    <w:rsid w:val="00D373E2"/>
    <w:rsid w:val="00D4374A"/>
    <w:rsid w:val="00D44AD2"/>
    <w:rsid w:val="00D44EB5"/>
    <w:rsid w:val="00D46C34"/>
    <w:rsid w:val="00D537E3"/>
    <w:rsid w:val="00D54CEC"/>
    <w:rsid w:val="00D5652C"/>
    <w:rsid w:val="00D60DD3"/>
    <w:rsid w:val="00D64642"/>
    <w:rsid w:val="00D7734A"/>
    <w:rsid w:val="00D80951"/>
    <w:rsid w:val="00D8113D"/>
    <w:rsid w:val="00D81DC7"/>
    <w:rsid w:val="00D84D19"/>
    <w:rsid w:val="00D8671D"/>
    <w:rsid w:val="00D95DB7"/>
    <w:rsid w:val="00D96142"/>
    <w:rsid w:val="00DA62A8"/>
    <w:rsid w:val="00DB41AA"/>
    <w:rsid w:val="00DB619B"/>
    <w:rsid w:val="00DB7C5F"/>
    <w:rsid w:val="00DB7D85"/>
    <w:rsid w:val="00DC1AAF"/>
    <w:rsid w:val="00DC4DDC"/>
    <w:rsid w:val="00DC5451"/>
    <w:rsid w:val="00DD07D5"/>
    <w:rsid w:val="00DD2BF5"/>
    <w:rsid w:val="00DD2DE0"/>
    <w:rsid w:val="00DE1B5C"/>
    <w:rsid w:val="00DE274C"/>
    <w:rsid w:val="00DF0955"/>
    <w:rsid w:val="00DF207D"/>
    <w:rsid w:val="00DF459C"/>
    <w:rsid w:val="00DF4F98"/>
    <w:rsid w:val="00E01E6F"/>
    <w:rsid w:val="00E12993"/>
    <w:rsid w:val="00E13F93"/>
    <w:rsid w:val="00E14587"/>
    <w:rsid w:val="00E17B5A"/>
    <w:rsid w:val="00E17BFD"/>
    <w:rsid w:val="00E218B5"/>
    <w:rsid w:val="00E229E7"/>
    <w:rsid w:val="00E22A99"/>
    <w:rsid w:val="00E24601"/>
    <w:rsid w:val="00E30D5A"/>
    <w:rsid w:val="00E318BB"/>
    <w:rsid w:val="00E3426E"/>
    <w:rsid w:val="00E40F1B"/>
    <w:rsid w:val="00E439C8"/>
    <w:rsid w:val="00E50FA8"/>
    <w:rsid w:val="00E51ECD"/>
    <w:rsid w:val="00E523FA"/>
    <w:rsid w:val="00E603FC"/>
    <w:rsid w:val="00E61C1F"/>
    <w:rsid w:val="00E62DBB"/>
    <w:rsid w:val="00E64148"/>
    <w:rsid w:val="00E64E2B"/>
    <w:rsid w:val="00E65CBD"/>
    <w:rsid w:val="00E66941"/>
    <w:rsid w:val="00E670FD"/>
    <w:rsid w:val="00E7062D"/>
    <w:rsid w:val="00E726A7"/>
    <w:rsid w:val="00E72D6F"/>
    <w:rsid w:val="00E74030"/>
    <w:rsid w:val="00E8403D"/>
    <w:rsid w:val="00E9068B"/>
    <w:rsid w:val="00E90E0A"/>
    <w:rsid w:val="00E92595"/>
    <w:rsid w:val="00E92F92"/>
    <w:rsid w:val="00EA3EBD"/>
    <w:rsid w:val="00EA6391"/>
    <w:rsid w:val="00EB1130"/>
    <w:rsid w:val="00EB34C1"/>
    <w:rsid w:val="00EB4072"/>
    <w:rsid w:val="00EC27A8"/>
    <w:rsid w:val="00EC3AD4"/>
    <w:rsid w:val="00EC40EF"/>
    <w:rsid w:val="00EC524A"/>
    <w:rsid w:val="00ED1B45"/>
    <w:rsid w:val="00ED229A"/>
    <w:rsid w:val="00EE18D7"/>
    <w:rsid w:val="00EE1EF2"/>
    <w:rsid w:val="00EE2830"/>
    <w:rsid w:val="00EE4510"/>
    <w:rsid w:val="00EE452B"/>
    <w:rsid w:val="00EF042F"/>
    <w:rsid w:val="00EF1237"/>
    <w:rsid w:val="00EF2C9A"/>
    <w:rsid w:val="00EF32FD"/>
    <w:rsid w:val="00EF3558"/>
    <w:rsid w:val="00EF3D4C"/>
    <w:rsid w:val="00EF4004"/>
    <w:rsid w:val="00F005FD"/>
    <w:rsid w:val="00F044C4"/>
    <w:rsid w:val="00F06B61"/>
    <w:rsid w:val="00F10C73"/>
    <w:rsid w:val="00F11961"/>
    <w:rsid w:val="00F150BC"/>
    <w:rsid w:val="00F17401"/>
    <w:rsid w:val="00F220A2"/>
    <w:rsid w:val="00F22103"/>
    <w:rsid w:val="00F22378"/>
    <w:rsid w:val="00F22F13"/>
    <w:rsid w:val="00F23533"/>
    <w:rsid w:val="00F25689"/>
    <w:rsid w:val="00F25E7A"/>
    <w:rsid w:val="00F32751"/>
    <w:rsid w:val="00F34FDF"/>
    <w:rsid w:val="00F37564"/>
    <w:rsid w:val="00F3775A"/>
    <w:rsid w:val="00F37C54"/>
    <w:rsid w:val="00F4008A"/>
    <w:rsid w:val="00F40836"/>
    <w:rsid w:val="00F43245"/>
    <w:rsid w:val="00F46A5F"/>
    <w:rsid w:val="00F47458"/>
    <w:rsid w:val="00F47EA2"/>
    <w:rsid w:val="00F51390"/>
    <w:rsid w:val="00F52A18"/>
    <w:rsid w:val="00F53B6F"/>
    <w:rsid w:val="00F541EC"/>
    <w:rsid w:val="00F615F0"/>
    <w:rsid w:val="00F6531D"/>
    <w:rsid w:val="00F65B33"/>
    <w:rsid w:val="00F7445A"/>
    <w:rsid w:val="00F7606C"/>
    <w:rsid w:val="00F80A4C"/>
    <w:rsid w:val="00F834C9"/>
    <w:rsid w:val="00F86D70"/>
    <w:rsid w:val="00F87D8C"/>
    <w:rsid w:val="00F90444"/>
    <w:rsid w:val="00F93D35"/>
    <w:rsid w:val="00FA6F10"/>
    <w:rsid w:val="00FB0312"/>
    <w:rsid w:val="00FB3DF0"/>
    <w:rsid w:val="00FB4853"/>
    <w:rsid w:val="00FB4D35"/>
    <w:rsid w:val="00FB5262"/>
    <w:rsid w:val="00FB7F50"/>
    <w:rsid w:val="00FC4D65"/>
    <w:rsid w:val="00FD3A5B"/>
    <w:rsid w:val="00FD3BB5"/>
    <w:rsid w:val="00FD4603"/>
    <w:rsid w:val="00FE3BEE"/>
    <w:rsid w:val="00FE497B"/>
    <w:rsid w:val="00FF0C2F"/>
    <w:rsid w:val="00FF249F"/>
    <w:rsid w:val="00FF2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923809"/>
    <w:pPr>
      <w:keepNext/>
      <w:keepLines/>
      <w:numPr>
        <w:ilvl w:val="1"/>
        <w:numId w:val="5"/>
      </w:numPr>
      <w:spacing w:before="240"/>
      <w:outlineLvl w:val="1"/>
    </w:pPr>
    <w:rPr>
      <w:rFonts w:asciiTheme="majorHAnsi" w:eastAsiaTheme="majorEastAsia" w:hAnsiTheme="majorHAnsi" w:cstheme="majorBidi"/>
      <w:b/>
      <w:szCs w:val="26"/>
      <w:u w:val="single"/>
    </w:rPr>
  </w:style>
  <w:style w:type="paragraph" w:styleId="Heading3">
    <w:name w:val="heading 3"/>
    <w:basedOn w:val="Normal"/>
    <w:next w:val="Normal"/>
    <w:link w:val="Heading3Char"/>
    <w:uiPriority w:val="9"/>
    <w:unhideWhenUsed/>
    <w:qFormat/>
    <w:rsid w:val="007E70E6"/>
    <w:pPr>
      <w:keepNext/>
      <w:keepLines/>
      <w:numPr>
        <w:ilvl w:val="2"/>
        <w:numId w:val="6"/>
      </w:numPr>
      <w:spacing w:before="160"/>
      <w:ind w:left="36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semiHidden/>
    <w:unhideWhenUsed/>
    <w:qFormat/>
    <w:rsid w:val="00A87CDD"/>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923809"/>
    <w:rPr>
      <w:rFonts w:asciiTheme="majorHAnsi" w:eastAsiaTheme="majorEastAsia" w:hAnsiTheme="majorHAnsi" w:cstheme="majorBidi"/>
      <w:b/>
      <w:sz w:val="24"/>
      <w:szCs w:val="26"/>
      <w:u w:val="single"/>
    </w:rPr>
  </w:style>
  <w:style w:type="character" w:styleId="FootnoteReference">
    <w:name w:val="footnote reference"/>
    <w:uiPriority w:val="99"/>
    <w:rsid w:val="008050AD"/>
    <w:rPr>
      <w:vertAlign w:val="superscript"/>
    </w:rPr>
  </w:style>
  <w:style w:type="paragraph" w:styleId="FootnoteText">
    <w:name w:val="footnote text"/>
    <w:basedOn w:val="Normal"/>
    <w:link w:val="FootnoteTextChar"/>
    <w:uiPriority w:val="99"/>
    <w:rsid w:val="008050AD"/>
    <w:pPr>
      <w:widowControl w:val="0"/>
      <w:autoSpaceDE w:val="0"/>
      <w:autoSpaceDN w:val="0"/>
      <w:adjustRightInd w:val="0"/>
      <w:spacing w:after="60"/>
      <w:ind w:left="187" w:hanging="187"/>
    </w:pPr>
    <w:rPr>
      <w:sz w:val="20"/>
      <w:szCs w:val="20"/>
    </w:rPr>
  </w:style>
  <w:style w:type="character" w:customStyle="1" w:styleId="FootnoteTextChar">
    <w:name w:val="Footnote Text Char"/>
    <w:basedOn w:val="DefaultParagraphFont"/>
    <w:link w:val="FootnoteText"/>
    <w:uiPriority w:val="99"/>
    <w:rsid w:val="008050A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p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p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7E70E6"/>
    <w:rPr>
      <w:rFonts w:asciiTheme="majorHAnsi" w:eastAsiaTheme="majorEastAsia" w:hAnsiTheme="majorHAnsi" w:cstheme="majorBidi"/>
      <w:sz w:val="24"/>
      <w:szCs w:val="24"/>
      <w:u w:val="single"/>
    </w:rPr>
  </w:style>
  <w:style w:type="paragraph" w:styleId="Caption">
    <w:name w:val="caption"/>
    <w:basedOn w:val="Normal"/>
    <w:next w:val="Normal"/>
    <w:link w:val="CaptionChar"/>
    <w:uiPriority w:val="35"/>
    <w:unhideWhenUsed/>
    <w:qFormat/>
    <w:rsid w:val="00A87CDD"/>
    <w:pPr>
      <w:keepNext/>
      <w:keepLines/>
      <w:spacing w:before="120" w:after="120"/>
      <w:jc w:val="center"/>
    </w:pPr>
    <w:rPr>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Survey,Bullet List,Issue Action POC,List Paragraph1,3,POCG Table Text,Dot pt,F5 List Paragraph,List Paragraph Char Char Char,Indicator Text,Colorful List - Accent 11,Numbered Para 1,Bullet 1,Bullet Points,List Paragraph2"/>
    <w:basedOn w:val="Normal"/>
    <w:link w:val="ListParagraphChar"/>
    <w:uiPriority w:val="34"/>
    <w:qFormat/>
    <w:rsid w:val="00A87CDD"/>
    <w:pPr>
      <w:ind w:left="360"/>
      <w:contextualSpacing/>
    </w:pPr>
  </w:style>
  <w:style w:type="paragraph" w:styleId="ListBullet">
    <w:name w:val="List Bullet"/>
    <w:basedOn w:val="Normal"/>
    <w:uiPriority w:val="99"/>
    <w:unhideWhenUsed/>
    <w:rsid w:val="00A87CDD"/>
    <w:pPr>
      <w:numPr>
        <w:numId w:val="4"/>
      </w:numPr>
      <w:spacing w:before="60" w:after="60"/>
    </w:pPr>
  </w:style>
  <w:style w:type="character" w:styleId="CommentReference">
    <w:name w:val="annotation reference"/>
    <w:uiPriority w:val="99"/>
    <w:rsid w:val="00A87CDD"/>
    <w:rPr>
      <w:sz w:val="16"/>
      <w:szCs w:val="16"/>
    </w:rPr>
  </w:style>
  <w:style w:type="paragraph" w:styleId="CommentText">
    <w:name w:val="annotation text"/>
    <w:basedOn w:val="Normal"/>
    <w:link w:val="CommentTextChar"/>
    <w:uiPriority w:val="99"/>
    <w:rsid w:val="00A87CDD"/>
    <w:pPr>
      <w:widowControl w:val="0"/>
      <w:autoSpaceDE w:val="0"/>
      <w:autoSpaceDN w:val="0"/>
      <w:adjustRightInd w:val="0"/>
      <w:spacing w:before="120" w:after="120"/>
    </w:pPr>
    <w:rPr>
      <w:szCs w:val="20"/>
    </w:rPr>
  </w:style>
  <w:style w:type="character" w:customStyle="1" w:styleId="CommentTextChar">
    <w:name w:val="Comment Text Char"/>
    <w:basedOn w:val="DefaultParagraphFont"/>
    <w:link w:val="CommentText"/>
    <w:uiPriority w:val="99"/>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semiHidden/>
    <w:rsid w:val="00A87CD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15274D"/>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45C96"/>
    <w:rPr>
      <w:color w:val="0563C1"/>
      <w:u w:val="single"/>
    </w:rPr>
  </w:style>
  <w:style w:type="character" w:styleId="FollowedHyperlink">
    <w:name w:val="FollowedHyperlink"/>
    <w:basedOn w:val="DefaultParagraphFont"/>
    <w:uiPriority w:val="99"/>
    <w:semiHidden/>
    <w:unhideWhenUsed/>
    <w:rsid w:val="00745C96"/>
    <w:rPr>
      <w:color w:val="954F72" w:themeColor="followedHyperlink"/>
      <w:u w:val="single"/>
    </w:rPr>
  </w:style>
  <w:style w:type="paragraph" w:customStyle="1" w:styleId="Default">
    <w:name w:val="Default"/>
    <w:rsid w:val="008404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840494"/>
    <w:pPr>
      <w:spacing w:line="911" w:lineRule="atLeast"/>
    </w:pPr>
    <w:rPr>
      <w:color w:val="auto"/>
    </w:rPr>
  </w:style>
  <w:style w:type="paragraph" w:customStyle="1" w:styleId="DocTitle">
    <w:name w:val="Doc Title"/>
    <w:rsid w:val="00840494"/>
    <w:pPr>
      <w:spacing w:before="400" w:after="240" w:line="240" w:lineRule="auto"/>
      <w:ind w:left="1354"/>
      <w:jc w:val="right"/>
    </w:pPr>
    <w:rPr>
      <w:rFonts w:ascii="Arial Narrow" w:eastAsia="Times New Roman" w:hAnsi="Arial Narrow" w:cs="Times New Roman"/>
      <w:b/>
      <w:sz w:val="46"/>
      <w:szCs w:val="46"/>
    </w:rPr>
  </w:style>
  <w:style w:type="paragraph" w:customStyle="1" w:styleId="CustomerProgram">
    <w:name w:val="CustomerProgram"/>
    <w:basedOn w:val="Normal"/>
    <w:link w:val="CustomerProgramChar"/>
    <w:rsid w:val="00840494"/>
    <w:pPr>
      <w:spacing w:before="400"/>
      <w:jc w:val="right"/>
    </w:pPr>
    <w:rPr>
      <w:rFonts w:ascii="Arial Narrow" w:hAnsi="Arial Narrow"/>
      <w:b/>
      <w:sz w:val="32"/>
    </w:rPr>
  </w:style>
  <w:style w:type="character" w:customStyle="1" w:styleId="CustomerProgramChar">
    <w:name w:val="CustomerProgram Char"/>
    <w:basedOn w:val="DefaultParagraphFont"/>
    <w:link w:val="CustomerProgram"/>
    <w:rsid w:val="00840494"/>
    <w:rPr>
      <w:rFonts w:ascii="Arial Narrow" w:eastAsia="Times New Roman" w:hAnsi="Arial Narrow" w:cs="Times New Roman"/>
      <w:b/>
      <w:sz w:val="32"/>
      <w:szCs w:val="24"/>
    </w:rPr>
  </w:style>
  <w:style w:type="paragraph" w:styleId="NoSpacing">
    <w:name w:val="No Spacing"/>
    <w:uiPriority w:val="1"/>
    <w:qFormat/>
    <w:rsid w:val="00840494"/>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Survey Char,Bullet List Char,Issue Action POC Char,List Paragraph1 Char,3 Char,POCG Table Text Char,Dot pt Char,F5 List Paragraph Char,List Paragraph Char Char Char Char,Indicator Text Char,Numbered Para 1 Char"/>
    <w:link w:val="ListParagraph"/>
    <w:uiPriority w:val="34"/>
    <w:locked/>
    <w:rsid w:val="00FB4853"/>
    <w:rPr>
      <w:sz w:val="24"/>
    </w:rPr>
  </w:style>
  <w:style w:type="paragraph" w:styleId="ListNumber">
    <w:name w:val="List Number"/>
    <w:basedOn w:val="Normal"/>
    <w:uiPriority w:val="99"/>
    <w:rsid w:val="00FB4853"/>
    <w:pPr>
      <w:widowControl w:val="0"/>
      <w:numPr>
        <w:numId w:val="12"/>
      </w:numPr>
      <w:autoSpaceDE w:val="0"/>
      <w:autoSpaceDN w:val="0"/>
      <w:adjustRightInd w:val="0"/>
      <w:spacing w:after="240"/>
    </w:pPr>
  </w:style>
  <w:style w:type="paragraph" w:customStyle="1" w:styleId="responses">
    <w:name w:val="responses"/>
    <w:basedOn w:val="Normal"/>
    <w:qFormat/>
    <w:rsid w:val="00916AEC"/>
    <w:pPr>
      <w:spacing w:before="200" w:after="200"/>
      <w:ind w:left="720"/>
      <w:contextualSpacing/>
    </w:pPr>
  </w:style>
  <w:style w:type="paragraph" w:styleId="BodyText2">
    <w:name w:val="Body Text 2"/>
    <w:basedOn w:val="Normal"/>
    <w:link w:val="BodyText2Char"/>
    <w:uiPriority w:val="99"/>
    <w:unhideWhenUsed/>
    <w:rsid w:val="007E70E6"/>
    <w:pPr>
      <w:spacing w:before="120" w:after="120"/>
      <w:ind w:left="360"/>
    </w:pPr>
  </w:style>
  <w:style w:type="character" w:customStyle="1" w:styleId="BodyText2Char">
    <w:name w:val="Body Text 2 Char"/>
    <w:basedOn w:val="DefaultParagraphFont"/>
    <w:link w:val="BodyText2"/>
    <w:uiPriority w:val="99"/>
    <w:rsid w:val="007E70E6"/>
    <w:rPr>
      <w:sz w:val="24"/>
    </w:rPr>
  </w:style>
  <w:style w:type="paragraph" w:customStyle="1" w:styleId="alignleft">
    <w:name w:val="alignleft"/>
    <w:basedOn w:val="Normal"/>
    <w:rsid w:val="00262F20"/>
    <w:pPr>
      <w:spacing w:before="100" w:beforeAutospacing="1" w:after="100" w:afterAutospacing="1"/>
    </w:pPr>
  </w:style>
  <w:style w:type="paragraph" w:styleId="Revision">
    <w:name w:val="Revision"/>
    <w:hidden/>
    <w:uiPriority w:val="99"/>
    <w:semiHidden/>
    <w:rsid w:val="00215FC6"/>
    <w:pPr>
      <w:spacing w:after="0" w:line="240" w:lineRule="auto"/>
    </w:pPr>
    <w:rPr>
      <w:sz w:val="24"/>
    </w:rPr>
  </w:style>
  <w:style w:type="paragraph" w:customStyle="1" w:styleId="BackMatterHeading">
    <w:name w:val="Back Matter Heading"/>
    <w:next w:val="Normal"/>
    <w:qFormat/>
    <w:rsid w:val="00352D1B"/>
    <w:pPr>
      <w:keepNext/>
      <w:spacing w:after="480" w:line="240" w:lineRule="auto"/>
      <w:jc w:val="center"/>
    </w:pPr>
    <w:rPr>
      <w:rFonts w:ascii="Arial Narrow" w:eastAsia="Times New Roman" w:hAnsi="Arial Narrow" w:cs="Times New Roman"/>
      <w:b/>
      <w:sz w:val="36"/>
      <w:szCs w:val="24"/>
    </w:rPr>
  </w:style>
  <w:style w:type="paragraph" w:customStyle="1" w:styleId="bu">
    <w:name w:val="bu"/>
    <w:basedOn w:val="BodyText"/>
    <w:qFormat/>
    <w:rsid w:val="003102AF"/>
    <w:pPr>
      <w:numPr>
        <w:numId w:val="20"/>
      </w:numPr>
      <w:spacing w:before="100" w:after="100"/>
    </w:pPr>
    <w:rPr>
      <w:rFonts w:eastAsia="MS Mincho"/>
      <w:color w:val="000000" w:themeColor="text1"/>
    </w:rPr>
  </w:style>
  <w:style w:type="character" w:customStyle="1" w:styleId="UnresolvedMention1">
    <w:name w:val="Unresolved Mention1"/>
    <w:basedOn w:val="DefaultParagraphFont"/>
    <w:uiPriority w:val="99"/>
    <w:semiHidden/>
    <w:unhideWhenUsed/>
    <w:rsid w:val="00074449"/>
    <w:rPr>
      <w:color w:val="808080"/>
      <w:shd w:val="clear" w:color="auto" w:fill="E6E6E6"/>
    </w:rPr>
  </w:style>
  <w:style w:type="paragraph" w:customStyle="1" w:styleId="EndNoteBibliography">
    <w:name w:val="EndNote Bibliography"/>
    <w:basedOn w:val="Normal"/>
    <w:link w:val="EndNoteBibliographyChar"/>
    <w:rsid w:val="00870476"/>
    <w:pPr>
      <w:keepLines/>
      <w:spacing w:after="60"/>
      <w:ind w:left="547" w:hanging="547"/>
    </w:pPr>
    <w:rPr>
      <w:rFonts w:eastAsiaTheme="minorEastAsia"/>
      <w:noProof/>
    </w:rPr>
  </w:style>
  <w:style w:type="character" w:customStyle="1" w:styleId="EndNoteBibliographyChar">
    <w:name w:val="EndNote Bibliography Char"/>
    <w:basedOn w:val="DefaultParagraphFont"/>
    <w:link w:val="EndNoteBibliography"/>
    <w:rsid w:val="00870476"/>
    <w:rPr>
      <w:rFonts w:ascii="Times New Roman" w:eastAsiaTheme="minorEastAsia" w:hAnsi="Times New Roman" w:cs="Times New Roman"/>
      <w:noProof/>
      <w:sz w:val="24"/>
    </w:rPr>
  </w:style>
  <w:style w:type="paragraph" w:styleId="EndnoteText">
    <w:name w:val="endnote text"/>
    <w:basedOn w:val="Normal"/>
    <w:link w:val="EndnoteTextChar"/>
    <w:uiPriority w:val="99"/>
    <w:semiHidden/>
    <w:unhideWhenUsed/>
    <w:rsid w:val="005D5AB4"/>
    <w:rPr>
      <w:sz w:val="20"/>
      <w:szCs w:val="20"/>
    </w:rPr>
  </w:style>
  <w:style w:type="character" w:customStyle="1" w:styleId="EndnoteTextChar">
    <w:name w:val="Endnote Text Char"/>
    <w:basedOn w:val="DefaultParagraphFont"/>
    <w:link w:val="EndnoteText"/>
    <w:uiPriority w:val="99"/>
    <w:semiHidden/>
    <w:rsid w:val="005D5AB4"/>
    <w:rPr>
      <w:sz w:val="20"/>
      <w:szCs w:val="20"/>
    </w:rPr>
  </w:style>
  <w:style w:type="character" w:styleId="EndnoteReference">
    <w:name w:val="endnote reference"/>
    <w:basedOn w:val="DefaultParagraphFont"/>
    <w:uiPriority w:val="99"/>
    <w:semiHidden/>
    <w:unhideWhenUsed/>
    <w:rsid w:val="005D5AB4"/>
    <w:rPr>
      <w:vertAlign w:val="superscript"/>
    </w:rPr>
  </w:style>
  <w:style w:type="character" w:customStyle="1" w:styleId="UnresolvedMention2">
    <w:name w:val="Unresolved Mention2"/>
    <w:basedOn w:val="DefaultParagraphFont"/>
    <w:uiPriority w:val="99"/>
    <w:semiHidden/>
    <w:unhideWhenUsed/>
    <w:rsid w:val="00903B7E"/>
    <w:rPr>
      <w:color w:val="808080"/>
      <w:shd w:val="clear" w:color="auto" w:fill="E6E6E6"/>
    </w:rPr>
  </w:style>
  <w:style w:type="character" w:styleId="Emphasis">
    <w:name w:val="Emphasis"/>
    <w:basedOn w:val="DefaultParagraphFont"/>
    <w:uiPriority w:val="20"/>
    <w:qFormat/>
    <w:rsid w:val="008C7FEE"/>
    <w:rPr>
      <w:b/>
      <w:bCs/>
      <w:i w:val="0"/>
      <w:iCs w:val="0"/>
    </w:rPr>
  </w:style>
  <w:style w:type="character" w:customStyle="1" w:styleId="st1">
    <w:name w:val="st1"/>
    <w:basedOn w:val="DefaultParagraphFont"/>
    <w:rsid w:val="008C7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923809"/>
    <w:pPr>
      <w:keepNext/>
      <w:keepLines/>
      <w:numPr>
        <w:ilvl w:val="1"/>
        <w:numId w:val="5"/>
      </w:numPr>
      <w:spacing w:before="240"/>
      <w:outlineLvl w:val="1"/>
    </w:pPr>
    <w:rPr>
      <w:rFonts w:asciiTheme="majorHAnsi" w:eastAsiaTheme="majorEastAsia" w:hAnsiTheme="majorHAnsi" w:cstheme="majorBidi"/>
      <w:b/>
      <w:szCs w:val="26"/>
      <w:u w:val="single"/>
    </w:rPr>
  </w:style>
  <w:style w:type="paragraph" w:styleId="Heading3">
    <w:name w:val="heading 3"/>
    <w:basedOn w:val="Normal"/>
    <w:next w:val="Normal"/>
    <w:link w:val="Heading3Char"/>
    <w:uiPriority w:val="9"/>
    <w:unhideWhenUsed/>
    <w:qFormat/>
    <w:rsid w:val="007E70E6"/>
    <w:pPr>
      <w:keepNext/>
      <w:keepLines/>
      <w:numPr>
        <w:ilvl w:val="2"/>
        <w:numId w:val="6"/>
      </w:numPr>
      <w:spacing w:before="160"/>
      <w:ind w:left="36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semiHidden/>
    <w:unhideWhenUsed/>
    <w:qFormat/>
    <w:rsid w:val="00A87CDD"/>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923809"/>
    <w:rPr>
      <w:rFonts w:asciiTheme="majorHAnsi" w:eastAsiaTheme="majorEastAsia" w:hAnsiTheme="majorHAnsi" w:cstheme="majorBidi"/>
      <w:b/>
      <w:sz w:val="24"/>
      <w:szCs w:val="26"/>
      <w:u w:val="single"/>
    </w:rPr>
  </w:style>
  <w:style w:type="character" w:styleId="FootnoteReference">
    <w:name w:val="footnote reference"/>
    <w:uiPriority w:val="99"/>
    <w:rsid w:val="008050AD"/>
    <w:rPr>
      <w:vertAlign w:val="superscript"/>
    </w:rPr>
  </w:style>
  <w:style w:type="paragraph" w:styleId="FootnoteText">
    <w:name w:val="footnote text"/>
    <w:basedOn w:val="Normal"/>
    <w:link w:val="FootnoteTextChar"/>
    <w:uiPriority w:val="99"/>
    <w:rsid w:val="008050AD"/>
    <w:pPr>
      <w:widowControl w:val="0"/>
      <w:autoSpaceDE w:val="0"/>
      <w:autoSpaceDN w:val="0"/>
      <w:adjustRightInd w:val="0"/>
      <w:spacing w:after="60"/>
      <w:ind w:left="187" w:hanging="187"/>
    </w:pPr>
    <w:rPr>
      <w:sz w:val="20"/>
      <w:szCs w:val="20"/>
    </w:rPr>
  </w:style>
  <w:style w:type="character" w:customStyle="1" w:styleId="FootnoteTextChar">
    <w:name w:val="Footnote Text Char"/>
    <w:basedOn w:val="DefaultParagraphFont"/>
    <w:link w:val="FootnoteText"/>
    <w:uiPriority w:val="99"/>
    <w:rsid w:val="008050A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p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p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7E70E6"/>
    <w:rPr>
      <w:rFonts w:asciiTheme="majorHAnsi" w:eastAsiaTheme="majorEastAsia" w:hAnsiTheme="majorHAnsi" w:cstheme="majorBidi"/>
      <w:sz w:val="24"/>
      <w:szCs w:val="24"/>
      <w:u w:val="single"/>
    </w:rPr>
  </w:style>
  <w:style w:type="paragraph" w:styleId="Caption">
    <w:name w:val="caption"/>
    <w:basedOn w:val="Normal"/>
    <w:next w:val="Normal"/>
    <w:link w:val="CaptionChar"/>
    <w:uiPriority w:val="35"/>
    <w:unhideWhenUsed/>
    <w:qFormat/>
    <w:rsid w:val="00A87CDD"/>
    <w:pPr>
      <w:keepNext/>
      <w:keepLines/>
      <w:spacing w:before="120" w:after="120"/>
      <w:jc w:val="center"/>
    </w:pPr>
    <w:rPr>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Survey,Bullet List,Issue Action POC,List Paragraph1,3,POCG Table Text,Dot pt,F5 List Paragraph,List Paragraph Char Char Char,Indicator Text,Colorful List - Accent 11,Numbered Para 1,Bullet 1,Bullet Points,List Paragraph2"/>
    <w:basedOn w:val="Normal"/>
    <w:link w:val="ListParagraphChar"/>
    <w:uiPriority w:val="34"/>
    <w:qFormat/>
    <w:rsid w:val="00A87CDD"/>
    <w:pPr>
      <w:ind w:left="360"/>
      <w:contextualSpacing/>
    </w:pPr>
  </w:style>
  <w:style w:type="paragraph" w:styleId="ListBullet">
    <w:name w:val="List Bullet"/>
    <w:basedOn w:val="Normal"/>
    <w:uiPriority w:val="99"/>
    <w:unhideWhenUsed/>
    <w:rsid w:val="00A87CDD"/>
    <w:pPr>
      <w:numPr>
        <w:numId w:val="4"/>
      </w:numPr>
      <w:spacing w:before="60" w:after="60"/>
    </w:pPr>
  </w:style>
  <w:style w:type="character" w:styleId="CommentReference">
    <w:name w:val="annotation reference"/>
    <w:uiPriority w:val="99"/>
    <w:rsid w:val="00A87CDD"/>
    <w:rPr>
      <w:sz w:val="16"/>
      <w:szCs w:val="16"/>
    </w:rPr>
  </w:style>
  <w:style w:type="paragraph" w:styleId="CommentText">
    <w:name w:val="annotation text"/>
    <w:basedOn w:val="Normal"/>
    <w:link w:val="CommentTextChar"/>
    <w:uiPriority w:val="99"/>
    <w:rsid w:val="00A87CDD"/>
    <w:pPr>
      <w:widowControl w:val="0"/>
      <w:autoSpaceDE w:val="0"/>
      <w:autoSpaceDN w:val="0"/>
      <w:adjustRightInd w:val="0"/>
      <w:spacing w:before="120" w:after="120"/>
    </w:pPr>
    <w:rPr>
      <w:szCs w:val="20"/>
    </w:rPr>
  </w:style>
  <w:style w:type="character" w:customStyle="1" w:styleId="CommentTextChar">
    <w:name w:val="Comment Text Char"/>
    <w:basedOn w:val="DefaultParagraphFont"/>
    <w:link w:val="CommentText"/>
    <w:uiPriority w:val="99"/>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semiHidden/>
    <w:rsid w:val="00A87CD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15274D"/>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45C96"/>
    <w:rPr>
      <w:color w:val="0563C1"/>
      <w:u w:val="single"/>
    </w:rPr>
  </w:style>
  <w:style w:type="character" w:styleId="FollowedHyperlink">
    <w:name w:val="FollowedHyperlink"/>
    <w:basedOn w:val="DefaultParagraphFont"/>
    <w:uiPriority w:val="99"/>
    <w:semiHidden/>
    <w:unhideWhenUsed/>
    <w:rsid w:val="00745C96"/>
    <w:rPr>
      <w:color w:val="954F72" w:themeColor="followedHyperlink"/>
      <w:u w:val="single"/>
    </w:rPr>
  </w:style>
  <w:style w:type="paragraph" w:customStyle="1" w:styleId="Default">
    <w:name w:val="Default"/>
    <w:rsid w:val="008404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840494"/>
    <w:pPr>
      <w:spacing w:line="911" w:lineRule="atLeast"/>
    </w:pPr>
    <w:rPr>
      <w:color w:val="auto"/>
    </w:rPr>
  </w:style>
  <w:style w:type="paragraph" w:customStyle="1" w:styleId="DocTitle">
    <w:name w:val="Doc Title"/>
    <w:rsid w:val="00840494"/>
    <w:pPr>
      <w:spacing w:before="400" w:after="240" w:line="240" w:lineRule="auto"/>
      <w:ind w:left="1354"/>
      <w:jc w:val="right"/>
    </w:pPr>
    <w:rPr>
      <w:rFonts w:ascii="Arial Narrow" w:eastAsia="Times New Roman" w:hAnsi="Arial Narrow" w:cs="Times New Roman"/>
      <w:b/>
      <w:sz w:val="46"/>
      <w:szCs w:val="46"/>
    </w:rPr>
  </w:style>
  <w:style w:type="paragraph" w:customStyle="1" w:styleId="CustomerProgram">
    <w:name w:val="CustomerProgram"/>
    <w:basedOn w:val="Normal"/>
    <w:link w:val="CustomerProgramChar"/>
    <w:rsid w:val="00840494"/>
    <w:pPr>
      <w:spacing w:before="400"/>
      <w:jc w:val="right"/>
    </w:pPr>
    <w:rPr>
      <w:rFonts w:ascii="Arial Narrow" w:hAnsi="Arial Narrow"/>
      <w:b/>
      <w:sz w:val="32"/>
    </w:rPr>
  </w:style>
  <w:style w:type="character" w:customStyle="1" w:styleId="CustomerProgramChar">
    <w:name w:val="CustomerProgram Char"/>
    <w:basedOn w:val="DefaultParagraphFont"/>
    <w:link w:val="CustomerProgram"/>
    <w:rsid w:val="00840494"/>
    <w:rPr>
      <w:rFonts w:ascii="Arial Narrow" w:eastAsia="Times New Roman" w:hAnsi="Arial Narrow" w:cs="Times New Roman"/>
      <w:b/>
      <w:sz w:val="32"/>
      <w:szCs w:val="24"/>
    </w:rPr>
  </w:style>
  <w:style w:type="paragraph" w:styleId="NoSpacing">
    <w:name w:val="No Spacing"/>
    <w:uiPriority w:val="1"/>
    <w:qFormat/>
    <w:rsid w:val="00840494"/>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Survey Char,Bullet List Char,Issue Action POC Char,List Paragraph1 Char,3 Char,POCG Table Text Char,Dot pt Char,F5 List Paragraph Char,List Paragraph Char Char Char Char,Indicator Text Char,Numbered Para 1 Char"/>
    <w:link w:val="ListParagraph"/>
    <w:uiPriority w:val="34"/>
    <w:locked/>
    <w:rsid w:val="00FB4853"/>
    <w:rPr>
      <w:sz w:val="24"/>
    </w:rPr>
  </w:style>
  <w:style w:type="paragraph" w:styleId="ListNumber">
    <w:name w:val="List Number"/>
    <w:basedOn w:val="Normal"/>
    <w:uiPriority w:val="99"/>
    <w:rsid w:val="00FB4853"/>
    <w:pPr>
      <w:widowControl w:val="0"/>
      <w:numPr>
        <w:numId w:val="12"/>
      </w:numPr>
      <w:autoSpaceDE w:val="0"/>
      <w:autoSpaceDN w:val="0"/>
      <w:adjustRightInd w:val="0"/>
      <w:spacing w:after="240"/>
    </w:pPr>
  </w:style>
  <w:style w:type="paragraph" w:customStyle="1" w:styleId="responses">
    <w:name w:val="responses"/>
    <w:basedOn w:val="Normal"/>
    <w:qFormat/>
    <w:rsid w:val="00916AEC"/>
    <w:pPr>
      <w:spacing w:before="200" w:after="200"/>
      <w:ind w:left="720"/>
      <w:contextualSpacing/>
    </w:pPr>
  </w:style>
  <w:style w:type="paragraph" w:styleId="BodyText2">
    <w:name w:val="Body Text 2"/>
    <w:basedOn w:val="Normal"/>
    <w:link w:val="BodyText2Char"/>
    <w:uiPriority w:val="99"/>
    <w:unhideWhenUsed/>
    <w:rsid w:val="007E70E6"/>
    <w:pPr>
      <w:spacing w:before="120" w:after="120"/>
      <w:ind w:left="360"/>
    </w:pPr>
  </w:style>
  <w:style w:type="character" w:customStyle="1" w:styleId="BodyText2Char">
    <w:name w:val="Body Text 2 Char"/>
    <w:basedOn w:val="DefaultParagraphFont"/>
    <w:link w:val="BodyText2"/>
    <w:uiPriority w:val="99"/>
    <w:rsid w:val="007E70E6"/>
    <w:rPr>
      <w:sz w:val="24"/>
    </w:rPr>
  </w:style>
  <w:style w:type="paragraph" w:customStyle="1" w:styleId="alignleft">
    <w:name w:val="alignleft"/>
    <w:basedOn w:val="Normal"/>
    <w:rsid w:val="00262F20"/>
    <w:pPr>
      <w:spacing w:before="100" w:beforeAutospacing="1" w:after="100" w:afterAutospacing="1"/>
    </w:pPr>
  </w:style>
  <w:style w:type="paragraph" w:styleId="Revision">
    <w:name w:val="Revision"/>
    <w:hidden/>
    <w:uiPriority w:val="99"/>
    <w:semiHidden/>
    <w:rsid w:val="00215FC6"/>
    <w:pPr>
      <w:spacing w:after="0" w:line="240" w:lineRule="auto"/>
    </w:pPr>
    <w:rPr>
      <w:sz w:val="24"/>
    </w:rPr>
  </w:style>
  <w:style w:type="paragraph" w:customStyle="1" w:styleId="BackMatterHeading">
    <w:name w:val="Back Matter Heading"/>
    <w:next w:val="Normal"/>
    <w:qFormat/>
    <w:rsid w:val="00352D1B"/>
    <w:pPr>
      <w:keepNext/>
      <w:spacing w:after="480" w:line="240" w:lineRule="auto"/>
      <w:jc w:val="center"/>
    </w:pPr>
    <w:rPr>
      <w:rFonts w:ascii="Arial Narrow" w:eastAsia="Times New Roman" w:hAnsi="Arial Narrow" w:cs="Times New Roman"/>
      <w:b/>
      <w:sz w:val="36"/>
      <w:szCs w:val="24"/>
    </w:rPr>
  </w:style>
  <w:style w:type="paragraph" w:customStyle="1" w:styleId="bu">
    <w:name w:val="bu"/>
    <w:basedOn w:val="BodyText"/>
    <w:qFormat/>
    <w:rsid w:val="003102AF"/>
    <w:pPr>
      <w:numPr>
        <w:numId w:val="20"/>
      </w:numPr>
      <w:spacing w:before="100" w:after="100"/>
    </w:pPr>
    <w:rPr>
      <w:rFonts w:eastAsia="MS Mincho"/>
      <w:color w:val="000000" w:themeColor="text1"/>
    </w:rPr>
  </w:style>
  <w:style w:type="character" w:customStyle="1" w:styleId="UnresolvedMention1">
    <w:name w:val="Unresolved Mention1"/>
    <w:basedOn w:val="DefaultParagraphFont"/>
    <w:uiPriority w:val="99"/>
    <w:semiHidden/>
    <w:unhideWhenUsed/>
    <w:rsid w:val="00074449"/>
    <w:rPr>
      <w:color w:val="808080"/>
      <w:shd w:val="clear" w:color="auto" w:fill="E6E6E6"/>
    </w:rPr>
  </w:style>
  <w:style w:type="paragraph" w:customStyle="1" w:styleId="EndNoteBibliography">
    <w:name w:val="EndNote Bibliography"/>
    <w:basedOn w:val="Normal"/>
    <w:link w:val="EndNoteBibliographyChar"/>
    <w:rsid w:val="00870476"/>
    <w:pPr>
      <w:keepLines/>
      <w:spacing w:after="60"/>
      <w:ind w:left="547" w:hanging="547"/>
    </w:pPr>
    <w:rPr>
      <w:rFonts w:eastAsiaTheme="minorEastAsia"/>
      <w:noProof/>
    </w:rPr>
  </w:style>
  <w:style w:type="character" w:customStyle="1" w:styleId="EndNoteBibliographyChar">
    <w:name w:val="EndNote Bibliography Char"/>
    <w:basedOn w:val="DefaultParagraphFont"/>
    <w:link w:val="EndNoteBibliography"/>
    <w:rsid w:val="00870476"/>
    <w:rPr>
      <w:rFonts w:ascii="Times New Roman" w:eastAsiaTheme="minorEastAsia" w:hAnsi="Times New Roman" w:cs="Times New Roman"/>
      <w:noProof/>
      <w:sz w:val="24"/>
    </w:rPr>
  </w:style>
  <w:style w:type="paragraph" w:styleId="EndnoteText">
    <w:name w:val="endnote text"/>
    <w:basedOn w:val="Normal"/>
    <w:link w:val="EndnoteTextChar"/>
    <w:uiPriority w:val="99"/>
    <w:semiHidden/>
    <w:unhideWhenUsed/>
    <w:rsid w:val="005D5AB4"/>
    <w:rPr>
      <w:sz w:val="20"/>
      <w:szCs w:val="20"/>
    </w:rPr>
  </w:style>
  <w:style w:type="character" w:customStyle="1" w:styleId="EndnoteTextChar">
    <w:name w:val="Endnote Text Char"/>
    <w:basedOn w:val="DefaultParagraphFont"/>
    <w:link w:val="EndnoteText"/>
    <w:uiPriority w:val="99"/>
    <w:semiHidden/>
    <w:rsid w:val="005D5AB4"/>
    <w:rPr>
      <w:sz w:val="20"/>
      <w:szCs w:val="20"/>
    </w:rPr>
  </w:style>
  <w:style w:type="character" w:styleId="EndnoteReference">
    <w:name w:val="endnote reference"/>
    <w:basedOn w:val="DefaultParagraphFont"/>
    <w:uiPriority w:val="99"/>
    <w:semiHidden/>
    <w:unhideWhenUsed/>
    <w:rsid w:val="005D5AB4"/>
    <w:rPr>
      <w:vertAlign w:val="superscript"/>
    </w:rPr>
  </w:style>
  <w:style w:type="character" w:customStyle="1" w:styleId="UnresolvedMention2">
    <w:name w:val="Unresolved Mention2"/>
    <w:basedOn w:val="DefaultParagraphFont"/>
    <w:uiPriority w:val="99"/>
    <w:semiHidden/>
    <w:unhideWhenUsed/>
    <w:rsid w:val="00903B7E"/>
    <w:rPr>
      <w:color w:val="808080"/>
      <w:shd w:val="clear" w:color="auto" w:fill="E6E6E6"/>
    </w:rPr>
  </w:style>
  <w:style w:type="character" w:styleId="Emphasis">
    <w:name w:val="Emphasis"/>
    <w:basedOn w:val="DefaultParagraphFont"/>
    <w:uiPriority w:val="20"/>
    <w:qFormat/>
    <w:rsid w:val="008C7FEE"/>
    <w:rPr>
      <w:b/>
      <w:bCs/>
      <w:i w:val="0"/>
      <w:iCs w:val="0"/>
    </w:rPr>
  </w:style>
  <w:style w:type="character" w:customStyle="1" w:styleId="st1">
    <w:name w:val="st1"/>
    <w:basedOn w:val="DefaultParagraphFont"/>
    <w:rsid w:val="008C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160">
      <w:bodyDiv w:val="1"/>
      <w:marLeft w:val="0"/>
      <w:marRight w:val="0"/>
      <w:marTop w:val="0"/>
      <w:marBottom w:val="0"/>
      <w:divBdr>
        <w:top w:val="none" w:sz="0" w:space="0" w:color="auto"/>
        <w:left w:val="none" w:sz="0" w:space="0" w:color="auto"/>
        <w:bottom w:val="none" w:sz="0" w:space="0" w:color="auto"/>
        <w:right w:val="none" w:sz="0" w:space="0" w:color="auto"/>
      </w:divBdr>
    </w:div>
    <w:div w:id="44183790">
      <w:bodyDiv w:val="1"/>
      <w:marLeft w:val="0"/>
      <w:marRight w:val="0"/>
      <w:marTop w:val="0"/>
      <w:marBottom w:val="0"/>
      <w:divBdr>
        <w:top w:val="none" w:sz="0" w:space="0" w:color="auto"/>
        <w:left w:val="none" w:sz="0" w:space="0" w:color="auto"/>
        <w:bottom w:val="none" w:sz="0" w:space="0" w:color="auto"/>
        <w:right w:val="none" w:sz="0" w:space="0" w:color="auto"/>
      </w:divBdr>
    </w:div>
    <w:div w:id="203060899">
      <w:bodyDiv w:val="1"/>
      <w:marLeft w:val="0"/>
      <w:marRight w:val="0"/>
      <w:marTop w:val="0"/>
      <w:marBottom w:val="0"/>
      <w:divBdr>
        <w:top w:val="none" w:sz="0" w:space="0" w:color="auto"/>
        <w:left w:val="none" w:sz="0" w:space="0" w:color="auto"/>
        <w:bottom w:val="none" w:sz="0" w:space="0" w:color="auto"/>
        <w:right w:val="none" w:sz="0" w:space="0" w:color="auto"/>
      </w:divBdr>
    </w:div>
    <w:div w:id="261765122">
      <w:bodyDiv w:val="1"/>
      <w:marLeft w:val="0"/>
      <w:marRight w:val="0"/>
      <w:marTop w:val="0"/>
      <w:marBottom w:val="0"/>
      <w:divBdr>
        <w:top w:val="none" w:sz="0" w:space="0" w:color="auto"/>
        <w:left w:val="none" w:sz="0" w:space="0" w:color="auto"/>
        <w:bottom w:val="none" w:sz="0" w:space="0" w:color="auto"/>
        <w:right w:val="none" w:sz="0" w:space="0" w:color="auto"/>
      </w:divBdr>
    </w:div>
    <w:div w:id="337003324">
      <w:bodyDiv w:val="1"/>
      <w:marLeft w:val="0"/>
      <w:marRight w:val="0"/>
      <w:marTop w:val="0"/>
      <w:marBottom w:val="0"/>
      <w:divBdr>
        <w:top w:val="none" w:sz="0" w:space="0" w:color="auto"/>
        <w:left w:val="none" w:sz="0" w:space="0" w:color="auto"/>
        <w:bottom w:val="none" w:sz="0" w:space="0" w:color="auto"/>
        <w:right w:val="none" w:sz="0" w:space="0" w:color="auto"/>
      </w:divBdr>
    </w:div>
    <w:div w:id="480929445">
      <w:bodyDiv w:val="1"/>
      <w:marLeft w:val="0"/>
      <w:marRight w:val="0"/>
      <w:marTop w:val="0"/>
      <w:marBottom w:val="0"/>
      <w:divBdr>
        <w:top w:val="none" w:sz="0" w:space="0" w:color="auto"/>
        <w:left w:val="none" w:sz="0" w:space="0" w:color="auto"/>
        <w:bottom w:val="none" w:sz="0" w:space="0" w:color="auto"/>
        <w:right w:val="none" w:sz="0" w:space="0" w:color="auto"/>
      </w:divBdr>
    </w:div>
    <w:div w:id="503859762">
      <w:bodyDiv w:val="1"/>
      <w:marLeft w:val="0"/>
      <w:marRight w:val="0"/>
      <w:marTop w:val="0"/>
      <w:marBottom w:val="0"/>
      <w:divBdr>
        <w:top w:val="none" w:sz="0" w:space="0" w:color="auto"/>
        <w:left w:val="none" w:sz="0" w:space="0" w:color="auto"/>
        <w:bottom w:val="none" w:sz="0" w:space="0" w:color="auto"/>
        <w:right w:val="none" w:sz="0" w:space="0" w:color="auto"/>
      </w:divBdr>
    </w:div>
    <w:div w:id="611590105">
      <w:bodyDiv w:val="1"/>
      <w:marLeft w:val="0"/>
      <w:marRight w:val="0"/>
      <w:marTop w:val="0"/>
      <w:marBottom w:val="0"/>
      <w:divBdr>
        <w:top w:val="none" w:sz="0" w:space="0" w:color="auto"/>
        <w:left w:val="none" w:sz="0" w:space="0" w:color="auto"/>
        <w:bottom w:val="none" w:sz="0" w:space="0" w:color="auto"/>
        <w:right w:val="none" w:sz="0" w:space="0" w:color="auto"/>
      </w:divBdr>
    </w:div>
    <w:div w:id="690569092">
      <w:bodyDiv w:val="1"/>
      <w:marLeft w:val="0"/>
      <w:marRight w:val="0"/>
      <w:marTop w:val="0"/>
      <w:marBottom w:val="0"/>
      <w:divBdr>
        <w:top w:val="none" w:sz="0" w:space="0" w:color="auto"/>
        <w:left w:val="none" w:sz="0" w:space="0" w:color="auto"/>
        <w:bottom w:val="none" w:sz="0" w:space="0" w:color="auto"/>
        <w:right w:val="none" w:sz="0" w:space="0" w:color="auto"/>
      </w:divBdr>
    </w:div>
    <w:div w:id="721097707">
      <w:bodyDiv w:val="1"/>
      <w:marLeft w:val="0"/>
      <w:marRight w:val="0"/>
      <w:marTop w:val="0"/>
      <w:marBottom w:val="0"/>
      <w:divBdr>
        <w:top w:val="none" w:sz="0" w:space="0" w:color="auto"/>
        <w:left w:val="none" w:sz="0" w:space="0" w:color="auto"/>
        <w:bottom w:val="none" w:sz="0" w:space="0" w:color="auto"/>
        <w:right w:val="none" w:sz="0" w:space="0" w:color="auto"/>
      </w:divBdr>
    </w:div>
    <w:div w:id="776604727">
      <w:bodyDiv w:val="1"/>
      <w:marLeft w:val="0"/>
      <w:marRight w:val="0"/>
      <w:marTop w:val="0"/>
      <w:marBottom w:val="0"/>
      <w:divBdr>
        <w:top w:val="none" w:sz="0" w:space="0" w:color="auto"/>
        <w:left w:val="none" w:sz="0" w:space="0" w:color="auto"/>
        <w:bottom w:val="none" w:sz="0" w:space="0" w:color="auto"/>
        <w:right w:val="none" w:sz="0" w:space="0" w:color="auto"/>
      </w:divBdr>
    </w:div>
    <w:div w:id="988174491">
      <w:bodyDiv w:val="1"/>
      <w:marLeft w:val="0"/>
      <w:marRight w:val="0"/>
      <w:marTop w:val="0"/>
      <w:marBottom w:val="0"/>
      <w:divBdr>
        <w:top w:val="none" w:sz="0" w:space="0" w:color="auto"/>
        <w:left w:val="none" w:sz="0" w:space="0" w:color="auto"/>
        <w:bottom w:val="none" w:sz="0" w:space="0" w:color="auto"/>
        <w:right w:val="none" w:sz="0" w:space="0" w:color="auto"/>
      </w:divBdr>
    </w:div>
    <w:div w:id="1161385934">
      <w:bodyDiv w:val="1"/>
      <w:marLeft w:val="0"/>
      <w:marRight w:val="0"/>
      <w:marTop w:val="0"/>
      <w:marBottom w:val="0"/>
      <w:divBdr>
        <w:top w:val="none" w:sz="0" w:space="0" w:color="auto"/>
        <w:left w:val="none" w:sz="0" w:space="0" w:color="auto"/>
        <w:bottom w:val="none" w:sz="0" w:space="0" w:color="auto"/>
        <w:right w:val="none" w:sz="0" w:space="0" w:color="auto"/>
      </w:divBdr>
    </w:div>
    <w:div w:id="1246112479">
      <w:bodyDiv w:val="1"/>
      <w:marLeft w:val="0"/>
      <w:marRight w:val="0"/>
      <w:marTop w:val="0"/>
      <w:marBottom w:val="0"/>
      <w:divBdr>
        <w:top w:val="none" w:sz="0" w:space="0" w:color="auto"/>
        <w:left w:val="none" w:sz="0" w:space="0" w:color="auto"/>
        <w:bottom w:val="none" w:sz="0" w:space="0" w:color="auto"/>
        <w:right w:val="none" w:sz="0" w:space="0" w:color="auto"/>
      </w:divBdr>
    </w:div>
    <w:div w:id="1313370206">
      <w:bodyDiv w:val="1"/>
      <w:marLeft w:val="0"/>
      <w:marRight w:val="0"/>
      <w:marTop w:val="0"/>
      <w:marBottom w:val="0"/>
      <w:divBdr>
        <w:top w:val="none" w:sz="0" w:space="0" w:color="auto"/>
        <w:left w:val="none" w:sz="0" w:space="0" w:color="auto"/>
        <w:bottom w:val="none" w:sz="0" w:space="0" w:color="auto"/>
        <w:right w:val="none" w:sz="0" w:space="0" w:color="auto"/>
      </w:divBdr>
    </w:div>
    <w:div w:id="1318874091">
      <w:bodyDiv w:val="1"/>
      <w:marLeft w:val="0"/>
      <w:marRight w:val="0"/>
      <w:marTop w:val="0"/>
      <w:marBottom w:val="0"/>
      <w:divBdr>
        <w:top w:val="none" w:sz="0" w:space="0" w:color="auto"/>
        <w:left w:val="none" w:sz="0" w:space="0" w:color="auto"/>
        <w:bottom w:val="none" w:sz="0" w:space="0" w:color="auto"/>
        <w:right w:val="none" w:sz="0" w:space="0" w:color="auto"/>
      </w:divBdr>
    </w:div>
    <w:div w:id="1332566903">
      <w:bodyDiv w:val="1"/>
      <w:marLeft w:val="0"/>
      <w:marRight w:val="0"/>
      <w:marTop w:val="0"/>
      <w:marBottom w:val="0"/>
      <w:divBdr>
        <w:top w:val="none" w:sz="0" w:space="0" w:color="auto"/>
        <w:left w:val="none" w:sz="0" w:space="0" w:color="auto"/>
        <w:bottom w:val="none" w:sz="0" w:space="0" w:color="auto"/>
        <w:right w:val="none" w:sz="0" w:space="0" w:color="auto"/>
      </w:divBdr>
    </w:div>
    <w:div w:id="1396393502">
      <w:bodyDiv w:val="1"/>
      <w:marLeft w:val="0"/>
      <w:marRight w:val="0"/>
      <w:marTop w:val="0"/>
      <w:marBottom w:val="0"/>
      <w:divBdr>
        <w:top w:val="none" w:sz="0" w:space="0" w:color="auto"/>
        <w:left w:val="none" w:sz="0" w:space="0" w:color="auto"/>
        <w:bottom w:val="none" w:sz="0" w:space="0" w:color="auto"/>
        <w:right w:val="none" w:sz="0" w:space="0" w:color="auto"/>
      </w:divBdr>
    </w:div>
    <w:div w:id="1610773261">
      <w:bodyDiv w:val="1"/>
      <w:marLeft w:val="0"/>
      <w:marRight w:val="0"/>
      <w:marTop w:val="0"/>
      <w:marBottom w:val="0"/>
      <w:divBdr>
        <w:top w:val="none" w:sz="0" w:space="0" w:color="auto"/>
        <w:left w:val="none" w:sz="0" w:space="0" w:color="auto"/>
        <w:bottom w:val="none" w:sz="0" w:space="0" w:color="auto"/>
        <w:right w:val="none" w:sz="0" w:space="0" w:color="auto"/>
      </w:divBdr>
    </w:div>
    <w:div w:id="1631594716">
      <w:bodyDiv w:val="1"/>
      <w:marLeft w:val="0"/>
      <w:marRight w:val="0"/>
      <w:marTop w:val="0"/>
      <w:marBottom w:val="0"/>
      <w:divBdr>
        <w:top w:val="none" w:sz="0" w:space="0" w:color="auto"/>
        <w:left w:val="none" w:sz="0" w:space="0" w:color="auto"/>
        <w:bottom w:val="none" w:sz="0" w:space="0" w:color="auto"/>
        <w:right w:val="none" w:sz="0" w:space="0" w:color="auto"/>
      </w:divBdr>
    </w:div>
    <w:div w:id="1764915740">
      <w:bodyDiv w:val="1"/>
      <w:marLeft w:val="0"/>
      <w:marRight w:val="0"/>
      <w:marTop w:val="0"/>
      <w:marBottom w:val="0"/>
      <w:divBdr>
        <w:top w:val="none" w:sz="0" w:space="0" w:color="auto"/>
        <w:left w:val="none" w:sz="0" w:space="0" w:color="auto"/>
        <w:bottom w:val="none" w:sz="0" w:space="0" w:color="auto"/>
        <w:right w:val="none" w:sz="0" w:space="0" w:color="auto"/>
      </w:divBdr>
    </w:div>
    <w:div w:id="1838886289">
      <w:bodyDiv w:val="1"/>
      <w:marLeft w:val="0"/>
      <w:marRight w:val="0"/>
      <w:marTop w:val="0"/>
      <w:marBottom w:val="0"/>
      <w:divBdr>
        <w:top w:val="none" w:sz="0" w:space="0" w:color="auto"/>
        <w:left w:val="none" w:sz="0" w:space="0" w:color="auto"/>
        <w:bottom w:val="none" w:sz="0" w:space="0" w:color="auto"/>
        <w:right w:val="none" w:sz="0" w:space="0" w:color="auto"/>
      </w:divBdr>
    </w:div>
    <w:div w:id="1840845909">
      <w:bodyDiv w:val="1"/>
      <w:marLeft w:val="0"/>
      <w:marRight w:val="0"/>
      <w:marTop w:val="0"/>
      <w:marBottom w:val="0"/>
      <w:divBdr>
        <w:top w:val="none" w:sz="0" w:space="0" w:color="auto"/>
        <w:left w:val="none" w:sz="0" w:space="0" w:color="auto"/>
        <w:bottom w:val="none" w:sz="0" w:space="0" w:color="auto"/>
        <w:right w:val="none" w:sz="0" w:space="0" w:color="auto"/>
      </w:divBdr>
      <w:divsChild>
        <w:div w:id="136997665">
          <w:marLeft w:val="0"/>
          <w:marRight w:val="0"/>
          <w:marTop w:val="0"/>
          <w:marBottom w:val="0"/>
          <w:divBdr>
            <w:top w:val="none" w:sz="0" w:space="0" w:color="auto"/>
            <w:left w:val="none" w:sz="0" w:space="0" w:color="auto"/>
            <w:bottom w:val="none" w:sz="0" w:space="0" w:color="auto"/>
            <w:right w:val="none" w:sz="0" w:space="0" w:color="auto"/>
          </w:divBdr>
          <w:divsChild>
            <w:div w:id="1136415543">
              <w:marLeft w:val="0"/>
              <w:marRight w:val="0"/>
              <w:marTop w:val="0"/>
              <w:marBottom w:val="0"/>
              <w:divBdr>
                <w:top w:val="none" w:sz="0" w:space="0" w:color="auto"/>
                <w:left w:val="single" w:sz="6" w:space="0" w:color="E2E2E2"/>
                <w:bottom w:val="none" w:sz="0" w:space="0" w:color="auto"/>
                <w:right w:val="single" w:sz="6" w:space="0" w:color="E2E2E2"/>
              </w:divBdr>
              <w:divsChild>
                <w:div w:id="1279600714">
                  <w:marLeft w:val="0"/>
                  <w:marRight w:val="0"/>
                  <w:marTop w:val="0"/>
                  <w:marBottom w:val="0"/>
                  <w:divBdr>
                    <w:top w:val="none" w:sz="0" w:space="0" w:color="auto"/>
                    <w:left w:val="none" w:sz="0" w:space="0" w:color="auto"/>
                    <w:bottom w:val="none" w:sz="0" w:space="0" w:color="auto"/>
                    <w:right w:val="none" w:sz="0" w:space="0" w:color="auto"/>
                  </w:divBdr>
                  <w:divsChild>
                    <w:div w:id="811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3295">
      <w:bodyDiv w:val="1"/>
      <w:marLeft w:val="0"/>
      <w:marRight w:val="0"/>
      <w:marTop w:val="0"/>
      <w:marBottom w:val="0"/>
      <w:divBdr>
        <w:top w:val="none" w:sz="0" w:space="0" w:color="auto"/>
        <w:left w:val="none" w:sz="0" w:space="0" w:color="auto"/>
        <w:bottom w:val="none" w:sz="0" w:space="0" w:color="auto"/>
        <w:right w:val="none" w:sz="0" w:space="0" w:color="auto"/>
      </w:divBdr>
    </w:div>
    <w:div w:id="20708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ma-assn.org/sites/default/files/media-browser/public/health-policy/PRP-2016-physician-benchmark-survey.pdf" TargetMode="External"/><Relationship Id="rId3" Type="http://schemas.openxmlformats.org/officeDocument/2006/relationships/hyperlink" Target="https://www.ssa.gov/OP_Home/ssact/title11/1153.htm" TargetMode="External"/><Relationship Id="rId7" Type="http://schemas.openxmlformats.org/officeDocument/2006/relationships/hyperlink" Target="https://www.sba.gov/sites/default/files/Final%20Task%20Force%20Report_June%202003.pdf" TargetMode="External"/><Relationship Id="rId2" Type="http://schemas.openxmlformats.org/officeDocument/2006/relationships/hyperlink" Target="https://www.cms.gov/medicare/quality-initiatives-patient-assessment-instruments/qualityinitiativesgeninfo/downloads/cms-quality-strategy.pdf" TargetMode="External"/><Relationship Id="rId1" Type="http://schemas.openxmlformats.org/officeDocument/2006/relationships/hyperlink" Target="https://www.cms.gov/Medicare/Quality-Initiatives-Patient-Assessment-Instruments/QualityImprovementOrgs/index.html?redirect=/qualityimprovementorgs/" TargetMode="External"/><Relationship Id="rId6" Type="http://schemas.openxmlformats.org/officeDocument/2006/relationships/hyperlink" Target="https://www.ssa.gov/OP_Home/ssact/title11/1153.htm" TargetMode="External"/><Relationship Id="rId5" Type="http://schemas.openxmlformats.org/officeDocument/2006/relationships/hyperlink" Target="https://www.ncbi.nlm.nih.gov/pmc/articles/PMC5526587/" TargetMode="External"/><Relationship Id="rId4" Type="http://schemas.openxmlformats.org/officeDocument/2006/relationships/hyperlink" Target="https://oig.hhs.gov/oei/reports/oei-02-17-00250.pdf" TargetMode="External"/><Relationship Id="rId9" Type="http://schemas.openxmlformats.org/officeDocument/2006/relationships/hyperlink" Target="http://www.ncpanet.org/newsroom/details/2017/11/14/ncpa-supports-expanded-tax-relief-to-small-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8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C805A1EC74F44BCC27148D65E643F" ma:contentTypeVersion="0" ma:contentTypeDescription="Create a new document." ma:contentTypeScope="" ma:versionID="3bce5bd314b505d856761e2137719f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E39C-E6E9-4D7E-9CA8-613C844E8C58}">
  <ds:schemaRefs>
    <ds:schemaRef ds:uri="http://schemas.microsoft.com/office/2006/metadata/properties"/>
  </ds:schemaRefs>
</ds:datastoreItem>
</file>

<file path=customXml/itemProps2.xml><?xml version="1.0" encoding="utf-8"?>
<ds:datastoreItem xmlns:ds="http://schemas.openxmlformats.org/officeDocument/2006/customXml" ds:itemID="{0A11ECDF-D75B-4078-979F-76BC00F7DA00}">
  <ds:schemaRefs>
    <ds:schemaRef ds:uri="http://schemas.microsoft.com/sharepoint/v3/contenttype/forms"/>
  </ds:schemaRefs>
</ds:datastoreItem>
</file>

<file path=customXml/itemProps3.xml><?xml version="1.0" encoding="utf-8"?>
<ds:datastoreItem xmlns:ds="http://schemas.openxmlformats.org/officeDocument/2006/customXml" ds:itemID="{534DC3AE-06F1-4B22-81FC-2F3FDC7CC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A33992-FF71-46E0-AA8A-A4F20BD0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 Part A Evaluation of the CMS Quality Improvement Organizations: Medication Safety and Adverse Drug Event Prevention (CMS-10675)</vt:lpstr>
    </vt:vector>
  </TitlesOfParts>
  <Company>Booz Allen Hamilton</Company>
  <LinksUpToDate>false</LinksUpToDate>
  <CharactersWithSpaces>31402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Evaluation of the CMS Quality Improvement Organizations: Medication Safety and Adverse Drug Event Prevention (CMS-10675)</dc:title>
  <dc:subject>Medication Safety and Adverse Drug Event Prevention (CMS-10675)</dc:subject>
  <dc:creator>Booz Allen Hamilton</dc:creator>
  <cp:keywords>Supporting Statement, Quality Improvement, Medication Safety, Adverse Drug Event, CMS-10675</cp:keywords>
  <dc:description/>
  <cp:lastModifiedBy>SYSTEM</cp:lastModifiedBy>
  <cp:revision>2</cp:revision>
  <dcterms:created xsi:type="dcterms:W3CDTF">2018-12-04T19:11:00Z</dcterms:created>
  <dcterms:modified xsi:type="dcterms:W3CDTF">2018-12-04T19:11:00Z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ContentTypeId">
    <vt:lpwstr>0x010100299C805A1EC74F44BCC27148D65E643F</vt:lpwstr>
  </property>
  <property fmtid="{D5CDD505-2E9C-101B-9397-08002B2CF9AE}" pid="5" name="_NewReviewCycle">
    <vt:lpwstr/>
  </property>
</Properties>
</file>