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81E7" w14:textId="77777777" w:rsidR="00BA2DBE" w:rsidRPr="00D20211" w:rsidRDefault="00BA2DBE">
      <w:pPr>
        <w:rPr>
          <w:rFonts w:ascii="Arial" w:hAnsi="Arial" w:cs="Arial"/>
        </w:rPr>
      </w:pPr>
      <w:bookmarkStart w:id="0" w:name="_Toc337198071"/>
      <w:bookmarkStart w:id="1" w:name="_Toc423335421"/>
      <w:bookmarkStart w:id="2" w:name="_GoBack"/>
      <w:bookmarkEnd w:id="2"/>
    </w:p>
    <w:p w14:paraId="59337D84" w14:textId="77777777" w:rsidR="00BA2DBE" w:rsidRPr="00D20211" w:rsidRDefault="00BA2DBE">
      <w:pPr>
        <w:rPr>
          <w:rFonts w:ascii="Arial" w:hAnsi="Arial" w:cs="Arial"/>
        </w:rPr>
      </w:pPr>
    </w:p>
    <w:p w14:paraId="21173796" w14:textId="1AF21D6F"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68E25B50" w14:textId="77777777" w:rsidR="00FC3EED" w:rsidRDefault="00FC3EED" w:rsidP="001626E8">
      <w:pPr>
        <w:pStyle w:val="Title"/>
        <w:rPr>
          <w:rFonts w:cs="Courier New"/>
          <w:bCs/>
          <w:iCs/>
          <w:color w:val="000000"/>
          <w:sz w:val="48"/>
          <w:szCs w:val="48"/>
        </w:rPr>
      </w:pPr>
      <w:r w:rsidRPr="00FC3EED">
        <w:rPr>
          <w:rFonts w:cs="Courier New"/>
          <w:bCs/>
          <w:iCs/>
          <w:color w:val="000000"/>
          <w:sz w:val="48"/>
          <w:szCs w:val="48"/>
        </w:rPr>
        <w:t>Human Health Effects of Drinking Water Exposures to Per- and Polyfluoroalkyl Substances (PFAS) at Pease International Tradeport, P</w:t>
      </w:r>
      <w:r>
        <w:rPr>
          <w:rFonts w:cs="Courier New"/>
          <w:bCs/>
          <w:iCs/>
          <w:color w:val="000000"/>
          <w:sz w:val="48"/>
          <w:szCs w:val="48"/>
        </w:rPr>
        <w:t xml:space="preserve">ortsmouth, NH </w:t>
      </w:r>
    </w:p>
    <w:p w14:paraId="02FDB143" w14:textId="77777777" w:rsidR="00FC3EED" w:rsidRDefault="00FC3EED" w:rsidP="001626E8">
      <w:pPr>
        <w:pStyle w:val="Title"/>
        <w:rPr>
          <w:rFonts w:cs="Courier New"/>
          <w:bCs/>
          <w:iCs/>
          <w:color w:val="000000"/>
          <w:sz w:val="48"/>
          <w:szCs w:val="48"/>
        </w:rPr>
      </w:pPr>
    </w:p>
    <w:p w14:paraId="5CAC8804" w14:textId="4ED60153" w:rsidR="00BA2DBE" w:rsidRPr="00D20211" w:rsidRDefault="00FC3EED" w:rsidP="001626E8">
      <w:pPr>
        <w:pStyle w:val="Title"/>
        <w:rPr>
          <w:color w:val="auto"/>
          <w:sz w:val="48"/>
          <w:szCs w:val="48"/>
        </w:rPr>
      </w:pPr>
      <w:r>
        <w:rPr>
          <w:rFonts w:cs="Courier New"/>
          <w:bCs/>
          <w:iCs/>
          <w:color w:val="000000"/>
          <w:sz w:val="48"/>
          <w:szCs w:val="48"/>
        </w:rPr>
        <w:t>(The Pease Study)</w:t>
      </w:r>
    </w:p>
    <w:p w14:paraId="0476DB55" w14:textId="77777777" w:rsidR="00FC3EED" w:rsidRDefault="00FC3EED">
      <w:pPr>
        <w:spacing w:after="200" w:line="276" w:lineRule="auto"/>
        <w:rPr>
          <w:rFonts w:asciiTheme="majorHAnsi" w:hAnsiTheme="majorHAnsi" w:cs="Arial"/>
          <w:sz w:val="36"/>
          <w:szCs w:val="36"/>
        </w:rPr>
      </w:pPr>
    </w:p>
    <w:p w14:paraId="0BFC8620" w14:textId="1953B8C6" w:rsidR="001626E8" w:rsidRPr="00D20211" w:rsidRDefault="00FC3EED">
      <w:pPr>
        <w:spacing w:after="200" w:line="276" w:lineRule="auto"/>
        <w:rPr>
          <w:rFonts w:asciiTheme="majorHAnsi" w:hAnsiTheme="majorHAnsi" w:cs="Arial"/>
          <w:sz w:val="36"/>
          <w:szCs w:val="36"/>
        </w:rPr>
      </w:pPr>
      <w:r>
        <w:rPr>
          <w:rFonts w:asciiTheme="majorHAnsi" w:hAnsiTheme="majorHAnsi" w:cs="Arial"/>
          <w:sz w:val="36"/>
          <w:szCs w:val="36"/>
        </w:rPr>
        <w:t>New Information Collection Request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69C74FD2" w14:textId="4BA85593" w:rsidR="00BA2DBE" w:rsidRPr="00D20211" w:rsidRDefault="00BA2DBE">
      <w:pPr>
        <w:spacing w:after="200" w:line="276" w:lineRule="auto"/>
        <w:rPr>
          <w:rFonts w:asciiTheme="majorHAnsi" w:hAnsiTheme="majorHAnsi" w:cs="Arial"/>
          <w:sz w:val="36"/>
          <w:szCs w:val="36"/>
        </w:rPr>
      </w:pPr>
    </w:p>
    <w:p w14:paraId="77A49968" w14:textId="4A21E436" w:rsidR="00BA2DBE" w:rsidRPr="00D20211" w:rsidRDefault="00FC3EED" w:rsidP="008E47E6">
      <w:pPr>
        <w:pStyle w:val="Subtitle"/>
        <w:spacing w:after="0"/>
        <w:rPr>
          <w:color w:val="auto"/>
        </w:rPr>
      </w:pPr>
      <w:r>
        <w:rPr>
          <w:color w:val="auto"/>
        </w:rPr>
        <w:t>Principal Investigator: Marian Pavuk, MD, PhD</w:t>
      </w:r>
      <w:r w:rsidR="00480FC6" w:rsidRPr="00D20211">
        <w:rPr>
          <w:color w:val="auto"/>
        </w:rPr>
        <w:t xml:space="preserve"> </w:t>
      </w:r>
    </w:p>
    <w:p w14:paraId="604E836C" w14:textId="77777777" w:rsidR="00FC3EED" w:rsidRDefault="00480FC6" w:rsidP="008E47E6">
      <w:pPr>
        <w:pStyle w:val="Subtitle"/>
        <w:spacing w:after="0"/>
        <w:rPr>
          <w:color w:val="auto"/>
        </w:rPr>
      </w:pPr>
      <w:r w:rsidRPr="00D20211">
        <w:rPr>
          <w:color w:val="auto"/>
        </w:rPr>
        <w:t>Title:</w:t>
      </w:r>
      <w:r w:rsidR="00FC3EED">
        <w:rPr>
          <w:color w:val="auto"/>
        </w:rPr>
        <w:t xml:space="preserve"> Senior Epidemiologist</w:t>
      </w:r>
    </w:p>
    <w:p w14:paraId="009E2166" w14:textId="64D7F394" w:rsidR="00BA2DBE" w:rsidRPr="00D20211" w:rsidRDefault="00FC3EED" w:rsidP="00FC3EED">
      <w:pPr>
        <w:pStyle w:val="Subtitle"/>
        <w:spacing w:after="0"/>
        <w:ind w:firstLine="720"/>
        <w:rPr>
          <w:color w:val="auto"/>
        </w:rPr>
      </w:pPr>
      <w:r>
        <w:rPr>
          <w:color w:val="auto"/>
        </w:rPr>
        <w:t>ATSDR Division of Toxicology and Human Health Sciences</w:t>
      </w:r>
    </w:p>
    <w:p w14:paraId="21A390AE" w14:textId="77777777" w:rsidR="00FC3EED" w:rsidRPr="00FC3EED" w:rsidRDefault="00FC3EED" w:rsidP="00FC3EED">
      <w:pPr>
        <w:pStyle w:val="Subtitle"/>
        <w:spacing w:after="0"/>
        <w:rPr>
          <w:color w:val="auto"/>
        </w:rPr>
      </w:pPr>
      <w:r w:rsidRPr="00FC3EED">
        <w:rPr>
          <w:color w:val="auto"/>
        </w:rPr>
        <w:t>Email: fsh8@cdc.gov</w:t>
      </w:r>
    </w:p>
    <w:p w14:paraId="4D73E7D9" w14:textId="5DF7FF0E"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FC3EED">
        <w:rPr>
          <w:color w:val="auto"/>
        </w:rPr>
        <w:t xml:space="preserve"> 770-488-</w:t>
      </w:r>
      <w:r w:rsidR="00FC3EED" w:rsidRPr="00FC3EED">
        <w:rPr>
          <w:color w:val="auto"/>
        </w:rPr>
        <w:t>3671</w:t>
      </w:r>
    </w:p>
    <w:p w14:paraId="70AB4DEC" w14:textId="40225DAC" w:rsidR="00BA2DBE" w:rsidRPr="00FC3EED" w:rsidRDefault="00107476" w:rsidP="008E47E6">
      <w:pPr>
        <w:pStyle w:val="Subtitle"/>
        <w:spacing w:after="0"/>
        <w:rPr>
          <w:color w:val="auto"/>
        </w:rPr>
      </w:pPr>
      <w:r w:rsidRPr="00FC3EED">
        <w:rPr>
          <w:color w:val="auto"/>
        </w:rPr>
        <w:t>Fax</w:t>
      </w:r>
      <w:r w:rsidR="00480FC6" w:rsidRPr="00FC3EED">
        <w:rPr>
          <w:color w:val="auto"/>
        </w:rPr>
        <w:t>:</w:t>
      </w:r>
      <w:r w:rsidR="00FC3EED" w:rsidRPr="00FC3EED">
        <w:rPr>
          <w:color w:val="auto"/>
        </w:rPr>
        <w:t xml:space="preserve"> </w:t>
      </w:r>
      <w:r w:rsidR="00FC3EED" w:rsidRPr="00FC3EED">
        <w:rPr>
          <w:rFonts w:cs="Tahoma"/>
          <w:color w:val="333333"/>
        </w:rPr>
        <w:t>770-488-1541</w:t>
      </w:r>
    </w:p>
    <w:p w14:paraId="14F78241" w14:textId="77777777" w:rsidR="00EA0849" w:rsidRPr="00D20211" w:rsidRDefault="00EA0849" w:rsidP="008E47E6">
      <w:pPr>
        <w:pStyle w:val="Subtitle"/>
        <w:spacing w:after="0"/>
        <w:rPr>
          <w:color w:val="auto"/>
        </w:rPr>
      </w:pPr>
    </w:p>
    <w:p w14:paraId="76D937C3" w14:textId="6CD08BB7" w:rsidR="00965C2A" w:rsidRPr="00D20211" w:rsidRDefault="00480FC6" w:rsidP="008E47E6">
      <w:pPr>
        <w:pStyle w:val="Subtitle"/>
        <w:spacing w:after="0"/>
        <w:rPr>
          <w:rFonts w:ascii="Arial" w:hAnsi="Arial"/>
          <w:color w:val="auto"/>
        </w:rPr>
      </w:pPr>
      <w:r w:rsidRPr="00D20211">
        <w:rPr>
          <w:color w:val="auto"/>
        </w:rPr>
        <w:t>Date:</w:t>
      </w:r>
      <w:r w:rsidR="00C478A2">
        <w:rPr>
          <w:color w:val="auto"/>
        </w:rPr>
        <w:t xml:space="preserve"> </w:t>
      </w:r>
      <w:r w:rsidR="00191E35">
        <w:rPr>
          <w:color w:val="auto"/>
        </w:rPr>
        <w:t>December 17</w:t>
      </w:r>
      <w:r w:rsidR="00FC3EED">
        <w:rPr>
          <w:color w:val="auto"/>
        </w:rPr>
        <w:t>, 2018</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E37197">
          <w:pPr>
            <w:pStyle w:val="TOCHeading"/>
            <w:pBdr>
              <w:bottom w:val="single" w:sz="4" w:space="1" w:color="auto"/>
            </w:pBdr>
            <w:spacing w:after="480"/>
            <w:jc w:val="center"/>
            <w:rPr>
              <w:color w:val="auto"/>
            </w:rPr>
          </w:pPr>
          <w:r w:rsidRPr="00D20211">
            <w:rPr>
              <w:color w:val="auto"/>
            </w:rPr>
            <w:t>Table of Contents</w:t>
          </w:r>
        </w:p>
        <w:p w14:paraId="74227BC5" w14:textId="3899B9D9" w:rsidR="008217C5" w:rsidRDefault="009F2C68">
          <w:pPr>
            <w:pStyle w:val="TOC1"/>
            <w:tabs>
              <w:tab w:val="right" w:leader="dot" w:pos="9350"/>
            </w:tabs>
            <w:rPr>
              <w:noProof/>
              <w:sz w:val="22"/>
              <w:szCs w:val="22"/>
            </w:rPr>
          </w:pPr>
          <w:r>
            <w:fldChar w:fldCharType="begin"/>
          </w:r>
          <w:r>
            <w:instrText xml:space="preserve"> TOC \o "1-6" \h \z \u </w:instrText>
          </w:r>
          <w:r>
            <w:fldChar w:fldCharType="separate"/>
          </w:r>
          <w:hyperlink w:anchor="_Toc532912773" w:history="1">
            <w:r w:rsidR="008217C5" w:rsidRPr="0090515D">
              <w:rPr>
                <w:rStyle w:val="Hyperlink"/>
                <w:noProof/>
              </w:rPr>
              <w:t>A.1.  Circumstances Making the Collection of Information Necessary</w:t>
            </w:r>
            <w:r w:rsidR="008217C5">
              <w:rPr>
                <w:noProof/>
                <w:webHidden/>
              </w:rPr>
              <w:tab/>
            </w:r>
            <w:r w:rsidR="008217C5">
              <w:rPr>
                <w:noProof/>
                <w:webHidden/>
              </w:rPr>
              <w:fldChar w:fldCharType="begin"/>
            </w:r>
            <w:r w:rsidR="008217C5">
              <w:rPr>
                <w:noProof/>
                <w:webHidden/>
              </w:rPr>
              <w:instrText xml:space="preserve"> PAGEREF _Toc532912773 \h </w:instrText>
            </w:r>
            <w:r w:rsidR="008217C5">
              <w:rPr>
                <w:noProof/>
                <w:webHidden/>
              </w:rPr>
            </w:r>
            <w:r w:rsidR="008217C5">
              <w:rPr>
                <w:noProof/>
                <w:webHidden/>
              </w:rPr>
              <w:fldChar w:fldCharType="separate"/>
            </w:r>
            <w:r w:rsidR="008217C5">
              <w:rPr>
                <w:noProof/>
                <w:webHidden/>
              </w:rPr>
              <w:t>4</w:t>
            </w:r>
            <w:r w:rsidR="008217C5">
              <w:rPr>
                <w:noProof/>
                <w:webHidden/>
              </w:rPr>
              <w:fldChar w:fldCharType="end"/>
            </w:r>
          </w:hyperlink>
        </w:p>
        <w:p w14:paraId="69F32CC0" w14:textId="2B3E12C2" w:rsidR="008217C5" w:rsidRDefault="0030044A">
          <w:pPr>
            <w:pStyle w:val="TOC1"/>
            <w:tabs>
              <w:tab w:val="right" w:leader="dot" w:pos="9350"/>
            </w:tabs>
            <w:rPr>
              <w:noProof/>
              <w:sz w:val="22"/>
              <w:szCs w:val="22"/>
            </w:rPr>
          </w:pPr>
          <w:hyperlink w:anchor="_Toc532912774" w:history="1">
            <w:r w:rsidR="008217C5" w:rsidRPr="0090515D">
              <w:rPr>
                <w:rStyle w:val="Hyperlink"/>
                <w:noProof/>
              </w:rPr>
              <w:t>A.2.  Purpose and Use of the Information Collection</w:t>
            </w:r>
            <w:r w:rsidR="008217C5">
              <w:rPr>
                <w:noProof/>
                <w:webHidden/>
              </w:rPr>
              <w:tab/>
            </w:r>
            <w:r w:rsidR="008217C5">
              <w:rPr>
                <w:noProof/>
                <w:webHidden/>
              </w:rPr>
              <w:fldChar w:fldCharType="begin"/>
            </w:r>
            <w:r w:rsidR="008217C5">
              <w:rPr>
                <w:noProof/>
                <w:webHidden/>
              </w:rPr>
              <w:instrText xml:space="preserve"> PAGEREF _Toc532912774 \h </w:instrText>
            </w:r>
            <w:r w:rsidR="008217C5">
              <w:rPr>
                <w:noProof/>
                <w:webHidden/>
              </w:rPr>
            </w:r>
            <w:r w:rsidR="008217C5">
              <w:rPr>
                <w:noProof/>
                <w:webHidden/>
              </w:rPr>
              <w:fldChar w:fldCharType="separate"/>
            </w:r>
            <w:r w:rsidR="008217C5">
              <w:rPr>
                <w:noProof/>
                <w:webHidden/>
              </w:rPr>
              <w:t>5</w:t>
            </w:r>
            <w:r w:rsidR="008217C5">
              <w:rPr>
                <w:noProof/>
                <w:webHidden/>
              </w:rPr>
              <w:fldChar w:fldCharType="end"/>
            </w:r>
          </w:hyperlink>
        </w:p>
        <w:p w14:paraId="3108A914" w14:textId="65A16745" w:rsidR="008217C5" w:rsidRDefault="0030044A">
          <w:pPr>
            <w:pStyle w:val="TOC1"/>
            <w:tabs>
              <w:tab w:val="right" w:leader="dot" w:pos="9350"/>
            </w:tabs>
            <w:rPr>
              <w:noProof/>
              <w:sz w:val="22"/>
              <w:szCs w:val="22"/>
            </w:rPr>
          </w:pPr>
          <w:hyperlink w:anchor="_Toc532912775" w:history="1">
            <w:r w:rsidR="008217C5" w:rsidRPr="0090515D">
              <w:rPr>
                <w:rStyle w:val="Hyperlink"/>
                <w:noProof/>
              </w:rPr>
              <w:t>A.3.  Use of Improved Information Technology and Burden Reduction</w:t>
            </w:r>
            <w:r w:rsidR="008217C5">
              <w:rPr>
                <w:noProof/>
                <w:webHidden/>
              </w:rPr>
              <w:tab/>
            </w:r>
            <w:r w:rsidR="008217C5">
              <w:rPr>
                <w:noProof/>
                <w:webHidden/>
              </w:rPr>
              <w:fldChar w:fldCharType="begin"/>
            </w:r>
            <w:r w:rsidR="008217C5">
              <w:rPr>
                <w:noProof/>
                <w:webHidden/>
              </w:rPr>
              <w:instrText xml:space="preserve"> PAGEREF _Toc532912775 \h </w:instrText>
            </w:r>
            <w:r w:rsidR="008217C5">
              <w:rPr>
                <w:noProof/>
                <w:webHidden/>
              </w:rPr>
            </w:r>
            <w:r w:rsidR="008217C5">
              <w:rPr>
                <w:noProof/>
                <w:webHidden/>
              </w:rPr>
              <w:fldChar w:fldCharType="separate"/>
            </w:r>
            <w:r w:rsidR="008217C5">
              <w:rPr>
                <w:noProof/>
                <w:webHidden/>
              </w:rPr>
              <w:t>7</w:t>
            </w:r>
            <w:r w:rsidR="008217C5">
              <w:rPr>
                <w:noProof/>
                <w:webHidden/>
              </w:rPr>
              <w:fldChar w:fldCharType="end"/>
            </w:r>
          </w:hyperlink>
        </w:p>
        <w:p w14:paraId="344B2A40" w14:textId="35CAF38D" w:rsidR="008217C5" w:rsidRDefault="0030044A">
          <w:pPr>
            <w:pStyle w:val="TOC1"/>
            <w:tabs>
              <w:tab w:val="right" w:leader="dot" w:pos="9350"/>
            </w:tabs>
            <w:rPr>
              <w:noProof/>
              <w:sz w:val="22"/>
              <w:szCs w:val="22"/>
            </w:rPr>
          </w:pPr>
          <w:hyperlink w:anchor="_Toc532912776" w:history="1">
            <w:r w:rsidR="008217C5" w:rsidRPr="0090515D">
              <w:rPr>
                <w:rStyle w:val="Hyperlink"/>
                <w:noProof/>
              </w:rPr>
              <w:t>A.4.  Efforts to Identify Duplication and Use of Similar Information</w:t>
            </w:r>
            <w:r w:rsidR="008217C5">
              <w:rPr>
                <w:noProof/>
                <w:webHidden/>
              </w:rPr>
              <w:tab/>
            </w:r>
            <w:r w:rsidR="008217C5">
              <w:rPr>
                <w:noProof/>
                <w:webHidden/>
              </w:rPr>
              <w:fldChar w:fldCharType="begin"/>
            </w:r>
            <w:r w:rsidR="008217C5">
              <w:rPr>
                <w:noProof/>
                <w:webHidden/>
              </w:rPr>
              <w:instrText xml:space="preserve"> PAGEREF _Toc532912776 \h </w:instrText>
            </w:r>
            <w:r w:rsidR="008217C5">
              <w:rPr>
                <w:noProof/>
                <w:webHidden/>
              </w:rPr>
            </w:r>
            <w:r w:rsidR="008217C5">
              <w:rPr>
                <w:noProof/>
                <w:webHidden/>
              </w:rPr>
              <w:fldChar w:fldCharType="separate"/>
            </w:r>
            <w:r w:rsidR="008217C5">
              <w:rPr>
                <w:noProof/>
                <w:webHidden/>
              </w:rPr>
              <w:t>7</w:t>
            </w:r>
            <w:r w:rsidR="008217C5">
              <w:rPr>
                <w:noProof/>
                <w:webHidden/>
              </w:rPr>
              <w:fldChar w:fldCharType="end"/>
            </w:r>
          </w:hyperlink>
        </w:p>
        <w:p w14:paraId="42A0A5C0" w14:textId="60243496" w:rsidR="008217C5" w:rsidRDefault="0030044A">
          <w:pPr>
            <w:pStyle w:val="TOC1"/>
            <w:tabs>
              <w:tab w:val="right" w:leader="dot" w:pos="9350"/>
            </w:tabs>
            <w:rPr>
              <w:noProof/>
              <w:sz w:val="22"/>
              <w:szCs w:val="22"/>
            </w:rPr>
          </w:pPr>
          <w:hyperlink w:anchor="_Toc532912777" w:history="1">
            <w:r w:rsidR="008217C5" w:rsidRPr="0090515D">
              <w:rPr>
                <w:rStyle w:val="Hyperlink"/>
                <w:noProof/>
              </w:rPr>
              <w:t>A.5.  Impact on Small Businesses or Other Small Entities</w:t>
            </w:r>
            <w:r w:rsidR="008217C5">
              <w:rPr>
                <w:noProof/>
                <w:webHidden/>
              </w:rPr>
              <w:tab/>
            </w:r>
            <w:r w:rsidR="008217C5">
              <w:rPr>
                <w:noProof/>
                <w:webHidden/>
              </w:rPr>
              <w:fldChar w:fldCharType="begin"/>
            </w:r>
            <w:r w:rsidR="008217C5">
              <w:rPr>
                <w:noProof/>
                <w:webHidden/>
              </w:rPr>
              <w:instrText xml:space="preserve"> PAGEREF _Toc532912777 \h </w:instrText>
            </w:r>
            <w:r w:rsidR="008217C5">
              <w:rPr>
                <w:noProof/>
                <w:webHidden/>
              </w:rPr>
            </w:r>
            <w:r w:rsidR="008217C5">
              <w:rPr>
                <w:noProof/>
                <w:webHidden/>
              </w:rPr>
              <w:fldChar w:fldCharType="separate"/>
            </w:r>
            <w:r w:rsidR="008217C5">
              <w:rPr>
                <w:noProof/>
                <w:webHidden/>
              </w:rPr>
              <w:t>9</w:t>
            </w:r>
            <w:r w:rsidR="008217C5">
              <w:rPr>
                <w:noProof/>
                <w:webHidden/>
              </w:rPr>
              <w:fldChar w:fldCharType="end"/>
            </w:r>
          </w:hyperlink>
        </w:p>
        <w:p w14:paraId="2803A20D" w14:textId="3B79810C" w:rsidR="008217C5" w:rsidRDefault="0030044A">
          <w:pPr>
            <w:pStyle w:val="TOC1"/>
            <w:tabs>
              <w:tab w:val="right" w:leader="dot" w:pos="9350"/>
            </w:tabs>
            <w:rPr>
              <w:noProof/>
              <w:sz w:val="22"/>
              <w:szCs w:val="22"/>
            </w:rPr>
          </w:pPr>
          <w:hyperlink w:anchor="_Toc532912778" w:history="1">
            <w:r w:rsidR="008217C5" w:rsidRPr="0090515D">
              <w:rPr>
                <w:rStyle w:val="Hyperlink"/>
                <w:noProof/>
              </w:rPr>
              <w:t>A.6.  Consequences of Collecting the Information Less Frequently</w:t>
            </w:r>
            <w:r w:rsidR="008217C5">
              <w:rPr>
                <w:noProof/>
                <w:webHidden/>
              </w:rPr>
              <w:tab/>
            </w:r>
            <w:r w:rsidR="008217C5">
              <w:rPr>
                <w:noProof/>
                <w:webHidden/>
              </w:rPr>
              <w:fldChar w:fldCharType="begin"/>
            </w:r>
            <w:r w:rsidR="008217C5">
              <w:rPr>
                <w:noProof/>
                <w:webHidden/>
              </w:rPr>
              <w:instrText xml:space="preserve"> PAGEREF _Toc532912778 \h </w:instrText>
            </w:r>
            <w:r w:rsidR="008217C5">
              <w:rPr>
                <w:noProof/>
                <w:webHidden/>
              </w:rPr>
            </w:r>
            <w:r w:rsidR="008217C5">
              <w:rPr>
                <w:noProof/>
                <w:webHidden/>
              </w:rPr>
              <w:fldChar w:fldCharType="separate"/>
            </w:r>
            <w:r w:rsidR="008217C5">
              <w:rPr>
                <w:noProof/>
                <w:webHidden/>
              </w:rPr>
              <w:t>9</w:t>
            </w:r>
            <w:r w:rsidR="008217C5">
              <w:rPr>
                <w:noProof/>
                <w:webHidden/>
              </w:rPr>
              <w:fldChar w:fldCharType="end"/>
            </w:r>
          </w:hyperlink>
        </w:p>
        <w:p w14:paraId="2E6C8465" w14:textId="40BC9810" w:rsidR="008217C5" w:rsidRDefault="0030044A">
          <w:pPr>
            <w:pStyle w:val="TOC1"/>
            <w:tabs>
              <w:tab w:val="right" w:leader="dot" w:pos="9350"/>
            </w:tabs>
            <w:rPr>
              <w:noProof/>
              <w:sz w:val="22"/>
              <w:szCs w:val="22"/>
            </w:rPr>
          </w:pPr>
          <w:hyperlink w:anchor="_Toc532912779" w:history="1">
            <w:r w:rsidR="008217C5" w:rsidRPr="0090515D">
              <w:rPr>
                <w:rStyle w:val="Hyperlink"/>
                <w:noProof/>
              </w:rPr>
              <w:t>A.7.  Special Circumstances Relating to the Guidelines of 5 CFR 1320.5</w:t>
            </w:r>
            <w:r w:rsidR="008217C5">
              <w:rPr>
                <w:noProof/>
                <w:webHidden/>
              </w:rPr>
              <w:tab/>
            </w:r>
            <w:r w:rsidR="008217C5">
              <w:rPr>
                <w:noProof/>
                <w:webHidden/>
              </w:rPr>
              <w:fldChar w:fldCharType="begin"/>
            </w:r>
            <w:r w:rsidR="008217C5">
              <w:rPr>
                <w:noProof/>
                <w:webHidden/>
              </w:rPr>
              <w:instrText xml:space="preserve"> PAGEREF _Toc532912779 \h </w:instrText>
            </w:r>
            <w:r w:rsidR="008217C5">
              <w:rPr>
                <w:noProof/>
                <w:webHidden/>
              </w:rPr>
            </w:r>
            <w:r w:rsidR="008217C5">
              <w:rPr>
                <w:noProof/>
                <w:webHidden/>
              </w:rPr>
              <w:fldChar w:fldCharType="separate"/>
            </w:r>
            <w:r w:rsidR="008217C5">
              <w:rPr>
                <w:noProof/>
                <w:webHidden/>
              </w:rPr>
              <w:t>10</w:t>
            </w:r>
            <w:r w:rsidR="008217C5">
              <w:rPr>
                <w:noProof/>
                <w:webHidden/>
              </w:rPr>
              <w:fldChar w:fldCharType="end"/>
            </w:r>
          </w:hyperlink>
        </w:p>
        <w:p w14:paraId="141FEEF6" w14:textId="2B665291" w:rsidR="008217C5" w:rsidRDefault="0030044A">
          <w:pPr>
            <w:pStyle w:val="TOC1"/>
            <w:tabs>
              <w:tab w:val="right" w:leader="dot" w:pos="9350"/>
            </w:tabs>
            <w:rPr>
              <w:noProof/>
              <w:sz w:val="22"/>
              <w:szCs w:val="22"/>
            </w:rPr>
          </w:pPr>
          <w:hyperlink w:anchor="_Toc532912780" w:history="1">
            <w:r w:rsidR="008217C5" w:rsidRPr="0090515D">
              <w:rPr>
                <w:rStyle w:val="Hyperlink"/>
                <w:noProof/>
              </w:rPr>
              <w:t>A.8.  Comments in Response to the Federal Register Notice and Efforts to Consult Outside the Agency</w:t>
            </w:r>
            <w:r w:rsidR="008217C5">
              <w:rPr>
                <w:noProof/>
                <w:webHidden/>
              </w:rPr>
              <w:tab/>
            </w:r>
            <w:r w:rsidR="008217C5">
              <w:rPr>
                <w:noProof/>
                <w:webHidden/>
              </w:rPr>
              <w:fldChar w:fldCharType="begin"/>
            </w:r>
            <w:r w:rsidR="008217C5">
              <w:rPr>
                <w:noProof/>
                <w:webHidden/>
              </w:rPr>
              <w:instrText xml:space="preserve"> PAGEREF _Toc532912780 \h </w:instrText>
            </w:r>
            <w:r w:rsidR="008217C5">
              <w:rPr>
                <w:noProof/>
                <w:webHidden/>
              </w:rPr>
            </w:r>
            <w:r w:rsidR="008217C5">
              <w:rPr>
                <w:noProof/>
                <w:webHidden/>
              </w:rPr>
              <w:fldChar w:fldCharType="separate"/>
            </w:r>
            <w:r w:rsidR="008217C5">
              <w:rPr>
                <w:noProof/>
                <w:webHidden/>
              </w:rPr>
              <w:t>11</w:t>
            </w:r>
            <w:r w:rsidR="008217C5">
              <w:rPr>
                <w:noProof/>
                <w:webHidden/>
              </w:rPr>
              <w:fldChar w:fldCharType="end"/>
            </w:r>
          </w:hyperlink>
        </w:p>
        <w:p w14:paraId="281F05CC" w14:textId="60C2EB14" w:rsidR="008217C5" w:rsidRDefault="0030044A">
          <w:pPr>
            <w:pStyle w:val="TOC1"/>
            <w:tabs>
              <w:tab w:val="right" w:leader="dot" w:pos="9350"/>
            </w:tabs>
            <w:rPr>
              <w:noProof/>
              <w:sz w:val="22"/>
              <w:szCs w:val="22"/>
            </w:rPr>
          </w:pPr>
          <w:hyperlink w:anchor="_Toc532912781" w:history="1">
            <w:r w:rsidR="008217C5" w:rsidRPr="0090515D">
              <w:rPr>
                <w:rStyle w:val="Hyperlink"/>
                <w:noProof/>
              </w:rPr>
              <w:t>A.9.  Explanation of Any Payment or Gift to Respondents</w:t>
            </w:r>
            <w:r w:rsidR="008217C5">
              <w:rPr>
                <w:noProof/>
                <w:webHidden/>
              </w:rPr>
              <w:tab/>
            </w:r>
            <w:r w:rsidR="008217C5">
              <w:rPr>
                <w:noProof/>
                <w:webHidden/>
              </w:rPr>
              <w:fldChar w:fldCharType="begin"/>
            </w:r>
            <w:r w:rsidR="008217C5">
              <w:rPr>
                <w:noProof/>
                <w:webHidden/>
              </w:rPr>
              <w:instrText xml:space="preserve"> PAGEREF _Toc532912781 \h </w:instrText>
            </w:r>
            <w:r w:rsidR="008217C5">
              <w:rPr>
                <w:noProof/>
                <w:webHidden/>
              </w:rPr>
            </w:r>
            <w:r w:rsidR="008217C5">
              <w:rPr>
                <w:noProof/>
                <w:webHidden/>
              </w:rPr>
              <w:fldChar w:fldCharType="separate"/>
            </w:r>
            <w:r w:rsidR="008217C5">
              <w:rPr>
                <w:noProof/>
                <w:webHidden/>
              </w:rPr>
              <w:t>12</w:t>
            </w:r>
            <w:r w:rsidR="008217C5">
              <w:rPr>
                <w:noProof/>
                <w:webHidden/>
              </w:rPr>
              <w:fldChar w:fldCharType="end"/>
            </w:r>
          </w:hyperlink>
        </w:p>
        <w:p w14:paraId="492E1FF3" w14:textId="000AF00E" w:rsidR="008217C5" w:rsidRDefault="0030044A">
          <w:pPr>
            <w:pStyle w:val="TOC1"/>
            <w:tabs>
              <w:tab w:val="right" w:leader="dot" w:pos="9350"/>
            </w:tabs>
            <w:rPr>
              <w:noProof/>
              <w:sz w:val="22"/>
              <w:szCs w:val="22"/>
            </w:rPr>
          </w:pPr>
          <w:hyperlink w:anchor="_Toc532912782" w:history="1">
            <w:r w:rsidR="008217C5" w:rsidRPr="0090515D">
              <w:rPr>
                <w:rStyle w:val="Hyperlink"/>
                <w:noProof/>
              </w:rPr>
              <w:t>A.10.  Protection of the Privacy and Confidentiality of Information Provided by Respondents</w:t>
            </w:r>
            <w:r w:rsidR="008217C5">
              <w:rPr>
                <w:noProof/>
                <w:webHidden/>
              </w:rPr>
              <w:tab/>
            </w:r>
            <w:r w:rsidR="008217C5">
              <w:rPr>
                <w:noProof/>
                <w:webHidden/>
              </w:rPr>
              <w:fldChar w:fldCharType="begin"/>
            </w:r>
            <w:r w:rsidR="008217C5">
              <w:rPr>
                <w:noProof/>
                <w:webHidden/>
              </w:rPr>
              <w:instrText xml:space="preserve"> PAGEREF _Toc532912782 \h </w:instrText>
            </w:r>
            <w:r w:rsidR="008217C5">
              <w:rPr>
                <w:noProof/>
                <w:webHidden/>
              </w:rPr>
            </w:r>
            <w:r w:rsidR="008217C5">
              <w:rPr>
                <w:noProof/>
                <w:webHidden/>
              </w:rPr>
              <w:fldChar w:fldCharType="separate"/>
            </w:r>
            <w:r w:rsidR="008217C5">
              <w:rPr>
                <w:noProof/>
                <w:webHidden/>
              </w:rPr>
              <w:t>13</w:t>
            </w:r>
            <w:r w:rsidR="008217C5">
              <w:rPr>
                <w:noProof/>
                <w:webHidden/>
              </w:rPr>
              <w:fldChar w:fldCharType="end"/>
            </w:r>
          </w:hyperlink>
        </w:p>
        <w:p w14:paraId="098C9A00" w14:textId="4A8E94A5" w:rsidR="008217C5" w:rsidRDefault="0030044A">
          <w:pPr>
            <w:pStyle w:val="TOC1"/>
            <w:tabs>
              <w:tab w:val="right" w:leader="dot" w:pos="9350"/>
            </w:tabs>
            <w:rPr>
              <w:noProof/>
              <w:sz w:val="22"/>
              <w:szCs w:val="22"/>
            </w:rPr>
          </w:pPr>
          <w:hyperlink w:anchor="_Toc532912783" w:history="1">
            <w:r w:rsidR="008217C5" w:rsidRPr="0090515D">
              <w:rPr>
                <w:rStyle w:val="Hyperlink"/>
                <w:noProof/>
              </w:rPr>
              <w:t>A.11.  Institutional Review Board (IRB) and Justification for Sensitive Questions</w:t>
            </w:r>
            <w:r w:rsidR="008217C5">
              <w:rPr>
                <w:noProof/>
                <w:webHidden/>
              </w:rPr>
              <w:tab/>
            </w:r>
            <w:r w:rsidR="008217C5">
              <w:rPr>
                <w:noProof/>
                <w:webHidden/>
              </w:rPr>
              <w:fldChar w:fldCharType="begin"/>
            </w:r>
            <w:r w:rsidR="008217C5">
              <w:rPr>
                <w:noProof/>
                <w:webHidden/>
              </w:rPr>
              <w:instrText xml:space="preserve"> PAGEREF _Toc532912783 \h </w:instrText>
            </w:r>
            <w:r w:rsidR="008217C5">
              <w:rPr>
                <w:noProof/>
                <w:webHidden/>
              </w:rPr>
            </w:r>
            <w:r w:rsidR="008217C5">
              <w:rPr>
                <w:noProof/>
                <w:webHidden/>
              </w:rPr>
              <w:fldChar w:fldCharType="separate"/>
            </w:r>
            <w:r w:rsidR="008217C5">
              <w:rPr>
                <w:noProof/>
                <w:webHidden/>
              </w:rPr>
              <w:t>16</w:t>
            </w:r>
            <w:r w:rsidR="008217C5">
              <w:rPr>
                <w:noProof/>
                <w:webHidden/>
              </w:rPr>
              <w:fldChar w:fldCharType="end"/>
            </w:r>
          </w:hyperlink>
        </w:p>
        <w:p w14:paraId="71FCBAFA" w14:textId="459CDC89" w:rsidR="008217C5" w:rsidRDefault="0030044A">
          <w:pPr>
            <w:pStyle w:val="TOC1"/>
            <w:tabs>
              <w:tab w:val="right" w:leader="dot" w:pos="9350"/>
            </w:tabs>
            <w:rPr>
              <w:noProof/>
              <w:sz w:val="22"/>
              <w:szCs w:val="22"/>
            </w:rPr>
          </w:pPr>
          <w:hyperlink w:anchor="_Toc532912784" w:history="1">
            <w:r w:rsidR="008217C5" w:rsidRPr="0090515D">
              <w:rPr>
                <w:rStyle w:val="Hyperlink"/>
                <w:noProof/>
              </w:rPr>
              <w:t>A.12.  Estimates of Annualized Burden Hours and Costs</w:t>
            </w:r>
            <w:r w:rsidR="008217C5">
              <w:rPr>
                <w:noProof/>
                <w:webHidden/>
              </w:rPr>
              <w:tab/>
            </w:r>
            <w:r w:rsidR="008217C5">
              <w:rPr>
                <w:noProof/>
                <w:webHidden/>
              </w:rPr>
              <w:fldChar w:fldCharType="begin"/>
            </w:r>
            <w:r w:rsidR="008217C5">
              <w:rPr>
                <w:noProof/>
                <w:webHidden/>
              </w:rPr>
              <w:instrText xml:space="preserve"> PAGEREF _Toc532912784 \h </w:instrText>
            </w:r>
            <w:r w:rsidR="008217C5">
              <w:rPr>
                <w:noProof/>
                <w:webHidden/>
              </w:rPr>
            </w:r>
            <w:r w:rsidR="008217C5">
              <w:rPr>
                <w:noProof/>
                <w:webHidden/>
              </w:rPr>
              <w:fldChar w:fldCharType="separate"/>
            </w:r>
            <w:r w:rsidR="008217C5">
              <w:rPr>
                <w:noProof/>
                <w:webHidden/>
              </w:rPr>
              <w:t>17</w:t>
            </w:r>
            <w:r w:rsidR="008217C5">
              <w:rPr>
                <w:noProof/>
                <w:webHidden/>
              </w:rPr>
              <w:fldChar w:fldCharType="end"/>
            </w:r>
          </w:hyperlink>
        </w:p>
        <w:p w14:paraId="079E05E1" w14:textId="036D804C" w:rsidR="008217C5" w:rsidRDefault="0030044A">
          <w:pPr>
            <w:pStyle w:val="TOC1"/>
            <w:tabs>
              <w:tab w:val="right" w:leader="dot" w:pos="9350"/>
            </w:tabs>
            <w:rPr>
              <w:noProof/>
              <w:sz w:val="22"/>
              <w:szCs w:val="22"/>
            </w:rPr>
          </w:pPr>
          <w:hyperlink w:anchor="_Toc532912785" w:history="1">
            <w:r w:rsidR="008217C5" w:rsidRPr="0090515D">
              <w:rPr>
                <w:rStyle w:val="Hyperlink"/>
                <w:noProof/>
              </w:rPr>
              <w:t>A.13.  Estimates of Other Total Annual Cost Burden to Respondents and Record Keepers</w:t>
            </w:r>
            <w:r w:rsidR="008217C5">
              <w:rPr>
                <w:noProof/>
                <w:webHidden/>
              </w:rPr>
              <w:tab/>
            </w:r>
            <w:r w:rsidR="008217C5">
              <w:rPr>
                <w:noProof/>
                <w:webHidden/>
              </w:rPr>
              <w:fldChar w:fldCharType="begin"/>
            </w:r>
            <w:r w:rsidR="008217C5">
              <w:rPr>
                <w:noProof/>
                <w:webHidden/>
              </w:rPr>
              <w:instrText xml:space="preserve"> PAGEREF _Toc532912785 \h </w:instrText>
            </w:r>
            <w:r w:rsidR="008217C5">
              <w:rPr>
                <w:noProof/>
                <w:webHidden/>
              </w:rPr>
            </w:r>
            <w:r w:rsidR="008217C5">
              <w:rPr>
                <w:noProof/>
                <w:webHidden/>
              </w:rPr>
              <w:fldChar w:fldCharType="separate"/>
            </w:r>
            <w:r w:rsidR="008217C5">
              <w:rPr>
                <w:noProof/>
                <w:webHidden/>
              </w:rPr>
              <w:t>22</w:t>
            </w:r>
            <w:r w:rsidR="008217C5">
              <w:rPr>
                <w:noProof/>
                <w:webHidden/>
              </w:rPr>
              <w:fldChar w:fldCharType="end"/>
            </w:r>
          </w:hyperlink>
        </w:p>
        <w:p w14:paraId="5454425B" w14:textId="10F2DECD" w:rsidR="008217C5" w:rsidRDefault="0030044A">
          <w:pPr>
            <w:pStyle w:val="TOC1"/>
            <w:tabs>
              <w:tab w:val="right" w:leader="dot" w:pos="9350"/>
            </w:tabs>
            <w:rPr>
              <w:noProof/>
              <w:sz w:val="22"/>
              <w:szCs w:val="22"/>
            </w:rPr>
          </w:pPr>
          <w:hyperlink w:anchor="_Toc532912786" w:history="1">
            <w:r w:rsidR="008217C5" w:rsidRPr="0090515D">
              <w:rPr>
                <w:rStyle w:val="Hyperlink"/>
                <w:noProof/>
              </w:rPr>
              <w:t>A.14.  Annualized Cost to the Federal Government</w:t>
            </w:r>
            <w:r w:rsidR="008217C5">
              <w:rPr>
                <w:noProof/>
                <w:webHidden/>
              </w:rPr>
              <w:tab/>
            </w:r>
            <w:r w:rsidR="008217C5">
              <w:rPr>
                <w:noProof/>
                <w:webHidden/>
              </w:rPr>
              <w:fldChar w:fldCharType="begin"/>
            </w:r>
            <w:r w:rsidR="008217C5">
              <w:rPr>
                <w:noProof/>
                <w:webHidden/>
              </w:rPr>
              <w:instrText xml:space="preserve"> PAGEREF _Toc532912786 \h </w:instrText>
            </w:r>
            <w:r w:rsidR="008217C5">
              <w:rPr>
                <w:noProof/>
                <w:webHidden/>
              </w:rPr>
            </w:r>
            <w:r w:rsidR="008217C5">
              <w:rPr>
                <w:noProof/>
                <w:webHidden/>
              </w:rPr>
              <w:fldChar w:fldCharType="separate"/>
            </w:r>
            <w:r w:rsidR="008217C5">
              <w:rPr>
                <w:noProof/>
                <w:webHidden/>
              </w:rPr>
              <w:t>23</w:t>
            </w:r>
            <w:r w:rsidR="008217C5">
              <w:rPr>
                <w:noProof/>
                <w:webHidden/>
              </w:rPr>
              <w:fldChar w:fldCharType="end"/>
            </w:r>
          </w:hyperlink>
        </w:p>
        <w:p w14:paraId="3F82910C" w14:textId="2D550796" w:rsidR="008217C5" w:rsidRDefault="0030044A">
          <w:pPr>
            <w:pStyle w:val="TOC1"/>
            <w:tabs>
              <w:tab w:val="right" w:leader="dot" w:pos="9350"/>
            </w:tabs>
            <w:rPr>
              <w:noProof/>
              <w:sz w:val="22"/>
              <w:szCs w:val="22"/>
            </w:rPr>
          </w:pPr>
          <w:hyperlink w:anchor="_Toc532912787" w:history="1">
            <w:r w:rsidR="008217C5" w:rsidRPr="0090515D">
              <w:rPr>
                <w:rStyle w:val="Hyperlink"/>
                <w:noProof/>
              </w:rPr>
              <w:t>A.15.  Explanation for Program Changes or Adjustments</w:t>
            </w:r>
            <w:r w:rsidR="008217C5">
              <w:rPr>
                <w:noProof/>
                <w:webHidden/>
              </w:rPr>
              <w:tab/>
            </w:r>
            <w:r w:rsidR="008217C5">
              <w:rPr>
                <w:noProof/>
                <w:webHidden/>
              </w:rPr>
              <w:fldChar w:fldCharType="begin"/>
            </w:r>
            <w:r w:rsidR="008217C5">
              <w:rPr>
                <w:noProof/>
                <w:webHidden/>
              </w:rPr>
              <w:instrText xml:space="preserve"> PAGEREF _Toc532912787 \h </w:instrText>
            </w:r>
            <w:r w:rsidR="008217C5">
              <w:rPr>
                <w:noProof/>
                <w:webHidden/>
              </w:rPr>
            </w:r>
            <w:r w:rsidR="008217C5">
              <w:rPr>
                <w:noProof/>
                <w:webHidden/>
              </w:rPr>
              <w:fldChar w:fldCharType="separate"/>
            </w:r>
            <w:r w:rsidR="008217C5">
              <w:rPr>
                <w:noProof/>
                <w:webHidden/>
              </w:rPr>
              <w:t>23</w:t>
            </w:r>
            <w:r w:rsidR="008217C5">
              <w:rPr>
                <w:noProof/>
                <w:webHidden/>
              </w:rPr>
              <w:fldChar w:fldCharType="end"/>
            </w:r>
          </w:hyperlink>
        </w:p>
        <w:p w14:paraId="0F035A18" w14:textId="482741A9" w:rsidR="008217C5" w:rsidRDefault="0030044A">
          <w:pPr>
            <w:pStyle w:val="TOC1"/>
            <w:tabs>
              <w:tab w:val="right" w:leader="dot" w:pos="9350"/>
            </w:tabs>
            <w:rPr>
              <w:noProof/>
              <w:sz w:val="22"/>
              <w:szCs w:val="22"/>
            </w:rPr>
          </w:pPr>
          <w:hyperlink w:anchor="_Toc532912788" w:history="1">
            <w:r w:rsidR="008217C5" w:rsidRPr="0090515D">
              <w:rPr>
                <w:rStyle w:val="Hyperlink"/>
                <w:noProof/>
              </w:rPr>
              <w:t>A.16.  Plans for Tabulation and Publication and Project Time Schedule</w:t>
            </w:r>
            <w:r w:rsidR="008217C5">
              <w:rPr>
                <w:noProof/>
                <w:webHidden/>
              </w:rPr>
              <w:tab/>
            </w:r>
            <w:r w:rsidR="008217C5">
              <w:rPr>
                <w:noProof/>
                <w:webHidden/>
              </w:rPr>
              <w:fldChar w:fldCharType="begin"/>
            </w:r>
            <w:r w:rsidR="008217C5">
              <w:rPr>
                <w:noProof/>
                <w:webHidden/>
              </w:rPr>
              <w:instrText xml:space="preserve"> PAGEREF _Toc532912788 \h </w:instrText>
            </w:r>
            <w:r w:rsidR="008217C5">
              <w:rPr>
                <w:noProof/>
                <w:webHidden/>
              </w:rPr>
            </w:r>
            <w:r w:rsidR="008217C5">
              <w:rPr>
                <w:noProof/>
                <w:webHidden/>
              </w:rPr>
              <w:fldChar w:fldCharType="separate"/>
            </w:r>
            <w:r w:rsidR="008217C5">
              <w:rPr>
                <w:noProof/>
                <w:webHidden/>
              </w:rPr>
              <w:t>23</w:t>
            </w:r>
            <w:r w:rsidR="008217C5">
              <w:rPr>
                <w:noProof/>
                <w:webHidden/>
              </w:rPr>
              <w:fldChar w:fldCharType="end"/>
            </w:r>
          </w:hyperlink>
        </w:p>
        <w:p w14:paraId="0EA4114E" w14:textId="432674D5" w:rsidR="008217C5" w:rsidRDefault="0030044A">
          <w:pPr>
            <w:pStyle w:val="TOC1"/>
            <w:tabs>
              <w:tab w:val="right" w:leader="dot" w:pos="9350"/>
            </w:tabs>
            <w:rPr>
              <w:noProof/>
              <w:sz w:val="22"/>
              <w:szCs w:val="22"/>
            </w:rPr>
          </w:pPr>
          <w:hyperlink w:anchor="_Toc532912789" w:history="1">
            <w:r w:rsidR="008217C5" w:rsidRPr="0090515D">
              <w:rPr>
                <w:rStyle w:val="Hyperlink"/>
                <w:noProof/>
              </w:rPr>
              <w:t>A.17.  Reason(s) Display of OMB Expiration Date is Inappropriate</w:t>
            </w:r>
            <w:r w:rsidR="008217C5">
              <w:rPr>
                <w:noProof/>
                <w:webHidden/>
              </w:rPr>
              <w:tab/>
            </w:r>
            <w:r w:rsidR="008217C5">
              <w:rPr>
                <w:noProof/>
                <w:webHidden/>
              </w:rPr>
              <w:fldChar w:fldCharType="begin"/>
            </w:r>
            <w:r w:rsidR="008217C5">
              <w:rPr>
                <w:noProof/>
                <w:webHidden/>
              </w:rPr>
              <w:instrText xml:space="preserve"> PAGEREF _Toc532912789 \h </w:instrText>
            </w:r>
            <w:r w:rsidR="008217C5">
              <w:rPr>
                <w:noProof/>
                <w:webHidden/>
              </w:rPr>
            </w:r>
            <w:r w:rsidR="008217C5">
              <w:rPr>
                <w:noProof/>
                <w:webHidden/>
              </w:rPr>
              <w:fldChar w:fldCharType="separate"/>
            </w:r>
            <w:r w:rsidR="008217C5">
              <w:rPr>
                <w:noProof/>
                <w:webHidden/>
              </w:rPr>
              <w:t>24</w:t>
            </w:r>
            <w:r w:rsidR="008217C5">
              <w:rPr>
                <w:noProof/>
                <w:webHidden/>
              </w:rPr>
              <w:fldChar w:fldCharType="end"/>
            </w:r>
          </w:hyperlink>
        </w:p>
        <w:p w14:paraId="473894DC" w14:textId="4729E980" w:rsidR="008217C5" w:rsidRDefault="0030044A">
          <w:pPr>
            <w:pStyle w:val="TOC1"/>
            <w:tabs>
              <w:tab w:val="right" w:leader="dot" w:pos="9350"/>
            </w:tabs>
            <w:rPr>
              <w:noProof/>
              <w:sz w:val="22"/>
              <w:szCs w:val="22"/>
            </w:rPr>
          </w:pPr>
          <w:hyperlink w:anchor="_Toc532912790" w:history="1">
            <w:r w:rsidR="008217C5" w:rsidRPr="0090515D">
              <w:rPr>
                <w:rStyle w:val="Hyperlink"/>
                <w:noProof/>
              </w:rPr>
              <w:t>A.18.  Exceptions to Certification for Paperwork Reduction Act Submissions</w:t>
            </w:r>
            <w:r w:rsidR="008217C5">
              <w:rPr>
                <w:noProof/>
                <w:webHidden/>
              </w:rPr>
              <w:tab/>
            </w:r>
            <w:r w:rsidR="008217C5">
              <w:rPr>
                <w:noProof/>
                <w:webHidden/>
              </w:rPr>
              <w:fldChar w:fldCharType="begin"/>
            </w:r>
            <w:r w:rsidR="008217C5">
              <w:rPr>
                <w:noProof/>
                <w:webHidden/>
              </w:rPr>
              <w:instrText xml:space="preserve"> PAGEREF _Toc532912790 \h </w:instrText>
            </w:r>
            <w:r w:rsidR="008217C5">
              <w:rPr>
                <w:noProof/>
                <w:webHidden/>
              </w:rPr>
            </w:r>
            <w:r w:rsidR="008217C5">
              <w:rPr>
                <w:noProof/>
                <w:webHidden/>
              </w:rPr>
              <w:fldChar w:fldCharType="separate"/>
            </w:r>
            <w:r w:rsidR="008217C5">
              <w:rPr>
                <w:noProof/>
                <w:webHidden/>
              </w:rPr>
              <w:t>24</w:t>
            </w:r>
            <w:r w:rsidR="008217C5">
              <w:rPr>
                <w:noProof/>
                <w:webHidden/>
              </w:rPr>
              <w:fldChar w:fldCharType="end"/>
            </w:r>
          </w:hyperlink>
        </w:p>
        <w:p w14:paraId="60B38640" w14:textId="5EF672FC" w:rsidR="008217C5" w:rsidRDefault="0030044A">
          <w:pPr>
            <w:pStyle w:val="TOC1"/>
            <w:tabs>
              <w:tab w:val="right" w:leader="dot" w:pos="9350"/>
            </w:tabs>
            <w:rPr>
              <w:noProof/>
              <w:sz w:val="22"/>
              <w:szCs w:val="22"/>
            </w:rPr>
          </w:pPr>
          <w:hyperlink w:anchor="_Toc532912791" w:history="1">
            <w:r w:rsidR="008217C5" w:rsidRPr="0090515D">
              <w:rPr>
                <w:rStyle w:val="Hyperlink"/>
                <w:rFonts w:ascii="Cambria" w:hAnsi="Cambria"/>
                <w:noProof/>
              </w:rPr>
              <w:t>References</w:t>
            </w:r>
            <w:r w:rsidR="008217C5">
              <w:rPr>
                <w:noProof/>
                <w:webHidden/>
              </w:rPr>
              <w:tab/>
            </w:r>
            <w:r w:rsidR="008217C5">
              <w:rPr>
                <w:noProof/>
                <w:webHidden/>
              </w:rPr>
              <w:fldChar w:fldCharType="begin"/>
            </w:r>
            <w:r w:rsidR="008217C5">
              <w:rPr>
                <w:noProof/>
                <w:webHidden/>
              </w:rPr>
              <w:instrText xml:space="preserve"> PAGEREF _Toc532912791 \h </w:instrText>
            </w:r>
            <w:r w:rsidR="008217C5">
              <w:rPr>
                <w:noProof/>
                <w:webHidden/>
              </w:rPr>
            </w:r>
            <w:r w:rsidR="008217C5">
              <w:rPr>
                <w:noProof/>
                <w:webHidden/>
              </w:rPr>
              <w:fldChar w:fldCharType="separate"/>
            </w:r>
            <w:r w:rsidR="008217C5">
              <w:rPr>
                <w:noProof/>
                <w:webHidden/>
              </w:rPr>
              <w:t>24</w:t>
            </w:r>
            <w:r w:rsidR="008217C5">
              <w:rPr>
                <w:noProof/>
                <w:webHidden/>
              </w:rPr>
              <w:fldChar w:fldCharType="end"/>
            </w:r>
          </w:hyperlink>
        </w:p>
        <w:p w14:paraId="62322648" w14:textId="0EF7B855" w:rsidR="008217C5" w:rsidRDefault="0030044A">
          <w:pPr>
            <w:pStyle w:val="TOC1"/>
            <w:tabs>
              <w:tab w:val="right" w:leader="dot" w:pos="9350"/>
            </w:tabs>
            <w:rPr>
              <w:noProof/>
              <w:sz w:val="22"/>
              <w:szCs w:val="22"/>
            </w:rPr>
          </w:pPr>
          <w:hyperlink w:anchor="_Toc532912792" w:history="1">
            <w:r w:rsidR="008217C5" w:rsidRPr="0090515D">
              <w:rPr>
                <w:rStyle w:val="Hyperlink"/>
                <w:rFonts w:cstheme="minorHAnsi"/>
                <w:noProof/>
              </w:rPr>
              <w:t>List of Appendices and Protocol Attachments</w:t>
            </w:r>
            <w:r w:rsidR="008217C5">
              <w:rPr>
                <w:noProof/>
                <w:webHidden/>
              </w:rPr>
              <w:tab/>
            </w:r>
            <w:r w:rsidR="008217C5">
              <w:rPr>
                <w:noProof/>
                <w:webHidden/>
              </w:rPr>
              <w:fldChar w:fldCharType="begin"/>
            </w:r>
            <w:r w:rsidR="008217C5">
              <w:rPr>
                <w:noProof/>
                <w:webHidden/>
              </w:rPr>
              <w:instrText xml:space="preserve"> PAGEREF _Toc532912792 \h </w:instrText>
            </w:r>
            <w:r w:rsidR="008217C5">
              <w:rPr>
                <w:noProof/>
                <w:webHidden/>
              </w:rPr>
            </w:r>
            <w:r w:rsidR="008217C5">
              <w:rPr>
                <w:noProof/>
                <w:webHidden/>
              </w:rPr>
              <w:fldChar w:fldCharType="separate"/>
            </w:r>
            <w:r w:rsidR="008217C5">
              <w:rPr>
                <w:noProof/>
                <w:webHidden/>
              </w:rPr>
              <w:t>25</w:t>
            </w:r>
            <w:r w:rsidR="008217C5">
              <w:rPr>
                <w:noProof/>
                <w:webHidden/>
              </w:rPr>
              <w:fldChar w:fldCharType="end"/>
            </w:r>
          </w:hyperlink>
        </w:p>
        <w:p w14:paraId="032A377A" w14:textId="50C34EAC" w:rsidR="009B765E" w:rsidRPr="00D20211" w:rsidRDefault="009F2C68">
          <w: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26246E5E"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2C017C0E">
                <wp:simplePos x="0" y="0"/>
                <wp:positionH relativeFrom="margin">
                  <wp:align>right</wp:align>
                </wp:positionH>
                <wp:positionV relativeFrom="paragraph">
                  <wp:posOffset>496570</wp:posOffset>
                </wp:positionV>
                <wp:extent cx="5930900" cy="6392545"/>
                <wp:effectExtent l="0" t="0" r="12700" b="273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392545"/>
                        </a:xfrm>
                        <a:prstGeom prst="rect">
                          <a:avLst/>
                        </a:prstGeom>
                        <a:solidFill>
                          <a:srgbClr val="FFFFFF"/>
                        </a:solidFill>
                        <a:ln w="9525">
                          <a:solidFill>
                            <a:srgbClr val="000000"/>
                          </a:solidFill>
                          <a:miter lim="800000"/>
                          <a:headEnd/>
                          <a:tailEnd/>
                        </a:ln>
                      </wps:spPr>
                      <wps:txbx>
                        <w:txbxContent>
                          <w:p w14:paraId="1887F22A" w14:textId="62563D1F" w:rsidR="008217C5" w:rsidRDefault="008217C5" w:rsidP="0048759B">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The main goals of the research study are to: 1) evaluate the study procedures and methods to identify any issues that need to be addressed before</w:t>
                            </w:r>
                            <w:r w:rsidRPr="00A75C00">
                              <w:rPr>
                                <w:rFonts w:cstheme="minorHAnsi"/>
                                <w:sz w:val="24"/>
                                <w:szCs w:val="24"/>
                              </w:rPr>
                              <w:t xml:space="preserve"> embarking on a national multi-site study; and 2) examine associations between health outcomes and measured and historically reco</w:t>
                            </w:r>
                            <w:r>
                              <w:rPr>
                                <w:rFonts w:cstheme="minorHAnsi"/>
                                <w:sz w:val="24"/>
                                <w:szCs w:val="24"/>
                              </w:rPr>
                              <w:t>nstructed serum levels of PFAS.</w:t>
                            </w:r>
                          </w:p>
                          <w:p w14:paraId="24ED7B57" w14:textId="02C695E5" w:rsidR="008217C5" w:rsidRPr="001B2712" w:rsidRDefault="008217C5" w:rsidP="0048759B">
                            <w:pPr>
                              <w:spacing w:line="240" w:lineRule="auto"/>
                              <w:rPr>
                                <w:sz w:val="24"/>
                                <w:szCs w:val="24"/>
                              </w:rPr>
                            </w:pPr>
                            <w:r w:rsidRPr="001B2712">
                              <w:rPr>
                                <w:b/>
                                <w:sz w:val="24"/>
                                <w:szCs w:val="24"/>
                              </w:rPr>
                              <w:t xml:space="preserve">Intended use of the resulting data: </w:t>
                            </w:r>
                            <w:r w:rsidRPr="00A75C00">
                              <w:rPr>
                                <w:rFonts w:cstheme="minorHAnsi"/>
                                <w:sz w:val="24"/>
                                <w:szCs w:val="24"/>
                              </w:rPr>
                              <w:t>ATSDR will examine the association between PFAS compounds and lipids, renal function and kidney disease, thyroid hormones and disease, liver function and disease, glycemic parameters and diabetes, as well as immune response and function in both children and adults. In addition, ATSDR will investigate if PFAS is related to differences in sex hormones and sexual maturation, vaccine response, and neurobehavioral outcomes in children. In adults, additional outcomes of interest include cardiovascular disease, osteoarthritis, osteoporosis, endometriosis, and autoimmune disease.</w:t>
                            </w:r>
                          </w:p>
                          <w:p w14:paraId="45A17586" w14:textId="7957497E" w:rsidR="008217C5" w:rsidRPr="001B2712" w:rsidRDefault="008217C5" w:rsidP="0048759B">
                            <w:pPr>
                              <w:spacing w:line="240" w:lineRule="auto"/>
                              <w:rPr>
                                <w:sz w:val="24"/>
                                <w:szCs w:val="24"/>
                              </w:rPr>
                            </w:pPr>
                            <w:r w:rsidRPr="001B2712">
                              <w:rPr>
                                <w:b/>
                                <w:sz w:val="24"/>
                                <w:szCs w:val="24"/>
                              </w:rPr>
                              <w:t xml:space="preserve">Methods to be used to collect: </w:t>
                            </w:r>
                            <w:r w:rsidRPr="003126B5">
                              <w:rPr>
                                <w:sz w:val="24"/>
                                <w:szCs w:val="24"/>
                              </w:rPr>
                              <w:t xml:space="preserve">ATSDR will employ a </w:t>
                            </w:r>
                            <w:r>
                              <w:rPr>
                                <w:sz w:val="24"/>
                                <w:szCs w:val="24"/>
                              </w:rPr>
                              <w:t>cross-sectional design using a convenience sample of persons exposed to PFAS-contaminated drinking water from the Pease International Tradeport vs. a referent group from other parts of Portsmouth, NH.</w:t>
                            </w:r>
                          </w:p>
                          <w:p w14:paraId="4DF4E576" w14:textId="21C135B5" w:rsidR="008217C5" w:rsidRPr="00665AD2" w:rsidRDefault="008217C5" w:rsidP="00665AD2">
                            <w:pPr>
                              <w:spacing w:line="240" w:lineRule="auto"/>
                              <w:rPr>
                                <w:sz w:val="24"/>
                                <w:szCs w:val="24"/>
                              </w:rPr>
                            </w:pPr>
                            <w:r w:rsidRPr="001B2712">
                              <w:rPr>
                                <w:b/>
                                <w:sz w:val="24"/>
                                <w:szCs w:val="24"/>
                              </w:rPr>
                              <w:t xml:space="preserve">Subpopulation to be studied: </w:t>
                            </w:r>
                            <w:r>
                              <w:rPr>
                                <w:sz w:val="24"/>
                                <w:szCs w:val="24"/>
                              </w:rPr>
                              <w:t>ATSDR will</w:t>
                            </w:r>
                            <w:r w:rsidRPr="00BB45FF">
                              <w:rPr>
                                <w:sz w:val="24"/>
                                <w:szCs w:val="24"/>
                              </w:rPr>
                              <w:t xml:space="preserve"> enroll </w:t>
                            </w:r>
                            <w:r>
                              <w:rPr>
                                <w:sz w:val="24"/>
                                <w:szCs w:val="24"/>
                              </w:rPr>
                              <w:t xml:space="preserve">a convenience sample of </w:t>
                            </w:r>
                            <w:r w:rsidRPr="00BB45FF">
                              <w:rPr>
                                <w:sz w:val="24"/>
                                <w:szCs w:val="24"/>
                              </w:rPr>
                              <w:t>1,625 participants (1,100 adults and 525 child</w:t>
                            </w:r>
                            <w:r>
                              <w:rPr>
                                <w:sz w:val="24"/>
                                <w:szCs w:val="24"/>
                              </w:rPr>
                              <w:t xml:space="preserve">ren and their parents). </w:t>
                            </w:r>
                            <w:r w:rsidRPr="00BB45FF">
                              <w:rPr>
                                <w:sz w:val="24"/>
                                <w:szCs w:val="24"/>
                              </w:rPr>
                              <w:t>For the exposure group (n=1,350), ATSDR will enroll 1,000 adults and</w:t>
                            </w:r>
                            <w:r>
                              <w:rPr>
                                <w:sz w:val="24"/>
                                <w:szCs w:val="24"/>
                              </w:rPr>
                              <w:t xml:space="preserve"> 350 children. </w:t>
                            </w:r>
                            <w:r w:rsidRPr="00BB45FF">
                              <w:rPr>
                                <w:sz w:val="24"/>
                                <w:szCs w:val="24"/>
                              </w:rPr>
                              <w:t>Eligible participants had to work at, live on, or attend childcare at the former Pease Air Force Base or the Pease International Tradeport, or live in a nearby home that was served by a PFAS-conta</w:t>
                            </w:r>
                            <w:r>
                              <w:rPr>
                                <w:sz w:val="24"/>
                                <w:szCs w:val="24"/>
                              </w:rPr>
                              <w:t xml:space="preserve">minated private well.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p>
                          <w:p w14:paraId="0DEC096E" w14:textId="2CF8D9BB" w:rsidR="008217C5" w:rsidRPr="00665AD2" w:rsidRDefault="008217C5" w:rsidP="00665AD2">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sidRPr="00665AD2">
                              <w:rPr>
                                <w:rFonts w:cstheme="minorHAnsi"/>
                                <w:bCs/>
                                <w:iCs/>
                                <w:sz w:val="24"/>
                                <w:szCs w:val="24"/>
                              </w:rPr>
                              <w:t>ATSDR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Pease participants and their referent groups.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ATSDR staff will use restricted cubic spline methods (or generalized additive models using cubic regression splines) for linear and logistic regression to obtain flexible, smoothed exposure-response curves. To identify risk factors that may act as confounders for a particular health outcome, the analysis will implement a “10% change in the estimate” rule.</w:t>
                            </w:r>
                          </w:p>
                          <w:p w14:paraId="01B10897" w14:textId="502D25F2" w:rsidR="008217C5" w:rsidRPr="001B2712" w:rsidRDefault="008217C5" w:rsidP="0048759B">
                            <w:pPr>
                              <w:spacing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9.1pt;width:467pt;height:503.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">
                <v:textbox>
                  <w:txbxContent>
                    <w:p w14:paraId="1887F22A" w14:textId="62563D1F" w:rsidR="008217C5" w:rsidRDefault="008217C5" w:rsidP="0048759B">
                      <w:pPr>
                        <w:spacing w:line="240" w:lineRule="auto"/>
                        <w:rPr>
                          <w:rFonts w:cstheme="minorHAnsi"/>
                          <w:sz w:val="24"/>
                          <w:szCs w:val="24"/>
                        </w:rPr>
                      </w:pPr>
                      <w:r w:rsidRPr="001B2712">
                        <w:rPr>
                          <w:b/>
                          <w:sz w:val="24"/>
                          <w:szCs w:val="24"/>
                        </w:rPr>
                        <w:t xml:space="preserve">Goal of the study: </w:t>
                      </w:r>
                      <w:r w:rsidRPr="003A551F">
                        <w:rPr>
                          <w:rFonts w:cstheme="minorHAnsi"/>
                          <w:sz w:val="24"/>
                          <w:szCs w:val="24"/>
                        </w:rPr>
                        <w:t>The main goals of the research study are to: 1) evaluate the study procedures and methods to identify any issues that need to be addressed before</w:t>
                      </w:r>
                      <w:r w:rsidRPr="00A75C00">
                        <w:rPr>
                          <w:rFonts w:cstheme="minorHAnsi"/>
                          <w:sz w:val="24"/>
                          <w:szCs w:val="24"/>
                        </w:rPr>
                        <w:t xml:space="preserve"> embarking on a national multi-site study; and 2) examine associations between health outcomes and measured and historically reco</w:t>
                      </w:r>
                      <w:r>
                        <w:rPr>
                          <w:rFonts w:cstheme="minorHAnsi"/>
                          <w:sz w:val="24"/>
                          <w:szCs w:val="24"/>
                        </w:rPr>
                        <w:t>nstructed serum levels of PFAS.</w:t>
                      </w:r>
                    </w:p>
                    <w:p w14:paraId="24ED7B57" w14:textId="02C695E5" w:rsidR="008217C5" w:rsidRPr="001B2712" w:rsidRDefault="008217C5" w:rsidP="0048759B">
                      <w:pPr>
                        <w:spacing w:line="240" w:lineRule="auto"/>
                        <w:rPr>
                          <w:sz w:val="24"/>
                          <w:szCs w:val="24"/>
                        </w:rPr>
                      </w:pPr>
                      <w:r w:rsidRPr="001B2712">
                        <w:rPr>
                          <w:b/>
                          <w:sz w:val="24"/>
                          <w:szCs w:val="24"/>
                        </w:rPr>
                        <w:t xml:space="preserve">Intended use of the resulting data: </w:t>
                      </w:r>
                      <w:r w:rsidRPr="00A75C00">
                        <w:rPr>
                          <w:rFonts w:cstheme="minorHAnsi"/>
                          <w:sz w:val="24"/>
                          <w:szCs w:val="24"/>
                        </w:rPr>
                        <w:t>ATSDR will examine the association between PFAS compounds and lipids, renal function and kidney disease, thyroid hormones and disease, liver function and disease, glycemic parameters and diabetes, as well as immune response and function in both children and adults. In addition, ATSDR will investigate if PFAS is related to differences in sex hormones and sexual maturation, vaccine response, and neurobehavioral outcomes in children. In adults, additional outcomes of interest include cardiovascular disease, osteoarthritis, osteoporosis, endometriosis, and autoimmune disease.</w:t>
                      </w:r>
                    </w:p>
                    <w:p w14:paraId="45A17586" w14:textId="7957497E" w:rsidR="008217C5" w:rsidRPr="001B2712" w:rsidRDefault="008217C5" w:rsidP="0048759B">
                      <w:pPr>
                        <w:spacing w:line="240" w:lineRule="auto"/>
                        <w:rPr>
                          <w:sz w:val="24"/>
                          <w:szCs w:val="24"/>
                        </w:rPr>
                      </w:pPr>
                      <w:r w:rsidRPr="001B2712">
                        <w:rPr>
                          <w:b/>
                          <w:sz w:val="24"/>
                          <w:szCs w:val="24"/>
                        </w:rPr>
                        <w:t xml:space="preserve">Methods to be used to collect: </w:t>
                      </w:r>
                      <w:r w:rsidRPr="003126B5">
                        <w:rPr>
                          <w:sz w:val="24"/>
                          <w:szCs w:val="24"/>
                        </w:rPr>
                        <w:t xml:space="preserve">ATSDR will employ a </w:t>
                      </w:r>
                      <w:r>
                        <w:rPr>
                          <w:sz w:val="24"/>
                          <w:szCs w:val="24"/>
                        </w:rPr>
                        <w:t>cross-sectional design using a convenience sample of persons exposed to PFAS-contaminated drinking water from the Pease International Tradeport vs. a referent group from other parts of Portsmouth, NH.</w:t>
                      </w:r>
                    </w:p>
                    <w:p w14:paraId="4DF4E576" w14:textId="21C135B5" w:rsidR="008217C5" w:rsidRPr="00665AD2" w:rsidRDefault="008217C5" w:rsidP="00665AD2">
                      <w:pPr>
                        <w:spacing w:line="240" w:lineRule="auto"/>
                        <w:rPr>
                          <w:sz w:val="24"/>
                          <w:szCs w:val="24"/>
                        </w:rPr>
                      </w:pPr>
                      <w:r w:rsidRPr="001B2712">
                        <w:rPr>
                          <w:b/>
                          <w:sz w:val="24"/>
                          <w:szCs w:val="24"/>
                        </w:rPr>
                        <w:t xml:space="preserve">Subpopulation to be studied: </w:t>
                      </w:r>
                      <w:r>
                        <w:rPr>
                          <w:sz w:val="24"/>
                          <w:szCs w:val="24"/>
                        </w:rPr>
                        <w:t>ATSDR will</w:t>
                      </w:r>
                      <w:r w:rsidRPr="00BB45FF">
                        <w:rPr>
                          <w:sz w:val="24"/>
                          <w:szCs w:val="24"/>
                        </w:rPr>
                        <w:t xml:space="preserve"> enroll </w:t>
                      </w:r>
                      <w:r>
                        <w:rPr>
                          <w:sz w:val="24"/>
                          <w:szCs w:val="24"/>
                        </w:rPr>
                        <w:t xml:space="preserve">a convenience sample of </w:t>
                      </w:r>
                      <w:r w:rsidRPr="00BB45FF">
                        <w:rPr>
                          <w:sz w:val="24"/>
                          <w:szCs w:val="24"/>
                        </w:rPr>
                        <w:t>1,625 participants (1,100 adults and 525 child</w:t>
                      </w:r>
                      <w:r>
                        <w:rPr>
                          <w:sz w:val="24"/>
                          <w:szCs w:val="24"/>
                        </w:rPr>
                        <w:t xml:space="preserve">ren and their parents). </w:t>
                      </w:r>
                      <w:r w:rsidRPr="00BB45FF">
                        <w:rPr>
                          <w:sz w:val="24"/>
                          <w:szCs w:val="24"/>
                        </w:rPr>
                        <w:t>For the exposure group (n=1,350), ATSDR will enroll 1,000 adults and</w:t>
                      </w:r>
                      <w:r>
                        <w:rPr>
                          <w:sz w:val="24"/>
                          <w:szCs w:val="24"/>
                        </w:rPr>
                        <w:t xml:space="preserve"> 350 children. </w:t>
                      </w:r>
                      <w:r w:rsidRPr="00BB45FF">
                        <w:rPr>
                          <w:sz w:val="24"/>
                          <w:szCs w:val="24"/>
                        </w:rPr>
                        <w:t>Eligible participants had to work at, live on, or attend childcare at the former Pease Air Force Base or the Pease International Tradeport, or live in a nearby home that was served by a PFAS-conta</w:t>
                      </w:r>
                      <w:r>
                        <w:rPr>
                          <w:sz w:val="24"/>
                          <w:szCs w:val="24"/>
                        </w:rPr>
                        <w:t xml:space="preserve">minated private well.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p>
                    <w:p w14:paraId="0DEC096E" w14:textId="2CF8D9BB" w:rsidR="008217C5" w:rsidRPr="00665AD2" w:rsidRDefault="008217C5" w:rsidP="00665AD2">
                      <w:pPr>
                        <w:autoSpaceDE w:val="0"/>
                        <w:autoSpaceDN w:val="0"/>
                        <w:adjustRightInd w:val="0"/>
                        <w:spacing w:line="240" w:lineRule="auto"/>
                        <w:rPr>
                          <w:rFonts w:cstheme="minorHAnsi"/>
                          <w:bCs/>
                          <w:iCs/>
                          <w:sz w:val="24"/>
                          <w:szCs w:val="24"/>
                        </w:rPr>
                      </w:pPr>
                      <w:r w:rsidRPr="00665AD2">
                        <w:rPr>
                          <w:b/>
                          <w:sz w:val="24"/>
                          <w:szCs w:val="24"/>
                        </w:rPr>
                        <w:t xml:space="preserve">How data will be analyzed: </w:t>
                      </w:r>
                      <w:r w:rsidRPr="00665AD2">
                        <w:rPr>
                          <w:rFonts w:cstheme="minorHAnsi"/>
                          <w:bCs/>
                          <w:iCs/>
                          <w:sz w:val="24"/>
                          <w:szCs w:val="24"/>
                        </w:rPr>
                        <w:t>ATSDR staff will calculate descripti</w:t>
                      </w:r>
                      <w:r>
                        <w:rPr>
                          <w:rFonts w:cstheme="minorHAnsi"/>
                          <w:bCs/>
                          <w:iCs/>
                          <w:sz w:val="24"/>
                          <w:szCs w:val="24"/>
                        </w:rPr>
                        <w:t>ve statistics</w:t>
                      </w:r>
                      <w:r w:rsidRPr="00665AD2">
                        <w:rPr>
                          <w:rFonts w:cstheme="minorHAnsi"/>
                          <w:bCs/>
                          <w:iCs/>
                          <w:sz w:val="24"/>
                          <w:szCs w:val="24"/>
                        </w:rPr>
                        <w:t xml:space="preserve"> to identify the presence and distribution of PFAS and effect biomarker analytes in the Pease participants and their referent groups.  Statistical methods will include multiple linear regr</w:t>
                      </w:r>
                      <w:r>
                        <w:rPr>
                          <w:rFonts w:cstheme="minorHAnsi"/>
                          <w:bCs/>
                          <w:iCs/>
                          <w:sz w:val="24"/>
                          <w:szCs w:val="24"/>
                        </w:rPr>
                        <w:t>ession of continuous</w:t>
                      </w:r>
                      <w:r w:rsidRPr="00665AD2">
                        <w:rPr>
                          <w:rFonts w:cstheme="minorHAnsi"/>
                          <w:bCs/>
                          <w:iCs/>
                          <w:sz w:val="24"/>
                          <w:szCs w:val="24"/>
                        </w:rPr>
                        <w:t xml:space="preserve"> effect bioma</w:t>
                      </w:r>
                      <w:r>
                        <w:rPr>
                          <w:rFonts w:cstheme="minorHAnsi"/>
                          <w:bCs/>
                          <w:iCs/>
                          <w:sz w:val="24"/>
                          <w:szCs w:val="24"/>
                        </w:rPr>
                        <w:t xml:space="preserve">rkers on continuous </w:t>
                      </w:r>
                      <w:r w:rsidRPr="00665AD2">
                        <w:rPr>
                          <w:rFonts w:cstheme="minorHAnsi"/>
                          <w:bCs/>
                          <w:iCs/>
                          <w:sz w:val="24"/>
                          <w:szCs w:val="24"/>
                        </w:rPr>
                        <w:t>PFAS serum levels and categorized PFAS serum levels, and logistic regression of categorized effect biomark</w:t>
                      </w:r>
                      <w:r>
                        <w:rPr>
                          <w:rFonts w:cstheme="minorHAnsi"/>
                          <w:bCs/>
                          <w:iCs/>
                          <w:sz w:val="24"/>
                          <w:szCs w:val="24"/>
                        </w:rPr>
                        <w:t>ers</w:t>
                      </w:r>
                      <w:r w:rsidRPr="00665AD2">
                        <w:rPr>
                          <w:rFonts w:cstheme="minorHAnsi"/>
                          <w:bCs/>
                          <w:iCs/>
                          <w:sz w:val="24"/>
                          <w:szCs w:val="24"/>
                        </w:rPr>
                        <w:t xml:space="preserve"> or disease prev</w:t>
                      </w:r>
                      <w:r>
                        <w:rPr>
                          <w:rFonts w:cstheme="minorHAnsi"/>
                          <w:bCs/>
                          <w:iCs/>
                          <w:sz w:val="24"/>
                          <w:szCs w:val="24"/>
                        </w:rPr>
                        <w:t>alence on continuous</w:t>
                      </w:r>
                      <w:r w:rsidRPr="00665AD2">
                        <w:rPr>
                          <w:rFonts w:cstheme="minorHAnsi"/>
                          <w:bCs/>
                          <w:iCs/>
                          <w:sz w:val="24"/>
                          <w:szCs w:val="24"/>
                        </w:rPr>
                        <w:t xml:space="preserve"> and categorical PFAS serum levels. ATSDR staff will use restricted cubic spline methods (or generalized additive models using cubic regression splines) for linear and logistic regression to obtain flexible, smoothed exposure-response curves. To identify risk factors that may act as confounders for a particular health outcome, the analysis will implement a “10% change in the estimate” rule.</w:t>
                      </w:r>
                    </w:p>
                    <w:p w14:paraId="01B10897" w14:textId="502D25F2" w:rsidR="008217C5" w:rsidRPr="001B2712" w:rsidRDefault="008217C5" w:rsidP="0048759B">
                      <w:pPr>
                        <w:spacing w:line="240" w:lineRule="auto"/>
                        <w:rPr>
                          <w:sz w:val="24"/>
                          <w:szCs w:val="24"/>
                        </w:rPr>
                      </w:pPr>
                    </w:p>
                  </w:txbxContent>
                </v:textbox>
                <w10:wrap type="square" anchorx="margin"/>
              </v:shape>
            </w:pict>
          </mc:Fallback>
        </mc:AlternateContent>
      </w:r>
      <w:r w:rsidRPr="00D20211">
        <w:rPr>
          <w:rFonts w:asciiTheme="majorHAnsi" w:hAnsiTheme="majorHAnsi"/>
          <w:sz w:val="36"/>
          <w:szCs w:val="36"/>
        </w:rPr>
        <w:t>Part A. Justification</w:t>
      </w:r>
    </w:p>
    <w:p w14:paraId="74DD1756" w14:textId="77777777" w:rsidR="008C394F" w:rsidRDefault="008C394F">
      <w:pPr>
        <w:rPr>
          <w:rFonts w:asciiTheme="majorHAnsi" w:eastAsiaTheme="majorEastAsia" w:hAnsiTheme="majorHAnsi" w:cstheme="majorBidi"/>
          <w:sz w:val="36"/>
          <w:szCs w:val="36"/>
        </w:rPr>
      </w:pPr>
      <w:r>
        <w:br w:type="page"/>
      </w:r>
    </w:p>
    <w:p w14:paraId="6564C8A5" w14:textId="03D09B29" w:rsidR="00B45002" w:rsidRPr="00D20211" w:rsidRDefault="00FC5B5A" w:rsidP="00C03179">
      <w:pPr>
        <w:pStyle w:val="Heading1"/>
        <w:pBdr>
          <w:bottom w:val="none" w:sz="0" w:space="0" w:color="auto"/>
        </w:pBdr>
        <w:rPr>
          <w:color w:val="auto"/>
        </w:rPr>
      </w:pPr>
      <w:bookmarkStart w:id="3" w:name="_Toc532912773"/>
      <w:r w:rsidRPr="00D20211">
        <w:rPr>
          <w:color w:val="auto"/>
        </w:rPr>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14:paraId="19324432" w14:textId="41F49438" w:rsidR="00FC5B5A" w:rsidRDefault="00FC5B5A" w:rsidP="00601F1A"/>
    <w:p w14:paraId="3E6417AC" w14:textId="0539C55A" w:rsidR="00A75C00" w:rsidRPr="00A75C00" w:rsidRDefault="00A75C00" w:rsidP="00A75C00">
      <w:pPr>
        <w:autoSpaceDE w:val="0"/>
        <w:autoSpaceDN w:val="0"/>
        <w:adjustRightInd w:val="0"/>
        <w:spacing w:line="276" w:lineRule="auto"/>
        <w:rPr>
          <w:rFonts w:cstheme="minorHAnsi"/>
          <w:bCs/>
          <w:sz w:val="24"/>
          <w:szCs w:val="24"/>
        </w:rPr>
      </w:pPr>
      <w:r w:rsidRPr="00A75C00">
        <w:rPr>
          <w:rFonts w:cstheme="minorHAnsi"/>
          <w:sz w:val="24"/>
          <w:szCs w:val="24"/>
        </w:rPr>
        <w:t xml:space="preserve">Per- and polyfluoroalkyl substances (PFAS) are a family of environmentally and biologically persistent chemicals used in industrial applications such as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bases and/or surrounding communities. In 2016, the U.S. Environmental Protection Agency (USEPA) issued a lifetime health advisory level of 0.07 total micrograms of perfluorooctanoate (PFOA) and perfluorooctane sulfonate (PFOS) combined per liter of drinking water (µg/L). In response to growing awareness of the extent of PFAS contamination across the U.S., </w:t>
      </w:r>
      <w:r w:rsidRPr="00A75C00">
        <w:rPr>
          <w:rFonts w:cstheme="minorHAnsi"/>
          <w:color w:val="151515"/>
          <w:sz w:val="24"/>
          <w:szCs w:val="24"/>
        </w:rPr>
        <w:t xml:space="preserve">Section </w:t>
      </w:r>
      <w:r w:rsidR="00F72CED">
        <w:rPr>
          <w:rFonts w:cstheme="minorHAnsi"/>
          <w:color w:val="151515"/>
          <w:sz w:val="24"/>
          <w:szCs w:val="24"/>
        </w:rPr>
        <w:t>800</w:t>
      </w:r>
      <w:r w:rsidRPr="00A75C00">
        <w:rPr>
          <w:rFonts w:cstheme="minorHAnsi"/>
          <w:color w:val="151515"/>
          <w:sz w:val="24"/>
          <w:szCs w:val="24"/>
        </w:rPr>
        <w:t xml:space="preserve">6 of the </w:t>
      </w:r>
      <w:r w:rsidR="00F72CED">
        <w:rPr>
          <w:rFonts w:cstheme="minorHAnsi"/>
          <w:color w:val="151515"/>
          <w:sz w:val="24"/>
          <w:szCs w:val="24"/>
        </w:rPr>
        <w:t>Consolidated Appropriations</w:t>
      </w:r>
      <w:r w:rsidRPr="00A75C00">
        <w:rPr>
          <w:rFonts w:cstheme="minorHAnsi"/>
          <w:color w:val="151515"/>
          <w:sz w:val="24"/>
          <w:szCs w:val="24"/>
        </w:rPr>
        <w:t xml:space="preserve"> Act</w:t>
      </w:r>
      <w:r w:rsidR="00F72CED">
        <w:rPr>
          <w:rFonts w:cstheme="minorHAnsi"/>
          <w:color w:val="151515"/>
          <w:sz w:val="24"/>
          <w:szCs w:val="24"/>
        </w:rPr>
        <w:t>, 2018</w:t>
      </w:r>
      <w:r w:rsidRPr="00A75C00">
        <w:rPr>
          <w:rFonts w:cstheme="minorHAnsi"/>
          <w:color w:val="151515"/>
          <w:sz w:val="24"/>
          <w:szCs w:val="24"/>
        </w:rPr>
        <w:t xml:space="preserve"> (</w:t>
      </w:r>
      <w:r w:rsidRPr="00A75C00">
        <w:rPr>
          <w:rFonts w:cstheme="minorHAnsi"/>
          <w:bCs/>
          <w:sz w:val="24"/>
          <w:szCs w:val="24"/>
        </w:rPr>
        <w:t>Public Law 115-</w:t>
      </w:r>
      <w:r w:rsidR="00F72CED">
        <w:rPr>
          <w:rFonts w:cstheme="minorHAnsi"/>
          <w:bCs/>
          <w:sz w:val="24"/>
          <w:szCs w:val="24"/>
        </w:rPr>
        <w:t>141</w:t>
      </w:r>
      <w:r w:rsidRPr="00A75C00">
        <w:rPr>
          <w:rFonts w:cstheme="minorHAnsi"/>
          <w:bCs/>
          <w:sz w:val="24"/>
          <w:szCs w:val="24"/>
        </w:rPr>
        <w:t>) authorized the Agency for Toxic Substances and Disease Registry (ATSDR) to conduct a study on the human health effects of PFAS contamination in drinking water</w:t>
      </w:r>
      <w:r w:rsidR="005D015D">
        <w:rPr>
          <w:rFonts w:cstheme="minorHAnsi"/>
          <w:bCs/>
          <w:sz w:val="24"/>
          <w:szCs w:val="24"/>
        </w:rPr>
        <w:t xml:space="preserve"> (</w:t>
      </w:r>
      <w:r w:rsidR="005D015D">
        <w:rPr>
          <w:rFonts w:cstheme="minorHAnsi"/>
          <w:b/>
          <w:bCs/>
          <w:sz w:val="24"/>
          <w:szCs w:val="24"/>
        </w:rPr>
        <w:t>Appendix A</w:t>
      </w:r>
      <w:r w:rsidR="00D72F04">
        <w:rPr>
          <w:rFonts w:cstheme="minorHAnsi"/>
          <w:b/>
          <w:bCs/>
          <w:sz w:val="24"/>
          <w:szCs w:val="24"/>
        </w:rPr>
        <w:t>1</w:t>
      </w:r>
      <w:r w:rsidR="005D015D">
        <w:rPr>
          <w:rFonts w:cstheme="minorHAnsi"/>
          <w:bCs/>
          <w:sz w:val="24"/>
          <w:szCs w:val="24"/>
        </w:rPr>
        <w:t>)</w:t>
      </w:r>
      <w:r w:rsidRPr="00A75C00">
        <w:rPr>
          <w:rFonts w:cstheme="minorHAnsi"/>
          <w:bCs/>
          <w:sz w:val="24"/>
          <w:szCs w:val="24"/>
        </w:rPr>
        <w:t xml:space="preserve">. </w:t>
      </w:r>
    </w:p>
    <w:p w14:paraId="4EC9764C" w14:textId="7321580A" w:rsidR="005D015D" w:rsidRPr="005D015D" w:rsidRDefault="00A75C00" w:rsidP="005D015D">
      <w:pPr>
        <w:spacing w:line="276" w:lineRule="auto"/>
        <w:rPr>
          <w:rFonts w:cstheme="minorHAnsi"/>
          <w:sz w:val="24"/>
          <w:szCs w:val="24"/>
        </w:rPr>
      </w:pPr>
      <w:r w:rsidRPr="00A75C00">
        <w:rPr>
          <w:rFonts w:cstheme="minorHAnsi"/>
          <w:bCs/>
          <w:sz w:val="24"/>
          <w:szCs w:val="24"/>
        </w:rPr>
        <w:t xml:space="preserve">In response, </w:t>
      </w:r>
      <w:r w:rsidR="005D015D">
        <w:rPr>
          <w:sz w:val="24"/>
          <w:szCs w:val="24"/>
        </w:rPr>
        <w:t>t</w:t>
      </w:r>
      <w:r w:rsidR="005D015D" w:rsidRPr="00067C9F">
        <w:rPr>
          <w:sz w:val="24"/>
          <w:szCs w:val="24"/>
        </w:rPr>
        <w:t xml:space="preserve">he Agency for Toxic Substances and Disease Registry (ATSDR) </w:t>
      </w:r>
      <w:r w:rsidRPr="00A75C00">
        <w:rPr>
          <w:rFonts w:cstheme="minorHAnsi"/>
          <w:bCs/>
          <w:sz w:val="24"/>
          <w:szCs w:val="24"/>
        </w:rPr>
        <w:t xml:space="preserve"> is requesting a three-year Paperwork Reduction Act (PRA) clearanc</w:t>
      </w:r>
      <w:r w:rsidR="005D015D">
        <w:rPr>
          <w:rFonts w:cstheme="minorHAnsi"/>
          <w:bCs/>
          <w:sz w:val="24"/>
          <w:szCs w:val="24"/>
        </w:rPr>
        <w:t xml:space="preserve">e </w:t>
      </w:r>
      <w:r w:rsidR="005D015D" w:rsidRPr="00067C9F">
        <w:rPr>
          <w:sz w:val="24"/>
          <w:szCs w:val="24"/>
        </w:rPr>
        <w:t xml:space="preserve">for a new information collection titled </w:t>
      </w:r>
      <w:r w:rsidR="005D015D">
        <w:rPr>
          <w:sz w:val="24"/>
          <w:szCs w:val="24"/>
        </w:rPr>
        <w:t>“</w:t>
      </w:r>
      <w:r w:rsidR="005D015D" w:rsidRPr="00067C9F">
        <w:rPr>
          <w:bCs/>
          <w:iCs/>
          <w:color w:val="000000"/>
          <w:sz w:val="24"/>
          <w:szCs w:val="24"/>
        </w:rPr>
        <w:t xml:space="preserve">Human Health Effects of Drinking Water Exposures to Per- and Polyfluoroalkyl Substances (PFAS) at </w:t>
      </w:r>
      <w:r w:rsidR="005D015D" w:rsidRPr="00A75C00">
        <w:rPr>
          <w:rFonts w:cstheme="minorHAnsi"/>
          <w:bCs/>
          <w:iCs/>
          <w:color w:val="000000"/>
          <w:sz w:val="24"/>
          <w:szCs w:val="24"/>
        </w:rPr>
        <w:t>Pease International Tradeport, Portsmouth, NH (The Pease Study).”</w:t>
      </w:r>
      <w:r w:rsidR="005D015D">
        <w:rPr>
          <w:rFonts w:cstheme="minorHAnsi"/>
          <w:sz w:val="24"/>
          <w:szCs w:val="24"/>
        </w:rPr>
        <w:t xml:space="preserve"> </w:t>
      </w:r>
      <w:r w:rsidR="005D015D">
        <w:rPr>
          <w:rFonts w:cstheme="minorHAnsi"/>
          <w:bCs/>
          <w:sz w:val="24"/>
          <w:szCs w:val="24"/>
        </w:rPr>
        <w:t>T</w:t>
      </w:r>
      <w:r w:rsidR="00C9372F">
        <w:rPr>
          <w:rFonts w:cstheme="minorHAnsi"/>
          <w:bCs/>
          <w:sz w:val="24"/>
          <w:szCs w:val="24"/>
        </w:rPr>
        <w:t xml:space="preserve">he Pease Study </w:t>
      </w:r>
      <w:r w:rsidRPr="00A75C00">
        <w:rPr>
          <w:rFonts w:cstheme="minorHAnsi"/>
          <w:bCs/>
          <w:sz w:val="24"/>
          <w:szCs w:val="24"/>
        </w:rPr>
        <w:t xml:space="preserve">will serve as a proof-of-concept model for a national multi-site study of PFAS health effects. The existence of a large body of state and local environmental monitoring and population blood testing data makes the Pease community in Portsmouth, NH, particularly suitable as ATSDR’s initial PFAS research study site. </w:t>
      </w:r>
    </w:p>
    <w:p w14:paraId="20ECFEFF" w14:textId="1405E2E7" w:rsidR="00A75C00" w:rsidRPr="00310190" w:rsidRDefault="00A75C00" w:rsidP="00310190">
      <w:pPr>
        <w:autoSpaceDE w:val="0"/>
        <w:autoSpaceDN w:val="0"/>
        <w:adjustRightInd w:val="0"/>
        <w:spacing w:line="276" w:lineRule="auto"/>
        <w:rPr>
          <w:rFonts w:cstheme="minorHAnsi"/>
          <w:bCs/>
          <w:sz w:val="24"/>
          <w:szCs w:val="24"/>
        </w:rPr>
      </w:pPr>
      <w:r w:rsidRPr="00A75C00">
        <w:rPr>
          <w:rFonts w:cstheme="minorHAnsi"/>
          <w:sz w:val="24"/>
          <w:szCs w:val="24"/>
        </w:rPr>
        <w:t>From approximately 1970 until 1991, the Air Force used AFFF for firefighting and training</w:t>
      </w:r>
      <w:r w:rsidR="00310190">
        <w:rPr>
          <w:rFonts w:cstheme="minorHAnsi"/>
          <w:sz w:val="24"/>
          <w:szCs w:val="24"/>
        </w:rPr>
        <w:t xml:space="preserve"> at Pease Air F</w:t>
      </w:r>
      <w:r w:rsidRPr="00A75C00">
        <w:rPr>
          <w:rFonts w:cstheme="minorHAnsi"/>
          <w:sz w:val="24"/>
          <w:szCs w:val="24"/>
        </w:rPr>
        <w:t xml:space="preserve">orce Base. </w:t>
      </w:r>
      <w:r w:rsidRPr="00A75C00">
        <w:rPr>
          <w:rFonts w:cstheme="minorHAnsi"/>
          <w:bCs/>
          <w:sz w:val="24"/>
          <w:szCs w:val="24"/>
        </w:rPr>
        <w:t>The base closed in 1991, and was converted to a large business and aviation industrial park in 1993, the Pease International Tradeport. In 2014, PFAS drinking water concentrations were detected (</w:t>
      </w:r>
      <w:r w:rsidRPr="00A75C00">
        <w:rPr>
          <w:rFonts w:cstheme="minorHAnsi"/>
          <w:sz w:val="24"/>
          <w:szCs w:val="24"/>
        </w:rPr>
        <w:t>0.35 µg/L PFOA and 2.4 µg/L PFOS</w:t>
      </w:r>
      <w:r w:rsidRPr="00A75C00">
        <w:rPr>
          <w:rFonts w:cstheme="minorHAnsi"/>
          <w:bCs/>
          <w:sz w:val="24"/>
          <w:szCs w:val="24"/>
        </w:rPr>
        <w:t xml:space="preserve">) at levels well above what was to become the USEPA lifetime health advisory level (0.07 </w:t>
      </w:r>
      <w:r w:rsidRPr="00A75C00">
        <w:rPr>
          <w:rFonts w:cstheme="minorHAnsi"/>
          <w:sz w:val="24"/>
          <w:szCs w:val="24"/>
        </w:rPr>
        <w:t>µg/L PFOA/PFOS)</w:t>
      </w:r>
      <w:r w:rsidRPr="00A75C00">
        <w:rPr>
          <w:rFonts w:cstheme="minorHAnsi"/>
          <w:bCs/>
          <w:sz w:val="24"/>
          <w:szCs w:val="24"/>
        </w:rPr>
        <w:t xml:space="preserve">. In 2015-7, the New Hampshire Department of Health and Human Services (NH DHHS) offered a PFAS blood testing program to the community. The blood testing program showed that the Pease </w:t>
      </w:r>
      <w:r w:rsidRPr="00310190">
        <w:rPr>
          <w:rFonts w:cstheme="minorHAnsi"/>
          <w:bCs/>
          <w:sz w:val="24"/>
          <w:szCs w:val="24"/>
        </w:rPr>
        <w:t>population had concentrations of some types of PFAS that were two to three times higher than national estimates.</w:t>
      </w:r>
    </w:p>
    <w:p w14:paraId="790EBA06" w14:textId="0FCEC5D4" w:rsidR="001C4BC2" w:rsidRDefault="00310190" w:rsidP="00E4175B">
      <w:pPr>
        <w:spacing w:line="276" w:lineRule="auto"/>
        <w:rPr>
          <w:rFonts w:cstheme="minorHAnsi"/>
          <w:bCs/>
          <w:sz w:val="24"/>
          <w:szCs w:val="24"/>
        </w:rPr>
      </w:pPr>
      <w:r>
        <w:rPr>
          <w:rFonts w:cstheme="minorHAnsi"/>
          <w:color w:val="151515"/>
          <w:sz w:val="24"/>
          <w:szCs w:val="24"/>
        </w:rPr>
        <w:t>ATSDR and the Centers for Disease Control (CDC) National Center for</w:t>
      </w:r>
      <w:r w:rsidR="00E24DDB">
        <w:rPr>
          <w:rFonts w:cstheme="minorHAnsi"/>
          <w:color w:val="151515"/>
          <w:sz w:val="24"/>
          <w:szCs w:val="24"/>
        </w:rPr>
        <w:t xml:space="preserve"> Environmental Health (NCEH) were</w:t>
      </w:r>
      <w:r w:rsidR="00956798">
        <w:rPr>
          <w:rFonts w:cstheme="minorHAnsi"/>
          <w:color w:val="151515"/>
          <w:sz w:val="24"/>
          <w:szCs w:val="24"/>
        </w:rPr>
        <w:t xml:space="preserve"> mandat</w:t>
      </w:r>
      <w:r>
        <w:rPr>
          <w:rFonts w:cstheme="minorHAnsi"/>
          <w:color w:val="151515"/>
          <w:sz w:val="24"/>
          <w:szCs w:val="24"/>
        </w:rPr>
        <w:t xml:space="preserve">ed the </w:t>
      </w:r>
      <w:r w:rsidRPr="00310190">
        <w:rPr>
          <w:rFonts w:cstheme="minorHAnsi"/>
          <w:color w:val="151515"/>
          <w:sz w:val="24"/>
          <w:szCs w:val="24"/>
        </w:rPr>
        <w:t xml:space="preserve">authority to conduct </w:t>
      </w:r>
      <w:r>
        <w:rPr>
          <w:rFonts w:cstheme="minorHAnsi"/>
          <w:color w:val="151515"/>
          <w:sz w:val="24"/>
          <w:szCs w:val="24"/>
        </w:rPr>
        <w:t>research on PFAS</w:t>
      </w:r>
      <w:r w:rsidRPr="00310190">
        <w:rPr>
          <w:rFonts w:cstheme="minorHAnsi"/>
          <w:color w:val="151515"/>
          <w:sz w:val="24"/>
          <w:szCs w:val="24"/>
        </w:rPr>
        <w:t xml:space="preserve"> </w:t>
      </w:r>
      <w:r w:rsidRPr="00310190">
        <w:rPr>
          <w:rFonts w:cstheme="minorHAnsi"/>
          <w:sz w:val="24"/>
          <w:szCs w:val="24"/>
        </w:rPr>
        <w:t>contamination in drin</w:t>
      </w:r>
      <w:r w:rsidR="00D72F04">
        <w:rPr>
          <w:rFonts w:cstheme="minorHAnsi"/>
          <w:sz w:val="24"/>
          <w:szCs w:val="24"/>
        </w:rPr>
        <w:t>king water</w:t>
      </w:r>
      <w:r>
        <w:rPr>
          <w:rFonts w:cstheme="minorHAnsi"/>
          <w:sz w:val="24"/>
          <w:szCs w:val="24"/>
        </w:rPr>
        <w:t xml:space="preserve"> in</w:t>
      </w:r>
      <w:r w:rsidRPr="00310190">
        <w:rPr>
          <w:rFonts w:cstheme="minorHAnsi"/>
          <w:color w:val="151515"/>
          <w:sz w:val="24"/>
          <w:szCs w:val="24"/>
        </w:rPr>
        <w:t xml:space="preserve"> Section </w:t>
      </w:r>
      <w:r w:rsidR="00F72CED">
        <w:rPr>
          <w:rFonts w:cstheme="minorHAnsi"/>
          <w:color w:val="151515"/>
          <w:sz w:val="24"/>
          <w:szCs w:val="24"/>
        </w:rPr>
        <w:t>8006 of the Consolidated Appropriations Act, 2018 (PL 115-141)</w:t>
      </w:r>
      <w:r w:rsidR="00D72F04">
        <w:rPr>
          <w:rFonts w:cstheme="minorHAnsi"/>
          <w:bCs/>
          <w:sz w:val="24"/>
          <w:szCs w:val="24"/>
        </w:rPr>
        <w:t xml:space="preserve"> (</w:t>
      </w:r>
      <w:r w:rsidR="00D72F04">
        <w:rPr>
          <w:rFonts w:cstheme="minorHAnsi"/>
          <w:b/>
          <w:bCs/>
          <w:sz w:val="24"/>
          <w:szCs w:val="24"/>
        </w:rPr>
        <w:t>Appendix A1</w:t>
      </w:r>
      <w:r w:rsidR="00D72F04">
        <w:rPr>
          <w:rFonts w:cstheme="minorHAnsi"/>
          <w:bCs/>
          <w:sz w:val="24"/>
          <w:szCs w:val="24"/>
        </w:rPr>
        <w:t>)</w:t>
      </w:r>
      <w:r>
        <w:rPr>
          <w:rFonts w:cstheme="minorHAnsi"/>
          <w:bCs/>
          <w:sz w:val="24"/>
          <w:szCs w:val="24"/>
        </w:rPr>
        <w:t xml:space="preserve">. </w:t>
      </w:r>
    </w:p>
    <w:p w14:paraId="79245B46" w14:textId="77777777" w:rsidR="001C4BC2" w:rsidRDefault="00D72F04" w:rsidP="00E4175B">
      <w:pPr>
        <w:spacing w:line="276" w:lineRule="auto"/>
        <w:rPr>
          <w:rFonts w:cstheme="minorHAnsi"/>
          <w:sz w:val="24"/>
          <w:szCs w:val="24"/>
        </w:rPr>
      </w:pPr>
      <w:r>
        <w:rPr>
          <w:rFonts w:cstheme="minorHAnsi"/>
          <w:bCs/>
          <w:sz w:val="24"/>
          <w:szCs w:val="24"/>
        </w:rPr>
        <w:t>ATSDR has the general authority to conduct research</w:t>
      </w:r>
      <w:r w:rsidR="00310190" w:rsidRPr="00310190">
        <w:rPr>
          <w:rFonts w:cstheme="minorHAnsi"/>
          <w:bCs/>
          <w:sz w:val="24"/>
          <w:szCs w:val="24"/>
        </w:rPr>
        <w:t xml:space="preserve"> under the </w:t>
      </w:r>
      <w:r w:rsidR="00310190" w:rsidRPr="00310190">
        <w:rPr>
          <w:rFonts w:cstheme="minorHAnsi"/>
          <w:color w:val="000000"/>
          <w:sz w:val="24"/>
          <w:szCs w:val="24"/>
          <w:lang w:val="en"/>
        </w:rPr>
        <w:t>Comprehensive Environmental Response, Compensa</w:t>
      </w:r>
      <w:r w:rsidR="00310190">
        <w:rPr>
          <w:rFonts w:cstheme="minorHAnsi"/>
          <w:color w:val="000000"/>
          <w:sz w:val="24"/>
          <w:szCs w:val="24"/>
          <w:lang w:val="en"/>
        </w:rPr>
        <w:t>tion, and Liability Act of 1980</w:t>
      </w:r>
      <w:r>
        <w:rPr>
          <w:rFonts w:cstheme="minorHAnsi"/>
          <w:color w:val="000000"/>
          <w:sz w:val="24"/>
          <w:szCs w:val="24"/>
          <w:lang w:val="en"/>
        </w:rPr>
        <w:t xml:space="preserve"> </w:t>
      </w:r>
      <w:r w:rsidR="00C75B39">
        <w:rPr>
          <w:rFonts w:cstheme="minorHAnsi"/>
          <w:color w:val="000000"/>
          <w:sz w:val="24"/>
          <w:szCs w:val="24"/>
          <w:lang w:val="en"/>
        </w:rPr>
        <w:t xml:space="preserve">(CERCLA) </w:t>
      </w:r>
      <w:r>
        <w:rPr>
          <w:rFonts w:cstheme="minorHAnsi"/>
          <w:color w:val="000000"/>
          <w:sz w:val="24"/>
          <w:szCs w:val="24"/>
          <w:lang w:val="en"/>
        </w:rPr>
        <w:t xml:space="preserve">as amended by the </w:t>
      </w:r>
      <w:r w:rsidR="00310190" w:rsidRPr="00310190">
        <w:rPr>
          <w:rFonts w:cstheme="minorHAnsi"/>
          <w:color w:val="000000"/>
          <w:sz w:val="24"/>
          <w:szCs w:val="24"/>
          <w:lang w:val="en"/>
        </w:rPr>
        <w:t xml:space="preserve">Superfund Amendments </w:t>
      </w:r>
      <w:r>
        <w:rPr>
          <w:rFonts w:cstheme="minorHAnsi"/>
          <w:color w:val="000000"/>
          <w:sz w:val="24"/>
          <w:szCs w:val="24"/>
          <w:lang w:val="en"/>
        </w:rPr>
        <w:t>and Reauthorization Act of 1986</w:t>
      </w:r>
      <w:r w:rsidR="00C75B39">
        <w:rPr>
          <w:rFonts w:cstheme="minorHAnsi"/>
          <w:color w:val="000000"/>
          <w:sz w:val="24"/>
          <w:szCs w:val="24"/>
          <w:lang w:val="en"/>
        </w:rPr>
        <w:t xml:space="preserve"> (SARA)</w:t>
      </w:r>
      <w:r w:rsidR="00310190" w:rsidRPr="00310190">
        <w:rPr>
          <w:rFonts w:cstheme="minorHAnsi"/>
          <w:color w:val="000000"/>
          <w:sz w:val="24"/>
          <w:szCs w:val="24"/>
          <w:lang w:val="en"/>
        </w:rPr>
        <w:t xml:space="preserve"> (</w:t>
      </w:r>
      <w:r>
        <w:rPr>
          <w:rFonts w:cstheme="minorHAnsi"/>
          <w:color w:val="000000"/>
          <w:sz w:val="24"/>
          <w:szCs w:val="24"/>
          <w:lang w:val="en"/>
        </w:rPr>
        <w:t xml:space="preserve">42 U.S.C. 9601, 9604); </w:t>
      </w:r>
      <w:r w:rsidRPr="00E4175B">
        <w:rPr>
          <w:rFonts w:cstheme="minorHAnsi"/>
          <w:color w:val="000000"/>
          <w:sz w:val="24"/>
          <w:szCs w:val="24"/>
          <w:lang w:val="en"/>
        </w:rPr>
        <w:t xml:space="preserve">and the </w:t>
      </w:r>
      <w:r w:rsidR="00310190" w:rsidRPr="00E4175B">
        <w:rPr>
          <w:rFonts w:cstheme="minorHAnsi"/>
          <w:color w:val="000000"/>
          <w:sz w:val="24"/>
          <w:szCs w:val="24"/>
          <w:lang w:val="en"/>
        </w:rPr>
        <w:t>Resource Conser</w:t>
      </w:r>
      <w:r w:rsidRPr="00E4175B">
        <w:rPr>
          <w:rFonts w:cstheme="minorHAnsi"/>
          <w:color w:val="000000"/>
          <w:sz w:val="24"/>
          <w:szCs w:val="24"/>
          <w:lang w:val="en"/>
        </w:rPr>
        <w:t>vation and Recovery Act of 1976</w:t>
      </w:r>
      <w:r w:rsidR="00310190" w:rsidRPr="00E4175B">
        <w:rPr>
          <w:rFonts w:cstheme="minorHAnsi"/>
          <w:color w:val="000000"/>
          <w:sz w:val="24"/>
          <w:szCs w:val="24"/>
          <w:lang w:val="en"/>
        </w:rPr>
        <w:t xml:space="preserve"> </w:t>
      </w:r>
      <w:r w:rsidR="00C75B39" w:rsidRPr="00E4175B">
        <w:rPr>
          <w:rFonts w:cstheme="minorHAnsi"/>
          <w:color w:val="000000"/>
          <w:sz w:val="24"/>
          <w:szCs w:val="24"/>
          <w:lang w:val="en"/>
        </w:rPr>
        <w:t xml:space="preserve">(RCRA) </w:t>
      </w:r>
      <w:r w:rsidR="00310190" w:rsidRPr="00E4175B">
        <w:rPr>
          <w:rFonts w:cstheme="minorHAnsi"/>
          <w:color w:val="000000"/>
          <w:sz w:val="24"/>
          <w:szCs w:val="24"/>
          <w:lang w:val="en"/>
        </w:rPr>
        <w:t>as amended in 1984 (42 U.S.C. 6901)</w:t>
      </w:r>
      <w:r w:rsidRPr="00E4175B">
        <w:rPr>
          <w:rFonts w:cstheme="minorHAnsi"/>
          <w:color w:val="000000"/>
          <w:sz w:val="24"/>
          <w:szCs w:val="24"/>
          <w:lang w:val="en"/>
        </w:rPr>
        <w:t xml:space="preserve"> (</w:t>
      </w:r>
      <w:r w:rsidRPr="00E4175B">
        <w:rPr>
          <w:rFonts w:cstheme="minorHAnsi"/>
          <w:b/>
          <w:color w:val="000000"/>
          <w:sz w:val="24"/>
          <w:szCs w:val="24"/>
          <w:lang w:val="en"/>
        </w:rPr>
        <w:t>Appendix A2</w:t>
      </w:r>
      <w:r w:rsidRPr="00E4175B">
        <w:rPr>
          <w:rFonts w:cstheme="minorHAnsi"/>
          <w:color w:val="000000"/>
          <w:sz w:val="24"/>
          <w:szCs w:val="24"/>
          <w:lang w:val="en"/>
        </w:rPr>
        <w:t>)</w:t>
      </w:r>
      <w:r w:rsidR="00310190" w:rsidRPr="00E4175B">
        <w:rPr>
          <w:rFonts w:cstheme="minorHAnsi"/>
          <w:color w:val="000000"/>
          <w:sz w:val="24"/>
          <w:szCs w:val="24"/>
          <w:lang w:val="en"/>
        </w:rPr>
        <w:t>.</w:t>
      </w:r>
      <w:r w:rsidR="00310190" w:rsidRPr="00E4175B">
        <w:rPr>
          <w:rFonts w:cstheme="minorHAnsi"/>
          <w:sz w:val="24"/>
          <w:szCs w:val="24"/>
        </w:rPr>
        <w:t xml:space="preserve"> </w:t>
      </w:r>
    </w:p>
    <w:p w14:paraId="480C428E" w14:textId="1FEA434B" w:rsidR="004E62B1" w:rsidRPr="00E4175B" w:rsidRDefault="00D72F04" w:rsidP="00E4175B">
      <w:pPr>
        <w:spacing w:line="276" w:lineRule="auto"/>
        <w:rPr>
          <w:rFonts w:cstheme="minorHAnsi"/>
          <w:sz w:val="24"/>
          <w:szCs w:val="24"/>
        </w:rPr>
      </w:pPr>
      <w:r w:rsidRPr="00E4175B">
        <w:rPr>
          <w:rFonts w:cstheme="minorHAnsi"/>
          <w:sz w:val="24"/>
          <w:szCs w:val="24"/>
        </w:rPr>
        <w:t xml:space="preserve">NCEH is </w:t>
      </w:r>
      <w:r w:rsidR="008C6414" w:rsidRPr="00E4175B">
        <w:rPr>
          <w:rFonts w:cstheme="minorHAnsi"/>
          <w:sz w:val="24"/>
          <w:szCs w:val="24"/>
        </w:rPr>
        <w:t xml:space="preserve">generally </w:t>
      </w:r>
      <w:r w:rsidRPr="00E4175B">
        <w:rPr>
          <w:rFonts w:cstheme="minorHAnsi"/>
          <w:sz w:val="24"/>
          <w:szCs w:val="24"/>
        </w:rPr>
        <w:t>authorized to conduct resea</w:t>
      </w:r>
      <w:r w:rsidR="008C6414" w:rsidRPr="00E4175B">
        <w:rPr>
          <w:rFonts w:cstheme="minorHAnsi"/>
          <w:sz w:val="24"/>
          <w:szCs w:val="24"/>
        </w:rPr>
        <w:t xml:space="preserve">rch </w:t>
      </w:r>
      <w:r w:rsidRPr="00E4175B">
        <w:rPr>
          <w:rFonts w:cstheme="minorHAnsi"/>
          <w:sz w:val="24"/>
          <w:szCs w:val="24"/>
        </w:rPr>
        <w:t>under</w:t>
      </w:r>
      <w:r w:rsidR="00E4175B">
        <w:rPr>
          <w:rFonts w:cstheme="minorHAnsi"/>
          <w:sz w:val="24"/>
          <w:szCs w:val="24"/>
        </w:rPr>
        <w:t xml:space="preserve"> </w:t>
      </w:r>
      <w:r w:rsidR="00E4175B" w:rsidRPr="00E4175B">
        <w:rPr>
          <w:rFonts w:cstheme="minorHAnsi"/>
          <w:color w:val="000000"/>
          <w:sz w:val="24"/>
          <w:szCs w:val="24"/>
          <w:lang w:val="en"/>
        </w:rPr>
        <w:t>Public Health Service Act, Section 301, "Research and Investigation," (42 U.S.C. 241); and Sections 304, 306 and 308(d) which discuss authority to maintain data and provide assurances of confidentiality for health research and related activities</w:t>
      </w:r>
      <w:r w:rsidR="00E4175B">
        <w:rPr>
          <w:rFonts w:cstheme="minorHAnsi"/>
          <w:color w:val="000000"/>
          <w:sz w:val="24"/>
          <w:szCs w:val="24"/>
          <w:lang w:val="en"/>
        </w:rPr>
        <w:t xml:space="preserve"> (42 U.S.C. 242 b, k, and m(d)) </w:t>
      </w:r>
      <w:r w:rsidR="00E4175B" w:rsidRPr="00E4175B">
        <w:rPr>
          <w:rFonts w:cstheme="minorHAnsi"/>
          <w:sz w:val="24"/>
          <w:szCs w:val="24"/>
        </w:rPr>
        <w:t>(</w:t>
      </w:r>
      <w:r w:rsidR="00E4175B" w:rsidRPr="00E4175B">
        <w:rPr>
          <w:rFonts w:cstheme="minorHAnsi"/>
          <w:b/>
          <w:sz w:val="24"/>
          <w:szCs w:val="24"/>
        </w:rPr>
        <w:t>Appendix A3</w:t>
      </w:r>
      <w:r w:rsidR="00E4175B" w:rsidRPr="00E4175B">
        <w:rPr>
          <w:rFonts w:cstheme="minorHAnsi"/>
          <w:sz w:val="24"/>
          <w:szCs w:val="24"/>
        </w:rPr>
        <w:t>).</w:t>
      </w:r>
    </w:p>
    <w:p w14:paraId="124ED2F3" w14:textId="10B9C1B4" w:rsidR="001F53D2" w:rsidRPr="00067C9F" w:rsidRDefault="00752A9A" w:rsidP="00752A9A">
      <w:pPr>
        <w:rPr>
          <w:rFonts w:cstheme="minorHAnsi"/>
          <w:sz w:val="24"/>
          <w:szCs w:val="24"/>
        </w:rPr>
      </w:pPr>
      <w:r w:rsidRPr="00E4175B">
        <w:rPr>
          <w:rFonts w:cstheme="minorHAnsi"/>
          <w:sz w:val="24"/>
          <w:szCs w:val="24"/>
        </w:rPr>
        <w:t>T</w:t>
      </w:r>
      <w:r w:rsidR="0042567B" w:rsidRPr="00E4175B">
        <w:rPr>
          <w:rFonts w:cstheme="minorHAnsi"/>
          <w:sz w:val="24"/>
          <w:szCs w:val="24"/>
        </w:rPr>
        <w:t xml:space="preserve">he </w:t>
      </w:r>
      <w:r w:rsidR="001F53D2" w:rsidRPr="00E4175B">
        <w:rPr>
          <w:rFonts w:cstheme="minorHAnsi"/>
          <w:sz w:val="24"/>
          <w:szCs w:val="24"/>
        </w:rPr>
        <w:t>60-day Federal Register Notice</w:t>
      </w:r>
      <w:r w:rsidR="0042567B" w:rsidRPr="00E4175B">
        <w:rPr>
          <w:rFonts w:cstheme="minorHAnsi"/>
          <w:sz w:val="24"/>
          <w:szCs w:val="24"/>
        </w:rPr>
        <w:t xml:space="preserve"> was published on </w:t>
      </w:r>
      <w:r w:rsidR="00DD1DBF" w:rsidRPr="006169A4">
        <w:rPr>
          <w:rFonts w:cstheme="minorHAnsi"/>
          <w:sz w:val="24"/>
          <w:szCs w:val="24"/>
        </w:rPr>
        <w:t>08/27/2018</w:t>
      </w:r>
      <w:r w:rsidRPr="00E4175B">
        <w:rPr>
          <w:rFonts w:cstheme="minorHAnsi"/>
          <w:sz w:val="24"/>
          <w:szCs w:val="24"/>
        </w:rPr>
        <w:t xml:space="preserve"> (</w:t>
      </w:r>
      <w:r w:rsidRPr="00E4175B">
        <w:rPr>
          <w:rFonts w:cstheme="minorHAnsi"/>
          <w:b/>
          <w:sz w:val="24"/>
          <w:szCs w:val="24"/>
        </w:rPr>
        <w:t>Appendix B</w:t>
      </w:r>
      <w:r w:rsidR="0042567B" w:rsidRPr="00E4175B">
        <w:rPr>
          <w:rFonts w:cstheme="minorHAnsi"/>
          <w:sz w:val="24"/>
          <w:szCs w:val="24"/>
        </w:rPr>
        <w:t>) and is further</w:t>
      </w:r>
      <w:r w:rsidR="0042567B" w:rsidRPr="00752A9A">
        <w:rPr>
          <w:sz w:val="24"/>
          <w:szCs w:val="24"/>
        </w:rPr>
        <w:t xml:space="preserve"> discussed</w:t>
      </w:r>
      <w:r w:rsidR="00EB0B5C" w:rsidRPr="00752A9A">
        <w:rPr>
          <w:sz w:val="24"/>
          <w:szCs w:val="24"/>
        </w:rPr>
        <w:t xml:space="preserve"> in Section A.8.</w:t>
      </w:r>
    </w:p>
    <w:p w14:paraId="66725973" w14:textId="47F650D9" w:rsidR="00B45002" w:rsidRPr="00D20211" w:rsidRDefault="00601F1A" w:rsidP="00601F1A">
      <w:pPr>
        <w:pStyle w:val="Heading1"/>
        <w:pBdr>
          <w:bottom w:val="none" w:sz="0" w:space="0" w:color="auto"/>
        </w:pBdr>
        <w:rPr>
          <w:color w:val="auto"/>
        </w:rPr>
      </w:pPr>
      <w:bookmarkStart w:id="4" w:name="_Toc532912774"/>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6F33C8C1" w14:textId="13BF6D6A" w:rsidR="003A551F" w:rsidRDefault="0059372D" w:rsidP="00EC6FB0">
      <w:pPr>
        <w:spacing w:line="276" w:lineRule="auto"/>
        <w:rPr>
          <w:rFonts w:cstheme="minorHAnsi"/>
          <w:sz w:val="24"/>
          <w:szCs w:val="24"/>
        </w:rPr>
      </w:pPr>
      <w:r w:rsidRPr="003A551F">
        <w:rPr>
          <w:rFonts w:cstheme="minorHAnsi"/>
          <w:sz w:val="24"/>
          <w:szCs w:val="24"/>
        </w:rPr>
        <w:t>The Pease Study will be cross-sectional in design, drawing from a convenience sample of people with and without exposure to PFAS-contamina</w:t>
      </w:r>
      <w:r w:rsidR="00A36692">
        <w:rPr>
          <w:rFonts w:cstheme="minorHAnsi"/>
          <w:sz w:val="24"/>
          <w:szCs w:val="24"/>
        </w:rPr>
        <w:t xml:space="preserve">ted drinking water from Pease. </w:t>
      </w:r>
      <w:r w:rsidR="00310190" w:rsidRPr="003A551F">
        <w:rPr>
          <w:rFonts w:cstheme="minorHAnsi"/>
          <w:sz w:val="24"/>
          <w:szCs w:val="24"/>
        </w:rPr>
        <w:t xml:space="preserve">The main goals of the </w:t>
      </w:r>
      <w:r w:rsidR="00182241" w:rsidRPr="003A551F">
        <w:rPr>
          <w:rFonts w:cstheme="minorHAnsi"/>
          <w:sz w:val="24"/>
          <w:szCs w:val="24"/>
        </w:rPr>
        <w:t xml:space="preserve">research </w:t>
      </w:r>
      <w:r w:rsidR="00310190" w:rsidRPr="003A551F">
        <w:rPr>
          <w:rFonts w:cstheme="minorHAnsi"/>
          <w:sz w:val="24"/>
          <w:szCs w:val="24"/>
        </w:rPr>
        <w:t>study are to: 1) evaluate the study procedures and methods to identify any issues that need to be addressed before</w:t>
      </w:r>
      <w:r w:rsidR="00310190" w:rsidRPr="00A75C00">
        <w:rPr>
          <w:rFonts w:cstheme="minorHAnsi"/>
          <w:sz w:val="24"/>
          <w:szCs w:val="24"/>
        </w:rPr>
        <w:t xml:space="preserve"> embarking on a national multi-site study; and 2) examine associations between health outcomes and measured and historically reco</w:t>
      </w:r>
      <w:r w:rsidR="00A36692">
        <w:rPr>
          <w:rFonts w:cstheme="minorHAnsi"/>
          <w:sz w:val="24"/>
          <w:szCs w:val="24"/>
        </w:rPr>
        <w:t>nstructed serum levels of PFAS</w:t>
      </w:r>
      <w:r w:rsidR="0070679C">
        <w:rPr>
          <w:rFonts w:cstheme="minorHAnsi"/>
          <w:sz w:val="24"/>
          <w:szCs w:val="24"/>
        </w:rPr>
        <w:t>.</w:t>
      </w:r>
    </w:p>
    <w:p w14:paraId="161BCB26" w14:textId="580313B4" w:rsidR="00771373" w:rsidRDefault="003A551F" w:rsidP="002776E6">
      <w:pPr>
        <w:spacing w:line="276" w:lineRule="auto"/>
        <w:rPr>
          <w:rFonts w:cstheme="minorHAnsi"/>
          <w:sz w:val="24"/>
          <w:szCs w:val="24"/>
        </w:rPr>
      </w:pPr>
      <w:r>
        <w:rPr>
          <w:rFonts w:cstheme="minorHAnsi"/>
          <w:sz w:val="24"/>
          <w:szCs w:val="24"/>
        </w:rPr>
        <w:t xml:space="preserve">In 2017, ATSDR conducted a feasibility assessment and literature review to identify candidate </w:t>
      </w:r>
      <w:r w:rsidR="00C32C8D">
        <w:rPr>
          <w:rFonts w:cstheme="minorHAnsi"/>
          <w:sz w:val="24"/>
          <w:szCs w:val="24"/>
        </w:rPr>
        <w:t xml:space="preserve">designs and </w:t>
      </w:r>
      <w:r>
        <w:rPr>
          <w:rFonts w:cstheme="minorHAnsi"/>
          <w:sz w:val="24"/>
          <w:szCs w:val="24"/>
        </w:rPr>
        <w:t>health outcomes for the Pease Study and a national multi-site study</w:t>
      </w:r>
      <w:r w:rsidR="00000CA7">
        <w:rPr>
          <w:rFonts w:cstheme="minorHAnsi"/>
          <w:sz w:val="24"/>
          <w:szCs w:val="24"/>
        </w:rPr>
        <w:t xml:space="preserve"> (</w:t>
      </w:r>
      <w:r w:rsidR="00F521DB">
        <w:rPr>
          <w:rFonts w:cstheme="minorHAnsi"/>
          <w:b/>
          <w:sz w:val="24"/>
          <w:szCs w:val="24"/>
        </w:rPr>
        <w:t>Appendix C</w:t>
      </w:r>
      <w:r w:rsidR="00000CA7">
        <w:rPr>
          <w:rFonts w:cstheme="minorHAnsi"/>
          <w:sz w:val="24"/>
          <w:szCs w:val="24"/>
        </w:rPr>
        <w:t>)</w:t>
      </w:r>
      <w:r w:rsidR="00CB5F3C">
        <w:rPr>
          <w:rFonts w:cstheme="minorHAnsi"/>
          <w:sz w:val="24"/>
          <w:szCs w:val="24"/>
        </w:rPr>
        <w:t xml:space="preserve"> (</w:t>
      </w:r>
      <w:r w:rsidR="00CB5F3C" w:rsidRPr="00465528">
        <w:rPr>
          <w:rFonts w:cstheme="minorHAnsi"/>
          <w:sz w:val="24"/>
          <w:szCs w:val="24"/>
        </w:rPr>
        <w:t>ATSDR 2017</w:t>
      </w:r>
      <w:r w:rsidR="00CB5F3C">
        <w:rPr>
          <w:rFonts w:cstheme="minorHAnsi"/>
          <w:sz w:val="24"/>
          <w:szCs w:val="24"/>
        </w:rPr>
        <w:t>)</w:t>
      </w:r>
      <w:r>
        <w:rPr>
          <w:rFonts w:cstheme="minorHAnsi"/>
          <w:sz w:val="24"/>
          <w:szCs w:val="24"/>
        </w:rPr>
        <w:t xml:space="preserve">. </w:t>
      </w:r>
      <w:r w:rsidR="00771373">
        <w:rPr>
          <w:rFonts w:cstheme="minorHAnsi"/>
          <w:sz w:val="24"/>
          <w:szCs w:val="24"/>
        </w:rPr>
        <w:t>Based on the assessment, ATSDR has selected a cross-sectional design for the Pease Study. C</w:t>
      </w:r>
      <w:r w:rsidR="00771373" w:rsidRPr="003A551F">
        <w:rPr>
          <w:rFonts w:cstheme="minorHAnsi"/>
          <w:sz w:val="24"/>
          <w:szCs w:val="24"/>
        </w:rPr>
        <w:t xml:space="preserve">ross-sectional studies are especially suitable for assessing effect biomarkers and the prevalences of nonfatal diseases, in particular, diseases with no clear point of onset </w:t>
      </w:r>
      <w:r w:rsidR="00771373" w:rsidRPr="00A36692">
        <w:rPr>
          <w:rFonts w:cstheme="minorHAnsi"/>
          <w:sz w:val="24"/>
          <w:szCs w:val="24"/>
        </w:rPr>
        <w:t>(Checkoway 2004). ATSDR does acknowledge inherent limitations, as the cross-sectional study concurrently measures the exposure and the outcome (i.e., the disease o</w:t>
      </w:r>
      <w:r w:rsidR="00C32C8D" w:rsidRPr="00A36692">
        <w:rPr>
          <w:rFonts w:cstheme="minorHAnsi"/>
          <w:sz w:val="24"/>
          <w:szCs w:val="24"/>
        </w:rPr>
        <w:t>r effect biomarker). Concurrent measures make it</w:t>
      </w:r>
      <w:r w:rsidR="00771373" w:rsidRPr="00A36692">
        <w:rPr>
          <w:rFonts w:cstheme="minorHAnsi"/>
          <w:sz w:val="24"/>
          <w:szCs w:val="24"/>
        </w:rPr>
        <w:t xml:space="preserve"> difficult to determine whether the exposure caused the outcome or whether the outcome influenced the measured exposure level (Flanders 1992, 2016).</w:t>
      </w:r>
      <w:r w:rsidR="00771373">
        <w:rPr>
          <w:rFonts w:cstheme="minorHAnsi"/>
          <w:sz w:val="24"/>
          <w:szCs w:val="24"/>
        </w:rPr>
        <w:t xml:space="preserve"> ATSDR aims to incorporate historically reconstructed serum levels PFAS to partially address this limitation</w:t>
      </w:r>
      <w:r w:rsidR="002776E6">
        <w:rPr>
          <w:rFonts w:cstheme="minorHAnsi"/>
          <w:sz w:val="24"/>
          <w:szCs w:val="24"/>
        </w:rPr>
        <w:t>.</w:t>
      </w:r>
      <w:r w:rsidR="00771373">
        <w:rPr>
          <w:rFonts w:cstheme="minorHAnsi"/>
          <w:sz w:val="24"/>
          <w:szCs w:val="24"/>
        </w:rPr>
        <w:t xml:space="preserve"> </w:t>
      </w:r>
      <w:r w:rsidR="002776E6">
        <w:rPr>
          <w:rFonts w:cstheme="minorHAnsi"/>
          <w:sz w:val="24"/>
          <w:szCs w:val="24"/>
        </w:rPr>
        <w:t xml:space="preserve">The </w:t>
      </w:r>
      <w:r w:rsidR="00C32C8D">
        <w:rPr>
          <w:rFonts w:cstheme="minorHAnsi"/>
          <w:sz w:val="24"/>
          <w:szCs w:val="24"/>
        </w:rPr>
        <w:t xml:space="preserve">initial </w:t>
      </w:r>
      <w:r w:rsidR="002776E6">
        <w:rPr>
          <w:rFonts w:cstheme="minorHAnsi"/>
          <w:sz w:val="24"/>
          <w:szCs w:val="24"/>
        </w:rPr>
        <w:t xml:space="preserve">results of the Pease Study and the national multi-site study may justify prospective </w:t>
      </w:r>
      <w:r w:rsidR="00C32C8D">
        <w:rPr>
          <w:rFonts w:cstheme="minorHAnsi"/>
          <w:sz w:val="24"/>
          <w:szCs w:val="24"/>
        </w:rPr>
        <w:t xml:space="preserve">PFAS </w:t>
      </w:r>
      <w:r w:rsidR="002776E6">
        <w:rPr>
          <w:rFonts w:cstheme="minorHAnsi"/>
          <w:sz w:val="24"/>
          <w:szCs w:val="24"/>
        </w:rPr>
        <w:t>studies in the future, which can be</w:t>
      </w:r>
      <w:r w:rsidR="0094386E">
        <w:rPr>
          <w:rFonts w:cstheme="minorHAnsi"/>
          <w:sz w:val="24"/>
          <w:szCs w:val="24"/>
        </w:rPr>
        <w:t xml:space="preserve"> much more</w:t>
      </w:r>
      <w:r w:rsidR="002776E6">
        <w:rPr>
          <w:rFonts w:cstheme="minorHAnsi"/>
          <w:sz w:val="24"/>
          <w:szCs w:val="24"/>
        </w:rPr>
        <w:t xml:space="preserve"> costly</w:t>
      </w:r>
      <w:r w:rsidR="0094386E">
        <w:rPr>
          <w:rFonts w:cstheme="minorHAnsi"/>
          <w:sz w:val="24"/>
          <w:szCs w:val="24"/>
        </w:rPr>
        <w:t xml:space="preserve"> than cross-sectional designs</w:t>
      </w:r>
      <w:r w:rsidR="002776E6">
        <w:rPr>
          <w:rFonts w:cstheme="minorHAnsi"/>
          <w:sz w:val="24"/>
          <w:szCs w:val="24"/>
        </w:rPr>
        <w:t>.</w:t>
      </w:r>
    </w:p>
    <w:p w14:paraId="45CC1E60" w14:textId="10EF6396" w:rsidR="00FC5286" w:rsidRDefault="00654387" w:rsidP="00EC6FB0">
      <w:pPr>
        <w:spacing w:line="276" w:lineRule="auto"/>
        <w:rPr>
          <w:rFonts w:cstheme="minorHAnsi"/>
          <w:sz w:val="24"/>
          <w:szCs w:val="24"/>
        </w:rPr>
      </w:pPr>
      <w:r>
        <w:rPr>
          <w:rFonts w:cstheme="minorHAnsi"/>
          <w:sz w:val="24"/>
          <w:szCs w:val="24"/>
        </w:rPr>
        <w:t xml:space="preserve">Based on the feasibility assessment (ATSDR 2017), </w:t>
      </w:r>
      <w:r w:rsidR="00310190" w:rsidRPr="00A75C00">
        <w:rPr>
          <w:rFonts w:cstheme="minorHAnsi"/>
          <w:sz w:val="24"/>
          <w:szCs w:val="24"/>
        </w:rPr>
        <w:t xml:space="preserve">ATSDR will examine the association between PFAS compounds and lipids, renal function and kidney disease, thyroid hormones and disease, liver function and disease, glycemic parameters and diabetes, as well as immune response and function in both children and adults. In addition, ATSDR will investigate if PFAS is related to differences in sex hormones and sexual maturation, vaccine response, and neurobehavioral outcomes in children. In adults, additional outcomes of interest include cardiovascular disease, osteoarthritis, osteoporosis, endometriosis, and autoimmune disease. </w:t>
      </w:r>
      <w:r w:rsidR="00EC6FB0" w:rsidRPr="00A75C00">
        <w:rPr>
          <w:rFonts w:cstheme="minorHAnsi"/>
          <w:sz w:val="24"/>
          <w:szCs w:val="24"/>
        </w:rPr>
        <w:t>Adults will be 18 years or older, and children will be 4-17 years of age at enrollment.</w:t>
      </w:r>
      <w:r w:rsidR="00EC6FB0">
        <w:rPr>
          <w:rFonts w:cstheme="minorHAnsi"/>
          <w:sz w:val="24"/>
          <w:szCs w:val="24"/>
        </w:rPr>
        <w:t xml:space="preserve"> </w:t>
      </w:r>
    </w:p>
    <w:p w14:paraId="25AC3D3A" w14:textId="76E8F56B" w:rsidR="00EC6FB0" w:rsidRDefault="00FC5286" w:rsidP="00EC6FB0">
      <w:pPr>
        <w:spacing w:line="276" w:lineRule="auto"/>
        <w:rPr>
          <w:rFonts w:cstheme="minorHAnsi"/>
          <w:bCs/>
          <w:sz w:val="24"/>
          <w:szCs w:val="24"/>
        </w:rPr>
      </w:pPr>
      <w:r>
        <w:rPr>
          <w:rFonts w:cstheme="minorHAnsi"/>
          <w:bCs/>
          <w:sz w:val="24"/>
          <w:szCs w:val="24"/>
        </w:rPr>
        <w:t>Reasons that ATSDR selected the Pease</w:t>
      </w:r>
      <w:r w:rsidR="00EC6FB0" w:rsidRPr="00A75C00">
        <w:rPr>
          <w:rFonts w:cstheme="minorHAnsi"/>
          <w:bCs/>
          <w:sz w:val="24"/>
          <w:szCs w:val="24"/>
        </w:rPr>
        <w:t xml:space="preserve"> </w:t>
      </w:r>
      <w:r>
        <w:rPr>
          <w:rFonts w:cstheme="minorHAnsi"/>
          <w:bCs/>
          <w:sz w:val="24"/>
          <w:szCs w:val="24"/>
        </w:rPr>
        <w:t xml:space="preserve">community in Portsmouth, NH, </w:t>
      </w:r>
      <w:r w:rsidR="00EC6FB0" w:rsidRPr="00A75C00">
        <w:rPr>
          <w:rFonts w:cstheme="minorHAnsi"/>
          <w:bCs/>
          <w:sz w:val="24"/>
          <w:szCs w:val="24"/>
        </w:rPr>
        <w:t xml:space="preserve">as a </w:t>
      </w:r>
      <w:r w:rsidR="0059372D">
        <w:rPr>
          <w:rFonts w:cstheme="minorHAnsi"/>
          <w:bCs/>
          <w:sz w:val="24"/>
          <w:szCs w:val="24"/>
        </w:rPr>
        <w:t xml:space="preserve">suitable </w:t>
      </w:r>
      <w:r w:rsidR="00EC6FB0" w:rsidRPr="00A75C00">
        <w:rPr>
          <w:rFonts w:cstheme="minorHAnsi"/>
          <w:bCs/>
          <w:sz w:val="24"/>
          <w:szCs w:val="24"/>
        </w:rPr>
        <w:t xml:space="preserve">proof-of-concept model </w:t>
      </w:r>
      <w:r w:rsidR="000415FA">
        <w:rPr>
          <w:rFonts w:cstheme="minorHAnsi"/>
          <w:bCs/>
          <w:sz w:val="24"/>
          <w:szCs w:val="24"/>
        </w:rPr>
        <w:t xml:space="preserve">site </w:t>
      </w:r>
      <w:r w:rsidR="00EC6FB0" w:rsidRPr="00A75C00">
        <w:rPr>
          <w:rFonts w:cstheme="minorHAnsi"/>
          <w:bCs/>
          <w:sz w:val="24"/>
          <w:szCs w:val="24"/>
        </w:rPr>
        <w:t>for a national multi-s</w:t>
      </w:r>
      <w:r>
        <w:rPr>
          <w:rFonts w:cstheme="minorHAnsi"/>
          <w:bCs/>
          <w:sz w:val="24"/>
          <w:szCs w:val="24"/>
        </w:rPr>
        <w:t>ite study</w:t>
      </w:r>
      <w:r w:rsidR="0059372D">
        <w:rPr>
          <w:rFonts w:cstheme="minorHAnsi"/>
          <w:bCs/>
          <w:sz w:val="24"/>
          <w:szCs w:val="24"/>
        </w:rPr>
        <w:t xml:space="preserve">, </w:t>
      </w:r>
      <w:r w:rsidR="00DD0538">
        <w:rPr>
          <w:rFonts w:cstheme="minorHAnsi"/>
          <w:bCs/>
          <w:sz w:val="24"/>
          <w:szCs w:val="24"/>
        </w:rPr>
        <w:t>include the ability to leverage</w:t>
      </w:r>
      <w:r w:rsidR="0035305D">
        <w:rPr>
          <w:rFonts w:cstheme="minorHAnsi"/>
          <w:bCs/>
          <w:sz w:val="24"/>
          <w:szCs w:val="24"/>
        </w:rPr>
        <w:t xml:space="preserve"> and maximize</w:t>
      </w:r>
      <w:r w:rsidR="00DD0538">
        <w:rPr>
          <w:rFonts w:cstheme="minorHAnsi"/>
          <w:bCs/>
          <w:sz w:val="24"/>
          <w:szCs w:val="24"/>
        </w:rPr>
        <w:t xml:space="preserve"> a great deal of existing state and local data.</w:t>
      </w:r>
    </w:p>
    <w:p w14:paraId="2DC957B0" w14:textId="397EDE74" w:rsidR="00742BF6" w:rsidRDefault="006D15CB" w:rsidP="0019133A">
      <w:pPr>
        <w:pStyle w:val="ListParagraph"/>
        <w:numPr>
          <w:ilvl w:val="0"/>
          <w:numId w:val="14"/>
        </w:numPr>
        <w:spacing w:line="276" w:lineRule="auto"/>
        <w:rPr>
          <w:rFonts w:cstheme="minorHAnsi"/>
          <w:sz w:val="24"/>
          <w:szCs w:val="24"/>
        </w:rPr>
      </w:pPr>
      <w:r>
        <w:rPr>
          <w:rFonts w:cstheme="minorHAnsi"/>
          <w:sz w:val="24"/>
          <w:szCs w:val="24"/>
        </w:rPr>
        <w:t>In 2013-4, t</w:t>
      </w:r>
      <w:r w:rsidR="00742BF6">
        <w:rPr>
          <w:rFonts w:cstheme="minorHAnsi"/>
          <w:sz w:val="24"/>
          <w:szCs w:val="24"/>
        </w:rPr>
        <w:t xml:space="preserve">he New Hampshire </w:t>
      </w:r>
      <w:r w:rsidR="004316C8">
        <w:rPr>
          <w:rFonts w:cstheme="minorHAnsi"/>
          <w:sz w:val="24"/>
          <w:szCs w:val="24"/>
        </w:rPr>
        <w:t xml:space="preserve">Department of Environmental Services (NH DES) </w:t>
      </w:r>
      <w:r w:rsidR="0085635C">
        <w:rPr>
          <w:rFonts w:cstheme="minorHAnsi"/>
          <w:sz w:val="24"/>
          <w:szCs w:val="24"/>
        </w:rPr>
        <w:t xml:space="preserve">worked with NH DHHS to characterize </w:t>
      </w:r>
      <w:r>
        <w:rPr>
          <w:rFonts w:cstheme="minorHAnsi"/>
          <w:sz w:val="24"/>
          <w:szCs w:val="24"/>
        </w:rPr>
        <w:t xml:space="preserve">and remediate </w:t>
      </w:r>
      <w:r w:rsidR="0085635C">
        <w:rPr>
          <w:rFonts w:cstheme="minorHAnsi"/>
          <w:sz w:val="24"/>
          <w:szCs w:val="24"/>
        </w:rPr>
        <w:t xml:space="preserve">the </w:t>
      </w:r>
      <w:r>
        <w:rPr>
          <w:rFonts w:cstheme="minorHAnsi"/>
          <w:sz w:val="24"/>
          <w:szCs w:val="24"/>
        </w:rPr>
        <w:t xml:space="preserve">PFAS contamination of </w:t>
      </w:r>
      <w:r w:rsidR="0085635C">
        <w:rPr>
          <w:rFonts w:cstheme="minorHAnsi"/>
          <w:sz w:val="24"/>
          <w:szCs w:val="24"/>
        </w:rPr>
        <w:t>drinking water</w:t>
      </w:r>
      <w:r>
        <w:rPr>
          <w:rFonts w:cstheme="minorHAnsi"/>
          <w:sz w:val="24"/>
          <w:szCs w:val="24"/>
        </w:rPr>
        <w:t xml:space="preserve"> among the supply wells that serviced the former Pease Air Force Base, now the Pease International Tradeport.</w:t>
      </w:r>
    </w:p>
    <w:p w14:paraId="5328D29E" w14:textId="1CC6BFEB" w:rsidR="00FA2743" w:rsidRDefault="007D6D10" w:rsidP="0019133A">
      <w:pPr>
        <w:pStyle w:val="ListParagraph"/>
        <w:numPr>
          <w:ilvl w:val="1"/>
          <w:numId w:val="14"/>
        </w:numPr>
        <w:spacing w:line="276" w:lineRule="auto"/>
        <w:rPr>
          <w:rFonts w:cstheme="minorHAnsi"/>
          <w:sz w:val="24"/>
          <w:szCs w:val="24"/>
        </w:rPr>
      </w:pPr>
      <w:r>
        <w:rPr>
          <w:rFonts w:cstheme="minorHAnsi"/>
          <w:sz w:val="24"/>
          <w:szCs w:val="24"/>
        </w:rPr>
        <w:t xml:space="preserve">Using this existing monitoring data, </w:t>
      </w:r>
      <w:r w:rsidR="00FA2743">
        <w:rPr>
          <w:rFonts w:cstheme="minorHAnsi"/>
          <w:sz w:val="24"/>
          <w:szCs w:val="24"/>
        </w:rPr>
        <w:t>ATSDR would like to</w:t>
      </w:r>
      <w:r w:rsidR="009F6925">
        <w:rPr>
          <w:rFonts w:cstheme="minorHAnsi"/>
          <w:sz w:val="24"/>
          <w:szCs w:val="24"/>
        </w:rPr>
        <w:t xml:space="preserve"> perform water contamination modeling to inform pharmacokinetic (PK) or physiologically based pharmacokinetic (PBPK) modeling.</w:t>
      </w:r>
    </w:p>
    <w:p w14:paraId="1B156C83" w14:textId="2A4DBBBC" w:rsidR="00BB6065" w:rsidRDefault="002A338A" w:rsidP="0019133A">
      <w:pPr>
        <w:pStyle w:val="ListParagraph"/>
        <w:numPr>
          <w:ilvl w:val="0"/>
          <w:numId w:val="14"/>
        </w:numPr>
        <w:spacing w:line="276" w:lineRule="auto"/>
        <w:rPr>
          <w:rFonts w:cstheme="minorHAnsi"/>
          <w:sz w:val="24"/>
          <w:szCs w:val="24"/>
        </w:rPr>
      </w:pPr>
      <w:r>
        <w:rPr>
          <w:rFonts w:cstheme="minorHAnsi"/>
          <w:sz w:val="24"/>
          <w:szCs w:val="24"/>
        </w:rPr>
        <w:t xml:space="preserve">The 2015-7 NH DHHS PFAS blood testing program </w:t>
      </w:r>
      <w:r w:rsidR="004316C8">
        <w:rPr>
          <w:rFonts w:cstheme="minorHAnsi"/>
          <w:sz w:val="24"/>
          <w:szCs w:val="24"/>
        </w:rPr>
        <w:t>was of</w:t>
      </w:r>
      <w:r w:rsidR="000415FA">
        <w:rPr>
          <w:rFonts w:cstheme="minorHAnsi"/>
          <w:sz w:val="24"/>
          <w:szCs w:val="24"/>
        </w:rPr>
        <w:t>fered to address the health concerns of the</w:t>
      </w:r>
      <w:r w:rsidR="004316C8">
        <w:rPr>
          <w:rFonts w:cstheme="minorHAnsi"/>
          <w:sz w:val="24"/>
          <w:szCs w:val="24"/>
        </w:rPr>
        <w:t xml:space="preserve"> Pease community members. </w:t>
      </w:r>
      <w:r w:rsidR="000415FA">
        <w:rPr>
          <w:rFonts w:cstheme="minorHAnsi"/>
          <w:sz w:val="24"/>
          <w:szCs w:val="24"/>
        </w:rPr>
        <w:t>The program drew a convenience sample and</w:t>
      </w:r>
      <w:r w:rsidR="004316C8">
        <w:rPr>
          <w:rFonts w:cstheme="minorHAnsi"/>
          <w:sz w:val="24"/>
          <w:szCs w:val="24"/>
        </w:rPr>
        <w:t xml:space="preserve"> </w:t>
      </w:r>
      <w:r w:rsidR="001012F6">
        <w:rPr>
          <w:rFonts w:cstheme="minorHAnsi"/>
          <w:sz w:val="24"/>
          <w:szCs w:val="24"/>
        </w:rPr>
        <w:t>documented that human exposure was occurring at levels two to three times higher than national NHANES estimates</w:t>
      </w:r>
      <w:r w:rsidR="00BB6065">
        <w:rPr>
          <w:rFonts w:cstheme="minorHAnsi"/>
          <w:sz w:val="24"/>
          <w:szCs w:val="24"/>
        </w:rPr>
        <w:t>.</w:t>
      </w:r>
    </w:p>
    <w:p w14:paraId="5CEB44A9" w14:textId="77777777" w:rsidR="000415FA" w:rsidRDefault="001012F6" w:rsidP="0019133A">
      <w:pPr>
        <w:pStyle w:val="ListParagraph"/>
        <w:numPr>
          <w:ilvl w:val="1"/>
          <w:numId w:val="14"/>
        </w:numPr>
        <w:spacing w:line="276" w:lineRule="auto"/>
        <w:rPr>
          <w:rFonts w:cstheme="minorHAnsi"/>
          <w:sz w:val="24"/>
          <w:szCs w:val="24"/>
        </w:rPr>
      </w:pPr>
      <w:r>
        <w:rPr>
          <w:rFonts w:cstheme="minorHAnsi"/>
          <w:sz w:val="24"/>
          <w:szCs w:val="24"/>
        </w:rPr>
        <w:t xml:space="preserve">The program </w:t>
      </w:r>
      <w:r w:rsidR="002A338A">
        <w:rPr>
          <w:rFonts w:cstheme="minorHAnsi"/>
          <w:sz w:val="24"/>
          <w:szCs w:val="24"/>
        </w:rPr>
        <w:t>provides a readily available recruiting frame for the Pease Study exposure group</w:t>
      </w:r>
      <w:r w:rsidR="00DD0538">
        <w:rPr>
          <w:rFonts w:cstheme="minorHAnsi"/>
          <w:sz w:val="24"/>
          <w:szCs w:val="24"/>
        </w:rPr>
        <w:t xml:space="preserve"> (Wave One)</w:t>
      </w:r>
      <w:r w:rsidR="002A338A">
        <w:rPr>
          <w:rFonts w:cstheme="minorHAnsi"/>
          <w:sz w:val="24"/>
          <w:szCs w:val="24"/>
        </w:rPr>
        <w:t xml:space="preserve">. </w:t>
      </w:r>
    </w:p>
    <w:p w14:paraId="77DF5913" w14:textId="77777777" w:rsidR="000415FA" w:rsidRDefault="00004874" w:rsidP="0019133A">
      <w:pPr>
        <w:pStyle w:val="ListParagraph"/>
        <w:numPr>
          <w:ilvl w:val="1"/>
          <w:numId w:val="14"/>
        </w:numPr>
        <w:spacing w:line="276" w:lineRule="auto"/>
        <w:rPr>
          <w:rFonts w:cstheme="minorHAnsi"/>
          <w:sz w:val="24"/>
          <w:szCs w:val="24"/>
        </w:rPr>
      </w:pPr>
      <w:r>
        <w:rPr>
          <w:rFonts w:cstheme="minorHAnsi"/>
          <w:sz w:val="24"/>
          <w:szCs w:val="24"/>
        </w:rPr>
        <w:t>With a few restrictions, ATSDR is using the same eligibility criteria as NH DHHS.</w:t>
      </w:r>
    </w:p>
    <w:p w14:paraId="260F0786" w14:textId="44EDF511" w:rsidR="00310190" w:rsidRDefault="00BB6065" w:rsidP="0019133A">
      <w:pPr>
        <w:pStyle w:val="ListParagraph"/>
        <w:numPr>
          <w:ilvl w:val="1"/>
          <w:numId w:val="14"/>
        </w:numPr>
        <w:spacing w:line="276" w:lineRule="auto"/>
        <w:rPr>
          <w:rFonts w:cstheme="minorHAnsi"/>
          <w:sz w:val="24"/>
          <w:szCs w:val="24"/>
        </w:rPr>
      </w:pPr>
      <w:r>
        <w:rPr>
          <w:rFonts w:cstheme="minorHAnsi"/>
          <w:sz w:val="24"/>
          <w:szCs w:val="24"/>
        </w:rPr>
        <w:t>NH DHHS is supporting the Pease Study by sending out invitation letters for its past participants to enroll in the research study.</w:t>
      </w:r>
    </w:p>
    <w:p w14:paraId="23C45787" w14:textId="5DA2BB33" w:rsidR="00004874" w:rsidRDefault="00004874" w:rsidP="0019133A">
      <w:pPr>
        <w:pStyle w:val="ListParagraph"/>
        <w:numPr>
          <w:ilvl w:val="0"/>
          <w:numId w:val="14"/>
        </w:numPr>
        <w:spacing w:line="276" w:lineRule="auto"/>
        <w:rPr>
          <w:rFonts w:cstheme="minorHAnsi"/>
          <w:sz w:val="24"/>
          <w:szCs w:val="24"/>
        </w:rPr>
      </w:pPr>
      <w:r>
        <w:rPr>
          <w:rFonts w:cstheme="minorHAnsi"/>
          <w:sz w:val="24"/>
          <w:szCs w:val="24"/>
        </w:rPr>
        <w:t xml:space="preserve">NCEH has an existing collaboration with NH DHHS. </w:t>
      </w:r>
      <w:r w:rsidR="00DD0538">
        <w:rPr>
          <w:rFonts w:cstheme="minorHAnsi"/>
          <w:sz w:val="24"/>
          <w:szCs w:val="24"/>
        </w:rPr>
        <w:t xml:space="preserve">The NCEH Division of Laboratory Sciences (DLS) performed PFAS </w:t>
      </w:r>
      <w:r w:rsidR="00742BF6">
        <w:rPr>
          <w:rFonts w:cstheme="minorHAnsi"/>
          <w:sz w:val="24"/>
          <w:szCs w:val="24"/>
        </w:rPr>
        <w:t xml:space="preserve">blood </w:t>
      </w:r>
      <w:r w:rsidR="00DD0538">
        <w:rPr>
          <w:rFonts w:cstheme="minorHAnsi"/>
          <w:sz w:val="24"/>
          <w:szCs w:val="24"/>
        </w:rPr>
        <w:t xml:space="preserve">analyses </w:t>
      </w:r>
      <w:r w:rsidR="001B716A">
        <w:rPr>
          <w:rFonts w:cstheme="minorHAnsi"/>
          <w:sz w:val="24"/>
          <w:szCs w:val="24"/>
        </w:rPr>
        <w:t xml:space="preserve">as a technical assistance, </w:t>
      </w:r>
      <w:r w:rsidR="00DD0538">
        <w:rPr>
          <w:rFonts w:cstheme="minorHAnsi"/>
          <w:sz w:val="24"/>
          <w:szCs w:val="24"/>
        </w:rPr>
        <w:t xml:space="preserve">at the </w:t>
      </w:r>
      <w:r w:rsidR="00742BF6">
        <w:rPr>
          <w:rFonts w:cstheme="minorHAnsi"/>
          <w:sz w:val="24"/>
          <w:szCs w:val="24"/>
        </w:rPr>
        <w:t>state’s request</w:t>
      </w:r>
      <w:r w:rsidR="001B716A">
        <w:rPr>
          <w:rFonts w:cstheme="minorHAnsi"/>
          <w:sz w:val="24"/>
          <w:szCs w:val="24"/>
        </w:rPr>
        <w:t>,</w:t>
      </w:r>
      <w:r w:rsidR="00742BF6">
        <w:rPr>
          <w:rFonts w:cstheme="minorHAnsi"/>
          <w:sz w:val="24"/>
          <w:szCs w:val="24"/>
        </w:rPr>
        <w:t xml:space="preserve"> for the</w:t>
      </w:r>
      <w:r>
        <w:rPr>
          <w:rFonts w:cstheme="minorHAnsi"/>
          <w:sz w:val="24"/>
          <w:szCs w:val="24"/>
        </w:rPr>
        <w:t xml:space="preserve"> 2015-7 </w:t>
      </w:r>
      <w:r w:rsidR="00742BF6">
        <w:rPr>
          <w:rFonts w:cstheme="minorHAnsi"/>
          <w:sz w:val="24"/>
          <w:szCs w:val="24"/>
        </w:rPr>
        <w:t xml:space="preserve">NH DHHS </w:t>
      </w:r>
      <w:r w:rsidR="00DD0538">
        <w:rPr>
          <w:rFonts w:cstheme="minorHAnsi"/>
          <w:sz w:val="24"/>
          <w:szCs w:val="24"/>
        </w:rPr>
        <w:t xml:space="preserve">PFAS blood testing program. </w:t>
      </w:r>
    </w:p>
    <w:p w14:paraId="4A3C3053" w14:textId="2C2FA500" w:rsidR="00742BF6" w:rsidRDefault="00004874" w:rsidP="0019133A">
      <w:pPr>
        <w:pStyle w:val="ListParagraph"/>
        <w:numPr>
          <w:ilvl w:val="0"/>
          <w:numId w:val="14"/>
        </w:numPr>
        <w:spacing w:line="276" w:lineRule="auto"/>
        <w:rPr>
          <w:rFonts w:cstheme="minorHAnsi"/>
          <w:sz w:val="24"/>
          <w:szCs w:val="24"/>
        </w:rPr>
      </w:pPr>
      <w:r>
        <w:rPr>
          <w:rFonts w:cstheme="minorHAnsi"/>
          <w:sz w:val="24"/>
          <w:szCs w:val="24"/>
        </w:rPr>
        <w:t xml:space="preserve">NCEH </w:t>
      </w:r>
      <w:r w:rsidR="00DD0538">
        <w:rPr>
          <w:rFonts w:cstheme="minorHAnsi"/>
          <w:sz w:val="24"/>
          <w:szCs w:val="24"/>
        </w:rPr>
        <w:t xml:space="preserve">DLS will also perform blood and urine PFAS analyses for the Pease Study. Thus issues </w:t>
      </w:r>
      <w:r w:rsidR="00027F55">
        <w:rPr>
          <w:rFonts w:cstheme="minorHAnsi"/>
          <w:sz w:val="24"/>
          <w:szCs w:val="24"/>
        </w:rPr>
        <w:t>of inter</w:t>
      </w:r>
      <w:r w:rsidR="000A0D28">
        <w:rPr>
          <w:rFonts w:cstheme="minorHAnsi"/>
          <w:sz w:val="24"/>
          <w:szCs w:val="24"/>
        </w:rPr>
        <w:t>-</w:t>
      </w:r>
      <w:r w:rsidR="00027F55">
        <w:rPr>
          <w:rFonts w:cstheme="minorHAnsi"/>
          <w:sz w:val="24"/>
          <w:szCs w:val="24"/>
        </w:rPr>
        <w:t>laboratory variability</w:t>
      </w:r>
      <w:r w:rsidR="00DD0538">
        <w:rPr>
          <w:rFonts w:cstheme="minorHAnsi"/>
          <w:sz w:val="24"/>
          <w:szCs w:val="24"/>
        </w:rPr>
        <w:t xml:space="preserve"> are avoided.</w:t>
      </w:r>
      <w:r>
        <w:rPr>
          <w:rFonts w:cstheme="minorHAnsi"/>
          <w:sz w:val="24"/>
          <w:szCs w:val="24"/>
        </w:rPr>
        <w:t xml:space="preserve"> </w:t>
      </w:r>
    </w:p>
    <w:p w14:paraId="453222CD" w14:textId="35050BCA" w:rsidR="002A338A" w:rsidRDefault="00004874" w:rsidP="0019133A">
      <w:pPr>
        <w:pStyle w:val="ListParagraph"/>
        <w:numPr>
          <w:ilvl w:val="1"/>
          <w:numId w:val="14"/>
        </w:numPr>
        <w:spacing w:line="276" w:lineRule="auto"/>
        <w:rPr>
          <w:rFonts w:cstheme="minorHAnsi"/>
          <w:sz w:val="24"/>
          <w:szCs w:val="24"/>
        </w:rPr>
      </w:pPr>
      <w:r>
        <w:rPr>
          <w:rFonts w:cstheme="minorHAnsi"/>
          <w:sz w:val="24"/>
          <w:szCs w:val="24"/>
        </w:rPr>
        <w:t>ATSDR wi</w:t>
      </w:r>
      <w:r w:rsidR="00742BF6">
        <w:rPr>
          <w:rFonts w:cstheme="minorHAnsi"/>
          <w:sz w:val="24"/>
          <w:szCs w:val="24"/>
        </w:rPr>
        <w:t>ll seek consent to access</w:t>
      </w:r>
      <w:r>
        <w:rPr>
          <w:rFonts w:cstheme="minorHAnsi"/>
          <w:sz w:val="24"/>
          <w:szCs w:val="24"/>
        </w:rPr>
        <w:t xml:space="preserve"> 2015-7 PFAS blood testing results from applicable Pease Study participants (Wave One).</w:t>
      </w:r>
    </w:p>
    <w:p w14:paraId="1DA213A9" w14:textId="70660F5C" w:rsidR="00742BF6" w:rsidRDefault="00742BF6" w:rsidP="0019133A">
      <w:pPr>
        <w:pStyle w:val="ListParagraph"/>
        <w:numPr>
          <w:ilvl w:val="2"/>
          <w:numId w:val="14"/>
        </w:numPr>
        <w:spacing w:line="276" w:lineRule="auto"/>
        <w:rPr>
          <w:rFonts w:cstheme="minorHAnsi"/>
          <w:sz w:val="24"/>
          <w:szCs w:val="24"/>
        </w:rPr>
      </w:pPr>
      <w:r>
        <w:rPr>
          <w:rFonts w:cstheme="minorHAnsi"/>
          <w:sz w:val="24"/>
          <w:szCs w:val="24"/>
        </w:rPr>
        <w:t>ATSDR would like to use both sets of lab r</w:t>
      </w:r>
      <w:r w:rsidR="00FA2743">
        <w:rPr>
          <w:rFonts w:cstheme="minorHAnsi"/>
          <w:sz w:val="24"/>
          <w:szCs w:val="24"/>
        </w:rPr>
        <w:t>esults to look at changes of PFAS levels over time</w:t>
      </w:r>
      <w:r w:rsidR="00F707AC">
        <w:rPr>
          <w:rFonts w:cstheme="minorHAnsi"/>
          <w:sz w:val="24"/>
          <w:szCs w:val="24"/>
        </w:rPr>
        <w:t>,</w:t>
      </w:r>
      <w:r>
        <w:rPr>
          <w:rFonts w:cstheme="minorHAnsi"/>
          <w:sz w:val="24"/>
          <w:szCs w:val="24"/>
        </w:rPr>
        <w:t xml:space="preserve"> if possible.</w:t>
      </w:r>
    </w:p>
    <w:p w14:paraId="16682E18" w14:textId="26D16A7A" w:rsidR="00FA2743" w:rsidRDefault="00FA2743" w:rsidP="0019133A">
      <w:pPr>
        <w:pStyle w:val="ListParagraph"/>
        <w:numPr>
          <w:ilvl w:val="2"/>
          <w:numId w:val="14"/>
        </w:numPr>
        <w:spacing w:line="276" w:lineRule="auto"/>
        <w:rPr>
          <w:rFonts w:cstheme="minorHAnsi"/>
          <w:sz w:val="24"/>
          <w:szCs w:val="24"/>
        </w:rPr>
      </w:pPr>
      <w:r>
        <w:rPr>
          <w:rFonts w:cstheme="minorHAnsi"/>
          <w:sz w:val="24"/>
          <w:szCs w:val="24"/>
        </w:rPr>
        <w:t>ATSDR would like to reconstruct historic serum PFAS concentrations by estimating half-lives and elimination rates.</w:t>
      </w:r>
    </w:p>
    <w:p w14:paraId="28BB1B60" w14:textId="6054D69E" w:rsidR="00C13959" w:rsidRPr="00D20211" w:rsidRDefault="00601F1A" w:rsidP="004976CC">
      <w:pPr>
        <w:pStyle w:val="Heading1"/>
        <w:pBdr>
          <w:bottom w:val="none" w:sz="0" w:space="0" w:color="auto"/>
        </w:pBdr>
        <w:rPr>
          <w:color w:val="auto"/>
        </w:rPr>
      </w:pPr>
      <w:bookmarkStart w:id="5" w:name="_Toc532912775"/>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1DF72DAC" w14:textId="77777777" w:rsidR="000A583B" w:rsidRDefault="000A583B" w:rsidP="000A583B">
      <w:pPr>
        <w:autoSpaceDE w:val="0"/>
        <w:autoSpaceDN w:val="0"/>
        <w:adjustRightInd w:val="0"/>
        <w:spacing w:line="240" w:lineRule="auto"/>
      </w:pPr>
    </w:p>
    <w:p w14:paraId="5F7E7D50" w14:textId="6E7D326E" w:rsidR="00790966" w:rsidRDefault="000A583B" w:rsidP="000A583B">
      <w:pPr>
        <w:autoSpaceDE w:val="0"/>
        <w:autoSpaceDN w:val="0"/>
        <w:adjustRightInd w:val="0"/>
        <w:spacing w:line="240" w:lineRule="auto"/>
        <w:rPr>
          <w:rFonts w:cs="ITCFranklinGothicStd-Book"/>
          <w:sz w:val="24"/>
          <w:szCs w:val="24"/>
        </w:rPr>
      </w:pPr>
      <w:r>
        <w:t>ATSDR will</w:t>
      </w:r>
      <w:r>
        <w:rPr>
          <w:rFonts w:cs="ITCFranklinGothicStd-Book"/>
          <w:sz w:val="24"/>
          <w:szCs w:val="24"/>
        </w:rPr>
        <w:t xml:space="preserve"> use</w:t>
      </w:r>
      <w:r w:rsidR="00925F13" w:rsidRPr="000A583B">
        <w:rPr>
          <w:rFonts w:cs="ITCFranklinGothicStd-Book"/>
          <w:sz w:val="24"/>
          <w:szCs w:val="24"/>
        </w:rPr>
        <w:t xml:space="preserve"> information technology</w:t>
      </w:r>
      <w:r w:rsidR="00790966" w:rsidRPr="000A583B">
        <w:rPr>
          <w:rFonts w:cs="ITCFranklinGothicStd-Book"/>
          <w:sz w:val="24"/>
          <w:szCs w:val="24"/>
        </w:rPr>
        <w:t xml:space="preserve"> to reduce burden</w:t>
      </w:r>
      <w:r w:rsidR="00A97A96">
        <w:rPr>
          <w:rFonts w:cs="ITCFranklinGothicStd-Book"/>
          <w:sz w:val="24"/>
          <w:szCs w:val="24"/>
        </w:rPr>
        <w:t xml:space="preserve"> </w:t>
      </w:r>
      <w:r w:rsidR="00E675A4">
        <w:rPr>
          <w:rFonts w:cs="ITCFranklinGothicStd-Book"/>
          <w:sz w:val="24"/>
          <w:szCs w:val="24"/>
        </w:rPr>
        <w:t>for over 3</w:t>
      </w:r>
      <w:r w:rsidR="00E70205">
        <w:rPr>
          <w:rFonts w:cs="ITCFranklinGothicStd-Book"/>
          <w:sz w:val="24"/>
          <w:szCs w:val="24"/>
        </w:rPr>
        <w:t>6</w:t>
      </w:r>
      <w:r w:rsidR="00E675A4">
        <w:rPr>
          <w:rFonts w:cs="ITCFranklinGothicStd-Book"/>
          <w:sz w:val="24"/>
          <w:szCs w:val="24"/>
        </w:rPr>
        <w:t xml:space="preserve"> percent of the</w:t>
      </w:r>
      <w:r w:rsidR="00A97A96">
        <w:rPr>
          <w:rFonts w:cs="ITCFranklinGothicStd-Book"/>
          <w:sz w:val="24"/>
          <w:szCs w:val="24"/>
        </w:rPr>
        <w:t xml:space="preserve"> information collections</w:t>
      </w:r>
      <w:r w:rsidR="00790966" w:rsidRPr="000A583B">
        <w:rPr>
          <w:rFonts w:cs="ITCFranklinGothicStd-Book"/>
          <w:sz w:val="24"/>
          <w:szCs w:val="24"/>
        </w:rPr>
        <w:t>.</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90"/>
        <w:gridCol w:w="1466"/>
        <w:gridCol w:w="1467"/>
        <w:gridCol w:w="1467"/>
      </w:tblGrid>
      <w:tr w:rsidR="00A97A96" w:rsidRPr="002215B0" w14:paraId="74F4F173" w14:textId="2C8840B9" w:rsidTr="00A97A96">
        <w:trPr>
          <w:jc w:val="center"/>
        </w:trPr>
        <w:tc>
          <w:tcPr>
            <w:tcW w:w="1345" w:type="dxa"/>
            <w:vAlign w:val="center"/>
          </w:tcPr>
          <w:p w14:paraId="2EC333EF" w14:textId="3E2577C6" w:rsidR="00A97A96" w:rsidRPr="002215B0" w:rsidRDefault="00A97A96" w:rsidP="00A97A96">
            <w:pPr>
              <w:spacing w:after="0" w:line="240" w:lineRule="auto"/>
              <w:jc w:val="center"/>
              <w:rPr>
                <w:sz w:val="22"/>
                <w:szCs w:val="22"/>
              </w:rPr>
            </w:pPr>
            <w:r>
              <w:rPr>
                <w:sz w:val="22"/>
                <w:szCs w:val="22"/>
              </w:rPr>
              <w:t>Attachment No.</w:t>
            </w:r>
          </w:p>
        </w:tc>
        <w:tc>
          <w:tcPr>
            <w:tcW w:w="3790" w:type="dxa"/>
            <w:shd w:val="clear" w:color="auto" w:fill="auto"/>
            <w:vAlign w:val="center"/>
          </w:tcPr>
          <w:p w14:paraId="68AB0549" w14:textId="60EE3DBC" w:rsidR="00A97A96" w:rsidRPr="002215B0" w:rsidRDefault="00A97A96" w:rsidP="00A97A96">
            <w:pPr>
              <w:spacing w:after="0" w:line="240" w:lineRule="auto"/>
              <w:jc w:val="center"/>
              <w:rPr>
                <w:sz w:val="22"/>
                <w:szCs w:val="22"/>
              </w:rPr>
            </w:pPr>
            <w:r w:rsidRPr="002215B0">
              <w:rPr>
                <w:sz w:val="22"/>
                <w:szCs w:val="22"/>
              </w:rPr>
              <w:t>Form Name</w:t>
            </w:r>
          </w:p>
        </w:tc>
        <w:tc>
          <w:tcPr>
            <w:tcW w:w="1466" w:type="dxa"/>
            <w:vAlign w:val="center"/>
          </w:tcPr>
          <w:p w14:paraId="4AFC2075" w14:textId="7D202E04" w:rsidR="00A97A96" w:rsidRDefault="00A97A96" w:rsidP="00A97A96">
            <w:pPr>
              <w:spacing w:after="0" w:line="240" w:lineRule="auto"/>
              <w:jc w:val="center"/>
              <w:rPr>
                <w:color w:val="000000"/>
                <w:sz w:val="22"/>
                <w:szCs w:val="22"/>
              </w:rPr>
            </w:pPr>
            <w:r>
              <w:rPr>
                <w:color w:val="000000"/>
                <w:sz w:val="22"/>
                <w:szCs w:val="22"/>
              </w:rPr>
              <w:t>Mode of Collection</w:t>
            </w:r>
          </w:p>
        </w:tc>
        <w:tc>
          <w:tcPr>
            <w:tcW w:w="1467" w:type="dxa"/>
            <w:vAlign w:val="center"/>
          </w:tcPr>
          <w:p w14:paraId="77FDDD77" w14:textId="4BA318D2" w:rsidR="00A97A96" w:rsidRDefault="00A97A96" w:rsidP="00A97A96">
            <w:pPr>
              <w:spacing w:after="0" w:line="240" w:lineRule="auto"/>
              <w:jc w:val="center"/>
              <w:rPr>
                <w:color w:val="000000"/>
                <w:sz w:val="22"/>
                <w:szCs w:val="22"/>
              </w:rPr>
            </w:pPr>
            <w:r>
              <w:rPr>
                <w:color w:val="000000"/>
                <w:sz w:val="22"/>
                <w:szCs w:val="22"/>
              </w:rPr>
              <w:t>No. Responses</w:t>
            </w:r>
          </w:p>
        </w:tc>
        <w:tc>
          <w:tcPr>
            <w:tcW w:w="1467" w:type="dxa"/>
            <w:vAlign w:val="center"/>
          </w:tcPr>
          <w:p w14:paraId="2AEF4F64" w14:textId="2B2626B5" w:rsidR="00A97A96" w:rsidRPr="002215B0" w:rsidRDefault="00A97A96" w:rsidP="00A97A96">
            <w:pPr>
              <w:spacing w:after="0" w:line="240" w:lineRule="auto"/>
              <w:jc w:val="center"/>
              <w:rPr>
                <w:color w:val="000000"/>
                <w:sz w:val="22"/>
                <w:szCs w:val="22"/>
              </w:rPr>
            </w:pPr>
            <w:r w:rsidRPr="002215B0">
              <w:rPr>
                <w:sz w:val="22"/>
                <w:szCs w:val="22"/>
              </w:rPr>
              <w:t>Total Burden (in hours)</w:t>
            </w:r>
          </w:p>
        </w:tc>
      </w:tr>
      <w:tr w:rsidR="00A97A96" w:rsidRPr="002215B0" w14:paraId="35D74539" w14:textId="77777777" w:rsidTr="00A97A96">
        <w:trPr>
          <w:jc w:val="center"/>
        </w:trPr>
        <w:tc>
          <w:tcPr>
            <w:tcW w:w="1345" w:type="dxa"/>
            <w:vAlign w:val="center"/>
          </w:tcPr>
          <w:p w14:paraId="1298DF5C" w14:textId="0B5A69BC" w:rsidR="00A97A96" w:rsidRPr="002215B0" w:rsidRDefault="00A97A96" w:rsidP="00A97A96">
            <w:pPr>
              <w:spacing w:after="0" w:line="240" w:lineRule="auto"/>
              <w:jc w:val="center"/>
              <w:rPr>
                <w:sz w:val="22"/>
                <w:szCs w:val="22"/>
              </w:rPr>
            </w:pPr>
            <w:r>
              <w:rPr>
                <w:sz w:val="22"/>
                <w:szCs w:val="22"/>
              </w:rPr>
              <w:t>6c</w:t>
            </w:r>
          </w:p>
        </w:tc>
        <w:tc>
          <w:tcPr>
            <w:tcW w:w="3790" w:type="dxa"/>
            <w:shd w:val="clear" w:color="auto" w:fill="auto"/>
            <w:vAlign w:val="center"/>
          </w:tcPr>
          <w:p w14:paraId="6115E6B4" w14:textId="11AC1B1D" w:rsidR="00A97A96" w:rsidRPr="002215B0" w:rsidRDefault="00A97A96" w:rsidP="00A97A96">
            <w:pPr>
              <w:spacing w:after="0" w:line="240" w:lineRule="auto"/>
              <w:rPr>
                <w:sz w:val="22"/>
                <w:szCs w:val="22"/>
              </w:rPr>
            </w:pPr>
            <w:r w:rsidRPr="002215B0">
              <w:rPr>
                <w:sz w:val="22"/>
                <w:szCs w:val="22"/>
              </w:rPr>
              <w:t>Wave One Eligibility Screening Script</w:t>
            </w:r>
          </w:p>
        </w:tc>
        <w:tc>
          <w:tcPr>
            <w:tcW w:w="1466" w:type="dxa"/>
            <w:vAlign w:val="center"/>
          </w:tcPr>
          <w:p w14:paraId="5AC92133" w14:textId="5692379A" w:rsidR="00A97A96" w:rsidRDefault="00A97A96" w:rsidP="00A97A96">
            <w:pPr>
              <w:spacing w:after="0" w:line="240" w:lineRule="auto"/>
              <w:jc w:val="center"/>
              <w:rPr>
                <w:sz w:val="22"/>
                <w:szCs w:val="22"/>
              </w:rPr>
            </w:pPr>
            <w:r>
              <w:rPr>
                <w:sz w:val="22"/>
                <w:szCs w:val="22"/>
              </w:rPr>
              <w:t>CATI</w:t>
            </w:r>
          </w:p>
        </w:tc>
        <w:tc>
          <w:tcPr>
            <w:tcW w:w="1467" w:type="dxa"/>
          </w:tcPr>
          <w:p w14:paraId="0DD4E0CD" w14:textId="4575FF1F" w:rsidR="00A97A96" w:rsidRDefault="00A97A96" w:rsidP="00A97A96">
            <w:pPr>
              <w:spacing w:after="0" w:line="240" w:lineRule="auto"/>
              <w:jc w:val="center"/>
              <w:rPr>
                <w:sz w:val="22"/>
                <w:szCs w:val="22"/>
              </w:rPr>
            </w:pPr>
            <w:r>
              <w:rPr>
                <w:sz w:val="22"/>
                <w:szCs w:val="22"/>
              </w:rPr>
              <w:t>526</w:t>
            </w:r>
          </w:p>
        </w:tc>
        <w:tc>
          <w:tcPr>
            <w:tcW w:w="1467" w:type="dxa"/>
            <w:vAlign w:val="center"/>
          </w:tcPr>
          <w:p w14:paraId="68771BF3" w14:textId="71A7BCA7" w:rsidR="00A97A96" w:rsidRPr="002215B0" w:rsidRDefault="00A97A96" w:rsidP="00A97A96">
            <w:pPr>
              <w:spacing w:after="0" w:line="240" w:lineRule="auto"/>
              <w:jc w:val="center"/>
              <w:rPr>
                <w:sz w:val="22"/>
                <w:szCs w:val="22"/>
              </w:rPr>
            </w:pPr>
            <w:r>
              <w:rPr>
                <w:rFonts w:ascii="Calibri" w:hAnsi="Calibri" w:cs="Calibri"/>
                <w:color w:val="000000"/>
                <w:sz w:val="22"/>
                <w:szCs w:val="22"/>
              </w:rPr>
              <w:t>88</w:t>
            </w:r>
          </w:p>
        </w:tc>
      </w:tr>
      <w:tr w:rsidR="00A97A96" w:rsidRPr="002215B0" w14:paraId="591D2397" w14:textId="77777777" w:rsidTr="00A97A96">
        <w:trPr>
          <w:jc w:val="center"/>
        </w:trPr>
        <w:tc>
          <w:tcPr>
            <w:tcW w:w="1345" w:type="dxa"/>
            <w:vAlign w:val="center"/>
          </w:tcPr>
          <w:p w14:paraId="3BBAB6E3" w14:textId="6062B822" w:rsidR="00A97A96" w:rsidRPr="002215B0" w:rsidRDefault="00A97A96" w:rsidP="00A97A96">
            <w:pPr>
              <w:spacing w:after="0" w:line="240" w:lineRule="auto"/>
              <w:jc w:val="center"/>
              <w:rPr>
                <w:sz w:val="22"/>
                <w:szCs w:val="22"/>
              </w:rPr>
            </w:pPr>
            <w:r>
              <w:rPr>
                <w:sz w:val="22"/>
                <w:szCs w:val="22"/>
              </w:rPr>
              <w:t>7c</w:t>
            </w:r>
          </w:p>
        </w:tc>
        <w:tc>
          <w:tcPr>
            <w:tcW w:w="3790" w:type="dxa"/>
            <w:shd w:val="clear" w:color="auto" w:fill="auto"/>
            <w:vAlign w:val="center"/>
          </w:tcPr>
          <w:p w14:paraId="1E876BF5" w14:textId="0DBD8C44" w:rsidR="00A97A96" w:rsidRPr="002215B0" w:rsidRDefault="00A97A96" w:rsidP="00A97A96">
            <w:pPr>
              <w:spacing w:after="0" w:line="240" w:lineRule="auto"/>
              <w:rPr>
                <w:b/>
                <w:sz w:val="22"/>
                <w:szCs w:val="22"/>
              </w:rPr>
            </w:pPr>
            <w:r w:rsidRPr="002215B0">
              <w:rPr>
                <w:sz w:val="22"/>
                <w:szCs w:val="22"/>
              </w:rPr>
              <w:t>Wave Two Eligibility Screening Script</w:t>
            </w:r>
          </w:p>
        </w:tc>
        <w:tc>
          <w:tcPr>
            <w:tcW w:w="1466" w:type="dxa"/>
            <w:vAlign w:val="center"/>
          </w:tcPr>
          <w:p w14:paraId="64068E99" w14:textId="426BFB5E" w:rsidR="00A97A96" w:rsidRDefault="00A97A96" w:rsidP="00A97A96">
            <w:pPr>
              <w:spacing w:after="0" w:line="240" w:lineRule="auto"/>
              <w:jc w:val="center"/>
              <w:rPr>
                <w:sz w:val="22"/>
                <w:szCs w:val="22"/>
              </w:rPr>
            </w:pPr>
            <w:r>
              <w:rPr>
                <w:sz w:val="22"/>
                <w:szCs w:val="22"/>
              </w:rPr>
              <w:t>CATI</w:t>
            </w:r>
          </w:p>
        </w:tc>
        <w:tc>
          <w:tcPr>
            <w:tcW w:w="1467" w:type="dxa"/>
          </w:tcPr>
          <w:p w14:paraId="0FF5AB1E" w14:textId="5404A2A4" w:rsidR="00A97A96" w:rsidRDefault="008217C5" w:rsidP="00A97A96">
            <w:pPr>
              <w:spacing w:after="0" w:line="240" w:lineRule="auto"/>
              <w:jc w:val="center"/>
              <w:rPr>
                <w:sz w:val="22"/>
                <w:szCs w:val="22"/>
              </w:rPr>
            </w:pPr>
            <w:r>
              <w:rPr>
                <w:sz w:val="22"/>
                <w:szCs w:val="22"/>
              </w:rPr>
              <w:t>66</w:t>
            </w:r>
          </w:p>
        </w:tc>
        <w:tc>
          <w:tcPr>
            <w:tcW w:w="1467" w:type="dxa"/>
            <w:vAlign w:val="center"/>
          </w:tcPr>
          <w:p w14:paraId="6753E29E" w14:textId="50E05C8C" w:rsidR="00A97A96" w:rsidRPr="002215B0" w:rsidRDefault="00A97A96" w:rsidP="00A97A96">
            <w:pPr>
              <w:spacing w:after="0" w:line="240" w:lineRule="auto"/>
              <w:jc w:val="center"/>
              <w:rPr>
                <w:sz w:val="22"/>
                <w:szCs w:val="22"/>
              </w:rPr>
            </w:pPr>
            <w:r>
              <w:rPr>
                <w:rFonts w:ascii="Calibri" w:hAnsi="Calibri" w:cs="Calibri"/>
                <w:color w:val="000000"/>
                <w:sz w:val="22"/>
                <w:szCs w:val="22"/>
              </w:rPr>
              <w:t>1</w:t>
            </w:r>
            <w:r w:rsidR="008217C5">
              <w:rPr>
                <w:rFonts w:ascii="Calibri" w:hAnsi="Calibri" w:cs="Calibri"/>
                <w:color w:val="000000"/>
                <w:sz w:val="22"/>
                <w:szCs w:val="22"/>
              </w:rPr>
              <w:t>6</w:t>
            </w:r>
          </w:p>
        </w:tc>
      </w:tr>
      <w:tr w:rsidR="00A97A96" w:rsidRPr="002215B0" w14:paraId="13FECC0D" w14:textId="77777777" w:rsidTr="00A97A96">
        <w:trPr>
          <w:jc w:val="center"/>
        </w:trPr>
        <w:tc>
          <w:tcPr>
            <w:tcW w:w="1345" w:type="dxa"/>
            <w:vAlign w:val="center"/>
          </w:tcPr>
          <w:p w14:paraId="798E1C8C" w14:textId="3BE182EB" w:rsidR="00A97A96" w:rsidRPr="002215B0" w:rsidRDefault="00A97A96" w:rsidP="00A97A96">
            <w:pPr>
              <w:spacing w:after="0" w:line="240" w:lineRule="auto"/>
              <w:jc w:val="center"/>
              <w:rPr>
                <w:sz w:val="22"/>
                <w:szCs w:val="22"/>
              </w:rPr>
            </w:pPr>
            <w:r>
              <w:rPr>
                <w:sz w:val="22"/>
                <w:szCs w:val="22"/>
              </w:rPr>
              <w:t>7c</w:t>
            </w:r>
          </w:p>
        </w:tc>
        <w:tc>
          <w:tcPr>
            <w:tcW w:w="3790" w:type="dxa"/>
            <w:shd w:val="clear" w:color="auto" w:fill="auto"/>
            <w:vAlign w:val="center"/>
          </w:tcPr>
          <w:p w14:paraId="4DEB2F25" w14:textId="0507066C" w:rsidR="00A97A96" w:rsidRPr="002215B0" w:rsidRDefault="00A97A96" w:rsidP="00A97A96">
            <w:pPr>
              <w:spacing w:after="0" w:line="240" w:lineRule="auto"/>
              <w:rPr>
                <w:b/>
                <w:sz w:val="22"/>
                <w:szCs w:val="22"/>
              </w:rPr>
            </w:pPr>
            <w:r w:rsidRPr="002215B0">
              <w:rPr>
                <w:sz w:val="22"/>
                <w:szCs w:val="22"/>
              </w:rPr>
              <w:t>Wave Three Eligibility Screening Script</w:t>
            </w:r>
          </w:p>
        </w:tc>
        <w:tc>
          <w:tcPr>
            <w:tcW w:w="1466" w:type="dxa"/>
            <w:vAlign w:val="center"/>
          </w:tcPr>
          <w:p w14:paraId="1BFA635F" w14:textId="4397189E" w:rsidR="00A97A96" w:rsidRDefault="00A97A96" w:rsidP="00A97A96">
            <w:pPr>
              <w:spacing w:after="0" w:line="240" w:lineRule="auto"/>
              <w:jc w:val="center"/>
              <w:rPr>
                <w:sz w:val="22"/>
                <w:szCs w:val="22"/>
              </w:rPr>
            </w:pPr>
            <w:r>
              <w:rPr>
                <w:sz w:val="22"/>
                <w:szCs w:val="22"/>
              </w:rPr>
              <w:t>CATI</w:t>
            </w:r>
          </w:p>
        </w:tc>
        <w:tc>
          <w:tcPr>
            <w:tcW w:w="1467" w:type="dxa"/>
          </w:tcPr>
          <w:p w14:paraId="7C4CE5FF" w14:textId="4A4B4113" w:rsidR="00A97A96" w:rsidRDefault="008217C5" w:rsidP="00A97A96">
            <w:pPr>
              <w:spacing w:after="0" w:line="240" w:lineRule="auto"/>
              <w:jc w:val="center"/>
              <w:rPr>
                <w:sz w:val="22"/>
                <w:szCs w:val="22"/>
              </w:rPr>
            </w:pPr>
            <w:r>
              <w:rPr>
                <w:sz w:val="22"/>
                <w:szCs w:val="22"/>
              </w:rPr>
              <w:t>121</w:t>
            </w:r>
          </w:p>
        </w:tc>
        <w:tc>
          <w:tcPr>
            <w:tcW w:w="1467" w:type="dxa"/>
            <w:vAlign w:val="center"/>
          </w:tcPr>
          <w:p w14:paraId="1379CC0A" w14:textId="440C440D" w:rsidR="00A97A96" w:rsidRPr="002215B0" w:rsidRDefault="008217C5" w:rsidP="00A97A96">
            <w:pPr>
              <w:spacing w:after="0" w:line="240" w:lineRule="auto"/>
              <w:jc w:val="center"/>
              <w:rPr>
                <w:sz w:val="22"/>
                <w:szCs w:val="22"/>
              </w:rPr>
            </w:pPr>
            <w:r>
              <w:rPr>
                <w:rFonts w:ascii="Calibri" w:hAnsi="Calibri" w:cs="Calibri"/>
                <w:color w:val="000000"/>
                <w:sz w:val="22"/>
                <w:szCs w:val="22"/>
              </w:rPr>
              <w:t>30</w:t>
            </w:r>
          </w:p>
        </w:tc>
      </w:tr>
      <w:tr w:rsidR="00A97A96" w:rsidRPr="002215B0" w14:paraId="237C6B51" w14:textId="77777777" w:rsidTr="004F7860">
        <w:trPr>
          <w:jc w:val="center"/>
        </w:trPr>
        <w:tc>
          <w:tcPr>
            <w:tcW w:w="1345" w:type="dxa"/>
            <w:vAlign w:val="center"/>
          </w:tcPr>
          <w:p w14:paraId="3DF5647F" w14:textId="32626C15" w:rsidR="00A97A96" w:rsidRPr="002215B0" w:rsidRDefault="00A97A96" w:rsidP="00A97A96">
            <w:pPr>
              <w:spacing w:after="0" w:line="240" w:lineRule="auto"/>
              <w:jc w:val="center"/>
              <w:rPr>
                <w:sz w:val="22"/>
                <w:szCs w:val="22"/>
              </w:rPr>
            </w:pPr>
            <w:r>
              <w:rPr>
                <w:sz w:val="22"/>
                <w:szCs w:val="22"/>
              </w:rPr>
              <w:t>10</w:t>
            </w:r>
          </w:p>
        </w:tc>
        <w:tc>
          <w:tcPr>
            <w:tcW w:w="3790" w:type="dxa"/>
            <w:shd w:val="clear" w:color="auto" w:fill="auto"/>
            <w:vAlign w:val="center"/>
          </w:tcPr>
          <w:p w14:paraId="30E6DD40" w14:textId="5BEA135B" w:rsidR="00A97A96" w:rsidRPr="002215B0" w:rsidRDefault="00A97A96" w:rsidP="00A97A96">
            <w:pPr>
              <w:spacing w:after="0" w:line="240" w:lineRule="auto"/>
              <w:rPr>
                <w:b/>
                <w:sz w:val="22"/>
                <w:szCs w:val="22"/>
              </w:rPr>
            </w:pPr>
            <w:r w:rsidRPr="002215B0">
              <w:rPr>
                <w:sz w:val="22"/>
                <w:szCs w:val="22"/>
              </w:rPr>
              <w:t>Appointment Reminder Telephone Script</w:t>
            </w:r>
          </w:p>
        </w:tc>
        <w:tc>
          <w:tcPr>
            <w:tcW w:w="1466" w:type="dxa"/>
            <w:vAlign w:val="center"/>
          </w:tcPr>
          <w:p w14:paraId="2301CB23" w14:textId="16984C94" w:rsidR="00A97A96" w:rsidRDefault="00A97A96" w:rsidP="00A97A96">
            <w:pPr>
              <w:spacing w:after="0" w:line="240" w:lineRule="auto"/>
              <w:jc w:val="center"/>
              <w:rPr>
                <w:sz w:val="22"/>
                <w:szCs w:val="22"/>
              </w:rPr>
            </w:pPr>
            <w:r>
              <w:rPr>
                <w:sz w:val="22"/>
                <w:szCs w:val="22"/>
              </w:rPr>
              <w:t>CATI</w:t>
            </w:r>
          </w:p>
        </w:tc>
        <w:tc>
          <w:tcPr>
            <w:tcW w:w="1467" w:type="dxa"/>
            <w:vAlign w:val="center"/>
          </w:tcPr>
          <w:p w14:paraId="4FDA8DD0" w14:textId="6FC2E616" w:rsidR="00A97A96" w:rsidRDefault="00A97A96" w:rsidP="004F7860">
            <w:pPr>
              <w:spacing w:after="0" w:line="240" w:lineRule="auto"/>
              <w:jc w:val="center"/>
              <w:rPr>
                <w:sz w:val="22"/>
                <w:szCs w:val="22"/>
              </w:rPr>
            </w:pPr>
            <w:r>
              <w:rPr>
                <w:sz w:val="22"/>
                <w:szCs w:val="22"/>
              </w:rPr>
              <w:t>542</w:t>
            </w:r>
          </w:p>
        </w:tc>
        <w:tc>
          <w:tcPr>
            <w:tcW w:w="1467" w:type="dxa"/>
            <w:vAlign w:val="center"/>
          </w:tcPr>
          <w:p w14:paraId="73AA069E" w14:textId="632523F7" w:rsidR="00A97A96" w:rsidRPr="002215B0" w:rsidRDefault="00A97A96" w:rsidP="00A97A96">
            <w:pPr>
              <w:spacing w:after="0" w:line="240" w:lineRule="auto"/>
              <w:jc w:val="center"/>
              <w:rPr>
                <w:sz w:val="22"/>
                <w:szCs w:val="22"/>
              </w:rPr>
            </w:pPr>
            <w:r>
              <w:rPr>
                <w:rFonts w:ascii="Calibri" w:hAnsi="Calibri" w:cs="Calibri"/>
                <w:color w:val="000000"/>
                <w:sz w:val="22"/>
                <w:szCs w:val="22"/>
              </w:rPr>
              <w:t>45</w:t>
            </w:r>
          </w:p>
        </w:tc>
      </w:tr>
      <w:tr w:rsidR="00A97A96" w:rsidRPr="002215B0" w14:paraId="63FF8126" w14:textId="77777777" w:rsidTr="00A97A96">
        <w:trPr>
          <w:jc w:val="center"/>
        </w:trPr>
        <w:tc>
          <w:tcPr>
            <w:tcW w:w="1345" w:type="dxa"/>
            <w:vAlign w:val="center"/>
          </w:tcPr>
          <w:p w14:paraId="25A3226D" w14:textId="2116CB07" w:rsidR="00A97A96" w:rsidRPr="002215B0" w:rsidRDefault="00A97A96" w:rsidP="00A97A96">
            <w:pPr>
              <w:spacing w:after="0" w:line="240" w:lineRule="auto"/>
              <w:jc w:val="center"/>
              <w:rPr>
                <w:sz w:val="22"/>
                <w:szCs w:val="22"/>
              </w:rPr>
            </w:pPr>
            <w:r>
              <w:rPr>
                <w:sz w:val="22"/>
                <w:szCs w:val="22"/>
              </w:rPr>
              <w:t>17</w:t>
            </w:r>
          </w:p>
        </w:tc>
        <w:tc>
          <w:tcPr>
            <w:tcW w:w="3790" w:type="dxa"/>
            <w:shd w:val="clear" w:color="auto" w:fill="auto"/>
            <w:vAlign w:val="center"/>
          </w:tcPr>
          <w:p w14:paraId="6172B20D" w14:textId="7AF860B6" w:rsidR="00A97A96" w:rsidRPr="002215B0" w:rsidRDefault="00A97A96" w:rsidP="00A97A96">
            <w:pPr>
              <w:spacing w:after="0" w:line="240" w:lineRule="auto"/>
              <w:rPr>
                <w:b/>
                <w:sz w:val="22"/>
                <w:szCs w:val="22"/>
              </w:rPr>
            </w:pPr>
            <w:r w:rsidRPr="002215B0">
              <w:rPr>
                <w:sz w:val="22"/>
                <w:szCs w:val="22"/>
              </w:rPr>
              <w:t>Child Questionnaire – Long Form</w:t>
            </w:r>
          </w:p>
        </w:tc>
        <w:tc>
          <w:tcPr>
            <w:tcW w:w="1466" w:type="dxa"/>
            <w:vAlign w:val="center"/>
          </w:tcPr>
          <w:p w14:paraId="553116C1" w14:textId="0686DD4F" w:rsidR="00A97A96" w:rsidRDefault="00A97A96" w:rsidP="00A97A96">
            <w:pPr>
              <w:spacing w:after="0" w:line="240" w:lineRule="auto"/>
              <w:jc w:val="center"/>
              <w:rPr>
                <w:sz w:val="22"/>
                <w:szCs w:val="22"/>
              </w:rPr>
            </w:pPr>
            <w:r w:rsidRPr="00752F0C">
              <w:rPr>
                <w:sz w:val="22"/>
                <w:szCs w:val="22"/>
              </w:rPr>
              <w:t>CAPI</w:t>
            </w:r>
          </w:p>
        </w:tc>
        <w:tc>
          <w:tcPr>
            <w:tcW w:w="1467" w:type="dxa"/>
          </w:tcPr>
          <w:p w14:paraId="36FA09A4" w14:textId="6C856999" w:rsidR="00A97A96" w:rsidRPr="00752F0C" w:rsidRDefault="00A97A96" w:rsidP="00A97A96">
            <w:pPr>
              <w:spacing w:after="0" w:line="240" w:lineRule="auto"/>
              <w:jc w:val="center"/>
              <w:rPr>
                <w:sz w:val="22"/>
                <w:szCs w:val="22"/>
              </w:rPr>
            </w:pPr>
            <w:r>
              <w:rPr>
                <w:sz w:val="22"/>
                <w:szCs w:val="22"/>
              </w:rPr>
              <w:t>140</w:t>
            </w:r>
          </w:p>
        </w:tc>
        <w:tc>
          <w:tcPr>
            <w:tcW w:w="1467" w:type="dxa"/>
            <w:vAlign w:val="center"/>
          </w:tcPr>
          <w:p w14:paraId="7641493A" w14:textId="4346F420" w:rsidR="00A97A96" w:rsidRPr="002215B0" w:rsidRDefault="00A97A96" w:rsidP="00A97A96">
            <w:pPr>
              <w:spacing w:after="0" w:line="240" w:lineRule="auto"/>
              <w:jc w:val="center"/>
              <w:rPr>
                <w:sz w:val="22"/>
                <w:szCs w:val="22"/>
              </w:rPr>
            </w:pPr>
            <w:r>
              <w:rPr>
                <w:rFonts w:ascii="Calibri" w:hAnsi="Calibri" w:cs="Calibri"/>
                <w:color w:val="000000"/>
                <w:sz w:val="22"/>
                <w:szCs w:val="22"/>
              </w:rPr>
              <w:t>70</w:t>
            </w:r>
          </w:p>
        </w:tc>
      </w:tr>
      <w:tr w:rsidR="00A97A96" w:rsidRPr="002215B0" w14:paraId="22CCD503" w14:textId="77777777" w:rsidTr="00A97A96">
        <w:trPr>
          <w:jc w:val="center"/>
        </w:trPr>
        <w:tc>
          <w:tcPr>
            <w:tcW w:w="1345" w:type="dxa"/>
            <w:vAlign w:val="center"/>
          </w:tcPr>
          <w:p w14:paraId="211B8AD1" w14:textId="390E77A9" w:rsidR="00A97A96" w:rsidRPr="002215B0" w:rsidRDefault="00A97A96" w:rsidP="00A97A96">
            <w:pPr>
              <w:spacing w:after="0" w:line="240" w:lineRule="auto"/>
              <w:jc w:val="center"/>
              <w:rPr>
                <w:sz w:val="22"/>
                <w:szCs w:val="22"/>
              </w:rPr>
            </w:pPr>
            <w:r>
              <w:rPr>
                <w:sz w:val="22"/>
                <w:szCs w:val="22"/>
              </w:rPr>
              <w:t>17a</w:t>
            </w:r>
          </w:p>
        </w:tc>
        <w:tc>
          <w:tcPr>
            <w:tcW w:w="3790" w:type="dxa"/>
            <w:shd w:val="clear" w:color="auto" w:fill="auto"/>
            <w:vAlign w:val="center"/>
          </w:tcPr>
          <w:p w14:paraId="5C0A833E" w14:textId="7E6C7042" w:rsidR="00A97A96" w:rsidRPr="002215B0" w:rsidRDefault="00A97A96" w:rsidP="00A97A96">
            <w:pPr>
              <w:spacing w:after="0" w:line="240" w:lineRule="auto"/>
              <w:rPr>
                <w:b/>
                <w:i/>
                <w:sz w:val="22"/>
                <w:szCs w:val="22"/>
              </w:rPr>
            </w:pPr>
            <w:r w:rsidRPr="002215B0">
              <w:rPr>
                <w:sz w:val="22"/>
                <w:szCs w:val="22"/>
              </w:rPr>
              <w:t>Child Questionnaire – Short Form</w:t>
            </w:r>
          </w:p>
        </w:tc>
        <w:tc>
          <w:tcPr>
            <w:tcW w:w="1466" w:type="dxa"/>
            <w:vAlign w:val="center"/>
          </w:tcPr>
          <w:p w14:paraId="39C59DE5" w14:textId="7EE4E3F5" w:rsidR="00A97A96" w:rsidRDefault="00A97A96" w:rsidP="00A97A96">
            <w:pPr>
              <w:spacing w:after="0" w:line="240" w:lineRule="auto"/>
              <w:jc w:val="center"/>
              <w:rPr>
                <w:sz w:val="22"/>
                <w:szCs w:val="22"/>
              </w:rPr>
            </w:pPr>
            <w:r w:rsidRPr="00752F0C">
              <w:rPr>
                <w:sz w:val="22"/>
                <w:szCs w:val="22"/>
              </w:rPr>
              <w:t>CAPI</w:t>
            </w:r>
          </w:p>
        </w:tc>
        <w:tc>
          <w:tcPr>
            <w:tcW w:w="1467" w:type="dxa"/>
          </w:tcPr>
          <w:p w14:paraId="7EABC91F" w14:textId="5742D3D6" w:rsidR="00A97A96" w:rsidRPr="00752F0C" w:rsidRDefault="00A97A96" w:rsidP="00A97A96">
            <w:pPr>
              <w:spacing w:after="0" w:line="240" w:lineRule="auto"/>
              <w:jc w:val="center"/>
              <w:rPr>
                <w:sz w:val="22"/>
                <w:szCs w:val="22"/>
              </w:rPr>
            </w:pPr>
            <w:r>
              <w:rPr>
                <w:sz w:val="22"/>
                <w:szCs w:val="22"/>
              </w:rPr>
              <w:t>35</w:t>
            </w:r>
          </w:p>
        </w:tc>
        <w:tc>
          <w:tcPr>
            <w:tcW w:w="1467" w:type="dxa"/>
            <w:vAlign w:val="center"/>
          </w:tcPr>
          <w:p w14:paraId="2EC49D66" w14:textId="14104353" w:rsidR="00A97A96" w:rsidRPr="002215B0" w:rsidRDefault="00A97A96" w:rsidP="00A97A96">
            <w:pPr>
              <w:spacing w:after="0" w:line="240" w:lineRule="auto"/>
              <w:jc w:val="center"/>
              <w:rPr>
                <w:sz w:val="22"/>
                <w:szCs w:val="22"/>
              </w:rPr>
            </w:pPr>
            <w:r>
              <w:rPr>
                <w:rFonts w:ascii="Calibri" w:hAnsi="Calibri" w:cs="Calibri"/>
                <w:color w:val="000000"/>
                <w:sz w:val="22"/>
                <w:szCs w:val="22"/>
              </w:rPr>
              <w:t>9</w:t>
            </w:r>
          </w:p>
        </w:tc>
      </w:tr>
      <w:tr w:rsidR="0092553D" w:rsidRPr="002215B0" w14:paraId="04C9C3FA" w14:textId="77777777" w:rsidTr="00BF23CD">
        <w:trPr>
          <w:jc w:val="center"/>
        </w:trPr>
        <w:tc>
          <w:tcPr>
            <w:tcW w:w="1345" w:type="dxa"/>
            <w:vAlign w:val="center"/>
          </w:tcPr>
          <w:p w14:paraId="1DCA0F1D" w14:textId="77777777" w:rsidR="0092553D" w:rsidRPr="002215B0" w:rsidRDefault="0092553D" w:rsidP="00BF23CD">
            <w:pPr>
              <w:spacing w:after="0" w:line="240" w:lineRule="auto"/>
              <w:jc w:val="center"/>
              <w:rPr>
                <w:sz w:val="22"/>
                <w:szCs w:val="22"/>
              </w:rPr>
            </w:pPr>
            <w:r>
              <w:rPr>
                <w:sz w:val="22"/>
                <w:szCs w:val="22"/>
              </w:rPr>
              <w:t>18</w:t>
            </w:r>
          </w:p>
        </w:tc>
        <w:tc>
          <w:tcPr>
            <w:tcW w:w="3790" w:type="dxa"/>
            <w:shd w:val="clear" w:color="auto" w:fill="auto"/>
            <w:vAlign w:val="center"/>
          </w:tcPr>
          <w:p w14:paraId="6BB28A8C" w14:textId="77777777" w:rsidR="0092553D" w:rsidRPr="002215B0" w:rsidRDefault="0092553D" w:rsidP="00BF23CD">
            <w:pPr>
              <w:spacing w:after="0" w:line="240" w:lineRule="auto"/>
              <w:rPr>
                <w:b/>
                <w:sz w:val="22"/>
                <w:szCs w:val="22"/>
              </w:rPr>
            </w:pPr>
            <w:r w:rsidRPr="002215B0">
              <w:rPr>
                <w:sz w:val="22"/>
                <w:szCs w:val="22"/>
              </w:rPr>
              <w:t>Adult Questionnaire</w:t>
            </w:r>
          </w:p>
        </w:tc>
        <w:tc>
          <w:tcPr>
            <w:tcW w:w="1466" w:type="dxa"/>
            <w:vAlign w:val="center"/>
          </w:tcPr>
          <w:p w14:paraId="3B7A13D9" w14:textId="77777777" w:rsidR="0092553D" w:rsidRDefault="0092553D" w:rsidP="00BF23CD">
            <w:pPr>
              <w:spacing w:after="0" w:line="240" w:lineRule="auto"/>
              <w:jc w:val="center"/>
              <w:rPr>
                <w:sz w:val="22"/>
                <w:szCs w:val="22"/>
              </w:rPr>
            </w:pPr>
            <w:r>
              <w:rPr>
                <w:sz w:val="22"/>
                <w:szCs w:val="22"/>
              </w:rPr>
              <w:t>CAPI</w:t>
            </w:r>
          </w:p>
        </w:tc>
        <w:tc>
          <w:tcPr>
            <w:tcW w:w="1467" w:type="dxa"/>
          </w:tcPr>
          <w:p w14:paraId="55583064" w14:textId="77777777" w:rsidR="0092553D" w:rsidRDefault="0092553D" w:rsidP="00BF23CD">
            <w:pPr>
              <w:spacing w:after="0" w:line="240" w:lineRule="auto"/>
              <w:jc w:val="center"/>
              <w:rPr>
                <w:sz w:val="22"/>
                <w:szCs w:val="22"/>
              </w:rPr>
            </w:pPr>
            <w:r>
              <w:rPr>
                <w:sz w:val="22"/>
                <w:szCs w:val="22"/>
              </w:rPr>
              <w:t>367</w:t>
            </w:r>
          </w:p>
        </w:tc>
        <w:tc>
          <w:tcPr>
            <w:tcW w:w="1467" w:type="dxa"/>
            <w:vAlign w:val="center"/>
          </w:tcPr>
          <w:p w14:paraId="33454DE3" w14:textId="77777777" w:rsidR="0092553D" w:rsidRPr="002215B0" w:rsidRDefault="0092553D" w:rsidP="00BF23CD">
            <w:pPr>
              <w:spacing w:after="0" w:line="240" w:lineRule="auto"/>
              <w:jc w:val="center"/>
              <w:rPr>
                <w:sz w:val="22"/>
                <w:szCs w:val="22"/>
              </w:rPr>
            </w:pPr>
            <w:r>
              <w:rPr>
                <w:rFonts w:ascii="Calibri" w:hAnsi="Calibri" w:cs="Calibri"/>
                <w:color w:val="000000"/>
                <w:sz w:val="22"/>
                <w:szCs w:val="22"/>
              </w:rPr>
              <w:t>184</w:t>
            </w:r>
          </w:p>
        </w:tc>
      </w:tr>
      <w:tr w:rsidR="00E675A4" w:rsidRPr="002215B0" w14:paraId="30816AA0" w14:textId="77777777" w:rsidTr="00134D63">
        <w:trPr>
          <w:jc w:val="center"/>
        </w:trPr>
        <w:tc>
          <w:tcPr>
            <w:tcW w:w="6601" w:type="dxa"/>
            <w:gridSpan w:val="3"/>
            <w:vAlign w:val="center"/>
          </w:tcPr>
          <w:p w14:paraId="60E01A5A" w14:textId="039C9906" w:rsidR="00E675A4" w:rsidRDefault="00E675A4" w:rsidP="00E675A4">
            <w:pPr>
              <w:spacing w:after="0" w:line="240" w:lineRule="auto"/>
              <w:jc w:val="right"/>
              <w:rPr>
                <w:sz w:val="22"/>
                <w:szCs w:val="22"/>
              </w:rPr>
            </w:pPr>
            <w:r>
              <w:rPr>
                <w:sz w:val="22"/>
                <w:szCs w:val="22"/>
              </w:rPr>
              <w:t>Improved Technology Total</w:t>
            </w:r>
          </w:p>
        </w:tc>
        <w:tc>
          <w:tcPr>
            <w:tcW w:w="1467" w:type="dxa"/>
          </w:tcPr>
          <w:p w14:paraId="4E7966E8" w14:textId="259B91DF" w:rsidR="00E675A4" w:rsidRPr="00752F0C" w:rsidRDefault="00E675A4" w:rsidP="00A97A96">
            <w:pPr>
              <w:spacing w:after="0" w:line="240" w:lineRule="auto"/>
              <w:jc w:val="center"/>
              <w:rPr>
                <w:sz w:val="22"/>
                <w:szCs w:val="22"/>
              </w:rPr>
            </w:pPr>
            <w:r>
              <w:rPr>
                <w:sz w:val="22"/>
                <w:szCs w:val="22"/>
              </w:rPr>
              <w:t>1,7</w:t>
            </w:r>
            <w:r w:rsidR="008217C5">
              <w:rPr>
                <w:sz w:val="22"/>
                <w:szCs w:val="22"/>
              </w:rPr>
              <w:t>97</w:t>
            </w:r>
          </w:p>
        </w:tc>
        <w:tc>
          <w:tcPr>
            <w:tcW w:w="1467" w:type="dxa"/>
            <w:vAlign w:val="center"/>
          </w:tcPr>
          <w:p w14:paraId="251A9D99" w14:textId="5C37E81C" w:rsidR="00E675A4" w:rsidRPr="002215B0" w:rsidRDefault="00E675A4" w:rsidP="00A97A96">
            <w:pPr>
              <w:spacing w:after="0" w:line="240" w:lineRule="auto"/>
              <w:jc w:val="center"/>
              <w:rPr>
                <w:sz w:val="22"/>
                <w:szCs w:val="22"/>
              </w:rPr>
            </w:pPr>
            <w:r>
              <w:rPr>
                <w:rFonts w:ascii="Calibri" w:hAnsi="Calibri" w:cs="Calibri"/>
                <w:color w:val="000000"/>
                <w:sz w:val="22"/>
                <w:szCs w:val="22"/>
              </w:rPr>
              <w:t>4</w:t>
            </w:r>
            <w:r w:rsidR="008217C5">
              <w:rPr>
                <w:rFonts w:ascii="Calibri" w:hAnsi="Calibri" w:cs="Calibri"/>
                <w:color w:val="000000"/>
                <w:sz w:val="22"/>
                <w:szCs w:val="22"/>
              </w:rPr>
              <w:t>4</w:t>
            </w:r>
            <w:r>
              <w:rPr>
                <w:rFonts w:ascii="Calibri" w:hAnsi="Calibri" w:cs="Calibri"/>
                <w:color w:val="000000"/>
                <w:sz w:val="22"/>
                <w:szCs w:val="22"/>
              </w:rPr>
              <w:t>2</w:t>
            </w:r>
          </w:p>
        </w:tc>
      </w:tr>
      <w:tr w:rsidR="00E675A4" w:rsidRPr="002215B0" w14:paraId="2618FFBD" w14:textId="77777777" w:rsidTr="00134D63">
        <w:trPr>
          <w:jc w:val="center"/>
        </w:trPr>
        <w:tc>
          <w:tcPr>
            <w:tcW w:w="6601" w:type="dxa"/>
            <w:gridSpan w:val="3"/>
            <w:vAlign w:val="center"/>
          </w:tcPr>
          <w:p w14:paraId="58D4899E" w14:textId="01AE2C5B" w:rsidR="00E675A4" w:rsidRDefault="00E675A4" w:rsidP="00E675A4">
            <w:pPr>
              <w:spacing w:after="0" w:line="240" w:lineRule="auto"/>
              <w:jc w:val="right"/>
              <w:rPr>
                <w:sz w:val="22"/>
                <w:szCs w:val="22"/>
              </w:rPr>
            </w:pPr>
            <w:r>
              <w:rPr>
                <w:sz w:val="22"/>
                <w:szCs w:val="22"/>
              </w:rPr>
              <w:t>Pease Study Total</w:t>
            </w:r>
          </w:p>
        </w:tc>
        <w:tc>
          <w:tcPr>
            <w:tcW w:w="1467" w:type="dxa"/>
          </w:tcPr>
          <w:p w14:paraId="6CB04AE3" w14:textId="4B00F9FD" w:rsidR="00E675A4" w:rsidRDefault="00E70205" w:rsidP="00A97A96">
            <w:pPr>
              <w:spacing w:after="0" w:line="240" w:lineRule="auto"/>
              <w:jc w:val="center"/>
              <w:rPr>
                <w:sz w:val="22"/>
                <w:szCs w:val="22"/>
              </w:rPr>
            </w:pPr>
            <w:r>
              <w:rPr>
                <w:sz w:val="22"/>
                <w:szCs w:val="22"/>
              </w:rPr>
              <w:t>4,519</w:t>
            </w:r>
          </w:p>
        </w:tc>
        <w:tc>
          <w:tcPr>
            <w:tcW w:w="1467" w:type="dxa"/>
            <w:vAlign w:val="center"/>
          </w:tcPr>
          <w:p w14:paraId="4235D429" w14:textId="7F833274" w:rsidR="00E675A4" w:rsidRDefault="00E675A4" w:rsidP="00A97A96">
            <w:pPr>
              <w:spacing w:after="0" w:line="240" w:lineRule="auto"/>
              <w:jc w:val="center"/>
              <w:rPr>
                <w:rFonts w:ascii="Calibri" w:hAnsi="Calibri" w:cs="Calibri"/>
                <w:color w:val="000000"/>
                <w:sz w:val="22"/>
                <w:szCs w:val="22"/>
              </w:rPr>
            </w:pPr>
            <w:r>
              <w:rPr>
                <w:rFonts w:ascii="Calibri" w:hAnsi="Calibri" w:cs="Calibri"/>
                <w:color w:val="000000"/>
                <w:sz w:val="22"/>
                <w:szCs w:val="22"/>
              </w:rPr>
              <w:t>1,1</w:t>
            </w:r>
            <w:r w:rsidR="008217C5">
              <w:rPr>
                <w:rFonts w:ascii="Calibri" w:hAnsi="Calibri" w:cs="Calibri"/>
                <w:color w:val="000000"/>
                <w:sz w:val="22"/>
                <w:szCs w:val="22"/>
              </w:rPr>
              <w:t>9</w:t>
            </w:r>
            <w:r w:rsidR="00CB7A0A">
              <w:rPr>
                <w:rFonts w:ascii="Calibri" w:hAnsi="Calibri" w:cs="Calibri"/>
                <w:color w:val="000000"/>
                <w:sz w:val="22"/>
                <w:szCs w:val="22"/>
              </w:rPr>
              <w:t>9</w:t>
            </w:r>
          </w:p>
        </w:tc>
      </w:tr>
      <w:tr w:rsidR="00E675A4" w:rsidRPr="002215B0" w14:paraId="5F96FED9" w14:textId="77777777" w:rsidTr="00134D63">
        <w:trPr>
          <w:jc w:val="center"/>
        </w:trPr>
        <w:tc>
          <w:tcPr>
            <w:tcW w:w="6601" w:type="dxa"/>
            <w:gridSpan w:val="3"/>
            <w:vAlign w:val="center"/>
          </w:tcPr>
          <w:p w14:paraId="268FA1E7" w14:textId="344CA6D6" w:rsidR="00E675A4" w:rsidRDefault="00E675A4" w:rsidP="00E675A4">
            <w:pPr>
              <w:spacing w:after="0" w:line="240" w:lineRule="auto"/>
              <w:jc w:val="right"/>
              <w:rPr>
                <w:sz w:val="22"/>
                <w:szCs w:val="22"/>
              </w:rPr>
            </w:pPr>
            <w:r>
              <w:rPr>
                <w:sz w:val="22"/>
                <w:szCs w:val="22"/>
              </w:rPr>
              <w:t>Improved Technology Percent</w:t>
            </w:r>
          </w:p>
        </w:tc>
        <w:tc>
          <w:tcPr>
            <w:tcW w:w="1467" w:type="dxa"/>
          </w:tcPr>
          <w:p w14:paraId="6F42EF82" w14:textId="3CE71CF5" w:rsidR="00E675A4" w:rsidRDefault="00E675A4" w:rsidP="00A97A96">
            <w:pPr>
              <w:spacing w:after="0" w:line="240" w:lineRule="auto"/>
              <w:jc w:val="center"/>
              <w:rPr>
                <w:sz w:val="22"/>
                <w:szCs w:val="22"/>
              </w:rPr>
            </w:pPr>
            <w:r>
              <w:rPr>
                <w:sz w:val="22"/>
                <w:szCs w:val="22"/>
              </w:rPr>
              <w:t>3</w:t>
            </w:r>
            <w:r w:rsidR="00E70205">
              <w:rPr>
                <w:sz w:val="22"/>
                <w:szCs w:val="22"/>
              </w:rPr>
              <w:t>9</w:t>
            </w:r>
            <w:r>
              <w:rPr>
                <w:sz w:val="22"/>
                <w:szCs w:val="22"/>
              </w:rPr>
              <w:t>.</w:t>
            </w:r>
            <w:r w:rsidR="00E70205">
              <w:rPr>
                <w:sz w:val="22"/>
                <w:szCs w:val="22"/>
              </w:rPr>
              <w:t>8</w:t>
            </w:r>
            <w:r>
              <w:rPr>
                <w:sz w:val="22"/>
                <w:szCs w:val="22"/>
              </w:rPr>
              <w:t>%</w:t>
            </w:r>
          </w:p>
        </w:tc>
        <w:tc>
          <w:tcPr>
            <w:tcW w:w="1467" w:type="dxa"/>
            <w:vAlign w:val="center"/>
          </w:tcPr>
          <w:p w14:paraId="75EB5133" w14:textId="094EC610" w:rsidR="00E675A4" w:rsidRDefault="00E675A4" w:rsidP="00A97A96">
            <w:pPr>
              <w:spacing w:after="0" w:line="240" w:lineRule="auto"/>
              <w:jc w:val="center"/>
              <w:rPr>
                <w:rFonts w:ascii="Calibri" w:hAnsi="Calibri" w:cs="Calibri"/>
                <w:color w:val="000000"/>
                <w:sz w:val="22"/>
                <w:szCs w:val="22"/>
              </w:rPr>
            </w:pPr>
            <w:r>
              <w:rPr>
                <w:rFonts w:ascii="Calibri" w:hAnsi="Calibri" w:cs="Calibri"/>
                <w:color w:val="000000"/>
                <w:sz w:val="22"/>
                <w:szCs w:val="22"/>
              </w:rPr>
              <w:t>36.</w:t>
            </w:r>
            <w:r w:rsidR="008217C5">
              <w:rPr>
                <w:rFonts w:ascii="Calibri" w:hAnsi="Calibri" w:cs="Calibri"/>
                <w:color w:val="000000"/>
                <w:sz w:val="22"/>
                <w:szCs w:val="22"/>
              </w:rPr>
              <w:t>9</w:t>
            </w:r>
            <w:r>
              <w:rPr>
                <w:rFonts w:ascii="Calibri" w:hAnsi="Calibri" w:cs="Calibri"/>
                <w:color w:val="000000"/>
                <w:sz w:val="22"/>
                <w:szCs w:val="22"/>
              </w:rPr>
              <w:t>%</w:t>
            </w:r>
          </w:p>
        </w:tc>
      </w:tr>
    </w:tbl>
    <w:p w14:paraId="7C975871" w14:textId="1BA4961E" w:rsidR="000A583B" w:rsidRPr="000A583B" w:rsidRDefault="000A583B" w:rsidP="000A583B">
      <w:pPr>
        <w:autoSpaceDE w:val="0"/>
        <w:autoSpaceDN w:val="0"/>
        <w:adjustRightInd w:val="0"/>
        <w:spacing w:line="240" w:lineRule="auto"/>
        <w:rPr>
          <w:rFonts w:cs="ITCFranklinGothicStd-Book"/>
          <w:sz w:val="24"/>
          <w:szCs w:val="24"/>
        </w:rPr>
      </w:pPr>
    </w:p>
    <w:p w14:paraId="133FA783" w14:textId="04C31D13" w:rsidR="0011321F" w:rsidRDefault="0011321F" w:rsidP="00251F55">
      <w:pPr>
        <w:autoSpaceDE w:val="0"/>
        <w:autoSpaceDN w:val="0"/>
        <w:adjustRightInd w:val="0"/>
        <w:spacing w:line="276" w:lineRule="auto"/>
        <w:rPr>
          <w:rFonts w:cs="ITCFranklinGothicStd-Book"/>
          <w:sz w:val="24"/>
          <w:szCs w:val="24"/>
        </w:rPr>
      </w:pPr>
      <w:r w:rsidRPr="00A97A96">
        <w:rPr>
          <w:rFonts w:cs="ITCFranklinGothicStd-Book"/>
          <w:sz w:val="24"/>
          <w:szCs w:val="24"/>
        </w:rPr>
        <w:t>Computer Assisted Telepho</w:t>
      </w:r>
      <w:r w:rsidR="00BD70C4" w:rsidRPr="00A97A96">
        <w:rPr>
          <w:rFonts w:cs="ITCFranklinGothicStd-Book"/>
          <w:sz w:val="24"/>
          <w:szCs w:val="24"/>
        </w:rPr>
        <w:t>ne Interview</w:t>
      </w:r>
      <w:r w:rsidR="00827F6A">
        <w:rPr>
          <w:rFonts w:cs="ITCFranklinGothicStd-Book"/>
          <w:sz w:val="24"/>
          <w:szCs w:val="24"/>
        </w:rPr>
        <w:t xml:space="preserve">s (CATIs) and Computer Assisted Personal Interviews (CAPIs) </w:t>
      </w:r>
      <w:r w:rsidR="00F44E0C">
        <w:rPr>
          <w:rFonts w:cs="ITCFranklinGothicStd-Book"/>
          <w:sz w:val="24"/>
          <w:szCs w:val="24"/>
        </w:rPr>
        <w:t>programmed into Epi Info</w:t>
      </w:r>
      <w:r w:rsidR="00F44E0C">
        <w:rPr>
          <w:rFonts w:cstheme="minorHAnsi"/>
          <w:sz w:val="24"/>
          <w:szCs w:val="24"/>
        </w:rPr>
        <w:t>™</w:t>
      </w:r>
      <w:r w:rsidR="00F44E0C">
        <w:rPr>
          <w:rStyle w:val="FootnoteReference"/>
          <w:rFonts w:cstheme="minorHAnsi"/>
          <w:sz w:val="24"/>
          <w:szCs w:val="24"/>
        </w:rPr>
        <w:footnoteReference w:id="1"/>
      </w:r>
      <w:r w:rsidR="00F44E0C">
        <w:rPr>
          <w:rFonts w:cs="ITCFranklinGothicStd-Book"/>
          <w:sz w:val="24"/>
          <w:szCs w:val="24"/>
        </w:rPr>
        <w:t xml:space="preserve">will </w:t>
      </w:r>
      <w:r w:rsidR="00827F6A">
        <w:rPr>
          <w:rFonts w:cs="ITCFranklinGothicStd-Book"/>
          <w:sz w:val="24"/>
          <w:szCs w:val="24"/>
        </w:rPr>
        <w:t>reduce burden by incorporating</w:t>
      </w:r>
      <w:r w:rsidR="006D35F6" w:rsidRPr="00A97A96">
        <w:rPr>
          <w:rFonts w:cs="ITCFranklinGothicStd-Book"/>
          <w:sz w:val="24"/>
          <w:szCs w:val="24"/>
        </w:rPr>
        <w:t xml:space="preserve"> computer-</w:t>
      </w:r>
      <w:r w:rsidR="00827F6A">
        <w:rPr>
          <w:rFonts w:cs="ITCFranklinGothicStd-Book"/>
          <w:sz w:val="24"/>
          <w:szCs w:val="24"/>
        </w:rPr>
        <w:t xml:space="preserve">generated skip patterns, </w:t>
      </w:r>
      <w:r w:rsidR="00E675A4">
        <w:rPr>
          <w:rFonts w:cs="ITCFranklinGothicStd-Book"/>
          <w:sz w:val="24"/>
          <w:szCs w:val="24"/>
        </w:rPr>
        <w:t xml:space="preserve">and </w:t>
      </w:r>
      <w:r w:rsidR="00F44E0C">
        <w:rPr>
          <w:rFonts w:cs="ITCFranklinGothicStd-Book"/>
          <w:sz w:val="24"/>
          <w:szCs w:val="24"/>
        </w:rPr>
        <w:t xml:space="preserve">improve data quality by </w:t>
      </w:r>
      <w:r w:rsidR="00E675A4">
        <w:rPr>
          <w:rFonts w:cs="ITCFranklinGothicStd-Book"/>
          <w:sz w:val="24"/>
          <w:szCs w:val="24"/>
        </w:rPr>
        <w:t>automating</w:t>
      </w:r>
      <w:r w:rsidR="00827F6A">
        <w:rPr>
          <w:rFonts w:cs="ITCFranklinGothicStd-Book"/>
          <w:sz w:val="24"/>
          <w:szCs w:val="24"/>
        </w:rPr>
        <w:t xml:space="preserve"> data entry</w:t>
      </w:r>
      <w:r w:rsidR="00E675A4">
        <w:rPr>
          <w:rFonts w:cs="ITCFranklinGothicStd-Book"/>
          <w:sz w:val="24"/>
          <w:szCs w:val="24"/>
        </w:rPr>
        <w:t>. Also, ATSDR is offering the child questionnaire short form (</w:t>
      </w:r>
      <w:r w:rsidR="00E675A4">
        <w:rPr>
          <w:rFonts w:cs="ITCFranklinGothicStd-Book"/>
          <w:b/>
          <w:sz w:val="24"/>
          <w:szCs w:val="24"/>
        </w:rPr>
        <w:t>Attachment 17a</w:t>
      </w:r>
      <w:r w:rsidR="00E675A4">
        <w:rPr>
          <w:rFonts w:cs="ITCFranklinGothicStd-Book"/>
          <w:sz w:val="24"/>
          <w:szCs w:val="24"/>
        </w:rPr>
        <w:t>) to parents who will enroll as adults themselves.</w:t>
      </w:r>
      <w:r w:rsidR="00B776FA">
        <w:rPr>
          <w:rFonts w:cs="ITCFranklinGothicStd-Book"/>
          <w:sz w:val="24"/>
          <w:szCs w:val="24"/>
        </w:rPr>
        <w:t xml:space="preserve"> Responses to the short form will reduce </w:t>
      </w:r>
      <w:r w:rsidR="0092553D">
        <w:rPr>
          <w:rFonts w:cs="ITCFranklinGothicStd-Book"/>
          <w:sz w:val="24"/>
          <w:szCs w:val="24"/>
        </w:rPr>
        <w:t xml:space="preserve">duplication of effort and </w:t>
      </w:r>
      <w:r w:rsidR="00F44E0C">
        <w:rPr>
          <w:rFonts w:cs="ITCFranklinGothicStd-Book"/>
          <w:sz w:val="24"/>
          <w:szCs w:val="24"/>
        </w:rPr>
        <w:t xml:space="preserve">a parent’s </w:t>
      </w:r>
      <w:r w:rsidR="00B776FA">
        <w:rPr>
          <w:rFonts w:cs="ITCFranklinGothicStd-Book"/>
          <w:sz w:val="24"/>
          <w:szCs w:val="24"/>
        </w:rPr>
        <w:t>burden by half.</w:t>
      </w:r>
      <w:r w:rsidR="00000CA7">
        <w:rPr>
          <w:rFonts w:cs="ITCFranklinGothicStd-Book"/>
          <w:sz w:val="24"/>
          <w:szCs w:val="24"/>
        </w:rPr>
        <w:t xml:space="preserve"> </w:t>
      </w:r>
    </w:p>
    <w:p w14:paraId="4EFD20B9" w14:textId="45BA99F8" w:rsidR="00C05283" w:rsidRPr="00E675A4" w:rsidRDefault="00C05283" w:rsidP="00251F55">
      <w:pPr>
        <w:autoSpaceDE w:val="0"/>
        <w:autoSpaceDN w:val="0"/>
        <w:adjustRightInd w:val="0"/>
        <w:spacing w:line="276" w:lineRule="auto"/>
        <w:rPr>
          <w:rFonts w:cs="ITCFranklinGothicStd-Book"/>
          <w:sz w:val="24"/>
          <w:szCs w:val="24"/>
        </w:rPr>
      </w:pPr>
      <w:r>
        <w:rPr>
          <w:rFonts w:cs="ITCFranklinGothicStd-Book"/>
          <w:sz w:val="24"/>
          <w:szCs w:val="24"/>
        </w:rPr>
        <w:t>Screenshots of CATI and CAPI forms will be submitted to OMB as a non-substantive change request after PRA clearance for the Pease Study is granted</w:t>
      </w:r>
      <w:r w:rsidR="001F0BE8">
        <w:rPr>
          <w:rFonts w:cs="ITCFranklinGothicStd-Book"/>
          <w:sz w:val="24"/>
          <w:szCs w:val="24"/>
        </w:rPr>
        <w:t>, unless the CAPIs and CATIs are ready at the time of ICR submission to OMB</w:t>
      </w:r>
      <w:r>
        <w:rPr>
          <w:rFonts w:cs="ITCFranklinGothicStd-Book"/>
          <w:sz w:val="24"/>
          <w:szCs w:val="24"/>
        </w:rPr>
        <w:t>.</w:t>
      </w:r>
    </w:p>
    <w:p w14:paraId="32CBF19C" w14:textId="6C24B85E" w:rsidR="00B45002" w:rsidRPr="00D20211" w:rsidRDefault="00601F1A" w:rsidP="004D7237">
      <w:pPr>
        <w:pStyle w:val="Heading1"/>
        <w:pBdr>
          <w:bottom w:val="none" w:sz="0" w:space="0" w:color="auto"/>
        </w:pBdr>
        <w:rPr>
          <w:color w:val="auto"/>
        </w:rPr>
      </w:pPr>
      <w:bookmarkStart w:id="6" w:name="_Toc532912776"/>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241D43FC" w14:textId="77777777" w:rsidR="004D7237" w:rsidRPr="00D20211" w:rsidRDefault="004D7237" w:rsidP="004D7237"/>
    <w:p w14:paraId="0078AC64" w14:textId="78EE2E3C" w:rsidR="00484420" w:rsidRPr="003664A6" w:rsidRDefault="00484420" w:rsidP="003664A6">
      <w:pPr>
        <w:pStyle w:val="NormalWeb"/>
        <w:spacing w:after="120" w:afterAutospacing="0" w:line="276" w:lineRule="auto"/>
        <w:rPr>
          <w:rFonts w:asciiTheme="minorHAnsi" w:hAnsiTheme="minorHAnsi" w:cstheme="minorHAnsi"/>
          <w:u w:val="single"/>
        </w:rPr>
      </w:pPr>
      <w:r w:rsidRPr="003664A6">
        <w:rPr>
          <w:rFonts w:asciiTheme="minorHAnsi" w:hAnsiTheme="minorHAnsi" w:cstheme="minorHAnsi"/>
          <w:u w:val="single"/>
        </w:rPr>
        <w:t>2005-2013</w:t>
      </w:r>
    </w:p>
    <w:p w14:paraId="3599442D" w14:textId="33687577" w:rsidR="00ED71D1" w:rsidRPr="00097E41" w:rsidRDefault="00484420" w:rsidP="00097E41">
      <w:pPr>
        <w:pStyle w:val="NormalWeb"/>
        <w:spacing w:after="120" w:afterAutospacing="0" w:line="276" w:lineRule="auto"/>
        <w:rPr>
          <w:rFonts w:asciiTheme="minorHAnsi" w:hAnsiTheme="minorHAnsi" w:cstheme="minorHAnsi"/>
        </w:rPr>
      </w:pPr>
      <w:r w:rsidRPr="00E92F60">
        <w:rPr>
          <w:rFonts w:asciiTheme="minorHAnsi" w:hAnsiTheme="minorHAnsi" w:cstheme="minorHAnsi"/>
        </w:rPr>
        <w:t xml:space="preserve">The most notable PFAS </w:t>
      </w:r>
      <w:r w:rsidR="00E92F60" w:rsidRPr="00E92F60">
        <w:rPr>
          <w:rFonts w:asciiTheme="minorHAnsi" w:hAnsiTheme="minorHAnsi" w:cstheme="minorHAnsi"/>
        </w:rPr>
        <w:t xml:space="preserve">research in the U.S. </w:t>
      </w:r>
      <w:r w:rsidR="003F4112">
        <w:rPr>
          <w:rFonts w:asciiTheme="minorHAnsi" w:hAnsiTheme="minorHAnsi" w:cstheme="minorHAnsi"/>
        </w:rPr>
        <w:t xml:space="preserve">to date </w:t>
      </w:r>
      <w:r w:rsidR="00E92F60" w:rsidRPr="00E92F60">
        <w:rPr>
          <w:rFonts w:asciiTheme="minorHAnsi" w:hAnsiTheme="minorHAnsi" w:cstheme="minorHAnsi"/>
        </w:rPr>
        <w:t>was the C8 Health Project</w:t>
      </w:r>
      <w:r w:rsidR="003F4112">
        <w:rPr>
          <w:rFonts w:asciiTheme="minorHAnsi" w:hAnsiTheme="minorHAnsi" w:cstheme="minorHAnsi"/>
        </w:rPr>
        <w:t xml:space="preserve"> (see </w:t>
      </w:r>
      <w:hyperlink r:id="rId9" w:history="1">
        <w:r w:rsidR="003F4112" w:rsidRPr="00107C3E">
          <w:rPr>
            <w:rStyle w:val="Hyperlink"/>
            <w:rFonts w:asciiTheme="minorHAnsi" w:hAnsiTheme="minorHAnsi" w:cstheme="minorHAnsi"/>
          </w:rPr>
          <w:t>http://www.c8sciencepanel.org/</w:t>
        </w:r>
      </w:hyperlink>
      <w:r w:rsidR="003F4112">
        <w:rPr>
          <w:rFonts w:asciiTheme="minorHAnsi" w:hAnsiTheme="minorHAnsi" w:cstheme="minorHAnsi"/>
        </w:rPr>
        <w:t>)</w:t>
      </w:r>
      <w:r w:rsidR="00E92F60" w:rsidRPr="00E92F60">
        <w:rPr>
          <w:rFonts w:asciiTheme="minorHAnsi" w:hAnsiTheme="minorHAnsi" w:cstheme="minorHAnsi"/>
        </w:rPr>
        <w:t xml:space="preserve">. </w:t>
      </w:r>
      <w:r w:rsidR="00733095">
        <w:rPr>
          <w:rFonts w:asciiTheme="minorHAnsi" w:hAnsiTheme="minorHAnsi" w:cstheme="minorHAnsi"/>
        </w:rPr>
        <w:t xml:space="preserve">C8 is a </w:t>
      </w:r>
      <w:r w:rsidR="009868F0">
        <w:rPr>
          <w:rFonts w:asciiTheme="minorHAnsi" w:hAnsiTheme="minorHAnsi" w:cstheme="minorHAnsi"/>
        </w:rPr>
        <w:t xml:space="preserve">trade </w:t>
      </w:r>
      <w:r w:rsidR="00733095">
        <w:rPr>
          <w:rFonts w:asciiTheme="minorHAnsi" w:hAnsiTheme="minorHAnsi" w:cstheme="minorHAnsi"/>
        </w:rPr>
        <w:t>name given to PFOA</w:t>
      </w:r>
      <w:r w:rsidR="00E92F60">
        <w:rPr>
          <w:rFonts w:asciiTheme="minorHAnsi" w:hAnsiTheme="minorHAnsi" w:cstheme="minorHAnsi"/>
        </w:rPr>
        <w:t>, manufactured in Parkersburg, WV</w:t>
      </w:r>
      <w:r w:rsidR="00E92F60" w:rsidRPr="00E92F60">
        <w:rPr>
          <w:rFonts w:asciiTheme="minorHAnsi" w:hAnsiTheme="minorHAnsi" w:cstheme="minorHAnsi"/>
        </w:rPr>
        <w:t xml:space="preserve">. </w:t>
      </w:r>
      <w:r w:rsidR="009868F0">
        <w:rPr>
          <w:rFonts w:asciiTheme="minorHAnsi" w:hAnsiTheme="minorHAnsi" w:cstheme="minorHAnsi"/>
        </w:rPr>
        <w:t xml:space="preserve">Extensive migration of C8 into the environment and subsequently into drinking water affected many people in the Mid-Ohio Valley in Ohio and in West Virginia. </w:t>
      </w:r>
      <w:r w:rsidR="00E92F60" w:rsidRPr="00E92F60">
        <w:rPr>
          <w:rFonts w:asciiTheme="minorHAnsi" w:hAnsiTheme="minorHAnsi" w:cstheme="minorHAnsi"/>
        </w:rPr>
        <w:t xml:space="preserve">The purpose of the C8 Health Project was to collect health data from </w:t>
      </w:r>
      <w:r w:rsidR="003F4112">
        <w:rPr>
          <w:rFonts w:asciiTheme="minorHAnsi" w:hAnsiTheme="minorHAnsi" w:cstheme="minorHAnsi"/>
        </w:rPr>
        <w:t>almost 70,000 Class Members of a</w:t>
      </w:r>
      <w:r w:rsidR="00E92F60" w:rsidRPr="00E92F60">
        <w:rPr>
          <w:rFonts w:asciiTheme="minorHAnsi" w:hAnsiTheme="minorHAnsi" w:cstheme="minorHAnsi"/>
        </w:rPr>
        <w:t xml:space="preserve"> lawsuit through written questionnaires and a </w:t>
      </w:r>
      <w:r w:rsidR="00E92F60" w:rsidRPr="00097E41">
        <w:rPr>
          <w:rFonts w:asciiTheme="minorHAnsi" w:hAnsiTheme="minorHAnsi" w:cstheme="minorHAnsi"/>
        </w:rPr>
        <w:t xml:space="preserve">battery of blood tests, including a test to </w:t>
      </w:r>
      <w:r w:rsidR="009868F0">
        <w:rPr>
          <w:rFonts w:asciiTheme="minorHAnsi" w:hAnsiTheme="minorHAnsi" w:cstheme="minorHAnsi"/>
        </w:rPr>
        <w:t xml:space="preserve">measure </w:t>
      </w:r>
      <w:r w:rsidR="003F4112" w:rsidRPr="00097E41">
        <w:rPr>
          <w:rFonts w:asciiTheme="minorHAnsi" w:hAnsiTheme="minorHAnsi" w:cstheme="minorHAnsi"/>
        </w:rPr>
        <w:t xml:space="preserve">C8 in the blood. </w:t>
      </w:r>
      <w:r w:rsidR="00ED71D1" w:rsidRPr="00097E41">
        <w:rPr>
          <w:rFonts w:asciiTheme="minorHAnsi" w:hAnsiTheme="minorHAnsi" w:cstheme="minorHAnsi"/>
        </w:rPr>
        <w:t>As part of the Settlement Agreement, the C8 Science Panel</w:t>
      </w:r>
      <w:r w:rsidR="00710B36" w:rsidRPr="00097E41">
        <w:rPr>
          <w:rFonts w:asciiTheme="minorHAnsi" w:hAnsiTheme="minorHAnsi" w:cstheme="minorHAnsi"/>
        </w:rPr>
        <w:t xml:space="preserve"> released a series of “probable cause” reports linking C8 exposure to health outcomes.</w:t>
      </w:r>
      <w:r w:rsidR="00256942">
        <w:rPr>
          <w:rFonts w:asciiTheme="minorHAnsi" w:hAnsiTheme="minorHAnsi" w:cstheme="minorHAnsi"/>
        </w:rPr>
        <w:t xml:space="preserve"> Given that the primary PFAS released by the chemical manufacturer was C8 (PFOA), the “probable link” to health outcomes are extremely informative for the Pease Study, but does not address all the PFAS constituents found in Pease drinking water.</w:t>
      </w:r>
    </w:p>
    <w:p w14:paraId="55F2EA60" w14:textId="4F28B8FE" w:rsidR="00134D63" w:rsidRPr="003664A6" w:rsidRDefault="00134D63" w:rsidP="00CA70B7">
      <w:pPr>
        <w:pStyle w:val="NormalWeb"/>
        <w:spacing w:after="120" w:afterAutospacing="0" w:line="276" w:lineRule="auto"/>
        <w:rPr>
          <w:rFonts w:asciiTheme="minorHAnsi" w:hAnsiTheme="minorHAnsi" w:cstheme="minorHAnsi"/>
          <w:u w:val="single"/>
        </w:rPr>
      </w:pPr>
      <w:r w:rsidRPr="003664A6">
        <w:rPr>
          <w:rFonts w:asciiTheme="minorHAnsi" w:hAnsiTheme="minorHAnsi" w:cstheme="minorHAnsi"/>
          <w:u w:val="single"/>
        </w:rPr>
        <w:t>2017</w:t>
      </w:r>
    </w:p>
    <w:p w14:paraId="48C9DEBE" w14:textId="45BFCD48" w:rsidR="00134D63" w:rsidRPr="00097E41" w:rsidRDefault="00134D63" w:rsidP="00CA70B7">
      <w:pPr>
        <w:autoSpaceDE w:val="0"/>
        <w:autoSpaceDN w:val="0"/>
        <w:adjustRightInd w:val="0"/>
        <w:spacing w:line="276" w:lineRule="auto"/>
        <w:rPr>
          <w:sz w:val="24"/>
          <w:szCs w:val="24"/>
        </w:rPr>
      </w:pPr>
      <w:r w:rsidRPr="00097E41">
        <w:rPr>
          <w:rFonts w:cs="ITCFranklinGothicStd-Book"/>
          <w:sz w:val="24"/>
          <w:szCs w:val="24"/>
        </w:rPr>
        <w:t xml:space="preserve">ATSDR conducted an extensive literature review for its </w:t>
      </w:r>
      <w:r w:rsidR="00055096">
        <w:rPr>
          <w:rFonts w:cs="ITCFranklinGothicStd-Book"/>
          <w:sz w:val="24"/>
          <w:szCs w:val="24"/>
        </w:rPr>
        <w:t xml:space="preserve">Pease </w:t>
      </w:r>
      <w:r w:rsidRPr="00097E41">
        <w:rPr>
          <w:rFonts w:cs="ITCFranklinGothicStd-Book"/>
          <w:sz w:val="24"/>
          <w:szCs w:val="24"/>
        </w:rPr>
        <w:t>feasibility study (</w:t>
      </w:r>
      <w:r w:rsidRPr="00097E41">
        <w:rPr>
          <w:rFonts w:cs="ITCFranklinGothicStd-Book"/>
          <w:b/>
          <w:sz w:val="24"/>
          <w:szCs w:val="24"/>
        </w:rPr>
        <w:t>Appendix C</w:t>
      </w:r>
      <w:r w:rsidR="00256942">
        <w:rPr>
          <w:rFonts w:cs="ITCFranklinGothicStd-Book"/>
          <w:sz w:val="24"/>
          <w:szCs w:val="24"/>
        </w:rPr>
        <w:t xml:space="preserve"> - </w:t>
      </w:r>
      <w:r w:rsidR="007462EE" w:rsidRPr="00097E41">
        <w:rPr>
          <w:rFonts w:cs="ITCFranklinGothicStd-Book"/>
          <w:sz w:val="24"/>
          <w:szCs w:val="24"/>
        </w:rPr>
        <w:t>summarized on pages 14-15, a</w:t>
      </w:r>
      <w:r w:rsidR="00484420" w:rsidRPr="00097E41">
        <w:rPr>
          <w:rFonts w:cs="ITCFranklinGothicStd-Book"/>
          <w:sz w:val="24"/>
          <w:szCs w:val="24"/>
        </w:rPr>
        <w:t>nd detailed</w:t>
      </w:r>
      <w:r w:rsidR="007462EE" w:rsidRPr="00097E41">
        <w:rPr>
          <w:rFonts w:cs="ITCFranklinGothicStd-Book"/>
          <w:sz w:val="24"/>
          <w:szCs w:val="24"/>
        </w:rPr>
        <w:t xml:space="preserve"> beginning on page 77</w:t>
      </w:r>
      <w:r w:rsidR="00256942">
        <w:rPr>
          <w:rFonts w:cs="ITCFranklinGothicStd-Book"/>
          <w:sz w:val="24"/>
          <w:szCs w:val="24"/>
        </w:rPr>
        <w:t>)</w:t>
      </w:r>
      <w:r w:rsidR="007462EE" w:rsidRPr="00097E41">
        <w:rPr>
          <w:rFonts w:cs="ITCFranklinGothicStd-Book"/>
          <w:sz w:val="24"/>
          <w:szCs w:val="24"/>
        </w:rPr>
        <w:t>.</w:t>
      </w:r>
      <w:r w:rsidR="00CA70B7" w:rsidRPr="00097E41">
        <w:rPr>
          <w:rFonts w:cs="ITCFranklinGothicStd-Book"/>
          <w:sz w:val="24"/>
          <w:szCs w:val="24"/>
        </w:rPr>
        <w:t xml:space="preserve"> </w:t>
      </w:r>
      <w:r w:rsidR="00CA70B7" w:rsidRPr="00097E41">
        <w:rPr>
          <w:sz w:val="24"/>
          <w:szCs w:val="24"/>
        </w:rPr>
        <w:t>The literature review focused on the epidemiological results for PFOA, PFOS and PFHxS since these were the major contaminants detected in the Pease Tradeport Haven Well during the April and May 2014 sampling as well as the elevated PFAS in the serum of those tested in the NH DHHS Pease testing program. The purpose of the literature review was to identify the health-related endpoints that have been evaluated in at least one epidemiological study, and to assess the extent of the epidemiological research on the health effects of PFHxS and PFOS.</w:t>
      </w:r>
      <w:r w:rsidR="00484420" w:rsidRPr="00097E41">
        <w:rPr>
          <w:sz w:val="24"/>
          <w:szCs w:val="24"/>
        </w:rPr>
        <w:t xml:space="preserve"> The literature review was also used to derive sample size estimates for the Pease Study.</w:t>
      </w:r>
    </w:p>
    <w:p w14:paraId="0A10F519" w14:textId="702FB8B5" w:rsidR="00097E41" w:rsidRPr="00097E41" w:rsidRDefault="00097E41" w:rsidP="006D2DB4">
      <w:pPr>
        <w:pStyle w:val="NormalWeb"/>
        <w:spacing w:after="120" w:afterAutospacing="0" w:line="276" w:lineRule="auto"/>
        <w:rPr>
          <w:rFonts w:asciiTheme="minorHAnsi" w:hAnsiTheme="minorHAnsi" w:cstheme="minorHAnsi"/>
        </w:rPr>
      </w:pPr>
      <w:r w:rsidRPr="00097E41">
        <w:rPr>
          <w:rFonts w:asciiTheme="minorHAnsi" w:hAnsiTheme="minorHAnsi" w:cstheme="minorHAnsi"/>
        </w:rPr>
        <w:t xml:space="preserve">The literature review found that less information was available about the potential health effects of PFOS exposures, and very little information was available on the potential health effects of exposures to PFHxS. Because the primary contaminants in the drinking water at the Pease Tradeport were PFOS and PFHxS, epidemiological studies of the </w:t>
      </w:r>
      <w:r w:rsidRPr="006D2DB4">
        <w:rPr>
          <w:rFonts w:asciiTheme="minorHAnsi" w:hAnsiTheme="minorHAnsi" w:cstheme="minorHAnsi"/>
        </w:rPr>
        <w:t>Pease populations have the potential to fill key knowledge gaps and address the community’s concerns</w:t>
      </w:r>
      <w:r w:rsidR="006D2DB4" w:rsidRPr="006D2DB4">
        <w:rPr>
          <w:rFonts w:asciiTheme="minorHAnsi" w:hAnsiTheme="minorHAnsi" w:cstheme="minorHAnsi"/>
        </w:rPr>
        <w:t xml:space="preserve"> (</w:t>
      </w:r>
      <w:r w:rsidR="006D2DB4" w:rsidRPr="006D2DB4">
        <w:rPr>
          <w:rFonts w:asciiTheme="minorHAnsi" w:hAnsiTheme="minorHAnsi" w:cstheme="minorHAnsi"/>
          <w:b/>
        </w:rPr>
        <w:t>Appendix C</w:t>
      </w:r>
      <w:r w:rsidR="006D2DB4" w:rsidRPr="006D2DB4">
        <w:rPr>
          <w:rFonts w:asciiTheme="minorHAnsi" w:hAnsiTheme="minorHAnsi" w:cstheme="minorHAnsi"/>
        </w:rPr>
        <w:t>)</w:t>
      </w:r>
      <w:r w:rsidRPr="006D2DB4">
        <w:rPr>
          <w:rFonts w:asciiTheme="minorHAnsi" w:hAnsiTheme="minorHAnsi" w:cstheme="minorHAnsi"/>
        </w:rPr>
        <w:t>.</w:t>
      </w:r>
      <w:r w:rsidR="006D2DB4">
        <w:rPr>
          <w:rFonts w:asciiTheme="minorHAnsi" w:hAnsiTheme="minorHAnsi" w:cstheme="minorHAnsi"/>
        </w:rPr>
        <w:t xml:space="preserve"> </w:t>
      </w:r>
      <w:r w:rsidR="006D2DB4" w:rsidRPr="00097E41">
        <w:rPr>
          <w:rFonts w:asciiTheme="minorHAnsi" w:hAnsiTheme="minorHAnsi" w:cstheme="minorHAnsi"/>
        </w:rPr>
        <w:t>ATSDR plans to analyze 14 serum PFAS in its biochemical analytical plan (</w:t>
      </w:r>
      <w:r w:rsidR="006D2DB4" w:rsidRPr="00097E41">
        <w:rPr>
          <w:rFonts w:asciiTheme="minorHAnsi" w:hAnsiTheme="minorHAnsi" w:cstheme="minorHAnsi"/>
          <w:b/>
        </w:rPr>
        <w:t>Attachment 3</w:t>
      </w:r>
      <w:r w:rsidR="006D2DB4" w:rsidRPr="00097E41">
        <w:rPr>
          <w:rFonts w:asciiTheme="minorHAnsi" w:hAnsiTheme="minorHAnsi" w:cstheme="minorHAnsi"/>
        </w:rPr>
        <w:t>).</w:t>
      </w:r>
    </w:p>
    <w:p w14:paraId="2A5B6CA0" w14:textId="5D736B23" w:rsidR="00134D63" w:rsidRPr="003664A6" w:rsidRDefault="00134D63" w:rsidP="00CA70B7">
      <w:pPr>
        <w:pStyle w:val="NormalWeb"/>
        <w:spacing w:after="120" w:afterAutospacing="0" w:line="276" w:lineRule="auto"/>
        <w:rPr>
          <w:rFonts w:asciiTheme="minorHAnsi" w:hAnsiTheme="minorHAnsi" w:cstheme="minorHAnsi"/>
          <w:u w:val="single"/>
        </w:rPr>
      </w:pPr>
      <w:r w:rsidRPr="003664A6">
        <w:rPr>
          <w:rFonts w:asciiTheme="minorHAnsi" w:hAnsiTheme="minorHAnsi" w:cstheme="minorHAnsi"/>
          <w:u w:val="single"/>
        </w:rPr>
        <w:t>2018</w:t>
      </w:r>
    </w:p>
    <w:p w14:paraId="5B32C466" w14:textId="3C5D60FE" w:rsidR="00134D63" w:rsidRPr="00134D63" w:rsidRDefault="00134D63" w:rsidP="00CA70B7">
      <w:pPr>
        <w:pStyle w:val="NormalWeb"/>
        <w:spacing w:after="120" w:afterAutospacing="0" w:line="276" w:lineRule="auto"/>
        <w:rPr>
          <w:rFonts w:asciiTheme="minorHAnsi" w:hAnsiTheme="minorHAnsi" w:cstheme="minorHAnsi"/>
          <w:lang w:val="en"/>
        </w:rPr>
      </w:pPr>
      <w:r>
        <w:rPr>
          <w:rFonts w:asciiTheme="minorHAnsi" w:hAnsiTheme="minorHAnsi" w:cstheme="minorHAnsi"/>
        </w:rPr>
        <w:t xml:space="preserve">In efforts to increase cross-government coordination, </w:t>
      </w:r>
      <w:r w:rsidR="00000CA7" w:rsidRPr="00134D63">
        <w:rPr>
          <w:rFonts w:asciiTheme="minorHAnsi" w:hAnsiTheme="minorHAnsi" w:cstheme="minorHAnsi"/>
        </w:rPr>
        <w:t>ATSDR and NC</w:t>
      </w:r>
      <w:r w:rsidRPr="00134D63">
        <w:rPr>
          <w:rFonts w:asciiTheme="minorHAnsi" w:hAnsiTheme="minorHAnsi" w:cstheme="minorHAnsi"/>
        </w:rPr>
        <w:t>EH/ATSDR senior leadership attende</w:t>
      </w:r>
      <w:r w:rsidR="006F5104">
        <w:rPr>
          <w:rFonts w:asciiTheme="minorHAnsi" w:hAnsiTheme="minorHAnsi" w:cstheme="minorHAnsi"/>
        </w:rPr>
        <w:t xml:space="preserve">d the </w:t>
      </w:r>
      <w:r>
        <w:rPr>
          <w:rFonts w:asciiTheme="minorHAnsi" w:hAnsiTheme="minorHAnsi" w:cstheme="minorHAnsi"/>
        </w:rPr>
        <w:t>PFAS National L</w:t>
      </w:r>
      <w:r w:rsidR="006F5104">
        <w:rPr>
          <w:rFonts w:asciiTheme="minorHAnsi" w:hAnsiTheme="minorHAnsi" w:cstheme="minorHAnsi"/>
        </w:rPr>
        <w:t>eadership Summit, sponsored by U.S. EPA</w:t>
      </w:r>
      <w:r w:rsidRPr="00134D63">
        <w:rPr>
          <w:rFonts w:asciiTheme="minorHAnsi" w:hAnsiTheme="minorHAnsi" w:cstheme="minorHAnsi"/>
        </w:rPr>
        <w:t xml:space="preserve"> in Washington, D.C. on May 22-23, 2018</w:t>
      </w:r>
      <w:r>
        <w:rPr>
          <w:rFonts w:asciiTheme="minorHAnsi" w:hAnsiTheme="minorHAnsi" w:cstheme="minorHAnsi"/>
        </w:rPr>
        <w:t xml:space="preserve"> (see </w:t>
      </w:r>
      <w:hyperlink r:id="rId10" w:history="1">
        <w:r w:rsidRPr="00107C3E">
          <w:rPr>
            <w:rStyle w:val="Hyperlink"/>
            <w:rFonts w:asciiTheme="minorHAnsi" w:hAnsiTheme="minorHAnsi" w:cstheme="minorHAnsi"/>
          </w:rPr>
          <w:t>https://www.epa.gov/pfas/pfas-national-leadership-summit-and-engagement</w:t>
        </w:r>
      </w:hyperlink>
      <w:r>
        <w:rPr>
          <w:rFonts w:asciiTheme="minorHAnsi" w:hAnsiTheme="minorHAnsi" w:cstheme="minorHAnsi"/>
        </w:rPr>
        <w:t>)</w:t>
      </w:r>
      <w:r w:rsidRPr="00134D63">
        <w:rPr>
          <w:rFonts w:asciiTheme="minorHAnsi" w:hAnsiTheme="minorHAnsi" w:cstheme="minorHAnsi"/>
        </w:rPr>
        <w:t xml:space="preserve">. </w:t>
      </w:r>
      <w:r w:rsidRPr="00134D63">
        <w:rPr>
          <w:rFonts w:asciiTheme="minorHAnsi" w:hAnsiTheme="minorHAnsi" w:cstheme="minorHAnsi"/>
          <w:lang w:val="en"/>
        </w:rPr>
        <w:t>During the summit, participants worked together to:</w:t>
      </w:r>
    </w:p>
    <w:p w14:paraId="45A55C83" w14:textId="77777777" w:rsidR="00134D63" w:rsidRPr="00134D63" w:rsidRDefault="00134D63" w:rsidP="0019133A">
      <w:pPr>
        <w:numPr>
          <w:ilvl w:val="0"/>
          <w:numId w:val="15"/>
        </w:numPr>
        <w:spacing w:line="276" w:lineRule="auto"/>
        <w:rPr>
          <w:rFonts w:eastAsia="Times New Roman" w:cstheme="minorHAnsi"/>
          <w:sz w:val="24"/>
          <w:szCs w:val="24"/>
          <w:lang w:val="en"/>
        </w:rPr>
      </w:pPr>
      <w:r w:rsidRPr="00134D63">
        <w:rPr>
          <w:rFonts w:eastAsia="Times New Roman" w:cstheme="minorHAnsi"/>
          <w:sz w:val="24"/>
          <w:szCs w:val="24"/>
          <w:lang w:val="en"/>
        </w:rPr>
        <w:t>Share information on ongoing efforts to characterize risks from PFAS and develop monitoring and treatment/cleanup techniques</w:t>
      </w:r>
    </w:p>
    <w:p w14:paraId="73DAF729" w14:textId="77777777" w:rsidR="00134D63" w:rsidRPr="00134D63" w:rsidRDefault="00134D63" w:rsidP="0019133A">
      <w:pPr>
        <w:numPr>
          <w:ilvl w:val="0"/>
          <w:numId w:val="15"/>
        </w:numPr>
        <w:spacing w:line="276" w:lineRule="auto"/>
        <w:rPr>
          <w:rFonts w:eastAsia="Times New Roman" w:cstheme="minorHAnsi"/>
          <w:sz w:val="24"/>
          <w:szCs w:val="24"/>
          <w:lang w:val="en"/>
        </w:rPr>
      </w:pPr>
      <w:r w:rsidRPr="00134D63">
        <w:rPr>
          <w:rFonts w:eastAsia="Times New Roman" w:cstheme="minorHAnsi"/>
          <w:sz w:val="24"/>
          <w:szCs w:val="24"/>
          <w:lang w:val="en"/>
        </w:rPr>
        <w:t>Identify specific near-term actions, beyond those already underway, that are needed to address challenges currently facing states and local communities</w:t>
      </w:r>
    </w:p>
    <w:p w14:paraId="3248DD7A" w14:textId="77777777" w:rsidR="00134D63" w:rsidRPr="00134D63" w:rsidRDefault="00134D63" w:rsidP="0019133A">
      <w:pPr>
        <w:numPr>
          <w:ilvl w:val="0"/>
          <w:numId w:val="15"/>
        </w:numPr>
        <w:spacing w:line="276" w:lineRule="auto"/>
        <w:rPr>
          <w:rFonts w:eastAsia="Times New Roman" w:cstheme="minorHAnsi"/>
          <w:sz w:val="24"/>
          <w:szCs w:val="24"/>
          <w:lang w:val="en"/>
        </w:rPr>
      </w:pPr>
      <w:r w:rsidRPr="00134D63">
        <w:rPr>
          <w:rFonts w:eastAsia="Times New Roman" w:cstheme="minorHAnsi"/>
          <w:sz w:val="24"/>
          <w:szCs w:val="24"/>
          <w:lang w:val="en"/>
        </w:rPr>
        <w:t>Develop risk communication strategies that will help communities to address public concerns with PFAS</w:t>
      </w:r>
    </w:p>
    <w:p w14:paraId="41A18335" w14:textId="4932389C" w:rsidR="00000CA7" w:rsidRDefault="00134D63" w:rsidP="00CA70B7">
      <w:pPr>
        <w:autoSpaceDE w:val="0"/>
        <w:autoSpaceDN w:val="0"/>
        <w:adjustRightInd w:val="0"/>
        <w:spacing w:line="276" w:lineRule="auto"/>
        <w:rPr>
          <w:rFonts w:cs="ITCFranklinGothicStd-Book"/>
          <w:sz w:val="24"/>
          <w:szCs w:val="24"/>
        </w:rPr>
      </w:pPr>
      <w:r>
        <w:rPr>
          <w:rFonts w:cs="ITCFranklinGothicStd-Book"/>
          <w:sz w:val="24"/>
          <w:szCs w:val="24"/>
        </w:rPr>
        <w:t xml:space="preserve">The list of confirmed organizations in attendance is found here: </w:t>
      </w:r>
      <w:hyperlink r:id="rId11" w:history="1">
        <w:r w:rsidRPr="00107C3E">
          <w:rPr>
            <w:rStyle w:val="Hyperlink"/>
            <w:rFonts w:cs="ITCFranklinGothicStd-Book"/>
            <w:sz w:val="24"/>
            <w:szCs w:val="24"/>
          </w:rPr>
          <w:t>https://www.epa.gov/sites/production/files/2018-05/documents/pfas_summit_list_of_confirmed_organizations_5.22.18.pdf</w:t>
        </w:r>
      </w:hyperlink>
      <w:r w:rsidR="00464B09">
        <w:rPr>
          <w:rFonts w:cs="ITCFranklinGothicStd-Book"/>
          <w:sz w:val="24"/>
          <w:szCs w:val="24"/>
        </w:rPr>
        <w:t>.</w:t>
      </w:r>
    </w:p>
    <w:p w14:paraId="5500B6CD" w14:textId="5B2FE8CA" w:rsidR="00B45002" w:rsidRPr="00D20211" w:rsidRDefault="00601F1A" w:rsidP="00601F1A">
      <w:pPr>
        <w:pStyle w:val="Heading1"/>
        <w:pBdr>
          <w:bottom w:val="none" w:sz="0" w:space="0" w:color="auto"/>
        </w:pBdr>
        <w:rPr>
          <w:color w:val="auto"/>
        </w:rPr>
      </w:pPr>
      <w:bookmarkStart w:id="7" w:name="_Toc532912777"/>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06349E05" w14:textId="2E110C3C" w:rsidR="00F16DA0" w:rsidRPr="00721C9A" w:rsidRDefault="00717F2A" w:rsidP="00721C9A">
      <w:pPr>
        <w:rPr>
          <w:sz w:val="24"/>
          <w:szCs w:val="24"/>
        </w:rPr>
      </w:pPr>
      <w:r>
        <w:rPr>
          <w:rFonts w:cs="ITCFranklinGothicStd-Book"/>
          <w:sz w:val="24"/>
          <w:szCs w:val="24"/>
        </w:rPr>
        <w:t>Medical practices and</w:t>
      </w:r>
      <w:r w:rsidR="00CD5E9F">
        <w:rPr>
          <w:rFonts w:cs="ITCFranklinGothicStd-Book"/>
          <w:sz w:val="24"/>
          <w:szCs w:val="24"/>
        </w:rPr>
        <w:t xml:space="preserve"> schools may be defined as</w:t>
      </w:r>
      <w:r>
        <w:rPr>
          <w:rFonts w:cs="ITCFranklinGothicStd-Book"/>
          <w:sz w:val="24"/>
          <w:szCs w:val="24"/>
        </w:rPr>
        <w:t xml:space="preserve"> small businesses or</w:t>
      </w:r>
      <w:r w:rsidRPr="00D20211">
        <w:rPr>
          <w:rFonts w:cs="ITCFranklinGothicStd-Book"/>
          <w:sz w:val="24"/>
          <w:szCs w:val="24"/>
        </w:rPr>
        <w:t xml:space="preserve"> small entities</w:t>
      </w:r>
      <w:r>
        <w:rPr>
          <w:rFonts w:cs="ITCFranklinGothicStd-Book"/>
          <w:sz w:val="24"/>
          <w:szCs w:val="24"/>
        </w:rPr>
        <w:t>.</w:t>
      </w:r>
      <w:r>
        <w:rPr>
          <w:rStyle w:val="FootnoteReference"/>
          <w:rFonts w:cs="ITCFranklinGothicStd-Book"/>
          <w:sz w:val="24"/>
          <w:szCs w:val="24"/>
        </w:rPr>
        <w:footnoteReference w:id="2"/>
      </w:r>
      <w:r>
        <w:rPr>
          <w:rFonts w:cs="ITCFranklinGothicStd-Book"/>
          <w:sz w:val="24"/>
          <w:szCs w:val="24"/>
        </w:rPr>
        <w:t xml:space="preserve"> </w:t>
      </w:r>
      <w:r w:rsidR="00721C9A" w:rsidRPr="00BB45FF">
        <w:rPr>
          <w:sz w:val="24"/>
          <w:szCs w:val="24"/>
        </w:rPr>
        <w:t xml:space="preserve">The annual time burden for medical and educational record abstraction is estimated to be 122 </w:t>
      </w:r>
      <w:r w:rsidR="008F324A">
        <w:rPr>
          <w:sz w:val="24"/>
          <w:szCs w:val="24"/>
        </w:rPr>
        <w:t xml:space="preserve">hours </w:t>
      </w:r>
      <w:r w:rsidR="00721C9A" w:rsidRPr="00BB45FF">
        <w:rPr>
          <w:sz w:val="24"/>
          <w:szCs w:val="24"/>
        </w:rPr>
        <w:t>for adult records and 11</w:t>
      </w:r>
      <w:r w:rsidR="00721C9A">
        <w:rPr>
          <w:sz w:val="24"/>
          <w:szCs w:val="24"/>
        </w:rPr>
        <w:t xml:space="preserve">6 hours for children’s records. </w:t>
      </w:r>
      <w:r w:rsidR="00174999">
        <w:rPr>
          <w:rFonts w:cs="ITCFranklinGothicStd-Book"/>
          <w:sz w:val="24"/>
          <w:szCs w:val="24"/>
        </w:rPr>
        <w:t>The po</w:t>
      </w:r>
      <w:r w:rsidR="00511DC2">
        <w:rPr>
          <w:rFonts w:cs="ITCFranklinGothicStd-Book"/>
          <w:sz w:val="24"/>
          <w:szCs w:val="24"/>
        </w:rPr>
        <w:t>rtion of the time burden</w:t>
      </w:r>
      <w:r w:rsidR="005E7B12">
        <w:rPr>
          <w:rFonts w:cs="ITCFranklinGothicStd-Book"/>
          <w:sz w:val="24"/>
          <w:szCs w:val="24"/>
        </w:rPr>
        <w:t xml:space="preserve"> </w:t>
      </w:r>
      <w:r w:rsidR="00174999">
        <w:rPr>
          <w:rFonts w:cs="ITCFranklinGothicStd-Book"/>
          <w:sz w:val="24"/>
          <w:szCs w:val="24"/>
        </w:rPr>
        <w:t>for medical and school record abstraction</w:t>
      </w:r>
      <w:r>
        <w:rPr>
          <w:rFonts w:cs="ITCFranklinGothicStd-Book"/>
          <w:sz w:val="24"/>
          <w:szCs w:val="24"/>
        </w:rPr>
        <w:t>s</w:t>
      </w:r>
      <w:r w:rsidR="00174999">
        <w:rPr>
          <w:rFonts w:cs="ITCFranklinGothicStd-Book"/>
          <w:sz w:val="24"/>
          <w:szCs w:val="24"/>
        </w:rPr>
        <w:t xml:space="preserve"> </w:t>
      </w:r>
      <w:r w:rsidR="00F53E33">
        <w:rPr>
          <w:rFonts w:cs="ITCFranklinGothicStd-Book"/>
          <w:sz w:val="24"/>
          <w:szCs w:val="24"/>
        </w:rPr>
        <w:t xml:space="preserve">(125 + 58 + 60 = 243 hours) </w:t>
      </w:r>
      <w:r w:rsidR="00174999">
        <w:rPr>
          <w:rFonts w:cs="ITCFranklinGothicStd-Book"/>
          <w:sz w:val="24"/>
          <w:szCs w:val="24"/>
        </w:rPr>
        <w:t>represents 20</w:t>
      </w:r>
      <w:r w:rsidR="00E70205">
        <w:rPr>
          <w:rFonts w:cs="ITCFranklinGothicStd-Book"/>
          <w:sz w:val="24"/>
          <w:szCs w:val="24"/>
        </w:rPr>
        <w:t>.3</w:t>
      </w:r>
      <w:r w:rsidR="00174999">
        <w:rPr>
          <w:rFonts w:cs="ITCFranklinGothicStd-Book"/>
          <w:sz w:val="24"/>
          <w:szCs w:val="24"/>
        </w:rPr>
        <w:t xml:space="preserve"> perc</w:t>
      </w:r>
      <w:r w:rsidR="005E7B12">
        <w:rPr>
          <w:rFonts w:cs="ITCFranklinGothicStd-Book"/>
          <w:sz w:val="24"/>
          <w:szCs w:val="24"/>
        </w:rPr>
        <w:t>ent of the total hours</w:t>
      </w:r>
      <w:r w:rsidR="00511DC2">
        <w:rPr>
          <w:rFonts w:cs="ITCFranklinGothicStd-Book"/>
          <w:sz w:val="24"/>
          <w:szCs w:val="24"/>
        </w:rPr>
        <w:t xml:space="preserve"> requested</w:t>
      </w:r>
      <w:r w:rsidR="00721C9A">
        <w:rPr>
          <w:rFonts w:cs="ITCFranklinGothicStd-Book"/>
          <w:sz w:val="24"/>
          <w:szCs w:val="24"/>
        </w:rPr>
        <w:t xml:space="preserve"> (2</w:t>
      </w:r>
      <w:r w:rsidR="00F53E33">
        <w:rPr>
          <w:rFonts w:cs="ITCFranklinGothicStd-Book"/>
          <w:sz w:val="24"/>
          <w:szCs w:val="24"/>
        </w:rPr>
        <w:t>43</w:t>
      </w:r>
      <w:r w:rsidR="00721C9A">
        <w:rPr>
          <w:rFonts w:cs="ITCFranklinGothicStd-Book"/>
          <w:sz w:val="24"/>
          <w:szCs w:val="24"/>
        </w:rPr>
        <w:t>/1,1</w:t>
      </w:r>
      <w:r w:rsidR="008217C5">
        <w:rPr>
          <w:rFonts w:cs="ITCFranklinGothicStd-Book"/>
          <w:sz w:val="24"/>
          <w:szCs w:val="24"/>
        </w:rPr>
        <w:t>9</w:t>
      </w:r>
      <w:r w:rsidR="00CB7A0A">
        <w:rPr>
          <w:rFonts w:cs="ITCFranklinGothicStd-Book"/>
          <w:sz w:val="24"/>
          <w:szCs w:val="24"/>
        </w:rPr>
        <w:t>9</w:t>
      </w:r>
      <w:r w:rsidR="00174999">
        <w:rPr>
          <w:rFonts w:cs="ITCFranklinGothicStd-Book"/>
          <w:sz w:val="24"/>
          <w:szCs w:val="24"/>
        </w:rPr>
        <w:t xml:space="preserve"> x 100). </w:t>
      </w:r>
    </w:p>
    <w:p w14:paraId="4E24E774" w14:textId="69221161" w:rsidR="00411D9C" w:rsidRPr="001C0A42" w:rsidRDefault="00174999" w:rsidP="001C0A42">
      <w:pPr>
        <w:autoSpaceDE w:val="0"/>
        <w:autoSpaceDN w:val="0"/>
        <w:adjustRightInd w:val="0"/>
        <w:spacing w:line="240" w:lineRule="auto"/>
        <w:rPr>
          <w:rFonts w:cs="ITCFranklinGothicStd-Book"/>
          <w:sz w:val="24"/>
          <w:szCs w:val="24"/>
        </w:rPr>
      </w:pPr>
      <w:r w:rsidRPr="001C0A42">
        <w:rPr>
          <w:rFonts w:cs="ITCFranklinGothicStd-Book"/>
          <w:sz w:val="24"/>
          <w:szCs w:val="24"/>
        </w:rPr>
        <w:t>T</w:t>
      </w:r>
      <w:r w:rsidR="00E770C4" w:rsidRPr="001C0A42">
        <w:rPr>
          <w:rFonts w:cs="ITCFranklinGothicStd-Book"/>
          <w:sz w:val="24"/>
          <w:szCs w:val="24"/>
        </w:rPr>
        <w:t>he time to complete the school record abstraction form and the adult and child medi</w:t>
      </w:r>
      <w:r w:rsidRPr="001C0A42">
        <w:rPr>
          <w:rFonts w:cs="ITCFranklinGothicStd-Book"/>
          <w:sz w:val="24"/>
          <w:szCs w:val="24"/>
        </w:rPr>
        <w:t>cal record abstraction forms is</w:t>
      </w:r>
      <w:r w:rsidR="00E770C4" w:rsidRPr="001C0A42">
        <w:rPr>
          <w:rFonts w:cs="ITCFranklinGothicStd-Book"/>
          <w:sz w:val="24"/>
          <w:szCs w:val="24"/>
        </w:rPr>
        <w:t xml:space="preserve"> estimated </w:t>
      </w:r>
      <w:r w:rsidRPr="001C0A42">
        <w:rPr>
          <w:rFonts w:cs="ITCFranklinGothicStd-Book"/>
          <w:sz w:val="24"/>
          <w:szCs w:val="24"/>
        </w:rPr>
        <w:t xml:space="preserve">to take 20 minutes per response. It is </w:t>
      </w:r>
      <w:r w:rsidR="001E7DBF" w:rsidRPr="001C0A42">
        <w:rPr>
          <w:rFonts w:cs="ITCFranklinGothicStd-Book"/>
          <w:sz w:val="24"/>
          <w:szCs w:val="24"/>
        </w:rPr>
        <w:t xml:space="preserve">likely that the average </w:t>
      </w:r>
      <w:r w:rsidRPr="001C0A42">
        <w:rPr>
          <w:rFonts w:cs="ITCFranklinGothicStd-Book"/>
          <w:sz w:val="24"/>
          <w:szCs w:val="24"/>
        </w:rPr>
        <w:t xml:space="preserve">time </w:t>
      </w:r>
      <w:r w:rsidR="001E7DBF" w:rsidRPr="001C0A42">
        <w:rPr>
          <w:rFonts w:cs="ITCFranklinGothicStd-Book"/>
          <w:sz w:val="24"/>
          <w:szCs w:val="24"/>
        </w:rPr>
        <w:t>per response</w:t>
      </w:r>
      <w:r w:rsidR="001C06E3" w:rsidRPr="001C0A42">
        <w:rPr>
          <w:rFonts w:cs="ITCFranklinGothicStd-Book"/>
          <w:sz w:val="24"/>
          <w:szCs w:val="24"/>
        </w:rPr>
        <w:t xml:space="preserve"> and the total number of record verification</w:t>
      </w:r>
      <w:r w:rsidR="008943FA">
        <w:rPr>
          <w:rFonts w:cs="ITCFranklinGothicStd-Book"/>
          <w:sz w:val="24"/>
          <w:szCs w:val="24"/>
        </w:rPr>
        <w:t>s</w:t>
      </w:r>
      <w:r w:rsidR="001E7DBF" w:rsidRPr="001C0A42">
        <w:rPr>
          <w:rFonts w:cs="ITCFranklinGothicStd-Book"/>
          <w:sz w:val="24"/>
          <w:szCs w:val="24"/>
        </w:rPr>
        <w:t xml:space="preserve"> </w:t>
      </w:r>
      <w:r w:rsidRPr="001C0A42">
        <w:rPr>
          <w:rFonts w:cs="ITCFranklinGothicStd-Book"/>
          <w:sz w:val="24"/>
          <w:szCs w:val="24"/>
        </w:rPr>
        <w:t>will be l</w:t>
      </w:r>
      <w:r w:rsidR="001E7DBF" w:rsidRPr="001C0A42">
        <w:rPr>
          <w:rFonts w:cs="ITCFranklinGothicStd-Book"/>
          <w:sz w:val="24"/>
          <w:szCs w:val="24"/>
        </w:rPr>
        <w:t>ess because:</w:t>
      </w:r>
    </w:p>
    <w:p w14:paraId="7B3387F8" w14:textId="2413C315" w:rsidR="001C06E3" w:rsidRPr="00CD5E9F" w:rsidRDefault="001C06E3" w:rsidP="0019133A">
      <w:pPr>
        <w:pStyle w:val="ListParagraph"/>
        <w:numPr>
          <w:ilvl w:val="0"/>
          <w:numId w:val="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ATSDR anticipates that only a portion of children will have applicable education records of interest; however, </w:t>
      </w:r>
      <w:r w:rsidR="00871A02">
        <w:rPr>
          <w:rFonts w:cs="ITCFranklinGothicStd-Book"/>
          <w:sz w:val="24"/>
          <w:szCs w:val="24"/>
        </w:rPr>
        <w:t xml:space="preserve">once identified, </w:t>
      </w:r>
      <w:r>
        <w:rPr>
          <w:rFonts w:cs="ITCFranklinGothicStd-Book"/>
          <w:sz w:val="24"/>
          <w:szCs w:val="24"/>
        </w:rPr>
        <w:t>it</w:t>
      </w:r>
      <w:r w:rsidR="00E20FC2">
        <w:rPr>
          <w:rFonts w:cs="ITCFranklinGothicStd-Book"/>
          <w:sz w:val="24"/>
          <w:szCs w:val="24"/>
        </w:rPr>
        <w:t xml:space="preserve"> will be important that education specialists</w:t>
      </w:r>
      <w:r>
        <w:rPr>
          <w:rFonts w:cs="ITCFranklinGothicStd-Book"/>
          <w:sz w:val="24"/>
          <w:szCs w:val="24"/>
        </w:rPr>
        <w:t xml:space="preserve"> verify those that do. </w:t>
      </w:r>
    </w:p>
    <w:p w14:paraId="4944CA88" w14:textId="29CEBD97" w:rsidR="00CD5E9F" w:rsidRPr="00E26530" w:rsidRDefault="00CD5E9F" w:rsidP="0019133A">
      <w:pPr>
        <w:pStyle w:val="ListParagraph"/>
        <w:numPr>
          <w:ilvl w:val="0"/>
          <w:numId w:val="1"/>
        </w:numPr>
        <w:autoSpaceDE w:val="0"/>
        <w:autoSpaceDN w:val="0"/>
        <w:adjustRightInd w:val="0"/>
        <w:spacing w:line="240" w:lineRule="auto"/>
        <w:contextualSpacing w:val="0"/>
        <w:rPr>
          <w:rFonts w:cs="ITCFranklinGothicStd-Book"/>
          <w:sz w:val="24"/>
          <w:szCs w:val="24"/>
        </w:rPr>
      </w:pPr>
      <w:r>
        <w:rPr>
          <w:rFonts w:cs="ITCFranklinGothicStd-Book"/>
          <w:sz w:val="24"/>
          <w:szCs w:val="24"/>
        </w:rPr>
        <w:t>M</w:t>
      </w:r>
      <w:r w:rsidR="00435DBA">
        <w:rPr>
          <w:rFonts w:cs="ITCFranklinGothicStd-Book"/>
          <w:sz w:val="24"/>
          <w:szCs w:val="24"/>
        </w:rPr>
        <w:t>ost participants will report</w:t>
      </w:r>
      <w:r w:rsidR="00E26530">
        <w:rPr>
          <w:rFonts w:cs="ITCFranklinGothicStd-Book"/>
          <w:sz w:val="24"/>
          <w:szCs w:val="24"/>
        </w:rPr>
        <w:t xml:space="preserve"> a smaller </w:t>
      </w:r>
      <w:r w:rsidR="00871A02">
        <w:rPr>
          <w:rFonts w:cs="ITCFranklinGothicStd-Book"/>
          <w:sz w:val="24"/>
          <w:szCs w:val="24"/>
        </w:rPr>
        <w:t>subset</w:t>
      </w:r>
      <w:r>
        <w:rPr>
          <w:rFonts w:cs="ITCFranklinGothicStd-Book"/>
          <w:sz w:val="24"/>
          <w:szCs w:val="24"/>
        </w:rPr>
        <w:t xml:space="preserve"> of </w:t>
      </w:r>
      <w:r w:rsidR="00E26530">
        <w:rPr>
          <w:rFonts w:cs="ITCFranklinGothicStd-Book"/>
          <w:sz w:val="24"/>
          <w:szCs w:val="24"/>
        </w:rPr>
        <w:t xml:space="preserve">the full complement of </w:t>
      </w:r>
      <w:r>
        <w:rPr>
          <w:rFonts w:cs="ITCFranklinGothicStd-Book"/>
          <w:sz w:val="24"/>
          <w:szCs w:val="24"/>
        </w:rPr>
        <w:t>outcomes</w:t>
      </w:r>
      <w:r w:rsidR="007E5420">
        <w:rPr>
          <w:rFonts w:cs="ITCFranklinGothicStd-Book"/>
          <w:sz w:val="24"/>
          <w:szCs w:val="24"/>
        </w:rPr>
        <w:t xml:space="preserve"> of interest</w:t>
      </w:r>
      <w:r>
        <w:rPr>
          <w:rFonts w:cs="ITCFranklinGothicStd-Book"/>
          <w:sz w:val="24"/>
          <w:szCs w:val="24"/>
        </w:rPr>
        <w:t xml:space="preserve"> </w:t>
      </w:r>
      <w:r w:rsidR="00435DBA">
        <w:rPr>
          <w:rFonts w:cs="ITCFranklinGothicStd-Book"/>
          <w:sz w:val="24"/>
          <w:szCs w:val="24"/>
        </w:rPr>
        <w:t>on their questionnaire</w:t>
      </w:r>
      <w:r w:rsidR="00E26530">
        <w:rPr>
          <w:rFonts w:cs="ITCFranklinGothicStd-Book"/>
          <w:sz w:val="24"/>
          <w:szCs w:val="24"/>
        </w:rPr>
        <w:t>; therefore, m</w:t>
      </w:r>
      <w:r w:rsidR="007A7A45" w:rsidRPr="00E26530">
        <w:rPr>
          <w:rFonts w:cs="ITCFranklinGothicStd-Book"/>
          <w:sz w:val="24"/>
          <w:szCs w:val="24"/>
        </w:rPr>
        <w:t>edical record specialists</w:t>
      </w:r>
      <w:r w:rsidRPr="00E26530">
        <w:rPr>
          <w:rFonts w:cs="ITCFranklinGothicStd-Book"/>
          <w:sz w:val="24"/>
          <w:szCs w:val="24"/>
        </w:rPr>
        <w:t xml:space="preserve"> </w:t>
      </w:r>
      <w:r w:rsidR="00C96162">
        <w:rPr>
          <w:rFonts w:cs="ITCFranklinGothicStd-Book"/>
          <w:sz w:val="24"/>
          <w:szCs w:val="24"/>
        </w:rPr>
        <w:t>will be able to find and abstract</w:t>
      </w:r>
      <w:r w:rsidRPr="00E26530">
        <w:rPr>
          <w:rFonts w:cs="ITCFranklinGothicStd-Book"/>
          <w:sz w:val="24"/>
          <w:szCs w:val="24"/>
        </w:rPr>
        <w:t xml:space="preserve"> th</w:t>
      </w:r>
      <w:r w:rsidR="00851E6B" w:rsidRPr="00E26530">
        <w:rPr>
          <w:rFonts w:cs="ITCFranklinGothicStd-Book"/>
          <w:sz w:val="24"/>
          <w:szCs w:val="24"/>
        </w:rPr>
        <w:t xml:space="preserve">e medical outcomes within </w:t>
      </w:r>
      <w:r w:rsidR="007E5420" w:rsidRPr="00E26530">
        <w:rPr>
          <w:rFonts w:cs="ITCFranklinGothicStd-Book"/>
          <w:sz w:val="24"/>
          <w:szCs w:val="24"/>
        </w:rPr>
        <w:t xml:space="preserve">their </w:t>
      </w:r>
      <w:r w:rsidR="00851E6B" w:rsidRPr="00E26530">
        <w:rPr>
          <w:rFonts w:cs="ITCFranklinGothicStd-Book"/>
          <w:sz w:val="24"/>
          <w:szCs w:val="24"/>
        </w:rPr>
        <w:t xml:space="preserve">practice </w:t>
      </w:r>
      <w:r w:rsidRPr="00E26530">
        <w:rPr>
          <w:rFonts w:cs="ITCFranklinGothicStd-Book"/>
          <w:sz w:val="24"/>
          <w:szCs w:val="24"/>
        </w:rPr>
        <w:t>specialties, and will not need to review patient records for every diagnosis or treatment on the list.</w:t>
      </w:r>
    </w:p>
    <w:p w14:paraId="534F082A" w14:textId="2A5530D9" w:rsidR="00F16DA0" w:rsidRPr="001E7DBF" w:rsidRDefault="00411D9C" w:rsidP="001E7DBF">
      <w:pPr>
        <w:autoSpaceDE w:val="0"/>
        <w:autoSpaceDN w:val="0"/>
        <w:adjustRightInd w:val="0"/>
        <w:spacing w:line="240" w:lineRule="auto"/>
        <w:rPr>
          <w:rFonts w:cs="ITCFranklinGothicStd-Book"/>
          <w:sz w:val="24"/>
          <w:szCs w:val="24"/>
        </w:rPr>
      </w:pPr>
      <w:r w:rsidRPr="001E7DBF">
        <w:rPr>
          <w:rFonts w:cs="ITCFranklinGothicStd-Book"/>
          <w:sz w:val="24"/>
          <w:szCs w:val="24"/>
        </w:rPr>
        <w:t>T</w:t>
      </w:r>
      <w:r w:rsidR="00A52BD9">
        <w:rPr>
          <w:rFonts w:cs="ITCFranklinGothicStd-Book"/>
          <w:sz w:val="24"/>
          <w:szCs w:val="24"/>
        </w:rPr>
        <w:t>he number of outcomes of interest</w:t>
      </w:r>
      <w:r w:rsidR="003C6450" w:rsidRPr="001E7DBF">
        <w:rPr>
          <w:rFonts w:cs="ITCFranklinGothicStd-Book"/>
          <w:sz w:val="24"/>
          <w:szCs w:val="24"/>
        </w:rPr>
        <w:t xml:space="preserve"> has</w:t>
      </w:r>
      <w:r w:rsidR="00F16DA0" w:rsidRPr="001E7DBF">
        <w:rPr>
          <w:rFonts w:cs="ITCFranklinGothicStd-Book"/>
          <w:sz w:val="24"/>
          <w:szCs w:val="24"/>
        </w:rPr>
        <w:t xml:space="preserve"> been held to the absolute minimum required for the inten</w:t>
      </w:r>
      <w:r w:rsidR="00B77D26" w:rsidRPr="001E7DBF">
        <w:rPr>
          <w:rFonts w:cs="ITCFranklinGothicStd-Book"/>
          <w:sz w:val="24"/>
          <w:szCs w:val="24"/>
        </w:rPr>
        <w:t>ded use of the research data</w:t>
      </w:r>
      <w:r w:rsidR="003C6450" w:rsidRPr="001E7DBF">
        <w:rPr>
          <w:rFonts w:cs="ITCFranklinGothicStd-Book"/>
          <w:sz w:val="24"/>
          <w:szCs w:val="24"/>
        </w:rPr>
        <w:t>.</w:t>
      </w:r>
      <w:r w:rsidR="00E20FC2">
        <w:rPr>
          <w:rFonts w:cs="ITCFranklinGothicStd-Book"/>
          <w:sz w:val="24"/>
          <w:szCs w:val="24"/>
        </w:rPr>
        <w:t xml:space="preserve"> In order to reduce bur</w:t>
      </w:r>
      <w:r w:rsidR="007C2FED">
        <w:rPr>
          <w:rFonts w:cs="ITCFranklinGothicStd-Book"/>
          <w:sz w:val="24"/>
          <w:szCs w:val="24"/>
        </w:rPr>
        <w:t>den on, and if permi</w:t>
      </w:r>
      <w:r w:rsidR="005C4DE7">
        <w:rPr>
          <w:rFonts w:cs="ITCFranklinGothicStd-Book"/>
          <w:sz w:val="24"/>
          <w:szCs w:val="24"/>
        </w:rPr>
        <w:t>tted by</w:t>
      </w:r>
      <w:r w:rsidR="007C2FED">
        <w:rPr>
          <w:rFonts w:cs="ITCFranklinGothicStd-Book"/>
          <w:sz w:val="24"/>
          <w:szCs w:val="24"/>
        </w:rPr>
        <w:t xml:space="preserve">, the businesses or </w:t>
      </w:r>
      <w:r w:rsidR="00031833">
        <w:rPr>
          <w:rFonts w:cs="ITCFranklinGothicStd-Book"/>
          <w:sz w:val="24"/>
          <w:szCs w:val="24"/>
        </w:rPr>
        <w:t xml:space="preserve">entities, </w:t>
      </w:r>
      <w:r w:rsidR="00E20FC2">
        <w:rPr>
          <w:rFonts w:cs="ITCFranklinGothicStd-Book"/>
          <w:sz w:val="24"/>
          <w:szCs w:val="24"/>
        </w:rPr>
        <w:t>ATSDR may offer to send trained study staff and contractors to assist in record abstraction.</w:t>
      </w:r>
    </w:p>
    <w:p w14:paraId="1771BB1B" w14:textId="4B0CAC9F" w:rsidR="00B45002" w:rsidRPr="00D20211" w:rsidRDefault="00601F1A" w:rsidP="00601F1A">
      <w:pPr>
        <w:pStyle w:val="Heading1"/>
        <w:pBdr>
          <w:bottom w:val="none" w:sz="0" w:space="0" w:color="auto"/>
        </w:pBdr>
        <w:rPr>
          <w:color w:val="auto"/>
        </w:rPr>
      </w:pPr>
      <w:bookmarkStart w:id="8" w:name="_Toc532912778"/>
      <w:r w:rsidRPr="00D20211">
        <w:rPr>
          <w:color w:val="auto"/>
        </w:rPr>
        <w:t>A.</w:t>
      </w:r>
      <w:r w:rsidR="004D21C9" w:rsidRPr="00D20211">
        <w:rPr>
          <w:color w:val="auto"/>
        </w:rPr>
        <w:t xml:space="preserve">6.  </w:t>
      </w:r>
      <w:r w:rsidR="00B45002" w:rsidRPr="00D20211">
        <w:rPr>
          <w:color w:val="auto"/>
        </w:rPr>
        <w:t>Consequences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7100E5EE" w14:textId="77777777" w:rsidR="00FF779A" w:rsidRDefault="00FF779A" w:rsidP="004E40CE">
      <w:pPr>
        <w:autoSpaceDE w:val="0"/>
        <w:autoSpaceDN w:val="0"/>
        <w:adjustRightInd w:val="0"/>
        <w:spacing w:line="240" w:lineRule="auto"/>
        <w:rPr>
          <w:rFonts w:cs="ITCFranklinGothicStd-Book"/>
          <w:sz w:val="24"/>
          <w:szCs w:val="24"/>
        </w:rPr>
      </w:pPr>
      <w:r>
        <w:rPr>
          <w:rFonts w:cs="ITCFranklinGothicStd-Book"/>
          <w:sz w:val="24"/>
          <w:szCs w:val="24"/>
        </w:rPr>
        <w:t>There are three types of respondents.</w:t>
      </w:r>
    </w:p>
    <w:p w14:paraId="6A88E89A" w14:textId="1123F382" w:rsidR="00D9512F" w:rsidRDefault="00D9512F" w:rsidP="00651B46">
      <w:pPr>
        <w:pStyle w:val="ListParagraph"/>
        <w:numPr>
          <w:ilvl w:val="0"/>
          <w:numId w:val="11"/>
        </w:numPr>
        <w:autoSpaceDE w:val="0"/>
        <w:autoSpaceDN w:val="0"/>
        <w:adjustRightInd w:val="0"/>
        <w:spacing w:line="240" w:lineRule="auto"/>
        <w:contextualSpacing w:val="0"/>
        <w:rPr>
          <w:rFonts w:cs="ITCFranklinGothicStd-Book"/>
          <w:sz w:val="24"/>
          <w:szCs w:val="24"/>
        </w:rPr>
      </w:pPr>
      <w:r w:rsidRPr="00FF779A">
        <w:rPr>
          <w:rFonts w:cs="ITCFranklinGothicStd-Book"/>
          <w:sz w:val="24"/>
          <w:szCs w:val="24"/>
        </w:rPr>
        <w:t>The</w:t>
      </w:r>
      <w:r w:rsidR="00DA6118" w:rsidRPr="00FF779A">
        <w:rPr>
          <w:rFonts w:cs="ITCFranklinGothicStd-Book"/>
          <w:sz w:val="24"/>
          <w:szCs w:val="24"/>
        </w:rPr>
        <w:t xml:space="preserve"> </w:t>
      </w:r>
      <w:r w:rsidR="00F01F1D" w:rsidRPr="004F0CE6">
        <w:rPr>
          <w:rFonts w:cs="ITCFranklinGothicStd-Book"/>
          <w:i/>
          <w:sz w:val="24"/>
          <w:szCs w:val="24"/>
        </w:rPr>
        <w:t>Pease Study participant</w:t>
      </w:r>
      <w:r w:rsidR="00104051" w:rsidRPr="004F0CE6">
        <w:rPr>
          <w:rFonts w:cs="ITCFranklinGothicStd-Book"/>
          <w:i/>
          <w:sz w:val="24"/>
          <w:szCs w:val="24"/>
        </w:rPr>
        <w:t>s</w:t>
      </w:r>
      <w:r w:rsidR="00104051" w:rsidRPr="00FF779A">
        <w:rPr>
          <w:rFonts w:cs="ITCFranklinGothicStd-Book"/>
          <w:sz w:val="24"/>
          <w:szCs w:val="24"/>
        </w:rPr>
        <w:t xml:space="preserve"> </w:t>
      </w:r>
      <w:r w:rsidR="008E7562">
        <w:rPr>
          <w:rFonts w:cs="ITCFranklinGothicStd-Book"/>
          <w:sz w:val="24"/>
          <w:szCs w:val="24"/>
        </w:rPr>
        <w:t>(1,100</w:t>
      </w:r>
      <w:r w:rsidR="00651B46">
        <w:rPr>
          <w:rFonts w:cs="ITCFranklinGothicStd-Book"/>
          <w:sz w:val="24"/>
          <w:szCs w:val="24"/>
        </w:rPr>
        <w:t>/3 = 367 adults per year</w:t>
      </w:r>
      <w:r w:rsidR="008E7562">
        <w:rPr>
          <w:rFonts w:cs="ITCFranklinGothicStd-Book"/>
          <w:sz w:val="24"/>
          <w:szCs w:val="24"/>
        </w:rPr>
        <w:t xml:space="preserve"> and 525</w:t>
      </w:r>
      <w:r w:rsidR="00651B46">
        <w:rPr>
          <w:rFonts w:cs="ITCFranklinGothicStd-Book"/>
          <w:sz w:val="24"/>
          <w:szCs w:val="24"/>
        </w:rPr>
        <w:t>/3 = 175</w:t>
      </w:r>
      <w:r w:rsidR="008E7562">
        <w:rPr>
          <w:rFonts w:cs="ITCFranklinGothicStd-Book"/>
          <w:sz w:val="24"/>
          <w:szCs w:val="24"/>
        </w:rPr>
        <w:t xml:space="preserve"> children</w:t>
      </w:r>
      <w:r w:rsidR="002C4EB6">
        <w:rPr>
          <w:rFonts w:cs="ITCFranklinGothicStd-Book"/>
          <w:sz w:val="24"/>
          <w:szCs w:val="24"/>
        </w:rPr>
        <w:t xml:space="preserve"> and their parents</w:t>
      </w:r>
      <w:r w:rsidR="00651B46">
        <w:rPr>
          <w:rFonts w:cs="ITCFranklinGothicStd-Book"/>
          <w:sz w:val="24"/>
          <w:szCs w:val="24"/>
        </w:rPr>
        <w:t xml:space="preserve"> per year</w:t>
      </w:r>
      <w:r w:rsidR="008E7562">
        <w:rPr>
          <w:rFonts w:cs="ITCFranklinGothicStd-Book"/>
          <w:sz w:val="24"/>
          <w:szCs w:val="24"/>
        </w:rPr>
        <w:t xml:space="preserve">) </w:t>
      </w:r>
      <w:r w:rsidR="00104051" w:rsidRPr="00FF779A">
        <w:rPr>
          <w:rFonts w:cs="ITCFranklinGothicStd-Book"/>
          <w:sz w:val="24"/>
          <w:szCs w:val="24"/>
        </w:rPr>
        <w:t xml:space="preserve">will respond to the </w:t>
      </w:r>
      <w:r w:rsidR="00FF779A" w:rsidRPr="00FF779A">
        <w:rPr>
          <w:rFonts w:cs="ITCFranklinGothicStd-Book"/>
          <w:sz w:val="24"/>
          <w:szCs w:val="24"/>
        </w:rPr>
        <w:t>information collection once.</w:t>
      </w:r>
    </w:p>
    <w:p w14:paraId="4338A2B1" w14:textId="6A613E7D" w:rsidR="00FF779A" w:rsidRDefault="00FF779A" w:rsidP="00651B46">
      <w:pPr>
        <w:pStyle w:val="ListParagraph"/>
        <w:numPr>
          <w:ilvl w:val="0"/>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ATSDR is requesting two types of record abstractions</w:t>
      </w:r>
      <w:r w:rsidR="005566DA">
        <w:rPr>
          <w:rFonts w:cs="ITCFranklinGothicStd-Book"/>
          <w:sz w:val="24"/>
          <w:szCs w:val="24"/>
        </w:rPr>
        <w:t xml:space="preserve"> to verify children’</w:t>
      </w:r>
      <w:r w:rsidR="000F4FC5">
        <w:rPr>
          <w:rFonts w:cs="ITCFranklinGothicStd-Book"/>
          <w:sz w:val="24"/>
          <w:szCs w:val="24"/>
        </w:rPr>
        <w:t>s behavioral assessments and to</w:t>
      </w:r>
      <w:r w:rsidR="005566DA">
        <w:rPr>
          <w:rFonts w:cs="ITCFranklinGothicStd-Book"/>
          <w:sz w:val="24"/>
          <w:szCs w:val="24"/>
        </w:rPr>
        <w:t xml:space="preserve"> verify adults’ and children’s self-reported medical histories. We estimate the following</w:t>
      </w:r>
      <w:r>
        <w:rPr>
          <w:rFonts w:cs="ITCFranklinGothicStd-Book"/>
          <w:sz w:val="24"/>
          <w:szCs w:val="24"/>
        </w:rPr>
        <w:t>:</w:t>
      </w:r>
    </w:p>
    <w:p w14:paraId="551D6331" w14:textId="77777777" w:rsidR="009C3937" w:rsidRDefault="009C3937"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Across school districts, ATSDR estimates up to 15 </w:t>
      </w:r>
      <w:r w:rsidRPr="00494DCD">
        <w:rPr>
          <w:rFonts w:cs="ITCFranklinGothicStd-Book"/>
          <w:sz w:val="24"/>
          <w:szCs w:val="24"/>
        </w:rPr>
        <w:t>education specialists</w:t>
      </w:r>
      <w:r w:rsidRPr="00AF27AB">
        <w:rPr>
          <w:rFonts w:cs="ITCFranklinGothicStd-Book"/>
          <w:sz w:val="24"/>
          <w:szCs w:val="24"/>
        </w:rPr>
        <w:t xml:space="preserve"> will</w:t>
      </w:r>
      <w:r>
        <w:rPr>
          <w:rFonts w:cs="ITCFranklinGothicStd-Book"/>
          <w:sz w:val="24"/>
          <w:szCs w:val="24"/>
        </w:rPr>
        <w:t xml:space="preserve"> each abstract 12 student records per year (n=525 children/15 specialists/3 years).</w:t>
      </w:r>
    </w:p>
    <w:p w14:paraId="6FF1160B" w14:textId="77777777" w:rsidR="009C3937" w:rsidRPr="009C3937" w:rsidRDefault="009C3937"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sidRPr="009C3937">
        <w:rPr>
          <w:rFonts w:cs="ITCFranklinGothicStd-Book"/>
          <w:sz w:val="24"/>
          <w:szCs w:val="24"/>
        </w:rPr>
        <w:t>Across medical practices, ATSDR estimates up to 25 medical record specialists will each abstract 15 adult and 7 child medical records per year (n=1,100 adults/25 specialists/3 years; n=525 children/25 specialists/3 years).</w:t>
      </w:r>
    </w:p>
    <w:p w14:paraId="6DC4321A" w14:textId="0D5A8731" w:rsidR="000F4FC5" w:rsidRDefault="000F4FC5" w:rsidP="00651B46">
      <w:pPr>
        <w:pStyle w:val="ListParagraph"/>
        <w:numPr>
          <w:ilvl w:val="1"/>
          <w:numId w:val="11"/>
        </w:numPr>
        <w:autoSpaceDE w:val="0"/>
        <w:autoSpaceDN w:val="0"/>
        <w:adjustRightInd w:val="0"/>
        <w:spacing w:line="240" w:lineRule="auto"/>
        <w:contextualSpacing w:val="0"/>
        <w:rPr>
          <w:rFonts w:cs="ITCFranklinGothicStd-Book"/>
          <w:sz w:val="24"/>
          <w:szCs w:val="24"/>
        </w:rPr>
      </w:pPr>
      <w:r>
        <w:rPr>
          <w:rFonts w:cs="ITCFranklinGothicStd-Book"/>
          <w:sz w:val="24"/>
          <w:szCs w:val="24"/>
        </w:rPr>
        <w:t>To reduce burden</w:t>
      </w:r>
      <w:r w:rsidR="00600145">
        <w:rPr>
          <w:rFonts w:cs="ITCFranklinGothicStd-Book"/>
          <w:sz w:val="24"/>
          <w:szCs w:val="24"/>
        </w:rPr>
        <w:t xml:space="preserve"> on school districts and </w:t>
      </w:r>
      <w:r w:rsidR="00F54175">
        <w:rPr>
          <w:rFonts w:cs="ITCFranklinGothicStd-Book"/>
          <w:sz w:val="24"/>
          <w:szCs w:val="24"/>
        </w:rPr>
        <w:t>medical practices</w:t>
      </w:r>
      <w:r>
        <w:rPr>
          <w:rFonts w:cs="ITCFranklinGothicStd-Book"/>
          <w:sz w:val="24"/>
          <w:szCs w:val="24"/>
        </w:rPr>
        <w:t xml:space="preserve">, </w:t>
      </w:r>
      <w:r w:rsidR="00F54175">
        <w:rPr>
          <w:rFonts w:cs="ITCFranklinGothicStd-Book"/>
          <w:sz w:val="24"/>
          <w:szCs w:val="24"/>
        </w:rPr>
        <w:t xml:space="preserve">ATSDR may </w:t>
      </w:r>
      <w:r>
        <w:rPr>
          <w:rFonts w:cs="ITCFranklinGothicStd-Book"/>
          <w:sz w:val="24"/>
          <w:szCs w:val="24"/>
        </w:rPr>
        <w:t xml:space="preserve">send trained study staff </w:t>
      </w:r>
      <w:r w:rsidR="000576D4">
        <w:rPr>
          <w:rFonts w:cs="ITCFranklinGothicStd-Book"/>
          <w:sz w:val="24"/>
          <w:szCs w:val="24"/>
        </w:rPr>
        <w:t xml:space="preserve">and contractors </w:t>
      </w:r>
      <w:r>
        <w:rPr>
          <w:rFonts w:cs="ITCFranklinGothicStd-Book"/>
          <w:sz w:val="24"/>
          <w:szCs w:val="24"/>
        </w:rPr>
        <w:t>to assist with this effort.</w:t>
      </w:r>
    </w:p>
    <w:p w14:paraId="3D5FDE9E" w14:textId="203A4CA6" w:rsidR="00DA6118" w:rsidRPr="00396C5B" w:rsidRDefault="00CF766A" w:rsidP="00396C5B">
      <w:pPr>
        <w:autoSpaceDE w:val="0"/>
        <w:autoSpaceDN w:val="0"/>
        <w:adjustRightInd w:val="0"/>
        <w:spacing w:line="240" w:lineRule="auto"/>
        <w:rPr>
          <w:rFonts w:cs="ITCFranklinGothicStd-Book"/>
          <w:sz w:val="24"/>
          <w:szCs w:val="24"/>
        </w:rPr>
      </w:pPr>
      <w:r w:rsidRPr="00396C5B">
        <w:rPr>
          <w:rFonts w:cs="ITCFranklinGothicStd-Book"/>
          <w:sz w:val="24"/>
          <w:szCs w:val="24"/>
        </w:rPr>
        <w:t>I</w:t>
      </w:r>
      <w:r w:rsidR="00F82AF2" w:rsidRPr="00396C5B">
        <w:rPr>
          <w:rFonts w:cs="ITCFranklinGothicStd-Book"/>
          <w:sz w:val="24"/>
          <w:szCs w:val="24"/>
        </w:rPr>
        <w:t xml:space="preserve">f the collection is </w:t>
      </w:r>
      <w:r w:rsidR="000F4FC5" w:rsidRPr="00396C5B">
        <w:rPr>
          <w:rFonts w:cs="ITCFranklinGothicStd-Book"/>
          <w:sz w:val="24"/>
          <w:szCs w:val="24"/>
        </w:rPr>
        <w:t xml:space="preserve">not conducted or is </w:t>
      </w:r>
      <w:r w:rsidRPr="00396C5B">
        <w:rPr>
          <w:rFonts w:cs="ITCFranklinGothicStd-Book"/>
          <w:sz w:val="24"/>
          <w:szCs w:val="24"/>
        </w:rPr>
        <w:t xml:space="preserve">conducted less frequently, </w:t>
      </w:r>
      <w:r w:rsidR="000F4FC5" w:rsidRPr="00396C5B">
        <w:rPr>
          <w:rFonts w:cs="ITCFranklinGothicStd-Book"/>
          <w:sz w:val="24"/>
          <w:szCs w:val="24"/>
        </w:rPr>
        <w:t xml:space="preserve">the validity of the study results, </w:t>
      </w:r>
      <w:r w:rsidR="006663E7" w:rsidRPr="00396C5B">
        <w:rPr>
          <w:rFonts w:cs="ITCFranklinGothicStd-Book"/>
          <w:sz w:val="24"/>
          <w:szCs w:val="24"/>
        </w:rPr>
        <w:t xml:space="preserve">by </w:t>
      </w:r>
      <w:r w:rsidR="000F4FC5" w:rsidRPr="00396C5B">
        <w:rPr>
          <w:rFonts w:cs="ITCFranklinGothicStd-Book"/>
          <w:sz w:val="24"/>
          <w:szCs w:val="24"/>
        </w:rPr>
        <w:t>relying on self-reported outcomes alone,</w:t>
      </w:r>
      <w:r w:rsidR="00DF7108" w:rsidRPr="00396C5B">
        <w:rPr>
          <w:rFonts w:cs="ITCFranklinGothicStd-Book"/>
          <w:sz w:val="24"/>
          <w:szCs w:val="24"/>
        </w:rPr>
        <w:t xml:space="preserve"> will be </w:t>
      </w:r>
      <w:r w:rsidR="000F4FC5" w:rsidRPr="00396C5B">
        <w:rPr>
          <w:rFonts w:cs="ITCFranklinGothicStd-Book"/>
          <w:sz w:val="24"/>
          <w:szCs w:val="24"/>
        </w:rPr>
        <w:t>sub</w:t>
      </w:r>
      <w:r w:rsidR="00DD0E23">
        <w:rPr>
          <w:rFonts w:cs="ITCFranklinGothicStd-Book"/>
          <w:sz w:val="24"/>
          <w:szCs w:val="24"/>
        </w:rPr>
        <w:t>ject to recall bias. Therefore,</w:t>
      </w:r>
      <w:r w:rsidR="00F01F1D" w:rsidRPr="00396C5B">
        <w:rPr>
          <w:rFonts w:cs="ITCFranklinGothicStd-Book"/>
          <w:sz w:val="24"/>
          <w:szCs w:val="24"/>
        </w:rPr>
        <w:t xml:space="preserve"> records verification</w:t>
      </w:r>
      <w:r w:rsidR="00904BD7" w:rsidRPr="00396C5B">
        <w:rPr>
          <w:rFonts w:cs="ITCFranklinGothicStd-Book"/>
          <w:sz w:val="24"/>
          <w:szCs w:val="24"/>
        </w:rPr>
        <w:t xml:space="preserve"> </w:t>
      </w:r>
      <w:r w:rsidR="00F01F1D" w:rsidRPr="00396C5B">
        <w:rPr>
          <w:rFonts w:cs="ITCFranklinGothicStd-Book"/>
          <w:sz w:val="24"/>
          <w:szCs w:val="24"/>
        </w:rPr>
        <w:t xml:space="preserve">at the estimated frequency </w:t>
      </w:r>
      <w:r w:rsidR="000F4FC5" w:rsidRPr="00396C5B">
        <w:rPr>
          <w:rFonts w:cs="ITCFranklinGothicStd-Book"/>
          <w:sz w:val="24"/>
          <w:szCs w:val="24"/>
        </w:rPr>
        <w:t xml:space="preserve">is needed to address </w:t>
      </w:r>
      <w:r w:rsidR="00DF7108" w:rsidRPr="00396C5B">
        <w:rPr>
          <w:rFonts w:cs="ITCFranklinGothicStd-Book"/>
          <w:sz w:val="24"/>
          <w:szCs w:val="24"/>
        </w:rPr>
        <w:t xml:space="preserve">and to understand the extent of </w:t>
      </w:r>
      <w:r w:rsidR="000F4FC5" w:rsidRPr="00396C5B">
        <w:rPr>
          <w:rFonts w:cs="ITCFranklinGothicStd-Book"/>
          <w:sz w:val="24"/>
          <w:szCs w:val="24"/>
        </w:rPr>
        <w:t>this potential source of bias.</w:t>
      </w:r>
    </w:p>
    <w:p w14:paraId="5429A3AD" w14:textId="3E041B2C" w:rsidR="00DA6118" w:rsidRPr="00D20211" w:rsidRDefault="00455158" w:rsidP="00CF766A">
      <w:pPr>
        <w:autoSpaceDE w:val="0"/>
        <w:autoSpaceDN w:val="0"/>
        <w:adjustRightInd w:val="0"/>
        <w:spacing w:line="240" w:lineRule="auto"/>
        <w:rPr>
          <w:rFonts w:cs="ITCFranklinGothicStd-Book"/>
          <w:sz w:val="24"/>
          <w:szCs w:val="24"/>
        </w:rPr>
      </w:pPr>
      <w:r w:rsidRPr="00D20211">
        <w:rPr>
          <w:rFonts w:cs="ITCFranklinGothicStd-Book"/>
          <w:sz w:val="24"/>
          <w:szCs w:val="24"/>
        </w:rPr>
        <w:t>There are no technical or lega</w:t>
      </w:r>
      <w:r w:rsidR="000F4FC5">
        <w:rPr>
          <w:rFonts w:cs="ITCFranklinGothicStd-Book"/>
          <w:sz w:val="24"/>
          <w:szCs w:val="24"/>
        </w:rPr>
        <w:t>l obstacles to reducing burden.</w:t>
      </w:r>
    </w:p>
    <w:p w14:paraId="0123AC1E" w14:textId="25EB32E8" w:rsidR="00B45002" w:rsidRPr="00D20211" w:rsidRDefault="00601F1A" w:rsidP="00601F1A">
      <w:pPr>
        <w:pStyle w:val="Heading1"/>
        <w:pBdr>
          <w:bottom w:val="none" w:sz="0" w:space="0" w:color="auto"/>
        </w:pBdr>
        <w:rPr>
          <w:color w:val="auto"/>
        </w:rPr>
      </w:pPr>
      <w:bookmarkStart w:id="9" w:name="_Toc532912779"/>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2A9759C6" w14:textId="77777777" w:rsidR="0014151A" w:rsidRPr="00D20211" w:rsidRDefault="0014151A" w:rsidP="00FB3333">
      <w:pPr>
        <w:autoSpaceDE w:val="0"/>
        <w:autoSpaceDN w:val="0"/>
        <w:adjustRightInd w:val="0"/>
        <w:spacing w:line="240" w:lineRule="auto"/>
        <w:rPr>
          <w:sz w:val="24"/>
          <w:szCs w:val="24"/>
        </w:rPr>
      </w:pPr>
    </w:p>
    <w:p w14:paraId="34839E47" w14:textId="5D2448DD" w:rsidR="00FB3333" w:rsidRPr="00D20211" w:rsidRDefault="009E7B1B" w:rsidP="00BA60FD">
      <w:pPr>
        <w:autoSpaceDE w:val="0"/>
        <w:autoSpaceDN w:val="0"/>
        <w:adjustRightInd w:val="0"/>
        <w:spacing w:line="240" w:lineRule="auto"/>
        <w:rPr>
          <w:rFonts w:cs="ITCFranklinGothicStd-Book"/>
          <w:sz w:val="24"/>
          <w:szCs w:val="24"/>
        </w:rPr>
      </w:pPr>
      <w:r w:rsidRPr="00D20211">
        <w:rPr>
          <w:rFonts w:cs="ITCFranklinGothicStd-Book"/>
          <w:sz w:val="24"/>
          <w:szCs w:val="24"/>
        </w:rPr>
        <w:t>The following special circumstance(s) apply to this information collection. We are requiring the following</w:t>
      </w:r>
      <w:r w:rsidR="00FB3333" w:rsidRPr="00D20211">
        <w:rPr>
          <w:rFonts w:cs="ITCFranklinGothicStd-Book"/>
          <w:sz w:val="24"/>
          <w:szCs w:val="24"/>
        </w:rPr>
        <w:t>:</w:t>
      </w:r>
    </w:p>
    <w:p w14:paraId="6DD03C17" w14:textId="117A413B" w:rsidR="00FB3333" w:rsidRPr="00D20211" w:rsidRDefault="000576D4" w:rsidP="0019133A">
      <w:pPr>
        <w:pStyle w:val="ListParagraph"/>
        <w:numPr>
          <w:ilvl w:val="0"/>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Education specialists and medical records specialists</w:t>
      </w:r>
      <w:r w:rsidR="009E7B1B" w:rsidRPr="00D20211">
        <w:rPr>
          <w:rFonts w:cs="ITCFranklinGothicStd-Book"/>
          <w:sz w:val="24"/>
          <w:szCs w:val="24"/>
        </w:rPr>
        <w:t xml:space="preserve"> will</w:t>
      </w:r>
      <w:r w:rsidR="00FB3333" w:rsidRPr="00D20211">
        <w:rPr>
          <w:rFonts w:cs="ITCFranklinGothicStd-Book"/>
          <w:sz w:val="24"/>
          <w:szCs w:val="24"/>
        </w:rPr>
        <w:t xml:space="preserve"> report information to the agency more often than quarterly</w:t>
      </w:r>
      <w:r w:rsidR="001E2620">
        <w:rPr>
          <w:rFonts w:cs="ITCFranklinGothicStd-Book"/>
          <w:sz w:val="24"/>
          <w:szCs w:val="24"/>
        </w:rPr>
        <w:t xml:space="preserve"> because of the number of Pease Study participants for whom records will be abstracted</w:t>
      </w:r>
      <w:r w:rsidR="009E7B1B" w:rsidRPr="00D20211">
        <w:rPr>
          <w:rFonts w:cs="ITCFranklinGothicStd-Book"/>
          <w:sz w:val="24"/>
          <w:szCs w:val="24"/>
        </w:rPr>
        <w:t>.</w:t>
      </w:r>
    </w:p>
    <w:p w14:paraId="4DC2E6DD" w14:textId="5F11EBF9" w:rsidR="009E7B1B" w:rsidRPr="00D20211" w:rsidRDefault="000576D4" w:rsidP="0019133A">
      <w:pPr>
        <w:pStyle w:val="ListParagraph"/>
        <w:numPr>
          <w:ilvl w:val="1"/>
          <w:numId w:val="2"/>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Justification </w:t>
      </w:r>
      <w:r w:rsidR="00CB0CF6">
        <w:rPr>
          <w:rFonts w:cs="ITCFranklinGothicStd-Book"/>
          <w:sz w:val="24"/>
          <w:szCs w:val="24"/>
        </w:rPr>
        <w:t xml:space="preserve">for </w:t>
      </w:r>
      <w:r w:rsidR="002B3045">
        <w:rPr>
          <w:rFonts w:cs="ITCFranklinGothicStd-Book"/>
          <w:sz w:val="24"/>
          <w:szCs w:val="24"/>
        </w:rPr>
        <w:t xml:space="preserve">reporting </w:t>
      </w:r>
      <w:r w:rsidR="00CB0CF6">
        <w:rPr>
          <w:rFonts w:cs="ITCFranklinGothicStd-Book"/>
          <w:sz w:val="24"/>
          <w:szCs w:val="24"/>
        </w:rPr>
        <w:t xml:space="preserve">frequency greater than quarterly </w:t>
      </w:r>
      <w:r>
        <w:rPr>
          <w:rFonts w:cs="ITCFranklinGothicStd-Book"/>
          <w:sz w:val="24"/>
          <w:szCs w:val="24"/>
        </w:rPr>
        <w:t xml:space="preserve">is provided in </w:t>
      </w:r>
      <w:r w:rsidRPr="000576D4">
        <w:rPr>
          <w:rFonts w:cs="ITCFranklinGothicStd-Book"/>
          <w:b/>
          <w:sz w:val="24"/>
          <w:szCs w:val="24"/>
        </w:rPr>
        <w:t>Section</w:t>
      </w:r>
      <w:r>
        <w:rPr>
          <w:rFonts w:cs="ITCFranklinGothicStd-Book"/>
          <w:b/>
          <w:sz w:val="24"/>
          <w:szCs w:val="24"/>
        </w:rPr>
        <w:t>s</w:t>
      </w:r>
      <w:r w:rsidRPr="000576D4">
        <w:rPr>
          <w:rFonts w:cs="ITCFranklinGothicStd-Book"/>
          <w:b/>
          <w:sz w:val="24"/>
          <w:szCs w:val="24"/>
        </w:rPr>
        <w:t xml:space="preserve"> A.5 </w:t>
      </w:r>
      <w:r w:rsidRPr="000576D4">
        <w:rPr>
          <w:rFonts w:cs="ITCFranklinGothicStd-Book"/>
          <w:sz w:val="24"/>
          <w:szCs w:val="24"/>
        </w:rPr>
        <w:t>and</w:t>
      </w:r>
      <w:r w:rsidRPr="000576D4">
        <w:rPr>
          <w:rFonts w:cs="ITCFranklinGothicStd-Book"/>
          <w:b/>
          <w:sz w:val="24"/>
          <w:szCs w:val="24"/>
        </w:rPr>
        <w:t xml:space="preserve"> A.6</w:t>
      </w:r>
      <w:r>
        <w:rPr>
          <w:rFonts w:cs="ITCFranklinGothicStd-Book"/>
          <w:sz w:val="24"/>
          <w:szCs w:val="24"/>
        </w:rPr>
        <w:t>.</w:t>
      </w:r>
    </w:p>
    <w:p w14:paraId="05D28B6A" w14:textId="40BF7874" w:rsidR="00546470" w:rsidRDefault="00813E17" w:rsidP="0019133A">
      <w:pPr>
        <w:pStyle w:val="ListParagraph"/>
        <w:numPr>
          <w:ilvl w:val="0"/>
          <w:numId w:val="3"/>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The 2015-7 NH DHHS PFAS blood testing program recruited a convenience sample. </w:t>
      </w:r>
      <w:r w:rsidR="009E7B1B" w:rsidRPr="00D20211">
        <w:rPr>
          <w:rFonts w:cs="ITCFranklinGothicStd-Book"/>
          <w:sz w:val="24"/>
          <w:szCs w:val="24"/>
        </w:rPr>
        <w:t>A</w:t>
      </w:r>
      <w:r w:rsidR="00254DEA">
        <w:rPr>
          <w:rFonts w:cs="ITCFranklinGothicStd-Book"/>
          <w:sz w:val="24"/>
          <w:szCs w:val="24"/>
        </w:rPr>
        <w:t xml:space="preserve">s the proof of concept model for a national multi-site study, </w:t>
      </w:r>
      <w:r>
        <w:rPr>
          <w:rFonts w:cs="ITCFranklinGothicStd-Book"/>
          <w:sz w:val="24"/>
          <w:szCs w:val="24"/>
        </w:rPr>
        <w:t>ATSDR will use this</w:t>
      </w:r>
      <w:r w:rsidR="00254DEA">
        <w:rPr>
          <w:rFonts w:cs="ITCFranklinGothicStd-Book"/>
          <w:sz w:val="24"/>
          <w:szCs w:val="24"/>
        </w:rPr>
        <w:t xml:space="preserve"> existing recruitment frame established by the </w:t>
      </w:r>
      <w:r>
        <w:rPr>
          <w:rFonts w:cs="ITCFranklinGothicStd-Book"/>
          <w:sz w:val="24"/>
          <w:szCs w:val="24"/>
        </w:rPr>
        <w:t>NH DHHS</w:t>
      </w:r>
      <w:r w:rsidR="00254DEA">
        <w:rPr>
          <w:rFonts w:cs="ITCFranklinGothicStd-Book"/>
          <w:sz w:val="24"/>
          <w:szCs w:val="24"/>
        </w:rPr>
        <w:t xml:space="preserve"> for Wave One. ATSDR will </w:t>
      </w:r>
      <w:r w:rsidR="00887F9A">
        <w:rPr>
          <w:rFonts w:cs="ITCFranklinGothicStd-Book"/>
          <w:sz w:val="24"/>
          <w:szCs w:val="24"/>
        </w:rPr>
        <w:t>also recruit</w:t>
      </w:r>
      <w:r w:rsidR="00254DEA">
        <w:rPr>
          <w:rFonts w:cs="ITCFranklinGothicStd-Book"/>
          <w:sz w:val="24"/>
          <w:szCs w:val="24"/>
        </w:rPr>
        <w:t xml:space="preserve"> convenience samples in Waves Two and Three.</w:t>
      </w:r>
    </w:p>
    <w:p w14:paraId="7089BC40" w14:textId="77777777" w:rsidR="000476C8" w:rsidRDefault="00887F9A" w:rsidP="000476C8">
      <w:pPr>
        <w:pStyle w:val="ListParagraph"/>
        <w:autoSpaceDE w:val="0"/>
        <w:autoSpaceDN w:val="0"/>
        <w:adjustRightInd w:val="0"/>
        <w:spacing w:line="240" w:lineRule="auto"/>
        <w:contextualSpacing w:val="0"/>
        <w:rPr>
          <w:rFonts w:cs="ITCFranklinGothicStd-Book"/>
          <w:sz w:val="24"/>
          <w:szCs w:val="24"/>
        </w:rPr>
      </w:pPr>
      <w:r w:rsidRPr="00546470">
        <w:rPr>
          <w:rFonts w:cs="ITCFranklinGothicStd-Book"/>
          <w:sz w:val="24"/>
          <w:szCs w:val="24"/>
        </w:rPr>
        <w:t>Alth</w:t>
      </w:r>
      <w:r w:rsidR="00813E17">
        <w:rPr>
          <w:rFonts w:cs="ITCFranklinGothicStd-Book"/>
          <w:sz w:val="24"/>
          <w:szCs w:val="24"/>
        </w:rPr>
        <w:t>ough the use of convenience samples</w:t>
      </w:r>
      <w:r w:rsidRPr="00546470">
        <w:rPr>
          <w:rFonts w:cs="ITCFranklinGothicStd-Book"/>
          <w:sz w:val="24"/>
          <w:szCs w:val="24"/>
        </w:rPr>
        <w:t xml:space="preserve"> may affect the generalizability of the results to all persons exposed and not exposed to PFAS-contaminated drinking water from Pease, </w:t>
      </w:r>
      <w:r w:rsidR="00F3239C">
        <w:rPr>
          <w:rFonts w:cs="ITCFranklinGothicStd-Book"/>
          <w:sz w:val="24"/>
          <w:szCs w:val="24"/>
        </w:rPr>
        <w:t>gi</w:t>
      </w:r>
      <w:r w:rsidR="00FA3737">
        <w:rPr>
          <w:rFonts w:cs="ITCFranklinGothicStd-Book"/>
          <w:sz w:val="24"/>
          <w:szCs w:val="24"/>
        </w:rPr>
        <w:t>ven the existence of this recruitment frame and the large amount of existing data</w:t>
      </w:r>
      <w:r w:rsidR="00F3239C">
        <w:rPr>
          <w:rFonts w:cs="ITCFranklinGothicStd-Book"/>
          <w:sz w:val="24"/>
          <w:szCs w:val="24"/>
        </w:rPr>
        <w:t xml:space="preserve">, </w:t>
      </w:r>
      <w:r w:rsidR="00546470">
        <w:rPr>
          <w:rFonts w:cs="ITCFranklinGothicStd-Book"/>
          <w:sz w:val="24"/>
          <w:szCs w:val="24"/>
        </w:rPr>
        <w:t>ATSDR believes this is the best approach.</w:t>
      </w:r>
    </w:p>
    <w:p w14:paraId="6017B942" w14:textId="03B35957" w:rsidR="000E2092" w:rsidRPr="00464B09" w:rsidRDefault="00214807" w:rsidP="00464B09">
      <w:pPr>
        <w:pStyle w:val="ListParagraph"/>
        <w:autoSpaceDE w:val="0"/>
        <w:autoSpaceDN w:val="0"/>
        <w:adjustRightInd w:val="0"/>
        <w:spacing w:line="240" w:lineRule="auto"/>
        <w:contextualSpacing w:val="0"/>
        <w:rPr>
          <w:rFonts w:cs="ITCFranklinGothicStd-Book"/>
          <w:sz w:val="24"/>
          <w:szCs w:val="24"/>
        </w:rPr>
      </w:pPr>
      <w:r w:rsidRPr="000476C8">
        <w:rPr>
          <w:rFonts w:cs="ITCFranklinGothicStd-Book"/>
          <w:sz w:val="24"/>
          <w:szCs w:val="24"/>
        </w:rPr>
        <w:t xml:space="preserve">To gauge the potential for selection bias, </w:t>
      </w:r>
      <w:r w:rsidRPr="00464B09">
        <w:rPr>
          <w:rFonts w:cs="ITCFranklinGothicStd-Book"/>
          <w:sz w:val="24"/>
          <w:szCs w:val="24"/>
        </w:rPr>
        <w:t>ATSDR will compare</w:t>
      </w:r>
      <w:r w:rsidR="00546470" w:rsidRPr="00464B09">
        <w:rPr>
          <w:rFonts w:cs="ITCFranklinGothicStd-Book"/>
          <w:sz w:val="24"/>
          <w:szCs w:val="24"/>
        </w:rPr>
        <w:t xml:space="preserve"> the demographics of the </w:t>
      </w:r>
      <w:r w:rsidR="00F12652" w:rsidRPr="00464B09">
        <w:rPr>
          <w:rFonts w:cs="ITCFranklinGothicStd-Book"/>
          <w:sz w:val="24"/>
          <w:szCs w:val="24"/>
        </w:rPr>
        <w:t xml:space="preserve">convenience sample of </w:t>
      </w:r>
      <w:r w:rsidR="00546470" w:rsidRPr="00464B09">
        <w:rPr>
          <w:rFonts w:cs="ITCFranklinGothicStd-Book"/>
          <w:sz w:val="24"/>
          <w:szCs w:val="24"/>
        </w:rPr>
        <w:t xml:space="preserve">Pease Study participants with </w:t>
      </w:r>
      <w:r w:rsidR="00F3239C" w:rsidRPr="00464B09">
        <w:rPr>
          <w:rFonts w:cs="ITCFranklinGothicStd-Book"/>
          <w:sz w:val="24"/>
          <w:szCs w:val="24"/>
        </w:rPr>
        <w:t xml:space="preserve">U.S. </w:t>
      </w:r>
      <w:r w:rsidR="00546470" w:rsidRPr="00464B09">
        <w:rPr>
          <w:rFonts w:cs="ITCFranklinGothicStd-Book"/>
          <w:sz w:val="24"/>
          <w:szCs w:val="24"/>
        </w:rPr>
        <w:t>Census estimates</w:t>
      </w:r>
      <w:r w:rsidR="00F12652" w:rsidRPr="00464B09">
        <w:rPr>
          <w:rFonts w:cs="ITCFranklinGothicStd-Book"/>
          <w:sz w:val="24"/>
          <w:szCs w:val="24"/>
        </w:rPr>
        <w:t xml:space="preserve"> of the Pease community and </w:t>
      </w:r>
      <w:r w:rsidR="00813E17" w:rsidRPr="00464B09">
        <w:rPr>
          <w:rFonts w:cs="ITCFranklinGothicStd-Book"/>
          <w:sz w:val="24"/>
          <w:szCs w:val="24"/>
        </w:rPr>
        <w:t xml:space="preserve">of </w:t>
      </w:r>
      <w:r w:rsidR="00F12652" w:rsidRPr="00464B09">
        <w:rPr>
          <w:rFonts w:cs="ITCFranklinGothicStd-Book"/>
          <w:sz w:val="24"/>
          <w:szCs w:val="24"/>
        </w:rPr>
        <w:t>the City of Port</w:t>
      </w:r>
      <w:r w:rsidR="000A0D28">
        <w:rPr>
          <w:rFonts w:cs="ITCFranklinGothicStd-Book"/>
          <w:sz w:val="24"/>
          <w:szCs w:val="24"/>
        </w:rPr>
        <w:t>s</w:t>
      </w:r>
      <w:r w:rsidR="00F12652" w:rsidRPr="00464B09">
        <w:rPr>
          <w:rFonts w:cs="ITCFranklinGothicStd-Book"/>
          <w:sz w:val="24"/>
          <w:szCs w:val="24"/>
        </w:rPr>
        <w:t>mouth, NH</w:t>
      </w:r>
      <w:r w:rsidR="00546470" w:rsidRPr="00464B09">
        <w:rPr>
          <w:rFonts w:cs="ITCFranklinGothicStd-Book"/>
          <w:sz w:val="24"/>
          <w:szCs w:val="24"/>
        </w:rPr>
        <w:t>.</w:t>
      </w:r>
    </w:p>
    <w:p w14:paraId="508E9BF1" w14:textId="508D2E11" w:rsidR="00B45002" w:rsidRPr="00D20211" w:rsidRDefault="00601F1A" w:rsidP="00601F1A">
      <w:pPr>
        <w:pStyle w:val="Heading1"/>
        <w:pBdr>
          <w:bottom w:val="none" w:sz="0" w:space="0" w:color="auto"/>
        </w:pBdr>
        <w:rPr>
          <w:color w:val="auto"/>
        </w:rPr>
      </w:pPr>
      <w:bookmarkStart w:id="10" w:name="_Toc532912780"/>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6E066C3E" w14:textId="4EE34747" w:rsidR="00077A0C" w:rsidRPr="00F53E33" w:rsidRDefault="00D8087E" w:rsidP="0019133A">
      <w:pPr>
        <w:pStyle w:val="ListParagraph"/>
        <w:numPr>
          <w:ilvl w:val="0"/>
          <w:numId w:val="4"/>
        </w:numPr>
        <w:autoSpaceDE w:val="0"/>
        <w:autoSpaceDN w:val="0"/>
        <w:adjustRightInd w:val="0"/>
        <w:spacing w:line="240" w:lineRule="auto"/>
        <w:contextualSpacing w:val="0"/>
        <w:rPr>
          <w:rFonts w:cs="ITCFranklinGothicStd-Book"/>
          <w:sz w:val="24"/>
          <w:szCs w:val="24"/>
        </w:rPr>
      </w:pPr>
      <w:r w:rsidRPr="00F53E33">
        <w:rPr>
          <w:rFonts w:cs="ITCFranklinGothicStd-Book"/>
          <w:sz w:val="24"/>
          <w:szCs w:val="24"/>
        </w:rPr>
        <w:t>A</w:t>
      </w:r>
      <w:r w:rsidR="00D62EE3" w:rsidRPr="00F53E33">
        <w:rPr>
          <w:rFonts w:cs="ITCFranklinGothicStd-Book"/>
          <w:sz w:val="24"/>
          <w:szCs w:val="24"/>
        </w:rPr>
        <w:t xml:space="preserve"> 60-day Federal Register Notice was published in the </w:t>
      </w:r>
      <w:r w:rsidR="00D62EE3" w:rsidRPr="00F53E33">
        <w:rPr>
          <w:rFonts w:cs="ITCFranklinGothicStd-BookIt"/>
          <w:i/>
          <w:iCs/>
          <w:sz w:val="24"/>
          <w:szCs w:val="24"/>
        </w:rPr>
        <w:t xml:space="preserve">Federal Register </w:t>
      </w:r>
      <w:r w:rsidRPr="00CA5435">
        <w:rPr>
          <w:rFonts w:cs="ITCFranklinGothicStd-Book"/>
          <w:sz w:val="24"/>
          <w:szCs w:val="24"/>
        </w:rPr>
        <w:t xml:space="preserve">on </w:t>
      </w:r>
      <w:r w:rsidR="00F53E33" w:rsidRPr="006169A4">
        <w:rPr>
          <w:rFonts w:cs="ITCFranklinGothicStd-Book"/>
          <w:sz w:val="24"/>
          <w:szCs w:val="24"/>
        </w:rPr>
        <w:t>08/27/2018</w:t>
      </w:r>
      <w:r w:rsidRPr="006169A4">
        <w:rPr>
          <w:rFonts w:cs="ITCFranklinGothicStd-Book"/>
          <w:sz w:val="24"/>
          <w:szCs w:val="24"/>
        </w:rPr>
        <w:t xml:space="preserve">, Vol. </w:t>
      </w:r>
      <w:r w:rsidR="00F53E33" w:rsidRPr="006169A4">
        <w:rPr>
          <w:rFonts w:cs="ITCFranklinGothicStd-Book"/>
          <w:sz w:val="24"/>
          <w:szCs w:val="24"/>
        </w:rPr>
        <w:t>83</w:t>
      </w:r>
      <w:r w:rsidRPr="006169A4">
        <w:rPr>
          <w:rFonts w:cs="ITCFranklinGothicStd-Book"/>
          <w:sz w:val="24"/>
          <w:szCs w:val="24"/>
        </w:rPr>
        <w:t xml:space="preserve">, No. </w:t>
      </w:r>
      <w:r w:rsidR="00F53E33" w:rsidRPr="006169A4">
        <w:rPr>
          <w:rFonts w:cs="ITCFranklinGothicStd-Book"/>
          <w:sz w:val="24"/>
          <w:szCs w:val="24"/>
        </w:rPr>
        <w:t>166</w:t>
      </w:r>
      <w:r w:rsidRPr="006169A4">
        <w:rPr>
          <w:rFonts w:cs="ITCFranklinGothicStd-Book"/>
          <w:sz w:val="24"/>
          <w:szCs w:val="24"/>
        </w:rPr>
        <w:t xml:space="preserve">, pp. </w:t>
      </w:r>
      <w:r w:rsidR="00F53E33" w:rsidRPr="006169A4">
        <w:rPr>
          <w:rFonts w:cs="ITCFranklinGothicStd-Book"/>
          <w:sz w:val="24"/>
          <w:szCs w:val="24"/>
        </w:rPr>
        <w:t>43685</w:t>
      </w:r>
      <w:r w:rsidR="00A6012F" w:rsidRPr="00F53E33">
        <w:rPr>
          <w:rFonts w:cs="ITCFranklinGothicStd-Book"/>
          <w:sz w:val="24"/>
          <w:szCs w:val="24"/>
        </w:rPr>
        <w:t xml:space="preserve"> (</w:t>
      </w:r>
      <w:r w:rsidR="003C72CE" w:rsidRPr="00F53E33">
        <w:rPr>
          <w:rFonts w:cs="ITCFranklinGothicStd-Book"/>
          <w:b/>
          <w:sz w:val="24"/>
          <w:szCs w:val="24"/>
        </w:rPr>
        <w:t>Appendix B</w:t>
      </w:r>
      <w:r w:rsidR="00D62EE3" w:rsidRPr="00F53E33">
        <w:rPr>
          <w:rFonts w:cs="ITCFranklinGothicStd-Book"/>
          <w:sz w:val="24"/>
          <w:szCs w:val="24"/>
        </w:rPr>
        <w:t xml:space="preserve">). </w:t>
      </w:r>
    </w:p>
    <w:p w14:paraId="7CE9E660" w14:textId="2C21F9B2" w:rsidR="00D62EE3" w:rsidRPr="006169A4" w:rsidRDefault="00E00EAC" w:rsidP="0019133A">
      <w:pPr>
        <w:pStyle w:val="ListParagraph"/>
        <w:numPr>
          <w:ilvl w:val="0"/>
          <w:numId w:val="5"/>
        </w:numPr>
        <w:autoSpaceDE w:val="0"/>
        <w:autoSpaceDN w:val="0"/>
        <w:adjustRightInd w:val="0"/>
        <w:spacing w:line="240" w:lineRule="auto"/>
        <w:contextualSpacing w:val="0"/>
        <w:rPr>
          <w:rFonts w:cs="ITCFranklinGothicStd-Book"/>
          <w:sz w:val="24"/>
          <w:szCs w:val="24"/>
        </w:rPr>
      </w:pPr>
      <w:r w:rsidRPr="006169A4">
        <w:rPr>
          <w:rFonts w:cs="ITCFranklinGothicStd-Book"/>
          <w:sz w:val="24"/>
          <w:szCs w:val="24"/>
        </w:rPr>
        <w:t>ATSDR</w:t>
      </w:r>
      <w:r w:rsidR="003E092D" w:rsidRPr="006169A4">
        <w:rPr>
          <w:rFonts w:cs="ITCFranklinGothicStd-Book"/>
          <w:sz w:val="24"/>
          <w:szCs w:val="24"/>
        </w:rPr>
        <w:t xml:space="preserve"> received </w:t>
      </w:r>
      <w:r w:rsidR="00F53E33" w:rsidRPr="006169A4">
        <w:rPr>
          <w:rFonts w:cs="ITCFranklinGothicStd-Book"/>
          <w:sz w:val="24"/>
          <w:szCs w:val="24"/>
        </w:rPr>
        <w:t>a total of 1</w:t>
      </w:r>
      <w:r w:rsidR="007236B8">
        <w:rPr>
          <w:rFonts w:cs="ITCFranklinGothicStd-Book"/>
          <w:sz w:val="24"/>
          <w:szCs w:val="24"/>
        </w:rPr>
        <w:t>1</w:t>
      </w:r>
      <w:r w:rsidR="00F53E33" w:rsidRPr="006169A4">
        <w:rPr>
          <w:rFonts w:cs="ITCFranklinGothicStd-Book"/>
          <w:sz w:val="24"/>
          <w:szCs w:val="24"/>
        </w:rPr>
        <w:t xml:space="preserve"> public comments, two were posted in duplicate, and 7 were</w:t>
      </w:r>
      <w:r w:rsidR="003E092D" w:rsidRPr="006169A4">
        <w:rPr>
          <w:rFonts w:cs="ITCFranklinGothicStd-Book"/>
          <w:sz w:val="24"/>
          <w:szCs w:val="24"/>
        </w:rPr>
        <w:t xml:space="preserve"> substantive com</w:t>
      </w:r>
      <w:r w:rsidR="001855E3" w:rsidRPr="006169A4">
        <w:rPr>
          <w:rFonts w:cs="ITCFranklinGothicStd-Book"/>
          <w:sz w:val="24"/>
          <w:szCs w:val="24"/>
        </w:rPr>
        <w:t>ment</w:t>
      </w:r>
      <w:r w:rsidR="00F53E33" w:rsidRPr="006169A4">
        <w:rPr>
          <w:rFonts w:cs="ITCFranklinGothicStd-Book"/>
          <w:sz w:val="24"/>
          <w:szCs w:val="24"/>
        </w:rPr>
        <w:t>s</w:t>
      </w:r>
      <w:r w:rsidR="001855E3" w:rsidRPr="006169A4">
        <w:rPr>
          <w:rFonts w:cs="ITCFranklinGothicStd-Book"/>
          <w:sz w:val="24"/>
          <w:szCs w:val="24"/>
        </w:rPr>
        <w:t>. T</w:t>
      </w:r>
      <w:r w:rsidR="003E092D" w:rsidRPr="006169A4">
        <w:rPr>
          <w:rFonts w:cs="ITCFranklinGothicStd-Book"/>
          <w:sz w:val="24"/>
          <w:szCs w:val="24"/>
        </w:rPr>
        <w:t>he</w:t>
      </w:r>
      <w:r w:rsidR="00D8087E" w:rsidRPr="006169A4">
        <w:rPr>
          <w:rFonts w:cs="ITCFranklinGothicStd-Book"/>
          <w:sz w:val="24"/>
          <w:szCs w:val="24"/>
        </w:rPr>
        <w:t xml:space="preserve"> </w:t>
      </w:r>
      <w:r w:rsidRPr="006169A4">
        <w:rPr>
          <w:rFonts w:cs="ITCFranklinGothicStd-Book"/>
          <w:sz w:val="24"/>
          <w:szCs w:val="24"/>
        </w:rPr>
        <w:t>ATSDR</w:t>
      </w:r>
      <w:r w:rsidR="00D8087E" w:rsidRPr="006169A4">
        <w:rPr>
          <w:rFonts w:cs="ITCFranklinGothicStd-Book"/>
          <w:sz w:val="24"/>
          <w:szCs w:val="24"/>
        </w:rPr>
        <w:t xml:space="preserve"> response is provided </w:t>
      </w:r>
      <w:r w:rsidR="00D8087E" w:rsidRPr="006169A4">
        <w:rPr>
          <w:rFonts w:cs="ITCFranklinGothicStd-Book"/>
          <w:b/>
          <w:sz w:val="24"/>
          <w:szCs w:val="24"/>
        </w:rPr>
        <w:t>Appendix B1</w:t>
      </w:r>
      <w:r w:rsidR="00F90F83" w:rsidRPr="006169A4">
        <w:rPr>
          <w:rFonts w:cs="ITCFranklinGothicStd-Book"/>
          <w:sz w:val="24"/>
          <w:szCs w:val="24"/>
        </w:rPr>
        <w:t>.</w:t>
      </w:r>
    </w:p>
    <w:p w14:paraId="5E14C678" w14:textId="2CEA2C40" w:rsidR="00B04C37" w:rsidRPr="00D20211" w:rsidRDefault="00AE6983" w:rsidP="0019133A">
      <w:pPr>
        <w:pStyle w:val="ListParagraph"/>
        <w:numPr>
          <w:ilvl w:val="0"/>
          <w:numId w:val="4"/>
        </w:numPr>
        <w:autoSpaceDE w:val="0"/>
        <w:autoSpaceDN w:val="0"/>
        <w:adjustRightInd w:val="0"/>
        <w:spacing w:line="240" w:lineRule="auto"/>
        <w:contextualSpacing w:val="0"/>
        <w:rPr>
          <w:rFonts w:cs="ITCFranklinGothicStd-Book"/>
          <w:sz w:val="24"/>
          <w:szCs w:val="24"/>
        </w:rPr>
      </w:pPr>
      <w:r>
        <w:rPr>
          <w:rFonts w:cs="ITCFranklinGothicStd-Book"/>
          <w:sz w:val="24"/>
          <w:szCs w:val="24"/>
        </w:rPr>
        <w:t>The follow</w:t>
      </w:r>
      <w:r w:rsidRPr="00AE6983">
        <w:rPr>
          <w:rFonts w:cs="ITCFranklinGothicStd-Book"/>
          <w:sz w:val="24"/>
          <w:szCs w:val="24"/>
        </w:rPr>
        <w:t>ing p</w:t>
      </w:r>
      <w:r w:rsidR="00D62EE3" w:rsidRPr="00AE6983">
        <w:rPr>
          <w:rFonts w:cs="ITCFranklinGothicStd-Book"/>
          <w:sz w:val="24"/>
          <w:szCs w:val="24"/>
        </w:rPr>
        <w:t xml:space="preserve">ersons </w:t>
      </w:r>
      <w:r w:rsidR="00D62EE3" w:rsidRPr="00AE6983">
        <w:rPr>
          <w:rFonts w:cs="ITCFranklinGothicStd-Demi"/>
          <w:sz w:val="24"/>
          <w:szCs w:val="24"/>
        </w:rPr>
        <w:t>outside</w:t>
      </w:r>
      <w:r w:rsidR="003A0349" w:rsidRPr="00AE6983">
        <w:rPr>
          <w:rFonts w:cs="ITCFranklinGothicStd-Demi"/>
          <w:sz w:val="24"/>
          <w:szCs w:val="24"/>
        </w:rPr>
        <w:t xml:space="preserve"> </w:t>
      </w:r>
      <w:r w:rsidR="009C4709">
        <w:rPr>
          <w:rFonts w:cs="ITCFranklinGothicStd-Demi"/>
          <w:sz w:val="24"/>
          <w:szCs w:val="24"/>
        </w:rPr>
        <w:t xml:space="preserve">and inside </w:t>
      </w:r>
      <w:r w:rsidR="00D62EE3" w:rsidRPr="00AE6983">
        <w:rPr>
          <w:rFonts w:cs="ITCFranklinGothicStd-Demi"/>
          <w:sz w:val="24"/>
          <w:szCs w:val="24"/>
        </w:rPr>
        <w:t>the agency</w:t>
      </w:r>
      <w:r w:rsidRPr="00AE6983">
        <w:rPr>
          <w:rFonts w:cs="ITCFranklinGothicStd-Demi"/>
          <w:sz w:val="24"/>
          <w:szCs w:val="24"/>
        </w:rPr>
        <w:t xml:space="preserve"> were consulted</w:t>
      </w:r>
      <w:r w:rsidR="00D62EE3" w:rsidRPr="00AE6983">
        <w:rPr>
          <w:rFonts w:cs="ITCFranklinGothicStd-Demi"/>
          <w:sz w:val="24"/>
          <w:szCs w:val="24"/>
        </w:rPr>
        <w:t xml:space="preserve"> </w:t>
      </w:r>
      <w:r w:rsidR="003758FA">
        <w:rPr>
          <w:rFonts w:cs="ITCFranklinGothicStd-Book"/>
          <w:sz w:val="24"/>
          <w:szCs w:val="24"/>
        </w:rPr>
        <w:t>(</w:t>
      </w:r>
      <w:r w:rsidR="003758FA">
        <w:rPr>
          <w:rFonts w:cs="ITCFranklinGothicStd-Book"/>
          <w:b/>
          <w:sz w:val="24"/>
          <w:szCs w:val="24"/>
        </w:rPr>
        <w:t>Attachment 1</w:t>
      </w:r>
      <w:r w:rsidR="003758FA">
        <w:rPr>
          <w:rFonts w:cs="ITCFranklinGothicStd-Book"/>
          <w:sz w:val="24"/>
          <w:szCs w:val="24"/>
        </w:rPr>
        <w:t>)</w:t>
      </w:r>
      <w:r w:rsidR="00D62EE3" w:rsidRPr="00D20211">
        <w:rPr>
          <w:rFonts w:cs="ITCFranklinGothicStd-Book"/>
          <w:sz w:val="24"/>
          <w:szCs w:val="24"/>
        </w:rPr>
        <w:t xml:space="preserve">. </w:t>
      </w:r>
    </w:p>
    <w:p w14:paraId="33ADABFD" w14:textId="77777777" w:rsidR="00DD7ABB" w:rsidRPr="00D20211" w:rsidRDefault="00DD7ABB" w:rsidP="003B2A57">
      <w:pPr>
        <w:autoSpaceDE w:val="0"/>
        <w:autoSpaceDN w:val="0"/>
        <w:adjustRightInd w:val="0"/>
        <w:spacing w:after="0" w:line="240" w:lineRule="auto"/>
        <w:jc w:val="both"/>
        <w:rPr>
          <w:rFonts w:cstheme="minorHAnsi"/>
          <w:b/>
          <w:sz w:val="24"/>
          <w:szCs w:val="24"/>
        </w:rPr>
      </w:pPr>
    </w:p>
    <w:p w14:paraId="3370EEBF" w14:textId="088E3FF6"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AE6983">
        <w:rPr>
          <w:rFonts w:cstheme="minorHAnsi"/>
          <w:b/>
          <w:sz w:val="24"/>
          <w:szCs w:val="24"/>
        </w:rPr>
        <w:t>A.8.</w:t>
      </w:r>
      <w:r w:rsidRPr="00D20211">
        <w:rPr>
          <w:rFonts w:cstheme="minorHAnsi"/>
          <w:b/>
          <w:sz w:val="24"/>
          <w:szCs w:val="24"/>
        </w:rPr>
        <w:t>1</w:t>
      </w:r>
      <w:r w:rsidR="003B2A57" w:rsidRPr="00D20211">
        <w:rPr>
          <w:rFonts w:cstheme="minorHAnsi"/>
          <w:b/>
          <w:sz w:val="24"/>
          <w:szCs w:val="24"/>
        </w:rPr>
        <w:t>.</w:t>
      </w:r>
      <w:r w:rsidR="008F6D26" w:rsidRPr="00D20211">
        <w:rPr>
          <w:rFonts w:cstheme="minorHAnsi"/>
          <w:sz w:val="24"/>
          <w:szCs w:val="24"/>
        </w:rPr>
        <w:t xml:space="preserve"> </w:t>
      </w:r>
      <w:r w:rsidR="009D2718" w:rsidRPr="00D20211">
        <w:rPr>
          <w:rFonts w:cstheme="minorHAnsi"/>
          <w:sz w:val="24"/>
          <w:szCs w:val="24"/>
        </w:rPr>
        <w:t xml:space="preserve">ATSDR </w:t>
      </w:r>
      <w:r w:rsidR="003B2A57" w:rsidRPr="00D20211">
        <w:rPr>
          <w:rFonts w:cstheme="minorHAnsi"/>
          <w:sz w:val="24"/>
          <w:szCs w:val="24"/>
        </w:rPr>
        <w:t>External Consultations</w:t>
      </w:r>
      <w:r w:rsidR="008D33D2">
        <w:rPr>
          <w:rFonts w:cstheme="minorHAnsi"/>
          <w:sz w:val="24"/>
          <w:szCs w:val="24"/>
        </w:rPr>
        <w:t>, 2018</w:t>
      </w:r>
    </w:p>
    <w:p w14:paraId="0E83ECAE"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350"/>
        <w:gridCol w:w="1620"/>
        <w:gridCol w:w="2794"/>
      </w:tblGrid>
      <w:tr w:rsidR="00D20211" w:rsidRPr="00A833C2" w14:paraId="554C8CC5" w14:textId="77777777" w:rsidTr="001F7DFB">
        <w:tc>
          <w:tcPr>
            <w:tcW w:w="2250" w:type="dxa"/>
            <w:tcBorders>
              <w:top w:val="single" w:sz="8" w:space="0" w:color="auto"/>
              <w:left w:val="nil"/>
              <w:bottom w:val="single" w:sz="8" w:space="0" w:color="auto"/>
              <w:right w:val="nil"/>
            </w:tcBorders>
            <w:shd w:val="clear" w:color="auto" w:fill="auto"/>
          </w:tcPr>
          <w:p w14:paraId="761B9A23" w14:textId="77777777"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Name</w:t>
            </w:r>
          </w:p>
        </w:tc>
        <w:tc>
          <w:tcPr>
            <w:tcW w:w="1440" w:type="dxa"/>
            <w:tcBorders>
              <w:top w:val="single" w:sz="8" w:space="0" w:color="auto"/>
              <w:left w:val="nil"/>
              <w:bottom w:val="single" w:sz="8" w:space="0" w:color="auto"/>
              <w:right w:val="nil"/>
            </w:tcBorders>
            <w:shd w:val="clear" w:color="auto" w:fill="auto"/>
          </w:tcPr>
          <w:p w14:paraId="77FDC6C2" w14:textId="4D839543" w:rsidR="0091320B" w:rsidRPr="00A833C2" w:rsidRDefault="00755987"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Title</w:t>
            </w:r>
          </w:p>
        </w:tc>
        <w:tc>
          <w:tcPr>
            <w:tcW w:w="1350" w:type="dxa"/>
            <w:tcBorders>
              <w:top w:val="single" w:sz="8" w:space="0" w:color="auto"/>
              <w:left w:val="nil"/>
              <w:bottom w:val="single" w:sz="8" w:space="0" w:color="auto"/>
              <w:right w:val="nil"/>
            </w:tcBorders>
            <w:shd w:val="clear" w:color="auto" w:fill="auto"/>
          </w:tcPr>
          <w:p w14:paraId="1BF52322" w14:textId="295DCCA1"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Affiliation</w:t>
            </w:r>
          </w:p>
        </w:tc>
        <w:tc>
          <w:tcPr>
            <w:tcW w:w="1620" w:type="dxa"/>
            <w:tcBorders>
              <w:top w:val="single" w:sz="8" w:space="0" w:color="auto"/>
              <w:left w:val="nil"/>
              <w:bottom w:val="single" w:sz="8" w:space="0" w:color="auto"/>
              <w:right w:val="nil"/>
            </w:tcBorders>
            <w:shd w:val="clear" w:color="auto" w:fill="auto"/>
          </w:tcPr>
          <w:p w14:paraId="265190EA" w14:textId="77777777"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Phone</w:t>
            </w:r>
          </w:p>
        </w:tc>
        <w:tc>
          <w:tcPr>
            <w:tcW w:w="2794" w:type="dxa"/>
            <w:tcBorders>
              <w:top w:val="single" w:sz="8" w:space="0" w:color="auto"/>
              <w:left w:val="nil"/>
              <w:bottom w:val="single" w:sz="8" w:space="0" w:color="auto"/>
              <w:right w:val="nil"/>
            </w:tcBorders>
            <w:shd w:val="clear" w:color="auto" w:fill="auto"/>
          </w:tcPr>
          <w:p w14:paraId="22313860" w14:textId="25D23806" w:rsidR="0091320B" w:rsidRPr="00A833C2" w:rsidRDefault="0091320B" w:rsidP="00C564AD">
            <w:pPr>
              <w:autoSpaceDE w:val="0"/>
              <w:autoSpaceDN w:val="0"/>
              <w:adjustRightInd w:val="0"/>
              <w:spacing w:after="0" w:line="240" w:lineRule="auto"/>
              <w:jc w:val="both"/>
              <w:rPr>
                <w:rFonts w:cstheme="minorHAnsi"/>
                <w:b/>
                <w:sz w:val="20"/>
                <w:szCs w:val="20"/>
              </w:rPr>
            </w:pPr>
            <w:r w:rsidRPr="00A833C2">
              <w:rPr>
                <w:rFonts w:cstheme="minorHAnsi"/>
                <w:b/>
                <w:sz w:val="20"/>
                <w:szCs w:val="20"/>
              </w:rPr>
              <w:t>Email</w:t>
            </w:r>
            <w:r w:rsidR="00F960D2">
              <w:rPr>
                <w:rFonts w:cstheme="minorHAnsi"/>
                <w:b/>
                <w:sz w:val="20"/>
                <w:szCs w:val="20"/>
              </w:rPr>
              <w:t>/Date</w:t>
            </w:r>
            <w:r w:rsidR="00932C71">
              <w:rPr>
                <w:rFonts w:cstheme="minorHAnsi"/>
                <w:b/>
                <w:sz w:val="20"/>
                <w:szCs w:val="20"/>
              </w:rPr>
              <w:t xml:space="preserve"> of Consultation</w:t>
            </w:r>
          </w:p>
        </w:tc>
      </w:tr>
      <w:tr w:rsidR="00D20211" w:rsidRPr="00A833C2" w14:paraId="37219326"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74C14FDC" w14:textId="77777777" w:rsidR="003B2A57" w:rsidRPr="00A833C2" w:rsidRDefault="003B2A57" w:rsidP="00C564AD">
            <w:pPr>
              <w:autoSpaceDE w:val="0"/>
              <w:autoSpaceDN w:val="0"/>
              <w:adjustRightInd w:val="0"/>
              <w:spacing w:after="0" w:line="240" w:lineRule="auto"/>
              <w:jc w:val="both"/>
              <w:rPr>
                <w:rFonts w:cstheme="minorHAnsi"/>
                <w:i/>
                <w:sz w:val="20"/>
                <w:szCs w:val="20"/>
              </w:rPr>
            </w:pPr>
            <w:r w:rsidRPr="00A833C2">
              <w:rPr>
                <w:rFonts w:cstheme="minorHAnsi"/>
                <w:i/>
                <w:sz w:val="20"/>
                <w:szCs w:val="20"/>
              </w:rPr>
              <w:t>OUTSIDE CONSULTANTS</w:t>
            </w:r>
          </w:p>
        </w:tc>
      </w:tr>
      <w:tr w:rsidR="002E1595" w:rsidRPr="00A833C2" w14:paraId="31C9A10B" w14:textId="77777777" w:rsidTr="00E804F8">
        <w:tc>
          <w:tcPr>
            <w:tcW w:w="2250" w:type="dxa"/>
            <w:tcBorders>
              <w:top w:val="single" w:sz="8" w:space="0" w:color="auto"/>
              <w:left w:val="nil"/>
              <w:bottom w:val="single" w:sz="8" w:space="0" w:color="A6A6A6" w:themeColor="background1" w:themeShade="A6"/>
              <w:right w:val="nil"/>
            </w:tcBorders>
            <w:shd w:val="clear" w:color="auto" w:fill="auto"/>
            <w:vAlign w:val="center"/>
          </w:tcPr>
          <w:p w14:paraId="19E14466" w14:textId="514EEDE8" w:rsidR="002E1595" w:rsidRPr="00A833C2" w:rsidRDefault="002E1595" w:rsidP="008F6D26">
            <w:pPr>
              <w:autoSpaceDE w:val="0"/>
              <w:autoSpaceDN w:val="0"/>
              <w:adjustRightInd w:val="0"/>
              <w:spacing w:after="0" w:line="240" w:lineRule="auto"/>
              <w:jc w:val="both"/>
              <w:rPr>
                <w:rFonts w:cstheme="minorHAnsi"/>
                <w:sz w:val="20"/>
                <w:szCs w:val="20"/>
              </w:rPr>
            </w:pPr>
            <w:r w:rsidRPr="00A833C2">
              <w:rPr>
                <w:rFonts w:cstheme="minorHAnsi"/>
                <w:sz w:val="20"/>
                <w:szCs w:val="20"/>
              </w:rPr>
              <w:t>Benjamin P. Chan, MD</w:t>
            </w:r>
          </w:p>
        </w:tc>
        <w:tc>
          <w:tcPr>
            <w:tcW w:w="1440" w:type="dxa"/>
            <w:tcBorders>
              <w:top w:val="single" w:sz="8" w:space="0" w:color="auto"/>
              <w:left w:val="nil"/>
              <w:bottom w:val="single" w:sz="8" w:space="0" w:color="A6A6A6" w:themeColor="background1" w:themeShade="A6"/>
              <w:right w:val="nil"/>
            </w:tcBorders>
            <w:shd w:val="clear" w:color="auto" w:fill="auto"/>
            <w:vAlign w:val="center"/>
          </w:tcPr>
          <w:p w14:paraId="7209BB05" w14:textId="12DE92AC" w:rsidR="002E1595" w:rsidRPr="00A833C2" w:rsidRDefault="002E1595" w:rsidP="002E1595">
            <w:pPr>
              <w:autoSpaceDE w:val="0"/>
              <w:autoSpaceDN w:val="0"/>
              <w:adjustRightInd w:val="0"/>
              <w:spacing w:after="0" w:line="240" w:lineRule="auto"/>
              <w:rPr>
                <w:rFonts w:cstheme="minorHAnsi"/>
                <w:sz w:val="20"/>
                <w:szCs w:val="20"/>
              </w:rPr>
            </w:pPr>
            <w:r w:rsidRPr="00A833C2">
              <w:rPr>
                <w:rFonts w:cstheme="minorHAnsi"/>
                <w:sz w:val="20"/>
                <w:szCs w:val="20"/>
              </w:rPr>
              <w:t>NH State Epidemiologist</w:t>
            </w:r>
          </w:p>
        </w:tc>
        <w:tc>
          <w:tcPr>
            <w:tcW w:w="1350" w:type="dxa"/>
            <w:tcBorders>
              <w:top w:val="single" w:sz="8" w:space="0" w:color="auto"/>
              <w:left w:val="nil"/>
              <w:bottom w:val="single" w:sz="8" w:space="0" w:color="A6A6A6" w:themeColor="background1" w:themeShade="A6"/>
              <w:right w:val="nil"/>
            </w:tcBorders>
            <w:shd w:val="clear" w:color="auto" w:fill="auto"/>
            <w:vAlign w:val="center"/>
          </w:tcPr>
          <w:p w14:paraId="7A5890F8" w14:textId="04BE5E1B" w:rsidR="002E1595" w:rsidRPr="00A833C2" w:rsidRDefault="002E1595" w:rsidP="00C564AD">
            <w:pPr>
              <w:autoSpaceDE w:val="0"/>
              <w:autoSpaceDN w:val="0"/>
              <w:adjustRightInd w:val="0"/>
              <w:spacing w:after="0" w:line="240" w:lineRule="auto"/>
              <w:jc w:val="both"/>
              <w:rPr>
                <w:rFonts w:cstheme="minorHAnsi"/>
                <w:sz w:val="20"/>
                <w:szCs w:val="20"/>
              </w:rPr>
            </w:pPr>
            <w:r w:rsidRPr="00A833C2">
              <w:rPr>
                <w:rFonts w:cstheme="minorHAnsi"/>
                <w:sz w:val="20"/>
                <w:szCs w:val="20"/>
              </w:rPr>
              <w:t>NH DHHS</w:t>
            </w:r>
          </w:p>
        </w:tc>
        <w:tc>
          <w:tcPr>
            <w:tcW w:w="1620" w:type="dxa"/>
            <w:tcBorders>
              <w:top w:val="single" w:sz="8" w:space="0" w:color="auto"/>
              <w:left w:val="nil"/>
              <w:bottom w:val="single" w:sz="8" w:space="0" w:color="A6A6A6" w:themeColor="background1" w:themeShade="A6"/>
              <w:right w:val="nil"/>
            </w:tcBorders>
            <w:shd w:val="clear" w:color="auto" w:fill="auto"/>
            <w:vAlign w:val="center"/>
          </w:tcPr>
          <w:p w14:paraId="32BE7880" w14:textId="7D376A86" w:rsidR="002E1595" w:rsidRPr="00A833C2" w:rsidRDefault="002E1595" w:rsidP="002E1595">
            <w:pPr>
              <w:autoSpaceDE w:val="0"/>
              <w:autoSpaceDN w:val="0"/>
              <w:adjustRightInd w:val="0"/>
              <w:spacing w:after="0" w:line="240" w:lineRule="auto"/>
              <w:rPr>
                <w:rFonts w:cstheme="minorHAnsi"/>
                <w:i/>
                <w:sz w:val="20"/>
                <w:szCs w:val="20"/>
              </w:rPr>
            </w:pPr>
            <w:r w:rsidRPr="00A833C2">
              <w:rPr>
                <w:rFonts w:cstheme="minorHAnsi"/>
                <w:sz w:val="20"/>
                <w:szCs w:val="20"/>
              </w:rPr>
              <w:t>(603) 271-5325</w:t>
            </w:r>
          </w:p>
        </w:tc>
        <w:tc>
          <w:tcPr>
            <w:tcW w:w="2794" w:type="dxa"/>
            <w:tcBorders>
              <w:top w:val="single" w:sz="8" w:space="0" w:color="auto"/>
              <w:left w:val="nil"/>
              <w:bottom w:val="single" w:sz="8" w:space="0" w:color="A6A6A6" w:themeColor="background1" w:themeShade="A6"/>
              <w:right w:val="nil"/>
            </w:tcBorders>
            <w:shd w:val="clear" w:color="auto" w:fill="auto"/>
            <w:vAlign w:val="center"/>
          </w:tcPr>
          <w:p w14:paraId="5268A71F" w14:textId="77777777" w:rsidR="002E1595" w:rsidRDefault="0030044A" w:rsidP="00A81AAF">
            <w:pPr>
              <w:autoSpaceDE w:val="0"/>
              <w:autoSpaceDN w:val="0"/>
              <w:adjustRightInd w:val="0"/>
              <w:spacing w:after="0" w:line="240" w:lineRule="auto"/>
              <w:jc w:val="both"/>
              <w:rPr>
                <w:rStyle w:val="Hyperlink"/>
                <w:rFonts w:cstheme="minorHAnsi"/>
                <w:sz w:val="20"/>
                <w:szCs w:val="20"/>
              </w:rPr>
            </w:pPr>
            <w:hyperlink r:id="rId12" w:history="1">
              <w:r w:rsidR="002E1595" w:rsidRPr="00A833C2">
                <w:rPr>
                  <w:rStyle w:val="Hyperlink"/>
                  <w:rFonts w:cstheme="minorHAnsi"/>
                  <w:sz w:val="20"/>
                  <w:szCs w:val="20"/>
                </w:rPr>
                <w:t>benjamin.chan@dhhs.nh.gov</w:t>
              </w:r>
            </w:hyperlink>
          </w:p>
          <w:p w14:paraId="50218A76" w14:textId="3CED2BFA" w:rsidR="00F960D2" w:rsidRPr="00A833C2" w:rsidRDefault="00F960D2" w:rsidP="00A81AAF">
            <w:pPr>
              <w:autoSpaceDE w:val="0"/>
              <w:autoSpaceDN w:val="0"/>
              <w:adjustRightInd w:val="0"/>
              <w:spacing w:after="0" w:line="240" w:lineRule="auto"/>
              <w:jc w:val="both"/>
              <w:rPr>
                <w:rFonts w:cstheme="minorHAnsi"/>
                <w:sz w:val="20"/>
                <w:szCs w:val="20"/>
              </w:rPr>
            </w:pPr>
            <w:r w:rsidRPr="00F960D2">
              <w:rPr>
                <w:rStyle w:val="Hyperlink"/>
                <w:rFonts w:cstheme="minorHAnsi"/>
                <w:color w:val="000000" w:themeColor="text1"/>
                <w:sz w:val="20"/>
                <w:szCs w:val="20"/>
              </w:rPr>
              <w:t>Ongoing</w:t>
            </w:r>
            <w:r>
              <w:rPr>
                <w:rStyle w:val="Hyperlink"/>
                <w:rFonts w:cstheme="minorHAnsi"/>
                <w:color w:val="000000" w:themeColor="text1"/>
                <w:sz w:val="20"/>
                <w:szCs w:val="20"/>
              </w:rPr>
              <w:t xml:space="preserve"> since 2016</w:t>
            </w:r>
          </w:p>
        </w:tc>
      </w:tr>
      <w:tr w:rsidR="00A83FD9" w:rsidRPr="00A833C2" w14:paraId="67F3D0AA"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2ED185A" w14:textId="0ADDC630" w:rsidR="00A83FD9" w:rsidRPr="00A833C2" w:rsidRDefault="00A83FD9" w:rsidP="00A83FD9">
            <w:pPr>
              <w:autoSpaceDE w:val="0"/>
              <w:autoSpaceDN w:val="0"/>
              <w:adjustRightInd w:val="0"/>
              <w:spacing w:after="0" w:line="240" w:lineRule="auto"/>
              <w:rPr>
                <w:rFonts w:cstheme="minorHAnsi"/>
                <w:sz w:val="20"/>
                <w:szCs w:val="20"/>
              </w:rPr>
            </w:pPr>
            <w:r w:rsidRPr="00A833C2">
              <w:rPr>
                <w:rFonts w:cstheme="minorHAnsi"/>
                <w:sz w:val="20"/>
                <w:szCs w:val="20"/>
              </w:rPr>
              <w:t>Pease Community Assistance Panel (CAP)</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733589C9" w14:textId="509CCD5C" w:rsidR="00A83FD9" w:rsidRPr="00A833C2" w:rsidRDefault="00A83FD9" w:rsidP="00A81AAF">
            <w:pPr>
              <w:autoSpaceDE w:val="0"/>
              <w:autoSpaceDN w:val="0"/>
              <w:adjustRightInd w:val="0"/>
              <w:spacing w:after="0" w:line="240" w:lineRule="auto"/>
              <w:jc w:val="both"/>
              <w:rPr>
                <w:rFonts w:cstheme="minorHAnsi"/>
                <w:sz w:val="20"/>
                <w:szCs w:val="20"/>
              </w:rPr>
            </w:pPr>
            <w:r w:rsidRPr="00A833C2">
              <w:rPr>
                <w:rFonts w:cstheme="minorHAnsi"/>
                <w:sz w:val="20"/>
                <w:szCs w:val="20"/>
              </w:rPr>
              <w:t xml:space="preserve">see </w:t>
            </w:r>
            <w:hyperlink r:id="rId13" w:history="1">
              <w:r w:rsidRPr="00A833C2">
                <w:rPr>
                  <w:rStyle w:val="Hyperlink"/>
                  <w:rFonts w:cstheme="minorHAnsi"/>
                  <w:sz w:val="20"/>
                  <w:szCs w:val="20"/>
                </w:rPr>
                <w:t>https://www.atsdr.cdc.gov/sites/pease/cap.html</w:t>
              </w:r>
            </w:hyperlink>
            <w:r w:rsidR="00F960D2" w:rsidRPr="00F960D2">
              <w:rPr>
                <w:rStyle w:val="Hyperlink"/>
                <w:rFonts w:cstheme="minorHAnsi"/>
                <w:sz w:val="20"/>
                <w:szCs w:val="20"/>
                <w:u w:val="none"/>
              </w:rPr>
              <w:t xml:space="preserve">   </w:t>
            </w:r>
            <w:r w:rsidR="00F960D2" w:rsidRPr="00A833C2">
              <w:rPr>
                <w:rFonts w:cstheme="minorHAnsi"/>
                <w:sz w:val="20"/>
                <w:szCs w:val="20"/>
              </w:rPr>
              <w:t>Ongoing since 2016</w:t>
            </w:r>
          </w:p>
        </w:tc>
      </w:tr>
      <w:tr w:rsidR="00DF368A" w:rsidRPr="00A833C2" w14:paraId="61EE5168" w14:textId="77777777" w:rsidTr="00E804F8">
        <w:tc>
          <w:tcPr>
            <w:tcW w:w="2250" w:type="dxa"/>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6F1C7690" w14:textId="77777777" w:rsidR="00DF368A" w:rsidRPr="00A833C2" w:rsidRDefault="00DF368A" w:rsidP="004C3752">
            <w:pPr>
              <w:autoSpaceDE w:val="0"/>
              <w:autoSpaceDN w:val="0"/>
              <w:adjustRightInd w:val="0"/>
              <w:spacing w:after="0" w:line="240" w:lineRule="auto"/>
              <w:rPr>
                <w:rFonts w:cstheme="minorHAnsi"/>
                <w:sz w:val="20"/>
                <w:szCs w:val="20"/>
              </w:rPr>
            </w:pPr>
            <w:r w:rsidRPr="00A833C2">
              <w:rPr>
                <w:rFonts w:cstheme="minorHAnsi"/>
                <w:sz w:val="20"/>
                <w:szCs w:val="20"/>
              </w:rPr>
              <w:t>External Peer Reviewers</w:t>
            </w:r>
          </w:p>
        </w:tc>
        <w:tc>
          <w:tcPr>
            <w:tcW w:w="7204" w:type="dxa"/>
            <w:gridSpan w:val="4"/>
            <w:tcBorders>
              <w:top w:val="single" w:sz="8" w:space="0" w:color="A6A6A6" w:themeColor="background1" w:themeShade="A6"/>
              <w:left w:val="nil"/>
              <w:bottom w:val="single" w:sz="8" w:space="0" w:color="A6A6A6" w:themeColor="background1" w:themeShade="A6"/>
              <w:right w:val="nil"/>
            </w:tcBorders>
            <w:shd w:val="clear" w:color="auto" w:fill="auto"/>
            <w:vAlign w:val="center"/>
          </w:tcPr>
          <w:p w14:paraId="31FD6A93" w14:textId="77777777" w:rsidR="00DF368A" w:rsidRPr="00A833C2" w:rsidRDefault="00DF368A" w:rsidP="004C3752">
            <w:pPr>
              <w:autoSpaceDE w:val="0"/>
              <w:autoSpaceDN w:val="0"/>
              <w:adjustRightInd w:val="0"/>
              <w:spacing w:after="0" w:line="240" w:lineRule="auto"/>
              <w:jc w:val="both"/>
              <w:rPr>
                <w:rFonts w:cstheme="minorHAnsi"/>
                <w:sz w:val="20"/>
                <w:szCs w:val="20"/>
              </w:rPr>
            </w:pPr>
            <w:r w:rsidRPr="00A833C2">
              <w:rPr>
                <w:rFonts w:cstheme="minorHAnsi"/>
                <w:sz w:val="20"/>
                <w:szCs w:val="20"/>
              </w:rPr>
              <w:t>Spring 2018 - per CERCLA requirements for research, four independent peer reviewers</w:t>
            </w:r>
          </w:p>
        </w:tc>
      </w:tr>
      <w:tr w:rsidR="002658D5" w:rsidRPr="00A833C2" w14:paraId="15BAAAF7" w14:textId="77777777" w:rsidTr="00E804F8">
        <w:tc>
          <w:tcPr>
            <w:tcW w:w="2250" w:type="dxa"/>
            <w:tcBorders>
              <w:top w:val="single" w:sz="8" w:space="0" w:color="A6A6A6" w:themeColor="background1" w:themeShade="A6"/>
              <w:left w:val="nil"/>
              <w:bottom w:val="single" w:sz="8" w:space="0" w:color="A6A6A6" w:themeColor="background1" w:themeShade="A6"/>
              <w:right w:val="nil"/>
            </w:tcBorders>
            <w:vAlign w:val="center"/>
          </w:tcPr>
          <w:p w14:paraId="068A3784" w14:textId="77777777" w:rsidR="002658D5" w:rsidRPr="00A833C2" w:rsidRDefault="002658D5" w:rsidP="002658D5">
            <w:pPr>
              <w:spacing w:after="0" w:line="240" w:lineRule="auto"/>
              <w:rPr>
                <w:rFonts w:cstheme="minorHAnsi"/>
                <w:sz w:val="20"/>
                <w:szCs w:val="20"/>
              </w:rPr>
            </w:pPr>
            <w:r w:rsidRPr="00A833C2">
              <w:rPr>
                <w:rFonts w:cstheme="minorHAnsi"/>
                <w:sz w:val="20"/>
                <w:szCs w:val="20"/>
              </w:rPr>
              <w:t>Matthew P. Longnecker, MD, ScD</w:t>
            </w:r>
          </w:p>
        </w:tc>
        <w:tc>
          <w:tcPr>
            <w:tcW w:w="1440" w:type="dxa"/>
            <w:tcBorders>
              <w:top w:val="single" w:sz="8" w:space="0" w:color="A6A6A6" w:themeColor="background1" w:themeShade="A6"/>
              <w:left w:val="nil"/>
              <w:bottom w:val="single" w:sz="8" w:space="0" w:color="A6A6A6" w:themeColor="background1" w:themeShade="A6"/>
              <w:right w:val="nil"/>
            </w:tcBorders>
            <w:vAlign w:val="center"/>
          </w:tcPr>
          <w:p w14:paraId="7F807EAB" w14:textId="77777777"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Consultant</w:t>
            </w:r>
          </w:p>
        </w:tc>
        <w:tc>
          <w:tcPr>
            <w:tcW w:w="1350" w:type="dxa"/>
            <w:tcBorders>
              <w:top w:val="single" w:sz="8" w:space="0" w:color="A6A6A6" w:themeColor="background1" w:themeShade="A6"/>
              <w:left w:val="nil"/>
              <w:bottom w:val="single" w:sz="8" w:space="0" w:color="A6A6A6" w:themeColor="background1" w:themeShade="A6"/>
              <w:right w:val="nil"/>
            </w:tcBorders>
            <w:vAlign w:val="center"/>
          </w:tcPr>
          <w:p w14:paraId="7F885D67" w14:textId="77777777"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Ramboll Group A/S Consultants</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2D743F37" w14:textId="0329A7A5" w:rsidR="002658D5" w:rsidRPr="00A833C2" w:rsidRDefault="00A833C2" w:rsidP="00A833C2">
            <w:pPr>
              <w:spacing w:after="0" w:line="240" w:lineRule="auto"/>
              <w:rPr>
                <w:rFonts w:cstheme="minorHAnsi"/>
                <w:sz w:val="20"/>
                <w:szCs w:val="20"/>
              </w:rPr>
            </w:pPr>
            <w:r w:rsidRPr="00A833C2">
              <w:rPr>
                <w:rFonts w:cstheme="minorHAnsi"/>
                <w:sz w:val="20"/>
                <w:szCs w:val="20"/>
              </w:rPr>
              <w:t>(919) 765-8029</w:t>
            </w:r>
          </w:p>
        </w:tc>
        <w:tc>
          <w:tcPr>
            <w:tcW w:w="2794" w:type="dxa"/>
            <w:tcBorders>
              <w:top w:val="single" w:sz="8" w:space="0" w:color="A6A6A6" w:themeColor="background1" w:themeShade="A6"/>
              <w:left w:val="nil"/>
              <w:bottom w:val="single" w:sz="8" w:space="0" w:color="A6A6A6" w:themeColor="background1" w:themeShade="A6"/>
              <w:right w:val="nil"/>
            </w:tcBorders>
            <w:vAlign w:val="center"/>
          </w:tcPr>
          <w:p w14:paraId="19C01DA9" w14:textId="77777777" w:rsidR="002658D5" w:rsidRDefault="0030044A" w:rsidP="002658D5">
            <w:pPr>
              <w:autoSpaceDE w:val="0"/>
              <w:autoSpaceDN w:val="0"/>
              <w:adjustRightInd w:val="0"/>
              <w:spacing w:after="0" w:line="240" w:lineRule="auto"/>
              <w:jc w:val="both"/>
              <w:rPr>
                <w:rStyle w:val="Hyperlink"/>
                <w:rFonts w:cstheme="minorHAnsi"/>
                <w:sz w:val="20"/>
                <w:szCs w:val="20"/>
              </w:rPr>
            </w:pPr>
            <w:hyperlink r:id="rId14" w:history="1">
              <w:r w:rsidR="00C46C2B" w:rsidRPr="00A833C2">
                <w:rPr>
                  <w:rStyle w:val="Hyperlink"/>
                  <w:rFonts w:cstheme="minorHAnsi"/>
                  <w:sz w:val="20"/>
                  <w:szCs w:val="20"/>
                </w:rPr>
                <w:t>mlongnecker@ramboll.com</w:t>
              </w:r>
            </w:hyperlink>
          </w:p>
          <w:p w14:paraId="5FA9F220" w14:textId="567B1C93" w:rsidR="00F960D2" w:rsidRPr="00F960D2" w:rsidRDefault="00F960D2" w:rsidP="002658D5">
            <w:pPr>
              <w:autoSpaceDE w:val="0"/>
              <w:autoSpaceDN w:val="0"/>
              <w:adjustRightInd w:val="0"/>
              <w:spacing w:after="0" w:line="240" w:lineRule="auto"/>
              <w:jc w:val="both"/>
              <w:rPr>
                <w:rFonts w:cstheme="minorHAnsi"/>
                <w:sz w:val="20"/>
                <w:szCs w:val="20"/>
                <w:highlight w:val="yellow"/>
              </w:rPr>
            </w:pPr>
            <w:r w:rsidRPr="00F960D2">
              <w:rPr>
                <w:rStyle w:val="Hyperlink"/>
                <w:color w:val="000000" w:themeColor="text1"/>
                <w:u w:val="none"/>
              </w:rPr>
              <w:t>05/31/2018</w:t>
            </w:r>
          </w:p>
        </w:tc>
      </w:tr>
      <w:tr w:rsidR="002658D5" w:rsidRPr="00A833C2" w14:paraId="1BE69A0C" w14:textId="77777777" w:rsidTr="00E804F8">
        <w:tc>
          <w:tcPr>
            <w:tcW w:w="2250" w:type="dxa"/>
            <w:tcBorders>
              <w:top w:val="single" w:sz="8" w:space="0" w:color="A6A6A6" w:themeColor="background1" w:themeShade="A6"/>
              <w:left w:val="nil"/>
              <w:bottom w:val="single" w:sz="8" w:space="0" w:color="auto"/>
              <w:right w:val="nil"/>
            </w:tcBorders>
            <w:vAlign w:val="center"/>
          </w:tcPr>
          <w:p w14:paraId="4E3F3FB2" w14:textId="3DC51D1F" w:rsidR="002658D5" w:rsidRPr="00A833C2" w:rsidRDefault="002658D5" w:rsidP="002658D5">
            <w:pPr>
              <w:rPr>
                <w:rFonts w:cstheme="minorHAnsi"/>
                <w:sz w:val="20"/>
                <w:szCs w:val="20"/>
              </w:rPr>
            </w:pPr>
            <w:r w:rsidRPr="00A833C2">
              <w:rPr>
                <w:rFonts w:cstheme="minorHAnsi"/>
                <w:sz w:val="20"/>
                <w:szCs w:val="20"/>
              </w:rPr>
              <w:t>Mark Strynar, PhD</w:t>
            </w:r>
          </w:p>
        </w:tc>
        <w:tc>
          <w:tcPr>
            <w:tcW w:w="1440" w:type="dxa"/>
            <w:tcBorders>
              <w:top w:val="single" w:sz="8" w:space="0" w:color="A6A6A6" w:themeColor="background1" w:themeShade="A6"/>
              <w:left w:val="nil"/>
              <w:bottom w:val="single" w:sz="8" w:space="0" w:color="auto"/>
              <w:right w:val="nil"/>
            </w:tcBorders>
            <w:vAlign w:val="center"/>
          </w:tcPr>
          <w:p w14:paraId="6B7B7112" w14:textId="09F9ED7F"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Physical Scientist</w:t>
            </w:r>
          </w:p>
        </w:tc>
        <w:tc>
          <w:tcPr>
            <w:tcW w:w="1350" w:type="dxa"/>
            <w:tcBorders>
              <w:top w:val="single" w:sz="8" w:space="0" w:color="A6A6A6" w:themeColor="background1" w:themeShade="A6"/>
              <w:left w:val="nil"/>
              <w:bottom w:val="single" w:sz="8" w:space="0" w:color="auto"/>
              <w:right w:val="nil"/>
            </w:tcBorders>
            <w:vAlign w:val="center"/>
          </w:tcPr>
          <w:p w14:paraId="79AD9E78" w14:textId="0EDE102E"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US EPA National Research Exposure Laboratory (NERL)</w:t>
            </w:r>
          </w:p>
        </w:tc>
        <w:tc>
          <w:tcPr>
            <w:tcW w:w="1620" w:type="dxa"/>
            <w:tcBorders>
              <w:top w:val="single" w:sz="8" w:space="0" w:color="A6A6A6" w:themeColor="background1" w:themeShade="A6"/>
              <w:left w:val="nil"/>
              <w:bottom w:val="single" w:sz="8" w:space="0" w:color="auto"/>
              <w:right w:val="nil"/>
            </w:tcBorders>
            <w:vAlign w:val="center"/>
          </w:tcPr>
          <w:p w14:paraId="14A56732" w14:textId="5B8ABA53"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151515"/>
                <w:sz w:val="20"/>
                <w:szCs w:val="20"/>
              </w:rPr>
              <w:t>(919) 541-3706</w:t>
            </w:r>
          </w:p>
        </w:tc>
        <w:tc>
          <w:tcPr>
            <w:tcW w:w="2794" w:type="dxa"/>
            <w:tcBorders>
              <w:top w:val="single" w:sz="8" w:space="0" w:color="A6A6A6" w:themeColor="background1" w:themeShade="A6"/>
              <w:left w:val="nil"/>
              <w:bottom w:val="single" w:sz="8" w:space="0" w:color="auto"/>
              <w:right w:val="nil"/>
            </w:tcBorders>
            <w:vAlign w:val="center"/>
          </w:tcPr>
          <w:p w14:paraId="206D8E49" w14:textId="77777777" w:rsidR="002658D5" w:rsidRDefault="0030044A" w:rsidP="002658D5">
            <w:pPr>
              <w:autoSpaceDE w:val="0"/>
              <w:autoSpaceDN w:val="0"/>
              <w:adjustRightInd w:val="0"/>
              <w:spacing w:after="0" w:line="240" w:lineRule="auto"/>
              <w:jc w:val="both"/>
              <w:rPr>
                <w:rFonts w:cstheme="minorHAnsi"/>
                <w:color w:val="151515"/>
                <w:sz w:val="20"/>
                <w:szCs w:val="20"/>
              </w:rPr>
            </w:pPr>
            <w:hyperlink r:id="rId15" w:history="1">
              <w:r w:rsidR="002658D5" w:rsidRPr="00A833C2">
                <w:rPr>
                  <w:rStyle w:val="Hyperlink"/>
                  <w:rFonts w:cstheme="minorHAnsi"/>
                  <w:sz w:val="20"/>
                  <w:szCs w:val="20"/>
                </w:rPr>
                <w:t>strynar.mark@epa.gov</w:t>
              </w:r>
            </w:hyperlink>
            <w:r w:rsidR="002658D5" w:rsidRPr="00A833C2">
              <w:rPr>
                <w:rFonts w:cstheme="minorHAnsi"/>
                <w:color w:val="151515"/>
                <w:sz w:val="20"/>
                <w:szCs w:val="20"/>
              </w:rPr>
              <w:t xml:space="preserve"> </w:t>
            </w:r>
          </w:p>
          <w:p w14:paraId="2874978C" w14:textId="1C856BDF" w:rsidR="00F960D2" w:rsidRPr="00F960D2" w:rsidRDefault="00F960D2" w:rsidP="002658D5">
            <w:pPr>
              <w:autoSpaceDE w:val="0"/>
              <w:autoSpaceDN w:val="0"/>
              <w:adjustRightInd w:val="0"/>
              <w:spacing w:after="0" w:line="240" w:lineRule="auto"/>
              <w:jc w:val="both"/>
              <w:rPr>
                <w:rFonts w:cstheme="minorHAnsi"/>
                <w:color w:val="000000" w:themeColor="text1"/>
                <w:sz w:val="20"/>
                <w:szCs w:val="20"/>
              </w:rPr>
            </w:pPr>
            <w:r>
              <w:rPr>
                <w:rFonts w:cstheme="minorHAnsi"/>
                <w:color w:val="000000" w:themeColor="text1"/>
                <w:sz w:val="20"/>
                <w:szCs w:val="20"/>
              </w:rPr>
              <w:t>09/06/2018</w:t>
            </w:r>
          </w:p>
        </w:tc>
      </w:tr>
      <w:tr w:rsidR="002658D5" w:rsidRPr="00A833C2" w14:paraId="1E4AFFFF" w14:textId="77777777" w:rsidTr="00E804F8">
        <w:tc>
          <w:tcPr>
            <w:tcW w:w="9454" w:type="dxa"/>
            <w:gridSpan w:val="5"/>
            <w:tcBorders>
              <w:top w:val="single" w:sz="8" w:space="0" w:color="auto"/>
              <w:left w:val="nil"/>
              <w:bottom w:val="single" w:sz="8" w:space="0" w:color="auto"/>
              <w:right w:val="nil"/>
            </w:tcBorders>
            <w:shd w:val="clear" w:color="auto" w:fill="auto"/>
            <w:vAlign w:val="center"/>
          </w:tcPr>
          <w:p w14:paraId="2D8339BE" w14:textId="77777777" w:rsidR="002658D5" w:rsidRPr="00A833C2" w:rsidRDefault="002658D5" w:rsidP="002658D5">
            <w:pPr>
              <w:pStyle w:val="PlainText"/>
              <w:jc w:val="both"/>
              <w:rPr>
                <w:rFonts w:asciiTheme="minorHAnsi" w:hAnsiTheme="minorHAnsi" w:cstheme="minorHAnsi"/>
                <w:i/>
                <w:sz w:val="20"/>
                <w:szCs w:val="20"/>
              </w:rPr>
            </w:pPr>
            <w:r w:rsidRPr="00A833C2">
              <w:rPr>
                <w:rFonts w:asciiTheme="minorHAnsi" w:hAnsiTheme="minorHAnsi" w:cstheme="minorHAnsi"/>
                <w:i/>
                <w:sz w:val="20"/>
                <w:szCs w:val="20"/>
              </w:rPr>
              <w:t>ACADEMIC INSTITUTIONS</w:t>
            </w:r>
          </w:p>
        </w:tc>
      </w:tr>
      <w:tr w:rsidR="002658D5" w:rsidRPr="00A833C2" w14:paraId="45DFF74C" w14:textId="77777777" w:rsidTr="00E804F8">
        <w:tc>
          <w:tcPr>
            <w:tcW w:w="2250" w:type="dxa"/>
            <w:tcBorders>
              <w:top w:val="single" w:sz="8" w:space="0" w:color="auto"/>
              <w:left w:val="nil"/>
              <w:bottom w:val="single" w:sz="8" w:space="0" w:color="BFBFBF" w:themeColor="background1" w:themeShade="BF"/>
              <w:right w:val="nil"/>
            </w:tcBorders>
            <w:shd w:val="clear" w:color="auto" w:fill="auto"/>
            <w:vAlign w:val="center"/>
          </w:tcPr>
          <w:p w14:paraId="3E4BA889" w14:textId="2DA138DB" w:rsidR="002658D5" w:rsidRPr="00A833C2" w:rsidRDefault="002658D5" w:rsidP="002658D5">
            <w:pPr>
              <w:spacing w:after="0" w:line="240" w:lineRule="auto"/>
              <w:rPr>
                <w:rFonts w:cstheme="minorHAnsi"/>
                <w:sz w:val="20"/>
                <w:szCs w:val="20"/>
              </w:rPr>
            </w:pPr>
            <w:r w:rsidRPr="00A833C2">
              <w:rPr>
                <w:rFonts w:cstheme="minorHAnsi"/>
                <w:sz w:val="20"/>
                <w:szCs w:val="20"/>
              </w:rPr>
              <w:t>Kyle Steenland, PhD</w:t>
            </w:r>
          </w:p>
        </w:tc>
        <w:tc>
          <w:tcPr>
            <w:tcW w:w="1440" w:type="dxa"/>
            <w:tcBorders>
              <w:top w:val="single" w:sz="8" w:space="0" w:color="auto"/>
              <w:left w:val="nil"/>
              <w:bottom w:val="single" w:sz="8" w:space="0" w:color="BFBFBF" w:themeColor="background1" w:themeShade="BF"/>
              <w:right w:val="nil"/>
            </w:tcBorders>
            <w:shd w:val="clear" w:color="auto" w:fill="auto"/>
            <w:vAlign w:val="center"/>
          </w:tcPr>
          <w:p w14:paraId="7F3CC4F7" w14:textId="38C0E421"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Professor, Epidemiologist</w:t>
            </w:r>
          </w:p>
        </w:tc>
        <w:tc>
          <w:tcPr>
            <w:tcW w:w="1350" w:type="dxa"/>
            <w:tcBorders>
              <w:top w:val="single" w:sz="8" w:space="0" w:color="auto"/>
              <w:left w:val="nil"/>
              <w:bottom w:val="single" w:sz="8" w:space="0" w:color="BFBFBF" w:themeColor="background1" w:themeShade="BF"/>
              <w:right w:val="nil"/>
            </w:tcBorders>
            <w:shd w:val="clear" w:color="auto" w:fill="auto"/>
            <w:vAlign w:val="center"/>
          </w:tcPr>
          <w:p w14:paraId="778D73DF" w14:textId="05EC963A"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Emory University</w:t>
            </w:r>
          </w:p>
        </w:tc>
        <w:tc>
          <w:tcPr>
            <w:tcW w:w="1620" w:type="dxa"/>
            <w:tcBorders>
              <w:top w:val="single" w:sz="8" w:space="0" w:color="auto"/>
              <w:left w:val="nil"/>
              <w:bottom w:val="single" w:sz="8" w:space="0" w:color="BFBFBF" w:themeColor="background1" w:themeShade="BF"/>
              <w:right w:val="nil"/>
            </w:tcBorders>
            <w:shd w:val="clear" w:color="auto" w:fill="auto"/>
            <w:vAlign w:val="center"/>
          </w:tcPr>
          <w:p w14:paraId="08A325A1" w14:textId="7B7C1F5A"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333333"/>
                <w:sz w:val="20"/>
                <w:szCs w:val="20"/>
              </w:rPr>
              <w:t xml:space="preserve">(404) 712-8277 </w:t>
            </w:r>
          </w:p>
        </w:tc>
        <w:tc>
          <w:tcPr>
            <w:tcW w:w="2794" w:type="dxa"/>
            <w:tcBorders>
              <w:top w:val="single" w:sz="8" w:space="0" w:color="auto"/>
              <w:left w:val="nil"/>
              <w:bottom w:val="single" w:sz="8" w:space="0" w:color="BFBFBF" w:themeColor="background1" w:themeShade="BF"/>
              <w:right w:val="nil"/>
            </w:tcBorders>
            <w:shd w:val="clear" w:color="auto" w:fill="auto"/>
            <w:vAlign w:val="center"/>
          </w:tcPr>
          <w:p w14:paraId="35983FA9" w14:textId="77777777" w:rsidR="002658D5" w:rsidRDefault="0030044A" w:rsidP="002658D5">
            <w:pPr>
              <w:autoSpaceDE w:val="0"/>
              <w:autoSpaceDN w:val="0"/>
              <w:adjustRightInd w:val="0"/>
              <w:spacing w:after="0" w:line="240" w:lineRule="auto"/>
              <w:jc w:val="both"/>
              <w:rPr>
                <w:rStyle w:val="Hyperlink"/>
                <w:rFonts w:cstheme="minorHAnsi"/>
                <w:sz w:val="20"/>
                <w:szCs w:val="20"/>
              </w:rPr>
            </w:pPr>
            <w:hyperlink r:id="rId16" w:tgtFrame="_blank" w:history="1">
              <w:r w:rsidR="002658D5" w:rsidRPr="00A833C2">
                <w:rPr>
                  <w:rStyle w:val="Hyperlink"/>
                  <w:rFonts w:cstheme="minorHAnsi"/>
                  <w:sz w:val="20"/>
                  <w:szCs w:val="20"/>
                </w:rPr>
                <w:t xml:space="preserve">nsteenl@sph.emory.edu </w:t>
              </w:r>
            </w:hyperlink>
          </w:p>
          <w:p w14:paraId="75E74F73" w14:textId="0C22B6C7" w:rsidR="00F960D2" w:rsidRPr="00F960D2" w:rsidRDefault="00F960D2" w:rsidP="002658D5">
            <w:pPr>
              <w:autoSpaceDE w:val="0"/>
              <w:autoSpaceDN w:val="0"/>
              <w:adjustRightInd w:val="0"/>
              <w:spacing w:after="0" w:line="240" w:lineRule="auto"/>
              <w:jc w:val="both"/>
              <w:rPr>
                <w:rFonts w:cstheme="minorHAnsi"/>
                <w:sz w:val="20"/>
                <w:szCs w:val="20"/>
              </w:rPr>
            </w:pPr>
            <w:r w:rsidRPr="00F960D2">
              <w:rPr>
                <w:rStyle w:val="Hyperlink"/>
                <w:color w:val="000000" w:themeColor="text1"/>
                <w:u w:val="none"/>
              </w:rPr>
              <w:t>03/27/2018</w:t>
            </w:r>
          </w:p>
        </w:tc>
      </w:tr>
      <w:tr w:rsidR="002658D5" w:rsidRPr="00A833C2" w14:paraId="1C5F38BB"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C1EF6A7" w14:textId="330CCA03" w:rsidR="002658D5" w:rsidRPr="00A833C2" w:rsidRDefault="002658D5" w:rsidP="002658D5">
            <w:pPr>
              <w:spacing w:after="0" w:line="240" w:lineRule="auto"/>
              <w:rPr>
                <w:rFonts w:cstheme="minorHAnsi"/>
                <w:sz w:val="20"/>
                <w:szCs w:val="20"/>
              </w:rPr>
            </w:pPr>
            <w:r w:rsidRPr="00A833C2">
              <w:rPr>
                <w:rFonts w:cstheme="minorHAnsi"/>
                <w:sz w:val="20"/>
                <w:szCs w:val="20"/>
              </w:rPr>
              <w:t>Elsie M. Sunderland, PhD</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34ADA696" w14:textId="140A7AB7"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Associate 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0AE9288E" w14:textId="3F18F680"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Harvard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2DC598CB" w14:textId="0270C5D8"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color w:val="000000"/>
                <w:sz w:val="20"/>
                <w:szCs w:val="20"/>
              </w:rPr>
              <w:t>(617) 496-0858</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6F1760E9" w14:textId="77777777" w:rsidR="002658D5" w:rsidRDefault="0030044A" w:rsidP="002658D5">
            <w:pPr>
              <w:autoSpaceDE w:val="0"/>
              <w:autoSpaceDN w:val="0"/>
              <w:adjustRightInd w:val="0"/>
              <w:spacing w:after="0" w:line="240" w:lineRule="auto"/>
              <w:jc w:val="both"/>
              <w:rPr>
                <w:rFonts w:cstheme="minorHAnsi"/>
                <w:sz w:val="20"/>
                <w:szCs w:val="20"/>
              </w:rPr>
            </w:pPr>
            <w:hyperlink r:id="rId17" w:history="1">
              <w:r w:rsidR="002658D5" w:rsidRPr="00A833C2">
                <w:rPr>
                  <w:rStyle w:val="Hyperlink"/>
                  <w:rFonts w:cstheme="minorHAnsi"/>
                  <w:sz w:val="20"/>
                  <w:szCs w:val="20"/>
                </w:rPr>
                <w:t>ems@seas.harvard.edu</w:t>
              </w:r>
            </w:hyperlink>
            <w:r w:rsidR="002658D5" w:rsidRPr="00A833C2">
              <w:rPr>
                <w:rFonts w:cstheme="minorHAnsi"/>
                <w:sz w:val="20"/>
                <w:szCs w:val="20"/>
              </w:rPr>
              <w:t xml:space="preserve"> </w:t>
            </w:r>
          </w:p>
          <w:p w14:paraId="108368FC" w14:textId="094989A3" w:rsidR="00F960D2" w:rsidRPr="00A833C2" w:rsidRDefault="00F960D2" w:rsidP="002658D5">
            <w:pPr>
              <w:autoSpaceDE w:val="0"/>
              <w:autoSpaceDN w:val="0"/>
              <w:adjustRightInd w:val="0"/>
              <w:spacing w:after="0" w:line="240" w:lineRule="auto"/>
              <w:jc w:val="both"/>
              <w:rPr>
                <w:rFonts w:cstheme="minorHAnsi"/>
                <w:sz w:val="20"/>
                <w:szCs w:val="20"/>
              </w:rPr>
            </w:pPr>
            <w:r>
              <w:rPr>
                <w:rFonts w:cstheme="minorHAnsi"/>
                <w:sz w:val="20"/>
                <w:szCs w:val="20"/>
              </w:rPr>
              <w:t>05/10/2018</w:t>
            </w:r>
          </w:p>
        </w:tc>
      </w:tr>
      <w:tr w:rsidR="002658D5" w:rsidRPr="00A833C2" w14:paraId="2D91D461" w14:textId="77777777" w:rsidTr="00E804F8">
        <w:tc>
          <w:tcPr>
            <w:tcW w:w="2250" w:type="dxa"/>
            <w:tcBorders>
              <w:top w:val="single" w:sz="8" w:space="0" w:color="BFBFBF" w:themeColor="background1" w:themeShade="BF"/>
              <w:left w:val="nil"/>
              <w:bottom w:val="single" w:sz="8" w:space="0" w:color="BFBFBF" w:themeColor="background1" w:themeShade="BF"/>
              <w:right w:val="nil"/>
            </w:tcBorders>
            <w:vAlign w:val="center"/>
          </w:tcPr>
          <w:p w14:paraId="3041D1F6" w14:textId="32E48BC5" w:rsidR="002658D5" w:rsidRPr="00A833C2" w:rsidRDefault="002658D5" w:rsidP="002658D5">
            <w:pPr>
              <w:spacing w:after="0" w:line="240" w:lineRule="auto"/>
              <w:rPr>
                <w:rFonts w:cstheme="minorHAnsi"/>
                <w:sz w:val="20"/>
                <w:szCs w:val="20"/>
              </w:rPr>
            </w:pPr>
            <w:r w:rsidRPr="00A833C2">
              <w:rPr>
                <w:rFonts w:cstheme="minorHAnsi"/>
                <w:sz w:val="20"/>
                <w:szCs w:val="20"/>
              </w:rPr>
              <w:t>Alan Ducatman, MD, MSc</w:t>
            </w:r>
          </w:p>
        </w:tc>
        <w:tc>
          <w:tcPr>
            <w:tcW w:w="1440" w:type="dxa"/>
            <w:tcBorders>
              <w:top w:val="single" w:sz="8" w:space="0" w:color="BFBFBF" w:themeColor="background1" w:themeShade="BF"/>
              <w:left w:val="nil"/>
              <w:bottom w:val="single" w:sz="8" w:space="0" w:color="BFBFBF" w:themeColor="background1" w:themeShade="BF"/>
              <w:right w:val="nil"/>
            </w:tcBorders>
            <w:vAlign w:val="center"/>
          </w:tcPr>
          <w:p w14:paraId="68208DF3" w14:textId="488E3B98"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Professor</w:t>
            </w:r>
          </w:p>
        </w:tc>
        <w:tc>
          <w:tcPr>
            <w:tcW w:w="1350" w:type="dxa"/>
            <w:tcBorders>
              <w:top w:val="single" w:sz="8" w:space="0" w:color="BFBFBF" w:themeColor="background1" w:themeShade="BF"/>
              <w:left w:val="nil"/>
              <w:bottom w:val="single" w:sz="8" w:space="0" w:color="BFBFBF" w:themeColor="background1" w:themeShade="BF"/>
              <w:right w:val="nil"/>
            </w:tcBorders>
            <w:vAlign w:val="center"/>
          </w:tcPr>
          <w:p w14:paraId="43F29D56" w14:textId="73BEFA94"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West Virginia University</w:t>
            </w:r>
          </w:p>
        </w:tc>
        <w:tc>
          <w:tcPr>
            <w:tcW w:w="1620" w:type="dxa"/>
            <w:tcBorders>
              <w:top w:val="single" w:sz="8" w:space="0" w:color="BFBFBF" w:themeColor="background1" w:themeShade="BF"/>
              <w:left w:val="nil"/>
              <w:bottom w:val="single" w:sz="8" w:space="0" w:color="BFBFBF" w:themeColor="background1" w:themeShade="BF"/>
              <w:right w:val="nil"/>
            </w:tcBorders>
            <w:vAlign w:val="center"/>
          </w:tcPr>
          <w:p w14:paraId="4D8AC1F6" w14:textId="7C2C4F70"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333F48"/>
                <w:sz w:val="20"/>
                <w:szCs w:val="20"/>
                <w:lang w:val="en"/>
              </w:rPr>
              <w:t>(304) 293-3693</w:t>
            </w:r>
          </w:p>
        </w:tc>
        <w:tc>
          <w:tcPr>
            <w:tcW w:w="2794" w:type="dxa"/>
            <w:tcBorders>
              <w:top w:val="single" w:sz="8" w:space="0" w:color="BFBFBF" w:themeColor="background1" w:themeShade="BF"/>
              <w:left w:val="nil"/>
              <w:bottom w:val="single" w:sz="8" w:space="0" w:color="BFBFBF" w:themeColor="background1" w:themeShade="BF"/>
              <w:right w:val="nil"/>
            </w:tcBorders>
            <w:vAlign w:val="center"/>
          </w:tcPr>
          <w:p w14:paraId="218C7710" w14:textId="77777777" w:rsidR="002658D5" w:rsidRDefault="0030044A" w:rsidP="002658D5">
            <w:pPr>
              <w:autoSpaceDE w:val="0"/>
              <w:autoSpaceDN w:val="0"/>
              <w:adjustRightInd w:val="0"/>
              <w:spacing w:after="0" w:line="240" w:lineRule="auto"/>
              <w:jc w:val="both"/>
              <w:rPr>
                <w:rFonts w:cstheme="minorHAnsi"/>
                <w:sz w:val="20"/>
                <w:szCs w:val="20"/>
              </w:rPr>
            </w:pPr>
            <w:hyperlink r:id="rId18" w:history="1">
              <w:r w:rsidR="002658D5" w:rsidRPr="00A833C2">
                <w:rPr>
                  <w:rStyle w:val="Hyperlink"/>
                  <w:rFonts w:cstheme="minorHAnsi"/>
                  <w:sz w:val="20"/>
                  <w:szCs w:val="20"/>
                </w:rPr>
                <w:t>aducatman@hsc.wvu.edu</w:t>
              </w:r>
            </w:hyperlink>
            <w:r w:rsidR="002658D5" w:rsidRPr="00A833C2">
              <w:rPr>
                <w:rFonts w:cstheme="minorHAnsi"/>
                <w:sz w:val="20"/>
                <w:szCs w:val="20"/>
              </w:rPr>
              <w:t xml:space="preserve"> </w:t>
            </w:r>
          </w:p>
          <w:p w14:paraId="5F3FCC69" w14:textId="36B4AF67" w:rsidR="00F960D2" w:rsidRPr="00A833C2" w:rsidRDefault="00F960D2" w:rsidP="002658D5">
            <w:pPr>
              <w:autoSpaceDE w:val="0"/>
              <w:autoSpaceDN w:val="0"/>
              <w:adjustRightInd w:val="0"/>
              <w:spacing w:after="0" w:line="240" w:lineRule="auto"/>
              <w:jc w:val="both"/>
              <w:rPr>
                <w:rFonts w:cstheme="minorHAnsi"/>
                <w:sz w:val="20"/>
                <w:szCs w:val="20"/>
              </w:rPr>
            </w:pPr>
            <w:r>
              <w:rPr>
                <w:rFonts w:cstheme="minorHAnsi"/>
                <w:sz w:val="20"/>
                <w:szCs w:val="20"/>
              </w:rPr>
              <w:t>05/17/2018</w:t>
            </w:r>
          </w:p>
        </w:tc>
      </w:tr>
      <w:tr w:rsidR="002658D5" w:rsidRPr="00A833C2" w14:paraId="220C978D" w14:textId="77777777" w:rsidTr="00E804F8">
        <w:tc>
          <w:tcPr>
            <w:tcW w:w="2250" w:type="dxa"/>
            <w:tcBorders>
              <w:top w:val="single" w:sz="8" w:space="0" w:color="BFBFBF" w:themeColor="background1" w:themeShade="BF"/>
              <w:left w:val="nil"/>
              <w:bottom w:val="single" w:sz="8" w:space="0" w:color="auto"/>
              <w:right w:val="nil"/>
            </w:tcBorders>
            <w:vAlign w:val="center"/>
          </w:tcPr>
          <w:p w14:paraId="2AE2A0AD" w14:textId="38C92837" w:rsidR="002658D5" w:rsidRPr="00A833C2" w:rsidRDefault="002658D5" w:rsidP="002658D5">
            <w:pPr>
              <w:rPr>
                <w:rFonts w:cstheme="minorHAnsi"/>
                <w:sz w:val="20"/>
                <w:szCs w:val="20"/>
              </w:rPr>
            </w:pPr>
            <w:r w:rsidRPr="00A833C2">
              <w:rPr>
                <w:rFonts w:cstheme="minorHAnsi"/>
                <w:sz w:val="20"/>
                <w:szCs w:val="20"/>
              </w:rPr>
              <w:t>Philippe Grandjean, MD, DMSc</w:t>
            </w:r>
          </w:p>
        </w:tc>
        <w:tc>
          <w:tcPr>
            <w:tcW w:w="1440" w:type="dxa"/>
            <w:tcBorders>
              <w:top w:val="single" w:sz="8" w:space="0" w:color="BFBFBF" w:themeColor="background1" w:themeShade="BF"/>
              <w:left w:val="nil"/>
              <w:bottom w:val="single" w:sz="8" w:space="0" w:color="auto"/>
              <w:right w:val="nil"/>
            </w:tcBorders>
            <w:vAlign w:val="center"/>
          </w:tcPr>
          <w:p w14:paraId="533ACBB6" w14:textId="22950B0A" w:rsidR="002658D5" w:rsidRPr="00A833C2" w:rsidRDefault="002658D5" w:rsidP="002658D5">
            <w:pPr>
              <w:autoSpaceDE w:val="0"/>
              <w:autoSpaceDN w:val="0"/>
              <w:adjustRightInd w:val="0"/>
              <w:spacing w:after="0" w:line="240" w:lineRule="auto"/>
              <w:jc w:val="both"/>
              <w:rPr>
                <w:rFonts w:cstheme="minorHAnsi"/>
                <w:sz w:val="20"/>
                <w:szCs w:val="20"/>
              </w:rPr>
            </w:pPr>
            <w:r w:rsidRPr="00A833C2">
              <w:rPr>
                <w:rFonts w:cstheme="minorHAnsi"/>
                <w:sz w:val="20"/>
                <w:szCs w:val="20"/>
              </w:rPr>
              <w:t>Professor; Adjunct Professor</w:t>
            </w:r>
          </w:p>
        </w:tc>
        <w:tc>
          <w:tcPr>
            <w:tcW w:w="1350" w:type="dxa"/>
            <w:tcBorders>
              <w:top w:val="single" w:sz="8" w:space="0" w:color="BFBFBF" w:themeColor="background1" w:themeShade="BF"/>
              <w:left w:val="nil"/>
              <w:bottom w:val="single" w:sz="8" w:space="0" w:color="auto"/>
              <w:right w:val="nil"/>
            </w:tcBorders>
            <w:vAlign w:val="center"/>
          </w:tcPr>
          <w:p w14:paraId="11A5EE2B" w14:textId="7E419C46" w:rsidR="002658D5" w:rsidRPr="00A833C2" w:rsidRDefault="002658D5" w:rsidP="002658D5">
            <w:pPr>
              <w:autoSpaceDE w:val="0"/>
              <w:autoSpaceDN w:val="0"/>
              <w:adjustRightInd w:val="0"/>
              <w:spacing w:after="0" w:line="240" w:lineRule="auto"/>
              <w:rPr>
                <w:rFonts w:cstheme="minorHAnsi"/>
                <w:sz w:val="20"/>
                <w:szCs w:val="20"/>
              </w:rPr>
            </w:pPr>
            <w:r w:rsidRPr="00A833C2">
              <w:rPr>
                <w:rFonts w:cstheme="minorHAnsi"/>
                <w:sz w:val="20"/>
                <w:szCs w:val="20"/>
              </w:rPr>
              <w:t>University of Southern Denmark; Harvard University</w:t>
            </w:r>
          </w:p>
        </w:tc>
        <w:tc>
          <w:tcPr>
            <w:tcW w:w="1620" w:type="dxa"/>
            <w:tcBorders>
              <w:top w:val="single" w:sz="8" w:space="0" w:color="BFBFBF" w:themeColor="background1" w:themeShade="BF"/>
              <w:left w:val="nil"/>
              <w:bottom w:val="single" w:sz="8" w:space="0" w:color="auto"/>
              <w:right w:val="nil"/>
            </w:tcBorders>
            <w:vAlign w:val="center"/>
          </w:tcPr>
          <w:p w14:paraId="25AEB46D" w14:textId="1C898CD4" w:rsidR="002658D5" w:rsidRPr="00A833C2" w:rsidRDefault="002658D5" w:rsidP="002658D5">
            <w:pPr>
              <w:autoSpaceDE w:val="0"/>
              <w:autoSpaceDN w:val="0"/>
              <w:adjustRightInd w:val="0"/>
              <w:spacing w:after="0" w:line="240" w:lineRule="auto"/>
              <w:jc w:val="both"/>
              <w:rPr>
                <w:rFonts w:cstheme="minorHAnsi"/>
                <w:i/>
                <w:sz w:val="20"/>
                <w:szCs w:val="20"/>
              </w:rPr>
            </w:pPr>
            <w:r w:rsidRPr="00A833C2">
              <w:rPr>
                <w:rFonts w:cstheme="minorHAnsi"/>
                <w:color w:val="595859"/>
                <w:sz w:val="20"/>
                <w:szCs w:val="20"/>
              </w:rPr>
              <w:t>617-384-8907</w:t>
            </w:r>
          </w:p>
        </w:tc>
        <w:tc>
          <w:tcPr>
            <w:tcW w:w="2794" w:type="dxa"/>
            <w:tcBorders>
              <w:top w:val="single" w:sz="8" w:space="0" w:color="BFBFBF" w:themeColor="background1" w:themeShade="BF"/>
              <w:left w:val="nil"/>
              <w:bottom w:val="single" w:sz="8" w:space="0" w:color="auto"/>
              <w:right w:val="nil"/>
            </w:tcBorders>
            <w:vAlign w:val="center"/>
          </w:tcPr>
          <w:p w14:paraId="64A7C500" w14:textId="77777777" w:rsidR="002658D5" w:rsidRDefault="0030044A" w:rsidP="002658D5">
            <w:pPr>
              <w:autoSpaceDE w:val="0"/>
              <w:autoSpaceDN w:val="0"/>
              <w:adjustRightInd w:val="0"/>
              <w:spacing w:after="0" w:line="240" w:lineRule="auto"/>
              <w:jc w:val="both"/>
              <w:rPr>
                <w:rStyle w:val="Hyperlink"/>
                <w:rFonts w:cstheme="minorHAnsi"/>
                <w:sz w:val="20"/>
                <w:szCs w:val="20"/>
              </w:rPr>
            </w:pPr>
            <w:hyperlink r:id="rId19" w:history="1">
              <w:r w:rsidR="002658D5" w:rsidRPr="00A833C2">
                <w:rPr>
                  <w:rStyle w:val="Hyperlink"/>
                  <w:rFonts w:cstheme="minorHAnsi"/>
                  <w:sz w:val="20"/>
                  <w:szCs w:val="20"/>
                </w:rPr>
                <w:t>pgrand@hsph.harvard.edu</w:t>
              </w:r>
            </w:hyperlink>
          </w:p>
          <w:p w14:paraId="3A4C740B" w14:textId="3B273B8B" w:rsidR="00F960D2" w:rsidRPr="00F960D2" w:rsidRDefault="00F960D2" w:rsidP="002658D5">
            <w:pPr>
              <w:autoSpaceDE w:val="0"/>
              <w:autoSpaceDN w:val="0"/>
              <w:adjustRightInd w:val="0"/>
              <w:spacing w:after="0" w:line="240" w:lineRule="auto"/>
              <w:jc w:val="both"/>
              <w:rPr>
                <w:rFonts w:cstheme="minorHAnsi"/>
                <w:sz w:val="20"/>
                <w:szCs w:val="20"/>
              </w:rPr>
            </w:pPr>
            <w:r w:rsidRPr="00F960D2">
              <w:rPr>
                <w:rStyle w:val="Hyperlink"/>
                <w:color w:val="000000" w:themeColor="text1"/>
                <w:u w:val="none"/>
              </w:rPr>
              <w:t>10/11/2018</w:t>
            </w:r>
          </w:p>
        </w:tc>
      </w:tr>
    </w:tbl>
    <w:p w14:paraId="7FDBEF1B" w14:textId="77777777" w:rsidR="003B2A57" w:rsidRPr="00D20211" w:rsidRDefault="003B2A57" w:rsidP="003B2A57">
      <w:pPr>
        <w:autoSpaceDE w:val="0"/>
        <w:autoSpaceDN w:val="0"/>
        <w:adjustRightInd w:val="0"/>
        <w:spacing w:line="240" w:lineRule="auto"/>
        <w:rPr>
          <w:rFonts w:cs="ITCFranklinGothicStd-Book"/>
          <w:sz w:val="24"/>
          <w:szCs w:val="24"/>
        </w:rPr>
      </w:pPr>
    </w:p>
    <w:p w14:paraId="22BCD0F5" w14:textId="175F3330"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AE6983">
        <w:rPr>
          <w:rFonts w:cstheme="minorHAnsi"/>
          <w:b/>
          <w:sz w:val="24"/>
          <w:szCs w:val="24"/>
        </w:rPr>
        <w:t>A.8.</w:t>
      </w:r>
      <w:r w:rsidRPr="00D20211">
        <w:rPr>
          <w:rFonts w:cstheme="minorHAnsi"/>
          <w:b/>
          <w:sz w:val="24"/>
          <w:szCs w:val="24"/>
        </w:rPr>
        <w:t>2</w:t>
      </w:r>
      <w:r w:rsidR="003B2A57" w:rsidRPr="00D20211">
        <w:rPr>
          <w:rFonts w:cstheme="minorHAnsi"/>
          <w:b/>
          <w:sz w:val="24"/>
          <w:szCs w:val="24"/>
        </w:rPr>
        <w:t>.</w:t>
      </w:r>
      <w:r w:rsidR="008F6D26" w:rsidRPr="00D20211">
        <w:rPr>
          <w:rFonts w:cstheme="minorHAnsi"/>
          <w:sz w:val="24"/>
          <w:szCs w:val="24"/>
        </w:rPr>
        <w:t xml:space="preserve"> </w:t>
      </w:r>
      <w:r w:rsidR="00E476BA">
        <w:rPr>
          <w:rFonts w:cstheme="minorHAnsi"/>
          <w:sz w:val="24"/>
          <w:szCs w:val="24"/>
        </w:rPr>
        <w:t xml:space="preserve">Ongoing </w:t>
      </w:r>
      <w:r w:rsidR="00AE6983">
        <w:rPr>
          <w:rFonts w:cstheme="minorHAnsi"/>
          <w:sz w:val="24"/>
          <w:szCs w:val="24"/>
        </w:rPr>
        <w:t>Consultation</w:t>
      </w:r>
      <w:r w:rsidR="006936DD">
        <w:rPr>
          <w:rFonts w:cstheme="minorHAnsi"/>
          <w:sz w:val="24"/>
          <w:szCs w:val="24"/>
        </w:rPr>
        <w:t>s with</w:t>
      </w:r>
      <w:r w:rsidR="00771B7E">
        <w:rPr>
          <w:rFonts w:cstheme="minorHAnsi"/>
          <w:sz w:val="24"/>
          <w:szCs w:val="24"/>
        </w:rPr>
        <w:t>in CDC/ATSDR</w:t>
      </w:r>
      <w:r w:rsidR="00427E4A">
        <w:rPr>
          <w:rFonts w:cstheme="minorHAnsi"/>
          <w:sz w:val="24"/>
          <w:szCs w:val="24"/>
        </w:rPr>
        <w:t>, 2018</w:t>
      </w:r>
    </w:p>
    <w:p w14:paraId="40A91741"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417"/>
        <w:gridCol w:w="2859"/>
        <w:gridCol w:w="1505"/>
        <w:gridCol w:w="1749"/>
      </w:tblGrid>
      <w:tr w:rsidR="00137450" w:rsidRPr="00D20211" w14:paraId="65BC88F2" w14:textId="77777777" w:rsidTr="00137450">
        <w:tc>
          <w:tcPr>
            <w:tcW w:w="2070" w:type="dxa"/>
            <w:tcBorders>
              <w:top w:val="single" w:sz="8" w:space="0" w:color="auto"/>
              <w:left w:val="nil"/>
              <w:bottom w:val="single" w:sz="8" w:space="0" w:color="auto"/>
              <w:right w:val="nil"/>
            </w:tcBorders>
          </w:tcPr>
          <w:p w14:paraId="31EDE0B2"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Name</w:t>
            </w:r>
          </w:p>
        </w:tc>
        <w:tc>
          <w:tcPr>
            <w:tcW w:w="900" w:type="dxa"/>
            <w:tcBorders>
              <w:top w:val="single" w:sz="8" w:space="0" w:color="auto"/>
              <w:left w:val="nil"/>
              <w:bottom w:val="single" w:sz="8" w:space="0" w:color="auto"/>
              <w:right w:val="nil"/>
            </w:tcBorders>
          </w:tcPr>
          <w:p w14:paraId="43551BEE" w14:textId="58A8F304"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Title</w:t>
            </w:r>
          </w:p>
        </w:tc>
        <w:tc>
          <w:tcPr>
            <w:tcW w:w="3060" w:type="dxa"/>
            <w:tcBorders>
              <w:top w:val="single" w:sz="8" w:space="0" w:color="auto"/>
              <w:left w:val="nil"/>
              <w:bottom w:val="single" w:sz="8" w:space="0" w:color="auto"/>
              <w:right w:val="nil"/>
            </w:tcBorders>
          </w:tcPr>
          <w:p w14:paraId="0DD1DC77" w14:textId="73728E21"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Affiliation</w:t>
            </w:r>
          </w:p>
        </w:tc>
        <w:tc>
          <w:tcPr>
            <w:tcW w:w="1620" w:type="dxa"/>
            <w:tcBorders>
              <w:top w:val="single" w:sz="8" w:space="0" w:color="auto"/>
              <w:left w:val="nil"/>
              <w:bottom w:val="single" w:sz="8" w:space="0" w:color="auto"/>
              <w:right w:val="nil"/>
            </w:tcBorders>
          </w:tcPr>
          <w:p w14:paraId="470385DD"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Phone</w:t>
            </w:r>
          </w:p>
        </w:tc>
        <w:tc>
          <w:tcPr>
            <w:tcW w:w="1800" w:type="dxa"/>
            <w:tcBorders>
              <w:top w:val="single" w:sz="8" w:space="0" w:color="auto"/>
              <w:left w:val="nil"/>
              <w:bottom w:val="single" w:sz="8" w:space="0" w:color="auto"/>
              <w:right w:val="nil"/>
            </w:tcBorders>
          </w:tcPr>
          <w:p w14:paraId="6D3357CF"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Email</w:t>
            </w:r>
          </w:p>
        </w:tc>
      </w:tr>
      <w:tr w:rsidR="00137450" w:rsidRPr="00D20211" w14:paraId="4803F962" w14:textId="77777777" w:rsidTr="00137450">
        <w:tc>
          <w:tcPr>
            <w:tcW w:w="2070" w:type="dxa"/>
            <w:tcBorders>
              <w:top w:val="single" w:sz="8" w:space="0" w:color="auto"/>
              <w:left w:val="nil"/>
              <w:bottom w:val="single" w:sz="8" w:space="0" w:color="BFBFBF" w:themeColor="background1" w:themeShade="BF"/>
              <w:right w:val="nil"/>
            </w:tcBorders>
            <w:vAlign w:val="center"/>
          </w:tcPr>
          <w:p w14:paraId="0CDEA9B9" w14:textId="594AE1E0"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Antonia Calafat</w:t>
            </w:r>
            <w:r w:rsidR="00132004" w:rsidRPr="000B7CF7">
              <w:rPr>
                <w:rFonts w:cstheme="minorHAnsi"/>
                <w:sz w:val="20"/>
                <w:szCs w:val="20"/>
              </w:rPr>
              <w:t>, PhD</w:t>
            </w:r>
          </w:p>
        </w:tc>
        <w:tc>
          <w:tcPr>
            <w:tcW w:w="900" w:type="dxa"/>
            <w:tcBorders>
              <w:top w:val="single" w:sz="8" w:space="0" w:color="auto"/>
              <w:left w:val="nil"/>
              <w:bottom w:val="single" w:sz="8" w:space="0" w:color="BFBFBF" w:themeColor="background1" w:themeShade="BF"/>
              <w:right w:val="nil"/>
            </w:tcBorders>
            <w:vAlign w:val="center"/>
          </w:tcPr>
          <w:p w14:paraId="62D49C71" w14:textId="1D23657D"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Chief</w:t>
            </w:r>
          </w:p>
        </w:tc>
        <w:tc>
          <w:tcPr>
            <w:tcW w:w="3060" w:type="dxa"/>
            <w:tcBorders>
              <w:top w:val="single" w:sz="8" w:space="0" w:color="auto"/>
              <w:left w:val="nil"/>
              <w:bottom w:val="single" w:sz="8" w:space="0" w:color="BFBFBF" w:themeColor="background1" w:themeShade="BF"/>
              <w:right w:val="nil"/>
            </w:tcBorders>
            <w:vAlign w:val="center"/>
          </w:tcPr>
          <w:p w14:paraId="5521D0B5" w14:textId="5B98FBE9" w:rsidR="00132004" w:rsidRPr="000B7CF7" w:rsidRDefault="000B7CF7" w:rsidP="000B7CF7">
            <w:pPr>
              <w:autoSpaceDE w:val="0"/>
              <w:autoSpaceDN w:val="0"/>
              <w:adjustRightInd w:val="0"/>
              <w:spacing w:after="0" w:line="240" w:lineRule="auto"/>
              <w:rPr>
                <w:rFonts w:cstheme="minorHAnsi"/>
                <w:sz w:val="20"/>
                <w:szCs w:val="20"/>
              </w:rPr>
            </w:pPr>
            <w:r w:rsidRPr="000B7CF7">
              <w:rPr>
                <w:rFonts w:cstheme="minorHAnsi"/>
                <w:sz w:val="20"/>
                <w:szCs w:val="20"/>
              </w:rPr>
              <w:t>NCEH Organic Analytical Toxicology Branch, Division of Laboratory Sciences (OATB/DLS)</w:t>
            </w:r>
          </w:p>
        </w:tc>
        <w:tc>
          <w:tcPr>
            <w:tcW w:w="1620" w:type="dxa"/>
            <w:tcBorders>
              <w:top w:val="single" w:sz="8" w:space="0" w:color="auto"/>
              <w:left w:val="nil"/>
              <w:bottom w:val="single" w:sz="8" w:space="0" w:color="BFBFBF" w:themeColor="background1" w:themeShade="BF"/>
              <w:right w:val="nil"/>
            </w:tcBorders>
            <w:vAlign w:val="center"/>
          </w:tcPr>
          <w:p w14:paraId="0D5099EE" w14:textId="1040C62D" w:rsidR="00132004" w:rsidRPr="002F70BC" w:rsidRDefault="000B7CF7" w:rsidP="000B7CF7">
            <w:pPr>
              <w:autoSpaceDE w:val="0"/>
              <w:autoSpaceDN w:val="0"/>
              <w:adjustRightInd w:val="0"/>
              <w:spacing w:after="0" w:line="240" w:lineRule="auto"/>
              <w:jc w:val="both"/>
              <w:rPr>
                <w:rStyle w:val="Emphasis"/>
                <w:rFonts w:cstheme="minorHAnsi"/>
                <w:sz w:val="20"/>
                <w:szCs w:val="20"/>
              </w:rPr>
            </w:pPr>
            <w:r w:rsidRPr="002F70BC">
              <w:rPr>
                <w:rFonts w:cstheme="minorHAnsi"/>
                <w:sz w:val="20"/>
                <w:szCs w:val="20"/>
              </w:rPr>
              <w:t>(770) 488-7891</w:t>
            </w:r>
          </w:p>
        </w:tc>
        <w:tc>
          <w:tcPr>
            <w:tcW w:w="1800" w:type="dxa"/>
            <w:tcBorders>
              <w:top w:val="single" w:sz="8" w:space="0" w:color="auto"/>
              <w:left w:val="nil"/>
              <w:bottom w:val="single" w:sz="8" w:space="0" w:color="BFBFBF" w:themeColor="background1" w:themeShade="BF"/>
              <w:right w:val="nil"/>
            </w:tcBorders>
            <w:vAlign w:val="center"/>
          </w:tcPr>
          <w:p w14:paraId="682E01B2" w14:textId="65A3D28E" w:rsidR="00132004" w:rsidRPr="000B7CF7" w:rsidRDefault="0030044A" w:rsidP="000B7CF7">
            <w:pPr>
              <w:autoSpaceDE w:val="0"/>
              <w:autoSpaceDN w:val="0"/>
              <w:adjustRightInd w:val="0"/>
              <w:spacing w:after="0" w:line="240" w:lineRule="auto"/>
              <w:jc w:val="both"/>
              <w:rPr>
                <w:rStyle w:val="Emphasis"/>
                <w:rFonts w:cstheme="minorHAnsi"/>
                <w:sz w:val="20"/>
                <w:szCs w:val="20"/>
              </w:rPr>
            </w:pPr>
            <w:hyperlink r:id="rId20" w:history="1">
              <w:r w:rsidR="000B7CF7" w:rsidRPr="000B7CF7">
                <w:rPr>
                  <w:rStyle w:val="Hyperlink"/>
                  <w:rFonts w:cstheme="minorHAnsi"/>
                  <w:sz w:val="20"/>
                  <w:szCs w:val="20"/>
                  <w:bdr w:val="none" w:sz="0" w:space="0" w:color="auto" w:frame="1"/>
                </w:rPr>
                <w:t>aic7@cdc.gov</w:t>
              </w:r>
            </w:hyperlink>
          </w:p>
        </w:tc>
      </w:tr>
      <w:tr w:rsidR="00137450" w:rsidRPr="00D20211" w14:paraId="3E4288C6" w14:textId="77777777" w:rsidTr="00137450">
        <w:tc>
          <w:tcPr>
            <w:tcW w:w="2070" w:type="dxa"/>
            <w:tcBorders>
              <w:top w:val="single" w:sz="8" w:space="0" w:color="BFBFBF" w:themeColor="background1" w:themeShade="BF"/>
              <w:left w:val="nil"/>
              <w:bottom w:val="single" w:sz="8" w:space="0" w:color="auto"/>
              <w:right w:val="nil"/>
            </w:tcBorders>
            <w:vAlign w:val="center"/>
          </w:tcPr>
          <w:p w14:paraId="06742625" w14:textId="5F3E1EC6" w:rsidR="00B6775A" w:rsidRPr="000B7CF7" w:rsidRDefault="008748B4" w:rsidP="000B7CF7">
            <w:pPr>
              <w:autoSpaceDE w:val="0"/>
              <w:autoSpaceDN w:val="0"/>
              <w:adjustRightInd w:val="0"/>
              <w:spacing w:after="0" w:line="240" w:lineRule="auto"/>
              <w:rPr>
                <w:rFonts w:cstheme="minorHAnsi"/>
                <w:sz w:val="20"/>
                <w:szCs w:val="20"/>
              </w:rPr>
            </w:pPr>
            <w:r>
              <w:rPr>
                <w:rFonts w:cstheme="minorHAnsi"/>
                <w:sz w:val="20"/>
                <w:szCs w:val="20"/>
              </w:rPr>
              <w:t>Matthew Maenner</w:t>
            </w:r>
          </w:p>
        </w:tc>
        <w:tc>
          <w:tcPr>
            <w:tcW w:w="900" w:type="dxa"/>
            <w:tcBorders>
              <w:top w:val="single" w:sz="8" w:space="0" w:color="BFBFBF" w:themeColor="background1" w:themeShade="BF"/>
              <w:left w:val="nil"/>
              <w:bottom w:val="single" w:sz="8" w:space="0" w:color="auto"/>
              <w:right w:val="nil"/>
            </w:tcBorders>
            <w:vAlign w:val="center"/>
          </w:tcPr>
          <w:p w14:paraId="30E81922" w14:textId="718927B9" w:rsidR="00B6775A" w:rsidRPr="000B7CF7" w:rsidRDefault="00137450" w:rsidP="000B7CF7">
            <w:pPr>
              <w:autoSpaceDE w:val="0"/>
              <w:autoSpaceDN w:val="0"/>
              <w:adjustRightInd w:val="0"/>
              <w:spacing w:after="0" w:line="240" w:lineRule="auto"/>
              <w:rPr>
                <w:rFonts w:cstheme="minorHAnsi"/>
                <w:sz w:val="20"/>
                <w:szCs w:val="20"/>
              </w:rPr>
            </w:pPr>
            <w:r>
              <w:rPr>
                <w:rFonts w:cstheme="minorHAnsi"/>
                <w:sz w:val="20"/>
                <w:szCs w:val="20"/>
              </w:rPr>
              <w:t>Epidemiologist</w:t>
            </w:r>
          </w:p>
        </w:tc>
        <w:tc>
          <w:tcPr>
            <w:tcW w:w="3060" w:type="dxa"/>
            <w:tcBorders>
              <w:top w:val="single" w:sz="8" w:space="0" w:color="BFBFBF" w:themeColor="background1" w:themeShade="BF"/>
              <w:left w:val="nil"/>
              <w:bottom w:val="single" w:sz="8" w:space="0" w:color="auto"/>
              <w:right w:val="nil"/>
            </w:tcBorders>
            <w:vAlign w:val="center"/>
          </w:tcPr>
          <w:p w14:paraId="5318EFF6" w14:textId="36044878" w:rsidR="00B6775A" w:rsidRPr="000B7CF7" w:rsidRDefault="00137450" w:rsidP="000B7CF7">
            <w:pPr>
              <w:autoSpaceDE w:val="0"/>
              <w:autoSpaceDN w:val="0"/>
              <w:adjustRightInd w:val="0"/>
              <w:spacing w:after="0" w:line="240" w:lineRule="auto"/>
              <w:rPr>
                <w:rFonts w:cstheme="minorHAnsi"/>
                <w:sz w:val="20"/>
                <w:szCs w:val="20"/>
              </w:rPr>
            </w:pPr>
            <w:r>
              <w:rPr>
                <w:rFonts w:cstheme="minorHAnsi"/>
                <w:sz w:val="20"/>
                <w:szCs w:val="20"/>
              </w:rPr>
              <w:t xml:space="preserve">NCBDDD </w:t>
            </w:r>
            <w:r>
              <w:rPr>
                <w:rFonts w:ascii="Tahoma" w:hAnsi="Tahoma" w:cs="Tahoma"/>
                <w:sz w:val="17"/>
                <w:szCs w:val="17"/>
              </w:rPr>
              <w:t xml:space="preserve">Division Of Congenital And Developmental Disorders (DCDD) </w:t>
            </w:r>
            <w:r>
              <w:rPr>
                <w:rFonts w:cstheme="minorHAnsi"/>
                <w:sz w:val="20"/>
                <w:szCs w:val="20"/>
              </w:rPr>
              <w:t>Developmental Disabilities Branch (DDB)</w:t>
            </w:r>
          </w:p>
        </w:tc>
        <w:tc>
          <w:tcPr>
            <w:tcW w:w="1620" w:type="dxa"/>
            <w:tcBorders>
              <w:top w:val="single" w:sz="8" w:space="0" w:color="BFBFBF" w:themeColor="background1" w:themeShade="BF"/>
              <w:left w:val="nil"/>
              <w:bottom w:val="single" w:sz="8" w:space="0" w:color="auto"/>
              <w:right w:val="nil"/>
            </w:tcBorders>
            <w:vAlign w:val="center"/>
          </w:tcPr>
          <w:p w14:paraId="7EBA9C8F" w14:textId="744FAD56" w:rsidR="00B6775A" w:rsidRPr="002F70BC" w:rsidRDefault="00B6775A" w:rsidP="000B7CF7">
            <w:pPr>
              <w:autoSpaceDE w:val="0"/>
              <w:autoSpaceDN w:val="0"/>
              <w:adjustRightInd w:val="0"/>
              <w:spacing w:after="0" w:line="240" w:lineRule="auto"/>
              <w:jc w:val="both"/>
              <w:rPr>
                <w:rFonts w:cstheme="minorHAnsi"/>
                <w:sz w:val="20"/>
                <w:szCs w:val="20"/>
              </w:rPr>
            </w:pPr>
            <w:r>
              <w:rPr>
                <w:rFonts w:cstheme="minorHAnsi"/>
                <w:sz w:val="20"/>
                <w:szCs w:val="20"/>
              </w:rPr>
              <w:t>(404) 498-</w:t>
            </w:r>
            <w:r w:rsidR="008748B4">
              <w:rPr>
                <w:rFonts w:cstheme="minorHAnsi"/>
                <w:sz w:val="20"/>
                <w:szCs w:val="20"/>
              </w:rPr>
              <w:t>3072</w:t>
            </w:r>
          </w:p>
        </w:tc>
        <w:tc>
          <w:tcPr>
            <w:tcW w:w="1800" w:type="dxa"/>
            <w:tcBorders>
              <w:top w:val="single" w:sz="8" w:space="0" w:color="BFBFBF" w:themeColor="background1" w:themeShade="BF"/>
              <w:left w:val="nil"/>
              <w:bottom w:val="single" w:sz="8" w:space="0" w:color="auto"/>
              <w:right w:val="nil"/>
            </w:tcBorders>
            <w:vAlign w:val="center"/>
          </w:tcPr>
          <w:p w14:paraId="5815253D" w14:textId="602C2E0F" w:rsidR="00B6775A" w:rsidRPr="000B7CF7" w:rsidRDefault="0030044A" w:rsidP="000B7CF7">
            <w:pPr>
              <w:autoSpaceDE w:val="0"/>
              <w:autoSpaceDN w:val="0"/>
              <w:adjustRightInd w:val="0"/>
              <w:spacing w:after="0" w:line="240" w:lineRule="auto"/>
              <w:jc w:val="both"/>
              <w:rPr>
                <w:rFonts w:cstheme="minorHAnsi"/>
                <w:sz w:val="20"/>
                <w:szCs w:val="20"/>
              </w:rPr>
            </w:pPr>
            <w:hyperlink r:id="rId21" w:history="1">
              <w:r w:rsidR="00B6775A" w:rsidRPr="00E61431">
                <w:rPr>
                  <w:rStyle w:val="Hyperlink"/>
                  <w:rFonts w:cstheme="minorHAnsi"/>
                  <w:sz w:val="20"/>
                  <w:szCs w:val="20"/>
                </w:rPr>
                <w:t>xde8@cdc.gov</w:t>
              </w:r>
            </w:hyperlink>
            <w:r w:rsidR="00B6775A">
              <w:rPr>
                <w:rFonts w:cstheme="minorHAnsi"/>
                <w:sz w:val="20"/>
                <w:szCs w:val="20"/>
              </w:rPr>
              <w:t xml:space="preserve"> </w:t>
            </w:r>
          </w:p>
        </w:tc>
      </w:tr>
      <w:tr w:rsidR="0004284D" w:rsidRPr="00D20211" w14:paraId="5B5AA01C" w14:textId="77777777" w:rsidTr="0004284D">
        <w:tc>
          <w:tcPr>
            <w:tcW w:w="9450" w:type="dxa"/>
            <w:gridSpan w:val="5"/>
            <w:tcBorders>
              <w:top w:val="single" w:sz="8" w:space="0" w:color="auto"/>
              <w:left w:val="nil"/>
              <w:bottom w:val="single" w:sz="8" w:space="0" w:color="auto"/>
              <w:right w:val="nil"/>
            </w:tcBorders>
            <w:vAlign w:val="center"/>
          </w:tcPr>
          <w:p w14:paraId="541F99C3" w14:textId="5D21051D" w:rsidR="0004284D" w:rsidRPr="00137450" w:rsidRDefault="0004284D" w:rsidP="00132004">
            <w:pPr>
              <w:autoSpaceDE w:val="0"/>
              <w:autoSpaceDN w:val="0"/>
              <w:adjustRightInd w:val="0"/>
              <w:spacing w:after="0" w:line="240" w:lineRule="auto"/>
              <w:jc w:val="both"/>
              <w:rPr>
                <w:rStyle w:val="Emphasis"/>
                <w:rFonts w:cstheme="minorHAnsi"/>
                <w:b/>
                <w:i w:val="0"/>
                <w:sz w:val="20"/>
                <w:szCs w:val="20"/>
              </w:rPr>
            </w:pPr>
            <w:r w:rsidRPr="00137450">
              <w:rPr>
                <w:rStyle w:val="Emphasis"/>
                <w:rFonts w:cstheme="minorHAnsi"/>
                <w:b/>
                <w:i w:val="0"/>
                <w:sz w:val="20"/>
                <w:szCs w:val="20"/>
              </w:rPr>
              <w:t>NCEH/ATSDR PFAS Steering Committee</w:t>
            </w:r>
          </w:p>
        </w:tc>
      </w:tr>
      <w:tr w:rsidR="00137450" w:rsidRPr="00D20211" w14:paraId="195B736A" w14:textId="77777777" w:rsidTr="00B6775A">
        <w:tc>
          <w:tcPr>
            <w:tcW w:w="2970" w:type="dxa"/>
            <w:gridSpan w:val="2"/>
            <w:tcBorders>
              <w:top w:val="single" w:sz="8" w:space="0" w:color="auto"/>
              <w:left w:val="nil"/>
              <w:bottom w:val="single" w:sz="8" w:space="0" w:color="A6A6A6" w:themeColor="background1" w:themeShade="A6"/>
              <w:right w:val="nil"/>
            </w:tcBorders>
            <w:vAlign w:val="center"/>
          </w:tcPr>
          <w:p w14:paraId="2D7441A6" w14:textId="769A5E67"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Patrick Breysse, PhD, Chair</w:t>
            </w:r>
          </w:p>
        </w:tc>
        <w:tc>
          <w:tcPr>
            <w:tcW w:w="3060" w:type="dxa"/>
            <w:tcBorders>
              <w:top w:val="single" w:sz="8" w:space="0" w:color="auto"/>
              <w:left w:val="nil"/>
              <w:bottom w:val="single" w:sz="8" w:space="0" w:color="A6A6A6" w:themeColor="background1" w:themeShade="A6"/>
              <w:right w:val="nil"/>
            </w:tcBorders>
            <w:vAlign w:val="center"/>
          </w:tcPr>
          <w:p w14:paraId="7CD7E388" w14:textId="07DB1EB8"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Director</w:t>
            </w:r>
          </w:p>
        </w:tc>
        <w:tc>
          <w:tcPr>
            <w:tcW w:w="1620" w:type="dxa"/>
            <w:tcBorders>
              <w:top w:val="single" w:sz="8" w:space="0" w:color="auto"/>
              <w:left w:val="nil"/>
              <w:bottom w:val="single" w:sz="8" w:space="0" w:color="A6A6A6" w:themeColor="background1" w:themeShade="A6"/>
              <w:right w:val="nil"/>
            </w:tcBorders>
            <w:vAlign w:val="center"/>
          </w:tcPr>
          <w:p w14:paraId="0140CD86" w14:textId="7275A104" w:rsidR="0004284D" w:rsidRPr="00D20211" w:rsidRDefault="002F70BC" w:rsidP="0004284D">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(770) 488-0604</w:t>
            </w:r>
          </w:p>
        </w:tc>
        <w:tc>
          <w:tcPr>
            <w:tcW w:w="1800" w:type="dxa"/>
            <w:tcBorders>
              <w:top w:val="single" w:sz="8" w:space="0" w:color="auto"/>
              <w:left w:val="nil"/>
              <w:bottom w:val="single" w:sz="8" w:space="0" w:color="A6A6A6" w:themeColor="background1" w:themeShade="A6"/>
              <w:right w:val="nil"/>
            </w:tcBorders>
            <w:vAlign w:val="center"/>
          </w:tcPr>
          <w:p w14:paraId="2E193D8F" w14:textId="2433B0A6" w:rsidR="0004284D" w:rsidRPr="00D20211" w:rsidRDefault="0030044A" w:rsidP="0004284D">
            <w:pPr>
              <w:autoSpaceDE w:val="0"/>
              <w:autoSpaceDN w:val="0"/>
              <w:adjustRightInd w:val="0"/>
              <w:spacing w:after="0" w:line="240" w:lineRule="auto"/>
              <w:rPr>
                <w:rStyle w:val="Emphasis"/>
                <w:rFonts w:cstheme="minorHAnsi"/>
                <w:sz w:val="20"/>
                <w:szCs w:val="20"/>
              </w:rPr>
            </w:pPr>
            <w:hyperlink r:id="rId22" w:history="1">
              <w:r w:rsidR="002F70BC" w:rsidRPr="00E61431">
                <w:rPr>
                  <w:rStyle w:val="Hyperlink"/>
                  <w:rFonts w:cstheme="minorHAnsi"/>
                  <w:sz w:val="20"/>
                  <w:szCs w:val="20"/>
                </w:rPr>
                <w:t>pjb7@cdc.gov</w:t>
              </w:r>
            </w:hyperlink>
            <w:r w:rsidR="002F70BC">
              <w:rPr>
                <w:rStyle w:val="Emphasis"/>
                <w:rFonts w:cstheme="minorHAnsi"/>
                <w:sz w:val="20"/>
                <w:szCs w:val="20"/>
              </w:rPr>
              <w:t xml:space="preserve"> </w:t>
            </w:r>
          </w:p>
        </w:tc>
      </w:tr>
      <w:tr w:rsidR="00137450" w:rsidRPr="002F70BC" w14:paraId="196CCBF0"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7D126564" w14:textId="12BC6FD8"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Donna Knutson</w:t>
            </w:r>
            <w:r w:rsidR="00464B09">
              <w:rPr>
                <w:rFonts w:cstheme="minorHAnsi"/>
                <w:sz w:val="20"/>
                <w:szCs w:val="20"/>
              </w:rPr>
              <w:t>, PhD</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6EF4F3CB" w14:textId="7C362905"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Deputy Director</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4639B4D2" w14:textId="559A3DBA" w:rsidR="0004284D" w:rsidRPr="002F70BC" w:rsidRDefault="002F70BC" w:rsidP="0004284D">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488-0673</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2EDAC2B8" w14:textId="011314A2" w:rsidR="0004284D" w:rsidRPr="002F70BC" w:rsidRDefault="0030044A" w:rsidP="0004284D">
            <w:pPr>
              <w:autoSpaceDE w:val="0"/>
              <w:autoSpaceDN w:val="0"/>
              <w:adjustRightInd w:val="0"/>
              <w:spacing w:after="0" w:line="240" w:lineRule="auto"/>
              <w:rPr>
                <w:rStyle w:val="Emphasis"/>
                <w:rFonts w:cstheme="minorHAnsi"/>
                <w:i w:val="0"/>
                <w:sz w:val="20"/>
                <w:szCs w:val="20"/>
              </w:rPr>
            </w:pPr>
            <w:hyperlink r:id="rId23" w:history="1">
              <w:r w:rsidR="002F70BC" w:rsidRPr="00E61431">
                <w:rPr>
                  <w:rStyle w:val="Hyperlink"/>
                  <w:rFonts w:cstheme="minorHAnsi"/>
                  <w:sz w:val="20"/>
                  <w:szCs w:val="20"/>
                </w:rPr>
                <w:t>dbk2@cdc.gov</w:t>
              </w:r>
            </w:hyperlink>
            <w:r w:rsidR="002F70BC">
              <w:rPr>
                <w:rStyle w:val="Emphasis"/>
                <w:rFonts w:cstheme="minorHAnsi"/>
                <w:i w:val="0"/>
                <w:sz w:val="20"/>
                <w:szCs w:val="20"/>
              </w:rPr>
              <w:t xml:space="preserve"> </w:t>
            </w:r>
          </w:p>
        </w:tc>
      </w:tr>
      <w:tr w:rsidR="00137450" w:rsidRPr="00D20211" w14:paraId="647AD031"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3729EB54" w14:textId="1F17837A" w:rsidR="0004284D" w:rsidRPr="00D20211" w:rsidRDefault="0004284D" w:rsidP="0004284D">
            <w:pPr>
              <w:autoSpaceDE w:val="0"/>
              <w:autoSpaceDN w:val="0"/>
              <w:adjustRightInd w:val="0"/>
              <w:spacing w:after="0" w:line="240" w:lineRule="auto"/>
              <w:rPr>
                <w:rFonts w:cstheme="minorHAnsi"/>
                <w:sz w:val="20"/>
                <w:szCs w:val="20"/>
              </w:rPr>
            </w:pPr>
            <w:r>
              <w:rPr>
                <w:rFonts w:cstheme="minorHAnsi"/>
                <w:sz w:val="20"/>
                <w:szCs w:val="20"/>
              </w:rPr>
              <w:t>Yulia Carroll</w:t>
            </w:r>
            <w:r w:rsidR="00A21F47">
              <w:rPr>
                <w:rFonts w:cstheme="minorHAnsi"/>
                <w:sz w:val="20"/>
                <w:szCs w:val="20"/>
              </w:rPr>
              <w:t>, MD</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5E35D533" w14:textId="6A9BD5ED" w:rsidR="0004284D" w:rsidRDefault="0004284D" w:rsidP="0004284D">
            <w:pPr>
              <w:autoSpaceDE w:val="0"/>
              <w:autoSpaceDN w:val="0"/>
              <w:adjustRightInd w:val="0"/>
              <w:spacing w:after="0" w:line="240" w:lineRule="auto"/>
              <w:rPr>
                <w:rFonts w:cstheme="minorHAnsi"/>
                <w:sz w:val="20"/>
                <w:szCs w:val="20"/>
              </w:rPr>
            </w:pPr>
            <w:r>
              <w:rPr>
                <w:rFonts w:cstheme="minorHAnsi"/>
                <w:sz w:val="20"/>
                <w:szCs w:val="20"/>
              </w:rPr>
              <w:t>NCEH/ATSDR Associate Director for Science, Acting</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5240DDA4" w14:textId="0387A4B9" w:rsidR="0004284D" w:rsidRPr="00D20211" w:rsidRDefault="00225587" w:rsidP="0004284D">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Pr>
                <w:rStyle w:val="Emphasis"/>
                <w:rFonts w:cstheme="minorHAnsi"/>
                <w:i w:val="0"/>
                <w:sz w:val="20"/>
                <w:szCs w:val="20"/>
              </w:rPr>
              <w:t>3912</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1D83CDCC" w14:textId="2F374A20" w:rsidR="0004284D" w:rsidRPr="00225587" w:rsidRDefault="0030044A" w:rsidP="0004284D">
            <w:pPr>
              <w:autoSpaceDE w:val="0"/>
              <w:autoSpaceDN w:val="0"/>
              <w:adjustRightInd w:val="0"/>
              <w:spacing w:after="0" w:line="240" w:lineRule="auto"/>
              <w:rPr>
                <w:rStyle w:val="Emphasis"/>
                <w:rFonts w:cstheme="minorHAnsi"/>
                <w:i w:val="0"/>
                <w:sz w:val="20"/>
                <w:szCs w:val="20"/>
              </w:rPr>
            </w:pPr>
            <w:hyperlink r:id="rId24" w:history="1">
              <w:r w:rsidR="00225587" w:rsidRPr="00E61431">
                <w:rPr>
                  <w:rStyle w:val="Hyperlink"/>
                  <w:rFonts w:cstheme="minorHAnsi"/>
                  <w:sz w:val="20"/>
                  <w:szCs w:val="20"/>
                </w:rPr>
                <w:t>eya3@cdc.gov</w:t>
              </w:r>
            </w:hyperlink>
            <w:r w:rsidR="00225587">
              <w:rPr>
                <w:rStyle w:val="Emphasis"/>
                <w:rFonts w:cstheme="minorHAnsi"/>
                <w:i w:val="0"/>
                <w:sz w:val="20"/>
                <w:szCs w:val="20"/>
              </w:rPr>
              <w:t xml:space="preserve"> </w:t>
            </w:r>
          </w:p>
        </w:tc>
      </w:tr>
      <w:tr w:rsidR="00137450" w:rsidRPr="00D20211" w14:paraId="6B9284B9" w14:textId="77777777" w:rsidTr="00B6775A">
        <w:trPr>
          <w:trHeight w:val="495"/>
        </w:trPr>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7978233F" w14:textId="0B82B124"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Pamela Protzel-Berman</w:t>
            </w:r>
            <w:r w:rsidR="00F2013F">
              <w:rPr>
                <w:rFonts w:cstheme="minorHAnsi"/>
                <w:sz w:val="20"/>
                <w:szCs w:val="20"/>
              </w:rPr>
              <w:t>, PhD, MPH</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10ED27A5" w14:textId="6EFA8E89"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NCEH/ATSDR Associate Director for Policy</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75168CE0" w14:textId="73E0741C" w:rsidR="00225587" w:rsidRPr="00D20211" w:rsidRDefault="00225587"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Pr>
                <w:rStyle w:val="Emphasis"/>
                <w:rFonts w:cstheme="minorHAnsi"/>
                <w:i w:val="0"/>
                <w:sz w:val="20"/>
                <w:szCs w:val="20"/>
              </w:rPr>
              <w:t>3016</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7D276675" w14:textId="04D349A4" w:rsidR="00225587" w:rsidRPr="00D20211" w:rsidRDefault="0030044A" w:rsidP="00225587">
            <w:pPr>
              <w:autoSpaceDE w:val="0"/>
              <w:autoSpaceDN w:val="0"/>
              <w:adjustRightInd w:val="0"/>
              <w:spacing w:after="0" w:line="240" w:lineRule="auto"/>
              <w:rPr>
                <w:rStyle w:val="Emphasis"/>
                <w:rFonts w:cstheme="minorHAnsi"/>
                <w:sz w:val="20"/>
                <w:szCs w:val="20"/>
              </w:rPr>
            </w:pPr>
            <w:hyperlink r:id="rId25" w:history="1">
              <w:r w:rsidR="00225587" w:rsidRPr="00E61431">
                <w:rPr>
                  <w:rStyle w:val="Hyperlink"/>
                  <w:rFonts w:cstheme="minorHAnsi"/>
                  <w:sz w:val="20"/>
                  <w:szCs w:val="20"/>
                </w:rPr>
                <w:t>pxp5@cdc.gov</w:t>
              </w:r>
            </w:hyperlink>
            <w:r w:rsidR="00225587">
              <w:rPr>
                <w:rStyle w:val="Emphasis"/>
                <w:rFonts w:cstheme="minorHAnsi"/>
                <w:i w:val="0"/>
                <w:sz w:val="20"/>
                <w:szCs w:val="20"/>
              </w:rPr>
              <w:t xml:space="preserve"> </w:t>
            </w:r>
          </w:p>
        </w:tc>
      </w:tr>
      <w:tr w:rsidR="00137450" w:rsidRPr="00D20211" w14:paraId="4F58BF24"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525D252B" w14:textId="3333BFA5" w:rsidR="00225587" w:rsidRPr="00D20211" w:rsidRDefault="00905227" w:rsidP="00225587">
            <w:pPr>
              <w:autoSpaceDE w:val="0"/>
              <w:autoSpaceDN w:val="0"/>
              <w:adjustRightInd w:val="0"/>
              <w:spacing w:after="0" w:line="240" w:lineRule="auto"/>
              <w:rPr>
                <w:rFonts w:cstheme="minorHAnsi"/>
                <w:sz w:val="20"/>
                <w:szCs w:val="20"/>
              </w:rPr>
            </w:pPr>
            <w:r>
              <w:rPr>
                <w:rFonts w:cstheme="minorHAnsi"/>
                <w:sz w:val="20"/>
                <w:szCs w:val="20"/>
              </w:rPr>
              <w:t>Christopher Reh, PhD, MS</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5A67B291" w14:textId="1AA99854"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ATSDR Associate Director</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573A5D9C" w14:textId="77700E2E"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xxxx</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752609F4" w14:textId="1EEE4AD0" w:rsidR="00225587" w:rsidRPr="001C0BBD" w:rsidRDefault="0030044A" w:rsidP="00225587">
            <w:pPr>
              <w:autoSpaceDE w:val="0"/>
              <w:autoSpaceDN w:val="0"/>
              <w:adjustRightInd w:val="0"/>
              <w:spacing w:after="0" w:line="240" w:lineRule="auto"/>
              <w:rPr>
                <w:rStyle w:val="Emphasis"/>
                <w:rFonts w:cstheme="minorHAnsi"/>
                <w:i w:val="0"/>
                <w:sz w:val="20"/>
                <w:szCs w:val="20"/>
              </w:rPr>
            </w:pPr>
            <w:hyperlink r:id="rId26" w:history="1">
              <w:r w:rsidR="00A21F47" w:rsidRPr="00E61431">
                <w:rPr>
                  <w:rStyle w:val="Hyperlink"/>
                  <w:rFonts w:cstheme="minorHAnsi"/>
                  <w:sz w:val="20"/>
                  <w:szCs w:val="20"/>
                </w:rPr>
                <w:t>xxxx@cdc.gov</w:t>
              </w:r>
            </w:hyperlink>
            <w:r w:rsidR="00A21F47">
              <w:rPr>
                <w:rStyle w:val="Emphasis"/>
                <w:rFonts w:cstheme="minorHAnsi"/>
                <w:i w:val="0"/>
                <w:sz w:val="20"/>
                <w:szCs w:val="20"/>
              </w:rPr>
              <w:t xml:space="preserve"> </w:t>
            </w:r>
          </w:p>
        </w:tc>
      </w:tr>
      <w:tr w:rsidR="00137450" w:rsidRPr="00D20211" w14:paraId="2971F299"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7A1C5BE4" w14:textId="6B3C20AF"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Heather Bair-Brake</w:t>
            </w:r>
            <w:r w:rsidR="007D63AB">
              <w:rPr>
                <w:rFonts w:cstheme="minorHAnsi"/>
                <w:sz w:val="20"/>
                <w:szCs w:val="20"/>
              </w:rPr>
              <w:t>, DVM, MS</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2CFE3E14" w14:textId="1374A55C"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NCEH/ATSDR Associate Director for Communications</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30A04FAC" w14:textId="7E15C0B6" w:rsidR="00225587" w:rsidRPr="00D20211" w:rsidRDefault="00A21F47" w:rsidP="00225587">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(404) 639</w:t>
            </w:r>
            <w:r w:rsidR="001C0BBD" w:rsidRPr="002F70BC">
              <w:rPr>
                <w:rStyle w:val="Emphasis"/>
                <w:rFonts w:cstheme="minorHAnsi"/>
                <w:i w:val="0"/>
                <w:sz w:val="20"/>
                <w:szCs w:val="20"/>
              </w:rPr>
              <w:t>-</w:t>
            </w:r>
            <w:r>
              <w:rPr>
                <w:rStyle w:val="Emphasis"/>
                <w:rFonts w:cstheme="minorHAnsi"/>
                <w:i w:val="0"/>
                <w:sz w:val="20"/>
                <w:szCs w:val="20"/>
              </w:rPr>
              <w:t>3323</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111D3B20" w14:textId="6233FE28" w:rsidR="00225587" w:rsidRPr="001C0BBD" w:rsidRDefault="0030044A" w:rsidP="00225587">
            <w:pPr>
              <w:autoSpaceDE w:val="0"/>
              <w:autoSpaceDN w:val="0"/>
              <w:adjustRightInd w:val="0"/>
              <w:spacing w:after="0" w:line="240" w:lineRule="auto"/>
              <w:rPr>
                <w:rStyle w:val="Emphasis"/>
                <w:rFonts w:cstheme="minorHAnsi"/>
                <w:i w:val="0"/>
                <w:sz w:val="20"/>
                <w:szCs w:val="20"/>
              </w:rPr>
            </w:pPr>
            <w:hyperlink r:id="rId27" w:history="1">
              <w:r w:rsidR="00A21F47" w:rsidRPr="00E61431">
                <w:rPr>
                  <w:rStyle w:val="Hyperlink"/>
                  <w:rFonts w:cstheme="minorHAnsi"/>
                  <w:sz w:val="20"/>
                  <w:szCs w:val="20"/>
                </w:rPr>
                <w:t>hhb9@cdc.gov</w:t>
              </w:r>
            </w:hyperlink>
            <w:r w:rsidR="00A21F47">
              <w:rPr>
                <w:rStyle w:val="Emphasis"/>
                <w:rFonts w:cstheme="minorHAnsi"/>
                <w:i w:val="0"/>
                <w:sz w:val="20"/>
                <w:szCs w:val="20"/>
              </w:rPr>
              <w:t xml:space="preserve"> </w:t>
            </w:r>
          </w:p>
        </w:tc>
      </w:tr>
      <w:tr w:rsidR="00137450" w:rsidRPr="00D20211" w14:paraId="2B2C57E2"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42674EA5" w14:textId="770A8A9A"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John Decker</w:t>
            </w:r>
            <w:r w:rsidR="00464B09">
              <w:rPr>
                <w:rFonts w:cstheme="minorHAnsi"/>
                <w:sz w:val="20"/>
                <w:szCs w:val="20"/>
              </w:rPr>
              <w:t>, MS, RPh, CIH</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1040F3E6" w14:textId="1CF97468"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Director, NCEH Division of Environmental Health Science and Practice</w:t>
            </w:r>
            <w:r w:rsidR="00137450">
              <w:rPr>
                <w:rFonts w:cstheme="minorHAnsi"/>
                <w:sz w:val="20"/>
                <w:szCs w:val="20"/>
              </w:rPr>
              <w:t xml:space="preserve"> (DEHSP)</w:t>
            </w:r>
            <w:r>
              <w:rPr>
                <w:rFonts w:cstheme="minorHAnsi"/>
                <w:sz w:val="20"/>
                <w:szCs w:val="20"/>
              </w:rPr>
              <w:t>, Acting</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26D97DDF" w14:textId="44F65CB4" w:rsidR="00225587" w:rsidRPr="00D20211" w:rsidRDefault="00A21F47" w:rsidP="00225587">
            <w:pPr>
              <w:autoSpaceDE w:val="0"/>
              <w:autoSpaceDN w:val="0"/>
              <w:adjustRightInd w:val="0"/>
              <w:spacing w:after="0" w:line="240" w:lineRule="auto"/>
              <w:rPr>
                <w:rStyle w:val="Emphasis"/>
                <w:rFonts w:cstheme="minorHAnsi"/>
                <w:i w:val="0"/>
                <w:sz w:val="20"/>
                <w:szCs w:val="20"/>
              </w:rPr>
            </w:pPr>
            <w:r>
              <w:rPr>
                <w:rStyle w:val="Emphasis"/>
                <w:rFonts w:cstheme="minorHAnsi"/>
                <w:i w:val="0"/>
                <w:sz w:val="20"/>
                <w:szCs w:val="20"/>
              </w:rPr>
              <w:t>(404) 498</w:t>
            </w:r>
            <w:r w:rsidR="001C0BBD" w:rsidRPr="002F70BC">
              <w:rPr>
                <w:rStyle w:val="Emphasis"/>
                <w:rFonts w:cstheme="minorHAnsi"/>
                <w:i w:val="0"/>
                <w:sz w:val="20"/>
                <w:szCs w:val="20"/>
              </w:rPr>
              <w:t>-</w:t>
            </w:r>
            <w:r>
              <w:rPr>
                <w:rStyle w:val="Emphasis"/>
                <w:rFonts w:cstheme="minorHAnsi"/>
                <w:i w:val="0"/>
                <w:sz w:val="20"/>
                <w:szCs w:val="20"/>
              </w:rPr>
              <w:t>2582</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00BE9A26" w14:textId="3330C90D" w:rsidR="00225587" w:rsidRPr="001C0BBD" w:rsidRDefault="0030044A" w:rsidP="00225587">
            <w:pPr>
              <w:autoSpaceDE w:val="0"/>
              <w:autoSpaceDN w:val="0"/>
              <w:adjustRightInd w:val="0"/>
              <w:spacing w:after="0" w:line="240" w:lineRule="auto"/>
              <w:rPr>
                <w:rStyle w:val="Emphasis"/>
                <w:rFonts w:cstheme="minorHAnsi"/>
                <w:i w:val="0"/>
                <w:sz w:val="20"/>
                <w:szCs w:val="20"/>
              </w:rPr>
            </w:pPr>
            <w:hyperlink r:id="rId28" w:history="1">
              <w:r w:rsidR="00A21F47" w:rsidRPr="00E61431">
                <w:rPr>
                  <w:rStyle w:val="Hyperlink"/>
                  <w:rFonts w:cstheme="minorHAnsi"/>
                  <w:sz w:val="20"/>
                  <w:szCs w:val="20"/>
                </w:rPr>
                <w:t>jad4@cdc.gov</w:t>
              </w:r>
            </w:hyperlink>
            <w:r w:rsidR="00A21F47">
              <w:rPr>
                <w:rStyle w:val="Emphasis"/>
                <w:rFonts w:cstheme="minorHAnsi"/>
                <w:i w:val="0"/>
                <w:sz w:val="20"/>
                <w:szCs w:val="20"/>
              </w:rPr>
              <w:t xml:space="preserve"> </w:t>
            </w:r>
          </w:p>
        </w:tc>
      </w:tr>
      <w:tr w:rsidR="00137450" w:rsidRPr="00D20211" w14:paraId="47227751" w14:textId="77777777" w:rsidTr="00B6775A">
        <w:tc>
          <w:tcPr>
            <w:tcW w:w="2970" w:type="dxa"/>
            <w:gridSpan w:val="2"/>
            <w:tcBorders>
              <w:top w:val="single" w:sz="8" w:space="0" w:color="A6A6A6" w:themeColor="background1" w:themeShade="A6"/>
              <w:left w:val="nil"/>
              <w:bottom w:val="single" w:sz="8" w:space="0" w:color="A6A6A6" w:themeColor="background1" w:themeShade="A6"/>
              <w:right w:val="nil"/>
            </w:tcBorders>
            <w:vAlign w:val="center"/>
          </w:tcPr>
          <w:p w14:paraId="42A5F040" w14:textId="63781E08"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James Pirkle</w:t>
            </w:r>
            <w:r w:rsidR="00A21F47">
              <w:rPr>
                <w:rFonts w:cstheme="minorHAnsi"/>
                <w:sz w:val="20"/>
                <w:szCs w:val="20"/>
              </w:rPr>
              <w:t>, MD</w:t>
            </w:r>
          </w:p>
        </w:tc>
        <w:tc>
          <w:tcPr>
            <w:tcW w:w="3060" w:type="dxa"/>
            <w:tcBorders>
              <w:top w:val="single" w:sz="8" w:space="0" w:color="A6A6A6" w:themeColor="background1" w:themeShade="A6"/>
              <w:left w:val="nil"/>
              <w:bottom w:val="single" w:sz="8" w:space="0" w:color="A6A6A6" w:themeColor="background1" w:themeShade="A6"/>
              <w:right w:val="nil"/>
            </w:tcBorders>
            <w:vAlign w:val="center"/>
          </w:tcPr>
          <w:p w14:paraId="72FEA668" w14:textId="1EC7F2ED" w:rsidR="00225587" w:rsidRDefault="00225587" w:rsidP="00225587">
            <w:pPr>
              <w:autoSpaceDE w:val="0"/>
              <w:autoSpaceDN w:val="0"/>
              <w:adjustRightInd w:val="0"/>
              <w:spacing w:after="0" w:line="240" w:lineRule="auto"/>
              <w:rPr>
                <w:rFonts w:cstheme="minorHAnsi"/>
                <w:sz w:val="20"/>
                <w:szCs w:val="20"/>
              </w:rPr>
            </w:pPr>
            <w:r>
              <w:rPr>
                <w:rFonts w:cstheme="minorHAnsi"/>
                <w:sz w:val="20"/>
                <w:szCs w:val="20"/>
              </w:rPr>
              <w:t>Director, NCEH Division of Laboratory Sciences</w:t>
            </w:r>
            <w:r w:rsidR="00137450">
              <w:rPr>
                <w:rFonts w:cstheme="minorHAnsi"/>
                <w:sz w:val="20"/>
                <w:szCs w:val="20"/>
              </w:rPr>
              <w:t xml:space="preserve"> (DLS)</w:t>
            </w:r>
          </w:p>
        </w:tc>
        <w:tc>
          <w:tcPr>
            <w:tcW w:w="1620" w:type="dxa"/>
            <w:tcBorders>
              <w:top w:val="single" w:sz="8" w:space="0" w:color="A6A6A6" w:themeColor="background1" w:themeShade="A6"/>
              <w:left w:val="nil"/>
              <w:bottom w:val="single" w:sz="8" w:space="0" w:color="A6A6A6" w:themeColor="background1" w:themeShade="A6"/>
              <w:right w:val="nil"/>
            </w:tcBorders>
            <w:vAlign w:val="center"/>
          </w:tcPr>
          <w:p w14:paraId="2E42D7D9" w14:textId="50472DB1"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7950</w:t>
            </w:r>
          </w:p>
        </w:tc>
        <w:tc>
          <w:tcPr>
            <w:tcW w:w="1800" w:type="dxa"/>
            <w:tcBorders>
              <w:top w:val="single" w:sz="8" w:space="0" w:color="A6A6A6" w:themeColor="background1" w:themeShade="A6"/>
              <w:left w:val="nil"/>
              <w:bottom w:val="single" w:sz="8" w:space="0" w:color="A6A6A6" w:themeColor="background1" w:themeShade="A6"/>
              <w:right w:val="nil"/>
            </w:tcBorders>
            <w:vAlign w:val="center"/>
          </w:tcPr>
          <w:p w14:paraId="555F613E" w14:textId="294D9C01" w:rsidR="00225587" w:rsidRPr="001C0BBD" w:rsidRDefault="0030044A" w:rsidP="00225587">
            <w:pPr>
              <w:autoSpaceDE w:val="0"/>
              <w:autoSpaceDN w:val="0"/>
              <w:adjustRightInd w:val="0"/>
              <w:spacing w:after="0" w:line="240" w:lineRule="auto"/>
              <w:rPr>
                <w:rStyle w:val="Emphasis"/>
                <w:rFonts w:cstheme="minorHAnsi"/>
                <w:i w:val="0"/>
                <w:sz w:val="20"/>
                <w:szCs w:val="20"/>
              </w:rPr>
            </w:pPr>
            <w:hyperlink r:id="rId29" w:history="1">
              <w:r w:rsidR="00A21F47" w:rsidRPr="00E61431">
                <w:rPr>
                  <w:rStyle w:val="Hyperlink"/>
                  <w:rFonts w:cstheme="minorHAnsi"/>
                  <w:sz w:val="20"/>
                  <w:szCs w:val="20"/>
                </w:rPr>
                <w:t>jlp1@cdc.gov</w:t>
              </w:r>
            </w:hyperlink>
            <w:r w:rsidR="00A21F47">
              <w:rPr>
                <w:rStyle w:val="Emphasis"/>
                <w:rFonts w:cstheme="minorHAnsi"/>
                <w:i w:val="0"/>
                <w:sz w:val="20"/>
                <w:szCs w:val="20"/>
              </w:rPr>
              <w:t xml:space="preserve"> </w:t>
            </w:r>
          </w:p>
        </w:tc>
      </w:tr>
      <w:tr w:rsidR="00137450" w:rsidRPr="00D20211" w14:paraId="5D520672" w14:textId="77777777" w:rsidTr="00B6775A">
        <w:tc>
          <w:tcPr>
            <w:tcW w:w="2970" w:type="dxa"/>
            <w:gridSpan w:val="2"/>
            <w:tcBorders>
              <w:top w:val="single" w:sz="8" w:space="0" w:color="A6A6A6" w:themeColor="background1" w:themeShade="A6"/>
              <w:left w:val="nil"/>
              <w:bottom w:val="single" w:sz="8" w:space="0" w:color="auto"/>
              <w:right w:val="nil"/>
            </w:tcBorders>
            <w:vAlign w:val="center"/>
          </w:tcPr>
          <w:p w14:paraId="2B787AAE" w14:textId="4AF83ED0" w:rsidR="00225587" w:rsidRPr="00D20211" w:rsidRDefault="00225587" w:rsidP="00225587">
            <w:pPr>
              <w:autoSpaceDE w:val="0"/>
              <w:autoSpaceDN w:val="0"/>
              <w:adjustRightInd w:val="0"/>
              <w:spacing w:after="0" w:line="240" w:lineRule="auto"/>
              <w:rPr>
                <w:rFonts w:cstheme="minorHAnsi"/>
                <w:sz w:val="20"/>
                <w:szCs w:val="20"/>
              </w:rPr>
            </w:pPr>
            <w:r>
              <w:rPr>
                <w:rFonts w:cstheme="minorHAnsi"/>
                <w:sz w:val="20"/>
                <w:szCs w:val="20"/>
              </w:rPr>
              <w:t>Angela Ragin</w:t>
            </w:r>
            <w:r w:rsidR="00A21F47">
              <w:rPr>
                <w:rFonts w:cstheme="minorHAnsi"/>
                <w:sz w:val="20"/>
                <w:szCs w:val="20"/>
              </w:rPr>
              <w:t>, PhD</w:t>
            </w:r>
          </w:p>
        </w:tc>
        <w:tc>
          <w:tcPr>
            <w:tcW w:w="3060" w:type="dxa"/>
            <w:tcBorders>
              <w:top w:val="single" w:sz="8" w:space="0" w:color="A6A6A6" w:themeColor="background1" w:themeShade="A6"/>
              <w:left w:val="nil"/>
              <w:bottom w:val="single" w:sz="8" w:space="0" w:color="auto"/>
              <w:right w:val="nil"/>
            </w:tcBorders>
            <w:vAlign w:val="center"/>
          </w:tcPr>
          <w:p w14:paraId="48071E62" w14:textId="4813BA9B" w:rsidR="00225587" w:rsidRDefault="00922D09" w:rsidP="00225587">
            <w:pPr>
              <w:autoSpaceDE w:val="0"/>
              <w:autoSpaceDN w:val="0"/>
              <w:adjustRightInd w:val="0"/>
              <w:spacing w:after="0" w:line="240" w:lineRule="auto"/>
              <w:rPr>
                <w:rFonts w:cstheme="minorHAnsi"/>
                <w:sz w:val="20"/>
                <w:szCs w:val="20"/>
              </w:rPr>
            </w:pPr>
            <w:r>
              <w:rPr>
                <w:rFonts w:cstheme="minorHAnsi"/>
                <w:sz w:val="20"/>
                <w:szCs w:val="20"/>
              </w:rPr>
              <w:t>Deputy Director</w:t>
            </w:r>
            <w:r w:rsidR="00225587">
              <w:rPr>
                <w:rFonts w:cstheme="minorHAnsi"/>
                <w:sz w:val="20"/>
                <w:szCs w:val="20"/>
              </w:rPr>
              <w:t>, ATSDR Division of Toxicology and Human Health Sciences</w:t>
            </w:r>
            <w:r w:rsidR="00137450">
              <w:rPr>
                <w:rFonts w:cstheme="minorHAnsi"/>
                <w:sz w:val="20"/>
                <w:szCs w:val="20"/>
              </w:rPr>
              <w:t xml:space="preserve"> (DTHHS)</w:t>
            </w:r>
            <w:r>
              <w:rPr>
                <w:rFonts w:cstheme="minorHAnsi"/>
                <w:sz w:val="20"/>
                <w:szCs w:val="20"/>
              </w:rPr>
              <w:t>, Acting</w:t>
            </w:r>
          </w:p>
        </w:tc>
        <w:tc>
          <w:tcPr>
            <w:tcW w:w="1620" w:type="dxa"/>
            <w:tcBorders>
              <w:top w:val="single" w:sz="8" w:space="0" w:color="A6A6A6" w:themeColor="background1" w:themeShade="A6"/>
              <w:left w:val="nil"/>
              <w:bottom w:val="single" w:sz="8" w:space="0" w:color="auto"/>
              <w:right w:val="nil"/>
            </w:tcBorders>
            <w:vAlign w:val="center"/>
          </w:tcPr>
          <w:p w14:paraId="54255FC8" w14:textId="4B22176B" w:rsidR="00225587" w:rsidRPr="00D20211" w:rsidRDefault="001C0BBD" w:rsidP="00225587">
            <w:pPr>
              <w:autoSpaceDE w:val="0"/>
              <w:autoSpaceDN w:val="0"/>
              <w:adjustRightInd w:val="0"/>
              <w:spacing w:after="0" w:line="240" w:lineRule="auto"/>
              <w:rPr>
                <w:rStyle w:val="Emphasis"/>
                <w:rFonts w:cstheme="minorHAnsi"/>
                <w:i w:val="0"/>
                <w:sz w:val="20"/>
                <w:szCs w:val="20"/>
              </w:rPr>
            </w:pPr>
            <w:r w:rsidRPr="002F70BC">
              <w:rPr>
                <w:rStyle w:val="Emphasis"/>
                <w:rFonts w:cstheme="minorHAnsi"/>
                <w:i w:val="0"/>
                <w:sz w:val="20"/>
                <w:szCs w:val="20"/>
              </w:rPr>
              <w:t>(770) 488-</w:t>
            </w:r>
            <w:r w:rsidR="00A21F47">
              <w:rPr>
                <w:rStyle w:val="Emphasis"/>
                <w:rFonts w:cstheme="minorHAnsi"/>
                <w:i w:val="0"/>
                <w:sz w:val="20"/>
                <w:szCs w:val="20"/>
              </w:rPr>
              <w:t>3807</w:t>
            </w:r>
          </w:p>
        </w:tc>
        <w:tc>
          <w:tcPr>
            <w:tcW w:w="1800" w:type="dxa"/>
            <w:tcBorders>
              <w:top w:val="single" w:sz="8" w:space="0" w:color="A6A6A6" w:themeColor="background1" w:themeShade="A6"/>
              <w:left w:val="nil"/>
              <w:bottom w:val="single" w:sz="8" w:space="0" w:color="auto"/>
              <w:right w:val="nil"/>
            </w:tcBorders>
            <w:vAlign w:val="center"/>
          </w:tcPr>
          <w:p w14:paraId="38D84EC1" w14:textId="04EFD78D" w:rsidR="00225587" w:rsidRPr="001C0BBD" w:rsidRDefault="0030044A" w:rsidP="00225587">
            <w:pPr>
              <w:autoSpaceDE w:val="0"/>
              <w:autoSpaceDN w:val="0"/>
              <w:adjustRightInd w:val="0"/>
              <w:spacing w:after="0" w:line="240" w:lineRule="auto"/>
              <w:rPr>
                <w:rStyle w:val="Emphasis"/>
                <w:rFonts w:cstheme="minorHAnsi"/>
                <w:i w:val="0"/>
                <w:sz w:val="20"/>
                <w:szCs w:val="20"/>
              </w:rPr>
            </w:pPr>
            <w:hyperlink r:id="rId30" w:history="1">
              <w:r w:rsidR="00A21F47" w:rsidRPr="00E61431">
                <w:rPr>
                  <w:rStyle w:val="Hyperlink"/>
                  <w:rFonts w:cstheme="minorHAnsi"/>
                  <w:sz w:val="20"/>
                  <w:szCs w:val="20"/>
                </w:rPr>
                <w:t>atr0@cdc.gov</w:t>
              </w:r>
            </w:hyperlink>
            <w:r w:rsidR="00A21F47">
              <w:rPr>
                <w:rStyle w:val="Emphasis"/>
                <w:rFonts w:cstheme="minorHAnsi"/>
                <w:i w:val="0"/>
                <w:sz w:val="20"/>
                <w:szCs w:val="20"/>
              </w:rPr>
              <w:t xml:space="preserve"> </w:t>
            </w:r>
          </w:p>
        </w:tc>
      </w:tr>
    </w:tbl>
    <w:p w14:paraId="7DD86769" w14:textId="77777777" w:rsidR="003B2A57" w:rsidRPr="001C0BBD" w:rsidRDefault="003B2A57" w:rsidP="003B2A57">
      <w:pPr>
        <w:autoSpaceDE w:val="0"/>
        <w:autoSpaceDN w:val="0"/>
        <w:adjustRightInd w:val="0"/>
        <w:spacing w:line="240" w:lineRule="auto"/>
        <w:rPr>
          <w:rFonts w:cs="ITCFranklinGothicStd-Book"/>
          <w:sz w:val="24"/>
          <w:szCs w:val="24"/>
        </w:rPr>
      </w:pPr>
    </w:p>
    <w:p w14:paraId="0A014A5E" w14:textId="3CAB1E16" w:rsidR="00B45002" w:rsidRDefault="00601F1A" w:rsidP="00601F1A">
      <w:pPr>
        <w:pStyle w:val="Heading1"/>
        <w:pBdr>
          <w:bottom w:val="none" w:sz="0" w:space="0" w:color="auto"/>
        </w:pBdr>
        <w:rPr>
          <w:color w:val="auto"/>
        </w:rPr>
      </w:pPr>
      <w:bookmarkStart w:id="11" w:name="_Toc532912781"/>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496CE68B" w14:textId="77777777" w:rsidR="005A627E" w:rsidRDefault="005A627E" w:rsidP="005A627E">
      <w:pPr>
        <w:autoSpaceDE w:val="0"/>
        <w:autoSpaceDN w:val="0"/>
        <w:adjustRightInd w:val="0"/>
        <w:spacing w:line="240" w:lineRule="auto"/>
        <w:rPr>
          <w:rFonts w:cs="ITCFranklinGothicStd-Book"/>
          <w:sz w:val="24"/>
          <w:szCs w:val="24"/>
        </w:rPr>
      </w:pPr>
    </w:p>
    <w:p w14:paraId="42C4F7C9" w14:textId="77777777" w:rsidR="005A627E" w:rsidRPr="005A627E" w:rsidRDefault="005A627E" w:rsidP="005A627E">
      <w:pPr>
        <w:spacing w:line="240" w:lineRule="auto"/>
        <w:jc w:val="both"/>
        <w:rPr>
          <w:rFonts w:cstheme="minorHAnsi"/>
          <w:sz w:val="24"/>
          <w:szCs w:val="24"/>
        </w:rPr>
      </w:pPr>
      <w:r w:rsidRPr="005A627E">
        <w:rPr>
          <w:rFonts w:cstheme="minorHAnsi"/>
          <w:sz w:val="24"/>
          <w:szCs w:val="24"/>
        </w:rPr>
        <w:t>As a token of thanks for participation, ATSDR will offer gift cards according to the following schedule:</w:t>
      </w:r>
    </w:p>
    <w:p w14:paraId="1962A3FA" w14:textId="77777777" w:rsidR="005A627E" w:rsidRP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$25 for body and blood pressure measures, and for blood and urine collection;</w:t>
      </w:r>
    </w:p>
    <w:p w14:paraId="78396C02" w14:textId="77777777" w:rsidR="005A627E" w:rsidRP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$25 for completed questionnaire; and</w:t>
      </w:r>
    </w:p>
    <w:p w14:paraId="4DF17FC9" w14:textId="1D54CE85" w:rsidR="005A627E" w:rsidRDefault="005A627E" w:rsidP="0019133A">
      <w:pPr>
        <w:pStyle w:val="ListParagraph"/>
        <w:numPr>
          <w:ilvl w:val="0"/>
          <w:numId w:val="12"/>
        </w:numPr>
        <w:spacing w:line="240" w:lineRule="auto"/>
        <w:contextualSpacing w:val="0"/>
        <w:jc w:val="both"/>
        <w:rPr>
          <w:rFonts w:cstheme="minorHAnsi"/>
          <w:sz w:val="24"/>
          <w:szCs w:val="24"/>
        </w:rPr>
      </w:pPr>
      <w:r w:rsidRPr="005A627E">
        <w:rPr>
          <w:rFonts w:cstheme="minorHAnsi"/>
          <w:sz w:val="24"/>
          <w:szCs w:val="24"/>
        </w:rPr>
        <w:t>$25 for child/parent completion of the neurobehavioral test battery</w:t>
      </w:r>
      <w:r w:rsidR="003E60FF">
        <w:rPr>
          <w:rFonts w:cstheme="minorHAnsi"/>
          <w:sz w:val="24"/>
          <w:szCs w:val="24"/>
        </w:rPr>
        <w:t>.</w:t>
      </w:r>
    </w:p>
    <w:p w14:paraId="5983940A" w14:textId="487C84A3" w:rsidR="003E60FF" w:rsidRPr="00736183" w:rsidRDefault="003E60FF" w:rsidP="00736183">
      <w:pPr>
        <w:spacing w:line="240" w:lineRule="auto"/>
        <w:jc w:val="both"/>
        <w:rPr>
          <w:rFonts w:cstheme="minorHAnsi"/>
          <w:sz w:val="24"/>
          <w:szCs w:val="24"/>
        </w:rPr>
      </w:pPr>
      <w:r w:rsidRPr="00736183">
        <w:rPr>
          <w:rFonts w:cstheme="minorHAnsi"/>
          <w:sz w:val="24"/>
          <w:szCs w:val="24"/>
        </w:rPr>
        <w:t>If all parts of the study are completed, adult participants will receive $50 and children and their parents will receive $75 in gift cards.</w:t>
      </w:r>
    </w:p>
    <w:p w14:paraId="44C033FC" w14:textId="3804CF9A" w:rsidR="005A627E" w:rsidRDefault="005A627E" w:rsidP="005A627E">
      <w:pPr>
        <w:spacing w:line="240" w:lineRule="auto"/>
        <w:jc w:val="both"/>
        <w:rPr>
          <w:rFonts w:cstheme="minorHAnsi"/>
          <w:sz w:val="24"/>
          <w:szCs w:val="24"/>
        </w:rPr>
      </w:pPr>
      <w:r w:rsidRPr="005A627E">
        <w:rPr>
          <w:rFonts w:cstheme="minorHAnsi"/>
          <w:sz w:val="24"/>
          <w:szCs w:val="24"/>
        </w:rPr>
        <w:t xml:space="preserve">Trained study staff will document provision of gift cards on the hard copy form </w:t>
      </w:r>
      <w:r w:rsidRPr="005A627E">
        <w:rPr>
          <w:rFonts w:cstheme="minorHAnsi"/>
          <w:bCs/>
          <w:sz w:val="24"/>
          <w:szCs w:val="24"/>
        </w:rPr>
        <w:t>(</w:t>
      </w:r>
      <w:r w:rsidR="000F1EE4">
        <w:rPr>
          <w:rFonts w:cstheme="minorHAnsi"/>
          <w:b/>
          <w:bCs/>
          <w:sz w:val="24"/>
          <w:szCs w:val="24"/>
        </w:rPr>
        <w:t>Attachment 14</w:t>
      </w:r>
      <w:r w:rsidRPr="005A627E">
        <w:rPr>
          <w:rFonts w:cstheme="minorHAnsi"/>
          <w:bCs/>
          <w:sz w:val="24"/>
          <w:szCs w:val="24"/>
        </w:rPr>
        <w:t>)</w:t>
      </w:r>
      <w:r w:rsidRPr="005A627E">
        <w:rPr>
          <w:rFonts w:cstheme="minorHAnsi"/>
          <w:sz w:val="24"/>
          <w:szCs w:val="24"/>
        </w:rPr>
        <w:t>. As part of the exit procedures, the participant will sign this form to document receiving the gift card.</w:t>
      </w:r>
    </w:p>
    <w:p w14:paraId="6E8EA09B" w14:textId="11C3C329" w:rsidR="00B45002" w:rsidRPr="00D20211" w:rsidRDefault="00601F1A" w:rsidP="00601F1A">
      <w:pPr>
        <w:pStyle w:val="Heading1"/>
        <w:pBdr>
          <w:bottom w:val="none" w:sz="0" w:space="0" w:color="auto"/>
        </w:pBdr>
        <w:rPr>
          <w:color w:val="auto"/>
        </w:rPr>
      </w:pPr>
      <w:bookmarkStart w:id="12" w:name="_Toc532912782"/>
      <w:r w:rsidRPr="00D20211">
        <w:rPr>
          <w:color w:val="auto"/>
        </w:rPr>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24BF9EC4" w14:textId="2A0266CD" w:rsidR="00CF7455" w:rsidRPr="00D20211" w:rsidRDefault="00CF7455" w:rsidP="00CF7455">
      <w:pPr>
        <w:autoSpaceDE w:val="0"/>
        <w:autoSpaceDN w:val="0"/>
        <w:adjustRightInd w:val="0"/>
        <w:spacing w:line="240" w:lineRule="auto"/>
        <w:rPr>
          <w:rFonts w:cs="ITCFranklinGothicStd-Book"/>
          <w:sz w:val="24"/>
          <w:szCs w:val="24"/>
          <w:u w:val="single"/>
        </w:rPr>
      </w:pPr>
    </w:p>
    <w:p w14:paraId="7FD389DC" w14:textId="45F27658" w:rsidR="00110D29" w:rsidRPr="009D3A23" w:rsidRDefault="003D044E" w:rsidP="005A6265">
      <w:pPr>
        <w:autoSpaceDE w:val="0"/>
        <w:autoSpaceDN w:val="0"/>
        <w:adjustRightInd w:val="0"/>
        <w:spacing w:line="240" w:lineRule="auto"/>
        <w:rPr>
          <w:rFonts w:cs="ITCFranklinGothicStd-Book"/>
          <w:sz w:val="24"/>
          <w:szCs w:val="24"/>
        </w:rPr>
      </w:pPr>
      <w:r w:rsidRPr="009D3A23">
        <w:rPr>
          <w:rFonts w:cs="ITCFranklinGothicStd-Book"/>
          <w:i/>
          <w:sz w:val="24"/>
          <w:szCs w:val="24"/>
          <w:u w:val="single"/>
        </w:rPr>
        <w:t>Privacy Act Determination</w:t>
      </w:r>
      <w:r w:rsidRPr="009D3A23">
        <w:rPr>
          <w:rFonts w:cs="ITCFranklinGothicStd-Book"/>
          <w:i/>
          <w:sz w:val="24"/>
          <w:szCs w:val="24"/>
        </w:rPr>
        <w:t xml:space="preserve">: </w:t>
      </w:r>
      <w:r w:rsidR="005A6265" w:rsidRPr="009D3A23">
        <w:rPr>
          <w:rFonts w:cs="ITCFranklinGothicStd-Book"/>
          <w:sz w:val="24"/>
          <w:szCs w:val="24"/>
        </w:rPr>
        <w:t xml:space="preserve">On </w:t>
      </w:r>
      <w:r w:rsidR="00C468D2" w:rsidRPr="00C468D2">
        <w:rPr>
          <w:rFonts w:cs="ITCFranklinGothicStd-Book"/>
          <w:sz w:val="24"/>
          <w:szCs w:val="24"/>
        </w:rPr>
        <w:t>12/11/2018</w:t>
      </w:r>
      <w:r w:rsidR="005A6265" w:rsidRPr="00C468D2">
        <w:rPr>
          <w:rFonts w:cs="ITCFranklinGothicStd-Book"/>
          <w:sz w:val="24"/>
          <w:szCs w:val="24"/>
        </w:rPr>
        <w:t>,</w:t>
      </w:r>
      <w:r w:rsidR="005A6265" w:rsidRPr="009D3A23">
        <w:rPr>
          <w:rFonts w:cs="ITCFranklinGothicStd-Book"/>
          <w:sz w:val="24"/>
          <w:szCs w:val="24"/>
        </w:rPr>
        <w:t xml:space="preserve"> the CDC Chief Privacy Officer </w:t>
      </w:r>
      <w:r w:rsidR="00BB3447" w:rsidRPr="009D3A23">
        <w:rPr>
          <w:rFonts w:cs="ITCFranklinGothicStd-Book"/>
          <w:sz w:val="24"/>
          <w:szCs w:val="24"/>
        </w:rPr>
        <w:t>reviewed this submission and determined that</w:t>
      </w:r>
      <w:r w:rsidR="0047610D" w:rsidRPr="009D3A23">
        <w:rPr>
          <w:rFonts w:cs="ITCFranklinGothicStd-Book"/>
          <w:sz w:val="24"/>
          <w:szCs w:val="24"/>
        </w:rPr>
        <w:t xml:space="preserve"> </w:t>
      </w:r>
      <w:r w:rsidR="00BB3447" w:rsidRPr="009D3A23">
        <w:rPr>
          <w:rFonts w:cs="ITCFranklinGothicStd-Book"/>
          <w:sz w:val="24"/>
          <w:szCs w:val="24"/>
        </w:rPr>
        <w:t xml:space="preserve">the Privacy Act </w:t>
      </w:r>
      <w:r w:rsidR="004558AD" w:rsidRPr="009D3A23">
        <w:rPr>
          <w:rFonts w:cs="ITCFranklinGothicStd-Book"/>
          <w:sz w:val="24"/>
          <w:szCs w:val="24"/>
        </w:rPr>
        <w:t>does</w:t>
      </w:r>
      <w:r w:rsidR="00BB3447" w:rsidRPr="009D3A23">
        <w:rPr>
          <w:rFonts w:cs="ITCFranklinGothicStd-Book"/>
          <w:sz w:val="24"/>
          <w:szCs w:val="24"/>
        </w:rPr>
        <w:t xml:space="preserve"> apply</w:t>
      </w:r>
      <w:r w:rsidR="003525EB">
        <w:rPr>
          <w:rFonts w:cs="ITCFranklinGothicStd-Book"/>
          <w:sz w:val="24"/>
          <w:szCs w:val="24"/>
        </w:rPr>
        <w:t xml:space="preserve"> (</w:t>
      </w:r>
      <w:r w:rsidR="003525EB">
        <w:rPr>
          <w:rFonts w:cs="ITCFranklinGothicStd-Book"/>
          <w:b/>
          <w:sz w:val="24"/>
          <w:szCs w:val="24"/>
        </w:rPr>
        <w:t>Appendix C</w:t>
      </w:r>
      <w:r w:rsidR="003525EB">
        <w:rPr>
          <w:rFonts w:cs="ITCFranklinGothicStd-Book"/>
          <w:sz w:val="24"/>
          <w:szCs w:val="24"/>
        </w:rPr>
        <w:t>)</w:t>
      </w:r>
      <w:r w:rsidR="005A6265" w:rsidRPr="009D3A23">
        <w:rPr>
          <w:rFonts w:cs="ITCFranklinGothicStd-Book"/>
          <w:sz w:val="24"/>
          <w:szCs w:val="24"/>
        </w:rPr>
        <w:t>.</w:t>
      </w:r>
    </w:p>
    <w:p w14:paraId="19780B0F" w14:textId="0B3E36FB" w:rsidR="009D3A23" w:rsidRDefault="00654A1D" w:rsidP="009D3A23">
      <w:pPr>
        <w:autoSpaceDE w:val="0"/>
        <w:autoSpaceDN w:val="0"/>
        <w:adjustRightInd w:val="0"/>
        <w:spacing w:line="240" w:lineRule="auto"/>
        <w:rPr>
          <w:rFonts w:cs="ITCFranklinGothicStd-Book"/>
          <w:sz w:val="24"/>
          <w:szCs w:val="24"/>
        </w:rPr>
      </w:pPr>
      <w:r w:rsidRPr="009D3A23">
        <w:rPr>
          <w:rFonts w:cs="ITCFranklinGothicStd-Book"/>
          <w:sz w:val="24"/>
          <w:szCs w:val="24"/>
        </w:rPr>
        <w:t xml:space="preserve">The applicable </w:t>
      </w:r>
      <w:r w:rsidR="00A561BB" w:rsidRPr="009D3A23">
        <w:rPr>
          <w:rFonts w:cs="ITCFranklinGothicStd-Book"/>
          <w:sz w:val="24"/>
          <w:szCs w:val="24"/>
        </w:rPr>
        <w:t xml:space="preserve">Privacy Act </w:t>
      </w:r>
      <w:r w:rsidRPr="009D3A23">
        <w:rPr>
          <w:rFonts w:cs="ITCFranklinGothicStd-Book"/>
          <w:sz w:val="24"/>
          <w:szCs w:val="24"/>
        </w:rPr>
        <w:t>System of Records Notice</w:t>
      </w:r>
      <w:r w:rsidR="009D3A23" w:rsidRPr="009D3A23">
        <w:rPr>
          <w:rFonts w:cs="ITCFranklinGothicStd-Book"/>
          <w:sz w:val="24"/>
          <w:szCs w:val="24"/>
        </w:rPr>
        <w:t>s (SORN) are</w:t>
      </w:r>
      <w:r w:rsidR="00F53E33">
        <w:rPr>
          <w:rFonts w:cs="ITCFranklinGothicStd-Book"/>
          <w:sz w:val="24"/>
          <w:szCs w:val="24"/>
        </w:rPr>
        <w:t>:</w:t>
      </w:r>
    </w:p>
    <w:p w14:paraId="20A548A3" w14:textId="11C763CB" w:rsidR="009D3A23" w:rsidRPr="009D3A23" w:rsidRDefault="00654A1D" w:rsidP="0019133A">
      <w:pPr>
        <w:pStyle w:val="ListParagraph"/>
        <w:numPr>
          <w:ilvl w:val="0"/>
          <w:numId w:val="16"/>
        </w:numPr>
        <w:autoSpaceDE w:val="0"/>
        <w:autoSpaceDN w:val="0"/>
        <w:adjustRightInd w:val="0"/>
        <w:spacing w:line="240" w:lineRule="auto"/>
        <w:rPr>
          <w:rFonts w:cs="ITCFranklinGothicStd-Book"/>
          <w:sz w:val="24"/>
          <w:szCs w:val="24"/>
        </w:rPr>
      </w:pPr>
      <w:r w:rsidRPr="009D3A23">
        <w:rPr>
          <w:rFonts w:cs="ITCFranklinGothicStd-Book"/>
          <w:sz w:val="24"/>
          <w:szCs w:val="24"/>
        </w:rPr>
        <w:t xml:space="preserve">No. </w:t>
      </w:r>
      <w:hyperlink r:id="rId31" w:history="1">
        <w:r w:rsidR="00040E13" w:rsidRPr="009D3A23">
          <w:rPr>
            <w:rStyle w:val="Hyperlink"/>
            <w:color w:val="auto"/>
            <w:sz w:val="24"/>
            <w:szCs w:val="24"/>
            <w:lang w:val="en"/>
          </w:rPr>
          <w:t>SORN 09-19-0001</w:t>
        </w:r>
      </w:hyperlink>
      <w:r w:rsidR="00040E13" w:rsidRPr="009D3A23">
        <w:rPr>
          <w:sz w:val="24"/>
          <w:szCs w:val="24"/>
          <w:lang w:val="en"/>
        </w:rPr>
        <w:t xml:space="preserve"> ATSDR “Record of Persons Exposed or Potentially Exposed to Toxic or Hazardous Substanc</w:t>
      </w:r>
      <w:r w:rsidR="005732B3" w:rsidRPr="009D3A23">
        <w:rPr>
          <w:sz w:val="24"/>
          <w:szCs w:val="24"/>
          <w:lang w:val="en"/>
        </w:rPr>
        <w:t>es</w:t>
      </w:r>
      <w:r w:rsidR="009D3A23">
        <w:rPr>
          <w:sz w:val="24"/>
          <w:szCs w:val="24"/>
          <w:lang w:val="en"/>
        </w:rPr>
        <w:t>.</w:t>
      </w:r>
      <w:r w:rsidR="005732B3" w:rsidRPr="009D3A23">
        <w:rPr>
          <w:sz w:val="24"/>
          <w:szCs w:val="24"/>
          <w:lang w:val="en"/>
        </w:rPr>
        <w:t xml:space="preserve">” </w:t>
      </w:r>
      <w:r w:rsidR="009D3A23" w:rsidRPr="009D3A23">
        <w:rPr>
          <w:rFonts w:cs="ITCFranklinGothicStd-Book"/>
          <w:sz w:val="24"/>
          <w:szCs w:val="24"/>
        </w:rPr>
        <w:t>ATSDR will file and retrieve Information in identifiable Form (IIF) by the name of the individual and Social Security Number.</w:t>
      </w:r>
    </w:p>
    <w:p w14:paraId="784A24CB" w14:textId="4A5DCC0F" w:rsidR="005732B3" w:rsidRPr="009D3A23" w:rsidRDefault="009D3A23" w:rsidP="0019133A">
      <w:pPr>
        <w:pStyle w:val="ListParagraph"/>
        <w:numPr>
          <w:ilvl w:val="0"/>
          <w:numId w:val="16"/>
        </w:numPr>
        <w:autoSpaceDE w:val="0"/>
        <w:autoSpaceDN w:val="0"/>
        <w:adjustRightInd w:val="0"/>
        <w:spacing w:line="240" w:lineRule="auto"/>
        <w:rPr>
          <w:rFonts w:cs="ITCFranklinGothicStd-Book"/>
          <w:sz w:val="24"/>
          <w:szCs w:val="24"/>
        </w:rPr>
      </w:pPr>
      <w:r>
        <w:rPr>
          <w:sz w:val="24"/>
          <w:szCs w:val="24"/>
        </w:rPr>
        <w:t xml:space="preserve">No. </w:t>
      </w:r>
      <w:hyperlink r:id="rId32" w:history="1">
        <w:r w:rsidRPr="009D3A23">
          <w:rPr>
            <w:rStyle w:val="Hyperlink"/>
            <w:rFonts w:cs="ITCFranklinGothicStd-Book"/>
            <w:color w:val="auto"/>
            <w:sz w:val="24"/>
            <w:szCs w:val="24"/>
          </w:rPr>
          <w:t>SORN 09-20-0136</w:t>
        </w:r>
      </w:hyperlink>
      <w:r w:rsidRPr="009D3A23">
        <w:rPr>
          <w:rFonts w:cs="ITCFranklinGothicStd-Book"/>
          <w:sz w:val="24"/>
          <w:szCs w:val="24"/>
        </w:rPr>
        <w:t xml:space="preserve"> “Epidemiologic Studies and Surveillance of Disease Problems</w:t>
      </w:r>
      <w:r>
        <w:rPr>
          <w:rFonts w:cs="ITCFranklinGothicStd-Book"/>
          <w:sz w:val="24"/>
          <w:szCs w:val="24"/>
        </w:rPr>
        <w:t>.” NCEH will file and retrieve IIF by the name of the individual and Study ID number.</w:t>
      </w:r>
    </w:p>
    <w:p w14:paraId="145CA6A0" w14:textId="3455F3BA" w:rsidR="002928DF" w:rsidRPr="0048608D" w:rsidRDefault="002928DF" w:rsidP="0048608D">
      <w:pPr>
        <w:autoSpaceDE w:val="0"/>
        <w:autoSpaceDN w:val="0"/>
        <w:adjustRightInd w:val="0"/>
        <w:spacing w:line="240" w:lineRule="auto"/>
        <w:rPr>
          <w:rFonts w:cs="ITCFranklinGothicStd-Book"/>
          <w:sz w:val="24"/>
          <w:szCs w:val="24"/>
        </w:rPr>
        <w:sectPr w:rsidR="002928DF" w:rsidRPr="0048608D" w:rsidSect="002928DF">
          <w:footerReference w:type="default" r:id="rId33"/>
          <w:type w:val="continuous"/>
          <w:pgSz w:w="12240" w:h="15840" w:code="1"/>
          <w:pgMar w:top="1440" w:right="1440" w:bottom="1440" w:left="1440" w:header="720" w:footer="720" w:gutter="0"/>
          <w:cols w:space="720"/>
          <w:docGrid w:linePitch="360"/>
        </w:sectPr>
      </w:pPr>
      <w:r w:rsidRPr="009D3A23">
        <w:rPr>
          <w:rFonts w:cs="ITCFranklinGothicStd-Book"/>
          <w:sz w:val="24"/>
          <w:szCs w:val="24"/>
        </w:rPr>
        <w:t>The following IIF Categories apply</w:t>
      </w:r>
      <w:r w:rsidR="00EC5E2E" w:rsidRPr="009D3A23">
        <w:rPr>
          <w:rFonts w:cs="ITCFranklinGothicStd-Book"/>
          <w:sz w:val="24"/>
          <w:szCs w:val="24"/>
        </w:rPr>
        <w:t xml:space="preserve"> to this information</w:t>
      </w:r>
      <w:r w:rsidR="00EC5E2E" w:rsidRPr="0048608D">
        <w:rPr>
          <w:rFonts w:cs="ITCFranklinGothicStd-Book"/>
          <w:sz w:val="24"/>
          <w:szCs w:val="24"/>
        </w:rPr>
        <w:t xml:space="preserve"> collection</w:t>
      </w:r>
      <w:r w:rsidR="003525EB">
        <w:rPr>
          <w:rFonts w:cs="ITCFranklinGothicStd-Book"/>
          <w:sz w:val="24"/>
          <w:szCs w:val="24"/>
        </w:rPr>
        <w:t xml:space="preserve">. Further discussion on the collection of Social Security Number (SSN) is found in </w:t>
      </w:r>
      <w:r w:rsidR="003525EB">
        <w:rPr>
          <w:rFonts w:cs="ITCFranklinGothicStd-Book"/>
          <w:b/>
          <w:sz w:val="24"/>
          <w:szCs w:val="24"/>
        </w:rPr>
        <w:t>Section A.11</w:t>
      </w:r>
      <w:r w:rsidR="00E95E60" w:rsidRPr="0048608D">
        <w:rPr>
          <w:rFonts w:cs="ITCFranklinGothicStd-Book"/>
          <w:sz w:val="24"/>
          <w:szCs w:val="24"/>
        </w:rPr>
        <w:t>:</w:t>
      </w:r>
    </w:p>
    <w:p w14:paraId="4170FA2D"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Name</w:t>
      </w:r>
    </w:p>
    <w:p w14:paraId="263A7714"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Date of Birth</w:t>
      </w:r>
    </w:p>
    <w:p w14:paraId="2BF6EEDE"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Social Security Number (SSN)</w:t>
      </w:r>
    </w:p>
    <w:p w14:paraId="3A07E21E"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Mailing Address</w:t>
      </w:r>
    </w:p>
    <w:p w14:paraId="5B7A71D6"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Phone Numbers</w:t>
      </w:r>
    </w:p>
    <w:p w14:paraId="036E0FE3" w14:textId="77777777" w:rsidR="002928DF" w:rsidRPr="00FD6406" w:rsidRDefault="002928DF" w:rsidP="0048608D">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Medical Information and Notes</w:t>
      </w:r>
    </w:p>
    <w:p w14:paraId="0F685EDD" w14:textId="0FF82446"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Biological Specimens</w:t>
      </w:r>
    </w:p>
    <w:p w14:paraId="6F99FD41"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Email Address</w:t>
      </w:r>
    </w:p>
    <w:p w14:paraId="01959549"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Education Records</w:t>
      </w:r>
    </w:p>
    <w:p w14:paraId="628CCFEF"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Military Status</w:t>
      </w:r>
    </w:p>
    <w:p w14:paraId="4F11E96D" w14:textId="77777777" w:rsidR="002928DF" w:rsidRPr="00FD6406" w:rsidRDefault="002928DF" w:rsidP="002928DF">
      <w:pPr>
        <w:pStyle w:val="CommentText"/>
        <w:spacing w:after="0"/>
        <w:rPr>
          <w:sz w:val="24"/>
          <w:szCs w:val="24"/>
        </w:rPr>
      </w:pPr>
      <w:r w:rsidRPr="00FD6406">
        <w:rPr>
          <w:rFonts w:ascii="Segoe UI Symbol" w:hAnsi="Segoe UI Symbol" w:cs="Segoe UI Symbol"/>
          <w:sz w:val="24"/>
          <w:szCs w:val="24"/>
        </w:rPr>
        <w:t>❑</w:t>
      </w:r>
      <w:r w:rsidRPr="00FD6406">
        <w:rPr>
          <w:sz w:val="24"/>
          <w:szCs w:val="24"/>
        </w:rPr>
        <w:t xml:space="preserve"> Employment Status</w:t>
      </w:r>
    </w:p>
    <w:p w14:paraId="211E2CB7" w14:textId="77777777" w:rsidR="0048608D" w:rsidRDefault="0048608D" w:rsidP="0048608D">
      <w:pPr>
        <w:pStyle w:val="ListParagraph"/>
        <w:autoSpaceDE w:val="0"/>
        <w:autoSpaceDN w:val="0"/>
        <w:adjustRightInd w:val="0"/>
        <w:spacing w:line="240" w:lineRule="auto"/>
        <w:rPr>
          <w:rFonts w:cs="ITCFranklinGothicStd-Book"/>
          <w:sz w:val="24"/>
          <w:szCs w:val="24"/>
        </w:rPr>
        <w:sectPr w:rsidR="0048608D" w:rsidSect="0048608D">
          <w:headerReference w:type="even" r:id="rId34"/>
          <w:headerReference w:type="default" r:id="rId35"/>
          <w:footerReference w:type="even" r:id="rId36"/>
          <w:footerReference w:type="default" r:id="rId37"/>
          <w:headerReference w:type="first" r:id="rId38"/>
          <w:footerReference w:type="first" r:id="rId39"/>
          <w:type w:val="continuous"/>
          <w:pgSz w:w="12240" w:h="15840" w:code="1"/>
          <w:pgMar w:top="1440" w:right="1440" w:bottom="1440" w:left="1440" w:header="720" w:footer="720" w:gutter="0"/>
          <w:cols w:num="2" w:space="720"/>
          <w:docGrid w:linePitch="360"/>
        </w:sectPr>
      </w:pPr>
    </w:p>
    <w:p w14:paraId="1D5B89BA" w14:textId="7D0F85F8" w:rsidR="002928DF" w:rsidRPr="0048608D" w:rsidRDefault="002928DF" w:rsidP="0048608D">
      <w:pPr>
        <w:autoSpaceDE w:val="0"/>
        <w:autoSpaceDN w:val="0"/>
        <w:adjustRightInd w:val="0"/>
        <w:spacing w:line="240" w:lineRule="auto"/>
        <w:rPr>
          <w:rFonts w:cs="ITCFranklinGothicStd-Book"/>
          <w:sz w:val="24"/>
          <w:szCs w:val="24"/>
        </w:rPr>
      </w:pPr>
    </w:p>
    <w:p w14:paraId="2873698F" w14:textId="571D1291" w:rsidR="005732B3" w:rsidRPr="005732B3" w:rsidRDefault="005732B3" w:rsidP="00B855FD">
      <w:pPr>
        <w:autoSpaceDE w:val="0"/>
        <w:autoSpaceDN w:val="0"/>
        <w:adjustRightInd w:val="0"/>
        <w:spacing w:line="276" w:lineRule="auto"/>
        <w:rPr>
          <w:rFonts w:cs="ITCFranklinGothicStd-Book"/>
          <w:sz w:val="24"/>
          <w:szCs w:val="24"/>
        </w:rPr>
      </w:pPr>
      <w:r>
        <w:rPr>
          <w:rFonts w:cs="ITCFranklinGothicStd-Book"/>
          <w:sz w:val="24"/>
          <w:szCs w:val="24"/>
        </w:rPr>
        <w:t>S</w:t>
      </w:r>
      <w:r w:rsidRPr="005732B3">
        <w:rPr>
          <w:rFonts w:eastAsia="Times New Roman" w:cstheme="minorHAnsi"/>
          <w:bCs/>
          <w:color w:val="000000"/>
          <w:sz w:val="24"/>
          <w:szCs w:val="24"/>
          <w:lang w:val="en"/>
        </w:rPr>
        <w:t>afeguards</w:t>
      </w:r>
      <w:r w:rsidRPr="005732B3">
        <w:rPr>
          <w:rFonts w:eastAsia="Times New Roman" w:cstheme="minorHAnsi"/>
          <w:color w:val="000000"/>
          <w:sz w:val="24"/>
          <w:szCs w:val="24"/>
          <w:lang w:val="en"/>
        </w:rPr>
        <w:t xml:space="preserve">: The following special safeguards are provided to protect the records from inadvertent disclosure: </w:t>
      </w:r>
    </w:p>
    <w:p w14:paraId="6EA55961" w14:textId="4ECBB398" w:rsidR="005732B3" w:rsidRPr="000A10E5"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13" w:name="authuser"/>
      <w:bookmarkEnd w:id="13"/>
      <w:r w:rsidRPr="000A10E5">
        <w:rPr>
          <w:rFonts w:eastAsia="Times New Roman" w:cstheme="minorHAnsi"/>
          <w:bCs/>
          <w:color w:val="000000"/>
          <w:sz w:val="24"/>
          <w:szCs w:val="24"/>
          <w:lang w:val="en"/>
        </w:rPr>
        <w:t>Authorized Users</w:t>
      </w:r>
      <w:r w:rsidRPr="000A10E5">
        <w:rPr>
          <w:rFonts w:eastAsia="Times New Roman" w:cstheme="minorHAnsi"/>
          <w:color w:val="000000"/>
          <w:sz w:val="24"/>
          <w:szCs w:val="24"/>
          <w:lang w:val="en"/>
        </w:rPr>
        <w:t>: A data</w:t>
      </w:r>
      <w:r w:rsidR="007D39AD">
        <w:rPr>
          <w:rFonts w:eastAsia="Times New Roman" w:cstheme="minorHAnsi"/>
          <w:color w:val="000000"/>
          <w:sz w:val="24"/>
          <w:szCs w:val="24"/>
          <w:lang w:val="en"/>
        </w:rPr>
        <w:t>base security package is in place for</w:t>
      </w:r>
      <w:r w:rsidR="00D35C40">
        <w:rPr>
          <w:rFonts w:eastAsia="Times New Roman" w:cstheme="minorHAnsi"/>
          <w:color w:val="000000"/>
          <w:sz w:val="24"/>
          <w:szCs w:val="24"/>
          <w:lang w:val="en"/>
        </w:rPr>
        <w:t xml:space="preserve"> CDC's technology infrastructure</w:t>
      </w:r>
      <w:r w:rsidRPr="000A10E5">
        <w:rPr>
          <w:rFonts w:eastAsia="Times New Roman" w:cstheme="minorHAnsi"/>
          <w:color w:val="000000"/>
          <w:sz w:val="24"/>
          <w:szCs w:val="24"/>
          <w:lang w:val="en"/>
        </w:rPr>
        <w:t xml:space="preserve"> to control unauthorized access to the system. Attempts to gain access by unauthorized individuals are automatically recorded and reviewed on a regular basis. Access to records is granted to only a limited number of physicians, scientists, statisticians, and designated support staff of ATSDR or its contractors, as a</w:t>
      </w:r>
      <w:r w:rsidR="00584DEF">
        <w:rPr>
          <w:rFonts w:eastAsia="Times New Roman" w:cstheme="minorHAnsi"/>
          <w:color w:val="000000"/>
          <w:sz w:val="24"/>
          <w:szCs w:val="24"/>
          <w:lang w:val="en"/>
        </w:rPr>
        <w:t>uthorized by the system manager</w:t>
      </w:r>
      <w:r w:rsidR="007D39AD">
        <w:rPr>
          <w:rFonts w:eastAsia="Times New Roman" w:cstheme="minorHAnsi"/>
          <w:color w:val="000000"/>
          <w:sz w:val="24"/>
          <w:szCs w:val="24"/>
          <w:lang w:val="en"/>
        </w:rPr>
        <w:t xml:space="preserve"> </w:t>
      </w:r>
      <w:r w:rsidRPr="000A10E5">
        <w:rPr>
          <w:rFonts w:eastAsia="Times New Roman" w:cstheme="minorHAnsi"/>
          <w:color w:val="000000"/>
          <w:sz w:val="24"/>
          <w:szCs w:val="24"/>
          <w:lang w:val="en"/>
        </w:rPr>
        <w:t>to accomplish the stated purposes for which the data in t</w:t>
      </w:r>
      <w:r w:rsidR="007B0AE3">
        <w:rPr>
          <w:rFonts w:eastAsia="Times New Roman" w:cstheme="minorHAnsi"/>
          <w:color w:val="000000"/>
          <w:sz w:val="24"/>
          <w:szCs w:val="24"/>
          <w:lang w:val="en"/>
        </w:rPr>
        <w:t>his system have been collected.</w:t>
      </w:r>
    </w:p>
    <w:p w14:paraId="5862D48D" w14:textId="4F1F6673" w:rsidR="005732B3" w:rsidRPr="00D35C40"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14" w:name="physsafeg"/>
      <w:bookmarkEnd w:id="14"/>
      <w:r w:rsidRPr="00D35C40">
        <w:rPr>
          <w:rFonts w:eastAsia="Times New Roman" w:cstheme="minorHAnsi"/>
          <w:bCs/>
          <w:color w:val="000000"/>
          <w:sz w:val="24"/>
          <w:szCs w:val="24"/>
          <w:lang w:val="en"/>
        </w:rPr>
        <w:t>Physical Safeguards</w:t>
      </w:r>
      <w:r w:rsidRPr="00D35C40">
        <w:rPr>
          <w:rFonts w:eastAsia="Times New Roman" w:cstheme="minorHAnsi"/>
          <w:color w:val="000000"/>
          <w:sz w:val="24"/>
          <w:szCs w:val="24"/>
          <w:lang w:val="en"/>
        </w:rPr>
        <w:t xml:space="preserve">: Questionnaires, log books, and other source data are maintained in locked cabinets in locked rooms, and security guard service in buildings provide personnel screening of visitors. </w:t>
      </w:r>
      <w:r w:rsidR="00D35C40">
        <w:rPr>
          <w:rFonts w:eastAsia="Times New Roman" w:cstheme="minorHAnsi"/>
          <w:color w:val="000000"/>
          <w:sz w:val="24"/>
          <w:szCs w:val="24"/>
          <w:lang w:val="en"/>
        </w:rPr>
        <w:t> Access to CDC facilities housing technology infrastructure</w:t>
      </w:r>
      <w:r w:rsidRPr="00D35C40">
        <w:rPr>
          <w:rFonts w:eastAsia="Times New Roman" w:cstheme="minorHAnsi"/>
          <w:color w:val="000000"/>
          <w:sz w:val="24"/>
          <w:szCs w:val="24"/>
          <w:lang w:val="en"/>
        </w:rPr>
        <w:t xml:space="preserve"> is co</w:t>
      </w:r>
      <w:r w:rsidR="00B855FD">
        <w:rPr>
          <w:rFonts w:eastAsia="Times New Roman" w:cstheme="minorHAnsi"/>
          <w:color w:val="000000"/>
          <w:sz w:val="24"/>
          <w:szCs w:val="24"/>
          <w:lang w:val="en"/>
        </w:rPr>
        <w:t>ntrolled by a cardkey system. The facilities are</w:t>
      </w:r>
      <w:r w:rsidRPr="00D35C40">
        <w:rPr>
          <w:rFonts w:eastAsia="Times New Roman" w:cstheme="minorHAnsi"/>
          <w:color w:val="000000"/>
          <w:sz w:val="24"/>
          <w:szCs w:val="24"/>
          <w:lang w:val="en"/>
        </w:rPr>
        <w:t xml:space="preserve"> protected by an automatic sprinkler system, numerous automatic sensors (e.g., water, heat, smoke, etc.) are installed, and a proper mix of portable fire extinguishers is loca</w:t>
      </w:r>
      <w:r w:rsidR="00B855FD">
        <w:rPr>
          <w:rFonts w:eastAsia="Times New Roman" w:cstheme="minorHAnsi"/>
          <w:color w:val="000000"/>
          <w:sz w:val="24"/>
          <w:szCs w:val="24"/>
          <w:lang w:val="en"/>
        </w:rPr>
        <w:t>ted throughout the facility</w:t>
      </w:r>
      <w:r w:rsidRPr="00D35C40">
        <w:rPr>
          <w:rFonts w:eastAsia="Times New Roman" w:cstheme="minorHAnsi"/>
          <w:color w:val="000000"/>
          <w:sz w:val="24"/>
          <w:szCs w:val="24"/>
          <w:lang w:val="en"/>
        </w:rPr>
        <w:t xml:space="preserve">. The system is backed up on a nightly basis with copies of the files stored off site in a secure fireproof safe. Computer workstations, lockable personal computers, and automated records are located in secured areas. </w:t>
      </w:r>
    </w:p>
    <w:p w14:paraId="1D6182DA" w14:textId="484BCF3D" w:rsidR="00682259" w:rsidRDefault="005732B3" w:rsidP="0019133A">
      <w:pPr>
        <w:pStyle w:val="ListParagraph"/>
        <w:numPr>
          <w:ilvl w:val="0"/>
          <w:numId w:val="13"/>
        </w:numPr>
        <w:shd w:val="clear" w:color="auto" w:fill="FFFFFF"/>
        <w:spacing w:line="276" w:lineRule="auto"/>
        <w:contextualSpacing w:val="0"/>
        <w:rPr>
          <w:rFonts w:eastAsia="Times New Roman" w:cstheme="minorHAnsi"/>
          <w:color w:val="000000"/>
          <w:sz w:val="24"/>
          <w:szCs w:val="24"/>
          <w:lang w:val="en"/>
        </w:rPr>
      </w:pPr>
      <w:bookmarkStart w:id="15" w:name="procsafeg"/>
      <w:bookmarkEnd w:id="15"/>
      <w:r w:rsidRPr="00B855FD">
        <w:rPr>
          <w:rFonts w:eastAsia="Times New Roman" w:cstheme="minorHAnsi"/>
          <w:bCs/>
          <w:color w:val="000000"/>
          <w:sz w:val="24"/>
          <w:szCs w:val="24"/>
          <w:lang w:val="en"/>
        </w:rPr>
        <w:t>Procedural Safeguards</w:t>
      </w:r>
      <w:r w:rsidRPr="00B855FD">
        <w:rPr>
          <w:rFonts w:eastAsia="Times New Roman" w:cstheme="minorHAnsi"/>
          <w:color w:val="000000"/>
          <w:sz w:val="24"/>
          <w:szCs w:val="24"/>
          <w:lang w:val="en"/>
        </w:rPr>
        <w:t>: Protection for computerized reco</w:t>
      </w:r>
      <w:r w:rsidR="00B855FD" w:rsidRPr="00B855FD">
        <w:rPr>
          <w:rFonts w:eastAsia="Times New Roman" w:cstheme="minorHAnsi"/>
          <w:color w:val="000000"/>
          <w:sz w:val="24"/>
          <w:szCs w:val="24"/>
          <w:lang w:val="en"/>
        </w:rPr>
        <w:t>rds</w:t>
      </w:r>
      <w:r w:rsidRPr="00B855FD">
        <w:rPr>
          <w:rFonts w:eastAsia="Times New Roman" w:cstheme="minorHAnsi"/>
          <w:color w:val="000000"/>
          <w:sz w:val="24"/>
          <w:szCs w:val="24"/>
          <w:lang w:val="en"/>
        </w:rPr>
        <w:t xml:space="preserve">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w:t>
      </w:r>
      <w:r w:rsidR="003F536D">
        <w:rPr>
          <w:rFonts w:eastAsia="Times New Roman" w:cstheme="minorHAnsi"/>
          <w:color w:val="000000"/>
          <w:sz w:val="24"/>
          <w:szCs w:val="24"/>
          <w:lang w:val="en"/>
        </w:rPr>
        <w:t xml:space="preserve">or cloud </w:t>
      </w:r>
      <w:r w:rsidRPr="00B855FD">
        <w:rPr>
          <w:rFonts w:eastAsia="Times New Roman" w:cstheme="minorHAnsi"/>
          <w:color w:val="000000"/>
          <w:sz w:val="24"/>
          <w:szCs w:val="24"/>
          <w:lang w:val="en"/>
        </w:rPr>
        <w:t>storage is available for backup files.</w:t>
      </w:r>
      <w:bookmarkStart w:id="16" w:name="retention"/>
      <w:bookmarkEnd w:id="16"/>
    </w:p>
    <w:p w14:paraId="2A77AFC7" w14:textId="4643F359" w:rsidR="005732B3" w:rsidRPr="00D73A62" w:rsidRDefault="00B8432E" w:rsidP="00D73A62">
      <w:pPr>
        <w:shd w:val="clear" w:color="auto" w:fill="FFFFFF"/>
        <w:spacing w:line="276" w:lineRule="auto"/>
        <w:rPr>
          <w:rFonts w:eastAsia="Times New Roman" w:cstheme="minorHAnsi"/>
          <w:color w:val="000000"/>
          <w:sz w:val="24"/>
          <w:szCs w:val="24"/>
          <w:lang w:val="en"/>
        </w:rPr>
      </w:pPr>
      <w:r w:rsidRPr="00D73A62">
        <w:rPr>
          <w:rStyle w:val="Strong"/>
          <w:rFonts w:cstheme="minorHAnsi"/>
          <w:b w:val="0"/>
          <w:color w:val="000000"/>
          <w:sz w:val="24"/>
          <w:szCs w:val="24"/>
          <w:lang w:val="en"/>
        </w:rPr>
        <w:t>Retention and Disposal</w:t>
      </w:r>
      <w:r w:rsidRPr="00D73A62">
        <w:rPr>
          <w:rFonts w:cstheme="minorHAnsi"/>
          <w:b/>
          <w:color w:val="000000"/>
          <w:sz w:val="24"/>
          <w:szCs w:val="24"/>
          <w:lang w:val="en"/>
        </w:rPr>
        <w:t>:</w:t>
      </w:r>
      <w:r w:rsidRPr="00D73A62">
        <w:rPr>
          <w:rFonts w:cstheme="minorHAnsi"/>
          <w:color w:val="000000"/>
          <w:sz w:val="24"/>
          <w:szCs w:val="24"/>
          <w:lang w:val="en"/>
        </w:rPr>
        <w:t xml:space="preserve"> Records are retained and disposed of in accordance with the </w:t>
      </w:r>
      <w:r w:rsidR="00A3001B" w:rsidRPr="00D73A62">
        <w:rPr>
          <w:sz w:val="24"/>
          <w:szCs w:val="24"/>
          <w:lang w:val="en"/>
        </w:rPr>
        <w:t xml:space="preserve">CDC Records Control Schedule (B-321) and the </w:t>
      </w:r>
      <w:r w:rsidRPr="00D73A62">
        <w:rPr>
          <w:rFonts w:cstheme="minorHAnsi"/>
          <w:color w:val="000000"/>
          <w:sz w:val="24"/>
          <w:szCs w:val="24"/>
          <w:lang w:val="en"/>
        </w:rPr>
        <w:t xml:space="preserve">ATSDR Comprehensive Records Control Schedule (B-371). Current </w:t>
      </w:r>
      <w:r w:rsidR="00D73A62" w:rsidRPr="00D73A62">
        <w:rPr>
          <w:rFonts w:cstheme="minorHAnsi"/>
          <w:color w:val="000000"/>
          <w:sz w:val="24"/>
          <w:szCs w:val="24"/>
          <w:lang w:val="en"/>
        </w:rPr>
        <w:t xml:space="preserve">CDC and </w:t>
      </w:r>
      <w:r w:rsidR="00E4175B" w:rsidRPr="00D73A62">
        <w:rPr>
          <w:rFonts w:cstheme="minorHAnsi"/>
          <w:color w:val="000000"/>
          <w:sz w:val="24"/>
          <w:szCs w:val="24"/>
          <w:lang w:val="en"/>
        </w:rPr>
        <w:t xml:space="preserve">ATSDR </w:t>
      </w:r>
      <w:r w:rsidRPr="00D73A62">
        <w:rPr>
          <w:rFonts w:cstheme="minorHAnsi"/>
          <w:color w:val="000000"/>
          <w:sz w:val="24"/>
          <w:szCs w:val="24"/>
          <w:lang w:val="en"/>
        </w:rPr>
        <w:t>procedures allow the system manager to keep the records for 20 years unless n</w:t>
      </w:r>
      <w:r w:rsidR="00572E13" w:rsidRPr="00D73A62">
        <w:rPr>
          <w:rFonts w:cstheme="minorHAnsi"/>
          <w:color w:val="000000"/>
          <w:sz w:val="24"/>
          <w:szCs w:val="24"/>
          <w:lang w:val="en"/>
        </w:rPr>
        <w:t xml:space="preserve">eeded for further study. </w:t>
      </w:r>
      <w:r w:rsidRPr="00D73A62">
        <w:rPr>
          <w:rFonts w:cstheme="minorHAnsi"/>
          <w:color w:val="000000"/>
          <w:sz w:val="24"/>
          <w:szCs w:val="24"/>
          <w:lang w:val="en"/>
        </w:rPr>
        <w:t>Retention periods vary depending on the type of record. Source docum</w:t>
      </w:r>
      <w:r w:rsidR="00572E13" w:rsidRPr="00D73A62">
        <w:rPr>
          <w:rFonts w:cstheme="minorHAnsi"/>
          <w:color w:val="000000"/>
          <w:sz w:val="24"/>
          <w:szCs w:val="24"/>
          <w:lang w:val="en"/>
        </w:rPr>
        <w:t>ents for records</w:t>
      </w:r>
      <w:r w:rsidRPr="00D73A62">
        <w:rPr>
          <w:rFonts w:cstheme="minorHAnsi"/>
          <w:color w:val="000000"/>
          <w:sz w:val="24"/>
          <w:szCs w:val="24"/>
          <w:lang w:val="en"/>
        </w:rPr>
        <w:t xml:space="preserve"> are disposed of when no longer needed in the study as determined by the system manager, and as provided in the signed consent form, as appropriate.</w:t>
      </w:r>
    </w:p>
    <w:p w14:paraId="340631F3" w14:textId="34ACC1D9" w:rsidR="004B1E79" w:rsidRDefault="00B8432E" w:rsidP="00572E13">
      <w:pPr>
        <w:autoSpaceDE w:val="0"/>
        <w:autoSpaceDN w:val="0"/>
        <w:adjustRightInd w:val="0"/>
        <w:spacing w:line="276" w:lineRule="auto"/>
        <w:rPr>
          <w:rFonts w:cs="ITCFranklinGothicStd-Demi"/>
          <w:sz w:val="24"/>
          <w:szCs w:val="24"/>
        </w:rPr>
      </w:pPr>
      <w:r w:rsidRPr="00572E13">
        <w:rPr>
          <w:rFonts w:cs="ITCFranklinGothicStd-Book"/>
          <w:i/>
          <w:sz w:val="24"/>
          <w:szCs w:val="24"/>
          <w:u w:val="single"/>
        </w:rPr>
        <w:t>Privacy Impact Assessment</w:t>
      </w:r>
      <w:r w:rsidRPr="00572E13">
        <w:rPr>
          <w:rFonts w:cs="ITCFranklinGothicStd-Book"/>
          <w:i/>
          <w:sz w:val="24"/>
          <w:szCs w:val="24"/>
        </w:rPr>
        <w:t xml:space="preserve">: </w:t>
      </w:r>
      <w:r w:rsidR="0097185F" w:rsidRPr="00572E13">
        <w:rPr>
          <w:rFonts w:cs="ITCFranklinGothicStd-Book"/>
          <w:sz w:val="24"/>
          <w:szCs w:val="24"/>
        </w:rPr>
        <w:t>ATSDR</w:t>
      </w:r>
      <w:r w:rsidRPr="00572E13">
        <w:rPr>
          <w:rFonts w:cs="ITCFranklinGothicStd-Book"/>
          <w:sz w:val="24"/>
          <w:szCs w:val="24"/>
        </w:rPr>
        <w:t xml:space="preserve"> will collect,</w:t>
      </w:r>
      <w:r w:rsidR="004B1E79" w:rsidRPr="00572E13">
        <w:rPr>
          <w:rFonts w:cs="ITCFranklinGothicStd-Book"/>
          <w:sz w:val="24"/>
          <w:szCs w:val="24"/>
        </w:rPr>
        <w:t xml:space="preserve"> maintain</w:t>
      </w:r>
      <w:r w:rsidRPr="00572E13">
        <w:rPr>
          <w:rFonts w:cs="ITCFranklinGothicStd-Book"/>
          <w:sz w:val="24"/>
          <w:szCs w:val="24"/>
        </w:rPr>
        <w:t>, and</w:t>
      </w:r>
      <w:r w:rsidR="004B1E79" w:rsidRPr="00572E13">
        <w:rPr>
          <w:rFonts w:cs="ITCFranklinGothicStd-Book"/>
          <w:sz w:val="24"/>
          <w:szCs w:val="24"/>
        </w:rPr>
        <w:t xml:space="preserve"> disseminate </w:t>
      </w:r>
      <w:r w:rsidR="006D432C" w:rsidRPr="00572E13">
        <w:rPr>
          <w:rFonts w:cs="ITCFranklinGothicStd-Book"/>
          <w:sz w:val="24"/>
          <w:szCs w:val="24"/>
        </w:rPr>
        <w:t xml:space="preserve">IIF </w:t>
      </w:r>
      <w:r w:rsidR="006A00BF">
        <w:rPr>
          <w:rFonts w:cs="ITCFranklinGothicStd-Book"/>
          <w:sz w:val="24"/>
          <w:szCs w:val="24"/>
        </w:rPr>
        <w:t xml:space="preserve">in </w:t>
      </w:r>
      <w:r w:rsidR="00AF540B">
        <w:rPr>
          <w:rFonts w:cs="ITCFranklinGothicStd-Book"/>
          <w:sz w:val="24"/>
          <w:szCs w:val="24"/>
        </w:rPr>
        <w:t>flat files stored in encrypted share drive. T</w:t>
      </w:r>
      <w:r w:rsidR="006A00BF">
        <w:rPr>
          <w:rFonts w:cs="ITCFranklinGothicStd-Book"/>
          <w:sz w:val="24"/>
          <w:szCs w:val="24"/>
        </w:rPr>
        <w:t>he</w:t>
      </w:r>
      <w:r w:rsidR="00A6339F">
        <w:rPr>
          <w:rFonts w:cs="ITCFranklinGothicStd-Book"/>
          <w:sz w:val="24"/>
          <w:szCs w:val="24"/>
        </w:rPr>
        <w:t xml:space="preserve"> CDC NCEH</w:t>
      </w:r>
      <w:r w:rsidRPr="00572E13">
        <w:rPr>
          <w:rFonts w:cs="ITCFranklinGothicStd-Book"/>
          <w:sz w:val="24"/>
          <w:szCs w:val="24"/>
        </w:rPr>
        <w:t xml:space="preserve"> </w:t>
      </w:r>
      <w:r w:rsidR="007D39AD">
        <w:rPr>
          <w:rFonts w:cs="ITCFranklinGothicStd-Book"/>
          <w:sz w:val="24"/>
          <w:szCs w:val="24"/>
        </w:rPr>
        <w:t>Division of Environmental Health Science and Practice (DEHSP) Lead Poisoning Prevention and Environmental Health Tracking Branch (LPPEHTB)</w:t>
      </w:r>
      <w:r w:rsidR="00AF540B">
        <w:rPr>
          <w:rFonts w:cs="ITCFranklinGothicStd-Book"/>
          <w:sz w:val="24"/>
          <w:szCs w:val="24"/>
        </w:rPr>
        <w:t xml:space="preserve"> will receive files from forms that do not collect IIF</w:t>
      </w:r>
      <w:r w:rsidR="004B1E79" w:rsidRPr="00572E13">
        <w:rPr>
          <w:rFonts w:cs="ITCFranklinGothicStd-Book"/>
          <w:sz w:val="24"/>
          <w:szCs w:val="24"/>
        </w:rPr>
        <w:t>.</w:t>
      </w:r>
      <w:r w:rsidRPr="00572E13">
        <w:rPr>
          <w:rFonts w:cs="ITCFranklinGothicStd-Book"/>
          <w:sz w:val="24"/>
          <w:szCs w:val="24"/>
        </w:rPr>
        <w:t xml:space="preserve"> </w:t>
      </w:r>
      <w:r w:rsidR="00D52881">
        <w:rPr>
          <w:rFonts w:cs="ITCFranklinGothicStd-Demi"/>
          <w:sz w:val="24"/>
          <w:szCs w:val="24"/>
        </w:rPr>
        <w:t xml:space="preserve">The NCEH/ATSDR </w:t>
      </w:r>
      <w:r w:rsidR="00E0434A">
        <w:rPr>
          <w:rFonts w:cs="ITCFranklinGothicStd-Demi"/>
          <w:sz w:val="24"/>
          <w:szCs w:val="24"/>
        </w:rPr>
        <w:t xml:space="preserve">Information Systems Security Officer (ISSO) </w:t>
      </w:r>
      <w:r w:rsidR="00D52881">
        <w:rPr>
          <w:rFonts w:cs="ITCFranklinGothicStd-Demi"/>
          <w:sz w:val="24"/>
          <w:szCs w:val="24"/>
        </w:rPr>
        <w:t>has determined that a</w:t>
      </w:r>
      <w:r w:rsidRPr="00572E13">
        <w:rPr>
          <w:rFonts w:cs="ITCFranklinGothicStd-Demi"/>
          <w:sz w:val="24"/>
          <w:szCs w:val="24"/>
        </w:rPr>
        <w:t xml:space="preserve"> </w:t>
      </w:r>
      <w:r w:rsidR="00C647AF">
        <w:rPr>
          <w:rFonts w:cs="ITCFranklinGothicStd-Demi"/>
          <w:sz w:val="24"/>
          <w:szCs w:val="24"/>
        </w:rPr>
        <w:t xml:space="preserve">full </w:t>
      </w:r>
      <w:r w:rsidRPr="00572E13">
        <w:rPr>
          <w:rFonts w:cs="ITCFranklinGothicStd-Demi"/>
          <w:sz w:val="24"/>
          <w:szCs w:val="24"/>
        </w:rPr>
        <w:t>Privacy Impact</w:t>
      </w:r>
      <w:r w:rsidR="007D39AD">
        <w:rPr>
          <w:rFonts w:cs="ITCFranklinGothicStd-Demi"/>
          <w:sz w:val="24"/>
          <w:szCs w:val="24"/>
        </w:rPr>
        <w:t xml:space="preserve"> Assessment (PIA) </w:t>
      </w:r>
      <w:r w:rsidR="00D52881">
        <w:rPr>
          <w:rFonts w:cs="ITCFranklinGothicStd-Demi"/>
          <w:sz w:val="24"/>
          <w:szCs w:val="24"/>
        </w:rPr>
        <w:t xml:space="preserve">is </w:t>
      </w:r>
      <w:r w:rsidR="00F53E33">
        <w:rPr>
          <w:rFonts w:cs="ITCFranklinGothicStd-Demi"/>
          <w:sz w:val="24"/>
          <w:szCs w:val="24"/>
        </w:rPr>
        <w:t xml:space="preserve">not </w:t>
      </w:r>
      <w:r w:rsidR="00D52881">
        <w:rPr>
          <w:rFonts w:cs="ITCFranklinGothicStd-Demi"/>
          <w:sz w:val="24"/>
          <w:szCs w:val="24"/>
        </w:rPr>
        <w:t>required</w:t>
      </w:r>
      <w:r w:rsidR="00F53E33">
        <w:rPr>
          <w:rFonts w:cs="ITCFranklinGothicStd-Demi"/>
          <w:sz w:val="24"/>
          <w:szCs w:val="24"/>
        </w:rPr>
        <w:t xml:space="preserve"> as the information collection does not have a single dedicated IT system. It uses various authorized CDC IT systems for the collection, processing, analysis, and storage of the data</w:t>
      </w:r>
      <w:r w:rsidRPr="00572E13">
        <w:rPr>
          <w:rFonts w:cs="ITCFranklinGothicStd-Demi"/>
          <w:sz w:val="24"/>
          <w:szCs w:val="24"/>
        </w:rPr>
        <w:t xml:space="preserve">. The submission </w:t>
      </w:r>
      <w:r w:rsidRPr="00F53E33">
        <w:rPr>
          <w:rFonts w:cs="ITCFranklinGothicStd-Demi"/>
          <w:sz w:val="24"/>
          <w:szCs w:val="24"/>
        </w:rPr>
        <w:t xml:space="preserve">date </w:t>
      </w:r>
      <w:r w:rsidRPr="006169A4">
        <w:rPr>
          <w:rFonts w:cs="ITCFranklinGothicStd-Demi"/>
          <w:sz w:val="24"/>
          <w:szCs w:val="24"/>
        </w:rPr>
        <w:t xml:space="preserve">was </w:t>
      </w:r>
      <w:r w:rsidR="00F53E33" w:rsidRPr="006169A4">
        <w:rPr>
          <w:rFonts w:cs="ITCFranklinGothicStd-Demi"/>
          <w:sz w:val="24"/>
          <w:szCs w:val="24"/>
        </w:rPr>
        <w:t>11/16/2018</w:t>
      </w:r>
      <w:r w:rsidRPr="00F53E33">
        <w:rPr>
          <w:rFonts w:cs="ITCFranklinGothicStd-Demi"/>
          <w:sz w:val="24"/>
          <w:szCs w:val="24"/>
        </w:rPr>
        <w:t xml:space="preserve"> (</w:t>
      </w:r>
      <w:r w:rsidR="00682259">
        <w:rPr>
          <w:rFonts w:cs="ITCFranklinGothicStd-Demi"/>
          <w:b/>
          <w:sz w:val="24"/>
          <w:szCs w:val="24"/>
        </w:rPr>
        <w:t xml:space="preserve">Appendix </w:t>
      </w:r>
      <w:r w:rsidR="00782B50">
        <w:rPr>
          <w:rFonts w:cs="ITCFranklinGothicStd-Demi"/>
          <w:b/>
          <w:sz w:val="24"/>
          <w:szCs w:val="24"/>
        </w:rPr>
        <w:t>D</w:t>
      </w:r>
      <w:r w:rsidR="00682259">
        <w:rPr>
          <w:rFonts w:cs="ITCFranklinGothicStd-Demi"/>
          <w:sz w:val="24"/>
          <w:szCs w:val="24"/>
        </w:rPr>
        <w:t>)</w:t>
      </w:r>
      <w:r w:rsidR="00D73A62">
        <w:rPr>
          <w:rFonts w:cs="ITCFranklinGothicStd-Demi"/>
          <w:sz w:val="24"/>
          <w:szCs w:val="24"/>
        </w:rPr>
        <w:t>.</w:t>
      </w:r>
    </w:p>
    <w:p w14:paraId="7F53F905" w14:textId="6FE56D81" w:rsidR="001E5A44" w:rsidRPr="00C416C8" w:rsidRDefault="001E5A44" w:rsidP="00572E13">
      <w:pPr>
        <w:autoSpaceDE w:val="0"/>
        <w:autoSpaceDN w:val="0"/>
        <w:adjustRightInd w:val="0"/>
        <w:spacing w:line="276" w:lineRule="auto"/>
        <w:rPr>
          <w:rFonts w:cs="ITCFranklinGothicStd-Book"/>
          <w:sz w:val="24"/>
          <w:szCs w:val="24"/>
        </w:rPr>
      </w:pPr>
      <w:r w:rsidRPr="001E5A44">
        <w:rPr>
          <w:rFonts w:cs="ITCFranklinGothicStd-Demi"/>
          <w:sz w:val="24"/>
          <w:szCs w:val="24"/>
        </w:rPr>
        <w:t>The system’s Security Plan defines the process for handling security incidents. The system’s</w:t>
      </w:r>
      <w:r>
        <w:rPr>
          <w:rFonts w:cs="ITCFranklinGothicStd-Demi"/>
          <w:sz w:val="24"/>
          <w:szCs w:val="24"/>
        </w:rPr>
        <w:t xml:space="preserve"> team and OCISO</w:t>
      </w:r>
      <w:r w:rsidRPr="001E5A44">
        <w:rPr>
          <w:rFonts w:cs="ITCFranklinGothicStd-Demi"/>
          <w:sz w:val="24"/>
          <w:szCs w:val="24"/>
        </w:rPr>
        <w:t xml:space="preserve"> share the responsibilities for event monitoring and incident response. </w:t>
      </w:r>
      <w:r w:rsidR="00C416C8" w:rsidRPr="00572E13">
        <w:rPr>
          <w:iCs/>
          <w:sz w:val="24"/>
          <w:szCs w:val="24"/>
        </w:rPr>
        <w:t xml:space="preserve">All incidents involving a suspected </w:t>
      </w:r>
      <w:r w:rsidR="00C416C8">
        <w:rPr>
          <w:iCs/>
          <w:sz w:val="24"/>
          <w:szCs w:val="24"/>
        </w:rPr>
        <w:t>or confirmed breach of IIF</w:t>
      </w:r>
      <w:r w:rsidR="00C416C8" w:rsidRPr="00572E13">
        <w:rPr>
          <w:iCs/>
          <w:sz w:val="24"/>
          <w:szCs w:val="24"/>
        </w:rPr>
        <w:t xml:space="preserve"> must be reported to OCISO according to the policy titled “OCISO/CDC Standard for Responding to Breaches of Personally Identifiable Information (PII).</w:t>
      </w:r>
      <w:r w:rsidR="00C416C8" w:rsidRPr="00572E13">
        <w:rPr>
          <w:sz w:val="24"/>
          <w:szCs w:val="24"/>
        </w:rPr>
        <w:t>”</w:t>
      </w:r>
      <w:r w:rsidR="00C416C8">
        <w:rPr>
          <w:rFonts w:cs="ITCFranklinGothicStd-Book"/>
          <w:sz w:val="24"/>
          <w:szCs w:val="24"/>
        </w:rPr>
        <w:t xml:space="preserve"> </w:t>
      </w:r>
      <w:r w:rsidRPr="001E5A44">
        <w:rPr>
          <w:rFonts w:cs="ITCFranklinGothicStd-Demi"/>
          <w:sz w:val="24"/>
          <w:szCs w:val="24"/>
        </w:rPr>
        <w:t>The team will direct reports of suspicious security or adverse privacy-related</w:t>
      </w:r>
      <w:r>
        <w:rPr>
          <w:rFonts w:cs="ITCFranklinGothicStd-Demi"/>
          <w:sz w:val="24"/>
          <w:szCs w:val="24"/>
        </w:rPr>
        <w:t xml:space="preserve"> events to the NCEH/ATSDR ISSO</w:t>
      </w:r>
      <w:r w:rsidRPr="001E5A44">
        <w:rPr>
          <w:rFonts w:cs="ITCFranklinGothicStd-Demi"/>
          <w:sz w:val="24"/>
          <w:szCs w:val="24"/>
        </w:rPr>
        <w:t>, CDC helpdesk, or to the CDC Incident Response team. The CDC OCISO reports to the HHS Secure One Communications Center, which reports incidents</w:t>
      </w:r>
      <w:r>
        <w:rPr>
          <w:rFonts w:cs="ITCFranklinGothicStd-Demi"/>
          <w:sz w:val="24"/>
          <w:szCs w:val="24"/>
        </w:rPr>
        <w:t xml:space="preserve"> to US-CERT as appropriate.</w:t>
      </w:r>
    </w:p>
    <w:p w14:paraId="3261687A" w14:textId="4C8B018C" w:rsidR="00A65244" w:rsidRPr="00572E13" w:rsidRDefault="00C647AF" w:rsidP="00572E13">
      <w:pPr>
        <w:autoSpaceDE w:val="0"/>
        <w:autoSpaceDN w:val="0"/>
        <w:adjustRightInd w:val="0"/>
        <w:spacing w:line="276" w:lineRule="auto"/>
        <w:rPr>
          <w:rFonts w:cs="ITCFranklinGothicStd-Book"/>
          <w:sz w:val="24"/>
          <w:szCs w:val="24"/>
        </w:rPr>
      </w:pPr>
      <w:r>
        <w:rPr>
          <w:rFonts w:cs="ITCFranklinGothicStd-Book"/>
          <w:sz w:val="24"/>
          <w:szCs w:val="24"/>
        </w:rPr>
        <w:t>Th</w:t>
      </w:r>
      <w:r w:rsidR="00A51052">
        <w:rPr>
          <w:rFonts w:cs="ITCFranklinGothicStd-Book"/>
          <w:sz w:val="24"/>
          <w:szCs w:val="24"/>
        </w:rPr>
        <w:t>e participant</w:t>
      </w:r>
      <w:r w:rsidR="00AA2343" w:rsidRPr="00572E13">
        <w:rPr>
          <w:rFonts w:cs="ITCFranklinGothicStd-Book"/>
          <w:sz w:val="24"/>
          <w:szCs w:val="24"/>
        </w:rPr>
        <w:t xml:space="preserve"> will be informed about the security measures fo</w:t>
      </w:r>
      <w:r>
        <w:rPr>
          <w:rFonts w:cs="ITCFranklinGothicStd-Book"/>
          <w:sz w:val="24"/>
          <w:szCs w:val="24"/>
        </w:rPr>
        <w:t xml:space="preserve">r privacy protections. </w:t>
      </w:r>
      <w:r w:rsidR="00AA2343" w:rsidRPr="00572E13">
        <w:rPr>
          <w:rFonts w:cs="ITCFranklinGothicStd-Book"/>
          <w:sz w:val="24"/>
          <w:szCs w:val="24"/>
        </w:rPr>
        <w:t>The advisement information on privacy protections is conta</w:t>
      </w:r>
      <w:r w:rsidR="00D1062F">
        <w:rPr>
          <w:rFonts w:cs="ITCFranklinGothicStd-Book"/>
          <w:sz w:val="24"/>
          <w:szCs w:val="24"/>
        </w:rPr>
        <w:t>ined in the consent information</w:t>
      </w:r>
      <w:r w:rsidR="00405268">
        <w:rPr>
          <w:rFonts w:cs="ITCFranklinGothicStd-Book"/>
          <w:sz w:val="24"/>
          <w:szCs w:val="24"/>
        </w:rPr>
        <w:t xml:space="preserve"> (</w:t>
      </w:r>
      <w:r w:rsidR="00D1062F" w:rsidRPr="00D1062F">
        <w:rPr>
          <w:rFonts w:cs="ITCFranklinGothicStd-Book"/>
          <w:b/>
          <w:sz w:val="24"/>
          <w:szCs w:val="24"/>
        </w:rPr>
        <w:t>Attachment 9b</w:t>
      </w:r>
      <w:r w:rsidR="00405268">
        <w:rPr>
          <w:rFonts w:cs="ITCFranklinGothicStd-Book"/>
          <w:sz w:val="24"/>
          <w:szCs w:val="24"/>
        </w:rPr>
        <w:t>) and the study fact sheet (</w:t>
      </w:r>
      <w:r w:rsidR="00405268">
        <w:rPr>
          <w:rFonts w:cs="ITCFranklinGothicStd-Book"/>
          <w:b/>
          <w:sz w:val="24"/>
          <w:szCs w:val="24"/>
        </w:rPr>
        <w:t>Attachment 9c</w:t>
      </w:r>
      <w:r w:rsidR="00405268">
        <w:rPr>
          <w:rFonts w:cs="ITCFranklinGothicStd-Book"/>
          <w:sz w:val="24"/>
          <w:szCs w:val="24"/>
        </w:rPr>
        <w:t>)</w:t>
      </w:r>
      <w:r w:rsidR="00B10BCB" w:rsidRPr="00D1062F">
        <w:rPr>
          <w:rFonts w:cs="ITCFranklinGothicStd-Book"/>
          <w:sz w:val="24"/>
          <w:szCs w:val="24"/>
        </w:rPr>
        <w:t>.</w:t>
      </w:r>
      <w:r w:rsidR="00D1062F">
        <w:rPr>
          <w:rFonts w:cs="ITCFranklinGothicStd-Book"/>
          <w:sz w:val="24"/>
          <w:szCs w:val="24"/>
        </w:rPr>
        <w:t xml:space="preserve"> </w:t>
      </w:r>
    </w:p>
    <w:p w14:paraId="0C5557F4" w14:textId="2B0AC53A" w:rsidR="0019133A" w:rsidRPr="0019133A" w:rsidRDefault="00A51052" w:rsidP="0019133A">
      <w:pPr>
        <w:pStyle w:val="ListParagraph"/>
        <w:numPr>
          <w:ilvl w:val="0"/>
          <w:numId w:val="6"/>
        </w:numPr>
        <w:autoSpaceDE w:val="0"/>
        <w:autoSpaceDN w:val="0"/>
        <w:adjustRightInd w:val="0"/>
        <w:spacing w:line="276" w:lineRule="auto"/>
        <w:contextualSpacing w:val="0"/>
        <w:rPr>
          <w:rFonts w:cs="ITCFranklinGothicStd-Book"/>
          <w:sz w:val="24"/>
          <w:szCs w:val="24"/>
        </w:rPr>
      </w:pPr>
      <w:r w:rsidRPr="0019133A">
        <w:rPr>
          <w:rFonts w:cs="Arial"/>
          <w:sz w:val="24"/>
          <w:szCs w:val="24"/>
        </w:rPr>
        <w:t>The participant will be informed that, under the requirements of the 2016</w:t>
      </w:r>
      <w:r w:rsidR="00C416C8" w:rsidRPr="0019133A">
        <w:rPr>
          <w:rFonts w:cs="Arial"/>
          <w:sz w:val="24"/>
          <w:szCs w:val="24"/>
        </w:rPr>
        <w:t xml:space="preserve"> 21</w:t>
      </w:r>
      <w:r w:rsidR="00C416C8" w:rsidRPr="0019133A">
        <w:rPr>
          <w:rFonts w:cs="Arial"/>
          <w:sz w:val="24"/>
          <w:szCs w:val="24"/>
          <w:vertAlign w:val="superscript"/>
        </w:rPr>
        <w:t>st</w:t>
      </w:r>
      <w:r w:rsidR="00C416C8" w:rsidRPr="0019133A">
        <w:rPr>
          <w:rFonts w:cs="Arial"/>
          <w:sz w:val="24"/>
          <w:szCs w:val="24"/>
        </w:rPr>
        <w:t xml:space="preserve"> Century Cures Act</w:t>
      </w:r>
      <w:r w:rsidRPr="0019133A">
        <w:rPr>
          <w:rFonts w:cs="Arial"/>
          <w:sz w:val="24"/>
          <w:szCs w:val="24"/>
        </w:rPr>
        <w:t xml:space="preserve"> and Section 301 of the Public Health Service Act</w:t>
      </w:r>
      <w:r w:rsidR="00C416C8" w:rsidRPr="0019133A">
        <w:rPr>
          <w:rFonts w:cs="Arial"/>
          <w:sz w:val="24"/>
          <w:szCs w:val="24"/>
        </w:rPr>
        <w:t xml:space="preserve">, ATSDR will issue a </w:t>
      </w:r>
      <w:r w:rsidR="00E64C21" w:rsidRPr="0019133A">
        <w:rPr>
          <w:rFonts w:cs="Arial"/>
          <w:sz w:val="24"/>
          <w:szCs w:val="24"/>
        </w:rPr>
        <w:t>301(d) Certificate</w:t>
      </w:r>
      <w:r w:rsidR="00C416C8" w:rsidRPr="0019133A">
        <w:rPr>
          <w:rFonts w:cs="Arial"/>
          <w:sz w:val="24"/>
          <w:szCs w:val="24"/>
        </w:rPr>
        <w:t xml:space="preserve"> o</w:t>
      </w:r>
      <w:r w:rsidR="00E64C21" w:rsidRPr="0019133A">
        <w:rPr>
          <w:rFonts w:cs="Arial"/>
          <w:sz w:val="24"/>
          <w:szCs w:val="24"/>
        </w:rPr>
        <w:t>f Confidentiality</w:t>
      </w:r>
      <w:r w:rsidR="00C416C8" w:rsidRPr="0019133A">
        <w:rPr>
          <w:sz w:val="24"/>
          <w:szCs w:val="24"/>
          <w:lang w:val="en"/>
        </w:rPr>
        <w:t xml:space="preserve"> (CoC)</w:t>
      </w:r>
      <w:r w:rsidR="00DE136C" w:rsidRPr="0019133A">
        <w:rPr>
          <w:sz w:val="24"/>
          <w:szCs w:val="24"/>
          <w:lang w:val="en"/>
        </w:rPr>
        <w:t xml:space="preserve"> (</w:t>
      </w:r>
      <w:r w:rsidR="00D72307">
        <w:rPr>
          <w:b/>
          <w:sz w:val="24"/>
          <w:szCs w:val="24"/>
          <w:lang w:val="en"/>
        </w:rPr>
        <w:t>Appendix E</w:t>
      </w:r>
      <w:r w:rsidR="00DE136C" w:rsidRPr="0019133A">
        <w:rPr>
          <w:sz w:val="24"/>
          <w:szCs w:val="24"/>
          <w:lang w:val="en"/>
        </w:rPr>
        <w:t>)</w:t>
      </w:r>
      <w:r w:rsidRPr="0019133A">
        <w:rPr>
          <w:sz w:val="24"/>
          <w:szCs w:val="24"/>
          <w:lang w:val="en"/>
        </w:rPr>
        <w:t xml:space="preserve">. </w:t>
      </w:r>
    </w:p>
    <w:p w14:paraId="6E01E36A" w14:textId="0724C6CD" w:rsidR="0019133A" w:rsidRPr="0019133A" w:rsidRDefault="0019133A" w:rsidP="0019133A">
      <w:pPr>
        <w:pStyle w:val="ListParagraph"/>
        <w:numPr>
          <w:ilvl w:val="0"/>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The ATSDR plans for data ownership and data sharin</w:t>
      </w:r>
      <w:r w:rsidR="00494BFD">
        <w:rPr>
          <w:rFonts w:cstheme="minorHAnsi"/>
          <w:color w:val="000000"/>
          <w:sz w:val="24"/>
          <w:szCs w:val="24"/>
        </w:rPr>
        <w:t xml:space="preserve">g are found in the </w:t>
      </w:r>
      <w:r w:rsidR="00494BFD" w:rsidRPr="00494BFD">
        <w:rPr>
          <w:rFonts w:cstheme="minorHAnsi"/>
          <w:b/>
          <w:color w:val="000000"/>
          <w:sz w:val="24"/>
          <w:szCs w:val="24"/>
        </w:rPr>
        <w:t>Pease Study P</w:t>
      </w:r>
      <w:r w:rsidRPr="00494BFD">
        <w:rPr>
          <w:rFonts w:cstheme="minorHAnsi"/>
          <w:b/>
          <w:color w:val="000000"/>
          <w:sz w:val="24"/>
          <w:szCs w:val="24"/>
        </w:rPr>
        <w:t>rotocol</w:t>
      </w:r>
      <w:r>
        <w:rPr>
          <w:rFonts w:cstheme="minorHAnsi"/>
          <w:color w:val="000000"/>
          <w:sz w:val="24"/>
          <w:szCs w:val="24"/>
        </w:rPr>
        <w:t xml:space="preserve"> (</w:t>
      </w:r>
      <w:r>
        <w:rPr>
          <w:rFonts w:cstheme="minorHAnsi"/>
          <w:b/>
          <w:color w:val="000000"/>
          <w:sz w:val="24"/>
          <w:szCs w:val="24"/>
        </w:rPr>
        <w:t>Section 3.8</w:t>
      </w:r>
      <w:r w:rsidRPr="0019133A">
        <w:rPr>
          <w:rFonts w:cstheme="minorHAnsi"/>
          <w:b/>
          <w:color w:val="000000"/>
          <w:sz w:val="24"/>
          <w:szCs w:val="24"/>
        </w:rPr>
        <w:t>.5</w:t>
      </w:r>
      <w:r>
        <w:rPr>
          <w:rFonts w:cstheme="minorHAnsi"/>
          <w:color w:val="000000"/>
          <w:sz w:val="24"/>
          <w:szCs w:val="24"/>
        </w:rPr>
        <w:t xml:space="preserve">). </w:t>
      </w:r>
    </w:p>
    <w:p w14:paraId="599B175F" w14:textId="77777777" w:rsidR="0019133A" w:rsidRPr="0019133A" w:rsidRDefault="0019133A" w:rsidP="0019133A">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Coded research datasets </w:t>
      </w:r>
      <w:r>
        <w:rPr>
          <w:rFonts w:cstheme="minorHAnsi"/>
          <w:color w:val="000000"/>
          <w:sz w:val="24"/>
          <w:szCs w:val="24"/>
        </w:rPr>
        <w:t>and specimens will be available to</w:t>
      </w:r>
      <w:r w:rsidRPr="0019133A">
        <w:rPr>
          <w:rFonts w:cstheme="minorHAnsi"/>
          <w:color w:val="000000"/>
          <w:sz w:val="24"/>
          <w:szCs w:val="24"/>
        </w:rPr>
        <w:t xml:space="preserve"> ATSDR study investigators listed in </w:t>
      </w:r>
      <w:r w:rsidRPr="0019133A">
        <w:rPr>
          <w:rFonts w:cstheme="minorHAnsi"/>
          <w:b/>
          <w:color w:val="000000"/>
          <w:sz w:val="24"/>
          <w:szCs w:val="24"/>
        </w:rPr>
        <w:t>Attachment 1</w:t>
      </w:r>
      <w:r>
        <w:rPr>
          <w:rFonts w:cstheme="minorHAnsi"/>
          <w:color w:val="000000"/>
          <w:sz w:val="24"/>
          <w:szCs w:val="24"/>
        </w:rPr>
        <w:t xml:space="preserve">. </w:t>
      </w:r>
    </w:p>
    <w:p w14:paraId="4A94EF7E" w14:textId="7B7B7E70" w:rsidR="00D50F3E" w:rsidRPr="00D50F3E" w:rsidRDefault="00D50F3E"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Coding with a study ID means that datasets and specimens are still identifiable to investigators.</w:t>
      </w:r>
    </w:p>
    <w:p w14:paraId="07AFE8C6" w14:textId="7D629902" w:rsidR="00542FA4" w:rsidRPr="00542FA4"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ATSDR</w:t>
      </w:r>
      <w:r w:rsidRPr="0019133A">
        <w:rPr>
          <w:rFonts w:cstheme="minorHAnsi"/>
          <w:color w:val="000000"/>
          <w:sz w:val="24"/>
          <w:szCs w:val="24"/>
        </w:rPr>
        <w:t xml:space="preserve"> will produce coded datasets by removing the following: name, SSN, date of birth, address, former address (es), phone number, and date of completion of the blood draw and questionnaire.  </w:t>
      </w:r>
    </w:p>
    <w:p w14:paraId="1BFEBAB5" w14:textId="2E4FD1BA" w:rsidR="00542FA4" w:rsidRPr="00542FA4" w:rsidRDefault="0019133A"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SSN will be collected at enrollment for linkage to medical records and school records.  Once the linkage has occurred, the SSN will be kept with other PII in a separate access restricted secure database. </w:t>
      </w:r>
      <w:r w:rsidR="004D7760">
        <w:rPr>
          <w:rFonts w:cstheme="minorHAnsi"/>
          <w:color w:val="000000"/>
          <w:sz w:val="24"/>
          <w:szCs w:val="24"/>
        </w:rPr>
        <w:t>ATSDR may use SSN for tracking and tracing Pease Study participants for future studies.</w:t>
      </w:r>
    </w:p>
    <w:p w14:paraId="2E5AC494" w14:textId="32485557" w:rsidR="0019133A" w:rsidRPr="0019133A" w:rsidRDefault="0019133A"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Age will replace date of birth in the data analysis file because it is the necessary variable in exposure and health outcome analyses. </w:t>
      </w:r>
    </w:p>
    <w:p w14:paraId="71FEDF5C" w14:textId="0CBFC286" w:rsidR="0019133A" w:rsidRPr="0019133A"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Specimen collection tubes provided to performing laboratories </w:t>
      </w:r>
      <w:r w:rsidR="00D50F3E">
        <w:rPr>
          <w:rFonts w:cstheme="minorHAnsi"/>
          <w:color w:val="000000"/>
          <w:sz w:val="24"/>
          <w:szCs w:val="24"/>
        </w:rPr>
        <w:t>will be cod</w:t>
      </w:r>
      <w:r>
        <w:rPr>
          <w:rFonts w:cstheme="minorHAnsi"/>
          <w:color w:val="000000"/>
          <w:sz w:val="24"/>
          <w:szCs w:val="24"/>
        </w:rPr>
        <w:t>ed with study ID only.</w:t>
      </w:r>
      <w:r w:rsidR="00D50F3E">
        <w:rPr>
          <w:rFonts w:cstheme="minorHAnsi"/>
          <w:color w:val="000000"/>
          <w:sz w:val="24"/>
          <w:szCs w:val="24"/>
        </w:rPr>
        <w:t xml:space="preserve"> </w:t>
      </w:r>
    </w:p>
    <w:p w14:paraId="75282467" w14:textId="65497232" w:rsidR="0019133A" w:rsidRPr="00542FA4"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 xml:space="preserve">ATSDR PIs will maintain the identifying links as described in the consent </w:t>
      </w:r>
      <w:r w:rsidR="00B12B2E">
        <w:rPr>
          <w:rFonts w:cstheme="minorHAnsi"/>
          <w:color w:val="000000"/>
          <w:sz w:val="24"/>
          <w:szCs w:val="24"/>
        </w:rPr>
        <w:t>information</w:t>
      </w:r>
      <w:r>
        <w:rPr>
          <w:rFonts w:cstheme="minorHAnsi"/>
          <w:color w:val="000000"/>
          <w:sz w:val="24"/>
          <w:szCs w:val="24"/>
        </w:rPr>
        <w:t xml:space="preserve"> (</w:t>
      </w:r>
      <w:r>
        <w:rPr>
          <w:rFonts w:cstheme="minorHAnsi"/>
          <w:b/>
          <w:color w:val="000000"/>
          <w:sz w:val="24"/>
          <w:szCs w:val="24"/>
        </w:rPr>
        <w:t>Attachments 9b&amp;9c</w:t>
      </w:r>
      <w:r w:rsidR="00542FA4">
        <w:rPr>
          <w:rFonts w:cstheme="minorHAnsi"/>
          <w:color w:val="000000"/>
          <w:sz w:val="24"/>
          <w:szCs w:val="24"/>
        </w:rPr>
        <w:t>):</w:t>
      </w:r>
    </w:p>
    <w:p w14:paraId="4DAED3FC" w14:textId="27B45D03" w:rsidR="00542FA4" w:rsidRPr="00542FA4" w:rsidRDefault="00542FA4"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theme="minorHAnsi"/>
          <w:color w:val="000000"/>
          <w:sz w:val="24"/>
          <w:szCs w:val="24"/>
        </w:rPr>
        <w:t>To report results for the Pease Study and any future research studies, if necessary, by ATSDR.</w:t>
      </w:r>
    </w:p>
    <w:p w14:paraId="769BFC19" w14:textId="203E48DB" w:rsidR="00542FA4" w:rsidRPr="0019133A" w:rsidRDefault="00542FA4" w:rsidP="00542FA4">
      <w:pPr>
        <w:pStyle w:val="ListParagraph"/>
        <w:numPr>
          <w:ilvl w:val="3"/>
          <w:numId w:val="6"/>
        </w:numPr>
        <w:autoSpaceDE w:val="0"/>
        <w:autoSpaceDN w:val="0"/>
        <w:adjustRightInd w:val="0"/>
        <w:spacing w:line="276" w:lineRule="auto"/>
        <w:contextualSpacing w:val="0"/>
        <w:rPr>
          <w:rFonts w:cs="ITCFranklinGothicStd-Book"/>
          <w:sz w:val="24"/>
          <w:szCs w:val="24"/>
        </w:rPr>
      </w:pPr>
      <w:r>
        <w:rPr>
          <w:rFonts w:cs="ITCFranklinGothicStd-Book"/>
          <w:sz w:val="24"/>
          <w:szCs w:val="24"/>
        </w:rPr>
        <w:t>To recontact Pease Study participants to take part in future research studies.</w:t>
      </w:r>
    </w:p>
    <w:p w14:paraId="3FFCA361" w14:textId="2573E53D" w:rsidR="0019133A" w:rsidRPr="0019133A" w:rsidRDefault="0019133A" w:rsidP="0019133A">
      <w:pPr>
        <w:pStyle w:val="ListParagraph"/>
        <w:numPr>
          <w:ilvl w:val="1"/>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 </w:t>
      </w:r>
      <w:r w:rsidR="001F0D2F">
        <w:rPr>
          <w:rFonts w:cstheme="minorHAnsi"/>
          <w:color w:val="000000"/>
          <w:sz w:val="24"/>
          <w:szCs w:val="24"/>
        </w:rPr>
        <w:t>Through the DUA, the data are no longe</w:t>
      </w:r>
      <w:r w:rsidR="005A4EB1">
        <w:rPr>
          <w:rFonts w:cstheme="minorHAnsi"/>
          <w:color w:val="000000"/>
          <w:sz w:val="24"/>
          <w:szCs w:val="24"/>
        </w:rPr>
        <w:t>r coded, but</w:t>
      </w:r>
      <w:r w:rsidR="001F0D2F">
        <w:rPr>
          <w:rFonts w:cstheme="minorHAnsi"/>
          <w:color w:val="000000"/>
          <w:sz w:val="24"/>
          <w:szCs w:val="24"/>
        </w:rPr>
        <w:t xml:space="preserve"> are effectively de-identified to the outside researchers. </w:t>
      </w:r>
      <w:r w:rsidRPr="0019133A">
        <w:rPr>
          <w:rFonts w:cstheme="minorHAnsi"/>
          <w:color w:val="000000"/>
          <w:sz w:val="24"/>
          <w:szCs w:val="24"/>
        </w:rPr>
        <w:t>The DUA will also specify that:</w:t>
      </w:r>
    </w:p>
    <w:p w14:paraId="1A14A488" w14:textId="77777777" w:rsidR="0090295D" w:rsidRPr="0090295D"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After the approved project with the outside researchers is completed, further or secondary analyses of electronic datasets can only be undertaken with additional approval(s) from ATSDR</w:t>
      </w:r>
      <w:r w:rsidR="0090295D">
        <w:rPr>
          <w:rFonts w:cstheme="minorHAnsi"/>
          <w:color w:val="000000"/>
          <w:sz w:val="24"/>
          <w:szCs w:val="24"/>
        </w:rPr>
        <w:t>.</w:t>
      </w:r>
    </w:p>
    <w:p w14:paraId="0C01C695" w14:textId="485904A9" w:rsidR="0019133A" w:rsidRPr="0019133A" w:rsidRDefault="0019133A" w:rsidP="0019133A">
      <w:pPr>
        <w:pStyle w:val="ListParagraph"/>
        <w:numPr>
          <w:ilvl w:val="2"/>
          <w:numId w:val="6"/>
        </w:numPr>
        <w:autoSpaceDE w:val="0"/>
        <w:autoSpaceDN w:val="0"/>
        <w:adjustRightInd w:val="0"/>
        <w:spacing w:line="276" w:lineRule="auto"/>
        <w:contextualSpacing w:val="0"/>
        <w:rPr>
          <w:rFonts w:cs="ITCFranklinGothicStd-Book"/>
          <w:sz w:val="24"/>
          <w:szCs w:val="24"/>
        </w:rPr>
      </w:pPr>
      <w:r w:rsidRPr="0019133A">
        <w:rPr>
          <w:rFonts w:cstheme="minorHAnsi"/>
          <w:color w:val="000000"/>
          <w:sz w:val="24"/>
          <w:szCs w:val="24"/>
        </w:rPr>
        <w:t xml:space="preserve">Written confirmation of understanding the conditions of use will be required from the lead </w:t>
      </w:r>
      <w:r w:rsidRPr="0019133A">
        <w:rPr>
          <w:rFonts w:cstheme="minorHAnsi"/>
          <w:sz w:val="24"/>
          <w:szCs w:val="24"/>
        </w:rPr>
        <w:t>scientist and institution. Copies of statistical code and datasets used in statistical analyses by the outside investigators will be kept by ATSDR.</w:t>
      </w:r>
    </w:p>
    <w:p w14:paraId="70B45DCE" w14:textId="5D584105" w:rsidR="00B45002" w:rsidRPr="00D20211" w:rsidRDefault="00601F1A" w:rsidP="00601F1A">
      <w:pPr>
        <w:pStyle w:val="Heading1"/>
        <w:pBdr>
          <w:bottom w:val="none" w:sz="0" w:space="0" w:color="auto"/>
        </w:pBdr>
        <w:rPr>
          <w:color w:val="auto"/>
        </w:rPr>
      </w:pPr>
      <w:bookmarkStart w:id="17" w:name="_Toc532912783"/>
      <w:r w:rsidRPr="00D20211">
        <w:rPr>
          <w:color w:val="auto"/>
        </w:rPr>
        <w:t>A.</w:t>
      </w:r>
      <w:r w:rsidR="004D21C9" w:rsidRPr="00D20211">
        <w:rPr>
          <w:color w:val="auto"/>
        </w:rPr>
        <w:t xml:space="preserve">11.  </w:t>
      </w:r>
      <w:r w:rsidR="00B45002" w:rsidRPr="00D20211">
        <w:rPr>
          <w:color w:val="auto"/>
        </w:rPr>
        <w:t>Institutional Review Board (IRB) and Justification for Sensitive Questions</w:t>
      </w:r>
      <w:bookmarkEnd w:id="17"/>
    </w:p>
    <w:p w14:paraId="0074E3B2" w14:textId="77777777" w:rsidR="00B53975" w:rsidRPr="00D20211" w:rsidRDefault="00B53975" w:rsidP="00B855BC">
      <w:pPr>
        <w:spacing w:line="240" w:lineRule="auto"/>
      </w:pPr>
    </w:p>
    <w:p w14:paraId="444DC7D1" w14:textId="2F89C557" w:rsidR="00B10BCB" w:rsidRDefault="00B10BCB" w:rsidP="00E6158F">
      <w:pPr>
        <w:autoSpaceDE w:val="0"/>
        <w:autoSpaceDN w:val="0"/>
        <w:adjustRightInd w:val="0"/>
        <w:spacing w:line="276" w:lineRule="auto"/>
        <w:rPr>
          <w:rFonts w:cs="ITCFranklinGothicStd-Book"/>
          <w:sz w:val="24"/>
          <w:szCs w:val="24"/>
        </w:rPr>
      </w:pPr>
      <w:r>
        <w:rPr>
          <w:rFonts w:cs="ITCFranklinGothicStd-Book"/>
          <w:sz w:val="24"/>
          <w:szCs w:val="24"/>
        </w:rPr>
        <w:t xml:space="preserve">The Pease Study has been determined to be non-exempt human </w:t>
      </w:r>
      <w:r w:rsidR="000A0D28">
        <w:rPr>
          <w:rFonts w:cs="ITCFranklinGothicStd-Book"/>
          <w:sz w:val="24"/>
          <w:szCs w:val="24"/>
        </w:rPr>
        <w:t>subjects’</w:t>
      </w:r>
      <w:r>
        <w:rPr>
          <w:rFonts w:cs="ITCFranklinGothicStd-Book"/>
          <w:sz w:val="24"/>
          <w:szCs w:val="24"/>
        </w:rPr>
        <w:t xml:space="preserve"> research under 45 CFR 46. The CDC IRB approval memo is found in </w:t>
      </w:r>
      <w:r>
        <w:rPr>
          <w:rFonts w:cs="ITCFranklinGothicStd-Book"/>
          <w:b/>
          <w:sz w:val="24"/>
          <w:szCs w:val="24"/>
        </w:rPr>
        <w:t>Appendix E</w:t>
      </w:r>
      <w:r>
        <w:rPr>
          <w:rFonts w:cs="ITCFranklinGothicStd-Book"/>
          <w:sz w:val="24"/>
          <w:szCs w:val="24"/>
        </w:rPr>
        <w:t xml:space="preserve">. </w:t>
      </w:r>
    </w:p>
    <w:p w14:paraId="192AE35C" w14:textId="1026705D" w:rsidR="00B62148" w:rsidRPr="00D20211" w:rsidRDefault="00B10BCB" w:rsidP="00E6158F">
      <w:pPr>
        <w:autoSpaceDE w:val="0"/>
        <w:autoSpaceDN w:val="0"/>
        <w:adjustRightInd w:val="0"/>
        <w:spacing w:line="276" w:lineRule="auto"/>
        <w:rPr>
          <w:rFonts w:cs="ITCFranklinGothicStd-Book"/>
          <w:sz w:val="24"/>
          <w:szCs w:val="24"/>
        </w:rPr>
      </w:pPr>
      <w:r>
        <w:rPr>
          <w:rFonts w:cs="ITCFranklinGothicStd-Book"/>
          <w:sz w:val="24"/>
          <w:szCs w:val="24"/>
        </w:rPr>
        <w:t xml:space="preserve">The CoC </w:t>
      </w:r>
      <w:r w:rsidR="00D72307">
        <w:rPr>
          <w:rFonts w:cs="ITCFranklinGothicStd-Book"/>
          <w:sz w:val="24"/>
          <w:szCs w:val="24"/>
        </w:rPr>
        <w:t xml:space="preserve">approval also </w:t>
      </w:r>
      <w:r>
        <w:rPr>
          <w:rFonts w:cs="ITCFranklinGothicStd-Book"/>
          <w:sz w:val="24"/>
          <w:szCs w:val="24"/>
        </w:rPr>
        <w:t xml:space="preserve">is found in </w:t>
      </w:r>
      <w:r w:rsidR="00D72307">
        <w:rPr>
          <w:rFonts w:cs="ITCFranklinGothicStd-Book"/>
          <w:b/>
          <w:sz w:val="24"/>
          <w:szCs w:val="24"/>
        </w:rPr>
        <w:t>Appendix E</w:t>
      </w:r>
      <w:r>
        <w:rPr>
          <w:rFonts w:cs="ITCFranklinGothicStd-Book"/>
          <w:sz w:val="24"/>
          <w:szCs w:val="24"/>
        </w:rPr>
        <w:t xml:space="preserve">. </w:t>
      </w:r>
      <w:r>
        <w:rPr>
          <w:sz w:val="24"/>
          <w:szCs w:val="24"/>
          <w:lang w:val="en"/>
        </w:rPr>
        <w:t>A CoC is automatically issued because the Pease Study will</w:t>
      </w:r>
      <w:r w:rsidRPr="00572E13">
        <w:rPr>
          <w:sz w:val="24"/>
          <w:szCs w:val="24"/>
          <w:lang w:val="en"/>
        </w:rPr>
        <w:t xml:space="preserve"> collect sensitive identifiable information </w:t>
      </w:r>
      <w:r>
        <w:rPr>
          <w:sz w:val="24"/>
          <w:szCs w:val="24"/>
          <w:lang w:val="en"/>
        </w:rPr>
        <w:t xml:space="preserve">from the study participants, including school records and medical records. </w:t>
      </w:r>
      <w:r>
        <w:rPr>
          <w:rFonts w:cs="ITCFranklinGothicStd-Book"/>
          <w:sz w:val="24"/>
          <w:szCs w:val="24"/>
        </w:rPr>
        <w:t>ATSDR considers school and medical records verification</w:t>
      </w:r>
      <w:r w:rsidR="00B62148" w:rsidRPr="00D20211">
        <w:rPr>
          <w:rFonts w:cs="ITCFranklinGothicStd-Book"/>
          <w:sz w:val="24"/>
          <w:szCs w:val="24"/>
        </w:rPr>
        <w:t xml:space="preserve"> necessary</w:t>
      </w:r>
      <w:r>
        <w:rPr>
          <w:rFonts w:cs="ITCFranklinGothicStd-Book"/>
          <w:sz w:val="24"/>
          <w:szCs w:val="24"/>
        </w:rPr>
        <w:t xml:space="preserve"> to maximize the quality and accuracy of the study results; otherwise, reliance on self-reported outcomes alone would be subject to recall bias. The participants will be asked to consent for ATSDR to access these records</w:t>
      </w:r>
      <w:r w:rsidR="00BD4D28">
        <w:rPr>
          <w:rFonts w:cs="ITCFranklinGothicStd-Book"/>
          <w:sz w:val="24"/>
          <w:szCs w:val="24"/>
        </w:rPr>
        <w:t xml:space="preserve"> during the informed consent process</w:t>
      </w:r>
      <w:r>
        <w:rPr>
          <w:rFonts w:cs="ITCFranklinGothicStd-Book"/>
          <w:sz w:val="24"/>
          <w:szCs w:val="24"/>
        </w:rPr>
        <w:t xml:space="preserve"> (</w:t>
      </w:r>
      <w:r w:rsidR="00BD4D28">
        <w:rPr>
          <w:rFonts w:cs="ITCFranklinGothicStd-Book"/>
          <w:b/>
          <w:sz w:val="24"/>
          <w:szCs w:val="24"/>
        </w:rPr>
        <w:t>Attachments 9b&amp;9c</w:t>
      </w:r>
      <w:r>
        <w:rPr>
          <w:rFonts w:cs="ITCFranklinGothicStd-Book"/>
          <w:sz w:val="24"/>
          <w:szCs w:val="24"/>
        </w:rPr>
        <w:t>)</w:t>
      </w:r>
      <w:r w:rsidR="00BD4D28">
        <w:rPr>
          <w:rFonts w:cs="ITCFranklinGothicStd-Book"/>
          <w:sz w:val="24"/>
          <w:szCs w:val="24"/>
        </w:rPr>
        <w:t xml:space="preserve">. </w:t>
      </w:r>
      <w:r w:rsidR="00B909F9" w:rsidRPr="00D20211">
        <w:rPr>
          <w:rFonts w:cs="ITCFranklinGothicStd-Book"/>
          <w:sz w:val="24"/>
          <w:szCs w:val="24"/>
        </w:rPr>
        <w:t>T</w:t>
      </w:r>
      <w:r w:rsidR="007541E5" w:rsidRPr="00D20211">
        <w:rPr>
          <w:rFonts w:cs="ITCFranklinGothicStd-Book"/>
          <w:sz w:val="24"/>
          <w:szCs w:val="24"/>
        </w:rPr>
        <w:t>he</w:t>
      </w:r>
      <w:r w:rsidR="00BD4D28">
        <w:rPr>
          <w:rFonts w:cs="ITCFranklinGothicStd-Book"/>
          <w:sz w:val="24"/>
          <w:szCs w:val="24"/>
        </w:rPr>
        <w:t xml:space="preserve"> participant</w:t>
      </w:r>
      <w:r w:rsidR="00FD00E5" w:rsidRPr="00D20211">
        <w:rPr>
          <w:rFonts w:cs="ITCFranklinGothicStd-Book"/>
          <w:sz w:val="24"/>
          <w:szCs w:val="24"/>
        </w:rPr>
        <w:t xml:space="preserve"> will be informed that his or her</w:t>
      </w:r>
      <w:r w:rsidR="00BD4D28">
        <w:rPr>
          <w:rFonts w:cs="Arial"/>
          <w:sz w:val="24"/>
          <w:szCs w:val="24"/>
        </w:rPr>
        <w:t xml:space="preserve"> response is voluntary</w:t>
      </w:r>
      <w:r w:rsidR="00A96F70" w:rsidRPr="00D20211">
        <w:rPr>
          <w:rFonts w:cs="Arial"/>
          <w:sz w:val="24"/>
          <w:szCs w:val="24"/>
        </w:rPr>
        <w:t xml:space="preserve"> (</w:t>
      </w:r>
      <w:r w:rsidR="00BD4D28">
        <w:rPr>
          <w:rFonts w:cs="Arial"/>
          <w:b/>
          <w:sz w:val="24"/>
          <w:szCs w:val="24"/>
        </w:rPr>
        <w:t>Attachments 9b&amp;9c</w:t>
      </w:r>
      <w:r w:rsidR="00A96F70" w:rsidRPr="00D20211">
        <w:rPr>
          <w:rFonts w:cs="Arial"/>
          <w:sz w:val="24"/>
          <w:szCs w:val="24"/>
        </w:rPr>
        <w:t>)</w:t>
      </w:r>
      <w:r w:rsidR="007541E5" w:rsidRPr="00D20211">
        <w:rPr>
          <w:rFonts w:cs="Arial"/>
          <w:sz w:val="24"/>
          <w:szCs w:val="24"/>
        </w:rPr>
        <w:t>.</w:t>
      </w:r>
    </w:p>
    <w:p w14:paraId="054DA031" w14:textId="57632765" w:rsidR="00355B97" w:rsidRPr="0008360E" w:rsidRDefault="00DD046B" w:rsidP="00E6158F">
      <w:pPr>
        <w:autoSpaceDE w:val="0"/>
        <w:autoSpaceDN w:val="0"/>
        <w:adjustRightInd w:val="0"/>
        <w:spacing w:line="276" w:lineRule="auto"/>
        <w:rPr>
          <w:rFonts w:cs="ITCFranklinGothicStd-Book"/>
          <w:sz w:val="24"/>
          <w:szCs w:val="24"/>
        </w:rPr>
      </w:pPr>
      <w:r w:rsidRPr="00D20211">
        <w:rPr>
          <w:rFonts w:cs="ITCFranklinGothicStd-Book"/>
          <w:sz w:val="24"/>
          <w:szCs w:val="24"/>
        </w:rPr>
        <w:t xml:space="preserve">A </w:t>
      </w:r>
      <w:r w:rsidR="00BD4D28">
        <w:rPr>
          <w:rFonts w:cs="ITCFranklinGothicStd-Book"/>
          <w:sz w:val="24"/>
          <w:szCs w:val="24"/>
        </w:rPr>
        <w:t>portion of participant</w:t>
      </w:r>
      <w:r w:rsidR="00F86B72" w:rsidRPr="00D20211">
        <w:rPr>
          <w:rFonts w:cs="ITCFranklinGothicStd-Book"/>
          <w:sz w:val="24"/>
          <w:szCs w:val="24"/>
        </w:rPr>
        <w:t xml:space="preserve">s may </w:t>
      </w:r>
      <w:r w:rsidRPr="00D20211">
        <w:rPr>
          <w:rFonts w:cs="ITCFranklinGothicStd-Book"/>
          <w:sz w:val="24"/>
          <w:szCs w:val="24"/>
        </w:rPr>
        <w:t>view diagnoses of medical conditions that may affect employability or insurabilit</w:t>
      </w:r>
      <w:r w:rsidR="00BD4D28">
        <w:rPr>
          <w:rFonts w:cs="ITCFranklinGothicStd-Book"/>
          <w:sz w:val="24"/>
          <w:szCs w:val="24"/>
        </w:rPr>
        <w:t>y (e.g., heart disease, cancer</w:t>
      </w:r>
      <w:r w:rsidR="00A22E60" w:rsidRPr="00D20211">
        <w:rPr>
          <w:rFonts w:cs="ITCFranklinGothicStd-Book"/>
          <w:sz w:val="24"/>
          <w:szCs w:val="24"/>
        </w:rPr>
        <w:t xml:space="preserve">) as sensitive, as well as </w:t>
      </w:r>
      <w:r w:rsidR="0008360E">
        <w:rPr>
          <w:rFonts w:cs="ITCFranklinGothicStd-Book"/>
          <w:sz w:val="24"/>
          <w:szCs w:val="24"/>
        </w:rPr>
        <w:t xml:space="preserve">special education requirements, developmental disabilities, occupation, </w:t>
      </w:r>
      <w:r w:rsidR="00A22E60" w:rsidRPr="00D20211">
        <w:rPr>
          <w:rFonts w:cs="ITCFranklinGothicStd-Book"/>
          <w:sz w:val="24"/>
          <w:szCs w:val="24"/>
        </w:rPr>
        <w:t>race</w:t>
      </w:r>
      <w:r w:rsidR="0008360E">
        <w:rPr>
          <w:rFonts w:cs="ITCFranklinGothicStd-Book"/>
          <w:sz w:val="24"/>
          <w:szCs w:val="24"/>
        </w:rPr>
        <w:t>,</w:t>
      </w:r>
      <w:r w:rsidR="00385AF5">
        <w:rPr>
          <w:rFonts w:cs="ITCFranklinGothicStd-Book"/>
          <w:sz w:val="24"/>
          <w:szCs w:val="24"/>
        </w:rPr>
        <w:t xml:space="preserve"> and ethnicity data (</w:t>
      </w:r>
      <w:r w:rsidR="00BD4D28">
        <w:rPr>
          <w:rFonts w:cs="ITCFranklinGothicStd-Book"/>
          <w:b/>
          <w:sz w:val="24"/>
          <w:szCs w:val="24"/>
        </w:rPr>
        <w:t>Attachments 17, 17a, and 18</w:t>
      </w:r>
      <w:r w:rsidR="00385AF5">
        <w:rPr>
          <w:rFonts w:cs="ITCFranklinGothicStd-Book"/>
          <w:sz w:val="24"/>
          <w:szCs w:val="24"/>
        </w:rPr>
        <w:t>)</w:t>
      </w:r>
      <w:r w:rsidR="00320135" w:rsidRPr="00D20211">
        <w:rPr>
          <w:rFonts w:cs="ITCFranklinGothicStd-Book"/>
          <w:sz w:val="24"/>
          <w:szCs w:val="24"/>
        </w:rPr>
        <w:t>.</w:t>
      </w:r>
      <w:r w:rsidR="005E24DB">
        <w:rPr>
          <w:rFonts w:cs="ITCFranklinGothicStd-Book"/>
          <w:sz w:val="24"/>
          <w:szCs w:val="24"/>
        </w:rPr>
        <w:t xml:space="preserve"> </w:t>
      </w:r>
      <w:r w:rsidR="0008360E">
        <w:rPr>
          <w:rFonts w:cs="ITCFranklinGothicStd-Book"/>
          <w:sz w:val="24"/>
          <w:szCs w:val="24"/>
        </w:rPr>
        <w:t>A</w:t>
      </w:r>
      <w:r w:rsidR="00BD4D28">
        <w:rPr>
          <w:rFonts w:cs="ITCFranklinGothicStd-Book"/>
          <w:sz w:val="24"/>
          <w:szCs w:val="24"/>
        </w:rPr>
        <w:t>ccidental disclosure</w:t>
      </w:r>
      <w:r w:rsidR="00385AF5">
        <w:rPr>
          <w:rFonts w:cs="ITCFranklinGothicStd-Book"/>
          <w:sz w:val="24"/>
          <w:szCs w:val="24"/>
        </w:rPr>
        <w:t>, when linked to a person’s identity,</w:t>
      </w:r>
      <w:r w:rsidR="00BD4D28">
        <w:rPr>
          <w:rFonts w:cs="ITCFranklinGothicStd-Book"/>
          <w:sz w:val="24"/>
          <w:szCs w:val="24"/>
        </w:rPr>
        <w:t xml:space="preserve"> </w:t>
      </w:r>
      <w:r w:rsidR="00385AF5">
        <w:rPr>
          <w:rFonts w:cs="ITCFranklinGothicStd-Book"/>
          <w:sz w:val="24"/>
          <w:szCs w:val="24"/>
        </w:rPr>
        <w:t xml:space="preserve">such as the </w:t>
      </w:r>
      <w:r w:rsidR="00BD4D28">
        <w:rPr>
          <w:rFonts w:cs="ITCFranklinGothicStd-Book"/>
          <w:sz w:val="24"/>
          <w:szCs w:val="24"/>
        </w:rPr>
        <w:t>medications list (</w:t>
      </w:r>
      <w:r w:rsidR="00BD4D28">
        <w:rPr>
          <w:rFonts w:cs="ITCFranklinGothicStd-Book"/>
          <w:b/>
          <w:sz w:val="24"/>
          <w:szCs w:val="24"/>
        </w:rPr>
        <w:t>Attachment 13</w:t>
      </w:r>
      <w:r w:rsidR="00BD4D28">
        <w:rPr>
          <w:rFonts w:cs="ITCFranklinGothicStd-Book"/>
          <w:sz w:val="24"/>
          <w:szCs w:val="24"/>
        </w:rPr>
        <w:t xml:space="preserve">) </w:t>
      </w:r>
      <w:r w:rsidR="0008360E">
        <w:rPr>
          <w:rFonts w:cs="ITCFranklinGothicStd-Book"/>
          <w:sz w:val="24"/>
          <w:szCs w:val="24"/>
        </w:rPr>
        <w:t>or medical records abstraction forms (</w:t>
      </w:r>
      <w:r w:rsidR="0008360E">
        <w:rPr>
          <w:rFonts w:cs="ITCFranklinGothicStd-Book"/>
          <w:b/>
          <w:sz w:val="24"/>
          <w:szCs w:val="24"/>
        </w:rPr>
        <w:t>Attachment 19a&amp;</w:t>
      </w:r>
      <w:r w:rsidR="0008360E" w:rsidRPr="0008360E">
        <w:rPr>
          <w:rFonts w:cs="ITCFranklinGothicStd-Book"/>
          <w:b/>
          <w:sz w:val="24"/>
          <w:szCs w:val="24"/>
        </w:rPr>
        <w:t>19b</w:t>
      </w:r>
      <w:r w:rsidR="0008360E">
        <w:rPr>
          <w:rFonts w:cs="ITCFranklinGothicStd-Book"/>
          <w:sz w:val="24"/>
          <w:szCs w:val="24"/>
        </w:rPr>
        <w:t xml:space="preserve">) </w:t>
      </w:r>
      <w:r w:rsidR="00BD4D28" w:rsidRPr="0008360E">
        <w:rPr>
          <w:rFonts w:cs="ITCFranklinGothicStd-Book"/>
          <w:sz w:val="24"/>
          <w:szCs w:val="24"/>
        </w:rPr>
        <w:t>may</w:t>
      </w:r>
      <w:r w:rsidR="0008360E">
        <w:rPr>
          <w:rFonts w:cs="ITCFranklinGothicStd-Book"/>
          <w:sz w:val="24"/>
          <w:szCs w:val="24"/>
        </w:rPr>
        <w:t xml:space="preserve"> be sufficient to discern a participant’s health history. Accidental disclosure of school records abstraction forms (</w:t>
      </w:r>
      <w:r w:rsidR="0008360E">
        <w:rPr>
          <w:rFonts w:cs="ITCFranklinGothicStd-Book"/>
          <w:b/>
          <w:sz w:val="24"/>
          <w:szCs w:val="24"/>
        </w:rPr>
        <w:t>Attachment 20b</w:t>
      </w:r>
      <w:r w:rsidR="0008360E">
        <w:rPr>
          <w:rFonts w:cs="ITCFranklinGothicStd-Book"/>
          <w:sz w:val="24"/>
          <w:szCs w:val="24"/>
        </w:rPr>
        <w:t xml:space="preserve">) </w:t>
      </w:r>
      <w:r w:rsidR="00E6158F">
        <w:rPr>
          <w:rFonts w:cs="ITCFranklinGothicStd-Book"/>
          <w:sz w:val="24"/>
          <w:szCs w:val="24"/>
        </w:rPr>
        <w:t xml:space="preserve">may be damaging to a child’s reputation and social standing. For all these reasons, all study staff </w:t>
      </w:r>
      <w:r w:rsidR="00385AF5">
        <w:rPr>
          <w:rFonts w:cs="ITCFranklinGothicStd-Book"/>
          <w:sz w:val="24"/>
          <w:szCs w:val="24"/>
        </w:rPr>
        <w:t xml:space="preserve">and contractors </w:t>
      </w:r>
      <w:r w:rsidR="00E6158F">
        <w:rPr>
          <w:rFonts w:cs="ITCFranklinGothicStd-Book"/>
          <w:sz w:val="24"/>
          <w:szCs w:val="24"/>
        </w:rPr>
        <w:t>will be trained to understand the need</w:t>
      </w:r>
      <w:r w:rsidR="00385AF5">
        <w:rPr>
          <w:rFonts w:cs="ITCFranklinGothicStd-Book"/>
          <w:sz w:val="24"/>
          <w:szCs w:val="24"/>
        </w:rPr>
        <w:t>,</w:t>
      </w:r>
      <w:r w:rsidR="00E6158F">
        <w:rPr>
          <w:rFonts w:cs="ITCFranklinGothicStd-Book"/>
          <w:sz w:val="24"/>
          <w:szCs w:val="24"/>
        </w:rPr>
        <w:t xml:space="preserve"> and the regulations set aside</w:t>
      </w:r>
      <w:r w:rsidR="00385AF5">
        <w:rPr>
          <w:rFonts w:cs="ITCFranklinGothicStd-Book"/>
          <w:sz w:val="24"/>
          <w:szCs w:val="24"/>
        </w:rPr>
        <w:t>,</w:t>
      </w:r>
      <w:r w:rsidR="00E6158F">
        <w:rPr>
          <w:rFonts w:cs="ITCFranklinGothicStd-Book"/>
          <w:sz w:val="24"/>
          <w:szCs w:val="24"/>
        </w:rPr>
        <w:t xml:space="preserve"> to protect the privacy and confidentiality of participants’ private information</w:t>
      </w:r>
      <w:r w:rsidR="00385AF5">
        <w:rPr>
          <w:rFonts w:cs="ITCFranklinGothicStd-Book"/>
          <w:sz w:val="24"/>
          <w:szCs w:val="24"/>
        </w:rPr>
        <w:t xml:space="preserve"> (</w:t>
      </w:r>
      <w:r w:rsidR="00385AF5">
        <w:rPr>
          <w:rFonts w:cs="ITCFranklinGothicStd-Book"/>
          <w:b/>
          <w:sz w:val="24"/>
          <w:szCs w:val="24"/>
        </w:rPr>
        <w:t>Attachment 14</w:t>
      </w:r>
      <w:r w:rsidR="00385AF5">
        <w:rPr>
          <w:rFonts w:cs="ITCFranklinGothicStd-Book"/>
          <w:sz w:val="24"/>
          <w:szCs w:val="24"/>
        </w:rPr>
        <w:t>)</w:t>
      </w:r>
      <w:r w:rsidR="00E6158F">
        <w:rPr>
          <w:rFonts w:cs="ITCFranklinGothicStd-Book"/>
          <w:sz w:val="24"/>
          <w:szCs w:val="24"/>
        </w:rPr>
        <w:t>.</w:t>
      </w:r>
    </w:p>
    <w:p w14:paraId="4D633EFD" w14:textId="72709ED9" w:rsidR="00DD046B" w:rsidRPr="00D20211" w:rsidRDefault="0061147A" w:rsidP="00E6158F">
      <w:pPr>
        <w:autoSpaceDE w:val="0"/>
        <w:autoSpaceDN w:val="0"/>
        <w:adjustRightInd w:val="0"/>
        <w:spacing w:line="276" w:lineRule="auto"/>
        <w:rPr>
          <w:rFonts w:cs="ITCFranklinGothicStd-Book"/>
          <w:sz w:val="24"/>
          <w:szCs w:val="24"/>
        </w:rPr>
      </w:pPr>
      <w:r>
        <w:rPr>
          <w:rFonts w:cs="ITCFranklinGothicStd-Book"/>
          <w:sz w:val="24"/>
          <w:szCs w:val="24"/>
        </w:rPr>
        <w:t xml:space="preserve">As stated in </w:t>
      </w:r>
      <w:r>
        <w:rPr>
          <w:rFonts w:cs="ITCFranklinGothicStd-Book"/>
          <w:b/>
          <w:sz w:val="24"/>
          <w:szCs w:val="24"/>
        </w:rPr>
        <w:t>Section A.10</w:t>
      </w:r>
      <w:r>
        <w:rPr>
          <w:rFonts w:cs="ITCFranklinGothicStd-Book"/>
          <w:sz w:val="24"/>
          <w:szCs w:val="24"/>
        </w:rPr>
        <w:t xml:space="preserve">, </w:t>
      </w:r>
      <w:r w:rsidRPr="00A34BF1">
        <w:rPr>
          <w:rFonts w:cs="ITCFranklinGothicStd-Book"/>
          <w:sz w:val="24"/>
          <w:szCs w:val="24"/>
        </w:rPr>
        <w:t>ATSDR wishes to collect Social Security N</w:t>
      </w:r>
      <w:r w:rsidR="00702996" w:rsidRPr="00A34BF1">
        <w:rPr>
          <w:rFonts w:cs="ITCFranklinGothicStd-Book"/>
          <w:sz w:val="24"/>
          <w:szCs w:val="24"/>
        </w:rPr>
        <w:t>umber</w:t>
      </w:r>
      <w:r w:rsidRPr="00A34BF1">
        <w:rPr>
          <w:rFonts w:cs="ITCFranklinGothicStd-Book"/>
          <w:sz w:val="24"/>
          <w:szCs w:val="24"/>
        </w:rPr>
        <w:t>s</w:t>
      </w:r>
      <w:r w:rsidR="00702996" w:rsidRPr="00A34BF1">
        <w:rPr>
          <w:rFonts w:cs="ITCFranklinGothicStd-Book"/>
          <w:sz w:val="24"/>
          <w:szCs w:val="24"/>
        </w:rPr>
        <w:t xml:space="preserve"> (SSN</w:t>
      </w:r>
      <w:r w:rsidRPr="00A34BF1">
        <w:rPr>
          <w:rFonts w:cs="ITCFranklinGothicStd-Book"/>
          <w:sz w:val="24"/>
          <w:szCs w:val="24"/>
        </w:rPr>
        <w:t>s</w:t>
      </w:r>
      <w:r w:rsidR="00702996" w:rsidRPr="00A34BF1">
        <w:rPr>
          <w:rFonts w:cs="ITCFranklinGothicStd-Book"/>
          <w:sz w:val="24"/>
          <w:szCs w:val="24"/>
        </w:rPr>
        <w:t>).</w:t>
      </w:r>
      <w:r w:rsidR="00DD046B" w:rsidRPr="00A34BF1">
        <w:rPr>
          <w:rFonts w:cs="ITCFranklinGothicStd-Book"/>
          <w:sz w:val="24"/>
          <w:szCs w:val="24"/>
        </w:rPr>
        <w:t xml:space="preserve"> </w:t>
      </w:r>
      <w:r w:rsidR="00A34BF1" w:rsidRPr="0055566F">
        <w:rPr>
          <w:rFonts w:cs="ITCFranklinGothicStd-Demi"/>
          <w:sz w:val="24"/>
          <w:szCs w:val="24"/>
        </w:rPr>
        <w:t>The following information appears on the Privacy Act Statement that the partic</w:t>
      </w:r>
      <w:r w:rsidR="0055566F" w:rsidRPr="0055566F">
        <w:rPr>
          <w:rFonts w:cs="ITCFranklinGothicStd-Demi"/>
          <w:sz w:val="24"/>
          <w:szCs w:val="24"/>
        </w:rPr>
        <w:t>i</w:t>
      </w:r>
      <w:r w:rsidR="00A34BF1" w:rsidRPr="0055566F">
        <w:rPr>
          <w:rFonts w:cs="ITCFranklinGothicStd-Demi"/>
          <w:sz w:val="24"/>
          <w:szCs w:val="24"/>
        </w:rPr>
        <w:t>pants can keep (</w:t>
      </w:r>
      <w:r w:rsidR="00A34BF1" w:rsidRPr="0055566F">
        <w:rPr>
          <w:rFonts w:cs="ITCFranklinGothicStd-Demi"/>
          <w:b/>
          <w:sz w:val="24"/>
          <w:szCs w:val="24"/>
        </w:rPr>
        <w:t xml:space="preserve">Attachment </w:t>
      </w:r>
      <w:r w:rsidR="0055566F" w:rsidRPr="0055566F">
        <w:rPr>
          <w:rFonts w:cs="ITCFranklinGothicStd-Demi"/>
          <w:b/>
          <w:sz w:val="24"/>
          <w:szCs w:val="24"/>
        </w:rPr>
        <w:t>9a</w:t>
      </w:r>
      <w:r w:rsidR="0055566F" w:rsidRPr="0055566F">
        <w:rPr>
          <w:rFonts w:cs="ITCFranklinGothicStd-Demi"/>
          <w:sz w:val="24"/>
          <w:szCs w:val="24"/>
        </w:rPr>
        <w:t xml:space="preserve">), which includes: </w:t>
      </w:r>
      <w:r w:rsidR="00DD046B" w:rsidRPr="0055566F">
        <w:rPr>
          <w:rFonts w:cs="ITCFranklinGothicStd-Book"/>
          <w:sz w:val="24"/>
          <w:szCs w:val="24"/>
        </w:rPr>
        <w:t xml:space="preserve">1) the statute which authorizes </w:t>
      </w:r>
      <w:r w:rsidR="00E00EAC" w:rsidRPr="0055566F">
        <w:rPr>
          <w:rFonts w:cs="ITCFranklinGothicStd-Book"/>
          <w:sz w:val="24"/>
          <w:szCs w:val="24"/>
        </w:rPr>
        <w:t>ATSDR</w:t>
      </w:r>
      <w:r w:rsidR="00DD046B" w:rsidRPr="0055566F">
        <w:rPr>
          <w:rFonts w:cs="ITCFranklinGothicStd-Book"/>
          <w:sz w:val="24"/>
          <w:szCs w:val="24"/>
        </w:rPr>
        <w:t xml:space="preserve"> to solicit the SSN; 2) how the SSN will be used; and 3) whether the respondent’s disclosure of the</w:t>
      </w:r>
      <w:r w:rsidR="0055566F" w:rsidRPr="0055566F">
        <w:rPr>
          <w:rFonts w:cs="ITCFranklinGothicStd-Book"/>
          <w:sz w:val="24"/>
          <w:szCs w:val="24"/>
        </w:rPr>
        <w:t xml:space="preserve"> SSN is mandatory or voluntary.</w:t>
      </w:r>
    </w:p>
    <w:p w14:paraId="527F9FA5" w14:textId="5106D654" w:rsidR="00B45002" w:rsidRPr="00D20211" w:rsidRDefault="00601F1A" w:rsidP="00601F1A">
      <w:pPr>
        <w:pStyle w:val="Heading1"/>
        <w:pBdr>
          <w:bottom w:val="none" w:sz="0" w:space="0" w:color="auto"/>
        </w:pBdr>
        <w:rPr>
          <w:color w:val="auto"/>
        </w:rPr>
      </w:pPr>
      <w:bookmarkStart w:id="18" w:name="_Toc532912784"/>
      <w:r w:rsidRPr="00D20211">
        <w:rPr>
          <w:color w:val="auto"/>
        </w:rPr>
        <w:t>A.</w:t>
      </w:r>
      <w:r w:rsidR="004D21C9" w:rsidRPr="00D20211">
        <w:rPr>
          <w:color w:val="auto"/>
        </w:rPr>
        <w:t xml:space="preserve">12.  </w:t>
      </w:r>
      <w:r w:rsidR="00B45002" w:rsidRPr="00D20211">
        <w:rPr>
          <w:color w:val="auto"/>
        </w:rPr>
        <w:t>Estimates of Annualized Burden Hours and Costs</w:t>
      </w:r>
      <w:bookmarkEnd w:id="18"/>
    </w:p>
    <w:p w14:paraId="1C20FEA3" w14:textId="77777777" w:rsidR="00ED72E9" w:rsidRPr="00D20211" w:rsidRDefault="00ED72E9" w:rsidP="00ED72E9">
      <w:pPr>
        <w:spacing w:line="240" w:lineRule="auto"/>
        <w:rPr>
          <w:sz w:val="24"/>
          <w:szCs w:val="24"/>
        </w:rPr>
      </w:pPr>
    </w:p>
    <w:p w14:paraId="2E9A5DC6" w14:textId="3DFD4DC1" w:rsidR="00EA035B" w:rsidRDefault="00EA035B" w:rsidP="00EA035B">
      <w:pPr>
        <w:spacing w:line="276" w:lineRule="auto"/>
        <w:rPr>
          <w:sz w:val="24"/>
          <w:szCs w:val="24"/>
        </w:rPr>
      </w:pPr>
      <w:r w:rsidRPr="00BB45FF">
        <w:rPr>
          <w:sz w:val="24"/>
          <w:szCs w:val="24"/>
        </w:rPr>
        <w:t>The total annualiz</w:t>
      </w:r>
      <w:r w:rsidR="0076728C">
        <w:rPr>
          <w:sz w:val="24"/>
          <w:szCs w:val="24"/>
        </w:rPr>
        <w:t>ed time burden requested is 1,19</w:t>
      </w:r>
      <w:r>
        <w:rPr>
          <w:sz w:val="24"/>
          <w:szCs w:val="24"/>
        </w:rPr>
        <w:t>9</w:t>
      </w:r>
      <w:r w:rsidRPr="00BB45FF">
        <w:rPr>
          <w:sz w:val="24"/>
          <w:szCs w:val="24"/>
        </w:rPr>
        <w:t xml:space="preserve"> hours.</w:t>
      </w:r>
      <w:r w:rsidR="00B6728B">
        <w:rPr>
          <w:sz w:val="24"/>
          <w:szCs w:val="24"/>
        </w:rPr>
        <w:t xml:space="preserve"> </w:t>
      </w:r>
    </w:p>
    <w:p w14:paraId="391AC7A3" w14:textId="1616EA76" w:rsidR="0081759D" w:rsidRDefault="00FA3F96" w:rsidP="001F4BAF">
      <w:pPr>
        <w:rPr>
          <w:sz w:val="24"/>
          <w:szCs w:val="24"/>
        </w:rPr>
      </w:pPr>
      <w:r w:rsidRPr="00BB45FF">
        <w:rPr>
          <w:sz w:val="24"/>
          <w:szCs w:val="24"/>
        </w:rPr>
        <w:t>ATSDR will recruit, screen for eligibility, and enroll in three waves</w:t>
      </w:r>
      <w:r w:rsidR="00B05FA8">
        <w:rPr>
          <w:sz w:val="24"/>
          <w:szCs w:val="24"/>
        </w:rPr>
        <w:t xml:space="preserve"> (</w:t>
      </w:r>
      <w:r w:rsidR="00B05FA8">
        <w:rPr>
          <w:b/>
          <w:sz w:val="24"/>
          <w:szCs w:val="24"/>
        </w:rPr>
        <w:t>Attachments 6c&amp;7c</w:t>
      </w:r>
      <w:r w:rsidR="00B05FA8">
        <w:rPr>
          <w:sz w:val="24"/>
          <w:szCs w:val="24"/>
        </w:rPr>
        <w:t>)</w:t>
      </w:r>
      <w:r w:rsidRPr="00BB45FF">
        <w:rPr>
          <w:sz w:val="24"/>
          <w:szCs w:val="24"/>
        </w:rPr>
        <w:t xml:space="preserve">. </w:t>
      </w:r>
      <w:r w:rsidR="0081759D" w:rsidRPr="00BB45FF">
        <w:rPr>
          <w:sz w:val="24"/>
          <w:szCs w:val="24"/>
        </w:rPr>
        <w:t xml:space="preserve">To restrict this study to drinking water exposures, any adult occupationally exposed to PFAS will not be eligible for the study (i.e. ever firefighters or in chemical manufacture). Likewise, children whose birth mothers were occupationally exposed will not be eligible. This restriction applies to both the exposure and the referent group. ATSDR assumes that 5 percent of the people who </w:t>
      </w:r>
      <w:r w:rsidR="00514714">
        <w:rPr>
          <w:sz w:val="24"/>
          <w:szCs w:val="24"/>
        </w:rPr>
        <w:t>are screened</w:t>
      </w:r>
      <w:r w:rsidR="0081759D" w:rsidRPr="00BB45FF">
        <w:rPr>
          <w:sz w:val="24"/>
          <w:szCs w:val="24"/>
        </w:rPr>
        <w:t xml:space="preserve"> will not meet eligibility requirements. </w:t>
      </w:r>
      <w:r w:rsidR="0076728C">
        <w:rPr>
          <w:sz w:val="24"/>
          <w:szCs w:val="24"/>
        </w:rPr>
        <w:t>In addition to the 95 percent eligibility rate, we assume that ATSDR will have an 80 percent response rate. We use these two assumptions to calculate estimat</w:t>
      </w:r>
      <w:r w:rsidR="00F53B60">
        <w:rPr>
          <w:sz w:val="24"/>
          <w:szCs w:val="24"/>
        </w:rPr>
        <w:t xml:space="preserve">ed </w:t>
      </w:r>
      <w:r w:rsidR="00002CDE">
        <w:rPr>
          <w:sz w:val="24"/>
          <w:szCs w:val="24"/>
        </w:rPr>
        <w:t xml:space="preserve">annualized </w:t>
      </w:r>
      <w:r w:rsidR="00F53B60">
        <w:rPr>
          <w:sz w:val="24"/>
          <w:szCs w:val="24"/>
        </w:rPr>
        <w:t>respondent count</w:t>
      </w:r>
      <w:r w:rsidR="0076728C">
        <w:rPr>
          <w:sz w:val="24"/>
          <w:szCs w:val="24"/>
        </w:rPr>
        <w:t xml:space="preserve">s </w:t>
      </w:r>
      <w:r w:rsidR="00F53B60">
        <w:rPr>
          <w:sz w:val="24"/>
          <w:szCs w:val="24"/>
        </w:rPr>
        <w:t>for eligibility scr</w:t>
      </w:r>
      <w:r w:rsidR="009951F8">
        <w:rPr>
          <w:sz w:val="24"/>
          <w:szCs w:val="24"/>
        </w:rPr>
        <w:t>eening</w:t>
      </w:r>
      <w:r w:rsidR="0087469F">
        <w:rPr>
          <w:sz w:val="24"/>
          <w:szCs w:val="24"/>
        </w:rPr>
        <w:t xml:space="preserve"> and for study enrollment, starting</w:t>
      </w:r>
      <w:r w:rsidR="009951F8">
        <w:rPr>
          <w:sz w:val="24"/>
          <w:szCs w:val="24"/>
        </w:rPr>
        <w:t xml:space="preserve"> with the </w:t>
      </w:r>
      <w:r w:rsidR="0087469F">
        <w:rPr>
          <w:sz w:val="24"/>
          <w:szCs w:val="24"/>
        </w:rPr>
        <w:t xml:space="preserve">existing number in the NH DHHS blood testing cohort and the </w:t>
      </w:r>
      <w:r w:rsidR="009951F8">
        <w:rPr>
          <w:sz w:val="24"/>
          <w:szCs w:val="24"/>
        </w:rPr>
        <w:t>target sample sizes in the research protocol</w:t>
      </w:r>
      <w:r w:rsidR="0076728C">
        <w:rPr>
          <w:sz w:val="24"/>
          <w:szCs w:val="24"/>
        </w:rPr>
        <w:t>.</w:t>
      </w:r>
    </w:p>
    <w:p w14:paraId="39952267" w14:textId="08505D0E" w:rsidR="0076728C" w:rsidRPr="008479E5" w:rsidRDefault="0076728C" w:rsidP="008479E5">
      <w:pPr>
        <w:spacing w:before="240" w:line="240" w:lineRule="auto"/>
        <w:rPr>
          <w:rFonts w:cstheme="minorHAnsi"/>
        </w:rPr>
      </w:pPr>
      <w:r w:rsidRPr="008479E5">
        <w:rPr>
          <w:rFonts w:cstheme="minorHAnsi"/>
        </w:rPr>
        <w:t>Table A.12.1. Estimated Number of Respondents</w:t>
      </w:r>
      <w:r w:rsidR="003B5DB5" w:rsidRPr="008479E5">
        <w:rPr>
          <w:rFonts w:cstheme="minorHAnsi"/>
        </w:rPr>
        <w:t xml:space="preserve"> for</w:t>
      </w:r>
      <w:r w:rsidRPr="008479E5">
        <w:rPr>
          <w:rFonts w:cstheme="minorHAnsi"/>
        </w:rPr>
        <w:t xml:space="preserve"> Eligibility Screening and Enrollment</w:t>
      </w:r>
    </w:p>
    <w:tbl>
      <w:tblPr>
        <w:tblStyle w:val="TableGrid"/>
        <w:tblW w:w="0" w:type="auto"/>
        <w:tblLook w:val="04A0" w:firstRow="1" w:lastRow="0" w:firstColumn="1" w:lastColumn="0" w:noHBand="0" w:noVBand="1"/>
      </w:tblPr>
      <w:tblGrid>
        <w:gridCol w:w="1076"/>
        <w:gridCol w:w="1689"/>
        <w:gridCol w:w="1062"/>
        <w:gridCol w:w="1062"/>
        <w:gridCol w:w="1072"/>
        <w:gridCol w:w="1072"/>
        <w:gridCol w:w="1072"/>
        <w:gridCol w:w="1471"/>
      </w:tblGrid>
      <w:tr w:rsidR="001F4092" w:rsidRPr="008479E5" w14:paraId="7CF2C27E" w14:textId="77777777" w:rsidTr="0076728C">
        <w:tc>
          <w:tcPr>
            <w:tcW w:w="1106" w:type="dxa"/>
          </w:tcPr>
          <w:p w14:paraId="63DB2C8A" w14:textId="77777777" w:rsidR="0076728C" w:rsidRPr="00347E49" w:rsidRDefault="0076728C" w:rsidP="00304612">
            <w:pPr>
              <w:jc w:val="center"/>
              <w:rPr>
                <w:rFonts w:cstheme="minorHAnsi"/>
              </w:rPr>
            </w:pPr>
          </w:p>
        </w:tc>
        <w:tc>
          <w:tcPr>
            <w:tcW w:w="8244" w:type="dxa"/>
            <w:gridSpan w:val="7"/>
            <w:vAlign w:val="center"/>
          </w:tcPr>
          <w:p w14:paraId="1764A1D3" w14:textId="77777777" w:rsidR="0076728C" w:rsidRPr="008217C5" w:rsidRDefault="0076728C" w:rsidP="00304612">
            <w:pPr>
              <w:jc w:val="center"/>
              <w:rPr>
                <w:rFonts w:cstheme="minorHAnsi"/>
              </w:rPr>
            </w:pPr>
            <w:r w:rsidRPr="008217C5">
              <w:rPr>
                <w:rFonts w:cstheme="minorHAnsi"/>
              </w:rPr>
              <w:t>ESTIMATED RESPONDENT COUNTS</w:t>
            </w:r>
          </w:p>
          <w:p w14:paraId="6A489115" w14:textId="55659B0B" w:rsidR="001F4092" w:rsidRPr="00E70205" w:rsidRDefault="001F4092" w:rsidP="00304612">
            <w:pPr>
              <w:jc w:val="center"/>
              <w:rPr>
                <w:rFonts w:cstheme="minorHAnsi"/>
              </w:rPr>
            </w:pPr>
            <w:r w:rsidRPr="00E70205">
              <w:rPr>
                <w:rFonts w:cstheme="minorHAnsi"/>
              </w:rPr>
              <w:t>(assuming 95% eligibility and 80% response)</w:t>
            </w:r>
          </w:p>
        </w:tc>
      </w:tr>
      <w:tr w:rsidR="001F4092" w:rsidRPr="008479E5" w14:paraId="1FD6ED53" w14:textId="77777777" w:rsidTr="0076728C">
        <w:tc>
          <w:tcPr>
            <w:tcW w:w="1106" w:type="dxa"/>
          </w:tcPr>
          <w:p w14:paraId="081C633F" w14:textId="77777777" w:rsidR="0076728C" w:rsidRPr="008479E5" w:rsidRDefault="0076728C" w:rsidP="00304612">
            <w:pPr>
              <w:rPr>
                <w:rFonts w:cstheme="minorHAnsi"/>
              </w:rPr>
            </w:pPr>
          </w:p>
        </w:tc>
        <w:tc>
          <w:tcPr>
            <w:tcW w:w="4608" w:type="dxa"/>
            <w:gridSpan w:val="4"/>
            <w:vAlign w:val="center"/>
          </w:tcPr>
          <w:p w14:paraId="44182AF3" w14:textId="77777777" w:rsidR="0076728C" w:rsidRPr="008479E5" w:rsidRDefault="0076728C" w:rsidP="00304612">
            <w:pPr>
              <w:jc w:val="center"/>
              <w:rPr>
                <w:rFonts w:cstheme="minorHAnsi"/>
              </w:rPr>
            </w:pPr>
            <w:r w:rsidRPr="008479E5">
              <w:rPr>
                <w:rFonts w:cstheme="minorHAnsi"/>
              </w:rPr>
              <w:t>EXPOSURE GROUP</w:t>
            </w:r>
          </w:p>
        </w:tc>
        <w:tc>
          <w:tcPr>
            <w:tcW w:w="2154" w:type="dxa"/>
            <w:gridSpan w:val="2"/>
            <w:vAlign w:val="center"/>
          </w:tcPr>
          <w:p w14:paraId="6E34758E" w14:textId="77777777" w:rsidR="0076728C" w:rsidRPr="008479E5" w:rsidRDefault="0076728C" w:rsidP="00304612">
            <w:pPr>
              <w:jc w:val="center"/>
              <w:rPr>
                <w:rFonts w:cstheme="minorHAnsi"/>
              </w:rPr>
            </w:pPr>
            <w:r w:rsidRPr="008479E5">
              <w:rPr>
                <w:rFonts w:cstheme="minorHAnsi"/>
              </w:rPr>
              <w:t>REFERENT GROUP</w:t>
            </w:r>
          </w:p>
        </w:tc>
        <w:tc>
          <w:tcPr>
            <w:tcW w:w="1482" w:type="dxa"/>
            <w:vAlign w:val="center"/>
          </w:tcPr>
          <w:p w14:paraId="6D8EBB26" w14:textId="77777777" w:rsidR="0076728C" w:rsidRPr="008479E5" w:rsidRDefault="0076728C" w:rsidP="00304612">
            <w:pPr>
              <w:jc w:val="center"/>
              <w:rPr>
                <w:rFonts w:cstheme="minorHAnsi"/>
              </w:rPr>
            </w:pPr>
            <w:r w:rsidRPr="008479E5">
              <w:rPr>
                <w:rFonts w:cstheme="minorHAnsi"/>
              </w:rPr>
              <w:t>STUDY</w:t>
            </w:r>
          </w:p>
          <w:p w14:paraId="17AE96AB" w14:textId="77777777" w:rsidR="0076728C" w:rsidRPr="008479E5" w:rsidRDefault="0076728C" w:rsidP="00304612">
            <w:pPr>
              <w:jc w:val="center"/>
              <w:rPr>
                <w:rFonts w:cstheme="minorHAnsi"/>
              </w:rPr>
            </w:pPr>
            <w:r w:rsidRPr="008479E5">
              <w:rPr>
                <w:rFonts w:cstheme="minorHAnsi"/>
              </w:rPr>
              <w:t>PARTICIPANTS</w:t>
            </w:r>
          </w:p>
        </w:tc>
      </w:tr>
      <w:tr w:rsidR="001F4092" w:rsidRPr="008479E5" w14:paraId="50031535" w14:textId="77777777" w:rsidTr="0076728C">
        <w:tc>
          <w:tcPr>
            <w:tcW w:w="1106" w:type="dxa"/>
          </w:tcPr>
          <w:p w14:paraId="135B3C68" w14:textId="77777777" w:rsidR="0076728C" w:rsidRPr="008479E5" w:rsidRDefault="0076728C" w:rsidP="00304612">
            <w:pPr>
              <w:rPr>
                <w:rFonts w:cstheme="minorHAnsi"/>
              </w:rPr>
            </w:pPr>
          </w:p>
        </w:tc>
        <w:tc>
          <w:tcPr>
            <w:tcW w:w="1750" w:type="dxa"/>
            <w:vAlign w:val="center"/>
          </w:tcPr>
          <w:p w14:paraId="2E291E8D" w14:textId="77777777" w:rsidR="0076728C" w:rsidRPr="008479E5" w:rsidRDefault="0076728C" w:rsidP="00304612">
            <w:pPr>
              <w:jc w:val="center"/>
              <w:rPr>
                <w:rFonts w:cstheme="minorHAnsi"/>
              </w:rPr>
            </w:pPr>
            <w:r w:rsidRPr="008479E5">
              <w:rPr>
                <w:rFonts w:cstheme="minorHAnsi"/>
              </w:rPr>
              <w:t>WAVE ONE</w:t>
            </w:r>
          </w:p>
          <w:p w14:paraId="7A85C69C" w14:textId="77777777" w:rsidR="0076728C" w:rsidRPr="008479E5" w:rsidRDefault="0076728C" w:rsidP="00304612">
            <w:pPr>
              <w:jc w:val="center"/>
              <w:rPr>
                <w:rFonts w:cstheme="minorHAnsi"/>
              </w:rPr>
            </w:pPr>
            <w:r w:rsidRPr="008479E5">
              <w:rPr>
                <w:rFonts w:cstheme="minorHAnsi"/>
              </w:rPr>
              <w:t>PER YEAR</w:t>
            </w:r>
          </w:p>
        </w:tc>
        <w:tc>
          <w:tcPr>
            <w:tcW w:w="881" w:type="dxa"/>
            <w:vAlign w:val="center"/>
          </w:tcPr>
          <w:p w14:paraId="79214222" w14:textId="77777777" w:rsidR="0076728C" w:rsidRPr="008479E5" w:rsidRDefault="0076728C" w:rsidP="00304612">
            <w:pPr>
              <w:jc w:val="center"/>
              <w:rPr>
                <w:rFonts w:cstheme="minorHAnsi"/>
              </w:rPr>
            </w:pPr>
            <w:r w:rsidRPr="008479E5">
              <w:rPr>
                <w:rFonts w:cstheme="minorHAnsi"/>
              </w:rPr>
              <w:t>WAVE TWO</w:t>
            </w:r>
          </w:p>
          <w:p w14:paraId="0BF30F1C" w14:textId="77777777" w:rsidR="0076728C" w:rsidRPr="008479E5" w:rsidRDefault="0076728C" w:rsidP="00304612">
            <w:pPr>
              <w:jc w:val="center"/>
              <w:rPr>
                <w:rFonts w:cstheme="minorHAnsi"/>
              </w:rPr>
            </w:pPr>
            <w:r w:rsidRPr="008479E5">
              <w:rPr>
                <w:rFonts w:cstheme="minorHAnsi"/>
              </w:rPr>
              <w:t>PER YEAR</w:t>
            </w:r>
          </w:p>
        </w:tc>
        <w:tc>
          <w:tcPr>
            <w:tcW w:w="901" w:type="dxa"/>
            <w:vAlign w:val="center"/>
          </w:tcPr>
          <w:p w14:paraId="06976949" w14:textId="77777777" w:rsidR="0076728C" w:rsidRPr="008479E5" w:rsidRDefault="0076728C" w:rsidP="00304612">
            <w:pPr>
              <w:jc w:val="center"/>
              <w:rPr>
                <w:rFonts w:cstheme="minorHAnsi"/>
              </w:rPr>
            </w:pPr>
            <w:r w:rsidRPr="008479E5">
              <w:rPr>
                <w:rFonts w:cstheme="minorHAnsi"/>
              </w:rPr>
              <w:t>TOTAL</w:t>
            </w:r>
          </w:p>
          <w:p w14:paraId="79AECD43" w14:textId="77777777" w:rsidR="0076728C" w:rsidRPr="008479E5" w:rsidRDefault="0076728C" w:rsidP="00304612">
            <w:pPr>
              <w:jc w:val="center"/>
              <w:rPr>
                <w:rFonts w:cstheme="minorHAnsi"/>
              </w:rPr>
            </w:pPr>
            <w:r w:rsidRPr="008479E5">
              <w:rPr>
                <w:rFonts w:cstheme="minorHAnsi"/>
              </w:rPr>
              <w:t>PER YEAR</w:t>
            </w:r>
          </w:p>
        </w:tc>
        <w:tc>
          <w:tcPr>
            <w:tcW w:w="1076" w:type="dxa"/>
            <w:vAlign w:val="center"/>
          </w:tcPr>
          <w:p w14:paraId="420588F0" w14:textId="77777777" w:rsidR="0076728C" w:rsidRPr="008479E5" w:rsidRDefault="0076728C" w:rsidP="00304612">
            <w:pPr>
              <w:jc w:val="center"/>
              <w:rPr>
                <w:rFonts w:cstheme="minorHAnsi"/>
              </w:rPr>
            </w:pPr>
            <w:r w:rsidRPr="008479E5">
              <w:rPr>
                <w:rFonts w:cstheme="minorHAnsi"/>
              </w:rPr>
              <w:t>THREE-YEAR</w:t>
            </w:r>
          </w:p>
          <w:p w14:paraId="696333EE" w14:textId="77777777" w:rsidR="0076728C" w:rsidRPr="008479E5" w:rsidRDefault="0076728C" w:rsidP="00304612">
            <w:pPr>
              <w:jc w:val="center"/>
              <w:rPr>
                <w:rFonts w:cstheme="minorHAnsi"/>
              </w:rPr>
            </w:pPr>
            <w:r w:rsidRPr="008479E5">
              <w:rPr>
                <w:rFonts w:cstheme="minorHAnsi"/>
              </w:rPr>
              <w:t>TOTAL</w:t>
            </w:r>
          </w:p>
        </w:tc>
        <w:tc>
          <w:tcPr>
            <w:tcW w:w="1077" w:type="dxa"/>
            <w:vAlign w:val="center"/>
          </w:tcPr>
          <w:p w14:paraId="1DCC1C03" w14:textId="77777777" w:rsidR="0076728C" w:rsidRPr="008479E5" w:rsidRDefault="0076728C" w:rsidP="00304612">
            <w:pPr>
              <w:jc w:val="center"/>
              <w:rPr>
                <w:rFonts w:cstheme="minorHAnsi"/>
              </w:rPr>
            </w:pPr>
            <w:r w:rsidRPr="008479E5">
              <w:rPr>
                <w:rFonts w:cstheme="minorHAnsi"/>
              </w:rPr>
              <w:t>WAVE THREE</w:t>
            </w:r>
          </w:p>
          <w:p w14:paraId="3A5B5DCE" w14:textId="77777777" w:rsidR="0076728C" w:rsidRPr="008479E5" w:rsidRDefault="0076728C" w:rsidP="00304612">
            <w:pPr>
              <w:jc w:val="center"/>
              <w:rPr>
                <w:rFonts w:cstheme="minorHAnsi"/>
              </w:rPr>
            </w:pPr>
            <w:r w:rsidRPr="008479E5">
              <w:rPr>
                <w:rFonts w:cstheme="minorHAnsi"/>
              </w:rPr>
              <w:t>PER YEAR</w:t>
            </w:r>
          </w:p>
        </w:tc>
        <w:tc>
          <w:tcPr>
            <w:tcW w:w="1077" w:type="dxa"/>
            <w:vAlign w:val="center"/>
          </w:tcPr>
          <w:p w14:paraId="5E2A82F2" w14:textId="77777777" w:rsidR="0076728C" w:rsidRPr="008479E5" w:rsidRDefault="0076728C" w:rsidP="00304612">
            <w:pPr>
              <w:jc w:val="center"/>
              <w:rPr>
                <w:rFonts w:cstheme="minorHAnsi"/>
              </w:rPr>
            </w:pPr>
            <w:r w:rsidRPr="008479E5">
              <w:rPr>
                <w:rFonts w:cstheme="minorHAnsi"/>
              </w:rPr>
              <w:t>THREE YEAR</w:t>
            </w:r>
          </w:p>
          <w:p w14:paraId="1FEE7953" w14:textId="77777777" w:rsidR="0076728C" w:rsidRPr="008479E5" w:rsidRDefault="0076728C" w:rsidP="00304612">
            <w:pPr>
              <w:jc w:val="center"/>
              <w:rPr>
                <w:rFonts w:cstheme="minorHAnsi"/>
              </w:rPr>
            </w:pPr>
            <w:r w:rsidRPr="008479E5">
              <w:rPr>
                <w:rFonts w:cstheme="minorHAnsi"/>
              </w:rPr>
              <w:t>TOTAL</w:t>
            </w:r>
          </w:p>
        </w:tc>
        <w:tc>
          <w:tcPr>
            <w:tcW w:w="1482" w:type="dxa"/>
            <w:vAlign w:val="center"/>
          </w:tcPr>
          <w:p w14:paraId="1AB11EDA" w14:textId="77777777" w:rsidR="0076728C" w:rsidRPr="008479E5" w:rsidRDefault="0076728C" w:rsidP="00304612">
            <w:pPr>
              <w:jc w:val="center"/>
              <w:rPr>
                <w:rFonts w:cstheme="minorHAnsi"/>
              </w:rPr>
            </w:pPr>
            <w:r w:rsidRPr="008479E5">
              <w:rPr>
                <w:rFonts w:cstheme="minorHAnsi"/>
              </w:rPr>
              <w:t>THREE YEAR</w:t>
            </w:r>
          </w:p>
          <w:p w14:paraId="17F93F6E" w14:textId="77777777" w:rsidR="0076728C" w:rsidRPr="008479E5" w:rsidRDefault="0076728C" w:rsidP="00304612">
            <w:pPr>
              <w:jc w:val="center"/>
              <w:rPr>
                <w:rFonts w:cstheme="minorHAnsi"/>
              </w:rPr>
            </w:pPr>
            <w:r w:rsidRPr="008479E5">
              <w:rPr>
                <w:rFonts w:cstheme="minorHAnsi"/>
              </w:rPr>
              <w:t>TOTAL</w:t>
            </w:r>
          </w:p>
        </w:tc>
      </w:tr>
      <w:tr w:rsidR="001F4092" w:rsidRPr="008479E5" w14:paraId="7709CE46" w14:textId="77777777" w:rsidTr="0076728C">
        <w:tc>
          <w:tcPr>
            <w:tcW w:w="1106" w:type="dxa"/>
            <w:vAlign w:val="center"/>
          </w:tcPr>
          <w:p w14:paraId="4E9804C4" w14:textId="5FB99557" w:rsidR="0076728C" w:rsidRPr="008479E5" w:rsidRDefault="0076728C" w:rsidP="00304612">
            <w:pPr>
              <w:rPr>
                <w:rFonts w:cstheme="minorHAnsi"/>
              </w:rPr>
            </w:pPr>
            <w:r w:rsidRPr="008479E5">
              <w:rPr>
                <w:rFonts w:cstheme="minorHAnsi"/>
              </w:rPr>
              <w:t>No. Screened for Eligibility</w:t>
            </w:r>
          </w:p>
        </w:tc>
        <w:tc>
          <w:tcPr>
            <w:tcW w:w="1750" w:type="dxa"/>
            <w:vAlign w:val="center"/>
          </w:tcPr>
          <w:p w14:paraId="38FBAF4A" w14:textId="77777777" w:rsidR="0076728C" w:rsidRPr="008479E5" w:rsidRDefault="0076728C" w:rsidP="00304612">
            <w:pPr>
              <w:jc w:val="center"/>
              <w:rPr>
                <w:rFonts w:cstheme="minorHAnsi"/>
              </w:rPr>
            </w:pPr>
            <w:r w:rsidRPr="008479E5">
              <w:rPr>
                <w:rFonts w:cstheme="minorHAnsi"/>
              </w:rPr>
              <w:t>526</w:t>
            </w:r>
          </w:p>
          <w:p w14:paraId="6CB124CA" w14:textId="77777777" w:rsidR="00A779AD" w:rsidRPr="008479E5" w:rsidRDefault="00A779AD" w:rsidP="00304612">
            <w:pPr>
              <w:jc w:val="center"/>
              <w:rPr>
                <w:rFonts w:cstheme="minorHAnsi"/>
              </w:rPr>
            </w:pPr>
          </w:p>
          <w:p w14:paraId="65E0706A" w14:textId="45050582" w:rsidR="0076728C" w:rsidRPr="008479E5" w:rsidRDefault="0076728C" w:rsidP="00304612">
            <w:pPr>
              <w:jc w:val="center"/>
              <w:rPr>
                <w:rFonts w:cstheme="minorHAnsi"/>
              </w:rPr>
            </w:pPr>
            <w:r w:rsidRPr="008479E5">
              <w:rPr>
                <w:rFonts w:cstheme="minorHAnsi"/>
              </w:rPr>
              <w:t>(1,578/3</w:t>
            </w:r>
            <w:r w:rsidR="003B5DB5" w:rsidRPr="008479E5">
              <w:rPr>
                <w:rFonts w:cstheme="minorHAnsi"/>
              </w:rPr>
              <w:t xml:space="preserve"> years</w:t>
            </w:r>
            <w:r w:rsidRPr="008479E5">
              <w:rPr>
                <w:rFonts w:cstheme="minorHAnsi"/>
              </w:rPr>
              <w:t>)</w:t>
            </w:r>
          </w:p>
          <w:p w14:paraId="21208706" w14:textId="77777777" w:rsidR="00DA3263" w:rsidRPr="008479E5" w:rsidRDefault="00DA3263" w:rsidP="00304612">
            <w:pPr>
              <w:jc w:val="center"/>
              <w:rPr>
                <w:rFonts w:cstheme="minorHAnsi"/>
              </w:rPr>
            </w:pPr>
          </w:p>
          <w:p w14:paraId="2A808CCA" w14:textId="44686C85" w:rsidR="00DA3263" w:rsidRPr="008479E5" w:rsidRDefault="00DA3263" w:rsidP="00304612">
            <w:pPr>
              <w:jc w:val="center"/>
              <w:rPr>
                <w:rFonts w:cstheme="minorHAnsi"/>
              </w:rPr>
            </w:pPr>
            <w:r w:rsidRPr="008479E5">
              <w:rPr>
                <w:rFonts w:cstheme="minorHAnsi"/>
              </w:rPr>
              <w:t xml:space="preserve">NOTE: 1,578 is the </w:t>
            </w:r>
            <w:r w:rsidR="00F53B60" w:rsidRPr="008479E5">
              <w:rPr>
                <w:rFonts w:cstheme="minorHAnsi"/>
              </w:rPr>
              <w:t xml:space="preserve">total </w:t>
            </w:r>
            <w:r w:rsidRPr="008479E5">
              <w:rPr>
                <w:rFonts w:cstheme="minorHAnsi"/>
              </w:rPr>
              <w:t xml:space="preserve">number of NH DHHS </w:t>
            </w:r>
            <w:r w:rsidR="0034495C" w:rsidRPr="008479E5">
              <w:rPr>
                <w:rFonts w:cstheme="minorHAnsi"/>
              </w:rPr>
              <w:t>blood testing program</w:t>
            </w:r>
            <w:r w:rsidR="00F53B60" w:rsidRPr="008479E5">
              <w:rPr>
                <w:rFonts w:cstheme="minorHAnsi"/>
              </w:rPr>
              <w:t xml:space="preserve"> participants</w:t>
            </w:r>
            <w:r w:rsidRPr="008479E5">
              <w:rPr>
                <w:rFonts w:cstheme="minorHAnsi"/>
              </w:rPr>
              <w:t>.</w:t>
            </w:r>
          </w:p>
        </w:tc>
        <w:tc>
          <w:tcPr>
            <w:tcW w:w="881" w:type="dxa"/>
            <w:vAlign w:val="center"/>
          </w:tcPr>
          <w:p w14:paraId="60A580D0" w14:textId="4938E445" w:rsidR="0076728C" w:rsidRPr="008479E5" w:rsidRDefault="0076728C" w:rsidP="00304612">
            <w:pPr>
              <w:jc w:val="center"/>
              <w:rPr>
                <w:rFonts w:cstheme="minorHAnsi"/>
              </w:rPr>
            </w:pPr>
            <w:r w:rsidRPr="008479E5">
              <w:rPr>
                <w:rFonts w:cstheme="minorHAnsi"/>
              </w:rPr>
              <w:t>66</w:t>
            </w:r>
          </w:p>
          <w:p w14:paraId="269A00B6" w14:textId="147E7FBB" w:rsidR="00BC3B7A" w:rsidRPr="008479E5" w:rsidRDefault="00BC3B7A" w:rsidP="00304612">
            <w:pPr>
              <w:jc w:val="center"/>
              <w:rPr>
                <w:rFonts w:cstheme="minorHAnsi"/>
              </w:rPr>
            </w:pPr>
          </w:p>
          <w:p w14:paraId="53F6E939" w14:textId="1026A48D" w:rsidR="00BC3B7A" w:rsidRPr="008479E5" w:rsidRDefault="00BC3B7A" w:rsidP="00304612">
            <w:pPr>
              <w:jc w:val="center"/>
              <w:rPr>
                <w:rFonts w:cstheme="minorHAnsi"/>
              </w:rPr>
            </w:pPr>
            <w:r w:rsidRPr="008479E5">
              <w:rPr>
                <w:rFonts w:cstheme="minorHAnsi"/>
              </w:rPr>
              <w:t>[592-526]</w:t>
            </w:r>
          </w:p>
          <w:p w14:paraId="35838193" w14:textId="6D8A8202" w:rsidR="00BC3B7A" w:rsidRPr="008479E5" w:rsidRDefault="00BC3B7A" w:rsidP="00304612">
            <w:pPr>
              <w:jc w:val="center"/>
              <w:rPr>
                <w:rFonts w:cstheme="minorHAnsi"/>
              </w:rPr>
            </w:pPr>
          </w:p>
          <w:p w14:paraId="75AA7445" w14:textId="16A32471" w:rsidR="00BC3B7A" w:rsidRPr="008479E5" w:rsidRDefault="00BC3B7A" w:rsidP="00304612">
            <w:pPr>
              <w:jc w:val="center"/>
              <w:rPr>
                <w:rFonts w:cstheme="minorHAnsi"/>
              </w:rPr>
            </w:pPr>
            <w:r w:rsidRPr="008479E5">
              <w:rPr>
                <w:rFonts w:cstheme="minorHAnsi"/>
              </w:rPr>
              <w:t>or</w:t>
            </w:r>
          </w:p>
          <w:p w14:paraId="37CA3152" w14:textId="77777777" w:rsidR="001F4092" w:rsidRPr="008479E5" w:rsidRDefault="001F4092" w:rsidP="00304612">
            <w:pPr>
              <w:jc w:val="center"/>
              <w:rPr>
                <w:rFonts w:cstheme="minorHAnsi"/>
              </w:rPr>
            </w:pPr>
          </w:p>
          <w:p w14:paraId="2B9AE7DA" w14:textId="63D6753D" w:rsidR="001F4092" w:rsidRPr="008479E5" w:rsidRDefault="001F4092" w:rsidP="001F4092">
            <w:pPr>
              <w:jc w:val="center"/>
              <w:rPr>
                <w:rFonts w:cstheme="minorHAnsi"/>
              </w:rPr>
            </w:pPr>
            <w:r w:rsidRPr="008479E5">
              <w:rPr>
                <w:rFonts w:cstheme="minorHAnsi"/>
              </w:rPr>
              <w:t>[50*</w:t>
            </w:r>
          </w:p>
          <w:p w14:paraId="70BD532F" w14:textId="77777777" w:rsidR="001F4092" w:rsidRPr="008479E5" w:rsidRDefault="001F4092" w:rsidP="001F4092">
            <w:pPr>
              <w:jc w:val="center"/>
              <w:rPr>
                <w:rFonts w:cstheme="minorHAnsi"/>
              </w:rPr>
            </w:pPr>
            <w:r w:rsidRPr="008479E5">
              <w:rPr>
                <w:rFonts w:cstheme="minorHAnsi"/>
              </w:rPr>
              <w:t>(100/95)*</w:t>
            </w:r>
          </w:p>
          <w:p w14:paraId="28004848" w14:textId="77777777" w:rsidR="001F4092" w:rsidRPr="008479E5" w:rsidRDefault="001F4092" w:rsidP="001F4092">
            <w:pPr>
              <w:jc w:val="center"/>
              <w:rPr>
                <w:rFonts w:cstheme="minorHAnsi"/>
              </w:rPr>
            </w:pPr>
            <w:r w:rsidRPr="008479E5">
              <w:rPr>
                <w:rFonts w:cstheme="minorHAnsi"/>
              </w:rPr>
              <w:t>(100/80)]</w:t>
            </w:r>
          </w:p>
          <w:p w14:paraId="74A0669A" w14:textId="77777777" w:rsidR="00356DC2" w:rsidRPr="008479E5" w:rsidRDefault="00356DC2" w:rsidP="001F4092">
            <w:pPr>
              <w:jc w:val="center"/>
              <w:rPr>
                <w:rFonts w:cstheme="minorHAnsi"/>
              </w:rPr>
            </w:pPr>
          </w:p>
          <w:p w14:paraId="20A5F23C" w14:textId="6355FB8E" w:rsidR="00356DC2" w:rsidRPr="008479E5" w:rsidRDefault="00356DC2" w:rsidP="001F4092">
            <w:pPr>
              <w:jc w:val="center"/>
              <w:rPr>
                <w:rFonts w:cstheme="minorHAnsi"/>
              </w:rPr>
            </w:pPr>
          </w:p>
        </w:tc>
        <w:tc>
          <w:tcPr>
            <w:tcW w:w="901" w:type="dxa"/>
            <w:vAlign w:val="center"/>
          </w:tcPr>
          <w:p w14:paraId="5BA273C9" w14:textId="011E9A97" w:rsidR="0076728C" w:rsidRPr="008479E5" w:rsidRDefault="0076728C" w:rsidP="00304612">
            <w:pPr>
              <w:jc w:val="center"/>
              <w:rPr>
                <w:rFonts w:cstheme="minorHAnsi"/>
              </w:rPr>
            </w:pPr>
            <w:r w:rsidRPr="008479E5">
              <w:rPr>
                <w:rFonts w:cstheme="minorHAnsi"/>
              </w:rPr>
              <w:t>592</w:t>
            </w:r>
          </w:p>
          <w:p w14:paraId="0E1D430A" w14:textId="24611AF2" w:rsidR="007E692C" w:rsidRPr="008479E5" w:rsidRDefault="007E692C" w:rsidP="00304612">
            <w:pPr>
              <w:jc w:val="center"/>
              <w:rPr>
                <w:rFonts w:cstheme="minorHAnsi"/>
              </w:rPr>
            </w:pPr>
          </w:p>
          <w:p w14:paraId="3C53857D" w14:textId="20897404" w:rsidR="007E692C" w:rsidRPr="008479E5" w:rsidRDefault="007E692C" w:rsidP="00304612">
            <w:pPr>
              <w:jc w:val="center"/>
              <w:rPr>
                <w:rFonts w:cstheme="minorHAnsi"/>
              </w:rPr>
            </w:pPr>
            <w:r w:rsidRPr="008479E5">
              <w:rPr>
                <w:rFonts w:cstheme="minorHAnsi"/>
              </w:rPr>
              <w:t>[1,776/3 years]</w:t>
            </w:r>
          </w:p>
          <w:p w14:paraId="543470C7" w14:textId="6019B824" w:rsidR="007E692C" w:rsidRPr="008479E5" w:rsidRDefault="007E692C" w:rsidP="00304612">
            <w:pPr>
              <w:jc w:val="center"/>
              <w:rPr>
                <w:rFonts w:cstheme="minorHAnsi"/>
              </w:rPr>
            </w:pPr>
          </w:p>
          <w:p w14:paraId="55BA2EE5" w14:textId="1F2189D3" w:rsidR="007E692C" w:rsidRPr="008479E5" w:rsidRDefault="007E692C" w:rsidP="00304612">
            <w:pPr>
              <w:jc w:val="center"/>
              <w:rPr>
                <w:rFonts w:cstheme="minorHAnsi"/>
              </w:rPr>
            </w:pPr>
            <w:r w:rsidRPr="008479E5">
              <w:rPr>
                <w:rFonts w:cstheme="minorHAnsi"/>
              </w:rPr>
              <w:t>or</w:t>
            </w:r>
          </w:p>
          <w:p w14:paraId="4E1FBC28" w14:textId="77777777" w:rsidR="001F4092" w:rsidRPr="008479E5" w:rsidRDefault="001F4092" w:rsidP="00304612">
            <w:pPr>
              <w:jc w:val="center"/>
              <w:rPr>
                <w:rFonts w:cstheme="minorHAnsi"/>
              </w:rPr>
            </w:pPr>
          </w:p>
          <w:p w14:paraId="5C858907" w14:textId="77777777" w:rsidR="001F4092" w:rsidRPr="008479E5" w:rsidRDefault="001F4092" w:rsidP="00304612">
            <w:pPr>
              <w:jc w:val="center"/>
              <w:rPr>
                <w:rFonts w:cstheme="minorHAnsi"/>
              </w:rPr>
            </w:pPr>
            <w:r w:rsidRPr="008479E5">
              <w:rPr>
                <w:rFonts w:cstheme="minorHAnsi"/>
              </w:rPr>
              <w:t>[450*</w:t>
            </w:r>
          </w:p>
          <w:p w14:paraId="67718291" w14:textId="5541E89C" w:rsidR="001F4092" w:rsidRPr="008479E5" w:rsidRDefault="001F4092" w:rsidP="00304612">
            <w:pPr>
              <w:jc w:val="center"/>
              <w:rPr>
                <w:rFonts w:cstheme="minorHAnsi"/>
              </w:rPr>
            </w:pPr>
            <w:r w:rsidRPr="008479E5">
              <w:rPr>
                <w:rFonts w:cstheme="minorHAnsi"/>
              </w:rPr>
              <w:t>(100/95)*</w:t>
            </w:r>
          </w:p>
          <w:p w14:paraId="134E7D10" w14:textId="77777777" w:rsidR="001F4092" w:rsidRPr="008479E5" w:rsidRDefault="001F4092" w:rsidP="00304612">
            <w:pPr>
              <w:jc w:val="center"/>
              <w:rPr>
                <w:rFonts w:cstheme="minorHAnsi"/>
              </w:rPr>
            </w:pPr>
            <w:r w:rsidRPr="008479E5">
              <w:rPr>
                <w:rFonts w:cstheme="minorHAnsi"/>
              </w:rPr>
              <w:t>(100/80)]</w:t>
            </w:r>
          </w:p>
          <w:p w14:paraId="194A9AE7" w14:textId="60D2D551" w:rsidR="00356DC2" w:rsidRPr="008479E5" w:rsidRDefault="00356DC2" w:rsidP="00304612">
            <w:pPr>
              <w:jc w:val="center"/>
              <w:rPr>
                <w:rFonts w:cstheme="minorHAnsi"/>
              </w:rPr>
            </w:pPr>
          </w:p>
        </w:tc>
        <w:tc>
          <w:tcPr>
            <w:tcW w:w="1076" w:type="dxa"/>
            <w:vAlign w:val="center"/>
          </w:tcPr>
          <w:p w14:paraId="44F2F85E" w14:textId="77777777" w:rsidR="005A523F" w:rsidRPr="008479E5" w:rsidRDefault="0076728C" w:rsidP="005A523F">
            <w:pPr>
              <w:jc w:val="center"/>
              <w:rPr>
                <w:rFonts w:cstheme="minorHAnsi"/>
              </w:rPr>
            </w:pPr>
            <w:r w:rsidRPr="008479E5">
              <w:rPr>
                <w:rFonts w:cstheme="minorHAnsi"/>
              </w:rPr>
              <w:t>1,776</w:t>
            </w:r>
          </w:p>
          <w:p w14:paraId="4461DF7A" w14:textId="77777777" w:rsidR="00A779AD" w:rsidRPr="008479E5" w:rsidRDefault="00A779AD" w:rsidP="005A523F">
            <w:pPr>
              <w:jc w:val="center"/>
              <w:rPr>
                <w:rFonts w:cstheme="minorHAnsi"/>
              </w:rPr>
            </w:pPr>
          </w:p>
          <w:p w14:paraId="56E3AE17" w14:textId="2435F0C1" w:rsidR="00D31B7E" w:rsidRPr="008479E5" w:rsidRDefault="00D31B7E" w:rsidP="005A523F">
            <w:pPr>
              <w:jc w:val="center"/>
              <w:rPr>
                <w:rFonts w:cstheme="minorHAnsi"/>
              </w:rPr>
            </w:pPr>
            <w:r w:rsidRPr="008479E5">
              <w:rPr>
                <w:rFonts w:cstheme="minorHAnsi"/>
              </w:rPr>
              <w:t>[1,350*</w:t>
            </w:r>
          </w:p>
          <w:p w14:paraId="6D894020" w14:textId="389C1523" w:rsidR="00D31B7E" w:rsidRPr="008479E5" w:rsidRDefault="00D31B7E" w:rsidP="005A523F">
            <w:pPr>
              <w:jc w:val="center"/>
              <w:rPr>
                <w:rFonts w:cstheme="minorHAnsi"/>
              </w:rPr>
            </w:pPr>
            <w:r w:rsidRPr="008479E5">
              <w:rPr>
                <w:rFonts w:cstheme="minorHAnsi"/>
              </w:rPr>
              <w:t>(100/95)*</w:t>
            </w:r>
          </w:p>
          <w:p w14:paraId="5CBB6022" w14:textId="77777777" w:rsidR="00D31B7E" w:rsidRPr="008479E5" w:rsidRDefault="00D31B7E" w:rsidP="005A523F">
            <w:pPr>
              <w:jc w:val="center"/>
              <w:rPr>
                <w:rFonts w:cstheme="minorHAnsi"/>
              </w:rPr>
            </w:pPr>
            <w:r w:rsidRPr="008479E5">
              <w:rPr>
                <w:rFonts w:cstheme="minorHAnsi"/>
              </w:rPr>
              <w:t>(100/80)]</w:t>
            </w:r>
          </w:p>
          <w:p w14:paraId="53984A6F" w14:textId="77777777" w:rsidR="00356DC2" w:rsidRPr="008479E5" w:rsidRDefault="00356DC2" w:rsidP="005A523F">
            <w:pPr>
              <w:jc w:val="center"/>
              <w:rPr>
                <w:rFonts w:cstheme="minorHAnsi"/>
              </w:rPr>
            </w:pPr>
          </w:p>
          <w:p w14:paraId="27E0D020" w14:textId="77777777" w:rsidR="00356DC2" w:rsidRPr="008479E5" w:rsidRDefault="00356DC2" w:rsidP="005A523F">
            <w:pPr>
              <w:jc w:val="center"/>
              <w:rPr>
                <w:rFonts w:cstheme="minorHAnsi"/>
              </w:rPr>
            </w:pPr>
          </w:p>
          <w:p w14:paraId="152347BF" w14:textId="77777777" w:rsidR="00356DC2" w:rsidRPr="008479E5" w:rsidRDefault="00356DC2" w:rsidP="005A523F">
            <w:pPr>
              <w:jc w:val="center"/>
              <w:rPr>
                <w:rFonts w:cstheme="minorHAnsi"/>
              </w:rPr>
            </w:pPr>
          </w:p>
          <w:p w14:paraId="252BEFB0" w14:textId="77777777" w:rsidR="00356DC2" w:rsidRPr="008479E5" w:rsidRDefault="00356DC2" w:rsidP="005A523F">
            <w:pPr>
              <w:jc w:val="center"/>
              <w:rPr>
                <w:rFonts w:cstheme="minorHAnsi"/>
              </w:rPr>
            </w:pPr>
          </w:p>
          <w:p w14:paraId="3423A63C" w14:textId="77777777" w:rsidR="00356DC2" w:rsidRPr="008479E5" w:rsidRDefault="00356DC2" w:rsidP="005A523F">
            <w:pPr>
              <w:jc w:val="center"/>
              <w:rPr>
                <w:rFonts w:cstheme="minorHAnsi"/>
              </w:rPr>
            </w:pPr>
          </w:p>
          <w:p w14:paraId="5E253EBF" w14:textId="6566CF18" w:rsidR="00356DC2" w:rsidRPr="008479E5" w:rsidRDefault="00356DC2" w:rsidP="005A523F">
            <w:pPr>
              <w:jc w:val="center"/>
              <w:rPr>
                <w:rFonts w:cstheme="minorHAnsi"/>
              </w:rPr>
            </w:pPr>
          </w:p>
        </w:tc>
        <w:tc>
          <w:tcPr>
            <w:tcW w:w="1077" w:type="dxa"/>
            <w:vAlign w:val="center"/>
          </w:tcPr>
          <w:p w14:paraId="47B56C9B" w14:textId="16EBF4E6" w:rsidR="0076728C" w:rsidRPr="008479E5" w:rsidRDefault="0076728C" w:rsidP="00304612">
            <w:pPr>
              <w:jc w:val="center"/>
              <w:rPr>
                <w:rFonts w:cstheme="minorHAnsi"/>
              </w:rPr>
            </w:pPr>
            <w:r w:rsidRPr="008479E5">
              <w:rPr>
                <w:rFonts w:cstheme="minorHAnsi"/>
              </w:rPr>
              <w:t>121</w:t>
            </w:r>
          </w:p>
          <w:p w14:paraId="751EE85A" w14:textId="04983EE4" w:rsidR="00EA5D2C" w:rsidRPr="008479E5" w:rsidRDefault="00EA5D2C" w:rsidP="00304612">
            <w:pPr>
              <w:jc w:val="center"/>
              <w:rPr>
                <w:rFonts w:cstheme="minorHAnsi"/>
              </w:rPr>
            </w:pPr>
          </w:p>
          <w:p w14:paraId="5FB166C6" w14:textId="18FF91B9" w:rsidR="00EA5D2C" w:rsidRPr="008479E5" w:rsidRDefault="00EA5D2C" w:rsidP="00304612">
            <w:pPr>
              <w:jc w:val="center"/>
              <w:rPr>
                <w:rFonts w:cstheme="minorHAnsi"/>
              </w:rPr>
            </w:pPr>
            <w:r w:rsidRPr="008479E5">
              <w:rPr>
                <w:rFonts w:cstheme="minorHAnsi"/>
              </w:rPr>
              <w:t>[362/3 years]</w:t>
            </w:r>
          </w:p>
          <w:p w14:paraId="1F86150A" w14:textId="0C7E901B" w:rsidR="00C64A8E" w:rsidRPr="008479E5" w:rsidRDefault="00C64A8E" w:rsidP="00304612">
            <w:pPr>
              <w:jc w:val="center"/>
              <w:rPr>
                <w:rFonts w:cstheme="minorHAnsi"/>
              </w:rPr>
            </w:pPr>
          </w:p>
          <w:p w14:paraId="6E6B064A" w14:textId="340F5E5D" w:rsidR="00C64A8E" w:rsidRPr="008479E5" w:rsidRDefault="00C64A8E" w:rsidP="00304612">
            <w:pPr>
              <w:jc w:val="center"/>
              <w:rPr>
                <w:rFonts w:cstheme="minorHAnsi"/>
              </w:rPr>
            </w:pPr>
            <w:r w:rsidRPr="008479E5">
              <w:rPr>
                <w:rFonts w:cstheme="minorHAnsi"/>
              </w:rPr>
              <w:t>or</w:t>
            </w:r>
          </w:p>
          <w:p w14:paraId="230EC218" w14:textId="77777777" w:rsidR="001F4092" w:rsidRPr="008479E5" w:rsidRDefault="001F4092" w:rsidP="00304612">
            <w:pPr>
              <w:jc w:val="center"/>
              <w:rPr>
                <w:rFonts w:cstheme="minorHAnsi"/>
              </w:rPr>
            </w:pPr>
          </w:p>
          <w:p w14:paraId="028E2395" w14:textId="77777777" w:rsidR="001F4092" w:rsidRPr="008479E5" w:rsidRDefault="001F4092" w:rsidP="00304612">
            <w:pPr>
              <w:jc w:val="center"/>
              <w:rPr>
                <w:rFonts w:cstheme="minorHAnsi"/>
              </w:rPr>
            </w:pPr>
            <w:r w:rsidRPr="008479E5">
              <w:rPr>
                <w:rFonts w:cstheme="minorHAnsi"/>
              </w:rPr>
              <w:t>[92*</w:t>
            </w:r>
          </w:p>
          <w:p w14:paraId="681FB987" w14:textId="77777777" w:rsidR="001F4092" w:rsidRPr="008479E5" w:rsidRDefault="001F4092" w:rsidP="00304612">
            <w:pPr>
              <w:jc w:val="center"/>
              <w:rPr>
                <w:rFonts w:cstheme="minorHAnsi"/>
              </w:rPr>
            </w:pPr>
            <w:r w:rsidRPr="008479E5">
              <w:rPr>
                <w:rFonts w:cstheme="minorHAnsi"/>
              </w:rPr>
              <w:t>(100/95)*</w:t>
            </w:r>
          </w:p>
          <w:p w14:paraId="4E90228A" w14:textId="77777777" w:rsidR="001F4092" w:rsidRPr="008479E5" w:rsidRDefault="001F4092" w:rsidP="00304612">
            <w:pPr>
              <w:jc w:val="center"/>
              <w:rPr>
                <w:rFonts w:cstheme="minorHAnsi"/>
              </w:rPr>
            </w:pPr>
            <w:r w:rsidRPr="008479E5">
              <w:rPr>
                <w:rFonts w:cstheme="minorHAnsi"/>
              </w:rPr>
              <w:t>(100/80)]</w:t>
            </w:r>
          </w:p>
          <w:p w14:paraId="55E51361" w14:textId="3271B095" w:rsidR="00356DC2" w:rsidRPr="008479E5" w:rsidRDefault="00356DC2" w:rsidP="00304612">
            <w:pPr>
              <w:jc w:val="center"/>
              <w:rPr>
                <w:rFonts w:cstheme="minorHAnsi"/>
              </w:rPr>
            </w:pPr>
          </w:p>
        </w:tc>
        <w:tc>
          <w:tcPr>
            <w:tcW w:w="1077" w:type="dxa"/>
            <w:vAlign w:val="center"/>
          </w:tcPr>
          <w:p w14:paraId="6D647B0A" w14:textId="77777777" w:rsidR="00D31B7E" w:rsidRPr="008479E5" w:rsidRDefault="0076728C" w:rsidP="00D31B7E">
            <w:pPr>
              <w:jc w:val="center"/>
              <w:rPr>
                <w:rFonts w:cstheme="minorHAnsi"/>
              </w:rPr>
            </w:pPr>
            <w:r w:rsidRPr="008479E5">
              <w:rPr>
                <w:rFonts w:cstheme="minorHAnsi"/>
              </w:rPr>
              <w:t>362</w:t>
            </w:r>
          </w:p>
          <w:p w14:paraId="0605111E" w14:textId="77777777" w:rsidR="001F4092" w:rsidRPr="008479E5" w:rsidRDefault="001F4092" w:rsidP="00D31B7E">
            <w:pPr>
              <w:jc w:val="center"/>
              <w:rPr>
                <w:rFonts w:cstheme="minorHAnsi"/>
              </w:rPr>
            </w:pPr>
          </w:p>
          <w:p w14:paraId="75DC0869" w14:textId="77777777" w:rsidR="001F4092" w:rsidRPr="008479E5" w:rsidRDefault="001F4092" w:rsidP="00D31B7E">
            <w:pPr>
              <w:jc w:val="center"/>
              <w:rPr>
                <w:rFonts w:cstheme="minorHAnsi"/>
              </w:rPr>
            </w:pPr>
            <w:r w:rsidRPr="008479E5">
              <w:rPr>
                <w:rFonts w:cstheme="minorHAnsi"/>
              </w:rPr>
              <w:t>[275*</w:t>
            </w:r>
          </w:p>
          <w:p w14:paraId="29E81DC2" w14:textId="77777777" w:rsidR="001F4092" w:rsidRPr="008479E5" w:rsidRDefault="001F4092" w:rsidP="00D31B7E">
            <w:pPr>
              <w:jc w:val="center"/>
              <w:rPr>
                <w:rFonts w:cstheme="minorHAnsi"/>
              </w:rPr>
            </w:pPr>
            <w:r w:rsidRPr="008479E5">
              <w:rPr>
                <w:rFonts w:cstheme="minorHAnsi"/>
              </w:rPr>
              <w:t>(100/95)*</w:t>
            </w:r>
          </w:p>
          <w:p w14:paraId="332838B1" w14:textId="77777777" w:rsidR="001F4092" w:rsidRPr="008479E5" w:rsidRDefault="001F4092" w:rsidP="00D31B7E">
            <w:pPr>
              <w:jc w:val="center"/>
              <w:rPr>
                <w:rFonts w:cstheme="minorHAnsi"/>
              </w:rPr>
            </w:pPr>
            <w:r w:rsidRPr="008479E5">
              <w:rPr>
                <w:rFonts w:cstheme="minorHAnsi"/>
              </w:rPr>
              <w:t>(100/80)]</w:t>
            </w:r>
          </w:p>
          <w:p w14:paraId="45833B17" w14:textId="77777777" w:rsidR="00356DC2" w:rsidRPr="008479E5" w:rsidRDefault="00356DC2" w:rsidP="00D31B7E">
            <w:pPr>
              <w:jc w:val="center"/>
              <w:rPr>
                <w:rFonts w:cstheme="minorHAnsi"/>
              </w:rPr>
            </w:pPr>
          </w:p>
          <w:p w14:paraId="26B19FBE" w14:textId="77777777" w:rsidR="00356DC2" w:rsidRPr="008479E5" w:rsidRDefault="00356DC2" w:rsidP="00D31B7E">
            <w:pPr>
              <w:jc w:val="center"/>
              <w:rPr>
                <w:rFonts w:cstheme="minorHAnsi"/>
              </w:rPr>
            </w:pPr>
          </w:p>
          <w:p w14:paraId="023B73A8" w14:textId="77777777" w:rsidR="00356DC2" w:rsidRPr="008479E5" w:rsidRDefault="00356DC2" w:rsidP="00D31B7E">
            <w:pPr>
              <w:jc w:val="center"/>
              <w:rPr>
                <w:rFonts w:cstheme="minorHAnsi"/>
              </w:rPr>
            </w:pPr>
          </w:p>
          <w:p w14:paraId="5CCF4B81" w14:textId="77777777" w:rsidR="00356DC2" w:rsidRPr="008479E5" w:rsidRDefault="00356DC2" w:rsidP="00D31B7E">
            <w:pPr>
              <w:jc w:val="center"/>
              <w:rPr>
                <w:rFonts w:cstheme="minorHAnsi"/>
              </w:rPr>
            </w:pPr>
          </w:p>
          <w:p w14:paraId="410C0894" w14:textId="77777777" w:rsidR="00356DC2" w:rsidRPr="008479E5" w:rsidRDefault="00356DC2" w:rsidP="00D31B7E">
            <w:pPr>
              <w:jc w:val="center"/>
              <w:rPr>
                <w:rFonts w:cstheme="minorHAnsi"/>
              </w:rPr>
            </w:pPr>
          </w:p>
          <w:p w14:paraId="502562F4" w14:textId="38D43BEF" w:rsidR="00356DC2" w:rsidRPr="008479E5" w:rsidRDefault="00356DC2" w:rsidP="00D31B7E">
            <w:pPr>
              <w:jc w:val="center"/>
              <w:rPr>
                <w:rFonts w:cstheme="minorHAnsi"/>
              </w:rPr>
            </w:pPr>
          </w:p>
        </w:tc>
        <w:tc>
          <w:tcPr>
            <w:tcW w:w="1482" w:type="dxa"/>
            <w:vAlign w:val="center"/>
          </w:tcPr>
          <w:p w14:paraId="66A871EE" w14:textId="77777777" w:rsidR="0076728C" w:rsidRPr="008479E5" w:rsidRDefault="0076728C" w:rsidP="00304612">
            <w:pPr>
              <w:jc w:val="center"/>
              <w:rPr>
                <w:rFonts w:cstheme="minorHAnsi"/>
              </w:rPr>
            </w:pPr>
            <w:r w:rsidRPr="008479E5">
              <w:rPr>
                <w:rFonts w:cstheme="minorHAnsi"/>
              </w:rPr>
              <w:t>2,138</w:t>
            </w:r>
          </w:p>
          <w:p w14:paraId="451F7FCE" w14:textId="77777777" w:rsidR="00A779AD" w:rsidRPr="008479E5" w:rsidRDefault="00A779AD" w:rsidP="005D693E">
            <w:pPr>
              <w:jc w:val="center"/>
              <w:rPr>
                <w:rFonts w:cstheme="minorHAnsi"/>
              </w:rPr>
            </w:pPr>
          </w:p>
          <w:p w14:paraId="3B80C16E" w14:textId="3B0EE2CC" w:rsidR="00D31B7E" w:rsidRPr="008479E5" w:rsidRDefault="005D693E" w:rsidP="005D693E">
            <w:pPr>
              <w:jc w:val="center"/>
              <w:rPr>
                <w:rFonts w:cstheme="minorHAnsi"/>
              </w:rPr>
            </w:pPr>
            <w:r w:rsidRPr="008479E5">
              <w:rPr>
                <w:rFonts w:cstheme="minorHAnsi"/>
              </w:rPr>
              <w:t>[1,625*</w:t>
            </w:r>
          </w:p>
          <w:p w14:paraId="2B893D86" w14:textId="36579B3F" w:rsidR="00D31B7E" w:rsidRPr="008479E5" w:rsidRDefault="005D693E" w:rsidP="00D31B7E">
            <w:pPr>
              <w:jc w:val="center"/>
              <w:rPr>
                <w:rFonts w:cstheme="minorHAnsi"/>
              </w:rPr>
            </w:pPr>
            <w:r w:rsidRPr="008479E5">
              <w:rPr>
                <w:rFonts w:cstheme="minorHAnsi"/>
              </w:rPr>
              <w:t>(100/95)*</w:t>
            </w:r>
          </w:p>
          <w:p w14:paraId="19E5476A" w14:textId="77777777" w:rsidR="005D693E" w:rsidRPr="008479E5" w:rsidRDefault="005D693E" w:rsidP="005D693E">
            <w:pPr>
              <w:jc w:val="center"/>
              <w:rPr>
                <w:rFonts w:cstheme="minorHAnsi"/>
              </w:rPr>
            </w:pPr>
            <w:r w:rsidRPr="008479E5">
              <w:rPr>
                <w:rFonts w:cstheme="minorHAnsi"/>
              </w:rPr>
              <w:t>(100/80)]</w:t>
            </w:r>
          </w:p>
          <w:p w14:paraId="278C3CDC" w14:textId="77777777" w:rsidR="00356DC2" w:rsidRPr="008479E5" w:rsidRDefault="00356DC2" w:rsidP="005D693E">
            <w:pPr>
              <w:jc w:val="center"/>
              <w:rPr>
                <w:rFonts w:cstheme="minorHAnsi"/>
              </w:rPr>
            </w:pPr>
          </w:p>
          <w:p w14:paraId="2621A716" w14:textId="77777777" w:rsidR="00356DC2" w:rsidRPr="008479E5" w:rsidRDefault="00356DC2" w:rsidP="005D693E">
            <w:pPr>
              <w:jc w:val="center"/>
              <w:rPr>
                <w:rFonts w:cstheme="minorHAnsi"/>
              </w:rPr>
            </w:pPr>
          </w:p>
          <w:p w14:paraId="0D70D276" w14:textId="77777777" w:rsidR="00356DC2" w:rsidRPr="008479E5" w:rsidRDefault="00356DC2" w:rsidP="005D693E">
            <w:pPr>
              <w:jc w:val="center"/>
              <w:rPr>
                <w:rFonts w:cstheme="minorHAnsi"/>
              </w:rPr>
            </w:pPr>
          </w:p>
          <w:p w14:paraId="490F1B13" w14:textId="77777777" w:rsidR="00356DC2" w:rsidRPr="008479E5" w:rsidRDefault="00356DC2" w:rsidP="005D693E">
            <w:pPr>
              <w:jc w:val="center"/>
              <w:rPr>
                <w:rFonts w:cstheme="minorHAnsi"/>
              </w:rPr>
            </w:pPr>
          </w:p>
          <w:p w14:paraId="26E9732C" w14:textId="77777777" w:rsidR="00356DC2" w:rsidRPr="008479E5" w:rsidRDefault="00356DC2" w:rsidP="005D693E">
            <w:pPr>
              <w:jc w:val="center"/>
              <w:rPr>
                <w:rFonts w:cstheme="minorHAnsi"/>
              </w:rPr>
            </w:pPr>
          </w:p>
          <w:p w14:paraId="45520800" w14:textId="7B632E05" w:rsidR="00356DC2" w:rsidRPr="008479E5" w:rsidRDefault="00356DC2" w:rsidP="005D693E">
            <w:pPr>
              <w:jc w:val="center"/>
              <w:rPr>
                <w:rFonts w:cstheme="minorHAnsi"/>
              </w:rPr>
            </w:pPr>
          </w:p>
        </w:tc>
      </w:tr>
      <w:tr w:rsidR="001F4092" w:rsidRPr="008479E5" w14:paraId="08076537" w14:textId="77777777" w:rsidTr="008479E5">
        <w:tc>
          <w:tcPr>
            <w:tcW w:w="1106" w:type="dxa"/>
            <w:vAlign w:val="center"/>
          </w:tcPr>
          <w:p w14:paraId="3A0FE1C2" w14:textId="77777777" w:rsidR="0076728C" w:rsidRPr="008479E5" w:rsidRDefault="0076728C" w:rsidP="00304612">
            <w:pPr>
              <w:rPr>
                <w:rFonts w:cstheme="minorHAnsi"/>
              </w:rPr>
            </w:pPr>
            <w:r w:rsidRPr="008479E5">
              <w:rPr>
                <w:rFonts w:cstheme="minorHAnsi"/>
              </w:rPr>
              <w:t>No. Eligible and Enrolled</w:t>
            </w:r>
          </w:p>
          <w:p w14:paraId="4E3B514F" w14:textId="0C618C93" w:rsidR="003B5DB5" w:rsidRPr="008479E5" w:rsidRDefault="003B5DB5" w:rsidP="00304612">
            <w:pPr>
              <w:rPr>
                <w:rFonts w:cstheme="minorHAnsi"/>
              </w:rPr>
            </w:pPr>
          </w:p>
        </w:tc>
        <w:tc>
          <w:tcPr>
            <w:tcW w:w="1750" w:type="dxa"/>
            <w:vAlign w:val="center"/>
          </w:tcPr>
          <w:p w14:paraId="28EC3389" w14:textId="77777777" w:rsidR="0076728C" w:rsidRPr="008479E5" w:rsidRDefault="0076728C" w:rsidP="00304612">
            <w:pPr>
              <w:jc w:val="center"/>
              <w:rPr>
                <w:rFonts w:cstheme="minorHAnsi"/>
              </w:rPr>
            </w:pPr>
            <w:r w:rsidRPr="008479E5">
              <w:rPr>
                <w:rFonts w:cstheme="minorHAnsi"/>
              </w:rPr>
              <w:t>400</w:t>
            </w:r>
          </w:p>
          <w:p w14:paraId="199821F6" w14:textId="77777777" w:rsidR="00A779AD" w:rsidRPr="008479E5" w:rsidRDefault="00A779AD" w:rsidP="00304612">
            <w:pPr>
              <w:jc w:val="center"/>
              <w:rPr>
                <w:rFonts w:cstheme="minorHAnsi"/>
              </w:rPr>
            </w:pPr>
          </w:p>
          <w:p w14:paraId="6E8E3781" w14:textId="44D424E4" w:rsidR="00D31B7E" w:rsidRPr="008479E5" w:rsidRDefault="00D31B7E" w:rsidP="00304612">
            <w:pPr>
              <w:jc w:val="center"/>
              <w:rPr>
                <w:rFonts w:cstheme="minorHAnsi"/>
              </w:rPr>
            </w:pPr>
            <w:r w:rsidRPr="008479E5">
              <w:rPr>
                <w:rFonts w:cstheme="minorHAnsi"/>
              </w:rPr>
              <w:t>[526*(95/100)*</w:t>
            </w:r>
          </w:p>
          <w:p w14:paraId="15DC0D0A" w14:textId="77777777" w:rsidR="00F53B60" w:rsidRPr="008479E5" w:rsidRDefault="00D31B7E" w:rsidP="001F4092">
            <w:pPr>
              <w:jc w:val="center"/>
              <w:rPr>
                <w:rFonts w:cstheme="minorHAnsi"/>
              </w:rPr>
            </w:pPr>
            <w:r w:rsidRPr="008479E5">
              <w:rPr>
                <w:rFonts w:cstheme="minorHAnsi"/>
              </w:rPr>
              <w:t>(</w:t>
            </w:r>
            <w:r w:rsidR="003B5DB5" w:rsidRPr="008479E5">
              <w:rPr>
                <w:rFonts w:cstheme="minorHAnsi"/>
              </w:rPr>
              <w:t>80</w:t>
            </w:r>
            <w:r w:rsidRPr="008479E5">
              <w:rPr>
                <w:rFonts w:cstheme="minorHAnsi"/>
              </w:rPr>
              <w:t>/100</w:t>
            </w:r>
            <w:r w:rsidR="003B5DB5" w:rsidRPr="008479E5">
              <w:rPr>
                <w:rFonts w:cstheme="minorHAnsi"/>
              </w:rPr>
              <w:t>)</w:t>
            </w:r>
            <w:r w:rsidRPr="008479E5">
              <w:rPr>
                <w:rFonts w:cstheme="minorHAnsi"/>
              </w:rPr>
              <w:t>]</w:t>
            </w:r>
          </w:p>
          <w:p w14:paraId="2D31E67A" w14:textId="77777777" w:rsidR="00356DC2" w:rsidRPr="008479E5" w:rsidRDefault="00356DC2" w:rsidP="001F4092">
            <w:pPr>
              <w:jc w:val="center"/>
              <w:rPr>
                <w:rFonts w:cstheme="minorHAnsi"/>
              </w:rPr>
            </w:pPr>
          </w:p>
          <w:p w14:paraId="256123A3" w14:textId="77777777" w:rsidR="00356DC2" w:rsidRPr="008479E5" w:rsidRDefault="00356DC2" w:rsidP="001F4092">
            <w:pPr>
              <w:jc w:val="center"/>
              <w:rPr>
                <w:rFonts w:cstheme="minorHAnsi"/>
              </w:rPr>
            </w:pPr>
          </w:p>
          <w:p w14:paraId="54AB2388" w14:textId="42DFF906" w:rsidR="00356DC2" w:rsidRPr="008479E5" w:rsidRDefault="00356DC2" w:rsidP="001F4092">
            <w:pPr>
              <w:jc w:val="center"/>
              <w:rPr>
                <w:rFonts w:cstheme="minorHAnsi"/>
              </w:rPr>
            </w:pPr>
          </w:p>
        </w:tc>
        <w:tc>
          <w:tcPr>
            <w:tcW w:w="881" w:type="dxa"/>
            <w:vAlign w:val="center"/>
          </w:tcPr>
          <w:p w14:paraId="3F207355" w14:textId="77777777" w:rsidR="0076728C" w:rsidRPr="008479E5" w:rsidRDefault="0076728C" w:rsidP="00304612">
            <w:pPr>
              <w:jc w:val="center"/>
              <w:rPr>
                <w:rFonts w:cstheme="minorHAnsi"/>
              </w:rPr>
            </w:pPr>
            <w:r w:rsidRPr="008479E5">
              <w:rPr>
                <w:rFonts w:cstheme="minorHAnsi"/>
              </w:rPr>
              <w:t>50</w:t>
            </w:r>
          </w:p>
          <w:p w14:paraId="57F88F09" w14:textId="77777777" w:rsidR="00A779AD" w:rsidRPr="008479E5" w:rsidRDefault="00A779AD" w:rsidP="00304612">
            <w:pPr>
              <w:jc w:val="center"/>
              <w:rPr>
                <w:rFonts w:cstheme="minorHAnsi"/>
              </w:rPr>
            </w:pPr>
          </w:p>
          <w:p w14:paraId="0E90D5BB" w14:textId="77777777" w:rsidR="00304612" w:rsidRPr="008479E5" w:rsidRDefault="00304612" w:rsidP="00304612">
            <w:pPr>
              <w:jc w:val="center"/>
              <w:rPr>
                <w:rFonts w:cstheme="minorHAnsi"/>
              </w:rPr>
            </w:pPr>
            <w:r w:rsidRPr="008479E5">
              <w:rPr>
                <w:rFonts w:cstheme="minorHAnsi"/>
              </w:rPr>
              <w:t>[450-400]</w:t>
            </w:r>
          </w:p>
          <w:p w14:paraId="3C4F57A3" w14:textId="77777777" w:rsidR="00356DC2" w:rsidRPr="008479E5" w:rsidRDefault="00356DC2" w:rsidP="00304612">
            <w:pPr>
              <w:jc w:val="center"/>
              <w:rPr>
                <w:rFonts w:cstheme="minorHAnsi"/>
              </w:rPr>
            </w:pPr>
          </w:p>
          <w:p w14:paraId="5D4EE2A3" w14:textId="77777777" w:rsidR="00356DC2" w:rsidRPr="008479E5" w:rsidRDefault="00356DC2" w:rsidP="00304612">
            <w:pPr>
              <w:jc w:val="center"/>
              <w:rPr>
                <w:rFonts w:cstheme="minorHAnsi"/>
              </w:rPr>
            </w:pPr>
          </w:p>
          <w:p w14:paraId="017CDAA5" w14:textId="77777777" w:rsidR="00356DC2" w:rsidRPr="008479E5" w:rsidRDefault="00356DC2" w:rsidP="00304612">
            <w:pPr>
              <w:jc w:val="center"/>
              <w:rPr>
                <w:rFonts w:cstheme="minorHAnsi"/>
              </w:rPr>
            </w:pPr>
          </w:p>
          <w:p w14:paraId="447EFE75" w14:textId="160CBB5F" w:rsidR="00356DC2" w:rsidRPr="008479E5" w:rsidRDefault="00356DC2" w:rsidP="00304612">
            <w:pPr>
              <w:jc w:val="center"/>
              <w:rPr>
                <w:rFonts w:cstheme="minorHAnsi"/>
              </w:rPr>
            </w:pPr>
          </w:p>
        </w:tc>
        <w:tc>
          <w:tcPr>
            <w:tcW w:w="901" w:type="dxa"/>
            <w:vAlign w:val="center"/>
          </w:tcPr>
          <w:p w14:paraId="7239FEC1" w14:textId="6B38C4A1" w:rsidR="0076728C" w:rsidRPr="008479E5" w:rsidRDefault="0076728C" w:rsidP="00304612">
            <w:pPr>
              <w:jc w:val="center"/>
              <w:rPr>
                <w:rFonts w:cstheme="minorHAnsi"/>
              </w:rPr>
            </w:pPr>
            <w:r w:rsidRPr="008479E5">
              <w:rPr>
                <w:rFonts w:cstheme="minorHAnsi"/>
              </w:rPr>
              <w:t>450</w:t>
            </w:r>
          </w:p>
          <w:p w14:paraId="7BDC428E" w14:textId="2367D12D" w:rsidR="00D93324" w:rsidRPr="008479E5" w:rsidRDefault="00D93324" w:rsidP="00304612">
            <w:pPr>
              <w:jc w:val="center"/>
              <w:rPr>
                <w:rFonts w:cstheme="minorHAnsi"/>
              </w:rPr>
            </w:pPr>
          </w:p>
          <w:p w14:paraId="46EC6E01" w14:textId="2BF66F53" w:rsidR="00D93324" w:rsidRPr="008479E5" w:rsidRDefault="00D93324" w:rsidP="00D93324">
            <w:pPr>
              <w:jc w:val="center"/>
              <w:rPr>
                <w:rFonts w:cstheme="minorHAnsi"/>
              </w:rPr>
            </w:pPr>
            <w:r w:rsidRPr="008479E5">
              <w:rPr>
                <w:rFonts w:cstheme="minorHAnsi"/>
              </w:rPr>
              <w:t>(333 adults;</w:t>
            </w:r>
          </w:p>
          <w:p w14:paraId="60D06B8F" w14:textId="566D5182" w:rsidR="00D93324" w:rsidRPr="008479E5" w:rsidRDefault="00D93324" w:rsidP="004852FA">
            <w:pPr>
              <w:jc w:val="center"/>
              <w:rPr>
                <w:rFonts w:cstheme="minorHAnsi"/>
              </w:rPr>
            </w:pPr>
            <w:r w:rsidRPr="008479E5">
              <w:rPr>
                <w:rFonts w:cstheme="minorHAnsi"/>
              </w:rPr>
              <w:t>117 children)</w:t>
            </w:r>
          </w:p>
          <w:p w14:paraId="5A1DF073" w14:textId="77777777" w:rsidR="00A779AD" w:rsidRPr="008479E5" w:rsidRDefault="00A779AD" w:rsidP="00304612">
            <w:pPr>
              <w:jc w:val="center"/>
              <w:rPr>
                <w:rFonts w:cstheme="minorHAnsi"/>
              </w:rPr>
            </w:pPr>
          </w:p>
          <w:p w14:paraId="56F4B77A" w14:textId="21266C85" w:rsidR="005D693E" w:rsidRPr="008479E5" w:rsidRDefault="005D693E" w:rsidP="00304612">
            <w:pPr>
              <w:jc w:val="center"/>
              <w:rPr>
                <w:rFonts w:cstheme="minorHAnsi"/>
              </w:rPr>
            </w:pPr>
            <w:r w:rsidRPr="008479E5">
              <w:rPr>
                <w:rFonts w:cstheme="minorHAnsi"/>
              </w:rPr>
              <w:t>[1,350/3 years]</w:t>
            </w:r>
          </w:p>
        </w:tc>
        <w:tc>
          <w:tcPr>
            <w:tcW w:w="1076" w:type="dxa"/>
            <w:vAlign w:val="center"/>
          </w:tcPr>
          <w:p w14:paraId="052FAF85" w14:textId="77777777" w:rsidR="0076728C" w:rsidRPr="008479E5" w:rsidRDefault="0076728C" w:rsidP="00304612">
            <w:pPr>
              <w:jc w:val="center"/>
              <w:rPr>
                <w:rFonts w:cstheme="minorHAnsi"/>
              </w:rPr>
            </w:pPr>
            <w:r w:rsidRPr="008479E5">
              <w:rPr>
                <w:rFonts w:cstheme="minorHAnsi"/>
              </w:rPr>
              <w:t>1,350</w:t>
            </w:r>
          </w:p>
          <w:p w14:paraId="1D8D1BA2" w14:textId="77777777" w:rsidR="00A779AD" w:rsidRPr="008479E5" w:rsidRDefault="00A779AD" w:rsidP="00304612">
            <w:pPr>
              <w:jc w:val="center"/>
              <w:rPr>
                <w:rFonts w:cstheme="minorHAnsi"/>
              </w:rPr>
            </w:pPr>
          </w:p>
          <w:p w14:paraId="116D3FE2" w14:textId="6C73478F" w:rsidR="0076728C" w:rsidRPr="008479E5" w:rsidRDefault="0076728C" w:rsidP="00304612">
            <w:pPr>
              <w:jc w:val="center"/>
              <w:rPr>
                <w:rFonts w:cstheme="minorHAnsi"/>
              </w:rPr>
            </w:pPr>
            <w:r w:rsidRPr="008479E5">
              <w:rPr>
                <w:rFonts w:cstheme="minorHAnsi"/>
              </w:rPr>
              <w:t>(1,000 adults;</w:t>
            </w:r>
          </w:p>
          <w:p w14:paraId="584819DE" w14:textId="77777777" w:rsidR="0076728C" w:rsidRPr="008479E5" w:rsidRDefault="0076728C" w:rsidP="00304612">
            <w:pPr>
              <w:jc w:val="center"/>
              <w:rPr>
                <w:rFonts w:cstheme="minorHAnsi"/>
              </w:rPr>
            </w:pPr>
            <w:r w:rsidRPr="008479E5">
              <w:rPr>
                <w:rFonts w:cstheme="minorHAnsi"/>
              </w:rPr>
              <w:t>350 children)</w:t>
            </w:r>
          </w:p>
          <w:p w14:paraId="41FE0BE8" w14:textId="77777777" w:rsidR="005D693E" w:rsidRPr="008479E5" w:rsidRDefault="005D693E" w:rsidP="00304612">
            <w:pPr>
              <w:jc w:val="center"/>
              <w:rPr>
                <w:rFonts w:cstheme="minorHAnsi"/>
              </w:rPr>
            </w:pPr>
          </w:p>
          <w:p w14:paraId="27388E48" w14:textId="0BFE9EE6" w:rsidR="005D693E" w:rsidRPr="008479E5" w:rsidRDefault="005D693E" w:rsidP="00304612">
            <w:pPr>
              <w:jc w:val="center"/>
              <w:rPr>
                <w:rFonts w:cstheme="minorHAnsi"/>
              </w:rPr>
            </w:pPr>
            <w:r w:rsidRPr="008479E5">
              <w:rPr>
                <w:rFonts w:cstheme="minorHAnsi"/>
              </w:rPr>
              <w:t>(Target sample size)</w:t>
            </w:r>
          </w:p>
        </w:tc>
        <w:tc>
          <w:tcPr>
            <w:tcW w:w="1077" w:type="dxa"/>
          </w:tcPr>
          <w:p w14:paraId="037E704C" w14:textId="689C5FC2" w:rsidR="00A779AD" w:rsidRPr="008479E5" w:rsidRDefault="00A779AD" w:rsidP="004852FA">
            <w:pPr>
              <w:jc w:val="center"/>
              <w:rPr>
                <w:rFonts w:cstheme="minorHAnsi"/>
              </w:rPr>
            </w:pPr>
            <w:r w:rsidRPr="008479E5">
              <w:rPr>
                <w:rFonts w:cstheme="minorHAnsi"/>
              </w:rPr>
              <w:t>92</w:t>
            </w:r>
          </w:p>
          <w:p w14:paraId="6DFD3992" w14:textId="189EBD4C" w:rsidR="0076728C" w:rsidRPr="008479E5" w:rsidRDefault="00A8750F" w:rsidP="00347E49">
            <w:pPr>
              <w:jc w:val="center"/>
              <w:rPr>
                <w:rFonts w:cstheme="minorHAnsi"/>
              </w:rPr>
            </w:pPr>
            <w:r w:rsidRPr="008479E5">
              <w:rPr>
                <w:rFonts w:cstheme="minorHAnsi"/>
              </w:rPr>
              <w:t>(34</w:t>
            </w:r>
            <w:r w:rsidR="0076728C" w:rsidRPr="008479E5">
              <w:rPr>
                <w:rFonts w:cstheme="minorHAnsi"/>
              </w:rPr>
              <w:t xml:space="preserve"> adults;</w:t>
            </w:r>
          </w:p>
          <w:p w14:paraId="0DC0CE8A" w14:textId="77777777" w:rsidR="0076728C" w:rsidRPr="008479E5" w:rsidRDefault="0076728C" w:rsidP="00347E49">
            <w:pPr>
              <w:jc w:val="center"/>
              <w:rPr>
                <w:rFonts w:cstheme="minorHAnsi"/>
              </w:rPr>
            </w:pPr>
            <w:r w:rsidRPr="008479E5">
              <w:rPr>
                <w:rFonts w:cstheme="minorHAnsi"/>
              </w:rPr>
              <w:t>58 children)</w:t>
            </w:r>
          </w:p>
          <w:p w14:paraId="46906A7A" w14:textId="77777777" w:rsidR="00A779AD" w:rsidRPr="008479E5" w:rsidRDefault="00A779AD" w:rsidP="00347E49">
            <w:pPr>
              <w:jc w:val="center"/>
              <w:rPr>
                <w:rFonts w:cstheme="minorHAnsi"/>
              </w:rPr>
            </w:pPr>
          </w:p>
          <w:p w14:paraId="6AB5AEA9" w14:textId="77777777" w:rsidR="005D693E" w:rsidRPr="008479E5" w:rsidRDefault="005D693E" w:rsidP="00347E49">
            <w:pPr>
              <w:jc w:val="center"/>
              <w:rPr>
                <w:rFonts w:cstheme="minorHAnsi"/>
              </w:rPr>
            </w:pPr>
            <w:r w:rsidRPr="008479E5">
              <w:rPr>
                <w:rFonts w:cstheme="minorHAnsi"/>
              </w:rPr>
              <w:t>[275/3 years]</w:t>
            </w:r>
          </w:p>
          <w:p w14:paraId="2696980B" w14:textId="09FBFF9F" w:rsidR="00356DC2" w:rsidRPr="008479E5" w:rsidRDefault="00356DC2" w:rsidP="00347E49">
            <w:pPr>
              <w:jc w:val="center"/>
              <w:rPr>
                <w:rFonts w:cstheme="minorHAnsi"/>
              </w:rPr>
            </w:pPr>
          </w:p>
        </w:tc>
        <w:tc>
          <w:tcPr>
            <w:tcW w:w="1077" w:type="dxa"/>
          </w:tcPr>
          <w:p w14:paraId="7A53972A" w14:textId="77777777" w:rsidR="0076728C" w:rsidRPr="008479E5" w:rsidRDefault="0076728C" w:rsidP="00347E49">
            <w:pPr>
              <w:jc w:val="center"/>
              <w:rPr>
                <w:rFonts w:cstheme="minorHAnsi"/>
              </w:rPr>
            </w:pPr>
            <w:r w:rsidRPr="008479E5">
              <w:rPr>
                <w:rFonts w:cstheme="minorHAnsi"/>
              </w:rPr>
              <w:t>275</w:t>
            </w:r>
          </w:p>
          <w:p w14:paraId="73DB16CC" w14:textId="77777777" w:rsidR="0076728C" w:rsidRPr="008479E5" w:rsidRDefault="0076728C" w:rsidP="008217C5">
            <w:pPr>
              <w:jc w:val="center"/>
              <w:rPr>
                <w:rFonts w:cstheme="minorHAnsi"/>
              </w:rPr>
            </w:pPr>
            <w:r w:rsidRPr="008479E5">
              <w:rPr>
                <w:rFonts w:cstheme="minorHAnsi"/>
              </w:rPr>
              <w:t>(100 adults;</w:t>
            </w:r>
          </w:p>
          <w:p w14:paraId="5982D629" w14:textId="77777777" w:rsidR="0076728C" w:rsidRPr="008479E5" w:rsidRDefault="0076728C" w:rsidP="00E70205">
            <w:pPr>
              <w:jc w:val="center"/>
              <w:rPr>
                <w:rFonts w:cstheme="minorHAnsi"/>
              </w:rPr>
            </w:pPr>
            <w:r w:rsidRPr="008479E5">
              <w:rPr>
                <w:rFonts w:cstheme="minorHAnsi"/>
              </w:rPr>
              <w:t>175 children)</w:t>
            </w:r>
          </w:p>
          <w:p w14:paraId="4CA0A849" w14:textId="77777777" w:rsidR="005D693E" w:rsidRPr="008479E5" w:rsidRDefault="005D693E" w:rsidP="008479E5">
            <w:pPr>
              <w:jc w:val="center"/>
              <w:rPr>
                <w:rFonts w:cstheme="minorHAnsi"/>
              </w:rPr>
            </w:pPr>
          </w:p>
          <w:p w14:paraId="370689B8" w14:textId="1744FB8D" w:rsidR="005D693E" w:rsidRPr="008479E5" w:rsidRDefault="005D693E" w:rsidP="008479E5">
            <w:pPr>
              <w:jc w:val="center"/>
              <w:rPr>
                <w:rFonts w:cstheme="minorHAnsi"/>
              </w:rPr>
            </w:pPr>
            <w:r w:rsidRPr="008479E5">
              <w:rPr>
                <w:rFonts w:cstheme="minorHAnsi"/>
              </w:rPr>
              <w:t>(Target sample size)</w:t>
            </w:r>
          </w:p>
        </w:tc>
        <w:tc>
          <w:tcPr>
            <w:tcW w:w="1482" w:type="dxa"/>
            <w:vAlign w:val="center"/>
          </w:tcPr>
          <w:p w14:paraId="10DE2A31" w14:textId="77777777" w:rsidR="0076728C" w:rsidRPr="008479E5" w:rsidRDefault="0076728C" w:rsidP="00304612">
            <w:pPr>
              <w:jc w:val="center"/>
              <w:rPr>
                <w:rFonts w:cstheme="minorHAnsi"/>
              </w:rPr>
            </w:pPr>
            <w:r w:rsidRPr="008479E5">
              <w:rPr>
                <w:rFonts w:cstheme="minorHAnsi"/>
              </w:rPr>
              <w:t>1,625</w:t>
            </w:r>
          </w:p>
          <w:p w14:paraId="78988BFB" w14:textId="77777777" w:rsidR="00A779AD" w:rsidRPr="008479E5" w:rsidRDefault="00A779AD" w:rsidP="00304612">
            <w:pPr>
              <w:jc w:val="center"/>
              <w:rPr>
                <w:rFonts w:cstheme="minorHAnsi"/>
              </w:rPr>
            </w:pPr>
          </w:p>
          <w:p w14:paraId="45368192" w14:textId="5F486D5E" w:rsidR="0076728C" w:rsidRPr="008479E5" w:rsidRDefault="0076728C" w:rsidP="00304612">
            <w:pPr>
              <w:jc w:val="center"/>
              <w:rPr>
                <w:rFonts w:cstheme="minorHAnsi"/>
              </w:rPr>
            </w:pPr>
            <w:r w:rsidRPr="008479E5">
              <w:rPr>
                <w:rFonts w:cstheme="minorHAnsi"/>
              </w:rPr>
              <w:t>(1,100 adults; 525 children)</w:t>
            </w:r>
          </w:p>
          <w:p w14:paraId="085F8EC4" w14:textId="77777777" w:rsidR="00F53B60" w:rsidRPr="008479E5" w:rsidRDefault="00F53B60" w:rsidP="00304612">
            <w:pPr>
              <w:jc w:val="center"/>
              <w:rPr>
                <w:rFonts w:cstheme="minorHAnsi"/>
              </w:rPr>
            </w:pPr>
          </w:p>
          <w:p w14:paraId="3605652E" w14:textId="306F9C36" w:rsidR="00F53B60" w:rsidRPr="008479E5" w:rsidRDefault="005D693E" w:rsidP="00304612">
            <w:pPr>
              <w:jc w:val="center"/>
              <w:rPr>
                <w:rFonts w:cstheme="minorHAnsi"/>
              </w:rPr>
            </w:pPr>
            <w:r w:rsidRPr="008479E5">
              <w:rPr>
                <w:rFonts w:cstheme="minorHAnsi"/>
              </w:rPr>
              <w:t>(</w:t>
            </w:r>
            <w:r w:rsidR="00F53B60" w:rsidRPr="008479E5">
              <w:rPr>
                <w:rFonts w:cstheme="minorHAnsi"/>
              </w:rPr>
              <w:t>Target sample size)</w:t>
            </w:r>
          </w:p>
        </w:tc>
      </w:tr>
    </w:tbl>
    <w:p w14:paraId="60C9CDB1" w14:textId="11EB359A" w:rsidR="0076728C" w:rsidRDefault="0076728C" w:rsidP="001F4BAF">
      <w:pPr>
        <w:rPr>
          <w:sz w:val="24"/>
          <w:szCs w:val="24"/>
        </w:rPr>
      </w:pPr>
    </w:p>
    <w:p w14:paraId="0774074D" w14:textId="653CEA81" w:rsidR="00F53B60" w:rsidRDefault="004F1289" w:rsidP="001F4BAF">
      <w:pPr>
        <w:rPr>
          <w:sz w:val="24"/>
          <w:szCs w:val="24"/>
        </w:rPr>
      </w:pPr>
      <w:r>
        <w:rPr>
          <w:sz w:val="24"/>
          <w:szCs w:val="24"/>
        </w:rPr>
        <w:t xml:space="preserve">The estimates for </w:t>
      </w:r>
      <w:r w:rsidR="00E00059">
        <w:rPr>
          <w:sz w:val="24"/>
          <w:szCs w:val="24"/>
        </w:rPr>
        <w:t xml:space="preserve">the number of respondents in </w:t>
      </w:r>
      <w:r>
        <w:rPr>
          <w:sz w:val="24"/>
          <w:szCs w:val="24"/>
        </w:rPr>
        <w:t>Table A.12.1</w:t>
      </w:r>
      <w:r w:rsidR="00F53B60">
        <w:rPr>
          <w:sz w:val="24"/>
          <w:szCs w:val="24"/>
        </w:rPr>
        <w:t xml:space="preserve"> are described in the following sections.</w:t>
      </w:r>
    </w:p>
    <w:p w14:paraId="7C5C3DE8" w14:textId="6BD80323" w:rsidR="009E5533" w:rsidRDefault="0081759D" w:rsidP="00C056BB">
      <w:pPr>
        <w:spacing w:line="276" w:lineRule="auto"/>
        <w:rPr>
          <w:sz w:val="24"/>
          <w:szCs w:val="24"/>
        </w:rPr>
      </w:pPr>
      <w:r>
        <w:rPr>
          <w:b/>
          <w:i/>
          <w:sz w:val="24"/>
          <w:szCs w:val="24"/>
        </w:rPr>
        <w:t xml:space="preserve">Eligibility </w:t>
      </w:r>
      <w:r w:rsidR="00C056BB">
        <w:rPr>
          <w:b/>
          <w:i/>
          <w:sz w:val="24"/>
          <w:szCs w:val="24"/>
        </w:rPr>
        <w:t>Screening</w:t>
      </w:r>
      <w:r>
        <w:rPr>
          <w:b/>
          <w:i/>
          <w:sz w:val="24"/>
          <w:szCs w:val="24"/>
        </w:rPr>
        <w:t xml:space="preserve">. </w:t>
      </w:r>
      <w:r w:rsidR="00C056BB">
        <w:rPr>
          <w:sz w:val="24"/>
          <w:szCs w:val="24"/>
        </w:rPr>
        <w:t xml:space="preserve">The estimated </w:t>
      </w:r>
      <w:r w:rsidR="00E00059">
        <w:rPr>
          <w:sz w:val="24"/>
          <w:szCs w:val="24"/>
        </w:rPr>
        <w:t xml:space="preserve">annual </w:t>
      </w:r>
      <w:r w:rsidR="00C056BB">
        <w:rPr>
          <w:sz w:val="24"/>
          <w:szCs w:val="24"/>
        </w:rPr>
        <w:t>number of respondents to be screened for eligibility are based on the protocol sample size goals</w:t>
      </w:r>
      <w:r w:rsidR="00E00059">
        <w:rPr>
          <w:sz w:val="24"/>
          <w:szCs w:val="24"/>
        </w:rPr>
        <w:t xml:space="preserve"> (</w:t>
      </w:r>
      <w:r w:rsidR="004852FA">
        <w:rPr>
          <w:sz w:val="24"/>
          <w:szCs w:val="24"/>
        </w:rPr>
        <w:t>n=713</w:t>
      </w:r>
      <w:r w:rsidR="00E00059">
        <w:rPr>
          <w:sz w:val="24"/>
          <w:szCs w:val="24"/>
        </w:rPr>
        <w:t>=526+66+121</w:t>
      </w:r>
      <w:r w:rsidR="004852FA">
        <w:rPr>
          <w:sz w:val="24"/>
          <w:szCs w:val="24"/>
        </w:rPr>
        <w:t>)</w:t>
      </w:r>
      <w:r w:rsidR="00C056BB">
        <w:rPr>
          <w:sz w:val="24"/>
          <w:szCs w:val="24"/>
        </w:rPr>
        <w:t xml:space="preserve">. </w:t>
      </w:r>
      <w:r w:rsidR="00F67821">
        <w:rPr>
          <w:sz w:val="24"/>
          <w:szCs w:val="24"/>
        </w:rPr>
        <w:t xml:space="preserve">The total annual time burden for eligibility screening is </w:t>
      </w:r>
      <w:r w:rsidR="004852FA" w:rsidRPr="00E00059">
        <w:rPr>
          <w:sz w:val="24"/>
          <w:szCs w:val="24"/>
        </w:rPr>
        <w:t>134</w:t>
      </w:r>
      <w:r w:rsidR="00F67821" w:rsidRPr="004852FA">
        <w:rPr>
          <w:sz w:val="24"/>
          <w:szCs w:val="24"/>
        </w:rPr>
        <w:t xml:space="preserve"> hours.</w:t>
      </w:r>
    </w:p>
    <w:p w14:paraId="0FF2E1A3" w14:textId="77777777" w:rsidR="005B01BF" w:rsidRDefault="00C056BB" w:rsidP="000E1CF2">
      <w:pPr>
        <w:ind w:left="720"/>
        <w:rPr>
          <w:sz w:val="24"/>
          <w:szCs w:val="24"/>
        </w:rPr>
      </w:pPr>
      <w:r>
        <w:rPr>
          <w:b/>
          <w:i/>
          <w:sz w:val="24"/>
          <w:szCs w:val="24"/>
        </w:rPr>
        <w:t xml:space="preserve">Exposure Group Screening. </w:t>
      </w:r>
      <w:r w:rsidR="005B01BF" w:rsidRPr="00BB45FF">
        <w:rPr>
          <w:sz w:val="24"/>
          <w:szCs w:val="24"/>
        </w:rPr>
        <w:t>For the exposure group (n=1,350), ATSDR will enroll 1,000 adults and 350 children. Annualized estimates are 450 exposed participants (333 adults and 117 children). Eligible participants had to work at, live on, or attend childcare at the former Pease Air Force Base or the Pease International Tradeport, or live in a nearby home that was served by a PFAS-contaminated private well. Drinking water exposures must have occurred at some time between 2004 and May 2014, after which remediation of the public water supply occurred.</w:t>
      </w:r>
    </w:p>
    <w:p w14:paraId="75E1BE00" w14:textId="40A4DE59" w:rsidR="003D35FD" w:rsidRDefault="00FA3F96" w:rsidP="000E1CF2">
      <w:pPr>
        <w:ind w:left="720"/>
        <w:rPr>
          <w:sz w:val="24"/>
          <w:szCs w:val="24"/>
        </w:rPr>
      </w:pPr>
      <w:r w:rsidRPr="00BB45FF">
        <w:rPr>
          <w:sz w:val="24"/>
          <w:szCs w:val="24"/>
        </w:rPr>
        <w:t xml:space="preserve">The exposure group will be recruited in Waves One and Two. </w:t>
      </w:r>
      <w:r w:rsidR="003D35FD">
        <w:rPr>
          <w:sz w:val="24"/>
          <w:szCs w:val="24"/>
        </w:rPr>
        <w:t xml:space="preserve">For Wave One, </w:t>
      </w:r>
      <w:r w:rsidR="003D35FD" w:rsidRPr="00BB45FF">
        <w:rPr>
          <w:sz w:val="24"/>
          <w:szCs w:val="24"/>
        </w:rPr>
        <w:t xml:space="preserve">NH DHHS will assist ATSDR by sending out letters of invitation to its </w:t>
      </w:r>
      <w:r w:rsidR="003D35FD">
        <w:rPr>
          <w:sz w:val="24"/>
          <w:szCs w:val="24"/>
        </w:rPr>
        <w:t xml:space="preserve">1,578 </w:t>
      </w:r>
      <w:r w:rsidR="003D35FD" w:rsidRPr="00BB45FF">
        <w:rPr>
          <w:sz w:val="24"/>
          <w:szCs w:val="24"/>
        </w:rPr>
        <w:t>former blood testing program participants</w:t>
      </w:r>
      <w:r w:rsidR="003D35FD">
        <w:rPr>
          <w:sz w:val="24"/>
          <w:szCs w:val="24"/>
        </w:rPr>
        <w:t xml:space="preserve"> (</w:t>
      </w:r>
      <w:r w:rsidR="003D35FD">
        <w:rPr>
          <w:b/>
          <w:sz w:val="24"/>
          <w:szCs w:val="24"/>
        </w:rPr>
        <w:t>Attachments 6a&amp;6b</w:t>
      </w:r>
      <w:r w:rsidR="003D35FD">
        <w:rPr>
          <w:sz w:val="24"/>
          <w:szCs w:val="24"/>
        </w:rPr>
        <w:t>)</w:t>
      </w:r>
      <w:r w:rsidR="003D35FD" w:rsidRPr="00BB45FF">
        <w:rPr>
          <w:sz w:val="24"/>
          <w:szCs w:val="24"/>
        </w:rPr>
        <w:t xml:space="preserve">. </w:t>
      </w:r>
      <w:r w:rsidR="003D35FD">
        <w:rPr>
          <w:sz w:val="24"/>
          <w:szCs w:val="24"/>
        </w:rPr>
        <w:t>Therefore, ATSDR will screen 526</w:t>
      </w:r>
      <w:r w:rsidR="0081759D" w:rsidRPr="00BB45FF">
        <w:rPr>
          <w:sz w:val="24"/>
          <w:szCs w:val="24"/>
        </w:rPr>
        <w:t xml:space="preserve"> people from the NH DHHS PFAS b</w:t>
      </w:r>
      <w:r w:rsidR="003D35FD">
        <w:rPr>
          <w:sz w:val="24"/>
          <w:szCs w:val="24"/>
        </w:rPr>
        <w:t>lood testing program</w:t>
      </w:r>
      <w:r w:rsidR="0081759D" w:rsidRPr="00BB45FF">
        <w:rPr>
          <w:sz w:val="24"/>
          <w:szCs w:val="24"/>
        </w:rPr>
        <w:t xml:space="preserve"> per year</w:t>
      </w:r>
      <w:r w:rsidR="003B5DB5">
        <w:rPr>
          <w:sz w:val="24"/>
          <w:szCs w:val="24"/>
        </w:rPr>
        <w:t xml:space="preserve"> (</w:t>
      </w:r>
      <w:r w:rsidR="00826061">
        <w:rPr>
          <w:sz w:val="24"/>
          <w:szCs w:val="24"/>
        </w:rPr>
        <w:t>n=</w:t>
      </w:r>
      <w:r w:rsidR="003B5DB5">
        <w:rPr>
          <w:sz w:val="24"/>
          <w:szCs w:val="24"/>
        </w:rPr>
        <w:t>1,578/3</w:t>
      </w:r>
      <w:r w:rsidR="00C01B13">
        <w:rPr>
          <w:sz w:val="24"/>
          <w:szCs w:val="24"/>
        </w:rPr>
        <w:t xml:space="preserve"> years</w:t>
      </w:r>
      <w:r w:rsidR="003B5DB5">
        <w:rPr>
          <w:sz w:val="24"/>
          <w:szCs w:val="24"/>
        </w:rPr>
        <w:t>)</w:t>
      </w:r>
      <w:r w:rsidR="00BF2D96">
        <w:rPr>
          <w:sz w:val="24"/>
          <w:szCs w:val="24"/>
        </w:rPr>
        <w:t xml:space="preserve">. </w:t>
      </w:r>
    </w:p>
    <w:p w14:paraId="11E98516" w14:textId="01747D00" w:rsidR="00347551" w:rsidRDefault="003B5DB5" w:rsidP="000E1CF2">
      <w:pPr>
        <w:ind w:left="720"/>
        <w:rPr>
          <w:sz w:val="24"/>
          <w:szCs w:val="24"/>
        </w:rPr>
      </w:pPr>
      <w:r>
        <w:rPr>
          <w:sz w:val="24"/>
          <w:szCs w:val="24"/>
        </w:rPr>
        <w:t>ATSDR will screen at least 198</w:t>
      </w:r>
      <w:r w:rsidR="0081759D">
        <w:rPr>
          <w:sz w:val="24"/>
          <w:szCs w:val="24"/>
        </w:rPr>
        <w:t xml:space="preserve"> exposed people in Wave Two (n=</w:t>
      </w:r>
      <w:r>
        <w:rPr>
          <w:sz w:val="24"/>
          <w:szCs w:val="24"/>
        </w:rPr>
        <w:t>66</w:t>
      </w:r>
      <w:r w:rsidR="0081759D" w:rsidRPr="00BB45FF">
        <w:rPr>
          <w:sz w:val="24"/>
          <w:szCs w:val="24"/>
        </w:rPr>
        <w:t xml:space="preserve"> per year)</w:t>
      </w:r>
      <w:r w:rsidR="001A174C">
        <w:rPr>
          <w:sz w:val="24"/>
          <w:szCs w:val="24"/>
        </w:rPr>
        <w:t xml:space="preserve"> </w:t>
      </w:r>
      <w:r w:rsidR="003D35FD">
        <w:rPr>
          <w:sz w:val="24"/>
          <w:szCs w:val="24"/>
        </w:rPr>
        <w:t>(</w:t>
      </w:r>
      <w:r w:rsidR="003D35FD">
        <w:rPr>
          <w:b/>
          <w:sz w:val="24"/>
          <w:szCs w:val="24"/>
        </w:rPr>
        <w:t>Attachment 7a&amp;7b</w:t>
      </w:r>
      <w:r w:rsidR="003D35FD">
        <w:rPr>
          <w:sz w:val="24"/>
          <w:szCs w:val="24"/>
        </w:rPr>
        <w:t>)</w:t>
      </w:r>
      <w:r w:rsidR="003D35FD" w:rsidRPr="00BB45FF">
        <w:rPr>
          <w:sz w:val="24"/>
          <w:szCs w:val="24"/>
        </w:rPr>
        <w:t>.</w:t>
      </w:r>
      <w:r w:rsidR="0081759D">
        <w:rPr>
          <w:sz w:val="24"/>
          <w:szCs w:val="24"/>
        </w:rPr>
        <w:t xml:space="preserve"> </w:t>
      </w:r>
      <w:r w:rsidR="003D35FD" w:rsidRPr="00BB45FF">
        <w:rPr>
          <w:sz w:val="24"/>
          <w:szCs w:val="24"/>
        </w:rPr>
        <w:t xml:space="preserve">These will be people who were eligible for the </w:t>
      </w:r>
      <w:r w:rsidR="003D35FD">
        <w:rPr>
          <w:sz w:val="24"/>
          <w:szCs w:val="24"/>
        </w:rPr>
        <w:t xml:space="preserve">NH DHHS </w:t>
      </w:r>
      <w:r w:rsidR="003D35FD" w:rsidRPr="00BB45FF">
        <w:rPr>
          <w:sz w:val="24"/>
          <w:szCs w:val="24"/>
        </w:rPr>
        <w:t>PFAS blood testing program but did not take part.</w:t>
      </w:r>
    </w:p>
    <w:p w14:paraId="4476BDB9" w14:textId="28CF1C66" w:rsidR="00A74106" w:rsidRDefault="00952DD4" w:rsidP="000E1CF2">
      <w:pPr>
        <w:ind w:left="720"/>
        <w:rPr>
          <w:sz w:val="24"/>
          <w:szCs w:val="24"/>
        </w:rPr>
      </w:pPr>
      <w:r>
        <w:rPr>
          <w:sz w:val="24"/>
          <w:szCs w:val="24"/>
        </w:rPr>
        <w:t xml:space="preserve">The </w:t>
      </w:r>
      <w:r w:rsidR="00EE1AD3">
        <w:rPr>
          <w:sz w:val="24"/>
          <w:szCs w:val="24"/>
        </w:rPr>
        <w:t xml:space="preserve">annual </w:t>
      </w:r>
      <w:r>
        <w:rPr>
          <w:sz w:val="24"/>
          <w:szCs w:val="24"/>
        </w:rPr>
        <w:t>number of respondents who will be screened for Wave Two eligibility (n=66) was derived indirectly from the sample size goal of 1,350 exposed participants</w:t>
      </w:r>
      <w:r w:rsidR="009B6621">
        <w:rPr>
          <w:sz w:val="24"/>
          <w:szCs w:val="24"/>
        </w:rPr>
        <w:t>. We assumed</w:t>
      </w:r>
      <w:r>
        <w:rPr>
          <w:sz w:val="24"/>
          <w:szCs w:val="24"/>
        </w:rPr>
        <w:t xml:space="preserve"> 95 percent eligibility and 80 percent resp</w:t>
      </w:r>
      <w:r w:rsidR="00EE1AD3">
        <w:rPr>
          <w:sz w:val="24"/>
          <w:szCs w:val="24"/>
        </w:rPr>
        <w:t xml:space="preserve">onse of the total number of respondents in the exposure group to be screened </w:t>
      </w:r>
      <w:r w:rsidR="009B6621">
        <w:rPr>
          <w:sz w:val="24"/>
          <w:szCs w:val="24"/>
        </w:rPr>
        <w:t>[</w:t>
      </w:r>
      <w:r w:rsidR="00EE1AD3">
        <w:rPr>
          <w:sz w:val="24"/>
          <w:szCs w:val="24"/>
        </w:rPr>
        <w:t>n=</w:t>
      </w:r>
      <w:r w:rsidR="00B91332">
        <w:rPr>
          <w:sz w:val="24"/>
          <w:szCs w:val="24"/>
        </w:rPr>
        <w:t>1,776=</w:t>
      </w:r>
      <w:r w:rsidR="007C4423">
        <w:rPr>
          <w:sz w:val="24"/>
          <w:szCs w:val="24"/>
        </w:rPr>
        <w:t>1,350*(100/95)*100/80</w:t>
      </w:r>
      <w:r w:rsidR="00EE1AD3">
        <w:rPr>
          <w:sz w:val="24"/>
          <w:szCs w:val="24"/>
        </w:rPr>
        <w:t>)</w:t>
      </w:r>
      <w:r w:rsidR="009B6621">
        <w:rPr>
          <w:sz w:val="24"/>
          <w:szCs w:val="24"/>
        </w:rPr>
        <w:t>]</w:t>
      </w:r>
      <w:r w:rsidR="00EE1AD3">
        <w:rPr>
          <w:sz w:val="24"/>
          <w:szCs w:val="24"/>
        </w:rPr>
        <w:t>.</w:t>
      </w:r>
      <w:r>
        <w:rPr>
          <w:sz w:val="24"/>
          <w:szCs w:val="24"/>
        </w:rPr>
        <w:t xml:space="preserve"> </w:t>
      </w:r>
      <w:r w:rsidR="007C4423">
        <w:rPr>
          <w:sz w:val="24"/>
          <w:szCs w:val="24"/>
        </w:rPr>
        <w:t xml:space="preserve">The </w:t>
      </w:r>
      <w:r w:rsidR="00900130">
        <w:rPr>
          <w:sz w:val="24"/>
          <w:szCs w:val="24"/>
        </w:rPr>
        <w:t xml:space="preserve">total </w:t>
      </w:r>
      <w:r w:rsidR="007C4423">
        <w:rPr>
          <w:sz w:val="24"/>
          <w:szCs w:val="24"/>
        </w:rPr>
        <w:t>annual number of respondents to be screened for eligibili</w:t>
      </w:r>
      <w:r w:rsidR="007E692C">
        <w:rPr>
          <w:sz w:val="24"/>
          <w:szCs w:val="24"/>
        </w:rPr>
        <w:t>ty in the exposure group is 592</w:t>
      </w:r>
      <w:r w:rsidR="007C4423">
        <w:rPr>
          <w:sz w:val="24"/>
          <w:szCs w:val="24"/>
        </w:rPr>
        <w:t>. Therefore, the annual number of Wave Two respondents for eligibility screening is 66 (n=592-526).</w:t>
      </w:r>
    </w:p>
    <w:p w14:paraId="5A770D1C" w14:textId="71A329DB" w:rsidR="005B01BF" w:rsidRDefault="00EA035B" w:rsidP="008479E5">
      <w:pPr>
        <w:spacing w:line="276" w:lineRule="auto"/>
        <w:ind w:left="720"/>
        <w:rPr>
          <w:sz w:val="24"/>
          <w:szCs w:val="24"/>
        </w:rPr>
      </w:pPr>
      <w:r>
        <w:rPr>
          <w:b/>
          <w:i/>
          <w:sz w:val="24"/>
          <w:szCs w:val="24"/>
        </w:rPr>
        <w:t>Referent Group</w:t>
      </w:r>
      <w:r w:rsidR="00C056BB">
        <w:rPr>
          <w:b/>
          <w:i/>
          <w:sz w:val="24"/>
          <w:szCs w:val="24"/>
        </w:rPr>
        <w:t xml:space="preserve"> Screening</w:t>
      </w:r>
      <w:r>
        <w:rPr>
          <w:b/>
          <w:i/>
          <w:sz w:val="24"/>
          <w:szCs w:val="24"/>
        </w:rPr>
        <w:t>.</w:t>
      </w:r>
      <w:r w:rsidR="00E5611D">
        <w:rPr>
          <w:b/>
          <w:i/>
          <w:sz w:val="24"/>
          <w:szCs w:val="24"/>
        </w:rPr>
        <w:t xml:space="preserve"> </w:t>
      </w:r>
      <w:r w:rsidR="005B01BF" w:rsidRPr="00BB45FF">
        <w:rPr>
          <w:sz w:val="24"/>
          <w:szCs w:val="24"/>
        </w:rPr>
        <w:t>For the referent group (n=275), ATSDR will enroll 100 adults and 175 children. Annualized estimates are 92 referent participants (34 adults and 58 children). Eligible participants, never exposed to PFAS-contaminated drinking water from Pease, will come from other areas of Portsmouth, NH.  Birth mothers of referent children likewise must never have ha</w:t>
      </w:r>
      <w:r w:rsidR="005B01BF">
        <w:rPr>
          <w:sz w:val="24"/>
          <w:szCs w:val="24"/>
        </w:rPr>
        <w:t>d PFAS drinking water exposure.</w:t>
      </w:r>
    </w:p>
    <w:p w14:paraId="4D607C42" w14:textId="5561CB99" w:rsidR="000E1CF2" w:rsidRDefault="00FA3F96" w:rsidP="000E1CF2">
      <w:pPr>
        <w:ind w:left="720"/>
        <w:rPr>
          <w:b/>
          <w:i/>
          <w:sz w:val="24"/>
          <w:szCs w:val="24"/>
        </w:rPr>
      </w:pPr>
      <w:r w:rsidRPr="00BB45FF">
        <w:rPr>
          <w:sz w:val="24"/>
          <w:szCs w:val="24"/>
        </w:rPr>
        <w:t xml:space="preserve">The referent group will be </w:t>
      </w:r>
      <w:r w:rsidR="000E1CF2">
        <w:rPr>
          <w:sz w:val="24"/>
          <w:szCs w:val="24"/>
        </w:rPr>
        <w:t xml:space="preserve">screened and </w:t>
      </w:r>
      <w:r w:rsidRPr="00BB45FF">
        <w:rPr>
          <w:sz w:val="24"/>
          <w:szCs w:val="24"/>
        </w:rPr>
        <w:t>recruited in Wave Three (n=</w:t>
      </w:r>
      <w:r w:rsidR="008D1B80">
        <w:rPr>
          <w:sz w:val="24"/>
          <w:szCs w:val="24"/>
        </w:rPr>
        <w:t>362</w:t>
      </w:r>
      <w:r w:rsidRPr="00BB45FF">
        <w:rPr>
          <w:sz w:val="24"/>
          <w:szCs w:val="24"/>
        </w:rPr>
        <w:t>, or</w:t>
      </w:r>
      <w:r w:rsidR="00EA5D2C">
        <w:rPr>
          <w:sz w:val="24"/>
          <w:szCs w:val="24"/>
        </w:rPr>
        <w:t xml:space="preserve"> </w:t>
      </w:r>
      <w:r w:rsidR="008D1B80">
        <w:rPr>
          <w:sz w:val="24"/>
          <w:szCs w:val="24"/>
        </w:rPr>
        <w:t>121</w:t>
      </w:r>
      <w:r w:rsidRPr="00BB45FF">
        <w:rPr>
          <w:sz w:val="24"/>
          <w:szCs w:val="24"/>
        </w:rPr>
        <w:t xml:space="preserve"> per year), which can occur concurrently with Wave One and Wave Two</w:t>
      </w:r>
      <w:r w:rsidR="00B05FA8">
        <w:rPr>
          <w:sz w:val="24"/>
          <w:szCs w:val="24"/>
        </w:rPr>
        <w:t xml:space="preserve"> (</w:t>
      </w:r>
      <w:r w:rsidR="00B05FA8">
        <w:rPr>
          <w:b/>
          <w:sz w:val="24"/>
          <w:szCs w:val="24"/>
        </w:rPr>
        <w:t>Attachments 7d&amp;7e</w:t>
      </w:r>
      <w:r w:rsidR="00B05FA8">
        <w:rPr>
          <w:sz w:val="24"/>
          <w:szCs w:val="24"/>
        </w:rPr>
        <w:t>)</w:t>
      </w:r>
      <w:r w:rsidRPr="00BB45FF">
        <w:rPr>
          <w:sz w:val="24"/>
          <w:szCs w:val="24"/>
        </w:rPr>
        <w:t>. Wave Two and Wave Three recruits will call to volunteer after ATSDR opens those waves to enrollment</w:t>
      </w:r>
      <w:r w:rsidR="00E5611D" w:rsidRPr="00BB45FF">
        <w:rPr>
          <w:sz w:val="24"/>
          <w:szCs w:val="24"/>
        </w:rPr>
        <w:t>.</w:t>
      </w:r>
      <w:r w:rsidR="00A74106">
        <w:rPr>
          <w:b/>
          <w:i/>
          <w:sz w:val="24"/>
          <w:szCs w:val="24"/>
        </w:rPr>
        <w:t xml:space="preserve"> </w:t>
      </w:r>
    </w:p>
    <w:p w14:paraId="4D2B89E3" w14:textId="36DB7A12" w:rsidR="008956E9" w:rsidRDefault="00B13695" w:rsidP="00B6728B">
      <w:pPr>
        <w:rPr>
          <w:sz w:val="24"/>
          <w:szCs w:val="24"/>
        </w:rPr>
      </w:pPr>
      <w:r>
        <w:rPr>
          <w:b/>
          <w:i/>
          <w:sz w:val="24"/>
          <w:szCs w:val="24"/>
        </w:rPr>
        <w:t xml:space="preserve">Enrollment. </w:t>
      </w:r>
      <w:r w:rsidR="00F5438E">
        <w:rPr>
          <w:sz w:val="24"/>
          <w:szCs w:val="24"/>
        </w:rPr>
        <w:t>Over the course of the study, ATSDR will</w:t>
      </w:r>
      <w:r w:rsidR="00F5438E" w:rsidRPr="00BB45FF">
        <w:rPr>
          <w:sz w:val="24"/>
          <w:szCs w:val="24"/>
        </w:rPr>
        <w:t xml:space="preserve"> enroll </w:t>
      </w:r>
      <w:r w:rsidR="00F5438E">
        <w:rPr>
          <w:sz w:val="24"/>
          <w:szCs w:val="24"/>
        </w:rPr>
        <w:t xml:space="preserve">a convenience sample of </w:t>
      </w:r>
      <w:r w:rsidR="00F5438E" w:rsidRPr="00BB45FF">
        <w:rPr>
          <w:sz w:val="24"/>
          <w:szCs w:val="24"/>
        </w:rPr>
        <w:t xml:space="preserve">1,625 </w:t>
      </w:r>
      <w:r w:rsidR="00F5438E">
        <w:rPr>
          <w:sz w:val="24"/>
          <w:szCs w:val="24"/>
        </w:rPr>
        <w:t xml:space="preserve">eligible </w:t>
      </w:r>
      <w:r w:rsidR="00F5438E" w:rsidRPr="00BB45FF">
        <w:rPr>
          <w:sz w:val="24"/>
          <w:szCs w:val="24"/>
        </w:rPr>
        <w:t>participants (1,100 adults and 525 child</w:t>
      </w:r>
      <w:r w:rsidR="00F5438E">
        <w:rPr>
          <w:sz w:val="24"/>
          <w:szCs w:val="24"/>
        </w:rPr>
        <w:t xml:space="preserve">ren and their parents). </w:t>
      </w:r>
      <w:r w:rsidR="002347EC">
        <w:rPr>
          <w:sz w:val="24"/>
          <w:szCs w:val="24"/>
        </w:rPr>
        <w:t xml:space="preserve">The estimated annual number of respondents to be enrolled are based on the </w:t>
      </w:r>
      <w:r w:rsidR="001142E6">
        <w:rPr>
          <w:sz w:val="24"/>
          <w:szCs w:val="24"/>
        </w:rPr>
        <w:t xml:space="preserve">above </w:t>
      </w:r>
      <w:r w:rsidR="002347EC">
        <w:rPr>
          <w:sz w:val="24"/>
          <w:szCs w:val="24"/>
        </w:rPr>
        <w:t>protocol sample size goals (n=542=</w:t>
      </w:r>
      <w:r w:rsidR="001142E6">
        <w:rPr>
          <w:sz w:val="24"/>
          <w:szCs w:val="24"/>
        </w:rPr>
        <w:t>1,625/3 years=</w:t>
      </w:r>
      <w:r w:rsidR="002347EC">
        <w:rPr>
          <w:sz w:val="24"/>
          <w:szCs w:val="24"/>
        </w:rPr>
        <w:t>400+50+92</w:t>
      </w:r>
      <w:r w:rsidR="001142E6">
        <w:rPr>
          <w:sz w:val="24"/>
          <w:szCs w:val="24"/>
        </w:rPr>
        <w:t xml:space="preserve"> by Waves</w:t>
      </w:r>
      <w:r w:rsidR="002347EC">
        <w:rPr>
          <w:sz w:val="24"/>
          <w:szCs w:val="24"/>
        </w:rPr>
        <w:t>)</w:t>
      </w:r>
      <w:r w:rsidR="002347EC" w:rsidRPr="004852FA">
        <w:rPr>
          <w:sz w:val="24"/>
          <w:szCs w:val="24"/>
        </w:rPr>
        <w:t>.</w:t>
      </w:r>
      <w:r w:rsidR="002347EC">
        <w:rPr>
          <w:sz w:val="24"/>
          <w:szCs w:val="24"/>
        </w:rPr>
        <w:t xml:space="preserve"> </w:t>
      </w:r>
      <w:r w:rsidR="00F5438E">
        <w:rPr>
          <w:sz w:val="24"/>
          <w:szCs w:val="24"/>
        </w:rPr>
        <w:t>The total annual time burden for appointment reminders is is 45</w:t>
      </w:r>
      <w:r w:rsidR="00F5438E" w:rsidRPr="004852FA">
        <w:rPr>
          <w:sz w:val="24"/>
          <w:szCs w:val="24"/>
        </w:rPr>
        <w:t xml:space="preserve"> hours</w:t>
      </w:r>
      <w:r w:rsidR="00C174F6">
        <w:rPr>
          <w:sz w:val="24"/>
          <w:szCs w:val="24"/>
        </w:rPr>
        <w:t xml:space="preserve"> (</w:t>
      </w:r>
      <w:r w:rsidR="00C174F6">
        <w:rPr>
          <w:b/>
          <w:sz w:val="24"/>
          <w:szCs w:val="24"/>
        </w:rPr>
        <w:t>Attachment 10</w:t>
      </w:r>
      <w:r w:rsidR="00C174F6">
        <w:rPr>
          <w:sz w:val="24"/>
          <w:szCs w:val="24"/>
        </w:rPr>
        <w:t>)</w:t>
      </w:r>
      <w:r w:rsidR="00F5438E" w:rsidRPr="004852FA">
        <w:rPr>
          <w:sz w:val="24"/>
          <w:szCs w:val="24"/>
        </w:rPr>
        <w:t>.</w:t>
      </w:r>
    </w:p>
    <w:p w14:paraId="279294C7" w14:textId="4778B911" w:rsidR="0001135C" w:rsidRPr="00BB45FF" w:rsidRDefault="008956E9" w:rsidP="008479E5">
      <w:pPr>
        <w:spacing w:line="276" w:lineRule="auto"/>
        <w:ind w:left="720"/>
        <w:rPr>
          <w:sz w:val="24"/>
          <w:szCs w:val="24"/>
        </w:rPr>
      </w:pPr>
      <w:r>
        <w:rPr>
          <w:b/>
          <w:i/>
          <w:sz w:val="24"/>
          <w:szCs w:val="24"/>
        </w:rPr>
        <w:t xml:space="preserve">Exposure Group Enrollment. </w:t>
      </w:r>
      <w:r w:rsidRPr="00BB45FF">
        <w:rPr>
          <w:sz w:val="24"/>
          <w:szCs w:val="24"/>
        </w:rPr>
        <w:t>For the exposure group (n=1,350), ATSDR will enroll 1,000 adults and 350 children. Annualized estimates are 450 exposed participants (333 adults and 117 children</w:t>
      </w:r>
      <w:r w:rsidR="00F5438E">
        <w:rPr>
          <w:sz w:val="24"/>
          <w:szCs w:val="24"/>
        </w:rPr>
        <w:t>; 400 Wave One and 50 Wave Two</w:t>
      </w:r>
      <w:r w:rsidRPr="00BB45FF">
        <w:rPr>
          <w:sz w:val="24"/>
          <w:szCs w:val="24"/>
        </w:rPr>
        <w:t>).</w:t>
      </w:r>
      <w:r w:rsidR="0039644E">
        <w:rPr>
          <w:sz w:val="24"/>
          <w:szCs w:val="24"/>
        </w:rPr>
        <w:t xml:space="preserve"> </w:t>
      </w:r>
      <w:r w:rsidR="0039644E" w:rsidRPr="00BB45FF">
        <w:rPr>
          <w:sz w:val="24"/>
          <w:szCs w:val="24"/>
        </w:rPr>
        <w:t>Eligible participants had to work at, live on, or attend childcare at the former Pease Air Force Base or the Pease International Tradeport, or live in a nearby home that was served by a PFAS-conta</w:t>
      </w:r>
      <w:r w:rsidR="0039644E">
        <w:rPr>
          <w:sz w:val="24"/>
          <w:szCs w:val="24"/>
        </w:rPr>
        <w:t xml:space="preserve">minated private well. </w:t>
      </w:r>
      <w:r w:rsidR="0001135C" w:rsidRPr="00BB45FF">
        <w:rPr>
          <w:sz w:val="24"/>
          <w:szCs w:val="24"/>
        </w:rPr>
        <w:t>Drinking water exposures must have occurred at some time between 2004 and May 2014, after which remediation of the public water supply occurred.</w:t>
      </w:r>
    </w:p>
    <w:p w14:paraId="3D6269EA" w14:textId="7D6090F9" w:rsidR="0001135C" w:rsidRPr="00BB45FF" w:rsidRDefault="008956E9" w:rsidP="008479E5">
      <w:pPr>
        <w:spacing w:line="276" w:lineRule="auto"/>
        <w:ind w:left="720"/>
        <w:rPr>
          <w:sz w:val="24"/>
          <w:szCs w:val="24"/>
        </w:rPr>
      </w:pPr>
      <w:r>
        <w:rPr>
          <w:b/>
          <w:i/>
          <w:sz w:val="24"/>
          <w:szCs w:val="24"/>
        </w:rPr>
        <w:t xml:space="preserve">Referent Group Enrollment. </w:t>
      </w:r>
      <w:r w:rsidRPr="00BB45FF">
        <w:rPr>
          <w:sz w:val="24"/>
          <w:szCs w:val="24"/>
        </w:rPr>
        <w:t xml:space="preserve">For the referent group (n=275), </w:t>
      </w:r>
      <w:r w:rsidRPr="00665AD2">
        <w:rPr>
          <w:sz w:val="24"/>
          <w:szCs w:val="24"/>
        </w:rPr>
        <w:t xml:space="preserve">ATSDR will enroll 100 adults and 175 children. </w:t>
      </w:r>
      <w:r w:rsidRPr="00665AD2">
        <w:rPr>
          <w:rFonts w:cstheme="minorHAnsi"/>
          <w:sz w:val="24"/>
          <w:szCs w:val="24"/>
        </w:rPr>
        <w:t>Adults will be 18 years or older, and children will be 4-17 years of age at enrollment.</w:t>
      </w:r>
      <w:r>
        <w:rPr>
          <w:rFonts w:cstheme="minorHAnsi"/>
          <w:sz w:val="24"/>
          <w:szCs w:val="24"/>
        </w:rPr>
        <w:t xml:space="preserve"> </w:t>
      </w:r>
      <w:r w:rsidR="0001135C" w:rsidRPr="00BB45FF">
        <w:rPr>
          <w:sz w:val="24"/>
          <w:szCs w:val="24"/>
        </w:rPr>
        <w:t>Annualized estimates are 92 referent participants (34 adults and 58 children). Eligible participants, never exposed to PFAS-contaminated drinking water from Pease, will come from other areas of Portsmouth, NH.  Birth mothers of referent children likewise must never have had PFAS drinking water exposure.</w:t>
      </w:r>
    </w:p>
    <w:p w14:paraId="248DE698" w14:textId="77777777" w:rsidR="005033EA" w:rsidRDefault="00FA3F96" w:rsidP="008479E5">
      <w:pPr>
        <w:spacing w:line="276" w:lineRule="auto"/>
        <w:rPr>
          <w:sz w:val="24"/>
          <w:szCs w:val="24"/>
        </w:rPr>
      </w:pPr>
      <w:r w:rsidRPr="00BB45FF">
        <w:rPr>
          <w:sz w:val="24"/>
          <w:szCs w:val="24"/>
        </w:rPr>
        <w:t>At enrollment, ATSDR will obtain adult consent, parental permission, and child assent before data collection begins</w:t>
      </w:r>
      <w:r w:rsidR="008115DC">
        <w:rPr>
          <w:sz w:val="24"/>
          <w:szCs w:val="24"/>
        </w:rPr>
        <w:t xml:space="preserve"> (</w:t>
      </w:r>
      <w:r w:rsidR="008115DC">
        <w:rPr>
          <w:b/>
          <w:sz w:val="24"/>
          <w:szCs w:val="24"/>
        </w:rPr>
        <w:t>Attachment 9b</w:t>
      </w:r>
      <w:r w:rsidR="008115DC">
        <w:rPr>
          <w:sz w:val="24"/>
          <w:szCs w:val="24"/>
        </w:rPr>
        <w:t>)</w:t>
      </w:r>
      <w:r w:rsidRPr="00BB45FF">
        <w:rPr>
          <w:sz w:val="24"/>
          <w:szCs w:val="24"/>
        </w:rPr>
        <w:t xml:space="preserve">. Each child will enroll with a parent, who ideally will be the child’s birth mother, as ATSDR will ask details about the child’s exposure, pregnancy, and breastfeeding history. </w:t>
      </w:r>
    </w:p>
    <w:p w14:paraId="2B3A8239" w14:textId="4E901289" w:rsidR="00FA3F96" w:rsidRPr="00C174F6" w:rsidRDefault="009B236C" w:rsidP="008479E5">
      <w:pPr>
        <w:spacing w:line="276" w:lineRule="auto"/>
        <w:rPr>
          <w:sz w:val="24"/>
          <w:szCs w:val="24"/>
        </w:rPr>
      </w:pPr>
      <w:r>
        <w:rPr>
          <w:b/>
          <w:i/>
          <w:sz w:val="24"/>
          <w:szCs w:val="24"/>
        </w:rPr>
        <w:t xml:space="preserve">Study Data and Specimen Collection. </w:t>
      </w:r>
      <w:r w:rsidR="00C174F6">
        <w:rPr>
          <w:sz w:val="24"/>
          <w:szCs w:val="24"/>
        </w:rPr>
        <w:t>ATSDR will take this opportunity to update each participant’s contact information on hardcopy forms (</w:t>
      </w:r>
      <w:r w:rsidR="00C174F6">
        <w:rPr>
          <w:b/>
          <w:sz w:val="24"/>
          <w:szCs w:val="24"/>
        </w:rPr>
        <w:t>Attachment 12</w:t>
      </w:r>
      <w:r w:rsidR="005033EA" w:rsidRPr="008479E5">
        <w:rPr>
          <w:sz w:val="24"/>
          <w:szCs w:val="24"/>
        </w:rPr>
        <w:t>;</w:t>
      </w:r>
      <w:r w:rsidR="005033EA">
        <w:rPr>
          <w:sz w:val="24"/>
          <w:szCs w:val="24"/>
        </w:rPr>
        <w:t xml:space="preserve"> annualized time burden -</w:t>
      </w:r>
      <w:r w:rsidR="00C174F6">
        <w:rPr>
          <w:sz w:val="24"/>
          <w:szCs w:val="24"/>
        </w:rPr>
        <w:t xml:space="preserve"> 45 hours)</w:t>
      </w:r>
      <w:r w:rsidR="005033EA">
        <w:rPr>
          <w:sz w:val="24"/>
          <w:szCs w:val="24"/>
        </w:rPr>
        <w:t xml:space="preserve"> and list out medications (</w:t>
      </w:r>
      <w:r w:rsidR="005033EA">
        <w:rPr>
          <w:b/>
          <w:sz w:val="24"/>
          <w:szCs w:val="24"/>
        </w:rPr>
        <w:t>Attachment 13</w:t>
      </w:r>
      <w:r w:rsidR="005033EA">
        <w:rPr>
          <w:sz w:val="24"/>
          <w:szCs w:val="24"/>
        </w:rPr>
        <w:t>; annualized time burden – 27 hours).</w:t>
      </w:r>
    </w:p>
    <w:p w14:paraId="6287C774" w14:textId="08823F6A" w:rsidR="009B236C" w:rsidRDefault="00FA3F96" w:rsidP="001F4BAF">
      <w:pPr>
        <w:rPr>
          <w:sz w:val="24"/>
          <w:szCs w:val="24"/>
        </w:rPr>
      </w:pPr>
      <w:r w:rsidRPr="00BB45FF">
        <w:rPr>
          <w:sz w:val="24"/>
          <w:szCs w:val="24"/>
        </w:rPr>
        <w:t>For each participant, ATSDR will take body measures</w:t>
      </w:r>
      <w:r w:rsidR="009B236C">
        <w:rPr>
          <w:sz w:val="24"/>
          <w:szCs w:val="24"/>
        </w:rPr>
        <w:t xml:space="preserve"> and </w:t>
      </w:r>
      <w:r w:rsidRPr="00BB45FF">
        <w:rPr>
          <w:sz w:val="24"/>
          <w:szCs w:val="24"/>
        </w:rPr>
        <w:t>collect blood and urine samples for chemical and biomarker analysis</w:t>
      </w:r>
      <w:r w:rsidR="00061450">
        <w:rPr>
          <w:sz w:val="24"/>
          <w:szCs w:val="24"/>
        </w:rPr>
        <w:t xml:space="preserve"> (</w:t>
      </w:r>
      <w:r w:rsidR="00061450">
        <w:rPr>
          <w:b/>
          <w:sz w:val="24"/>
          <w:szCs w:val="24"/>
        </w:rPr>
        <w:t>Attachments 15</w:t>
      </w:r>
      <w:r w:rsidR="00F04DA6">
        <w:rPr>
          <w:b/>
          <w:sz w:val="24"/>
          <w:szCs w:val="24"/>
        </w:rPr>
        <w:t xml:space="preserve"> </w:t>
      </w:r>
      <w:r w:rsidR="00061450">
        <w:rPr>
          <w:b/>
          <w:sz w:val="24"/>
          <w:szCs w:val="24"/>
        </w:rPr>
        <w:t>&amp;</w:t>
      </w:r>
      <w:r w:rsidR="00F04DA6">
        <w:rPr>
          <w:b/>
          <w:sz w:val="24"/>
          <w:szCs w:val="24"/>
        </w:rPr>
        <w:t xml:space="preserve"> </w:t>
      </w:r>
      <w:r w:rsidR="00061450">
        <w:rPr>
          <w:b/>
          <w:sz w:val="24"/>
          <w:szCs w:val="24"/>
        </w:rPr>
        <w:t>16</w:t>
      </w:r>
      <w:r w:rsidR="005033EA">
        <w:rPr>
          <w:sz w:val="24"/>
          <w:szCs w:val="24"/>
        </w:rPr>
        <w:t>; annualized time burden – 45 and 90 hours, respectively</w:t>
      </w:r>
      <w:r w:rsidR="00061450">
        <w:rPr>
          <w:sz w:val="24"/>
          <w:szCs w:val="24"/>
        </w:rPr>
        <w:t>)</w:t>
      </w:r>
      <w:r w:rsidR="009B236C">
        <w:rPr>
          <w:sz w:val="24"/>
          <w:szCs w:val="24"/>
        </w:rPr>
        <w:t>.</w:t>
      </w:r>
    </w:p>
    <w:p w14:paraId="0BACDC46" w14:textId="23B301EC" w:rsidR="0004308A" w:rsidRDefault="009B236C" w:rsidP="001F4BAF">
      <w:pPr>
        <w:rPr>
          <w:sz w:val="24"/>
          <w:szCs w:val="24"/>
        </w:rPr>
      </w:pPr>
      <w:r>
        <w:rPr>
          <w:sz w:val="24"/>
          <w:szCs w:val="24"/>
        </w:rPr>
        <w:t xml:space="preserve">ATSDR will </w:t>
      </w:r>
      <w:r w:rsidR="00FA3F96" w:rsidRPr="00BB45FF">
        <w:rPr>
          <w:rFonts w:eastAsia="MS Mincho"/>
          <w:sz w:val="24"/>
          <w:szCs w:val="24"/>
        </w:rPr>
        <w:t>administer a questionnaire on exposures and medical history</w:t>
      </w:r>
      <w:r w:rsidR="0057535C">
        <w:rPr>
          <w:rFonts w:eastAsia="MS Mincho"/>
          <w:sz w:val="24"/>
          <w:szCs w:val="24"/>
        </w:rPr>
        <w:t xml:space="preserve"> to 1,100 adults (n=367 adults per year)</w:t>
      </w:r>
      <w:r w:rsidR="00061450">
        <w:rPr>
          <w:rFonts w:eastAsia="MS Mincho"/>
          <w:sz w:val="24"/>
          <w:szCs w:val="24"/>
        </w:rPr>
        <w:t xml:space="preserve"> </w:t>
      </w:r>
      <w:r w:rsidR="00061450">
        <w:rPr>
          <w:sz w:val="24"/>
          <w:szCs w:val="24"/>
        </w:rPr>
        <w:t>(</w:t>
      </w:r>
      <w:r w:rsidR="00061450">
        <w:rPr>
          <w:b/>
          <w:sz w:val="24"/>
          <w:szCs w:val="24"/>
        </w:rPr>
        <w:t>Attachment 18</w:t>
      </w:r>
      <w:r w:rsidR="00061450">
        <w:rPr>
          <w:sz w:val="24"/>
          <w:szCs w:val="24"/>
        </w:rPr>
        <w:t>).</w:t>
      </w:r>
      <w:r w:rsidR="00FA3F96" w:rsidRPr="00BB45FF">
        <w:rPr>
          <w:rFonts w:eastAsia="MS Mincho"/>
          <w:sz w:val="24"/>
          <w:szCs w:val="24"/>
        </w:rPr>
        <w:t xml:space="preserve"> </w:t>
      </w:r>
      <w:r w:rsidR="00FA3F96" w:rsidRPr="00BB45FF">
        <w:rPr>
          <w:sz w:val="24"/>
          <w:szCs w:val="24"/>
        </w:rPr>
        <w:t>For purposes of burden estimation</w:t>
      </w:r>
      <w:r w:rsidR="00CA047B">
        <w:rPr>
          <w:sz w:val="24"/>
          <w:szCs w:val="24"/>
        </w:rPr>
        <w:t xml:space="preserve"> for 525 child questionnaires (n=175 per year)</w:t>
      </w:r>
      <w:r w:rsidR="00061450">
        <w:rPr>
          <w:sz w:val="24"/>
          <w:szCs w:val="24"/>
        </w:rPr>
        <w:t xml:space="preserve">, </w:t>
      </w:r>
      <w:r w:rsidR="00FA3F96" w:rsidRPr="00BB45FF">
        <w:rPr>
          <w:sz w:val="24"/>
          <w:szCs w:val="24"/>
        </w:rPr>
        <w:t xml:space="preserve">ATSDR assumes that 20 percent of parents </w:t>
      </w:r>
      <w:r w:rsidR="00CA047B">
        <w:rPr>
          <w:sz w:val="24"/>
          <w:szCs w:val="24"/>
        </w:rPr>
        <w:t xml:space="preserve">(n=105) </w:t>
      </w:r>
      <w:r w:rsidR="00FA3F96" w:rsidRPr="00BB45FF">
        <w:rPr>
          <w:sz w:val="24"/>
          <w:szCs w:val="24"/>
        </w:rPr>
        <w:t xml:space="preserve">will also enroll as adults; therefore, </w:t>
      </w:r>
      <w:r w:rsidR="0004308A">
        <w:rPr>
          <w:sz w:val="24"/>
          <w:szCs w:val="24"/>
        </w:rPr>
        <w:t xml:space="preserve">they </w:t>
      </w:r>
      <w:r w:rsidR="00FA3F96" w:rsidRPr="00BB45FF">
        <w:rPr>
          <w:sz w:val="24"/>
          <w:szCs w:val="24"/>
        </w:rPr>
        <w:t>will take the short form to reduce burden (n=35 per year)</w:t>
      </w:r>
      <w:r w:rsidR="0004308A">
        <w:rPr>
          <w:sz w:val="24"/>
          <w:szCs w:val="24"/>
        </w:rPr>
        <w:t xml:space="preserve"> (</w:t>
      </w:r>
      <w:r w:rsidR="0004308A">
        <w:rPr>
          <w:b/>
          <w:sz w:val="24"/>
          <w:szCs w:val="24"/>
        </w:rPr>
        <w:t>Attachment 17a</w:t>
      </w:r>
      <w:r w:rsidR="0004308A">
        <w:rPr>
          <w:sz w:val="24"/>
          <w:szCs w:val="24"/>
        </w:rPr>
        <w:t>)</w:t>
      </w:r>
      <w:r w:rsidR="00FA3F96" w:rsidRPr="00BB45FF">
        <w:rPr>
          <w:sz w:val="24"/>
          <w:szCs w:val="24"/>
        </w:rPr>
        <w:t xml:space="preserve">. </w:t>
      </w:r>
      <w:r w:rsidR="0004308A">
        <w:rPr>
          <w:sz w:val="24"/>
          <w:szCs w:val="24"/>
        </w:rPr>
        <w:t>The remaining 420 parents will take the long form child questionnaire (</w:t>
      </w:r>
      <w:r w:rsidR="0004308A">
        <w:rPr>
          <w:b/>
          <w:sz w:val="24"/>
          <w:szCs w:val="24"/>
        </w:rPr>
        <w:t>Attachment</w:t>
      </w:r>
      <w:r w:rsidR="0004308A" w:rsidRPr="0004308A">
        <w:rPr>
          <w:b/>
          <w:sz w:val="24"/>
          <w:szCs w:val="24"/>
        </w:rPr>
        <w:t xml:space="preserve"> 17</w:t>
      </w:r>
      <w:r w:rsidR="0004308A">
        <w:rPr>
          <w:sz w:val="24"/>
          <w:szCs w:val="24"/>
        </w:rPr>
        <w:t>) (n=140 per year). The annualized time burden for questionnaire administration is 263 hours.</w:t>
      </w:r>
    </w:p>
    <w:p w14:paraId="7EA291CE" w14:textId="70618003" w:rsidR="00FA3F96" w:rsidRPr="00BB45FF" w:rsidRDefault="00FA3F96" w:rsidP="001F4BAF">
      <w:pPr>
        <w:rPr>
          <w:sz w:val="24"/>
          <w:szCs w:val="24"/>
        </w:rPr>
      </w:pPr>
      <w:r w:rsidRPr="0004308A">
        <w:rPr>
          <w:rFonts w:eastAsia="MS Mincho"/>
          <w:sz w:val="24"/>
          <w:szCs w:val="24"/>
        </w:rPr>
        <w:t>Parents</w:t>
      </w:r>
      <w:r w:rsidRPr="00BB45FF">
        <w:rPr>
          <w:rFonts w:eastAsia="MS Mincho"/>
          <w:sz w:val="24"/>
          <w:szCs w:val="24"/>
        </w:rPr>
        <w:t xml:space="preserve"> and children </w:t>
      </w:r>
      <w:r w:rsidR="00BA6123">
        <w:rPr>
          <w:rFonts w:eastAsia="MS Mincho"/>
          <w:sz w:val="24"/>
          <w:szCs w:val="24"/>
        </w:rPr>
        <w:t>(n=175 parent/child pairs</w:t>
      </w:r>
      <w:r w:rsidR="00CB0FCF">
        <w:rPr>
          <w:rFonts w:eastAsia="MS Mincho"/>
          <w:sz w:val="24"/>
          <w:szCs w:val="24"/>
        </w:rPr>
        <w:t xml:space="preserve"> per year</w:t>
      </w:r>
      <w:r w:rsidR="00BA6123">
        <w:rPr>
          <w:rFonts w:eastAsia="MS Mincho"/>
          <w:sz w:val="24"/>
          <w:szCs w:val="24"/>
        </w:rPr>
        <w:t xml:space="preserve">) </w:t>
      </w:r>
      <w:r w:rsidRPr="00BB45FF">
        <w:rPr>
          <w:rFonts w:eastAsia="MS Mincho"/>
          <w:sz w:val="24"/>
          <w:szCs w:val="24"/>
        </w:rPr>
        <w:t>will also complete assessments of the child’s attention and behaviors</w:t>
      </w:r>
      <w:r w:rsidR="0004308A">
        <w:rPr>
          <w:rFonts w:eastAsia="MS Mincho"/>
          <w:sz w:val="24"/>
          <w:szCs w:val="24"/>
        </w:rPr>
        <w:t xml:space="preserve"> (</w:t>
      </w:r>
      <w:r w:rsidR="0004308A">
        <w:rPr>
          <w:rFonts w:eastAsia="MS Mincho"/>
          <w:b/>
          <w:sz w:val="24"/>
          <w:szCs w:val="24"/>
        </w:rPr>
        <w:t>Attachment</w:t>
      </w:r>
      <w:r w:rsidR="00BA6123">
        <w:rPr>
          <w:rFonts w:eastAsia="MS Mincho"/>
          <w:b/>
          <w:sz w:val="24"/>
          <w:szCs w:val="24"/>
        </w:rPr>
        <w:t>s 20 &amp; 20a</w:t>
      </w:r>
      <w:r w:rsidR="00BA6123">
        <w:rPr>
          <w:rFonts w:eastAsia="MS Mincho"/>
          <w:sz w:val="24"/>
          <w:szCs w:val="24"/>
        </w:rPr>
        <w:t>).</w:t>
      </w:r>
      <w:r w:rsidR="00CB0FCF">
        <w:rPr>
          <w:rFonts w:eastAsia="MS Mincho"/>
          <w:sz w:val="24"/>
          <w:szCs w:val="24"/>
        </w:rPr>
        <w:t xml:space="preserve"> </w:t>
      </w:r>
      <w:r w:rsidR="00CB0FCF">
        <w:rPr>
          <w:sz w:val="24"/>
          <w:szCs w:val="24"/>
        </w:rPr>
        <w:t>The annualized time burden for the neurobehavioral test battery is 307 hours.</w:t>
      </w:r>
    </w:p>
    <w:p w14:paraId="1FE91EAA" w14:textId="5B2D0DF4" w:rsidR="00F04DA6" w:rsidRPr="00651B46" w:rsidRDefault="00FA3F96" w:rsidP="00651B46">
      <w:pPr>
        <w:autoSpaceDE w:val="0"/>
        <w:autoSpaceDN w:val="0"/>
        <w:adjustRightInd w:val="0"/>
        <w:spacing w:line="240" w:lineRule="auto"/>
        <w:rPr>
          <w:rFonts w:cs="ITCFranklinGothicStd-Book"/>
          <w:sz w:val="24"/>
          <w:szCs w:val="24"/>
        </w:rPr>
      </w:pPr>
      <w:r w:rsidRPr="00651B46">
        <w:rPr>
          <w:sz w:val="24"/>
          <w:szCs w:val="24"/>
        </w:rPr>
        <w:t>ATSDR will ask for permission to compare adults’ and children’s medical histories with their medical records</w:t>
      </w:r>
      <w:r w:rsidR="007B22AB" w:rsidRPr="00651B46">
        <w:rPr>
          <w:sz w:val="24"/>
          <w:szCs w:val="24"/>
        </w:rPr>
        <w:t xml:space="preserve"> (</w:t>
      </w:r>
      <w:r w:rsidR="007B22AB" w:rsidRPr="00651B46">
        <w:rPr>
          <w:b/>
          <w:sz w:val="24"/>
          <w:szCs w:val="24"/>
        </w:rPr>
        <w:t>Attachments 19a&amp;19b</w:t>
      </w:r>
      <w:r w:rsidR="007B22AB" w:rsidRPr="00651B46">
        <w:rPr>
          <w:sz w:val="24"/>
          <w:szCs w:val="24"/>
        </w:rPr>
        <w:t>)</w:t>
      </w:r>
      <w:r w:rsidRPr="00651B46">
        <w:rPr>
          <w:sz w:val="24"/>
          <w:szCs w:val="24"/>
        </w:rPr>
        <w:t xml:space="preserve">. </w:t>
      </w:r>
      <w:r w:rsidR="00F04DA6" w:rsidRPr="00651B46">
        <w:rPr>
          <w:rFonts w:cs="ITCFranklinGothicStd-Book"/>
          <w:sz w:val="24"/>
          <w:szCs w:val="24"/>
        </w:rPr>
        <w:t>Across medical practices,</w:t>
      </w:r>
      <w:r w:rsidR="0036251E">
        <w:rPr>
          <w:rFonts w:cs="ITCFranklinGothicStd-Book"/>
          <w:sz w:val="24"/>
          <w:szCs w:val="24"/>
        </w:rPr>
        <w:t xml:space="preserve"> ATSDR estimates</w:t>
      </w:r>
      <w:r w:rsidR="00F04DA6" w:rsidRPr="00651B46">
        <w:rPr>
          <w:rFonts w:cs="ITCFranklinGothicStd-Book"/>
          <w:sz w:val="24"/>
          <w:szCs w:val="24"/>
        </w:rPr>
        <w:t xml:space="preserve"> up to 25 medical record specialists</w:t>
      </w:r>
      <w:r w:rsidR="0051716C" w:rsidRPr="00AF27AB">
        <w:rPr>
          <w:rFonts w:cs="ITCFranklinGothicStd-Book"/>
          <w:sz w:val="24"/>
          <w:szCs w:val="24"/>
        </w:rPr>
        <w:t xml:space="preserve"> will</w:t>
      </w:r>
      <w:r w:rsidR="0051716C" w:rsidRPr="0051716C">
        <w:rPr>
          <w:rFonts w:cs="ITCFranklinGothicStd-Book"/>
          <w:sz w:val="24"/>
          <w:szCs w:val="24"/>
        </w:rPr>
        <w:t xml:space="preserve"> </w:t>
      </w:r>
      <w:r w:rsidR="00AF27AB">
        <w:rPr>
          <w:rFonts w:cs="ITCFranklinGothicStd-Book"/>
          <w:sz w:val="24"/>
          <w:szCs w:val="24"/>
        </w:rPr>
        <w:t xml:space="preserve">each </w:t>
      </w:r>
      <w:r w:rsidR="0051716C" w:rsidRPr="0051716C">
        <w:rPr>
          <w:rFonts w:cs="ITCFranklinGothicStd-Book"/>
          <w:sz w:val="24"/>
          <w:szCs w:val="24"/>
        </w:rPr>
        <w:t>abstract 15 adult and 7</w:t>
      </w:r>
      <w:r w:rsidR="00F04DA6" w:rsidRPr="00651B46">
        <w:rPr>
          <w:rFonts w:cs="ITCFranklinGothicStd-Book"/>
          <w:sz w:val="24"/>
          <w:szCs w:val="24"/>
        </w:rPr>
        <w:t xml:space="preserve"> child medical records</w:t>
      </w:r>
      <w:r w:rsidR="0051716C">
        <w:rPr>
          <w:rFonts w:cs="ITCFranklinGothicStd-Book"/>
          <w:sz w:val="24"/>
          <w:szCs w:val="24"/>
        </w:rPr>
        <w:t xml:space="preserve"> per year</w:t>
      </w:r>
      <w:r w:rsidR="00F04DA6" w:rsidRPr="00651B46">
        <w:rPr>
          <w:rFonts w:cs="ITCFranklinGothicStd-Book"/>
          <w:sz w:val="24"/>
          <w:szCs w:val="24"/>
        </w:rPr>
        <w:t xml:space="preserve"> (</w:t>
      </w:r>
      <w:r w:rsidR="0036251E" w:rsidRPr="0036251E">
        <w:rPr>
          <w:rFonts w:cs="ITCFranklinGothicStd-Book"/>
          <w:sz w:val="24"/>
          <w:szCs w:val="24"/>
        </w:rPr>
        <w:t>n=</w:t>
      </w:r>
      <w:r w:rsidR="00F04DA6" w:rsidRPr="00651B46">
        <w:rPr>
          <w:rFonts w:cs="ITCFranklinGothicStd-Book"/>
          <w:sz w:val="24"/>
          <w:szCs w:val="24"/>
        </w:rPr>
        <w:t>1,100 adults</w:t>
      </w:r>
      <w:r w:rsidR="0036251E">
        <w:rPr>
          <w:rFonts w:cs="ITCFranklinGothicStd-Book"/>
          <w:sz w:val="24"/>
          <w:szCs w:val="24"/>
        </w:rPr>
        <w:t>/25 specia</w:t>
      </w:r>
      <w:r w:rsidR="0051716C">
        <w:rPr>
          <w:rFonts w:cs="ITCFranklinGothicStd-Book"/>
          <w:sz w:val="24"/>
          <w:szCs w:val="24"/>
        </w:rPr>
        <w:t>lists/3 years</w:t>
      </w:r>
      <w:r w:rsidR="00F04DA6" w:rsidRPr="00651B46">
        <w:rPr>
          <w:rFonts w:cs="ITCFranklinGothicStd-Book"/>
          <w:sz w:val="24"/>
          <w:szCs w:val="24"/>
        </w:rPr>
        <w:t>; n=525</w:t>
      </w:r>
      <w:r w:rsidR="0036251E" w:rsidRPr="0036251E">
        <w:rPr>
          <w:rFonts w:cs="ITCFranklinGothicStd-Book"/>
          <w:sz w:val="24"/>
          <w:szCs w:val="24"/>
        </w:rPr>
        <w:t xml:space="preserve"> ch</w:t>
      </w:r>
      <w:r w:rsidR="0051716C">
        <w:rPr>
          <w:rFonts w:cs="ITCFranklinGothicStd-Book"/>
          <w:sz w:val="24"/>
          <w:szCs w:val="24"/>
        </w:rPr>
        <w:t>ildren/25 specialists/3 years</w:t>
      </w:r>
      <w:r w:rsidR="00F04DA6" w:rsidRPr="00651B46">
        <w:rPr>
          <w:rFonts w:cs="ITCFranklinGothicStd-Book"/>
          <w:sz w:val="24"/>
          <w:szCs w:val="24"/>
        </w:rPr>
        <w:t>).</w:t>
      </w:r>
      <w:r w:rsidR="006931AE">
        <w:rPr>
          <w:rFonts w:cs="ITCFranklinGothicStd-Book"/>
          <w:sz w:val="24"/>
          <w:szCs w:val="24"/>
        </w:rPr>
        <w:t xml:space="preserve"> </w:t>
      </w:r>
      <w:r w:rsidR="006931AE">
        <w:rPr>
          <w:sz w:val="24"/>
          <w:szCs w:val="24"/>
        </w:rPr>
        <w:t>The annualized time burden for medical record abstraction is 183 hours.</w:t>
      </w:r>
    </w:p>
    <w:p w14:paraId="50BF9C69" w14:textId="74BAF9C4" w:rsidR="00FA3F96" w:rsidRDefault="00FA3F96" w:rsidP="00775DFF">
      <w:pPr>
        <w:rPr>
          <w:rFonts w:cs="ITCFranklinGothicStd-DmCd"/>
        </w:rPr>
      </w:pPr>
      <w:r w:rsidRPr="00BB45FF">
        <w:rPr>
          <w:sz w:val="24"/>
          <w:szCs w:val="24"/>
        </w:rPr>
        <w:t>ATSDR will also ask for permission to check children’s school records to compare their behavioral assessment results</w:t>
      </w:r>
      <w:r w:rsidR="007B22AB">
        <w:rPr>
          <w:sz w:val="24"/>
          <w:szCs w:val="24"/>
        </w:rPr>
        <w:t xml:space="preserve"> (</w:t>
      </w:r>
      <w:r w:rsidR="007B22AB">
        <w:rPr>
          <w:b/>
          <w:sz w:val="24"/>
          <w:szCs w:val="24"/>
        </w:rPr>
        <w:t>Attachment 20b</w:t>
      </w:r>
      <w:r w:rsidR="007B22AB">
        <w:rPr>
          <w:sz w:val="24"/>
          <w:szCs w:val="24"/>
        </w:rPr>
        <w:t>)</w:t>
      </w:r>
      <w:r w:rsidRPr="00BB45FF">
        <w:rPr>
          <w:sz w:val="24"/>
          <w:szCs w:val="24"/>
        </w:rPr>
        <w:t xml:space="preserve">. </w:t>
      </w:r>
      <w:r w:rsidR="00F04DA6">
        <w:rPr>
          <w:rFonts w:cs="ITCFranklinGothicStd-Book"/>
          <w:sz w:val="24"/>
          <w:szCs w:val="24"/>
        </w:rPr>
        <w:t xml:space="preserve">Across school districts, </w:t>
      </w:r>
      <w:r w:rsidR="00AF27AB">
        <w:rPr>
          <w:rFonts w:cs="ITCFranklinGothicStd-Book"/>
          <w:sz w:val="24"/>
          <w:szCs w:val="24"/>
        </w:rPr>
        <w:t xml:space="preserve">ATSDR estimates </w:t>
      </w:r>
      <w:r w:rsidR="00F04DA6">
        <w:rPr>
          <w:rFonts w:cs="ITCFranklinGothicStd-Book"/>
          <w:sz w:val="24"/>
          <w:szCs w:val="24"/>
        </w:rPr>
        <w:t xml:space="preserve">up to 15 </w:t>
      </w:r>
      <w:r w:rsidR="00F04DA6" w:rsidRPr="00651B46">
        <w:rPr>
          <w:rFonts w:cs="ITCFranklinGothicStd-Book"/>
          <w:sz w:val="24"/>
          <w:szCs w:val="24"/>
        </w:rPr>
        <w:t>education specialists</w:t>
      </w:r>
      <w:r w:rsidR="0036251E" w:rsidRPr="00AF27AB">
        <w:rPr>
          <w:rFonts w:cs="ITCFranklinGothicStd-Book"/>
          <w:sz w:val="24"/>
          <w:szCs w:val="24"/>
        </w:rPr>
        <w:t xml:space="preserve"> will</w:t>
      </w:r>
      <w:r w:rsidR="0036251E">
        <w:rPr>
          <w:rFonts w:cs="ITCFranklinGothicStd-Book"/>
          <w:sz w:val="24"/>
          <w:szCs w:val="24"/>
        </w:rPr>
        <w:t xml:space="preserve"> each abstract 12</w:t>
      </w:r>
      <w:r w:rsidR="00F04DA6">
        <w:rPr>
          <w:rFonts w:cs="ITCFranklinGothicStd-Book"/>
          <w:sz w:val="24"/>
          <w:szCs w:val="24"/>
        </w:rPr>
        <w:t xml:space="preserve"> student records</w:t>
      </w:r>
      <w:r w:rsidR="0036251E">
        <w:rPr>
          <w:rFonts w:cs="ITCFranklinGothicStd-Book"/>
          <w:sz w:val="24"/>
          <w:szCs w:val="24"/>
        </w:rPr>
        <w:t xml:space="preserve"> per year</w:t>
      </w:r>
      <w:r w:rsidR="00F04DA6">
        <w:rPr>
          <w:rFonts w:cs="ITCFranklinGothicStd-Book"/>
          <w:sz w:val="24"/>
          <w:szCs w:val="24"/>
        </w:rPr>
        <w:t xml:space="preserve"> (n=</w:t>
      </w:r>
      <w:r w:rsidR="0005528A">
        <w:rPr>
          <w:rFonts w:cs="ITCFranklinGothicStd-Book"/>
          <w:sz w:val="24"/>
          <w:szCs w:val="24"/>
        </w:rPr>
        <w:t>525 children/15 specialists/3 years</w:t>
      </w:r>
      <w:r w:rsidR="00F04DA6">
        <w:rPr>
          <w:rFonts w:cs="ITCFranklinGothicStd-Book"/>
          <w:sz w:val="24"/>
          <w:szCs w:val="24"/>
        </w:rPr>
        <w:t>).</w:t>
      </w:r>
      <w:r w:rsidR="006931AE">
        <w:rPr>
          <w:rFonts w:cs="ITCFranklinGothicStd-Book"/>
          <w:sz w:val="24"/>
          <w:szCs w:val="24"/>
        </w:rPr>
        <w:t xml:space="preserve"> </w:t>
      </w:r>
      <w:r w:rsidR="006931AE">
        <w:rPr>
          <w:sz w:val="24"/>
          <w:szCs w:val="24"/>
        </w:rPr>
        <w:t>The annualized time burden for school record abstraction is 60 hours.</w:t>
      </w:r>
    </w:p>
    <w:p w14:paraId="1ABE52CC" w14:textId="440CD18F" w:rsidR="00B3235B" w:rsidRPr="008217C5" w:rsidRDefault="004C21FC" w:rsidP="00775DFF">
      <w:pPr>
        <w:rPr>
          <w:rFonts w:cstheme="minorHAnsi"/>
        </w:rPr>
      </w:pPr>
      <w:r w:rsidRPr="00347E49">
        <w:rPr>
          <w:rFonts w:cstheme="minorHAnsi"/>
        </w:rPr>
        <w:t>Table A.12.</w:t>
      </w:r>
      <w:r w:rsidR="009E5533" w:rsidRPr="00347E49">
        <w:rPr>
          <w:rFonts w:cstheme="minorHAnsi"/>
        </w:rPr>
        <w:t>2</w:t>
      </w:r>
      <w:r w:rsidRPr="00347E49">
        <w:rPr>
          <w:rFonts w:cstheme="minorHAnsi"/>
        </w:rPr>
        <w:t xml:space="preserve">.  </w:t>
      </w:r>
      <w:r w:rsidR="00AB12D6" w:rsidRPr="008217C5">
        <w:rPr>
          <w:rFonts w:cstheme="minorHAnsi"/>
        </w:rPr>
        <w:t>Estimated Annualized Burden Hours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340"/>
        <w:gridCol w:w="1395"/>
        <w:gridCol w:w="1395"/>
        <w:gridCol w:w="1395"/>
        <w:gridCol w:w="1395"/>
      </w:tblGrid>
      <w:tr w:rsidR="004C21FC" w:rsidRPr="008479E5" w14:paraId="592ABE3F" w14:textId="77777777" w:rsidTr="00F90D4C">
        <w:tc>
          <w:tcPr>
            <w:tcW w:w="1525" w:type="dxa"/>
            <w:shd w:val="clear" w:color="auto" w:fill="auto"/>
            <w:vAlign w:val="center"/>
          </w:tcPr>
          <w:p w14:paraId="1F10C345" w14:textId="77777777" w:rsidR="004C21FC" w:rsidRPr="008479E5" w:rsidRDefault="004C21FC" w:rsidP="0054331A">
            <w:pPr>
              <w:spacing w:after="0" w:line="240" w:lineRule="auto"/>
              <w:jc w:val="center"/>
              <w:rPr>
                <w:rFonts w:cstheme="minorHAnsi"/>
              </w:rPr>
            </w:pPr>
            <w:r w:rsidRPr="008479E5">
              <w:rPr>
                <w:rFonts w:cstheme="minorHAnsi"/>
              </w:rPr>
              <w:t>Type of Respondents</w:t>
            </w:r>
          </w:p>
        </w:tc>
        <w:tc>
          <w:tcPr>
            <w:tcW w:w="2340" w:type="dxa"/>
            <w:shd w:val="clear" w:color="auto" w:fill="auto"/>
            <w:vAlign w:val="center"/>
          </w:tcPr>
          <w:p w14:paraId="61200116" w14:textId="77777777" w:rsidR="004C21FC" w:rsidRPr="008479E5" w:rsidRDefault="004C21FC" w:rsidP="0054331A">
            <w:pPr>
              <w:spacing w:after="0" w:line="240" w:lineRule="auto"/>
              <w:jc w:val="center"/>
              <w:rPr>
                <w:rFonts w:cstheme="minorHAnsi"/>
              </w:rPr>
            </w:pPr>
            <w:r w:rsidRPr="008479E5">
              <w:rPr>
                <w:rFonts w:cstheme="minorHAnsi"/>
              </w:rPr>
              <w:t>Form Name</w:t>
            </w:r>
          </w:p>
        </w:tc>
        <w:tc>
          <w:tcPr>
            <w:tcW w:w="1395" w:type="dxa"/>
            <w:shd w:val="clear" w:color="auto" w:fill="auto"/>
            <w:vAlign w:val="center"/>
          </w:tcPr>
          <w:p w14:paraId="23D68CB9" w14:textId="77777777" w:rsidR="004C21FC" w:rsidRPr="008479E5" w:rsidRDefault="004C21FC" w:rsidP="0054331A">
            <w:pPr>
              <w:spacing w:after="0" w:line="240" w:lineRule="auto"/>
              <w:jc w:val="center"/>
              <w:rPr>
                <w:rFonts w:cstheme="minorHAnsi"/>
              </w:rPr>
            </w:pPr>
            <w:r w:rsidRPr="008479E5">
              <w:rPr>
                <w:rFonts w:cstheme="minorHAnsi"/>
              </w:rPr>
              <w:t>Number of Respondents</w:t>
            </w:r>
          </w:p>
        </w:tc>
        <w:tc>
          <w:tcPr>
            <w:tcW w:w="1395" w:type="dxa"/>
            <w:shd w:val="clear" w:color="auto" w:fill="auto"/>
            <w:vAlign w:val="center"/>
          </w:tcPr>
          <w:p w14:paraId="78E165FA" w14:textId="77777777" w:rsidR="004C21FC" w:rsidRPr="008479E5" w:rsidRDefault="004C21FC" w:rsidP="0054331A">
            <w:pPr>
              <w:spacing w:after="0" w:line="240" w:lineRule="auto"/>
              <w:jc w:val="center"/>
              <w:rPr>
                <w:rFonts w:cstheme="minorHAnsi"/>
              </w:rPr>
            </w:pPr>
            <w:r w:rsidRPr="008479E5">
              <w:rPr>
                <w:rFonts w:cstheme="minorHAnsi"/>
              </w:rPr>
              <w:t>Number of Responses per Respondent</w:t>
            </w:r>
          </w:p>
        </w:tc>
        <w:tc>
          <w:tcPr>
            <w:tcW w:w="1395" w:type="dxa"/>
            <w:shd w:val="clear" w:color="auto" w:fill="auto"/>
            <w:vAlign w:val="center"/>
          </w:tcPr>
          <w:p w14:paraId="7A1220AD" w14:textId="77777777" w:rsidR="004C21FC" w:rsidRPr="008479E5" w:rsidRDefault="004C21FC" w:rsidP="0054331A">
            <w:pPr>
              <w:spacing w:after="0" w:line="240" w:lineRule="auto"/>
              <w:jc w:val="center"/>
              <w:rPr>
                <w:rFonts w:cstheme="minorHAnsi"/>
              </w:rPr>
            </w:pPr>
            <w:r w:rsidRPr="008479E5">
              <w:rPr>
                <w:rFonts w:cstheme="minorHAnsi"/>
              </w:rPr>
              <w:t>Average Burden per Response (in hours)</w:t>
            </w:r>
          </w:p>
        </w:tc>
        <w:tc>
          <w:tcPr>
            <w:tcW w:w="1395" w:type="dxa"/>
            <w:shd w:val="clear" w:color="auto" w:fill="auto"/>
            <w:vAlign w:val="center"/>
          </w:tcPr>
          <w:p w14:paraId="247C8C9A" w14:textId="77777777" w:rsidR="004C21FC" w:rsidRPr="008479E5" w:rsidRDefault="004C21FC" w:rsidP="0054331A">
            <w:pPr>
              <w:spacing w:after="0" w:line="240" w:lineRule="auto"/>
              <w:jc w:val="center"/>
              <w:rPr>
                <w:rFonts w:cstheme="minorHAnsi"/>
              </w:rPr>
            </w:pPr>
            <w:r w:rsidRPr="008479E5">
              <w:rPr>
                <w:rFonts w:cstheme="minorHAnsi"/>
              </w:rPr>
              <w:t>Total Burden (in hours)</w:t>
            </w:r>
          </w:p>
        </w:tc>
      </w:tr>
      <w:tr w:rsidR="00D27EA2" w:rsidRPr="008479E5" w14:paraId="4CC9BBD0" w14:textId="77777777" w:rsidTr="00F90D4C">
        <w:tc>
          <w:tcPr>
            <w:tcW w:w="1525" w:type="dxa"/>
            <w:vMerge w:val="restart"/>
            <w:shd w:val="clear" w:color="auto" w:fill="auto"/>
            <w:vAlign w:val="center"/>
          </w:tcPr>
          <w:p w14:paraId="57D1499B" w14:textId="7D90E64E" w:rsidR="00D27EA2" w:rsidRPr="008479E5" w:rsidRDefault="00D27EA2" w:rsidP="0054331A">
            <w:pPr>
              <w:spacing w:after="0" w:line="240" w:lineRule="auto"/>
              <w:jc w:val="center"/>
              <w:rPr>
                <w:rFonts w:cstheme="minorHAnsi"/>
              </w:rPr>
            </w:pPr>
            <w:r w:rsidRPr="008479E5">
              <w:rPr>
                <w:rFonts w:cstheme="minorHAnsi"/>
              </w:rPr>
              <w:t>Pease Study Participants</w:t>
            </w:r>
          </w:p>
        </w:tc>
        <w:tc>
          <w:tcPr>
            <w:tcW w:w="2340" w:type="dxa"/>
            <w:shd w:val="clear" w:color="auto" w:fill="auto"/>
            <w:vAlign w:val="center"/>
          </w:tcPr>
          <w:p w14:paraId="1301AD88" w14:textId="77777777" w:rsidR="00D27EA2" w:rsidRPr="008479E5" w:rsidRDefault="00D27EA2" w:rsidP="0054331A">
            <w:pPr>
              <w:spacing w:after="0" w:line="240" w:lineRule="auto"/>
              <w:rPr>
                <w:rFonts w:cstheme="minorHAnsi"/>
              </w:rPr>
            </w:pPr>
            <w:r w:rsidRPr="008479E5">
              <w:rPr>
                <w:rFonts w:cstheme="minorHAnsi"/>
              </w:rPr>
              <w:t>Wave One Eligibility Screening Script</w:t>
            </w:r>
          </w:p>
        </w:tc>
        <w:tc>
          <w:tcPr>
            <w:tcW w:w="1395" w:type="dxa"/>
            <w:shd w:val="clear" w:color="auto" w:fill="auto"/>
            <w:vAlign w:val="center"/>
          </w:tcPr>
          <w:p w14:paraId="426AF54D" w14:textId="42813C4E" w:rsidR="00D27EA2" w:rsidRPr="008479E5" w:rsidRDefault="00D27EA2" w:rsidP="0054331A">
            <w:pPr>
              <w:spacing w:after="0" w:line="240" w:lineRule="auto"/>
              <w:jc w:val="center"/>
              <w:rPr>
                <w:rFonts w:cstheme="minorHAnsi"/>
              </w:rPr>
            </w:pPr>
            <w:r w:rsidRPr="008479E5">
              <w:rPr>
                <w:rFonts w:cstheme="minorHAnsi"/>
                <w:color w:val="000000"/>
              </w:rPr>
              <w:t>526</w:t>
            </w:r>
          </w:p>
        </w:tc>
        <w:tc>
          <w:tcPr>
            <w:tcW w:w="1395" w:type="dxa"/>
            <w:shd w:val="clear" w:color="auto" w:fill="auto"/>
            <w:vAlign w:val="center"/>
          </w:tcPr>
          <w:p w14:paraId="1C515BF9" w14:textId="1FD51A79"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7842207E" w14:textId="79A8F5FA" w:rsidR="00D27EA2" w:rsidRPr="008479E5" w:rsidRDefault="00D27EA2" w:rsidP="0054331A">
            <w:pPr>
              <w:spacing w:after="0" w:line="240" w:lineRule="auto"/>
              <w:jc w:val="center"/>
              <w:rPr>
                <w:rFonts w:cstheme="minorHAnsi"/>
              </w:rPr>
            </w:pPr>
            <w:r w:rsidRPr="008479E5">
              <w:rPr>
                <w:rFonts w:cstheme="minorHAnsi"/>
                <w:color w:val="000000"/>
              </w:rPr>
              <w:t>10/60</w:t>
            </w:r>
          </w:p>
        </w:tc>
        <w:tc>
          <w:tcPr>
            <w:tcW w:w="1395" w:type="dxa"/>
            <w:shd w:val="clear" w:color="auto" w:fill="auto"/>
            <w:vAlign w:val="center"/>
          </w:tcPr>
          <w:p w14:paraId="1BE57517" w14:textId="60DFD5E1" w:rsidR="00D27EA2" w:rsidRPr="008479E5" w:rsidRDefault="00D27EA2" w:rsidP="0054331A">
            <w:pPr>
              <w:spacing w:after="0" w:line="240" w:lineRule="auto"/>
              <w:jc w:val="center"/>
              <w:rPr>
                <w:rFonts w:cstheme="minorHAnsi"/>
                <w:color w:val="000000"/>
              </w:rPr>
            </w:pPr>
            <w:r w:rsidRPr="008479E5">
              <w:rPr>
                <w:rFonts w:cstheme="minorHAnsi"/>
                <w:color w:val="000000"/>
              </w:rPr>
              <w:t>88</w:t>
            </w:r>
          </w:p>
        </w:tc>
      </w:tr>
      <w:tr w:rsidR="00D27EA2" w:rsidRPr="008479E5" w14:paraId="083F7197" w14:textId="77777777" w:rsidTr="00F90D4C">
        <w:tc>
          <w:tcPr>
            <w:tcW w:w="1525" w:type="dxa"/>
            <w:vMerge/>
            <w:shd w:val="clear" w:color="auto" w:fill="auto"/>
            <w:vAlign w:val="center"/>
          </w:tcPr>
          <w:p w14:paraId="7236E6D6"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3F429C80" w14:textId="77777777" w:rsidR="00D27EA2" w:rsidRPr="008479E5" w:rsidRDefault="00D27EA2" w:rsidP="0054331A">
            <w:pPr>
              <w:spacing w:after="0" w:line="240" w:lineRule="auto"/>
              <w:rPr>
                <w:rFonts w:cstheme="minorHAnsi"/>
                <w:b/>
              </w:rPr>
            </w:pPr>
            <w:r w:rsidRPr="008479E5">
              <w:rPr>
                <w:rFonts w:cstheme="minorHAnsi"/>
              </w:rPr>
              <w:t>Wave Two Eligibility Screening Script</w:t>
            </w:r>
          </w:p>
        </w:tc>
        <w:tc>
          <w:tcPr>
            <w:tcW w:w="1395" w:type="dxa"/>
            <w:shd w:val="clear" w:color="auto" w:fill="auto"/>
            <w:vAlign w:val="center"/>
          </w:tcPr>
          <w:p w14:paraId="797A9E9B" w14:textId="3AD03071" w:rsidR="00D27EA2" w:rsidRPr="008479E5" w:rsidRDefault="00B71F77" w:rsidP="0054331A">
            <w:pPr>
              <w:spacing w:after="0" w:line="240" w:lineRule="auto"/>
              <w:jc w:val="center"/>
              <w:rPr>
                <w:rFonts w:cstheme="minorHAnsi"/>
              </w:rPr>
            </w:pPr>
            <w:r w:rsidRPr="008479E5">
              <w:rPr>
                <w:rFonts w:cstheme="minorHAnsi"/>
                <w:color w:val="000000"/>
              </w:rPr>
              <w:t>66</w:t>
            </w:r>
          </w:p>
        </w:tc>
        <w:tc>
          <w:tcPr>
            <w:tcW w:w="1395" w:type="dxa"/>
            <w:shd w:val="clear" w:color="auto" w:fill="auto"/>
            <w:vAlign w:val="center"/>
          </w:tcPr>
          <w:p w14:paraId="7023A4C7" w14:textId="198F1CA4"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22756BE4" w14:textId="6A345C36" w:rsidR="00D27EA2" w:rsidRPr="008479E5" w:rsidRDefault="00D27EA2" w:rsidP="0054331A">
            <w:pPr>
              <w:spacing w:after="0" w:line="240" w:lineRule="auto"/>
              <w:jc w:val="center"/>
              <w:rPr>
                <w:rFonts w:cstheme="minorHAnsi"/>
              </w:rPr>
            </w:pPr>
            <w:r w:rsidRPr="008479E5">
              <w:rPr>
                <w:rFonts w:cstheme="minorHAnsi"/>
                <w:color w:val="000000"/>
              </w:rPr>
              <w:t>15/60</w:t>
            </w:r>
          </w:p>
        </w:tc>
        <w:tc>
          <w:tcPr>
            <w:tcW w:w="1395" w:type="dxa"/>
            <w:shd w:val="clear" w:color="auto" w:fill="auto"/>
            <w:vAlign w:val="center"/>
          </w:tcPr>
          <w:p w14:paraId="0DB8DE93" w14:textId="5FDF428E" w:rsidR="00D27EA2" w:rsidRPr="008479E5" w:rsidRDefault="00D27EA2" w:rsidP="0054331A">
            <w:pPr>
              <w:spacing w:after="0" w:line="240" w:lineRule="auto"/>
              <w:jc w:val="center"/>
              <w:rPr>
                <w:rFonts w:cstheme="minorHAnsi"/>
                <w:color w:val="000000"/>
              </w:rPr>
            </w:pPr>
            <w:r w:rsidRPr="008479E5">
              <w:rPr>
                <w:rFonts w:cstheme="minorHAnsi"/>
                <w:color w:val="000000"/>
              </w:rPr>
              <w:t>1</w:t>
            </w:r>
            <w:r w:rsidR="00B71F77" w:rsidRPr="008479E5">
              <w:rPr>
                <w:rFonts w:cstheme="minorHAnsi"/>
                <w:color w:val="000000"/>
              </w:rPr>
              <w:t>6</w:t>
            </w:r>
          </w:p>
        </w:tc>
      </w:tr>
      <w:tr w:rsidR="00D27EA2" w:rsidRPr="008479E5" w14:paraId="723030B6" w14:textId="77777777" w:rsidTr="00F90D4C">
        <w:tc>
          <w:tcPr>
            <w:tcW w:w="1525" w:type="dxa"/>
            <w:vMerge/>
            <w:shd w:val="clear" w:color="auto" w:fill="auto"/>
            <w:vAlign w:val="center"/>
          </w:tcPr>
          <w:p w14:paraId="04F56C93"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5652F827" w14:textId="77777777" w:rsidR="00D27EA2" w:rsidRPr="008479E5" w:rsidRDefault="00D27EA2" w:rsidP="0054331A">
            <w:pPr>
              <w:spacing w:after="0" w:line="240" w:lineRule="auto"/>
              <w:rPr>
                <w:rFonts w:cstheme="minorHAnsi"/>
                <w:b/>
              </w:rPr>
            </w:pPr>
            <w:r w:rsidRPr="008479E5">
              <w:rPr>
                <w:rFonts w:cstheme="minorHAnsi"/>
              </w:rPr>
              <w:t>Wave Three Eligibility Screening Script</w:t>
            </w:r>
          </w:p>
        </w:tc>
        <w:tc>
          <w:tcPr>
            <w:tcW w:w="1395" w:type="dxa"/>
            <w:shd w:val="clear" w:color="auto" w:fill="auto"/>
            <w:vAlign w:val="center"/>
          </w:tcPr>
          <w:p w14:paraId="4806C536" w14:textId="130923D2" w:rsidR="00D27EA2" w:rsidRPr="008479E5" w:rsidRDefault="00B71F77" w:rsidP="0054331A">
            <w:pPr>
              <w:spacing w:after="0" w:line="240" w:lineRule="auto"/>
              <w:jc w:val="center"/>
              <w:rPr>
                <w:rFonts w:cstheme="minorHAnsi"/>
              </w:rPr>
            </w:pPr>
            <w:r w:rsidRPr="008479E5">
              <w:rPr>
                <w:rFonts w:cstheme="minorHAnsi"/>
                <w:color w:val="000000"/>
              </w:rPr>
              <w:t>121</w:t>
            </w:r>
          </w:p>
        </w:tc>
        <w:tc>
          <w:tcPr>
            <w:tcW w:w="1395" w:type="dxa"/>
            <w:shd w:val="clear" w:color="auto" w:fill="auto"/>
            <w:vAlign w:val="center"/>
          </w:tcPr>
          <w:p w14:paraId="46C888AD" w14:textId="4B1FFF19"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16302972" w14:textId="4E5180BA" w:rsidR="00D27EA2" w:rsidRPr="008479E5" w:rsidRDefault="00D27EA2" w:rsidP="0054331A">
            <w:pPr>
              <w:spacing w:after="0" w:line="240" w:lineRule="auto"/>
              <w:jc w:val="center"/>
              <w:rPr>
                <w:rFonts w:cstheme="minorHAnsi"/>
              </w:rPr>
            </w:pPr>
            <w:r w:rsidRPr="008479E5">
              <w:rPr>
                <w:rFonts w:cstheme="minorHAnsi"/>
                <w:color w:val="000000"/>
              </w:rPr>
              <w:t>15/60</w:t>
            </w:r>
          </w:p>
        </w:tc>
        <w:tc>
          <w:tcPr>
            <w:tcW w:w="1395" w:type="dxa"/>
            <w:shd w:val="clear" w:color="auto" w:fill="auto"/>
            <w:vAlign w:val="center"/>
          </w:tcPr>
          <w:p w14:paraId="50B2B0A9" w14:textId="60AFE7C9" w:rsidR="00D27EA2" w:rsidRPr="008479E5" w:rsidRDefault="00B71F77" w:rsidP="0054331A">
            <w:pPr>
              <w:spacing w:after="0" w:line="240" w:lineRule="auto"/>
              <w:jc w:val="center"/>
              <w:rPr>
                <w:rFonts w:cstheme="minorHAnsi"/>
                <w:color w:val="000000"/>
              </w:rPr>
            </w:pPr>
            <w:r w:rsidRPr="008479E5">
              <w:rPr>
                <w:rFonts w:cstheme="minorHAnsi"/>
                <w:color w:val="000000"/>
              </w:rPr>
              <w:t>30</w:t>
            </w:r>
          </w:p>
        </w:tc>
      </w:tr>
      <w:tr w:rsidR="00D27EA2" w:rsidRPr="008479E5" w14:paraId="1E38DD8E" w14:textId="77777777" w:rsidTr="00F90D4C">
        <w:tc>
          <w:tcPr>
            <w:tcW w:w="1525" w:type="dxa"/>
            <w:vMerge/>
            <w:shd w:val="clear" w:color="auto" w:fill="auto"/>
            <w:vAlign w:val="center"/>
          </w:tcPr>
          <w:p w14:paraId="3DC9B6D8"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7E7858B4" w14:textId="77777777" w:rsidR="00D27EA2" w:rsidRPr="008479E5" w:rsidRDefault="00D27EA2" w:rsidP="0054331A">
            <w:pPr>
              <w:spacing w:after="0" w:line="240" w:lineRule="auto"/>
              <w:rPr>
                <w:rFonts w:cstheme="minorHAnsi"/>
                <w:b/>
              </w:rPr>
            </w:pPr>
            <w:r w:rsidRPr="008479E5">
              <w:rPr>
                <w:rFonts w:cstheme="minorHAnsi"/>
              </w:rPr>
              <w:t>Appointment Reminder Telephone Script</w:t>
            </w:r>
          </w:p>
        </w:tc>
        <w:tc>
          <w:tcPr>
            <w:tcW w:w="1395" w:type="dxa"/>
            <w:shd w:val="clear" w:color="auto" w:fill="auto"/>
            <w:vAlign w:val="center"/>
          </w:tcPr>
          <w:p w14:paraId="69EFE23B" w14:textId="12F38F0F" w:rsidR="00D27EA2" w:rsidRPr="008479E5" w:rsidRDefault="00D27EA2" w:rsidP="0054331A">
            <w:pPr>
              <w:spacing w:after="0" w:line="240" w:lineRule="auto"/>
              <w:jc w:val="center"/>
              <w:rPr>
                <w:rFonts w:cstheme="minorHAnsi"/>
              </w:rPr>
            </w:pPr>
            <w:r w:rsidRPr="008479E5">
              <w:rPr>
                <w:rFonts w:cstheme="minorHAnsi"/>
                <w:color w:val="000000"/>
              </w:rPr>
              <w:t>542</w:t>
            </w:r>
          </w:p>
        </w:tc>
        <w:tc>
          <w:tcPr>
            <w:tcW w:w="1395" w:type="dxa"/>
            <w:shd w:val="clear" w:color="auto" w:fill="auto"/>
            <w:vAlign w:val="center"/>
          </w:tcPr>
          <w:p w14:paraId="32C6E08E" w14:textId="23C0063C"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12A16960" w14:textId="1344FD36" w:rsidR="00D27EA2" w:rsidRPr="008479E5" w:rsidRDefault="00D27EA2" w:rsidP="0054331A">
            <w:pPr>
              <w:spacing w:after="0" w:line="240" w:lineRule="auto"/>
              <w:jc w:val="center"/>
              <w:rPr>
                <w:rFonts w:cstheme="minorHAnsi"/>
              </w:rPr>
            </w:pPr>
            <w:r w:rsidRPr="008479E5">
              <w:rPr>
                <w:rFonts w:cstheme="minorHAnsi"/>
                <w:color w:val="000000"/>
              </w:rPr>
              <w:t>5/60</w:t>
            </w:r>
          </w:p>
        </w:tc>
        <w:tc>
          <w:tcPr>
            <w:tcW w:w="1395" w:type="dxa"/>
            <w:shd w:val="clear" w:color="auto" w:fill="auto"/>
            <w:vAlign w:val="center"/>
          </w:tcPr>
          <w:p w14:paraId="55544DC8" w14:textId="6C76A37F" w:rsidR="00D27EA2" w:rsidRPr="008479E5" w:rsidRDefault="00D27EA2" w:rsidP="0054331A">
            <w:pPr>
              <w:spacing w:after="0" w:line="240" w:lineRule="auto"/>
              <w:jc w:val="center"/>
              <w:rPr>
                <w:rFonts w:cstheme="minorHAnsi"/>
                <w:color w:val="000000"/>
              </w:rPr>
            </w:pPr>
            <w:r w:rsidRPr="008479E5">
              <w:rPr>
                <w:rFonts w:cstheme="minorHAnsi"/>
                <w:color w:val="000000"/>
              </w:rPr>
              <w:t>45</w:t>
            </w:r>
          </w:p>
        </w:tc>
      </w:tr>
      <w:tr w:rsidR="00D27EA2" w:rsidRPr="008479E5" w14:paraId="1BA9BA2A" w14:textId="77777777" w:rsidTr="00F90D4C">
        <w:tc>
          <w:tcPr>
            <w:tcW w:w="1525" w:type="dxa"/>
            <w:vMerge/>
            <w:shd w:val="clear" w:color="auto" w:fill="auto"/>
            <w:vAlign w:val="center"/>
          </w:tcPr>
          <w:p w14:paraId="069859A5"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1DB3C63E" w14:textId="77777777" w:rsidR="00D27EA2" w:rsidRPr="008479E5" w:rsidRDefault="00D27EA2" w:rsidP="0054331A">
            <w:pPr>
              <w:spacing w:after="0" w:line="240" w:lineRule="auto"/>
              <w:rPr>
                <w:rFonts w:cstheme="minorHAnsi"/>
                <w:b/>
              </w:rPr>
            </w:pPr>
            <w:r w:rsidRPr="008479E5">
              <w:rPr>
                <w:rFonts w:cstheme="minorHAnsi"/>
              </w:rPr>
              <w:t xml:space="preserve">Update Contact Information Hardcopy Form </w:t>
            </w:r>
          </w:p>
        </w:tc>
        <w:tc>
          <w:tcPr>
            <w:tcW w:w="1395" w:type="dxa"/>
            <w:shd w:val="clear" w:color="auto" w:fill="auto"/>
            <w:vAlign w:val="center"/>
          </w:tcPr>
          <w:p w14:paraId="14C8EDF3" w14:textId="095B9227" w:rsidR="00D27EA2" w:rsidRPr="008479E5" w:rsidRDefault="00D27EA2" w:rsidP="0054331A">
            <w:pPr>
              <w:spacing w:after="0" w:line="240" w:lineRule="auto"/>
              <w:jc w:val="center"/>
              <w:rPr>
                <w:rFonts w:cstheme="minorHAnsi"/>
              </w:rPr>
            </w:pPr>
            <w:r w:rsidRPr="008479E5">
              <w:rPr>
                <w:rFonts w:cstheme="minorHAnsi"/>
                <w:color w:val="000000"/>
              </w:rPr>
              <w:t>542</w:t>
            </w:r>
          </w:p>
        </w:tc>
        <w:tc>
          <w:tcPr>
            <w:tcW w:w="1395" w:type="dxa"/>
            <w:shd w:val="clear" w:color="auto" w:fill="auto"/>
            <w:vAlign w:val="center"/>
          </w:tcPr>
          <w:p w14:paraId="7B5D4A4E" w14:textId="31DAA154"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44F89A08" w14:textId="6B977528" w:rsidR="00D27EA2" w:rsidRPr="008479E5" w:rsidRDefault="00D27EA2" w:rsidP="0054331A">
            <w:pPr>
              <w:spacing w:after="0" w:line="240" w:lineRule="auto"/>
              <w:jc w:val="center"/>
              <w:rPr>
                <w:rFonts w:cstheme="minorHAnsi"/>
              </w:rPr>
            </w:pPr>
            <w:r w:rsidRPr="008479E5">
              <w:rPr>
                <w:rFonts w:cstheme="minorHAnsi"/>
                <w:color w:val="000000"/>
              </w:rPr>
              <w:t>5/60</w:t>
            </w:r>
          </w:p>
        </w:tc>
        <w:tc>
          <w:tcPr>
            <w:tcW w:w="1395" w:type="dxa"/>
            <w:shd w:val="clear" w:color="auto" w:fill="auto"/>
            <w:vAlign w:val="center"/>
          </w:tcPr>
          <w:p w14:paraId="1039FCF3" w14:textId="13C89A03" w:rsidR="00D27EA2" w:rsidRPr="008479E5" w:rsidRDefault="00D27EA2" w:rsidP="0054331A">
            <w:pPr>
              <w:spacing w:after="0" w:line="240" w:lineRule="auto"/>
              <w:jc w:val="center"/>
              <w:rPr>
                <w:rFonts w:cstheme="minorHAnsi"/>
                <w:color w:val="000000"/>
              </w:rPr>
            </w:pPr>
            <w:r w:rsidRPr="008479E5">
              <w:rPr>
                <w:rFonts w:cstheme="minorHAnsi"/>
                <w:color w:val="000000"/>
              </w:rPr>
              <w:t>45</w:t>
            </w:r>
          </w:p>
        </w:tc>
      </w:tr>
      <w:tr w:rsidR="00D27EA2" w:rsidRPr="008479E5" w14:paraId="7A269765" w14:textId="77777777" w:rsidTr="00F90D4C">
        <w:tc>
          <w:tcPr>
            <w:tcW w:w="1525" w:type="dxa"/>
            <w:vMerge/>
            <w:shd w:val="clear" w:color="auto" w:fill="auto"/>
            <w:vAlign w:val="center"/>
          </w:tcPr>
          <w:p w14:paraId="5957A676"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1299E878" w14:textId="77777777" w:rsidR="00D27EA2" w:rsidRPr="008479E5" w:rsidRDefault="00D27EA2" w:rsidP="0054331A">
            <w:pPr>
              <w:spacing w:after="0" w:line="240" w:lineRule="auto"/>
              <w:rPr>
                <w:rFonts w:cstheme="minorHAnsi"/>
                <w:b/>
              </w:rPr>
            </w:pPr>
            <w:r w:rsidRPr="008479E5">
              <w:rPr>
                <w:rFonts w:cstheme="minorHAnsi"/>
              </w:rPr>
              <w:t>Medication List</w:t>
            </w:r>
          </w:p>
        </w:tc>
        <w:tc>
          <w:tcPr>
            <w:tcW w:w="1395" w:type="dxa"/>
            <w:shd w:val="clear" w:color="auto" w:fill="auto"/>
            <w:vAlign w:val="center"/>
          </w:tcPr>
          <w:p w14:paraId="3577F0C7" w14:textId="15BD4F63" w:rsidR="00D27EA2" w:rsidRPr="008479E5" w:rsidRDefault="00D27EA2" w:rsidP="0054331A">
            <w:pPr>
              <w:spacing w:after="0" w:line="240" w:lineRule="auto"/>
              <w:jc w:val="center"/>
              <w:rPr>
                <w:rFonts w:cstheme="minorHAnsi"/>
              </w:rPr>
            </w:pPr>
            <w:r w:rsidRPr="008479E5">
              <w:rPr>
                <w:rFonts w:cstheme="minorHAnsi"/>
                <w:color w:val="000000"/>
              </w:rPr>
              <w:t>542</w:t>
            </w:r>
          </w:p>
        </w:tc>
        <w:tc>
          <w:tcPr>
            <w:tcW w:w="1395" w:type="dxa"/>
            <w:shd w:val="clear" w:color="auto" w:fill="auto"/>
            <w:vAlign w:val="center"/>
          </w:tcPr>
          <w:p w14:paraId="555CCA13" w14:textId="2EF76BBB"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63C11530" w14:textId="3BF28E88" w:rsidR="00D27EA2" w:rsidRPr="008479E5" w:rsidRDefault="00D27EA2" w:rsidP="0054331A">
            <w:pPr>
              <w:spacing w:after="0" w:line="240" w:lineRule="auto"/>
              <w:jc w:val="center"/>
              <w:rPr>
                <w:rFonts w:cstheme="minorHAnsi"/>
              </w:rPr>
            </w:pPr>
            <w:r w:rsidRPr="008479E5">
              <w:rPr>
                <w:rFonts w:cstheme="minorHAnsi"/>
                <w:color w:val="000000"/>
              </w:rPr>
              <w:t>3/60</w:t>
            </w:r>
          </w:p>
        </w:tc>
        <w:tc>
          <w:tcPr>
            <w:tcW w:w="1395" w:type="dxa"/>
            <w:shd w:val="clear" w:color="auto" w:fill="auto"/>
            <w:vAlign w:val="center"/>
          </w:tcPr>
          <w:p w14:paraId="0156CDEC" w14:textId="6D4CC6FD" w:rsidR="00D27EA2" w:rsidRPr="008479E5" w:rsidRDefault="00D27EA2" w:rsidP="0054331A">
            <w:pPr>
              <w:spacing w:after="0" w:line="240" w:lineRule="auto"/>
              <w:jc w:val="center"/>
              <w:rPr>
                <w:rFonts w:cstheme="minorHAnsi"/>
                <w:color w:val="000000"/>
              </w:rPr>
            </w:pPr>
            <w:r w:rsidRPr="008479E5">
              <w:rPr>
                <w:rFonts w:cstheme="minorHAnsi"/>
                <w:color w:val="000000"/>
              </w:rPr>
              <w:t>27</w:t>
            </w:r>
          </w:p>
        </w:tc>
      </w:tr>
      <w:tr w:rsidR="00D27EA2" w:rsidRPr="008479E5" w14:paraId="2D0B4FE5" w14:textId="77777777" w:rsidTr="00F90D4C">
        <w:tc>
          <w:tcPr>
            <w:tcW w:w="1525" w:type="dxa"/>
            <w:vMerge/>
            <w:shd w:val="clear" w:color="auto" w:fill="auto"/>
            <w:vAlign w:val="center"/>
          </w:tcPr>
          <w:p w14:paraId="358AF488"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2ED3C792" w14:textId="77777777" w:rsidR="00D27EA2" w:rsidRPr="008479E5" w:rsidRDefault="00D27EA2" w:rsidP="0054331A">
            <w:pPr>
              <w:spacing w:after="0" w:line="240" w:lineRule="auto"/>
              <w:rPr>
                <w:rFonts w:cstheme="minorHAnsi"/>
                <w:b/>
              </w:rPr>
            </w:pPr>
            <w:r w:rsidRPr="008479E5">
              <w:rPr>
                <w:rFonts w:cstheme="minorHAnsi"/>
              </w:rPr>
              <w:t>Body and Blood Pressure Measures Form</w:t>
            </w:r>
          </w:p>
        </w:tc>
        <w:tc>
          <w:tcPr>
            <w:tcW w:w="1395" w:type="dxa"/>
            <w:shd w:val="clear" w:color="auto" w:fill="auto"/>
            <w:vAlign w:val="center"/>
          </w:tcPr>
          <w:p w14:paraId="0D9BEE6E" w14:textId="5480DDA6" w:rsidR="00D27EA2" w:rsidRPr="008479E5" w:rsidRDefault="00D27EA2" w:rsidP="0054331A">
            <w:pPr>
              <w:spacing w:after="0" w:line="240" w:lineRule="auto"/>
              <w:jc w:val="center"/>
              <w:rPr>
                <w:rFonts w:cstheme="minorHAnsi"/>
              </w:rPr>
            </w:pPr>
            <w:r w:rsidRPr="008479E5">
              <w:rPr>
                <w:rFonts w:cstheme="minorHAnsi"/>
                <w:color w:val="000000"/>
              </w:rPr>
              <w:t>542</w:t>
            </w:r>
          </w:p>
        </w:tc>
        <w:tc>
          <w:tcPr>
            <w:tcW w:w="1395" w:type="dxa"/>
            <w:shd w:val="clear" w:color="auto" w:fill="auto"/>
            <w:vAlign w:val="center"/>
          </w:tcPr>
          <w:p w14:paraId="3216A2E4" w14:textId="2F812988"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2973CFC2" w14:textId="7D2D46CF" w:rsidR="00D27EA2" w:rsidRPr="008479E5" w:rsidRDefault="00D27EA2" w:rsidP="0054331A">
            <w:pPr>
              <w:spacing w:after="0" w:line="240" w:lineRule="auto"/>
              <w:jc w:val="center"/>
              <w:rPr>
                <w:rFonts w:cstheme="minorHAnsi"/>
              </w:rPr>
            </w:pPr>
            <w:r w:rsidRPr="008479E5">
              <w:rPr>
                <w:rFonts w:cstheme="minorHAnsi"/>
                <w:color w:val="000000"/>
              </w:rPr>
              <w:t>5/60</w:t>
            </w:r>
          </w:p>
        </w:tc>
        <w:tc>
          <w:tcPr>
            <w:tcW w:w="1395" w:type="dxa"/>
            <w:shd w:val="clear" w:color="auto" w:fill="auto"/>
            <w:vAlign w:val="center"/>
          </w:tcPr>
          <w:p w14:paraId="5AF61187" w14:textId="427A1C76" w:rsidR="00D27EA2" w:rsidRPr="008479E5" w:rsidRDefault="00D27EA2" w:rsidP="0054331A">
            <w:pPr>
              <w:spacing w:after="0" w:line="240" w:lineRule="auto"/>
              <w:jc w:val="center"/>
              <w:rPr>
                <w:rFonts w:cstheme="minorHAnsi"/>
                <w:color w:val="000000"/>
              </w:rPr>
            </w:pPr>
            <w:r w:rsidRPr="008479E5">
              <w:rPr>
                <w:rFonts w:cstheme="minorHAnsi"/>
                <w:color w:val="000000"/>
              </w:rPr>
              <w:t>45</w:t>
            </w:r>
          </w:p>
        </w:tc>
      </w:tr>
      <w:tr w:rsidR="00D27EA2" w:rsidRPr="008479E5" w14:paraId="7CA4A390" w14:textId="77777777" w:rsidTr="00F90D4C">
        <w:tc>
          <w:tcPr>
            <w:tcW w:w="1525" w:type="dxa"/>
            <w:vMerge/>
            <w:shd w:val="clear" w:color="auto" w:fill="auto"/>
            <w:vAlign w:val="center"/>
          </w:tcPr>
          <w:p w14:paraId="2604D497"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225C7AE0" w14:textId="77777777" w:rsidR="00D27EA2" w:rsidRPr="008479E5" w:rsidRDefault="00D27EA2" w:rsidP="0054331A">
            <w:pPr>
              <w:spacing w:after="0" w:line="240" w:lineRule="auto"/>
              <w:rPr>
                <w:rFonts w:cstheme="minorHAnsi"/>
                <w:b/>
              </w:rPr>
            </w:pPr>
            <w:r w:rsidRPr="008479E5">
              <w:rPr>
                <w:rFonts w:cstheme="minorHAnsi"/>
              </w:rPr>
              <w:t>Blood Draw and Urine Collection Form</w:t>
            </w:r>
          </w:p>
        </w:tc>
        <w:tc>
          <w:tcPr>
            <w:tcW w:w="1395" w:type="dxa"/>
            <w:shd w:val="clear" w:color="auto" w:fill="auto"/>
            <w:vAlign w:val="center"/>
          </w:tcPr>
          <w:p w14:paraId="50E2AAEE" w14:textId="7012BB9D" w:rsidR="00D27EA2" w:rsidRPr="008479E5" w:rsidRDefault="00D27EA2" w:rsidP="0054331A">
            <w:pPr>
              <w:spacing w:after="0" w:line="240" w:lineRule="auto"/>
              <w:jc w:val="center"/>
              <w:rPr>
                <w:rFonts w:cstheme="minorHAnsi"/>
              </w:rPr>
            </w:pPr>
            <w:r w:rsidRPr="008479E5">
              <w:rPr>
                <w:rFonts w:cstheme="minorHAnsi"/>
                <w:color w:val="000000"/>
              </w:rPr>
              <w:t>542</w:t>
            </w:r>
          </w:p>
        </w:tc>
        <w:tc>
          <w:tcPr>
            <w:tcW w:w="1395" w:type="dxa"/>
            <w:shd w:val="clear" w:color="auto" w:fill="auto"/>
            <w:vAlign w:val="center"/>
          </w:tcPr>
          <w:p w14:paraId="22C45836" w14:textId="1C2B4D6D"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6178CABC" w14:textId="59BE3BE2" w:rsidR="00D27EA2" w:rsidRPr="008479E5" w:rsidRDefault="00D27EA2" w:rsidP="0054331A">
            <w:pPr>
              <w:spacing w:after="0" w:line="240" w:lineRule="auto"/>
              <w:jc w:val="center"/>
              <w:rPr>
                <w:rFonts w:cstheme="minorHAnsi"/>
              </w:rPr>
            </w:pPr>
            <w:r w:rsidRPr="008479E5">
              <w:rPr>
                <w:rFonts w:cstheme="minorHAnsi"/>
                <w:color w:val="000000"/>
              </w:rPr>
              <w:t>10/60</w:t>
            </w:r>
          </w:p>
        </w:tc>
        <w:tc>
          <w:tcPr>
            <w:tcW w:w="1395" w:type="dxa"/>
            <w:shd w:val="clear" w:color="auto" w:fill="auto"/>
            <w:vAlign w:val="center"/>
          </w:tcPr>
          <w:p w14:paraId="72067432" w14:textId="38CD8301" w:rsidR="00D27EA2" w:rsidRPr="008479E5" w:rsidRDefault="00D27EA2" w:rsidP="0054331A">
            <w:pPr>
              <w:spacing w:after="0" w:line="240" w:lineRule="auto"/>
              <w:jc w:val="center"/>
              <w:rPr>
                <w:rFonts w:cstheme="minorHAnsi"/>
                <w:color w:val="000000"/>
              </w:rPr>
            </w:pPr>
            <w:r w:rsidRPr="008479E5">
              <w:rPr>
                <w:rFonts w:cstheme="minorHAnsi"/>
                <w:color w:val="000000"/>
              </w:rPr>
              <w:t>90</w:t>
            </w:r>
          </w:p>
        </w:tc>
      </w:tr>
      <w:tr w:rsidR="00D27EA2" w:rsidRPr="008479E5" w14:paraId="13025306" w14:textId="77777777" w:rsidTr="00F90D4C">
        <w:tc>
          <w:tcPr>
            <w:tcW w:w="1525" w:type="dxa"/>
            <w:vMerge/>
            <w:shd w:val="clear" w:color="auto" w:fill="auto"/>
            <w:vAlign w:val="center"/>
          </w:tcPr>
          <w:p w14:paraId="5323BFD3"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1D82ECE1" w14:textId="77777777" w:rsidR="00D27EA2" w:rsidRPr="008479E5" w:rsidRDefault="00D27EA2" w:rsidP="0054331A">
            <w:pPr>
              <w:spacing w:after="0" w:line="240" w:lineRule="auto"/>
              <w:rPr>
                <w:rFonts w:cstheme="minorHAnsi"/>
                <w:b/>
              </w:rPr>
            </w:pPr>
            <w:r w:rsidRPr="008479E5">
              <w:rPr>
                <w:rFonts w:cstheme="minorHAnsi"/>
              </w:rPr>
              <w:t>Adult Questionnaire</w:t>
            </w:r>
          </w:p>
        </w:tc>
        <w:tc>
          <w:tcPr>
            <w:tcW w:w="1395" w:type="dxa"/>
            <w:shd w:val="clear" w:color="auto" w:fill="auto"/>
            <w:vAlign w:val="center"/>
          </w:tcPr>
          <w:p w14:paraId="42C62471" w14:textId="36AB07A3" w:rsidR="00D27EA2" w:rsidRPr="008479E5" w:rsidRDefault="00D27EA2" w:rsidP="0054331A">
            <w:pPr>
              <w:spacing w:after="0" w:line="240" w:lineRule="auto"/>
              <w:jc w:val="center"/>
              <w:rPr>
                <w:rFonts w:cstheme="minorHAnsi"/>
              </w:rPr>
            </w:pPr>
            <w:r w:rsidRPr="008479E5">
              <w:rPr>
                <w:rFonts w:cstheme="minorHAnsi"/>
                <w:color w:val="000000"/>
              </w:rPr>
              <w:t>367</w:t>
            </w:r>
          </w:p>
        </w:tc>
        <w:tc>
          <w:tcPr>
            <w:tcW w:w="1395" w:type="dxa"/>
            <w:shd w:val="clear" w:color="auto" w:fill="auto"/>
            <w:vAlign w:val="center"/>
          </w:tcPr>
          <w:p w14:paraId="4670DF70" w14:textId="2C4A6C1F"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7338A41A" w14:textId="545F19BF" w:rsidR="00D27EA2" w:rsidRPr="008479E5" w:rsidRDefault="00D27EA2" w:rsidP="0054331A">
            <w:pPr>
              <w:spacing w:after="0" w:line="240" w:lineRule="auto"/>
              <w:jc w:val="center"/>
              <w:rPr>
                <w:rFonts w:cstheme="minorHAnsi"/>
              </w:rPr>
            </w:pPr>
            <w:r w:rsidRPr="008479E5">
              <w:rPr>
                <w:rFonts w:cstheme="minorHAnsi"/>
                <w:color w:val="000000"/>
              </w:rPr>
              <w:t>30/60</w:t>
            </w:r>
          </w:p>
        </w:tc>
        <w:tc>
          <w:tcPr>
            <w:tcW w:w="1395" w:type="dxa"/>
            <w:shd w:val="clear" w:color="auto" w:fill="auto"/>
            <w:vAlign w:val="center"/>
          </w:tcPr>
          <w:p w14:paraId="5EFC602C" w14:textId="6E6A45D8" w:rsidR="00D27EA2" w:rsidRPr="008479E5" w:rsidRDefault="00D27EA2" w:rsidP="0054331A">
            <w:pPr>
              <w:spacing w:after="0" w:line="240" w:lineRule="auto"/>
              <w:jc w:val="center"/>
              <w:rPr>
                <w:rFonts w:cstheme="minorHAnsi"/>
                <w:color w:val="000000"/>
              </w:rPr>
            </w:pPr>
            <w:r w:rsidRPr="008479E5">
              <w:rPr>
                <w:rFonts w:cstheme="minorHAnsi"/>
                <w:color w:val="000000"/>
              </w:rPr>
              <w:t>184</w:t>
            </w:r>
          </w:p>
        </w:tc>
      </w:tr>
      <w:tr w:rsidR="00D27EA2" w:rsidRPr="008479E5" w14:paraId="05DBCF7D" w14:textId="77777777" w:rsidTr="00F90D4C">
        <w:tc>
          <w:tcPr>
            <w:tcW w:w="1525" w:type="dxa"/>
            <w:vMerge/>
            <w:shd w:val="clear" w:color="auto" w:fill="auto"/>
            <w:vAlign w:val="center"/>
          </w:tcPr>
          <w:p w14:paraId="5B37DB41"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08E330CC" w14:textId="77777777" w:rsidR="00D27EA2" w:rsidRPr="008479E5" w:rsidRDefault="00D27EA2" w:rsidP="0054331A">
            <w:pPr>
              <w:spacing w:after="0" w:line="240" w:lineRule="auto"/>
              <w:rPr>
                <w:rFonts w:cstheme="minorHAnsi"/>
                <w:b/>
              </w:rPr>
            </w:pPr>
            <w:r w:rsidRPr="008479E5">
              <w:rPr>
                <w:rFonts w:cstheme="minorHAnsi"/>
              </w:rPr>
              <w:t>Child Questionnaire – Long Form</w:t>
            </w:r>
          </w:p>
        </w:tc>
        <w:tc>
          <w:tcPr>
            <w:tcW w:w="1395" w:type="dxa"/>
            <w:shd w:val="clear" w:color="auto" w:fill="auto"/>
            <w:vAlign w:val="center"/>
          </w:tcPr>
          <w:p w14:paraId="0ED3AFF8" w14:textId="6A634B93" w:rsidR="00D27EA2" w:rsidRPr="008479E5" w:rsidRDefault="00D27EA2" w:rsidP="0054331A">
            <w:pPr>
              <w:spacing w:after="0" w:line="240" w:lineRule="auto"/>
              <w:jc w:val="center"/>
              <w:rPr>
                <w:rFonts w:cstheme="minorHAnsi"/>
              </w:rPr>
            </w:pPr>
            <w:r w:rsidRPr="008479E5">
              <w:rPr>
                <w:rFonts w:cstheme="minorHAnsi"/>
                <w:color w:val="000000"/>
              </w:rPr>
              <w:t>140</w:t>
            </w:r>
          </w:p>
        </w:tc>
        <w:tc>
          <w:tcPr>
            <w:tcW w:w="1395" w:type="dxa"/>
            <w:shd w:val="clear" w:color="auto" w:fill="auto"/>
            <w:vAlign w:val="center"/>
          </w:tcPr>
          <w:p w14:paraId="6A1276DC" w14:textId="175208D8"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6166D7D9" w14:textId="7C4655BC" w:rsidR="00D27EA2" w:rsidRPr="008479E5" w:rsidRDefault="00D27EA2" w:rsidP="0054331A">
            <w:pPr>
              <w:spacing w:after="0" w:line="240" w:lineRule="auto"/>
              <w:jc w:val="center"/>
              <w:rPr>
                <w:rFonts w:cstheme="minorHAnsi"/>
              </w:rPr>
            </w:pPr>
            <w:r w:rsidRPr="008479E5">
              <w:rPr>
                <w:rFonts w:cstheme="minorHAnsi"/>
                <w:color w:val="000000"/>
              </w:rPr>
              <w:t>30/60</w:t>
            </w:r>
          </w:p>
        </w:tc>
        <w:tc>
          <w:tcPr>
            <w:tcW w:w="1395" w:type="dxa"/>
            <w:shd w:val="clear" w:color="auto" w:fill="auto"/>
            <w:vAlign w:val="center"/>
          </w:tcPr>
          <w:p w14:paraId="41737853" w14:textId="53C6BB8B" w:rsidR="00D27EA2" w:rsidRPr="008479E5" w:rsidRDefault="00D27EA2" w:rsidP="0054331A">
            <w:pPr>
              <w:spacing w:after="0" w:line="240" w:lineRule="auto"/>
              <w:jc w:val="center"/>
              <w:rPr>
                <w:rFonts w:cstheme="minorHAnsi"/>
                <w:color w:val="000000"/>
              </w:rPr>
            </w:pPr>
            <w:r w:rsidRPr="008479E5">
              <w:rPr>
                <w:rFonts w:cstheme="minorHAnsi"/>
                <w:color w:val="000000"/>
              </w:rPr>
              <w:t>70</w:t>
            </w:r>
          </w:p>
        </w:tc>
      </w:tr>
      <w:tr w:rsidR="00D27EA2" w:rsidRPr="008479E5" w14:paraId="73E39170" w14:textId="77777777" w:rsidTr="00F90D4C">
        <w:tc>
          <w:tcPr>
            <w:tcW w:w="1525" w:type="dxa"/>
            <w:vMerge/>
            <w:shd w:val="clear" w:color="auto" w:fill="auto"/>
            <w:vAlign w:val="center"/>
          </w:tcPr>
          <w:p w14:paraId="5CB39EE3"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71E3584F" w14:textId="77777777" w:rsidR="00D27EA2" w:rsidRPr="008479E5" w:rsidRDefault="00D27EA2" w:rsidP="0054331A">
            <w:pPr>
              <w:spacing w:after="0" w:line="240" w:lineRule="auto"/>
              <w:rPr>
                <w:rFonts w:cstheme="minorHAnsi"/>
                <w:b/>
                <w:i/>
              </w:rPr>
            </w:pPr>
            <w:r w:rsidRPr="008479E5">
              <w:rPr>
                <w:rFonts w:cstheme="minorHAnsi"/>
              </w:rPr>
              <w:t>Child Questionnaire – Short Form</w:t>
            </w:r>
          </w:p>
        </w:tc>
        <w:tc>
          <w:tcPr>
            <w:tcW w:w="1395" w:type="dxa"/>
            <w:shd w:val="clear" w:color="auto" w:fill="auto"/>
            <w:vAlign w:val="center"/>
          </w:tcPr>
          <w:p w14:paraId="39BFB37A" w14:textId="71908444" w:rsidR="00D27EA2" w:rsidRPr="008479E5" w:rsidRDefault="00D27EA2" w:rsidP="0054331A">
            <w:pPr>
              <w:spacing w:after="0" w:line="240" w:lineRule="auto"/>
              <w:jc w:val="center"/>
              <w:rPr>
                <w:rFonts w:cstheme="minorHAnsi"/>
              </w:rPr>
            </w:pPr>
            <w:r w:rsidRPr="008479E5">
              <w:rPr>
                <w:rFonts w:cstheme="minorHAnsi"/>
                <w:color w:val="000000"/>
              </w:rPr>
              <w:t>35</w:t>
            </w:r>
          </w:p>
        </w:tc>
        <w:tc>
          <w:tcPr>
            <w:tcW w:w="1395" w:type="dxa"/>
            <w:shd w:val="clear" w:color="auto" w:fill="auto"/>
            <w:vAlign w:val="center"/>
          </w:tcPr>
          <w:p w14:paraId="0A553500" w14:textId="2545726C"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01DF0723" w14:textId="4A575DE3" w:rsidR="00D27EA2" w:rsidRPr="008479E5" w:rsidRDefault="00D27EA2" w:rsidP="0054331A">
            <w:pPr>
              <w:spacing w:after="0" w:line="240" w:lineRule="auto"/>
              <w:jc w:val="center"/>
              <w:rPr>
                <w:rFonts w:cstheme="minorHAnsi"/>
              </w:rPr>
            </w:pPr>
            <w:r w:rsidRPr="008479E5">
              <w:rPr>
                <w:rFonts w:cstheme="minorHAnsi"/>
                <w:color w:val="000000"/>
              </w:rPr>
              <w:t>15/60</w:t>
            </w:r>
          </w:p>
        </w:tc>
        <w:tc>
          <w:tcPr>
            <w:tcW w:w="1395" w:type="dxa"/>
            <w:shd w:val="clear" w:color="auto" w:fill="auto"/>
            <w:vAlign w:val="center"/>
          </w:tcPr>
          <w:p w14:paraId="64217DCA" w14:textId="7CAEA1FA" w:rsidR="00D27EA2" w:rsidRPr="008479E5" w:rsidRDefault="00D27EA2" w:rsidP="0054331A">
            <w:pPr>
              <w:spacing w:after="0" w:line="240" w:lineRule="auto"/>
              <w:jc w:val="center"/>
              <w:rPr>
                <w:rFonts w:cstheme="minorHAnsi"/>
                <w:color w:val="000000"/>
              </w:rPr>
            </w:pPr>
            <w:r w:rsidRPr="008479E5">
              <w:rPr>
                <w:rFonts w:cstheme="minorHAnsi"/>
                <w:color w:val="000000"/>
              </w:rPr>
              <w:t>9</w:t>
            </w:r>
          </w:p>
        </w:tc>
      </w:tr>
      <w:tr w:rsidR="00D27EA2" w:rsidRPr="008479E5" w14:paraId="012F4D6A" w14:textId="77777777" w:rsidTr="00F90D4C">
        <w:tc>
          <w:tcPr>
            <w:tcW w:w="1525" w:type="dxa"/>
            <w:vMerge/>
            <w:shd w:val="clear" w:color="auto" w:fill="auto"/>
            <w:vAlign w:val="center"/>
          </w:tcPr>
          <w:p w14:paraId="7C4F6B79"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0DDAEF7B" w14:textId="77777777" w:rsidR="00D27EA2" w:rsidRPr="008479E5" w:rsidRDefault="00D27EA2" w:rsidP="0054331A">
            <w:pPr>
              <w:spacing w:after="0" w:line="240" w:lineRule="auto"/>
              <w:rPr>
                <w:rFonts w:cstheme="minorHAnsi"/>
                <w:b/>
              </w:rPr>
            </w:pPr>
            <w:r w:rsidRPr="008479E5">
              <w:rPr>
                <w:rFonts w:cstheme="minorHAnsi"/>
              </w:rPr>
              <w:t>Parent Neurobehavioral Test Battery</w:t>
            </w:r>
          </w:p>
        </w:tc>
        <w:tc>
          <w:tcPr>
            <w:tcW w:w="1395" w:type="dxa"/>
            <w:shd w:val="clear" w:color="auto" w:fill="auto"/>
            <w:vAlign w:val="center"/>
          </w:tcPr>
          <w:p w14:paraId="2321F22A" w14:textId="3C542245" w:rsidR="00D27EA2" w:rsidRPr="008479E5" w:rsidRDefault="00D27EA2" w:rsidP="0054331A">
            <w:pPr>
              <w:spacing w:after="0" w:line="240" w:lineRule="auto"/>
              <w:jc w:val="center"/>
              <w:rPr>
                <w:rFonts w:cstheme="minorHAnsi"/>
              </w:rPr>
            </w:pPr>
            <w:r w:rsidRPr="008479E5">
              <w:rPr>
                <w:rFonts w:cstheme="minorHAnsi"/>
                <w:color w:val="000000"/>
              </w:rPr>
              <w:t>175</w:t>
            </w:r>
          </w:p>
        </w:tc>
        <w:tc>
          <w:tcPr>
            <w:tcW w:w="1395" w:type="dxa"/>
            <w:shd w:val="clear" w:color="auto" w:fill="auto"/>
            <w:vAlign w:val="center"/>
          </w:tcPr>
          <w:p w14:paraId="6853FCBD" w14:textId="1A18E0C7"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7913C370" w14:textId="6A25DDB5" w:rsidR="00D27EA2" w:rsidRPr="008479E5" w:rsidRDefault="00D27EA2" w:rsidP="0054331A">
            <w:pPr>
              <w:spacing w:after="0" w:line="240" w:lineRule="auto"/>
              <w:jc w:val="center"/>
              <w:rPr>
                <w:rFonts w:cstheme="minorHAnsi"/>
              </w:rPr>
            </w:pPr>
            <w:r w:rsidRPr="008479E5">
              <w:rPr>
                <w:rFonts w:cstheme="minorHAnsi"/>
                <w:color w:val="000000"/>
              </w:rPr>
              <w:t>15/60</w:t>
            </w:r>
          </w:p>
        </w:tc>
        <w:tc>
          <w:tcPr>
            <w:tcW w:w="1395" w:type="dxa"/>
            <w:shd w:val="clear" w:color="auto" w:fill="auto"/>
            <w:vAlign w:val="center"/>
          </w:tcPr>
          <w:p w14:paraId="063D854B" w14:textId="69CA2A26" w:rsidR="00D27EA2" w:rsidRPr="008479E5" w:rsidRDefault="00D27EA2" w:rsidP="0054331A">
            <w:pPr>
              <w:spacing w:after="0" w:line="240" w:lineRule="auto"/>
              <w:jc w:val="center"/>
              <w:rPr>
                <w:rFonts w:cstheme="minorHAnsi"/>
                <w:color w:val="000000"/>
              </w:rPr>
            </w:pPr>
            <w:r w:rsidRPr="008479E5">
              <w:rPr>
                <w:rFonts w:cstheme="minorHAnsi"/>
                <w:color w:val="000000"/>
              </w:rPr>
              <w:t>44</w:t>
            </w:r>
          </w:p>
        </w:tc>
      </w:tr>
      <w:tr w:rsidR="00D27EA2" w:rsidRPr="008479E5" w14:paraId="716696BB" w14:textId="77777777" w:rsidTr="00F90D4C">
        <w:tc>
          <w:tcPr>
            <w:tcW w:w="1525" w:type="dxa"/>
            <w:vMerge/>
            <w:shd w:val="clear" w:color="auto" w:fill="auto"/>
            <w:vAlign w:val="center"/>
          </w:tcPr>
          <w:p w14:paraId="0EB993B5" w14:textId="77777777" w:rsidR="00D27EA2" w:rsidRPr="008479E5" w:rsidRDefault="00D27EA2" w:rsidP="0054331A">
            <w:pPr>
              <w:spacing w:after="0" w:line="240" w:lineRule="auto"/>
              <w:jc w:val="center"/>
              <w:rPr>
                <w:rFonts w:cstheme="minorHAnsi"/>
              </w:rPr>
            </w:pPr>
          </w:p>
        </w:tc>
        <w:tc>
          <w:tcPr>
            <w:tcW w:w="2340" w:type="dxa"/>
            <w:shd w:val="clear" w:color="auto" w:fill="auto"/>
            <w:vAlign w:val="center"/>
          </w:tcPr>
          <w:p w14:paraId="00644314" w14:textId="77777777" w:rsidR="00D27EA2" w:rsidRPr="008479E5" w:rsidRDefault="00D27EA2" w:rsidP="0054331A">
            <w:pPr>
              <w:spacing w:after="0" w:line="240" w:lineRule="auto"/>
              <w:rPr>
                <w:rFonts w:cstheme="minorHAnsi"/>
                <w:b/>
              </w:rPr>
            </w:pPr>
            <w:r w:rsidRPr="008479E5">
              <w:rPr>
                <w:rFonts w:cstheme="minorHAnsi"/>
              </w:rPr>
              <w:t>Child Neurobehavioral Test Battery</w:t>
            </w:r>
          </w:p>
        </w:tc>
        <w:tc>
          <w:tcPr>
            <w:tcW w:w="1395" w:type="dxa"/>
            <w:shd w:val="clear" w:color="auto" w:fill="auto"/>
            <w:vAlign w:val="center"/>
          </w:tcPr>
          <w:p w14:paraId="216DF759" w14:textId="3B4F6A30" w:rsidR="00D27EA2" w:rsidRPr="008479E5" w:rsidRDefault="00D27EA2" w:rsidP="0054331A">
            <w:pPr>
              <w:spacing w:after="0" w:line="240" w:lineRule="auto"/>
              <w:jc w:val="center"/>
              <w:rPr>
                <w:rFonts w:cstheme="minorHAnsi"/>
              </w:rPr>
            </w:pPr>
            <w:r w:rsidRPr="008479E5">
              <w:rPr>
                <w:rFonts w:cstheme="minorHAnsi"/>
                <w:color w:val="000000"/>
              </w:rPr>
              <w:t>175</w:t>
            </w:r>
          </w:p>
        </w:tc>
        <w:tc>
          <w:tcPr>
            <w:tcW w:w="1395" w:type="dxa"/>
            <w:shd w:val="clear" w:color="auto" w:fill="auto"/>
            <w:vAlign w:val="center"/>
          </w:tcPr>
          <w:p w14:paraId="12B6DF73" w14:textId="7FD0067E" w:rsidR="00D27EA2" w:rsidRPr="008479E5" w:rsidRDefault="00D27EA2" w:rsidP="0054331A">
            <w:pPr>
              <w:spacing w:after="0" w:line="240" w:lineRule="auto"/>
              <w:jc w:val="center"/>
              <w:rPr>
                <w:rFonts w:cstheme="minorHAnsi"/>
              </w:rPr>
            </w:pPr>
            <w:r w:rsidRPr="008479E5">
              <w:rPr>
                <w:rFonts w:cstheme="minorHAnsi"/>
                <w:color w:val="000000"/>
              </w:rPr>
              <w:t>1</w:t>
            </w:r>
          </w:p>
        </w:tc>
        <w:tc>
          <w:tcPr>
            <w:tcW w:w="1395" w:type="dxa"/>
            <w:shd w:val="clear" w:color="auto" w:fill="auto"/>
            <w:vAlign w:val="center"/>
          </w:tcPr>
          <w:p w14:paraId="0CA6FB49" w14:textId="37BA32CD" w:rsidR="00D27EA2" w:rsidRPr="008479E5" w:rsidRDefault="00D27EA2" w:rsidP="0054331A">
            <w:pPr>
              <w:spacing w:after="0" w:line="240" w:lineRule="auto"/>
              <w:jc w:val="center"/>
              <w:rPr>
                <w:rFonts w:cstheme="minorHAnsi"/>
              </w:rPr>
            </w:pPr>
            <w:r w:rsidRPr="008479E5">
              <w:rPr>
                <w:rFonts w:cstheme="minorHAnsi"/>
                <w:color w:val="000000"/>
              </w:rPr>
              <w:t>90/60</w:t>
            </w:r>
          </w:p>
        </w:tc>
        <w:tc>
          <w:tcPr>
            <w:tcW w:w="1395" w:type="dxa"/>
            <w:shd w:val="clear" w:color="auto" w:fill="auto"/>
            <w:vAlign w:val="center"/>
          </w:tcPr>
          <w:p w14:paraId="7D02D9B3" w14:textId="5DECA34D" w:rsidR="00D27EA2" w:rsidRPr="008479E5" w:rsidRDefault="00D27EA2" w:rsidP="0054331A">
            <w:pPr>
              <w:spacing w:after="0" w:line="240" w:lineRule="auto"/>
              <w:jc w:val="center"/>
              <w:rPr>
                <w:rFonts w:cstheme="minorHAnsi"/>
                <w:color w:val="000000"/>
              </w:rPr>
            </w:pPr>
            <w:r w:rsidRPr="008479E5">
              <w:rPr>
                <w:rFonts w:cstheme="minorHAnsi"/>
                <w:color w:val="000000"/>
              </w:rPr>
              <w:t>263</w:t>
            </w:r>
          </w:p>
        </w:tc>
      </w:tr>
      <w:tr w:rsidR="00D27EA2" w:rsidRPr="008479E5" w14:paraId="34EA98B0" w14:textId="77777777" w:rsidTr="00F90D4C">
        <w:tc>
          <w:tcPr>
            <w:tcW w:w="1525" w:type="dxa"/>
            <w:shd w:val="clear" w:color="auto" w:fill="auto"/>
            <w:vAlign w:val="center"/>
          </w:tcPr>
          <w:p w14:paraId="07B17F58" w14:textId="77777777" w:rsidR="00D27EA2" w:rsidRPr="008479E5" w:rsidRDefault="00D27EA2" w:rsidP="0054331A">
            <w:pPr>
              <w:spacing w:after="0" w:line="240" w:lineRule="auto"/>
              <w:jc w:val="center"/>
              <w:rPr>
                <w:rFonts w:cstheme="minorHAnsi"/>
              </w:rPr>
            </w:pPr>
            <w:r w:rsidRPr="008479E5">
              <w:rPr>
                <w:rFonts w:cstheme="minorHAnsi"/>
              </w:rPr>
              <w:t>Education Specialists</w:t>
            </w:r>
          </w:p>
        </w:tc>
        <w:tc>
          <w:tcPr>
            <w:tcW w:w="2340" w:type="dxa"/>
            <w:shd w:val="clear" w:color="auto" w:fill="auto"/>
            <w:vAlign w:val="center"/>
          </w:tcPr>
          <w:p w14:paraId="3F6F0CBD" w14:textId="77777777" w:rsidR="00D27EA2" w:rsidRPr="008479E5" w:rsidRDefault="00D27EA2" w:rsidP="0054331A">
            <w:pPr>
              <w:spacing w:after="0" w:line="240" w:lineRule="auto"/>
              <w:rPr>
                <w:rFonts w:cstheme="minorHAnsi"/>
                <w:b/>
              </w:rPr>
            </w:pPr>
            <w:r w:rsidRPr="008479E5">
              <w:rPr>
                <w:rFonts w:cstheme="minorHAnsi"/>
              </w:rPr>
              <w:t xml:space="preserve">Child School Record Abstraction Form </w:t>
            </w:r>
          </w:p>
        </w:tc>
        <w:tc>
          <w:tcPr>
            <w:tcW w:w="1395" w:type="dxa"/>
            <w:shd w:val="clear" w:color="auto" w:fill="auto"/>
            <w:vAlign w:val="center"/>
          </w:tcPr>
          <w:p w14:paraId="22488A3A" w14:textId="066D3685" w:rsidR="00D27EA2" w:rsidRPr="008479E5" w:rsidRDefault="0036251E" w:rsidP="0054331A">
            <w:pPr>
              <w:spacing w:after="0" w:line="240" w:lineRule="auto"/>
              <w:jc w:val="center"/>
              <w:rPr>
                <w:rFonts w:cstheme="minorHAnsi"/>
              </w:rPr>
            </w:pPr>
            <w:r w:rsidRPr="008479E5">
              <w:rPr>
                <w:rFonts w:cstheme="minorHAnsi"/>
                <w:color w:val="000000"/>
              </w:rPr>
              <w:t>15</w:t>
            </w:r>
          </w:p>
        </w:tc>
        <w:tc>
          <w:tcPr>
            <w:tcW w:w="1395" w:type="dxa"/>
            <w:shd w:val="clear" w:color="auto" w:fill="auto"/>
            <w:vAlign w:val="center"/>
          </w:tcPr>
          <w:p w14:paraId="53EB8532" w14:textId="3010D6C6" w:rsidR="00D27EA2" w:rsidRPr="008479E5" w:rsidRDefault="00D27EA2" w:rsidP="0054331A">
            <w:pPr>
              <w:spacing w:after="0" w:line="240" w:lineRule="auto"/>
              <w:jc w:val="center"/>
              <w:rPr>
                <w:rFonts w:cstheme="minorHAnsi"/>
              </w:rPr>
            </w:pPr>
            <w:r w:rsidRPr="008479E5">
              <w:rPr>
                <w:rFonts w:cstheme="minorHAnsi"/>
                <w:color w:val="000000"/>
              </w:rPr>
              <w:t>1</w:t>
            </w:r>
            <w:r w:rsidR="0036251E" w:rsidRPr="008479E5">
              <w:rPr>
                <w:rFonts w:cstheme="minorHAnsi"/>
                <w:color w:val="000000"/>
              </w:rPr>
              <w:t>2</w:t>
            </w:r>
          </w:p>
        </w:tc>
        <w:tc>
          <w:tcPr>
            <w:tcW w:w="1395" w:type="dxa"/>
            <w:shd w:val="clear" w:color="auto" w:fill="auto"/>
            <w:vAlign w:val="center"/>
          </w:tcPr>
          <w:p w14:paraId="0D61BCDD" w14:textId="66A04713" w:rsidR="00D27EA2" w:rsidRPr="008479E5" w:rsidRDefault="00D27EA2" w:rsidP="0054331A">
            <w:pPr>
              <w:spacing w:after="0" w:line="240" w:lineRule="auto"/>
              <w:jc w:val="center"/>
              <w:rPr>
                <w:rFonts w:cstheme="minorHAnsi"/>
              </w:rPr>
            </w:pPr>
            <w:r w:rsidRPr="008479E5">
              <w:rPr>
                <w:rFonts w:cstheme="minorHAnsi"/>
                <w:color w:val="000000"/>
              </w:rPr>
              <w:t>20/60</w:t>
            </w:r>
          </w:p>
        </w:tc>
        <w:tc>
          <w:tcPr>
            <w:tcW w:w="1395" w:type="dxa"/>
            <w:shd w:val="clear" w:color="auto" w:fill="auto"/>
            <w:vAlign w:val="center"/>
          </w:tcPr>
          <w:p w14:paraId="79971AC3" w14:textId="26D1348E" w:rsidR="00D27EA2" w:rsidRPr="008479E5" w:rsidRDefault="0036251E" w:rsidP="0054331A">
            <w:pPr>
              <w:spacing w:after="0" w:line="240" w:lineRule="auto"/>
              <w:jc w:val="center"/>
              <w:rPr>
                <w:rFonts w:cstheme="minorHAnsi"/>
                <w:color w:val="000000"/>
              </w:rPr>
            </w:pPr>
            <w:r w:rsidRPr="008479E5">
              <w:rPr>
                <w:rFonts w:cstheme="minorHAnsi"/>
                <w:color w:val="000000"/>
              </w:rPr>
              <w:t>60</w:t>
            </w:r>
          </w:p>
        </w:tc>
      </w:tr>
      <w:tr w:rsidR="00D27EA2" w:rsidRPr="008479E5" w14:paraId="07EDECAA" w14:textId="77777777" w:rsidTr="00F90D4C">
        <w:tc>
          <w:tcPr>
            <w:tcW w:w="1525" w:type="dxa"/>
            <w:vMerge w:val="restart"/>
            <w:shd w:val="clear" w:color="auto" w:fill="auto"/>
            <w:vAlign w:val="center"/>
          </w:tcPr>
          <w:p w14:paraId="26F05681" w14:textId="77777777" w:rsidR="00D27EA2" w:rsidRPr="008479E5" w:rsidRDefault="00D27EA2" w:rsidP="0054331A">
            <w:pPr>
              <w:spacing w:after="0" w:line="240" w:lineRule="auto"/>
              <w:jc w:val="center"/>
              <w:rPr>
                <w:rFonts w:cstheme="minorHAnsi"/>
              </w:rPr>
            </w:pPr>
            <w:r w:rsidRPr="008479E5">
              <w:rPr>
                <w:rFonts w:cstheme="minorHAnsi"/>
              </w:rPr>
              <w:t>Medical Record Specialists</w:t>
            </w:r>
          </w:p>
        </w:tc>
        <w:tc>
          <w:tcPr>
            <w:tcW w:w="2340" w:type="dxa"/>
            <w:shd w:val="clear" w:color="auto" w:fill="auto"/>
            <w:vAlign w:val="center"/>
          </w:tcPr>
          <w:p w14:paraId="6D336009" w14:textId="2F528177" w:rsidR="00D27EA2" w:rsidRPr="008479E5" w:rsidRDefault="00D27EA2" w:rsidP="0054331A">
            <w:pPr>
              <w:spacing w:after="0" w:line="240" w:lineRule="auto"/>
              <w:rPr>
                <w:rFonts w:cstheme="minorHAnsi"/>
                <w:b/>
              </w:rPr>
            </w:pPr>
            <w:r w:rsidRPr="008479E5">
              <w:rPr>
                <w:rFonts w:cstheme="minorHAnsi"/>
              </w:rPr>
              <w:t>Medical Record Abstraction Form - Adult</w:t>
            </w:r>
          </w:p>
        </w:tc>
        <w:tc>
          <w:tcPr>
            <w:tcW w:w="1395" w:type="dxa"/>
            <w:shd w:val="clear" w:color="auto" w:fill="auto"/>
            <w:vAlign w:val="center"/>
          </w:tcPr>
          <w:p w14:paraId="66F83CEB" w14:textId="42D9F3D1" w:rsidR="00D27EA2" w:rsidRPr="008479E5" w:rsidRDefault="0036251E" w:rsidP="0054331A">
            <w:pPr>
              <w:spacing w:after="0" w:line="240" w:lineRule="auto"/>
              <w:jc w:val="center"/>
              <w:rPr>
                <w:rFonts w:cstheme="minorHAnsi"/>
              </w:rPr>
            </w:pPr>
            <w:r w:rsidRPr="008479E5">
              <w:rPr>
                <w:rFonts w:cstheme="minorHAnsi"/>
                <w:color w:val="000000"/>
              </w:rPr>
              <w:t>25</w:t>
            </w:r>
          </w:p>
        </w:tc>
        <w:tc>
          <w:tcPr>
            <w:tcW w:w="1395" w:type="dxa"/>
            <w:shd w:val="clear" w:color="auto" w:fill="auto"/>
            <w:vAlign w:val="center"/>
          </w:tcPr>
          <w:p w14:paraId="5C45E2C1" w14:textId="3580F3E3" w:rsidR="00D27EA2" w:rsidRPr="008479E5" w:rsidRDefault="00D27EA2" w:rsidP="0054331A">
            <w:pPr>
              <w:spacing w:after="0" w:line="240" w:lineRule="auto"/>
              <w:jc w:val="center"/>
              <w:rPr>
                <w:rFonts w:cstheme="minorHAnsi"/>
              </w:rPr>
            </w:pPr>
            <w:r w:rsidRPr="008479E5">
              <w:rPr>
                <w:rFonts w:cstheme="minorHAnsi"/>
                <w:color w:val="000000"/>
              </w:rPr>
              <w:t>1</w:t>
            </w:r>
            <w:r w:rsidR="0036251E" w:rsidRPr="008479E5">
              <w:rPr>
                <w:rFonts w:cstheme="minorHAnsi"/>
                <w:color w:val="000000"/>
              </w:rPr>
              <w:t>5</w:t>
            </w:r>
          </w:p>
        </w:tc>
        <w:tc>
          <w:tcPr>
            <w:tcW w:w="1395" w:type="dxa"/>
            <w:shd w:val="clear" w:color="auto" w:fill="auto"/>
            <w:vAlign w:val="center"/>
          </w:tcPr>
          <w:p w14:paraId="0018E8B9" w14:textId="4BD4C5CC" w:rsidR="00D27EA2" w:rsidRPr="008479E5" w:rsidRDefault="00D27EA2" w:rsidP="0054331A">
            <w:pPr>
              <w:spacing w:after="0" w:line="240" w:lineRule="auto"/>
              <w:jc w:val="center"/>
              <w:rPr>
                <w:rFonts w:cstheme="minorHAnsi"/>
              </w:rPr>
            </w:pPr>
            <w:r w:rsidRPr="008479E5">
              <w:rPr>
                <w:rFonts w:cstheme="minorHAnsi"/>
                <w:color w:val="000000"/>
              </w:rPr>
              <w:t>20/60</w:t>
            </w:r>
          </w:p>
        </w:tc>
        <w:tc>
          <w:tcPr>
            <w:tcW w:w="1395" w:type="dxa"/>
            <w:shd w:val="clear" w:color="auto" w:fill="auto"/>
            <w:vAlign w:val="center"/>
          </w:tcPr>
          <w:p w14:paraId="56A4B62E" w14:textId="3BB41427" w:rsidR="00D27EA2" w:rsidRPr="008479E5" w:rsidRDefault="0036251E" w:rsidP="0054331A">
            <w:pPr>
              <w:spacing w:after="0" w:line="240" w:lineRule="auto"/>
              <w:jc w:val="center"/>
              <w:rPr>
                <w:rFonts w:cstheme="minorHAnsi"/>
                <w:color w:val="000000"/>
              </w:rPr>
            </w:pPr>
            <w:r w:rsidRPr="008479E5">
              <w:rPr>
                <w:rFonts w:cstheme="minorHAnsi"/>
                <w:color w:val="000000"/>
              </w:rPr>
              <w:t>125</w:t>
            </w:r>
          </w:p>
        </w:tc>
      </w:tr>
      <w:tr w:rsidR="00D27EA2" w:rsidRPr="008479E5" w14:paraId="4DED9E8D" w14:textId="77777777" w:rsidTr="00F90D4C">
        <w:tc>
          <w:tcPr>
            <w:tcW w:w="1525" w:type="dxa"/>
            <w:vMerge/>
            <w:shd w:val="clear" w:color="auto" w:fill="auto"/>
            <w:vAlign w:val="center"/>
          </w:tcPr>
          <w:p w14:paraId="4D9CF0BA" w14:textId="77777777" w:rsidR="00D27EA2" w:rsidRPr="008479E5" w:rsidRDefault="00D27EA2" w:rsidP="0054331A">
            <w:pPr>
              <w:spacing w:after="0" w:line="240" w:lineRule="auto"/>
              <w:rPr>
                <w:rFonts w:cstheme="minorHAnsi"/>
              </w:rPr>
            </w:pPr>
          </w:p>
        </w:tc>
        <w:tc>
          <w:tcPr>
            <w:tcW w:w="2340" w:type="dxa"/>
            <w:shd w:val="clear" w:color="auto" w:fill="auto"/>
            <w:vAlign w:val="center"/>
          </w:tcPr>
          <w:p w14:paraId="18CBE78A" w14:textId="77777777" w:rsidR="00D27EA2" w:rsidRPr="008479E5" w:rsidRDefault="00D27EA2" w:rsidP="0054331A">
            <w:pPr>
              <w:spacing w:after="0" w:line="240" w:lineRule="auto"/>
              <w:rPr>
                <w:rFonts w:cstheme="minorHAnsi"/>
                <w:b/>
              </w:rPr>
            </w:pPr>
            <w:r w:rsidRPr="008479E5">
              <w:rPr>
                <w:rFonts w:cstheme="minorHAnsi"/>
              </w:rPr>
              <w:t>Medical Record Abstraction Form - Child</w:t>
            </w:r>
          </w:p>
        </w:tc>
        <w:tc>
          <w:tcPr>
            <w:tcW w:w="1395" w:type="dxa"/>
            <w:shd w:val="clear" w:color="auto" w:fill="auto"/>
            <w:vAlign w:val="center"/>
          </w:tcPr>
          <w:p w14:paraId="617E560C" w14:textId="0675DF15" w:rsidR="00D27EA2" w:rsidRPr="008479E5" w:rsidRDefault="0036251E" w:rsidP="0054331A">
            <w:pPr>
              <w:spacing w:after="0" w:line="240" w:lineRule="auto"/>
              <w:jc w:val="center"/>
              <w:rPr>
                <w:rFonts w:cstheme="minorHAnsi"/>
              </w:rPr>
            </w:pPr>
            <w:r w:rsidRPr="008479E5">
              <w:rPr>
                <w:rFonts w:cstheme="minorHAnsi"/>
                <w:color w:val="000000"/>
              </w:rPr>
              <w:t>25</w:t>
            </w:r>
          </w:p>
        </w:tc>
        <w:tc>
          <w:tcPr>
            <w:tcW w:w="1395" w:type="dxa"/>
            <w:shd w:val="clear" w:color="auto" w:fill="auto"/>
            <w:vAlign w:val="center"/>
          </w:tcPr>
          <w:p w14:paraId="46B7FE0C" w14:textId="72FBE3F8" w:rsidR="00D27EA2" w:rsidRPr="008479E5" w:rsidRDefault="0051716C" w:rsidP="0054331A">
            <w:pPr>
              <w:spacing w:after="0" w:line="240" w:lineRule="auto"/>
              <w:jc w:val="center"/>
              <w:rPr>
                <w:rFonts w:cstheme="minorHAnsi"/>
              </w:rPr>
            </w:pPr>
            <w:r w:rsidRPr="008479E5">
              <w:rPr>
                <w:rFonts w:cstheme="minorHAnsi"/>
                <w:color w:val="000000"/>
              </w:rPr>
              <w:t>7</w:t>
            </w:r>
          </w:p>
        </w:tc>
        <w:tc>
          <w:tcPr>
            <w:tcW w:w="1395" w:type="dxa"/>
            <w:shd w:val="clear" w:color="auto" w:fill="auto"/>
            <w:vAlign w:val="center"/>
          </w:tcPr>
          <w:p w14:paraId="1B99FD96" w14:textId="7F9B6044" w:rsidR="00D27EA2" w:rsidRPr="008479E5" w:rsidRDefault="00D27EA2" w:rsidP="0054331A">
            <w:pPr>
              <w:spacing w:after="0" w:line="240" w:lineRule="auto"/>
              <w:jc w:val="center"/>
              <w:rPr>
                <w:rFonts w:cstheme="minorHAnsi"/>
              </w:rPr>
            </w:pPr>
            <w:r w:rsidRPr="008479E5">
              <w:rPr>
                <w:rFonts w:cstheme="minorHAnsi"/>
                <w:color w:val="000000"/>
              </w:rPr>
              <w:t>20/60</w:t>
            </w:r>
          </w:p>
        </w:tc>
        <w:tc>
          <w:tcPr>
            <w:tcW w:w="1395" w:type="dxa"/>
            <w:shd w:val="clear" w:color="auto" w:fill="auto"/>
            <w:vAlign w:val="center"/>
          </w:tcPr>
          <w:p w14:paraId="7DA21431" w14:textId="7F388966" w:rsidR="00D27EA2" w:rsidRPr="008479E5" w:rsidRDefault="00D27EA2" w:rsidP="0054331A">
            <w:pPr>
              <w:spacing w:after="0" w:line="240" w:lineRule="auto"/>
              <w:jc w:val="center"/>
              <w:rPr>
                <w:rFonts w:cstheme="minorHAnsi"/>
                <w:color w:val="000000"/>
              </w:rPr>
            </w:pPr>
            <w:r w:rsidRPr="008479E5">
              <w:rPr>
                <w:rFonts w:cstheme="minorHAnsi"/>
                <w:color w:val="000000"/>
              </w:rPr>
              <w:t>58</w:t>
            </w:r>
          </w:p>
        </w:tc>
      </w:tr>
      <w:tr w:rsidR="00D27EA2" w:rsidRPr="008479E5" w14:paraId="565DFD43" w14:textId="77777777" w:rsidTr="00F90D4C">
        <w:tc>
          <w:tcPr>
            <w:tcW w:w="1525" w:type="dxa"/>
            <w:shd w:val="clear" w:color="auto" w:fill="auto"/>
            <w:vAlign w:val="center"/>
          </w:tcPr>
          <w:p w14:paraId="2FE85FB7" w14:textId="77777777" w:rsidR="00D27EA2" w:rsidRPr="008479E5" w:rsidRDefault="00D27EA2" w:rsidP="0054331A">
            <w:pPr>
              <w:spacing w:after="0" w:line="240" w:lineRule="auto"/>
              <w:jc w:val="center"/>
              <w:rPr>
                <w:rFonts w:cstheme="minorHAnsi"/>
              </w:rPr>
            </w:pPr>
            <w:r w:rsidRPr="008479E5">
              <w:rPr>
                <w:rFonts w:cstheme="minorHAnsi"/>
              </w:rPr>
              <w:t>Total</w:t>
            </w:r>
          </w:p>
        </w:tc>
        <w:tc>
          <w:tcPr>
            <w:tcW w:w="6525" w:type="dxa"/>
            <w:gridSpan w:val="4"/>
            <w:shd w:val="clear" w:color="auto" w:fill="auto"/>
            <w:vAlign w:val="center"/>
          </w:tcPr>
          <w:p w14:paraId="00ACB6D1" w14:textId="77777777" w:rsidR="00D27EA2" w:rsidRPr="008479E5" w:rsidRDefault="00D27EA2" w:rsidP="0054331A">
            <w:pPr>
              <w:spacing w:after="0" w:line="240" w:lineRule="auto"/>
              <w:jc w:val="center"/>
              <w:rPr>
                <w:rFonts w:cstheme="minorHAnsi"/>
              </w:rPr>
            </w:pPr>
          </w:p>
        </w:tc>
        <w:tc>
          <w:tcPr>
            <w:tcW w:w="1395" w:type="dxa"/>
            <w:shd w:val="clear" w:color="auto" w:fill="auto"/>
            <w:vAlign w:val="center"/>
          </w:tcPr>
          <w:p w14:paraId="7CEE2067" w14:textId="575BE236" w:rsidR="00D27EA2" w:rsidRPr="008479E5" w:rsidRDefault="0032165A" w:rsidP="0054331A">
            <w:pPr>
              <w:spacing w:after="0" w:line="240" w:lineRule="auto"/>
              <w:jc w:val="center"/>
              <w:rPr>
                <w:rFonts w:cstheme="minorHAnsi"/>
                <w:b/>
              </w:rPr>
            </w:pPr>
            <w:r w:rsidRPr="008479E5">
              <w:rPr>
                <w:rFonts w:cstheme="minorHAnsi"/>
                <w:color w:val="000000"/>
              </w:rPr>
              <w:t>1,1</w:t>
            </w:r>
            <w:r w:rsidR="00B71F77" w:rsidRPr="008479E5">
              <w:rPr>
                <w:rFonts w:cstheme="minorHAnsi"/>
                <w:color w:val="000000"/>
              </w:rPr>
              <w:t>9</w:t>
            </w:r>
            <w:r w:rsidR="0051716C" w:rsidRPr="008479E5">
              <w:rPr>
                <w:rFonts w:cstheme="minorHAnsi"/>
                <w:color w:val="000000"/>
              </w:rPr>
              <w:t>9</w:t>
            </w:r>
          </w:p>
        </w:tc>
      </w:tr>
    </w:tbl>
    <w:p w14:paraId="67F9D08F" w14:textId="77777777" w:rsidR="003924FB" w:rsidRPr="00D20211" w:rsidRDefault="003924FB" w:rsidP="00775DFF">
      <w:pPr>
        <w:rPr>
          <w:rFonts w:cs="ITCFranklinGothicStd-Book"/>
        </w:rPr>
      </w:pPr>
    </w:p>
    <w:p w14:paraId="26B3B9BC" w14:textId="7B020370" w:rsidR="00C63F4D" w:rsidRPr="00626C34" w:rsidRDefault="003B3EC5" w:rsidP="00626C34">
      <w:pPr>
        <w:rPr>
          <w:rFonts w:eastAsia="Times New Roman"/>
          <w:kern w:val="36"/>
          <w:sz w:val="24"/>
          <w:szCs w:val="24"/>
        </w:rPr>
      </w:pPr>
      <w:r w:rsidRPr="00626C34">
        <w:rPr>
          <w:sz w:val="24"/>
          <w:szCs w:val="24"/>
        </w:rPr>
        <w:t>The total annualized cost burden requested is</w:t>
      </w:r>
      <w:r w:rsidR="00B30D6B" w:rsidRPr="00626C34">
        <w:rPr>
          <w:sz w:val="24"/>
          <w:szCs w:val="24"/>
        </w:rPr>
        <w:t xml:space="preserve"> </w:t>
      </w:r>
      <w:r w:rsidR="00B30D6B" w:rsidRPr="00626C34">
        <w:rPr>
          <w:color w:val="000000"/>
          <w:sz w:val="24"/>
          <w:szCs w:val="24"/>
        </w:rPr>
        <w:t>$28,</w:t>
      </w:r>
      <w:r w:rsidR="00347E49">
        <w:rPr>
          <w:color w:val="000000"/>
          <w:sz w:val="24"/>
          <w:szCs w:val="24"/>
        </w:rPr>
        <w:t>401.63</w:t>
      </w:r>
      <w:r w:rsidRPr="00626C34">
        <w:rPr>
          <w:sz w:val="24"/>
          <w:szCs w:val="24"/>
        </w:rPr>
        <w:t xml:space="preserve">. </w:t>
      </w:r>
      <w:r w:rsidR="006306CC" w:rsidRPr="00626C34">
        <w:rPr>
          <w:sz w:val="24"/>
          <w:szCs w:val="24"/>
        </w:rPr>
        <w:t>E</w:t>
      </w:r>
      <w:r w:rsidR="00ED72E9" w:rsidRPr="00626C34">
        <w:rPr>
          <w:sz w:val="24"/>
          <w:szCs w:val="24"/>
        </w:rPr>
        <w:t>stimates of the annual</w:t>
      </w:r>
      <w:r w:rsidR="000A0C84" w:rsidRPr="00626C34">
        <w:rPr>
          <w:sz w:val="24"/>
          <w:szCs w:val="24"/>
        </w:rPr>
        <w:t xml:space="preserve">ized cost to respondents </w:t>
      </w:r>
      <w:r w:rsidR="006306CC" w:rsidRPr="00626C34">
        <w:rPr>
          <w:sz w:val="24"/>
          <w:szCs w:val="24"/>
        </w:rPr>
        <w:t>were based on</w:t>
      </w:r>
      <w:r w:rsidR="00ED72E9" w:rsidRPr="00626C34">
        <w:rPr>
          <w:sz w:val="24"/>
          <w:szCs w:val="24"/>
        </w:rPr>
        <w:t xml:space="preserve"> the </w:t>
      </w:r>
      <w:r w:rsidR="006306CC" w:rsidRPr="00626C34">
        <w:rPr>
          <w:sz w:val="24"/>
          <w:szCs w:val="24"/>
        </w:rPr>
        <w:t xml:space="preserve">Department of Labor </w:t>
      </w:r>
      <w:r w:rsidR="00C63F4D" w:rsidRPr="00626C34">
        <w:rPr>
          <w:sz w:val="24"/>
          <w:szCs w:val="24"/>
        </w:rPr>
        <w:t>“</w:t>
      </w:r>
      <w:r w:rsidR="0020569E" w:rsidRPr="00626C34">
        <w:rPr>
          <w:rFonts w:eastAsia="Times New Roman"/>
          <w:kern w:val="36"/>
          <w:sz w:val="24"/>
          <w:szCs w:val="24"/>
        </w:rPr>
        <w:t>May 2017 National Occupational Employment and Wage Estimates</w:t>
      </w:r>
      <w:r w:rsidR="00275290" w:rsidRPr="00626C34">
        <w:rPr>
          <w:rFonts w:eastAsia="Times New Roman"/>
          <w:kern w:val="36"/>
          <w:sz w:val="24"/>
          <w:szCs w:val="24"/>
        </w:rPr>
        <w:t>,</w:t>
      </w:r>
      <w:r w:rsidR="00275290" w:rsidRPr="00626C34">
        <w:rPr>
          <w:sz w:val="24"/>
          <w:szCs w:val="24"/>
        </w:rPr>
        <w:t xml:space="preserve"> </w:t>
      </w:r>
      <w:r w:rsidR="0020569E" w:rsidRPr="00626C34">
        <w:rPr>
          <w:rFonts w:eastAsia="Times New Roman"/>
          <w:kern w:val="36"/>
          <w:sz w:val="24"/>
          <w:szCs w:val="24"/>
        </w:rPr>
        <w:t>United States</w:t>
      </w:r>
      <w:r w:rsidR="00C63F4D" w:rsidRPr="00626C34">
        <w:rPr>
          <w:rFonts w:eastAsia="Times New Roman"/>
          <w:kern w:val="36"/>
          <w:sz w:val="24"/>
          <w:szCs w:val="24"/>
        </w:rPr>
        <w:t>”</w:t>
      </w:r>
      <w:r w:rsidR="0020569E" w:rsidRPr="00626C34">
        <w:rPr>
          <w:rFonts w:eastAsia="Times New Roman"/>
          <w:kern w:val="36"/>
          <w:sz w:val="24"/>
          <w:szCs w:val="24"/>
        </w:rPr>
        <w:t xml:space="preserve"> </w:t>
      </w:r>
      <w:r w:rsidR="00C63F4D" w:rsidRPr="00626C34">
        <w:rPr>
          <w:rFonts w:eastAsia="Times New Roman"/>
          <w:kern w:val="36"/>
          <w:sz w:val="24"/>
          <w:szCs w:val="24"/>
        </w:rPr>
        <w:t>(</w:t>
      </w:r>
      <w:hyperlink r:id="rId40" w:anchor="00-0000" w:history="1">
        <w:r w:rsidR="0020569E" w:rsidRPr="00626C34">
          <w:rPr>
            <w:rStyle w:val="Hyperlink"/>
            <w:rFonts w:eastAsia="Times New Roman" w:cstheme="minorHAnsi"/>
            <w:color w:val="auto"/>
            <w:kern w:val="36"/>
            <w:sz w:val="24"/>
            <w:szCs w:val="24"/>
          </w:rPr>
          <w:t>https://www.bls.gov/oes/current/oes_nat.htm#00-0000</w:t>
        </w:r>
      </w:hyperlink>
      <w:r w:rsidR="00C63F4D" w:rsidRPr="00626C34">
        <w:rPr>
          <w:rStyle w:val="Hyperlink"/>
          <w:rFonts w:eastAsia="Times New Roman" w:cstheme="minorHAnsi"/>
          <w:color w:val="auto"/>
          <w:kern w:val="36"/>
          <w:sz w:val="24"/>
          <w:szCs w:val="24"/>
        </w:rPr>
        <w:t>)</w:t>
      </w:r>
      <w:r w:rsidR="00275290" w:rsidRPr="00626C34">
        <w:rPr>
          <w:rFonts w:eastAsia="Times New Roman"/>
          <w:kern w:val="36"/>
          <w:sz w:val="24"/>
          <w:szCs w:val="24"/>
        </w:rPr>
        <w:t>.</w:t>
      </w:r>
      <w:r w:rsidR="00CC671B" w:rsidRPr="00626C34">
        <w:rPr>
          <w:rFonts w:eastAsia="Times New Roman"/>
          <w:kern w:val="36"/>
          <w:sz w:val="24"/>
          <w:szCs w:val="24"/>
        </w:rPr>
        <w:t xml:space="preserve"> </w:t>
      </w:r>
    </w:p>
    <w:p w14:paraId="51CACA62" w14:textId="43566D04" w:rsidR="0020569E" w:rsidRDefault="00CC671B" w:rsidP="00626C34">
      <w:pPr>
        <w:rPr>
          <w:rFonts w:eastAsia="Times New Roman"/>
          <w:kern w:val="36"/>
          <w:sz w:val="24"/>
          <w:szCs w:val="24"/>
        </w:rPr>
      </w:pPr>
      <w:r w:rsidRPr="00626C34">
        <w:rPr>
          <w:rFonts w:eastAsia="Times New Roman"/>
          <w:kern w:val="36"/>
          <w:sz w:val="24"/>
          <w:szCs w:val="24"/>
        </w:rPr>
        <w:t>ATSDR used the following occupation codes</w:t>
      </w:r>
      <w:r w:rsidR="008B15BA" w:rsidRPr="00626C34">
        <w:rPr>
          <w:rFonts w:eastAsia="Times New Roman"/>
          <w:kern w:val="36"/>
          <w:sz w:val="24"/>
          <w:szCs w:val="24"/>
        </w:rPr>
        <w:t xml:space="preserve"> and hourly wage estimates</w:t>
      </w:r>
      <w:r w:rsidRPr="00626C34">
        <w:rPr>
          <w:rFonts w:eastAsia="Times New Roman"/>
          <w:kern w:val="36"/>
          <w:sz w:val="24"/>
          <w:szCs w:val="24"/>
        </w:rPr>
        <w:t xml:space="preserve"> to represent each respondent type in the burden table.</w:t>
      </w:r>
    </w:p>
    <w:p w14:paraId="65A0FCC8" w14:textId="33B88CC2" w:rsidR="00A35AA5" w:rsidRPr="008479E5" w:rsidRDefault="00A35AA5" w:rsidP="00626C34">
      <w:pPr>
        <w:rPr>
          <w:rFonts w:cs="ITCFranklinGothicStd-Book"/>
        </w:rPr>
      </w:pPr>
      <w:r w:rsidRPr="00347E49">
        <w:rPr>
          <w:rFonts w:cs="ITCFranklinGothicStd-DmCd"/>
        </w:rPr>
        <w:t>Table A.12.</w:t>
      </w:r>
      <w:r w:rsidR="00336B5D" w:rsidRPr="00347E49">
        <w:rPr>
          <w:rFonts w:cs="ITCFranklinGothicStd-DmCd"/>
        </w:rPr>
        <w:t>4</w:t>
      </w:r>
      <w:r w:rsidRPr="00347E49">
        <w:rPr>
          <w:rFonts w:cs="ITCFranklinGothicStd-DmCd"/>
        </w:rPr>
        <w:t>.  Mean Hourly Wages for Respondent Types</w:t>
      </w:r>
    </w:p>
    <w:tbl>
      <w:tblPr>
        <w:tblStyle w:val="TableGrid"/>
        <w:tblW w:w="9348" w:type="dxa"/>
        <w:tblLook w:val="04A0" w:firstRow="1" w:lastRow="0" w:firstColumn="1" w:lastColumn="0" w:noHBand="0" w:noVBand="1"/>
      </w:tblPr>
      <w:tblGrid>
        <w:gridCol w:w="2605"/>
        <w:gridCol w:w="1350"/>
        <w:gridCol w:w="3780"/>
        <w:gridCol w:w="1613"/>
      </w:tblGrid>
      <w:tr w:rsidR="00C17C81" w:rsidRPr="008479E5" w14:paraId="49DC9458" w14:textId="77777777" w:rsidTr="008479E5">
        <w:tc>
          <w:tcPr>
            <w:tcW w:w="2605" w:type="dxa"/>
            <w:tcBorders>
              <w:top w:val="single" w:sz="4" w:space="0" w:color="auto"/>
              <w:left w:val="single" w:sz="4" w:space="0" w:color="auto"/>
              <w:bottom w:val="single" w:sz="4" w:space="0" w:color="auto"/>
              <w:right w:val="single" w:sz="4" w:space="0" w:color="auto"/>
            </w:tcBorders>
            <w:vAlign w:val="center"/>
          </w:tcPr>
          <w:p w14:paraId="3DAA36A7" w14:textId="4A3E28FB" w:rsidR="00C17C81" w:rsidRPr="00347E49" w:rsidRDefault="00C17C81" w:rsidP="006E4C10">
            <w:pPr>
              <w:jc w:val="center"/>
              <w:rPr>
                <w:rFonts w:eastAsia="Times New Roman"/>
                <w:color w:val="183061"/>
                <w:kern w:val="36"/>
              </w:rPr>
            </w:pPr>
            <w:r w:rsidRPr="008479E5">
              <w:rPr>
                <w:rFonts w:eastAsia="Times New Roman"/>
              </w:rPr>
              <w:t>Respondent Type</w:t>
            </w:r>
          </w:p>
        </w:tc>
        <w:tc>
          <w:tcPr>
            <w:tcW w:w="1350" w:type="dxa"/>
            <w:tcBorders>
              <w:top w:val="single" w:sz="4" w:space="0" w:color="auto"/>
              <w:left w:val="single" w:sz="4" w:space="0" w:color="auto"/>
              <w:bottom w:val="single" w:sz="4" w:space="0" w:color="auto"/>
              <w:right w:val="single" w:sz="4" w:space="0" w:color="auto"/>
            </w:tcBorders>
            <w:vAlign w:val="center"/>
          </w:tcPr>
          <w:p w14:paraId="45FF8241" w14:textId="388581E8" w:rsidR="00C17C81" w:rsidRPr="00347E49" w:rsidRDefault="00027505" w:rsidP="006E4C10">
            <w:pPr>
              <w:jc w:val="center"/>
              <w:rPr>
                <w:rFonts w:eastAsia="Times New Roman"/>
                <w:color w:val="183061"/>
                <w:kern w:val="36"/>
              </w:rPr>
            </w:pPr>
            <w:r w:rsidRPr="008479E5">
              <w:rPr>
                <w:rFonts w:eastAsia="Times New Roman"/>
                <w:bCs/>
              </w:rPr>
              <w:t>Occupation C</w:t>
            </w:r>
            <w:r w:rsidR="00C17C81" w:rsidRPr="008479E5">
              <w:rPr>
                <w:rFonts w:eastAsia="Times New Roman"/>
                <w:bCs/>
              </w:rPr>
              <w:t>ode</w:t>
            </w:r>
          </w:p>
        </w:tc>
        <w:tc>
          <w:tcPr>
            <w:tcW w:w="3780" w:type="dxa"/>
            <w:tcBorders>
              <w:top w:val="single" w:sz="4" w:space="0" w:color="auto"/>
              <w:left w:val="single" w:sz="4" w:space="0" w:color="auto"/>
              <w:bottom w:val="single" w:sz="4" w:space="0" w:color="auto"/>
              <w:right w:val="single" w:sz="4" w:space="0" w:color="auto"/>
            </w:tcBorders>
            <w:vAlign w:val="center"/>
          </w:tcPr>
          <w:p w14:paraId="7634CC6E" w14:textId="6E01065B" w:rsidR="00C17C81" w:rsidRPr="00347E49" w:rsidRDefault="00027505" w:rsidP="006E4C10">
            <w:pPr>
              <w:jc w:val="center"/>
              <w:rPr>
                <w:rFonts w:eastAsia="Times New Roman"/>
                <w:color w:val="183061"/>
                <w:kern w:val="36"/>
              </w:rPr>
            </w:pPr>
            <w:r w:rsidRPr="008479E5">
              <w:rPr>
                <w:rFonts w:eastAsia="Times New Roman"/>
                <w:bCs/>
              </w:rPr>
              <w:t>Occupation T</w:t>
            </w:r>
            <w:r w:rsidR="00C17C81" w:rsidRPr="008479E5">
              <w:rPr>
                <w:rFonts w:eastAsia="Times New Roman"/>
                <w:bCs/>
              </w:rPr>
              <w:t>itle</w:t>
            </w:r>
          </w:p>
        </w:tc>
        <w:tc>
          <w:tcPr>
            <w:tcW w:w="1613" w:type="dxa"/>
            <w:tcBorders>
              <w:top w:val="single" w:sz="4" w:space="0" w:color="auto"/>
              <w:left w:val="single" w:sz="4" w:space="0" w:color="auto"/>
              <w:bottom w:val="single" w:sz="4" w:space="0" w:color="auto"/>
              <w:right w:val="single" w:sz="4" w:space="0" w:color="auto"/>
            </w:tcBorders>
            <w:vAlign w:val="center"/>
          </w:tcPr>
          <w:p w14:paraId="6293897A" w14:textId="6EDB81F7" w:rsidR="00C17C81" w:rsidRPr="00347E49" w:rsidRDefault="00027505" w:rsidP="006E4C10">
            <w:pPr>
              <w:jc w:val="center"/>
              <w:rPr>
                <w:rFonts w:eastAsia="Times New Roman"/>
                <w:color w:val="183061"/>
                <w:kern w:val="36"/>
              </w:rPr>
            </w:pPr>
            <w:r w:rsidRPr="008479E5">
              <w:rPr>
                <w:rFonts w:eastAsia="Times New Roman"/>
                <w:bCs/>
              </w:rPr>
              <w:t>Mean Hourly W</w:t>
            </w:r>
            <w:r w:rsidR="00C17C81" w:rsidRPr="008479E5">
              <w:rPr>
                <w:rFonts w:eastAsia="Times New Roman"/>
                <w:bCs/>
              </w:rPr>
              <w:t>age</w:t>
            </w:r>
          </w:p>
        </w:tc>
      </w:tr>
      <w:tr w:rsidR="00C17C81" w:rsidRPr="008479E5" w14:paraId="6C538941" w14:textId="77777777" w:rsidTr="008479E5">
        <w:tc>
          <w:tcPr>
            <w:tcW w:w="2605" w:type="dxa"/>
            <w:tcBorders>
              <w:top w:val="single" w:sz="4" w:space="0" w:color="auto"/>
              <w:left w:val="single" w:sz="4" w:space="0" w:color="auto"/>
              <w:bottom w:val="single" w:sz="4" w:space="0" w:color="auto"/>
              <w:right w:val="single" w:sz="4" w:space="0" w:color="auto"/>
            </w:tcBorders>
            <w:vAlign w:val="center"/>
          </w:tcPr>
          <w:p w14:paraId="1E7DD527" w14:textId="29383585" w:rsidR="00C17C81" w:rsidRPr="00347E49" w:rsidRDefault="00C63F4D" w:rsidP="00775DFF">
            <w:pPr>
              <w:rPr>
                <w:rFonts w:eastAsia="Times New Roman"/>
                <w:color w:val="183061"/>
                <w:kern w:val="36"/>
              </w:rPr>
            </w:pPr>
            <w:r w:rsidRPr="008479E5">
              <w:t>Pease Study Participant</w:t>
            </w:r>
            <w:r w:rsidR="00C17C81" w:rsidRPr="008479E5">
              <w:t>s</w:t>
            </w:r>
          </w:p>
        </w:tc>
        <w:tc>
          <w:tcPr>
            <w:tcW w:w="1350" w:type="dxa"/>
            <w:tcBorders>
              <w:top w:val="single" w:sz="4" w:space="0" w:color="auto"/>
              <w:left w:val="single" w:sz="4" w:space="0" w:color="auto"/>
              <w:bottom w:val="single" w:sz="4" w:space="0" w:color="auto"/>
              <w:right w:val="single" w:sz="4" w:space="0" w:color="auto"/>
            </w:tcBorders>
            <w:vAlign w:val="center"/>
          </w:tcPr>
          <w:p w14:paraId="5C670691" w14:textId="5A355EAE" w:rsidR="00C17C81" w:rsidRPr="00347E49" w:rsidRDefault="00C17C81" w:rsidP="006E4C10">
            <w:pPr>
              <w:jc w:val="center"/>
              <w:rPr>
                <w:rFonts w:eastAsia="Times New Roman"/>
                <w:color w:val="183061"/>
                <w:kern w:val="36"/>
              </w:rPr>
            </w:pPr>
            <w:r w:rsidRPr="008479E5">
              <w:rPr>
                <w:rFonts w:eastAsia="Times New Roman"/>
              </w:rPr>
              <w:t>00-0000</w:t>
            </w:r>
          </w:p>
        </w:tc>
        <w:tc>
          <w:tcPr>
            <w:tcW w:w="3780" w:type="dxa"/>
            <w:tcBorders>
              <w:top w:val="single" w:sz="4" w:space="0" w:color="auto"/>
              <w:left w:val="single" w:sz="4" w:space="0" w:color="auto"/>
              <w:bottom w:val="single" w:sz="4" w:space="0" w:color="auto"/>
              <w:right w:val="single" w:sz="4" w:space="0" w:color="auto"/>
            </w:tcBorders>
            <w:vAlign w:val="center"/>
          </w:tcPr>
          <w:p w14:paraId="7773DADD" w14:textId="4C7E1E70" w:rsidR="00C17C81" w:rsidRPr="00347E49" w:rsidRDefault="00C17C81" w:rsidP="00775DFF">
            <w:pPr>
              <w:rPr>
                <w:rFonts w:eastAsia="Times New Roman"/>
                <w:color w:val="183061"/>
                <w:kern w:val="36"/>
              </w:rPr>
            </w:pPr>
            <w:r w:rsidRPr="008479E5">
              <w:rPr>
                <w:rFonts w:eastAsia="Times New Roman"/>
              </w:rPr>
              <w:t>All Occupations</w:t>
            </w:r>
          </w:p>
        </w:tc>
        <w:tc>
          <w:tcPr>
            <w:tcW w:w="1613" w:type="dxa"/>
            <w:tcBorders>
              <w:top w:val="single" w:sz="4" w:space="0" w:color="auto"/>
              <w:left w:val="single" w:sz="4" w:space="0" w:color="auto"/>
              <w:bottom w:val="single" w:sz="4" w:space="0" w:color="auto"/>
              <w:right w:val="single" w:sz="4" w:space="0" w:color="auto"/>
            </w:tcBorders>
            <w:vAlign w:val="center"/>
          </w:tcPr>
          <w:p w14:paraId="32A04998" w14:textId="1D6297BD" w:rsidR="00C17C81" w:rsidRPr="00347E49" w:rsidRDefault="00C17C81" w:rsidP="006E4C10">
            <w:pPr>
              <w:jc w:val="center"/>
              <w:rPr>
                <w:rFonts w:eastAsia="Times New Roman"/>
                <w:color w:val="183061"/>
                <w:kern w:val="36"/>
              </w:rPr>
            </w:pPr>
            <w:r w:rsidRPr="008479E5">
              <w:rPr>
                <w:rFonts w:eastAsia="Times New Roman"/>
              </w:rPr>
              <w:t>$24.34</w:t>
            </w:r>
          </w:p>
        </w:tc>
      </w:tr>
      <w:tr w:rsidR="00C17C81" w:rsidRPr="008479E5" w14:paraId="75704836" w14:textId="77777777" w:rsidTr="008479E5">
        <w:tc>
          <w:tcPr>
            <w:tcW w:w="2605" w:type="dxa"/>
            <w:tcBorders>
              <w:top w:val="single" w:sz="4" w:space="0" w:color="auto"/>
              <w:left w:val="single" w:sz="4" w:space="0" w:color="auto"/>
              <w:bottom w:val="single" w:sz="4" w:space="0" w:color="auto"/>
              <w:right w:val="single" w:sz="4" w:space="0" w:color="auto"/>
            </w:tcBorders>
            <w:vAlign w:val="center"/>
          </w:tcPr>
          <w:p w14:paraId="4E17D9F3" w14:textId="49B03BFA" w:rsidR="00C17C81" w:rsidRPr="00347E49" w:rsidRDefault="00C17C81" w:rsidP="00775DFF">
            <w:pPr>
              <w:rPr>
                <w:rFonts w:eastAsia="Times New Roman"/>
                <w:color w:val="183061"/>
                <w:kern w:val="36"/>
              </w:rPr>
            </w:pPr>
            <w:r w:rsidRPr="008479E5">
              <w:t>Education Specialists</w:t>
            </w:r>
          </w:p>
        </w:tc>
        <w:tc>
          <w:tcPr>
            <w:tcW w:w="1350" w:type="dxa"/>
            <w:tcBorders>
              <w:top w:val="single" w:sz="4" w:space="0" w:color="auto"/>
              <w:left w:val="single" w:sz="4" w:space="0" w:color="auto"/>
              <w:bottom w:val="single" w:sz="4" w:space="0" w:color="auto"/>
              <w:right w:val="single" w:sz="4" w:space="0" w:color="auto"/>
            </w:tcBorders>
            <w:vAlign w:val="center"/>
          </w:tcPr>
          <w:p w14:paraId="04110D48" w14:textId="6A63FA76" w:rsidR="00C17C81" w:rsidRPr="00347E49" w:rsidRDefault="00C17C81" w:rsidP="006E4C10">
            <w:pPr>
              <w:jc w:val="center"/>
              <w:rPr>
                <w:rFonts w:eastAsia="Times New Roman"/>
                <w:color w:val="183061"/>
                <w:kern w:val="36"/>
              </w:rPr>
            </w:pPr>
            <w:r w:rsidRPr="008479E5">
              <w:rPr>
                <w:rFonts w:eastAsia="Times New Roman"/>
              </w:rPr>
              <w:t>25-9099</w:t>
            </w:r>
          </w:p>
        </w:tc>
        <w:tc>
          <w:tcPr>
            <w:tcW w:w="3780" w:type="dxa"/>
            <w:tcBorders>
              <w:top w:val="single" w:sz="4" w:space="0" w:color="auto"/>
              <w:left w:val="single" w:sz="4" w:space="0" w:color="auto"/>
              <w:bottom w:val="single" w:sz="4" w:space="0" w:color="auto"/>
              <w:right w:val="single" w:sz="4" w:space="0" w:color="auto"/>
            </w:tcBorders>
            <w:vAlign w:val="center"/>
          </w:tcPr>
          <w:p w14:paraId="1D373A02" w14:textId="246F1250" w:rsidR="00C17C81" w:rsidRPr="00347E49" w:rsidRDefault="00C17C81" w:rsidP="00775DFF">
            <w:pPr>
              <w:rPr>
                <w:rFonts w:eastAsia="Times New Roman"/>
                <w:color w:val="183061"/>
                <w:kern w:val="36"/>
              </w:rPr>
            </w:pPr>
            <w:r w:rsidRPr="008479E5">
              <w:rPr>
                <w:rFonts w:eastAsia="Times New Roman"/>
              </w:rPr>
              <w:t>Education, Training, and Library Workers, All Other</w:t>
            </w:r>
          </w:p>
        </w:tc>
        <w:tc>
          <w:tcPr>
            <w:tcW w:w="1613" w:type="dxa"/>
            <w:tcBorders>
              <w:top w:val="single" w:sz="4" w:space="0" w:color="auto"/>
              <w:left w:val="single" w:sz="4" w:space="0" w:color="auto"/>
              <w:bottom w:val="single" w:sz="4" w:space="0" w:color="auto"/>
              <w:right w:val="single" w:sz="4" w:space="0" w:color="auto"/>
            </w:tcBorders>
            <w:vAlign w:val="center"/>
          </w:tcPr>
          <w:p w14:paraId="6AB910B4" w14:textId="5C8BF766" w:rsidR="00C17C81" w:rsidRPr="00347E49" w:rsidRDefault="00C17C81" w:rsidP="006E4C10">
            <w:pPr>
              <w:jc w:val="center"/>
              <w:rPr>
                <w:rFonts w:eastAsia="Times New Roman"/>
                <w:color w:val="183061"/>
                <w:kern w:val="36"/>
              </w:rPr>
            </w:pPr>
            <w:r w:rsidRPr="008479E5">
              <w:rPr>
                <w:rFonts w:eastAsia="Times New Roman"/>
              </w:rPr>
              <w:t>$22.69</w:t>
            </w:r>
          </w:p>
        </w:tc>
      </w:tr>
      <w:tr w:rsidR="00C17C81" w:rsidRPr="008479E5" w14:paraId="155F2FB9" w14:textId="77777777" w:rsidTr="008479E5">
        <w:tc>
          <w:tcPr>
            <w:tcW w:w="2605" w:type="dxa"/>
            <w:tcBorders>
              <w:top w:val="single" w:sz="4" w:space="0" w:color="auto"/>
              <w:left w:val="single" w:sz="4" w:space="0" w:color="auto"/>
              <w:bottom w:val="single" w:sz="4" w:space="0" w:color="auto"/>
              <w:right w:val="single" w:sz="4" w:space="0" w:color="auto"/>
            </w:tcBorders>
            <w:vAlign w:val="center"/>
          </w:tcPr>
          <w:p w14:paraId="3EDFF5E4" w14:textId="08F9D099" w:rsidR="00C17C81" w:rsidRPr="00347E49" w:rsidRDefault="00C17C81" w:rsidP="00775DFF">
            <w:pPr>
              <w:rPr>
                <w:rFonts w:eastAsia="Times New Roman"/>
                <w:color w:val="183061"/>
                <w:kern w:val="36"/>
              </w:rPr>
            </w:pPr>
            <w:r w:rsidRPr="008479E5">
              <w:t>Medical Record Specialists</w:t>
            </w:r>
          </w:p>
        </w:tc>
        <w:tc>
          <w:tcPr>
            <w:tcW w:w="1350" w:type="dxa"/>
            <w:tcBorders>
              <w:top w:val="single" w:sz="4" w:space="0" w:color="auto"/>
              <w:left w:val="single" w:sz="4" w:space="0" w:color="auto"/>
              <w:bottom w:val="single" w:sz="4" w:space="0" w:color="auto"/>
              <w:right w:val="single" w:sz="4" w:space="0" w:color="auto"/>
            </w:tcBorders>
            <w:vAlign w:val="center"/>
          </w:tcPr>
          <w:p w14:paraId="30E8F290" w14:textId="009EDDD3" w:rsidR="00C17C81" w:rsidRPr="00347E49" w:rsidRDefault="00C17C81" w:rsidP="006E4C10">
            <w:pPr>
              <w:jc w:val="center"/>
              <w:rPr>
                <w:rFonts w:eastAsia="Times New Roman"/>
                <w:color w:val="183061"/>
                <w:kern w:val="36"/>
              </w:rPr>
            </w:pPr>
            <w:r w:rsidRPr="008479E5">
              <w:rPr>
                <w:rFonts w:eastAsia="Times New Roman"/>
              </w:rPr>
              <w:t>29-2071</w:t>
            </w:r>
          </w:p>
        </w:tc>
        <w:tc>
          <w:tcPr>
            <w:tcW w:w="3780" w:type="dxa"/>
            <w:tcBorders>
              <w:top w:val="single" w:sz="4" w:space="0" w:color="auto"/>
              <w:left w:val="single" w:sz="4" w:space="0" w:color="auto"/>
              <w:bottom w:val="single" w:sz="4" w:space="0" w:color="auto"/>
              <w:right w:val="single" w:sz="4" w:space="0" w:color="auto"/>
            </w:tcBorders>
            <w:vAlign w:val="center"/>
          </w:tcPr>
          <w:p w14:paraId="73AE43C5" w14:textId="2B759B3B" w:rsidR="00C17C81" w:rsidRPr="00347E49" w:rsidRDefault="00C17C81" w:rsidP="00775DFF">
            <w:pPr>
              <w:rPr>
                <w:rFonts w:eastAsia="Times New Roman"/>
                <w:color w:val="183061"/>
                <w:kern w:val="36"/>
              </w:rPr>
            </w:pPr>
            <w:r w:rsidRPr="008479E5">
              <w:rPr>
                <w:rFonts w:eastAsia="Times New Roman"/>
              </w:rPr>
              <w:t>Medical Records and Health Information Technicians</w:t>
            </w:r>
          </w:p>
        </w:tc>
        <w:tc>
          <w:tcPr>
            <w:tcW w:w="1613" w:type="dxa"/>
            <w:tcBorders>
              <w:top w:val="single" w:sz="4" w:space="0" w:color="auto"/>
              <w:left w:val="single" w:sz="4" w:space="0" w:color="auto"/>
              <w:bottom w:val="single" w:sz="4" w:space="0" w:color="auto"/>
              <w:right w:val="single" w:sz="4" w:space="0" w:color="auto"/>
            </w:tcBorders>
            <w:vAlign w:val="center"/>
          </w:tcPr>
          <w:p w14:paraId="7F6AC503" w14:textId="34F76CC9" w:rsidR="00C17C81" w:rsidRPr="00347E49" w:rsidRDefault="00C17C81" w:rsidP="006E4C10">
            <w:pPr>
              <w:jc w:val="center"/>
              <w:rPr>
                <w:rFonts w:eastAsia="Times New Roman"/>
                <w:color w:val="183061"/>
                <w:kern w:val="36"/>
              </w:rPr>
            </w:pPr>
            <w:r w:rsidRPr="008479E5">
              <w:rPr>
                <w:rFonts w:eastAsia="Times New Roman"/>
              </w:rPr>
              <w:t>$20.59</w:t>
            </w:r>
          </w:p>
        </w:tc>
      </w:tr>
    </w:tbl>
    <w:p w14:paraId="57B490FD" w14:textId="58B01401" w:rsidR="001D75CC" w:rsidRPr="00D20211" w:rsidRDefault="001D75CC" w:rsidP="00775DFF">
      <w:pPr>
        <w:rPr>
          <w:rFonts w:cs="ITCFranklinGothicStd-DmCd"/>
        </w:rPr>
      </w:pPr>
    </w:p>
    <w:p w14:paraId="0DF6A794" w14:textId="174AC704" w:rsidR="00ED72E9" w:rsidRPr="008217C5" w:rsidRDefault="00E00FAE" w:rsidP="00775DFF">
      <w:pPr>
        <w:rPr>
          <w:rFonts w:cstheme="minorHAnsi"/>
        </w:rPr>
      </w:pPr>
      <w:r w:rsidRPr="00347E49">
        <w:rPr>
          <w:rFonts w:cstheme="minorHAnsi"/>
        </w:rPr>
        <w:t>Table A.12.</w:t>
      </w:r>
      <w:r w:rsidR="00336B5D" w:rsidRPr="00347E49">
        <w:rPr>
          <w:rFonts w:cstheme="minorHAnsi"/>
        </w:rPr>
        <w:t>4</w:t>
      </w:r>
      <w:r w:rsidRPr="00347E49">
        <w:rPr>
          <w:rFonts w:cstheme="minorHAnsi"/>
        </w:rPr>
        <w:t>.</w:t>
      </w:r>
      <w:r w:rsidR="00ED72E9" w:rsidRPr="008217C5">
        <w:rPr>
          <w:rFonts w:cstheme="minorHAnsi"/>
        </w:rPr>
        <w:t xml:space="preserve"> </w:t>
      </w:r>
      <w:r w:rsidRPr="008217C5">
        <w:rPr>
          <w:rFonts w:cstheme="minorHAnsi"/>
        </w:rPr>
        <w:t xml:space="preserve"> </w:t>
      </w:r>
      <w:r w:rsidR="00ED72E9" w:rsidRPr="008217C5">
        <w:rPr>
          <w:rFonts w:cstheme="minorHAnsi"/>
        </w:rPr>
        <w:t>Estimated Annualized Burden Costs</w:t>
      </w:r>
    </w:p>
    <w:tbl>
      <w:tblPr>
        <w:tblStyle w:val="TableGrid"/>
        <w:tblW w:w="0" w:type="auto"/>
        <w:tblLayout w:type="fixed"/>
        <w:tblLook w:val="04A0" w:firstRow="1" w:lastRow="0" w:firstColumn="1" w:lastColumn="0" w:noHBand="0" w:noVBand="1"/>
      </w:tblPr>
      <w:tblGrid>
        <w:gridCol w:w="1143"/>
        <w:gridCol w:w="1732"/>
        <w:gridCol w:w="1026"/>
        <w:gridCol w:w="1026"/>
        <w:gridCol w:w="1026"/>
        <w:gridCol w:w="1026"/>
        <w:gridCol w:w="1026"/>
        <w:gridCol w:w="1345"/>
      </w:tblGrid>
      <w:tr w:rsidR="004356AE" w:rsidRPr="008479E5" w14:paraId="5C724A89" w14:textId="77777777" w:rsidTr="00044B3E">
        <w:tc>
          <w:tcPr>
            <w:tcW w:w="1143" w:type="dxa"/>
            <w:vAlign w:val="center"/>
          </w:tcPr>
          <w:p w14:paraId="1E31FA48" w14:textId="1D746B6A" w:rsidR="00E00FAE" w:rsidRPr="008479E5" w:rsidRDefault="00E00FAE" w:rsidP="00910063">
            <w:pPr>
              <w:jc w:val="center"/>
              <w:rPr>
                <w:rFonts w:cstheme="minorHAnsi"/>
              </w:rPr>
            </w:pPr>
            <w:r w:rsidRPr="008479E5">
              <w:rPr>
                <w:rFonts w:cstheme="minorHAnsi"/>
              </w:rPr>
              <w:t>Type of Respondent</w:t>
            </w:r>
          </w:p>
        </w:tc>
        <w:tc>
          <w:tcPr>
            <w:tcW w:w="1732" w:type="dxa"/>
            <w:vAlign w:val="center"/>
          </w:tcPr>
          <w:p w14:paraId="7E5B6E46" w14:textId="248E0B72" w:rsidR="00E00FAE" w:rsidRPr="008479E5" w:rsidRDefault="00E00FAE" w:rsidP="00910063">
            <w:pPr>
              <w:jc w:val="center"/>
              <w:rPr>
                <w:rFonts w:cstheme="minorHAnsi"/>
              </w:rPr>
            </w:pPr>
            <w:r w:rsidRPr="008479E5">
              <w:rPr>
                <w:rFonts w:cstheme="minorHAnsi"/>
              </w:rPr>
              <w:t>Form Name</w:t>
            </w:r>
          </w:p>
        </w:tc>
        <w:tc>
          <w:tcPr>
            <w:tcW w:w="1026" w:type="dxa"/>
            <w:vAlign w:val="center"/>
          </w:tcPr>
          <w:p w14:paraId="14A276A2" w14:textId="194D0712" w:rsidR="00E00FAE" w:rsidRPr="008479E5" w:rsidRDefault="00E00FAE" w:rsidP="00910063">
            <w:pPr>
              <w:jc w:val="center"/>
              <w:rPr>
                <w:rFonts w:cstheme="minorHAnsi"/>
              </w:rPr>
            </w:pPr>
            <w:r w:rsidRPr="008479E5">
              <w:rPr>
                <w:rFonts w:cstheme="minorHAnsi"/>
              </w:rPr>
              <w:t>Number of Respondents</w:t>
            </w:r>
          </w:p>
        </w:tc>
        <w:tc>
          <w:tcPr>
            <w:tcW w:w="1026" w:type="dxa"/>
            <w:vAlign w:val="center"/>
          </w:tcPr>
          <w:p w14:paraId="37ADDA6D" w14:textId="4FB348C5" w:rsidR="00E00FAE" w:rsidRPr="008479E5" w:rsidRDefault="00E00FAE" w:rsidP="00910063">
            <w:pPr>
              <w:jc w:val="center"/>
              <w:rPr>
                <w:rFonts w:cstheme="minorHAnsi"/>
              </w:rPr>
            </w:pPr>
            <w:r w:rsidRPr="008479E5">
              <w:rPr>
                <w:rFonts w:cstheme="minorHAnsi"/>
              </w:rPr>
              <w:t>Number of Responses per Respondent</w:t>
            </w:r>
          </w:p>
        </w:tc>
        <w:tc>
          <w:tcPr>
            <w:tcW w:w="1026" w:type="dxa"/>
            <w:vAlign w:val="center"/>
          </w:tcPr>
          <w:p w14:paraId="54D36C8D" w14:textId="2A5739DB" w:rsidR="00E00FAE" w:rsidRPr="008479E5" w:rsidRDefault="00E00FAE" w:rsidP="00910063">
            <w:pPr>
              <w:jc w:val="center"/>
              <w:rPr>
                <w:rFonts w:cstheme="minorHAnsi"/>
              </w:rPr>
            </w:pPr>
            <w:r w:rsidRPr="008479E5">
              <w:rPr>
                <w:rFonts w:cstheme="minorHAnsi"/>
              </w:rPr>
              <w:t>Average Burden per Response</w:t>
            </w:r>
          </w:p>
          <w:p w14:paraId="23A15C92" w14:textId="4DF84A2B" w:rsidR="00E00FAE" w:rsidRPr="008479E5" w:rsidRDefault="00E00FAE" w:rsidP="00910063">
            <w:pPr>
              <w:jc w:val="center"/>
              <w:rPr>
                <w:rFonts w:cstheme="minorHAnsi"/>
              </w:rPr>
            </w:pPr>
            <w:r w:rsidRPr="008479E5">
              <w:rPr>
                <w:rFonts w:cstheme="minorHAnsi"/>
              </w:rPr>
              <w:t>(in hours)</w:t>
            </w:r>
          </w:p>
        </w:tc>
        <w:tc>
          <w:tcPr>
            <w:tcW w:w="1026" w:type="dxa"/>
            <w:vAlign w:val="center"/>
          </w:tcPr>
          <w:p w14:paraId="0068FFC5" w14:textId="49423182" w:rsidR="00E00FAE" w:rsidRPr="008479E5" w:rsidRDefault="00E00FAE" w:rsidP="00910063">
            <w:pPr>
              <w:jc w:val="center"/>
              <w:rPr>
                <w:rFonts w:cstheme="minorHAnsi"/>
              </w:rPr>
            </w:pPr>
            <w:r w:rsidRPr="008479E5">
              <w:rPr>
                <w:rFonts w:cstheme="minorHAnsi"/>
              </w:rPr>
              <w:t>Total Burden Hours</w:t>
            </w:r>
          </w:p>
        </w:tc>
        <w:tc>
          <w:tcPr>
            <w:tcW w:w="1026" w:type="dxa"/>
            <w:vAlign w:val="center"/>
          </w:tcPr>
          <w:p w14:paraId="5728DAEB" w14:textId="0B72128F" w:rsidR="00E00FAE" w:rsidRPr="008479E5" w:rsidRDefault="00E00FAE" w:rsidP="00910063">
            <w:pPr>
              <w:jc w:val="center"/>
              <w:rPr>
                <w:rFonts w:cstheme="minorHAnsi"/>
              </w:rPr>
            </w:pPr>
            <w:r w:rsidRPr="008479E5">
              <w:rPr>
                <w:rFonts w:cstheme="minorHAnsi"/>
              </w:rPr>
              <w:t>Hourly Wage Rate</w:t>
            </w:r>
          </w:p>
        </w:tc>
        <w:tc>
          <w:tcPr>
            <w:tcW w:w="1345" w:type="dxa"/>
            <w:vAlign w:val="center"/>
          </w:tcPr>
          <w:p w14:paraId="5563459C" w14:textId="323EB29F" w:rsidR="00E00FAE" w:rsidRPr="008479E5" w:rsidRDefault="00E00FAE" w:rsidP="00910063">
            <w:pPr>
              <w:jc w:val="center"/>
              <w:rPr>
                <w:rFonts w:cstheme="minorHAnsi"/>
              </w:rPr>
            </w:pPr>
            <w:r w:rsidRPr="008479E5">
              <w:rPr>
                <w:rFonts w:cstheme="minorHAnsi"/>
              </w:rPr>
              <w:t>Total Respondent Costs</w:t>
            </w:r>
          </w:p>
        </w:tc>
      </w:tr>
      <w:tr w:rsidR="00553B27" w:rsidRPr="008479E5" w14:paraId="687D7954" w14:textId="77777777" w:rsidTr="00044B3E">
        <w:tc>
          <w:tcPr>
            <w:tcW w:w="1143" w:type="dxa"/>
            <w:vMerge w:val="restart"/>
            <w:vAlign w:val="center"/>
          </w:tcPr>
          <w:p w14:paraId="27A253F2" w14:textId="19D36078" w:rsidR="00553B27" w:rsidRPr="008479E5" w:rsidRDefault="00553B27" w:rsidP="00910063">
            <w:pPr>
              <w:jc w:val="center"/>
              <w:rPr>
                <w:rFonts w:cstheme="minorHAnsi"/>
              </w:rPr>
            </w:pPr>
            <w:r w:rsidRPr="008479E5">
              <w:rPr>
                <w:rFonts w:cstheme="minorHAnsi"/>
              </w:rPr>
              <w:t>Pease Study Participants</w:t>
            </w:r>
          </w:p>
        </w:tc>
        <w:tc>
          <w:tcPr>
            <w:tcW w:w="1732" w:type="dxa"/>
            <w:vAlign w:val="center"/>
          </w:tcPr>
          <w:p w14:paraId="197B2D27" w14:textId="6A2D9BA1" w:rsidR="00553B27" w:rsidRPr="008479E5" w:rsidRDefault="00553B27" w:rsidP="00910063">
            <w:pPr>
              <w:rPr>
                <w:rFonts w:cstheme="minorHAnsi"/>
              </w:rPr>
            </w:pPr>
            <w:r w:rsidRPr="008479E5">
              <w:rPr>
                <w:rFonts w:cstheme="minorHAnsi"/>
              </w:rPr>
              <w:t>Wave One Eligibility Screening Script</w:t>
            </w:r>
          </w:p>
        </w:tc>
        <w:tc>
          <w:tcPr>
            <w:tcW w:w="1026" w:type="dxa"/>
            <w:vAlign w:val="center"/>
          </w:tcPr>
          <w:p w14:paraId="257FFA86" w14:textId="47CB30E5" w:rsidR="00553B27" w:rsidRPr="008479E5" w:rsidRDefault="003B3EC5" w:rsidP="00910063">
            <w:pPr>
              <w:jc w:val="center"/>
              <w:rPr>
                <w:rFonts w:cstheme="minorHAnsi"/>
              </w:rPr>
            </w:pPr>
            <w:r w:rsidRPr="008479E5">
              <w:rPr>
                <w:rFonts w:cstheme="minorHAnsi"/>
                <w:color w:val="000000"/>
              </w:rPr>
              <w:t>526</w:t>
            </w:r>
          </w:p>
        </w:tc>
        <w:tc>
          <w:tcPr>
            <w:tcW w:w="1026" w:type="dxa"/>
            <w:vAlign w:val="center"/>
          </w:tcPr>
          <w:p w14:paraId="39BAB9DA" w14:textId="1A6CE38B"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4B78AB7F" w14:textId="73D241D8" w:rsidR="00553B27" w:rsidRPr="008479E5" w:rsidRDefault="00553B27" w:rsidP="00910063">
            <w:pPr>
              <w:jc w:val="center"/>
              <w:rPr>
                <w:rFonts w:cstheme="minorHAnsi"/>
              </w:rPr>
            </w:pPr>
            <w:r w:rsidRPr="008479E5">
              <w:rPr>
                <w:rFonts w:cstheme="minorHAnsi"/>
                <w:color w:val="000000"/>
              </w:rPr>
              <w:t>10/60</w:t>
            </w:r>
          </w:p>
        </w:tc>
        <w:tc>
          <w:tcPr>
            <w:tcW w:w="1026" w:type="dxa"/>
            <w:vAlign w:val="center"/>
          </w:tcPr>
          <w:p w14:paraId="6F581607" w14:textId="2AC1AA83" w:rsidR="00553B27" w:rsidRPr="008479E5" w:rsidRDefault="00B71F77" w:rsidP="00910063">
            <w:pPr>
              <w:jc w:val="center"/>
              <w:rPr>
                <w:rFonts w:cstheme="minorHAnsi"/>
              </w:rPr>
            </w:pPr>
            <w:r w:rsidRPr="008479E5">
              <w:rPr>
                <w:rFonts w:cstheme="minorHAnsi"/>
                <w:color w:val="000000"/>
              </w:rPr>
              <w:t>88</w:t>
            </w:r>
          </w:p>
        </w:tc>
        <w:tc>
          <w:tcPr>
            <w:tcW w:w="1026" w:type="dxa"/>
            <w:vAlign w:val="center"/>
          </w:tcPr>
          <w:p w14:paraId="21520427" w14:textId="53110693"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62761E83" w14:textId="2AFAB3A7" w:rsidR="00553B27" w:rsidRPr="008479E5" w:rsidRDefault="003B3EC5" w:rsidP="00910063">
            <w:pPr>
              <w:jc w:val="center"/>
              <w:rPr>
                <w:rFonts w:cstheme="minorHAnsi"/>
              </w:rPr>
            </w:pPr>
            <w:r w:rsidRPr="008479E5">
              <w:rPr>
                <w:rFonts w:cstheme="minorHAnsi"/>
                <w:color w:val="000000"/>
              </w:rPr>
              <w:t>$2,133.81</w:t>
            </w:r>
          </w:p>
        </w:tc>
      </w:tr>
      <w:tr w:rsidR="00553B27" w:rsidRPr="008479E5" w14:paraId="144E0332" w14:textId="77777777" w:rsidTr="00044B3E">
        <w:tc>
          <w:tcPr>
            <w:tcW w:w="1143" w:type="dxa"/>
            <w:vMerge/>
            <w:vAlign w:val="center"/>
          </w:tcPr>
          <w:p w14:paraId="30A48161" w14:textId="2B60E8B2" w:rsidR="00553B27" w:rsidRPr="008479E5" w:rsidRDefault="00553B27" w:rsidP="00910063">
            <w:pPr>
              <w:rPr>
                <w:rFonts w:cstheme="minorHAnsi"/>
              </w:rPr>
            </w:pPr>
          </w:p>
        </w:tc>
        <w:tc>
          <w:tcPr>
            <w:tcW w:w="1732" w:type="dxa"/>
            <w:vAlign w:val="center"/>
          </w:tcPr>
          <w:p w14:paraId="3204355D" w14:textId="2629476D" w:rsidR="00553B27" w:rsidRPr="008479E5" w:rsidRDefault="00553B27" w:rsidP="00910063">
            <w:pPr>
              <w:rPr>
                <w:rFonts w:cstheme="minorHAnsi"/>
              </w:rPr>
            </w:pPr>
            <w:r w:rsidRPr="008479E5">
              <w:rPr>
                <w:rFonts w:cstheme="minorHAnsi"/>
              </w:rPr>
              <w:t>Wave Two Eligibility Screening Script</w:t>
            </w:r>
          </w:p>
        </w:tc>
        <w:tc>
          <w:tcPr>
            <w:tcW w:w="1026" w:type="dxa"/>
            <w:vAlign w:val="center"/>
          </w:tcPr>
          <w:p w14:paraId="6680036E" w14:textId="62B7370F" w:rsidR="00553B27" w:rsidRPr="008479E5" w:rsidRDefault="00B71F77" w:rsidP="00910063">
            <w:pPr>
              <w:jc w:val="center"/>
              <w:rPr>
                <w:rFonts w:cstheme="minorHAnsi"/>
              </w:rPr>
            </w:pPr>
            <w:r w:rsidRPr="008479E5">
              <w:rPr>
                <w:rFonts w:cstheme="minorHAnsi"/>
                <w:color w:val="000000"/>
              </w:rPr>
              <w:t>66</w:t>
            </w:r>
          </w:p>
        </w:tc>
        <w:tc>
          <w:tcPr>
            <w:tcW w:w="1026" w:type="dxa"/>
            <w:vAlign w:val="center"/>
          </w:tcPr>
          <w:p w14:paraId="58107A36" w14:textId="03EC9750"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0B2D4F00" w14:textId="08542957" w:rsidR="00553B27" w:rsidRPr="008479E5" w:rsidRDefault="00553B27" w:rsidP="00910063">
            <w:pPr>
              <w:jc w:val="center"/>
              <w:rPr>
                <w:rFonts w:cstheme="minorHAnsi"/>
              </w:rPr>
            </w:pPr>
            <w:r w:rsidRPr="008479E5">
              <w:rPr>
                <w:rFonts w:cstheme="minorHAnsi"/>
                <w:color w:val="000000"/>
              </w:rPr>
              <w:t>15/60</w:t>
            </w:r>
          </w:p>
        </w:tc>
        <w:tc>
          <w:tcPr>
            <w:tcW w:w="1026" w:type="dxa"/>
            <w:vAlign w:val="center"/>
          </w:tcPr>
          <w:p w14:paraId="643C5D42" w14:textId="29C821A1" w:rsidR="00553B27" w:rsidRPr="008479E5" w:rsidRDefault="00553B27" w:rsidP="00910063">
            <w:pPr>
              <w:jc w:val="center"/>
              <w:rPr>
                <w:rFonts w:cstheme="minorHAnsi"/>
              </w:rPr>
            </w:pPr>
            <w:r w:rsidRPr="008479E5">
              <w:rPr>
                <w:rFonts w:cstheme="minorHAnsi"/>
                <w:color w:val="000000"/>
              </w:rPr>
              <w:t>1</w:t>
            </w:r>
            <w:r w:rsidR="00B71F77" w:rsidRPr="008479E5">
              <w:rPr>
                <w:rFonts w:cstheme="minorHAnsi"/>
                <w:color w:val="000000"/>
              </w:rPr>
              <w:t>6</w:t>
            </w:r>
          </w:p>
        </w:tc>
        <w:tc>
          <w:tcPr>
            <w:tcW w:w="1026" w:type="dxa"/>
            <w:vAlign w:val="center"/>
          </w:tcPr>
          <w:p w14:paraId="7AD297E5" w14:textId="4F36099F"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7C1A341C" w14:textId="7DBED588" w:rsidR="00553B27" w:rsidRPr="008479E5" w:rsidRDefault="00553B27" w:rsidP="00910063">
            <w:pPr>
              <w:jc w:val="center"/>
              <w:rPr>
                <w:rFonts w:cstheme="minorHAnsi"/>
              </w:rPr>
            </w:pPr>
            <w:r w:rsidRPr="008479E5">
              <w:rPr>
                <w:rFonts w:cstheme="minorHAnsi"/>
                <w:color w:val="000000"/>
              </w:rPr>
              <w:t>$</w:t>
            </w:r>
            <w:r w:rsidR="00B71F77" w:rsidRPr="008479E5">
              <w:rPr>
                <w:rFonts w:cstheme="minorHAnsi"/>
                <w:color w:val="000000"/>
              </w:rPr>
              <w:t>401.61</w:t>
            </w:r>
          </w:p>
        </w:tc>
      </w:tr>
      <w:tr w:rsidR="00553B27" w:rsidRPr="008479E5" w14:paraId="779F6244" w14:textId="77777777" w:rsidTr="00044B3E">
        <w:tc>
          <w:tcPr>
            <w:tcW w:w="1143" w:type="dxa"/>
            <w:vMerge/>
            <w:vAlign w:val="center"/>
          </w:tcPr>
          <w:p w14:paraId="64AE767C" w14:textId="77777777" w:rsidR="00553B27" w:rsidRPr="008479E5" w:rsidRDefault="00553B27" w:rsidP="00910063">
            <w:pPr>
              <w:rPr>
                <w:rFonts w:cstheme="minorHAnsi"/>
              </w:rPr>
            </w:pPr>
          </w:p>
        </w:tc>
        <w:tc>
          <w:tcPr>
            <w:tcW w:w="1732" w:type="dxa"/>
            <w:vAlign w:val="center"/>
          </w:tcPr>
          <w:p w14:paraId="140467F0" w14:textId="305D8531" w:rsidR="00553B27" w:rsidRPr="008479E5" w:rsidRDefault="00553B27" w:rsidP="00910063">
            <w:pPr>
              <w:rPr>
                <w:rFonts w:cstheme="minorHAnsi"/>
              </w:rPr>
            </w:pPr>
            <w:r w:rsidRPr="008479E5">
              <w:rPr>
                <w:rFonts w:cstheme="minorHAnsi"/>
              </w:rPr>
              <w:t>Wave Three Eligibility Screening Script</w:t>
            </w:r>
          </w:p>
        </w:tc>
        <w:tc>
          <w:tcPr>
            <w:tcW w:w="1026" w:type="dxa"/>
            <w:vAlign w:val="center"/>
          </w:tcPr>
          <w:p w14:paraId="08142374" w14:textId="1D12BD84" w:rsidR="00553B27" w:rsidRPr="008479E5" w:rsidRDefault="00B71F77" w:rsidP="00910063">
            <w:pPr>
              <w:jc w:val="center"/>
              <w:rPr>
                <w:rFonts w:cstheme="minorHAnsi"/>
              </w:rPr>
            </w:pPr>
            <w:r w:rsidRPr="008479E5">
              <w:rPr>
                <w:rFonts w:cstheme="minorHAnsi"/>
                <w:color w:val="000000"/>
              </w:rPr>
              <w:t>121</w:t>
            </w:r>
          </w:p>
        </w:tc>
        <w:tc>
          <w:tcPr>
            <w:tcW w:w="1026" w:type="dxa"/>
            <w:vAlign w:val="center"/>
          </w:tcPr>
          <w:p w14:paraId="07A0D4A3" w14:textId="52CE56F6"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400A2D3C" w14:textId="6151FDFA" w:rsidR="00553B27" w:rsidRPr="008479E5" w:rsidRDefault="00553B27" w:rsidP="00910063">
            <w:pPr>
              <w:jc w:val="center"/>
              <w:rPr>
                <w:rFonts w:cstheme="minorHAnsi"/>
              </w:rPr>
            </w:pPr>
            <w:r w:rsidRPr="008479E5">
              <w:rPr>
                <w:rFonts w:cstheme="minorHAnsi"/>
                <w:color w:val="000000"/>
              </w:rPr>
              <w:t>15/60</w:t>
            </w:r>
          </w:p>
        </w:tc>
        <w:tc>
          <w:tcPr>
            <w:tcW w:w="1026" w:type="dxa"/>
            <w:vAlign w:val="center"/>
          </w:tcPr>
          <w:p w14:paraId="61761D3A" w14:textId="72FD3536" w:rsidR="00553B27" w:rsidRPr="008479E5" w:rsidRDefault="00B71F77" w:rsidP="00910063">
            <w:pPr>
              <w:jc w:val="center"/>
              <w:rPr>
                <w:rFonts w:cstheme="minorHAnsi"/>
              </w:rPr>
            </w:pPr>
            <w:r w:rsidRPr="008479E5">
              <w:rPr>
                <w:rFonts w:cstheme="minorHAnsi"/>
                <w:color w:val="000000"/>
              </w:rPr>
              <w:t>30</w:t>
            </w:r>
          </w:p>
        </w:tc>
        <w:tc>
          <w:tcPr>
            <w:tcW w:w="1026" w:type="dxa"/>
            <w:vAlign w:val="center"/>
          </w:tcPr>
          <w:p w14:paraId="0B4C3063" w14:textId="671BF8E5"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04E8F22D" w14:textId="76EF44A9" w:rsidR="00553B27" w:rsidRPr="008479E5" w:rsidRDefault="00553B27" w:rsidP="00910063">
            <w:pPr>
              <w:jc w:val="center"/>
              <w:rPr>
                <w:rFonts w:cstheme="minorHAnsi"/>
              </w:rPr>
            </w:pPr>
            <w:r w:rsidRPr="008479E5">
              <w:rPr>
                <w:rFonts w:cstheme="minorHAnsi"/>
                <w:color w:val="000000"/>
              </w:rPr>
              <w:t>$</w:t>
            </w:r>
            <w:r w:rsidR="00B71F77" w:rsidRPr="008479E5">
              <w:rPr>
                <w:rFonts w:cstheme="minorHAnsi"/>
                <w:color w:val="000000"/>
              </w:rPr>
              <w:t>736.28</w:t>
            </w:r>
          </w:p>
        </w:tc>
      </w:tr>
      <w:tr w:rsidR="00553B27" w:rsidRPr="008479E5" w14:paraId="04325BEF" w14:textId="77777777" w:rsidTr="00044B3E">
        <w:tc>
          <w:tcPr>
            <w:tcW w:w="1143" w:type="dxa"/>
            <w:vMerge/>
            <w:vAlign w:val="center"/>
          </w:tcPr>
          <w:p w14:paraId="0C980E45" w14:textId="084B01B6" w:rsidR="00553B27" w:rsidRPr="008479E5" w:rsidRDefault="00553B27" w:rsidP="00910063">
            <w:pPr>
              <w:rPr>
                <w:rFonts w:cstheme="minorHAnsi"/>
              </w:rPr>
            </w:pPr>
          </w:p>
        </w:tc>
        <w:tc>
          <w:tcPr>
            <w:tcW w:w="1732" w:type="dxa"/>
            <w:vAlign w:val="center"/>
          </w:tcPr>
          <w:p w14:paraId="40681A53" w14:textId="2E2678DC" w:rsidR="00553B27" w:rsidRPr="008479E5" w:rsidRDefault="00553B27" w:rsidP="00910063">
            <w:pPr>
              <w:rPr>
                <w:rFonts w:cstheme="minorHAnsi"/>
              </w:rPr>
            </w:pPr>
            <w:r w:rsidRPr="008479E5">
              <w:rPr>
                <w:rFonts w:cstheme="minorHAnsi"/>
              </w:rPr>
              <w:t>Appointment Reminder Telephone Script</w:t>
            </w:r>
          </w:p>
        </w:tc>
        <w:tc>
          <w:tcPr>
            <w:tcW w:w="1026" w:type="dxa"/>
            <w:vAlign w:val="center"/>
          </w:tcPr>
          <w:p w14:paraId="74C6B0E6" w14:textId="7010DFA9" w:rsidR="00553B27" w:rsidRPr="008479E5" w:rsidRDefault="00553B27" w:rsidP="00910063">
            <w:pPr>
              <w:jc w:val="center"/>
              <w:rPr>
                <w:rFonts w:cstheme="minorHAnsi"/>
              </w:rPr>
            </w:pPr>
            <w:r w:rsidRPr="008479E5">
              <w:rPr>
                <w:rFonts w:cstheme="minorHAnsi"/>
                <w:color w:val="000000"/>
              </w:rPr>
              <w:t>542</w:t>
            </w:r>
          </w:p>
        </w:tc>
        <w:tc>
          <w:tcPr>
            <w:tcW w:w="1026" w:type="dxa"/>
            <w:vAlign w:val="center"/>
          </w:tcPr>
          <w:p w14:paraId="057D6417" w14:textId="1332B84B"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367575A3" w14:textId="503BAF50" w:rsidR="00553B27" w:rsidRPr="008479E5" w:rsidRDefault="00553B27" w:rsidP="00910063">
            <w:pPr>
              <w:jc w:val="center"/>
              <w:rPr>
                <w:rFonts w:cstheme="minorHAnsi"/>
              </w:rPr>
            </w:pPr>
            <w:r w:rsidRPr="008479E5">
              <w:rPr>
                <w:rFonts w:cstheme="minorHAnsi"/>
                <w:color w:val="000000"/>
              </w:rPr>
              <w:t>5/60</w:t>
            </w:r>
          </w:p>
        </w:tc>
        <w:tc>
          <w:tcPr>
            <w:tcW w:w="1026" w:type="dxa"/>
            <w:vAlign w:val="center"/>
          </w:tcPr>
          <w:p w14:paraId="532EB94B" w14:textId="23B281BE" w:rsidR="00553B27" w:rsidRPr="008479E5" w:rsidRDefault="00553B27" w:rsidP="00910063">
            <w:pPr>
              <w:jc w:val="center"/>
              <w:rPr>
                <w:rFonts w:cstheme="minorHAnsi"/>
              </w:rPr>
            </w:pPr>
            <w:r w:rsidRPr="008479E5">
              <w:rPr>
                <w:rFonts w:cstheme="minorHAnsi"/>
                <w:color w:val="000000"/>
              </w:rPr>
              <w:t>45</w:t>
            </w:r>
          </w:p>
        </w:tc>
        <w:tc>
          <w:tcPr>
            <w:tcW w:w="1026" w:type="dxa"/>
            <w:vAlign w:val="center"/>
          </w:tcPr>
          <w:p w14:paraId="42874C3C" w14:textId="372844C1"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5B847967" w14:textId="198A6D22" w:rsidR="00553B27" w:rsidRPr="008479E5" w:rsidRDefault="00553B27" w:rsidP="00910063">
            <w:pPr>
              <w:jc w:val="center"/>
              <w:rPr>
                <w:rFonts w:cstheme="minorHAnsi"/>
              </w:rPr>
            </w:pPr>
            <w:r w:rsidRPr="008479E5">
              <w:rPr>
                <w:rFonts w:cstheme="minorHAnsi"/>
                <w:color w:val="000000"/>
              </w:rPr>
              <w:t>$1,099.36</w:t>
            </w:r>
          </w:p>
        </w:tc>
      </w:tr>
      <w:tr w:rsidR="00553B27" w:rsidRPr="008479E5" w14:paraId="24B58E2F" w14:textId="77777777" w:rsidTr="00044B3E">
        <w:tc>
          <w:tcPr>
            <w:tcW w:w="1143" w:type="dxa"/>
            <w:vMerge/>
            <w:vAlign w:val="center"/>
          </w:tcPr>
          <w:p w14:paraId="521B1A36" w14:textId="77777777" w:rsidR="00553B27" w:rsidRPr="008479E5" w:rsidRDefault="00553B27" w:rsidP="00910063">
            <w:pPr>
              <w:rPr>
                <w:rFonts w:cstheme="minorHAnsi"/>
              </w:rPr>
            </w:pPr>
          </w:p>
        </w:tc>
        <w:tc>
          <w:tcPr>
            <w:tcW w:w="1732" w:type="dxa"/>
            <w:vAlign w:val="center"/>
          </w:tcPr>
          <w:p w14:paraId="74C95BA9" w14:textId="6E5CE0A7" w:rsidR="00553B27" w:rsidRPr="008479E5" w:rsidRDefault="00553B27" w:rsidP="00910063">
            <w:pPr>
              <w:rPr>
                <w:rFonts w:cstheme="minorHAnsi"/>
              </w:rPr>
            </w:pPr>
            <w:r w:rsidRPr="008479E5">
              <w:rPr>
                <w:rFonts w:cstheme="minorHAnsi"/>
              </w:rPr>
              <w:t xml:space="preserve">Update Contact Information Hardcopy Form </w:t>
            </w:r>
          </w:p>
        </w:tc>
        <w:tc>
          <w:tcPr>
            <w:tcW w:w="1026" w:type="dxa"/>
            <w:vAlign w:val="center"/>
          </w:tcPr>
          <w:p w14:paraId="6BCE5EA0" w14:textId="7897DC1B" w:rsidR="00553B27" w:rsidRPr="008479E5" w:rsidRDefault="00553B27" w:rsidP="00910063">
            <w:pPr>
              <w:jc w:val="center"/>
              <w:rPr>
                <w:rFonts w:cstheme="minorHAnsi"/>
              </w:rPr>
            </w:pPr>
            <w:r w:rsidRPr="008479E5">
              <w:rPr>
                <w:rFonts w:cstheme="minorHAnsi"/>
                <w:color w:val="000000"/>
              </w:rPr>
              <w:t>542</w:t>
            </w:r>
          </w:p>
        </w:tc>
        <w:tc>
          <w:tcPr>
            <w:tcW w:w="1026" w:type="dxa"/>
            <w:vAlign w:val="center"/>
          </w:tcPr>
          <w:p w14:paraId="67110042" w14:textId="6BAC7D6F"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1243BF9E" w14:textId="7D01D5E4" w:rsidR="00553B27" w:rsidRPr="008479E5" w:rsidRDefault="00553B27" w:rsidP="00910063">
            <w:pPr>
              <w:jc w:val="center"/>
              <w:rPr>
                <w:rFonts w:cstheme="minorHAnsi"/>
              </w:rPr>
            </w:pPr>
            <w:r w:rsidRPr="008479E5">
              <w:rPr>
                <w:rFonts w:cstheme="minorHAnsi"/>
                <w:color w:val="000000"/>
              </w:rPr>
              <w:t>5/60</w:t>
            </w:r>
          </w:p>
        </w:tc>
        <w:tc>
          <w:tcPr>
            <w:tcW w:w="1026" w:type="dxa"/>
            <w:vAlign w:val="center"/>
          </w:tcPr>
          <w:p w14:paraId="4C1AC97E" w14:textId="2A8D4549" w:rsidR="00553B27" w:rsidRPr="008479E5" w:rsidRDefault="00553B27" w:rsidP="00910063">
            <w:pPr>
              <w:jc w:val="center"/>
              <w:rPr>
                <w:rFonts w:cstheme="minorHAnsi"/>
              </w:rPr>
            </w:pPr>
            <w:r w:rsidRPr="008479E5">
              <w:rPr>
                <w:rFonts w:cstheme="minorHAnsi"/>
                <w:color w:val="000000"/>
              </w:rPr>
              <w:t>45</w:t>
            </w:r>
          </w:p>
        </w:tc>
        <w:tc>
          <w:tcPr>
            <w:tcW w:w="1026" w:type="dxa"/>
            <w:vAlign w:val="center"/>
          </w:tcPr>
          <w:p w14:paraId="3AB0D059" w14:textId="1EE2789B"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2C35BD8D" w14:textId="6E897935" w:rsidR="00553B27" w:rsidRPr="008479E5" w:rsidRDefault="00553B27" w:rsidP="00910063">
            <w:pPr>
              <w:jc w:val="center"/>
              <w:rPr>
                <w:rFonts w:cstheme="minorHAnsi"/>
              </w:rPr>
            </w:pPr>
            <w:r w:rsidRPr="008479E5">
              <w:rPr>
                <w:rFonts w:cstheme="minorHAnsi"/>
                <w:color w:val="000000"/>
              </w:rPr>
              <w:t>$1,099.36</w:t>
            </w:r>
          </w:p>
        </w:tc>
      </w:tr>
      <w:tr w:rsidR="00553B27" w:rsidRPr="008479E5" w14:paraId="3633B5AB" w14:textId="77777777" w:rsidTr="00044B3E">
        <w:tc>
          <w:tcPr>
            <w:tcW w:w="1143" w:type="dxa"/>
            <w:vMerge/>
            <w:vAlign w:val="center"/>
          </w:tcPr>
          <w:p w14:paraId="641C713F" w14:textId="77777777" w:rsidR="00553B27" w:rsidRPr="008479E5" w:rsidRDefault="00553B27" w:rsidP="00910063">
            <w:pPr>
              <w:rPr>
                <w:rFonts w:cstheme="minorHAnsi"/>
              </w:rPr>
            </w:pPr>
          </w:p>
        </w:tc>
        <w:tc>
          <w:tcPr>
            <w:tcW w:w="1732" w:type="dxa"/>
            <w:vAlign w:val="center"/>
          </w:tcPr>
          <w:p w14:paraId="3231655D" w14:textId="7414976E" w:rsidR="00553B27" w:rsidRPr="008479E5" w:rsidRDefault="00553B27" w:rsidP="00910063">
            <w:pPr>
              <w:rPr>
                <w:rFonts w:cstheme="minorHAnsi"/>
              </w:rPr>
            </w:pPr>
            <w:r w:rsidRPr="008479E5">
              <w:rPr>
                <w:rFonts w:cstheme="minorHAnsi"/>
              </w:rPr>
              <w:t>Medication List</w:t>
            </w:r>
          </w:p>
        </w:tc>
        <w:tc>
          <w:tcPr>
            <w:tcW w:w="1026" w:type="dxa"/>
            <w:vAlign w:val="center"/>
          </w:tcPr>
          <w:p w14:paraId="2C0A74B5" w14:textId="672A4E38" w:rsidR="00553B27" w:rsidRPr="008479E5" w:rsidRDefault="00553B27" w:rsidP="00910063">
            <w:pPr>
              <w:jc w:val="center"/>
              <w:rPr>
                <w:rFonts w:cstheme="minorHAnsi"/>
              </w:rPr>
            </w:pPr>
            <w:r w:rsidRPr="008479E5">
              <w:rPr>
                <w:rFonts w:cstheme="minorHAnsi"/>
                <w:color w:val="000000"/>
              </w:rPr>
              <w:t>542</w:t>
            </w:r>
          </w:p>
        </w:tc>
        <w:tc>
          <w:tcPr>
            <w:tcW w:w="1026" w:type="dxa"/>
            <w:vAlign w:val="center"/>
          </w:tcPr>
          <w:p w14:paraId="282C0804" w14:textId="097D6F86"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3C3C4723" w14:textId="3162D2FE" w:rsidR="00553B27" w:rsidRPr="008479E5" w:rsidRDefault="00553B27" w:rsidP="00910063">
            <w:pPr>
              <w:jc w:val="center"/>
              <w:rPr>
                <w:rFonts w:cstheme="minorHAnsi"/>
              </w:rPr>
            </w:pPr>
            <w:r w:rsidRPr="008479E5">
              <w:rPr>
                <w:rFonts w:cstheme="minorHAnsi"/>
                <w:color w:val="000000"/>
              </w:rPr>
              <w:t>3/60</w:t>
            </w:r>
          </w:p>
        </w:tc>
        <w:tc>
          <w:tcPr>
            <w:tcW w:w="1026" w:type="dxa"/>
            <w:vAlign w:val="center"/>
          </w:tcPr>
          <w:p w14:paraId="6F81E0B4" w14:textId="2A242F45" w:rsidR="00553B27" w:rsidRPr="008479E5" w:rsidRDefault="00553B27" w:rsidP="00910063">
            <w:pPr>
              <w:jc w:val="center"/>
              <w:rPr>
                <w:rFonts w:cstheme="minorHAnsi"/>
              </w:rPr>
            </w:pPr>
            <w:r w:rsidRPr="008479E5">
              <w:rPr>
                <w:rFonts w:cstheme="minorHAnsi"/>
                <w:color w:val="000000"/>
              </w:rPr>
              <w:t>27</w:t>
            </w:r>
          </w:p>
        </w:tc>
        <w:tc>
          <w:tcPr>
            <w:tcW w:w="1026" w:type="dxa"/>
            <w:vAlign w:val="center"/>
          </w:tcPr>
          <w:p w14:paraId="6496552C" w14:textId="713999A3"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764E5585" w14:textId="2AFBC783" w:rsidR="00553B27" w:rsidRPr="008479E5" w:rsidRDefault="00553B27" w:rsidP="00910063">
            <w:pPr>
              <w:jc w:val="center"/>
              <w:rPr>
                <w:rFonts w:cstheme="minorHAnsi"/>
              </w:rPr>
            </w:pPr>
            <w:r w:rsidRPr="008479E5">
              <w:rPr>
                <w:rFonts w:cstheme="minorHAnsi"/>
                <w:color w:val="000000"/>
              </w:rPr>
              <w:t>$659.61</w:t>
            </w:r>
          </w:p>
        </w:tc>
      </w:tr>
      <w:tr w:rsidR="00553B27" w:rsidRPr="008479E5" w14:paraId="36C456D2" w14:textId="77777777" w:rsidTr="00044B3E">
        <w:tc>
          <w:tcPr>
            <w:tcW w:w="1143" w:type="dxa"/>
            <w:vMerge/>
            <w:vAlign w:val="center"/>
          </w:tcPr>
          <w:p w14:paraId="78CD3FC1" w14:textId="77777777" w:rsidR="00553B27" w:rsidRPr="008479E5" w:rsidRDefault="00553B27" w:rsidP="00910063">
            <w:pPr>
              <w:rPr>
                <w:rFonts w:cstheme="minorHAnsi"/>
              </w:rPr>
            </w:pPr>
          </w:p>
        </w:tc>
        <w:tc>
          <w:tcPr>
            <w:tcW w:w="1732" w:type="dxa"/>
            <w:vAlign w:val="center"/>
          </w:tcPr>
          <w:p w14:paraId="7513B8C2" w14:textId="541C0BEB" w:rsidR="00553B27" w:rsidRPr="008479E5" w:rsidRDefault="00553B27" w:rsidP="00910063">
            <w:pPr>
              <w:rPr>
                <w:rFonts w:cstheme="minorHAnsi"/>
              </w:rPr>
            </w:pPr>
            <w:r w:rsidRPr="008479E5">
              <w:rPr>
                <w:rFonts w:cstheme="minorHAnsi"/>
              </w:rPr>
              <w:t>Body and Blood Pressure Measures Form</w:t>
            </w:r>
          </w:p>
        </w:tc>
        <w:tc>
          <w:tcPr>
            <w:tcW w:w="1026" w:type="dxa"/>
            <w:vAlign w:val="center"/>
          </w:tcPr>
          <w:p w14:paraId="10A3EF2E" w14:textId="09A10029" w:rsidR="00553B27" w:rsidRPr="008479E5" w:rsidRDefault="00553B27" w:rsidP="00910063">
            <w:pPr>
              <w:jc w:val="center"/>
              <w:rPr>
                <w:rFonts w:cstheme="minorHAnsi"/>
              </w:rPr>
            </w:pPr>
            <w:r w:rsidRPr="008479E5">
              <w:rPr>
                <w:rFonts w:cstheme="minorHAnsi"/>
                <w:color w:val="000000"/>
              </w:rPr>
              <w:t>542</w:t>
            </w:r>
          </w:p>
        </w:tc>
        <w:tc>
          <w:tcPr>
            <w:tcW w:w="1026" w:type="dxa"/>
            <w:vAlign w:val="center"/>
          </w:tcPr>
          <w:p w14:paraId="7C1B5F32" w14:textId="121E3A63"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411FF6CD" w14:textId="5BF0A4FD" w:rsidR="00553B27" w:rsidRPr="008479E5" w:rsidRDefault="00553B27" w:rsidP="00910063">
            <w:pPr>
              <w:jc w:val="center"/>
              <w:rPr>
                <w:rFonts w:cstheme="minorHAnsi"/>
              </w:rPr>
            </w:pPr>
            <w:r w:rsidRPr="008479E5">
              <w:rPr>
                <w:rFonts w:cstheme="minorHAnsi"/>
                <w:color w:val="000000"/>
              </w:rPr>
              <w:t>5/60</w:t>
            </w:r>
          </w:p>
        </w:tc>
        <w:tc>
          <w:tcPr>
            <w:tcW w:w="1026" w:type="dxa"/>
            <w:vAlign w:val="center"/>
          </w:tcPr>
          <w:p w14:paraId="024BF736" w14:textId="3DBBDC49" w:rsidR="00553B27" w:rsidRPr="008479E5" w:rsidRDefault="00553B27" w:rsidP="00910063">
            <w:pPr>
              <w:jc w:val="center"/>
              <w:rPr>
                <w:rFonts w:cstheme="minorHAnsi"/>
              </w:rPr>
            </w:pPr>
            <w:r w:rsidRPr="008479E5">
              <w:rPr>
                <w:rFonts w:cstheme="minorHAnsi"/>
                <w:color w:val="000000"/>
              </w:rPr>
              <w:t>45</w:t>
            </w:r>
          </w:p>
        </w:tc>
        <w:tc>
          <w:tcPr>
            <w:tcW w:w="1026" w:type="dxa"/>
            <w:vAlign w:val="center"/>
          </w:tcPr>
          <w:p w14:paraId="375772D6" w14:textId="49C7FF6B"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30DD59A2" w14:textId="1821BDBD" w:rsidR="00553B27" w:rsidRPr="008479E5" w:rsidRDefault="00553B27" w:rsidP="00910063">
            <w:pPr>
              <w:jc w:val="center"/>
              <w:rPr>
                <w:rFonts w:cstheme="minorHAnsi"/>
              </w:rPr>
            </w:pPr>
            <w:r w:rsidRPr="008479E5">
              <w:rPr>
                <w:rFonts w:cstheme="minorHAnsi"/>
                <w:color w:val="000000"/>
              </w:rPr>
              <w:t>$1,099.36</w:t>
            </w:r>
          </w:p>
        </w:tc>
      </w:tr>
      <w:tr w:rsidR="00553B27" w:rsidRPr="008479E5" w14:paraId="188AD03C" w14:textId="77777777" w:rsidTr="00044B3E">
        <w:tc>
          <w:tcPr>
            <w:tcW w:w="1143" w:type="dxa"/>
            <w:vMerge/>
            <w:vAlign w:val="center"/>
          </w:tcPr>
          <w:p w14:paraId="25438E42" w14:textId="77777777" w:rsidR="00553B27" w:rsidRPr="008479E5" w:rsidRDefault="00553B27" w:rsidP="00910063">
            <w:pPr>
              <w:rPr>
                <w:rFonts w:cstheme="minorHAnsi"/>
              </w:rPr>
            </w:pPr>
          </w:p>
        </w:tc>
        <w:tc>
          <w:tcPr>
            <w:tcW w:w="1732" w:type="dxa"/>
            <w:vAlign w:val="center"/>
          </w:tcPr>
          <w:p w14:paraId="2BB536E5" w14:textId="154DEA17" w:rsidR="00553B27" w:rsidRPr="008479E5" w:rsidRDefault="00553B27" w:rsidP="00910063">
            <w:pPr>
              <w:rPr>
                <w:rFonts w:cstheme="minorHAnsi"/>
              </w:rPr>
            </w:pPr>
            <w:r w:rsidRPr="008479E5">
              <w:rPr>
                <w:rFonts w:cstheme="minorHAnsi"/>
              </w:rPr>
              <w:t>Blood Draw and Urine Collection Form</w:t>
            </w:r>
          </w:p>
        </w:tc>
        <w:tc>
          <w:tcPr>
            <w:tcW w:w="1026" w:type="dxa"/>
            <w:vAlign w:val="center"/>
          </w:tcPr>
          <w:p w14:paraId="6207BC84" w14:textId="28F3CB9E" w:rsidR="00553B27" w:rsidRPr="008479E5" w:rsidRDefault="00553B27" w:rsidP="00910063">
            <w:pPr>
              <w:jc w:val="center"/>
              <w:rPr>
                <w:rFonts w:cstheme="minorHAnsi"/>
              </w:rPr>
            </w:pPr>
            <w:r w:rsidRPr="008479E5">
              <w:rPr>
                <w:rFonts w:cstheme="minorHAnsi"/>
                <w:color w:val="000000"/>
              </w:rPr>
              <w:t>542</w:t>
            </w:r>
          </w:p>
        </w:tc>
        <w:tc>
          <w:tcPr>
            <w:tcW w:w="1026" w:type="dxa"/>
            <w:vAlign w:val="center"/>
          </w:tcPr>
          <w:p w14:paraId="5DD7FF2D" w14:textId="4A23DD4B"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4265386A" w14:textId="197D9E50" w:rsidR="00553B27" w:rsidRPr="008479E5" w:rsidRDefault="00553B27" w:rsidP="00910063">
            <w:pPr>
              <w:jc w:val="center"/>
              <w:rPr>
                <w:rFonts w:cstheme="minorHAnsi"/>
              </w:rPr>
            </w:pPr>
            <w:r w:rsidRPr="008479E5">
              <w:rPr>
                <w:rFonts w:cstheme="minorHAnsi"/>
                <w:color w:val="000000"/>
              </w:rPr>
              <w:t>10/60</w:t>
            </w:r>
          </w:p>
        </w:tc>
        <w:tc>
          <w:tcPr>
            <w:tcW w:w="1026" w:type="dxa"/>
            <w:vAlign w:val="center"/>
          </w:tcPr>
          <w:p w14:paraId="403216E5" w14:textId="4A6724EB" w:rsidR="00553B27" w:rsidRPr="008479E5" w:rsidRDefault="00553B27" w:rsidP="00910063">
            <w:pPr>
              <w:jc w:val="center"/>
              <w:rPr>
                <w:rFonts w:cstheme="minorHAnsi"/>
              </w:rPr>
            </w:pPr>
            <w:r w:rsidRPr="008479E5">
              <w:rPr>
                <w:rFonts w:cstheme="minorHAnsi"/>
                <w:color w:val="000000"/>
              </w:rPr>
              <w:t>90</w:t>
            </w:r>
          </w:p>
        </w:tc>
        <w:tc>
          <w:tcPr>
            <w:tcW w:w="1026" w:type="dxa"/>
            <w:vAlign w:val="center"/>
          </w:tcPr>
          <w:p w14:paraId="5CA5279B" w14:textId="189E99CB"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46ED4C09" w14:textId="6178CAA2" w:rsidR="00553B27" w:rsidRPr="008479E5" w:rsidRDefault="00553B27" w:rsidP="00910063">
            <w:pPr>
              <w:jc w:val="center"/>
              <w:rPr>
                <w:rFonts w:cstheme="minorHAnsi"/>
              </w:rPr>
            </w:pPr>
            <w:r w:rsidRPr="008479E5">
              <w:rPr>
                <w:rFonts w:cstheme="minorHAnsi"/>
                <w:color w:val="000000"/>
              </w:rPr>
              <w:t>$2,198.71</w:t>
            </w:r>
          </w:p>
        </w:tc>
      </w:tr>
      <w:tr w:rsidR="00553B27" w:rsidRPr="008479E5" w14:paraId="3686CF3D" w14:textId="77777777" w:rsidTr="00044B3E">
        <w:tc>
          <w:tcPr>
            <w:tcW w:w="1143" w:type="dxa"/>
            <w:vMerge/>
            <w:vAlign w:val="center"/>
          </w:tcPr>
          <w:p w14:paraId="206354E8" w14:textId="77777777" w:rsidR="00553B27" w:rsidRPr="008479E5" w:rsidRDefault="00553B27" w:rsidP="00910063">
            <w:pPr>
              <w:rPr>
                <w:rFonts w:cstheme="minorHAnsi"/>
              </w:rPr>
            </w:pPr>
          </w:p>
        </w:tc>
        <w:tc>
          <w:tcPr>
            <w:tcW w:w="1732" w:type="dxa"/>
            <w:vAlign w:val="center"/>
          </w:tcPr>
          <w:p w14:paraId="1DBD0A38" w14:textId="2A3216AB" w:rsidR="00553B27" w:rsidRPr="008479E5" w:rsidRDefault="00553B27" w:rsidP="00910063">
            <w:pPr>
              <w:rPr>
                <w:rFonts w:cstheme="minorHAnsi"/>
              </w:rPr>
            </w:pPr>
            <w:r w:rsidRPr="008479E5">
              <w:rPr>
                <w:rFonts w:cstheme="minorHAnsi"/>
              </w:rPr>
              <w:t>Adult Questionnaire</w:t>
            </w:r>
          </w:p>
        </w:tc>
        <w:tc>
          <w:tcPr>
            <w:tcW w:w="1026" w:type="dxa"/>
            <w:vAlign w:val="center"/>
          </w:tcPr>
          <w:p w14:paraId="783DDA2F" w14:textId="79CE9070" w:rsidR="00553B27" w:rsidRPr="008479E5" w:rsidRDefault="00553B27" w:rsidP="00910063">
            <w:pPr>
              <w:jc w:val="center"/>
              <w:rPr>
                <w:rFonts w:cstheme="minorHAnsi"/>
              </w:rPr>
            </w:pPr>
            <w:r w:rsidRPr="008479E5">
              <w:rPr>
                <w:rFonts w:cstheme="minorHAnsi"/>
                <w:color w:val="000000"/>
              </w:rPr>
              <w:t>367</w:t>
            </w:r>
          </w:p>
        </w:tc>
        <w:tc>
          <w:tcPr>
            <w:tcW w:w="1026" w:type="dxa"/>
            <w:vAlign w:val="center"/>
          </w:tcPr>
          <w:p w14:paraId="77E84717" w14:textId="12327508"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24FC2DAD" w14:textId="561C9752" w:rsidR="00553B27" w:rsidRPr="008479E5" w:rsidRDefault="00553B27" w:rsidP="00910063">
            <w:pPr>
              <w:jc w:val="center"/>
              <w:rPr>
                <w:rFonts w:cstheme="minorHAnsi"/>
              </w:rPr>
            </w:pPr>
            <w:r w:rsidRPr="008479E5">
              <w:rPr>
                <w:rFonts w:cstheme="minorHAnsi"/>
                <w:color w:val="000000"/>
              </w:rPr>
              <w:t>30/60</w:t>
            </w:r>
          </w:p>
        </w:tc>
        <w:tc>
          <w:tcPr>
            <w:tcW w:w="1026" w:type="dxa"/>
            <w:vAlign w:val="center"/>
          </w:tcPr>
          <w:p w14:paraId="7971041C" w14:textId="0BF94AC6" w:rsidR="00553B27" w:rsidRPr="008479E5" w:rsidRDefault="00553B27" w:rsidP="00910063">
            <w:pPr>
              <w:jc w:val="center"/>
              <w:rPr>
                <w:rFonts w:cstheme="minorHAnsi"/>
              </w:rPr>
            </w:pPr>
            <w:r w:rsidRPr="008479E5">
              <w:rPr>
                <w:rFonts w:cstheme="minorHAnsi"/>
                <w:color w:val="000000"/>
              </w:rPr>
              <w:t>183</w:t>
            </w:r>
          </w:p>
        </w:tc>
        <w:tc>
          <w:tcPr>
            <w:tcW w:w="1026" w:type="dxa"/>
            <w:vAlign w:val="center"/>
          </w:tcPr>
          <w:p w14:paraId="7FB7A433" w14:textId="177EC622"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43232673" w14:textId="720293EC" w:rsidR="00553B27" w:rsidRPr="008479E5" w:rsidRDefault="00553B27" w:rsidP="00910063">
            <w:pPr>
              <w:jc w:val="center"/>
              <w:rPr>
                <w:rFonts w:cstheme="minorHAnsi"/>
              </w:rPr>
            </w:pPr>
            <w:r w:rsidRPr="008479E5">
              <w:rPr>
                <w:rFonts w:cstheme="minorHAnsi"/>
                <w:color w:val="000000"/>
              </w:rPr>
              <w:t>$4,466.39</w:t>
            </w:r>
          </w:p>
        </w:tc>
      </w:tr>
      <w:tr w:rsidR="00553B27" w:rsidRPr="008479E5" w14:paraId="3B62CA51" w14:textId="77777777" w:rsidTr="00044B3E">
        <w:tc>
          <w:tcPr>
            <w:tcW w:w="1143" w:type="dxa"/>
            <w:vMerge/>
            <w:vAlign w:val="center"/>
          </w:tcPr>
          <w:p w14:paraId="6CC9193F" w14:textId="77777777" w:rsidR="00553B27" w:rsidRPr="008479E5" w:rsidRDefault="00553B27" w:rsidP="00910063">
            <w:pPr>
              <w:rPr>
                <w:rFonts w:cstheme="minorHAnsi"/>
              </w:rPr>
            </w:pPr>
          </w:p>
        </w:tc>
        <w:tc>
          <w:tcPr>
            <w:tcW w:w="1732" w:type="dxa"/>
            <w:vAlign w:val="center"/>
          </w:tcPr>
          <w:p w14:paraId="79DA67AA" w14:textId="2EAE03D9" w:rsidR="00553B27" w:rsidRPr="008479E5" w:rsidRDefault="00553B27" w:rsidP="00910063">
            <w:pPr>
              <w:rPr>
                <w:rFonts w:cstheme="minorHAnsi"/>
              </w:rPr>
            </w:pPr>
            <w:r w:rsidRPr="008479E5">
              <w:rPr>
                <w:rFonts w:cstheme="minorHAnsi"/>
              </w:rPr>
              <w:t>Child Questionnaire – Long Form</w:t>
            </w:r>
          </w:p>
        </w:tc>
        <w:tc>
          <w:tcPr>
            <w:tcW w:w="1026" w:type="dxa"/>
            <w:vAlign w:val="center"/>
          </w:tcPr>
          <w:p w14:paraId="4AC7E69C" w14:textId="73708D36" w:rsidR="00553B27" w:rsidRPr="008479E5" w:rsidRDefault="00553B27" w:rsidP="00910063">
            <w:pPr>
              <w:jc w:val="center"/>
              <w:rPr>
                <w:rFonts w:cstheme="minorHAnsi"/>
              </w:rPr>
            </w:pPr>
            <w:r w:rsidRPr="008479E5">
              <w:rPr>
                <w:rFonts w:cstheme="minorHAnsi"/>
                <w:color w:val="000000"/>
              </w:rPr>
              <w:t>140</w:t>
            </w:r>
          </w:p>
        </w:tc>
        <w:tc>
          <w:tcPr>
            <w:tcW w:w="1026" w:type="dxa"/>
            <w:vAlign w:val="center"/>
          </w:tcPr>
          <w:p w14:paraId="71E6C044" w14:textId="708B540F"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3C6AE97D" w14:textId="1986CE96" w:rsidR="00553B27" w:rsidRPr="008479E5" w:rsidRDefault="00553B27" w:rsidP="00910063">
            <w:pPr>
              <w:jc w:val="center"/>
              <w:rPr>
                <w:rFonts w:cstheme="minorHAnsi"/>
              </w:rPr>
            </w:pPr>
            <w:r w:rsidRPr="008479E5">
              <w:rPr>
                <w:rFonts w:cstheme="minorHAnsi"/>
                <w:color w:val="000000"/>
              </w:rPr>
              <w:t>30/60</w:t>
            </w:r>
          </w:p>
        </w:tc>
        <w:tc>
          <w:tcPr>
            <w:tcW w:w="1026" w:type="dxa"/>
            <w:vAlign w:val="center"/>
          </w:tcPr>
          <w:p w14:paraId="6C8C32C1" w14:textId="6C8D7DBA" w:rsidR="00553B27" w:rsidRPr="008479E5" w:rsidRDefault="00553B27" w:rsidP="00910063">
            <w:pPr>
              <w:jc w:val="center"/>
              <w:rPr>
                <w:rFonts w:cstheme="minorHAnsi"/>
              </w:rPr>
            </w:pPr>
            <w:r w:rsidRPr="008479E5">
              <w:rPr>
                <w:rFonts w:cstheme="minorHAnsi"/>
                <w:color w:val="000000"/>
              </w:rPr>
              <w:t>70</w:t>
            </w:r>
          </w:p>
        </w:tc>
        <w:tc>
          <w:tcPr>
            <w:tcW w:w="1026" w:type="dxa"/>
            <w:vAlign w:val="center"/>
          </w:tcPr>
          <w:p w14:paraId="598407DA" w14:textId="7583C178"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392E2C35" w14:textId="67F1B43A" w:rsidR="00553B27" w:rsidRPr="008479E5" w:rsidRDefault="00553B27" w:rsidP="00910063">
            <w:pPr>
              <w:jc w:val="center"/>
              <w:rPr>
                <w:rFonts w:cstheme="minorHAnsi"/>
              </w:rPr>
            </w:pPr>
            <w:r w:rsidRPr="008479E5">
              <w:rPr>
                <w:rFonts w:cstheme="minorHAnsi"/>
                <w:color w:val="000000"/>
              </w:rPr>
              <w:t>$1,703.80</w:t>
            </w:r>
          </w:p>
        </w:tc>
      </w:tr>
      <w:tr w:rsidR="00553B27" w:rsidRPr="008479E5" w14:paraId="3D1711E5" w14:textId="77777777" w:rsidTr="00044B3E">
        <w:tc>
          <w:tcPr>
            <w:tcW w:w="1143" w:type="dxa"/>
            <w:vMerge/>
            <w:vAlign w:val="center"/>
          </w:tcPr>
          <w:p w14:paraId="57F84FD4" w14:textId="77777777" w:rsidR="00553B27" w:rsidRPr="008479E5" w:rsidRDefault="00553B27" w:rsidP="00910063">
            <w:pPr>
              <w:rPr>
                <w:rFonts w:cstheme="minorHAnsi"/>
              </w:rPr>
            </w:pPr>
          </w:p>
        </w:tc>
        <w:tc>
          <w:tcPr>
            <w:tcW w:w="1732" w:type="dxa"/>
            <w:vAlign w:val="center"/>
          </w:tcPr>
          <w:p w14:paraId="6C1B6004" w14:textId="1275B8C5" w:rsidR="00553B27" w:rsidRPr="008479E5" w:rsidRDefault="00553B27" w:rsidP="00910063">
            <w:pPr>
              <w:rPr>
                <w:rFonts w:cstheme="minorHAnsi"/>
              </w:rPr>
            </w:pPr>
            <w:r w:rsidRPr="008479E5">
              <w:rPr>
                <w:rFonts w:cstheme="minorHAnsi"/>
              </w:rPr>
              <w:t>Child Questionnaire – Short Form</w:t>
            </w:r>
          </w:p>
        </w:tc>
        <w:tc>
          <w:tcPr>
            <w:tcW w:w="1026" w:type="dxa"/>
            <w:vAlign w:val="center"/>
          </w:tcPr>
          <w:p w14:paraId="713F57C9" w14:textId="7E4AA18D" w:rsidR="00553B27" w:rsidRPr="008479E5" w:rsidRDefault="00553B27" w:rsidP="00910063">
            <w:pPr>
              <w:jc w:val="center"/>
              <w:rPr>
                <w:rFonts w:cstheme="minorHAnsi"/>
              </w:rPr>
            </w:pPr>
            <w:r w:rsidRPr="008479E5">
              <w:rPr>
                <w:rFonts w:cstheme="minorHAnsi"/>
                <w:color w:val="000000"/>
              </w:rPr>
              <w:t>35</w:t>
            </w:r>
          </w:p>
        </w:tc>
        <w:tc>
          <w:tcPr>
            <w:tcW w:w="1026" w:type="dxa"/>
            <w:vAlign w:val="center"/>
          </w:tcPr>
          <w:p w14:paraId="2617AE3C" w14:textId="676BFDE0"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75840325" w14:textId="10667F26" w:rsidR="00553B27" w:rsidRPr="008479E5" w:rsidRDefault="00553B27" w:rsidP="00910063">
            <w:pPr>
              <w:jc w:val="center"/>
              <w:rPr>
                <w:rFonts w:cstheme="minorHAnsi"/>
              </w:rPr>
            </w:pPr>
            <w:r w:rsidRPr="008479E5">
              <w:rPr>
                <w:rFonts w:cstheme="minorHAnsi"/>
                <w:color w:val="000000"/>
              </w:rPr>
              <w:t>15/60</w:t>
            </w:r>
          </w:p>
        </w:tc>
        <w:tc>
          <w:tcPr>
            <w:tcW w:w="1026" w:type="dxa"/>
            <w:vAlign w:val="center"/>
          </w:tcPr>
          <w:p w14:paraId="647989FE" w14:textId="7A13CCFD" w:rsidR="00553B27" w:rsidRPr="008479E5" w:rsidRDefault="00553B27" w:rsidP="00910063">
            <w:pPr>
              <w:jc w:val="center"/>
              <w:rPr>
                <w:rFonts w:cstheme="minorHAnsi"/>
              </w:rPr>
            </w:pPr>
            <w:r w:rsidRPr="008479E5">
              <w:rPr>
                <w:rFonts w:cstheme="minorHAnsi"/>
                <w:color w:val="000000"/>
              </w:rPr>
              <w:t>9</w:t>
            </w:r>
          </w:p>
        </w:tc>
        <w:tc>
          <w:tcPr>
            <w:tcW w:w="1026" w:type="dxa"/>
            <w:vAlign w:val="center"/>
          </w:tcPr>
          <w:p w14:paraId="25AFB050" w14:textId="5AA1FE7F"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600BBB23" w14:textId="3E9BF9B3" w:rsidR="00553B27" w:rsidRPr="008479E5" w:rsidRDefault="00553B27" w:rsidP="00910063">
            <w:pPr>
              <w:jc w:val="center"/>
              <w:rPr>
                <w:rFonts w:cstheme="minorHAnsi"/>
              </w:rPr>
            </w:pPr>
            <w:r w:rsidRPr="008479E5">
              <w:rPr>
                <w:rFonts w:cstheme="minorHAnsi"/>
                <w:color w:val="000000"/>
              </w:rPr>
              <w:t>$212.98</w:t>
            </w:r>
          </w:p>
        </w:tc>
      </w:tr>
      <w:tr w:rsidR="00553B27" w:rsidRPr="008479E5" w14:paraId="1EEF8EB2" w14:textId="77777777" w:rsidTr="00044B3E">
        <w:tc>
          <w:tcPr>
            <w:tcW w:w="1143" w:type="dxa"/>
            <w:vMerge/>
            <w:vAlign w:val="center"/>
          </w:tcPr>
          <w:p w14:paraId="39165269" w14:textId="77777777" w:rsidR="00553B27" w:rsidRPr="008479E5" w:rsidRDefault="00553B27" w:rsidP="00910063">
            <w:pPr>
              <w:rPr>
                <w:rFonts w:cstheme="minorHAnsi"/>
              </w:rPr>
            </w:pPr>
          </w:p>
        </w:tc>
        <w:tc>
          <w:tcPr>
            <w:tcW w:w="1732" w:type="dxa"/>
            <w:vAlign w:val="center"/>
          </w:tcPr>
          <w:p w14:paraId="28646647" w14:textId="70F4D891" w:rsidR="00553B27" w:rsidRPr="008479E5" w:rsidRDefault="00553B27" w:rsidP="00910063">
            <w:pPr>
              <w:rPr>
                <w:rFonts w:cstheme="minorHAnsi"/>
              </w:rPr>
            </w:pPr>
            <w:r w:rsidRPr="008479E5">
              <w:rPr>
                <w:rFonts w:cstheme="minorHAnsi"/>
              </w:rPr>
              <w:t>Parent Neurobehavioral Test Battery</w:t>
            </w:r>
          </w:p>
        </w:tc>
        <w:tc>
          <w:tcPr>
            <w:tcW w:w="1026" w:type="dxa"/>
            <w:vAlign w:val="center"/>
          </w:tcPr>
          <w:p w14:paraId="2EB48D5B" w14:textId="688825C9" w:rsidR="00553B27" w:rsidRPr="008479E5" w:rsidRDefault="00553B27" w:rsidP="00910063">
            <w:pPr>
              <w:jc w:val="center"/>
              <w:rPr>
                <w:rFonts w:cstheme="minorHAnsi"/>
              </w:rPr>
            </w:pPr>
            <w:r w:rsidRPr="008479E5">
              <w:rPr>
                <w:rFonts w:cstheme="minorHAnsi"/>
                <w:color w:val="000000"/>
              </w:rPr>
              <w:t>175</w:t>
            </w:r>
          </w:p>
        </w:tc>
        <w:tc>
          <w:tcPr>
            <w:tcW w:w="1026" w:type="dxa"/>
            <w:vAlign w:val="center"/>
          </w:tcPr>
          <w:p w14:paraId="5F9FB48C" w14:textId="1055E642"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0CDE4C8F" w14:textId="2444AD17" w:rsidR="00553B27" w:rsidRPr="008479E5" w:rsidRDefault="00553B27" w:rsidP="00910063">
            <w:pPr>
              <w:jc w:val="center"/>
              <w:rPr>
                <w:rFonts w:cstheme="minorHAnsi"/>
              </w:rPr>
            </w:pPr>
            <w:r w:rsidRPr="008479E5">
              <w:rPr>
                <w:rFonts w:cstheme="minorHAnsi"/>
                <w:color w:val="000000"/>
              </w:rPr>
              <w:t>15/60</w:t>
            </w:r>
          </w:p>
        </w:tc>
        <w:tc>
          <w:tcPr>
            <w:tcW w:w="1026" w:type="dxa"/>
            <w:vAlign w:val="center"/>
          </w:tcPr>
          <w:p w14:paraId="472BBA6D" w14:textId="357383DE" w:rsidR="00553B27" w:rsidRPr="008479E5" w:rsidRDefault="00553B27" w:rsidP="00910063">
            <w:pPr>
              <w:jc w:val="center"/>
              <w:rPr>
                <w:rFonts w:cstheme="minorHAnsi"/>
              </w:rPr>
            </w:pPr>
            <w:r w:rsidRPr="008479E5">
              <w:rPr>
                <w:rFonts w:cstheme="minorHAnsi"/>
                <w:color w:val="000000"/>
              </w:rPr>
              <w:t>44</w:t>
            </w:r>
          </w:p>
        </w:tc>
        <w:tc>
          <w:tcPr>
            <w:tcW w:w="1026" w:type="dxa"/>
            <w:vAlign w:val="center"/>
          </w:tcPr>
          <w:p w14:paraId="739BD571" w14:textId="13AD292D"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3C5834D4" w14:textId="00C71FB3" w:rsidR="00553B27" w:rsidRPr="008479E5" w:rsidRDefault="00553B27" w:rsidP="00910063">
            <w:pPr>
              <w:jc w:val="center"/>
              <w:rPr>
                <w:rFonts w:cstheme="minorHAnsi"/>
              </w:rPr>
            </w:pPr>
            <w:r w:rsidRPr="008479E5">
              <w:rPr>
                <w:rFonts w:cstheme="minorHAnsi"/>
                <w:color w:val="000000"/>
              </w:rPr>
              <w:t>$1,064.88</w:t>
            </w:r>
          </w:p>
        </w:tc>
      </w:tr>
      <w:tr w:rsidR="00553B27" w:rsidRPr="008479E5" w14:paraId="37E0FA8A" w14:textId="77777777" w:rsidTr="00044B3E">
        <w:tc>
          <w:tcPr>
            <w:tcW w:w="1143" w:type="dxa"/>
            <w:vMerge/>
            <w:vAlign w:val="center"/>
          </w:tcPr>
          <w:p w14:paraId="674208CB" w14:textId="77777777" w:rsidR="00553B27" w:rsidRPr="008479E5" w:rsidRDefault="00553B27" w:rsidP="00910063">
            <w:pPr>
              <w:rPr>
                <w:rFonts w:cstheme="minorHAnsi"/>
              </w:rPr>
            </w:pPr>
          </w:p>
        </w:tc>
        <w:tc>
          <w:tcPr>
            <w:tcW w:w="1732" w:type="dxa"/>
            <w:vAlign w:val="center"/>
          </w:tcPr>
          <w:p w14:paraId="6B58548C" w14:textId="366BFE1C" w:rsidR="00553B27" w:rsidRPr="008479E5" w:rsidRDefault="00553B27" w:rsidP="00910063">
            <w:pPr>
              <w:rPr>
                <w:rFonts w:cstheme="minorHAnsi"/>
              </w:rPr>
            </w:pPr>
            <w:r w:rsidRPr="008479E5">
              <w:rPr>
                <w:rFonts w:cstheme="minorHAnsi"/>
              </w:rPr>
              <w:t>Child Neurobehavioral Test Battery</w:t>
            </w:r>
          </w:p>
        </w:tc>
        <w:tc>
          <w:tcPr>
            <w:tcW w:w="1026" w:type="dxa"/>
            <w:vAlign w:val="center"/>
          </w:tcPr>
          <w:p w14:paraId="36B061EA" w14:textId="11A3CB7A" w:rsidR="00553B27" w:rsidRPr="008479E5" w:rsidRDefault="00553B27" w:rsidP="00910063">
            <w:pPr>
              <w:jc w:val="center"/>
              <w:rPr>
                <w:rFonts w:cstheme="minorHAnsi"/>
              </w:rPr>
            </w:pPr>
            <w:r w:rsidRPr="008479E5">
              <w:rPr>
                <w:rFonts w:cstheme="minorHAnsi"/>
                <w:color w:val="000000"/>
              </w:rPr>
              <w:t>175</w:t>
            </w:r>
          </w:p>
        </w:tc>
        <w:tc>
          <w:tcPr>
            <w:tcW w:w="1026" w:type="dxa"/>
            <w:vAlign w:val="center"/>
          </w:tcPr>
          <w:p w14:paraId="27A92CF2" w14:textId="4BB1D0D8" w:rsidR="00553B27" w:rsidRPr="008479E5" w:rsidRDefault="00553B27" w:rsidP="00910063">
            <w:pPr>
              <w:jc w:val="center"/>
              <w:rPr>
                <w:rFonts w:cstheme="minorHAnsi"/>
              </w:rPr>
            </w:pPr>
            <w:r w:rsidRPr="008479E5">
              <w:rPr>
                <w:rFonts w:cstheme="minorHAnsi"/>
                <w:color w:val="000000"/>
              </w:rPr>
              <w:t>1</w:t>
            </w:r>
          </w:p>
        </w:tc>
        <w:tc>
          <w:tcPr>
            <w:tcW w:w="1026" w:type="dxa"/>
            <w:vAlign w:val="center"/>
          </w:tcPr>
          <w:p w14:paraId="202DF8B6" w14:textId="14A95FE5" w:rsidR="00553B27" w:rsidRPr="008479E5" w:rsidRDefault="00553B27" w:rsidP="00910063">
            <w:pPr>
              <w:jc w:val="center"/>
              <w:rPr>
                <w:rFonts w:cstheme="minorHAnsi"/>
              </w:rPr>
            </w:pPr>
            <w:r w:rsidRPr="008479E5">
              <w:rPr>
                <w:rFonts w:cstheme="minorHAnsi"/>
                <w:color w:val="000000"/>
              </w:rPr>
              <w:t>90/60</w:t>
            </w:r>
          </w:p>
        </w:tc>
        <w:tc>
          <w:tcPr>
            <w:tcW w:w="1026" w:type="dxa"/>
            <w:vAlign w:val="center"/>
          </w:tcPr>
          <w:p w14:paraId="1EAB2BD2" w14:textId="4F3BF3E7" w:rsidR="00553B27" w:rsidRPr="008479E5" w:rsidRDefault="00553B27" w:rsidP="00910063">
            <w:pPr>
              <w:jc w:val="center"/>
              <w:rPr>
                <w:rFonts w:cstheme="minorHAnsi"/>
              </w:rPr>
            </w:pPr>
            <w:r w:rsidRPr="008479E5">
              <w:rPr>
                <w:rFonts w:cstheme="minorHAnsi"/>
                <w:color w:val="000000"/>
              </w:rPr>
              <w:t>263</w:t>
            </w:r>
          </w:p>
        </w:tc>
        <w:tc>
          <w:tcPr>
            <w:tcW w:w="1026" w:type="dxa"/>
            <w:vAlign w:val="center"/>
          </w:tcPr>
          <w:p w14:paraId="27BCD8A1" w14:textId="7511716C" w:rsidR="00553B27" w:rsidRPr="008479E5" w:rsidRDefault="00553B27" w:rsidP="00910063">
            <w:pPr>
              <w:jc w:val="center"/>
              <w:rPr>
                <w:rFonts w:cstheme="minorHAnsi"/>
              </w:rPr>
            </w:pPr>
            <w:r w:rsidRPr="008479E5">
              <w:rPr>
                <w:rFonts w:eastAsia="Times New Roman" w:cstheme="minorHAnsi"/>
              </w:rPr>
              <w:t>$24.34</w:t>
            </w:r>
          </w:p>
        </w:tc>
        <w:tc>
          <w:tcPr>
            <w:tcW w:w="1345" w:type="dxa"/>
            <w:vAlign w:val="center"/>
          </w:tcPr>
          <w:p w14:paraId="12CF5AF4" w14:textId="7217B711" w:rsidR="00553B27" w:rsidRPr="008479E5" w:rsidRDefault="00553B27" w:rsidP="00910063">
            <w:pPr>
              <w:jc w:val="center"/>
              <w:rPr>
                <w:rFonts w:cstheme="minorHAnsi"/>
              </w:rPr>
            </w:pPr>
            <w:r w:rsidRPr="008479E5">
              <w:rPr>
                <w:rFonts w:cstheme="minorHAnsi"/>
                <w:color w:val="000000"/>
              </w:rPr>
              <w:t>$6,389.25</w:t>
            </w:r>
          </w:p>
        </w:tc>
      </w:tr>
      <w:tr w:rsidR="00F716E0" w:rsidRPr="008479E5" w14:paraId="738F146D" w14:textId="77777777" w:rsidTr="00044B3E">
        <w:tc>
          <w:tcPr>
            <w:tcW w:w="1143" w:type="dxa"/>
            <w:vAlign w:val="center"/>
          </w:tcPr>
          <w:p w14:paraId="4CF846F1" w14:textId="24A73D78" w:rsidR="00F716E0" w:rsidRPr="008479E5" w:rsidRDefault="00F716E0" w:rsidP="00F716E0">
            <w:pPr>
              <w:jc w:val="center"/>
              <w:rPr>
                <w:rFonts w:cstheme="minorHAnsi"/>
              </w:rPr>
            </w:pPr>
            <w:r w:rsidRPr="008479E5">
              <w:rPr>
                <w:rFonts w:cstheme="minorHAnsi"/>
              </w:rPr>
              <w:t>Education Specialists</w:t>
            </w:r>
          </w:p>
        </w:tc>
        <w:tc>
          <w:tcPr>
            <w:tcW w:w="1732" w:type="dxa"/>
            <w:vAlign w:val="center"/>
          </w:tcPr>
          <w:p w14:paraId="6BC657FA" w14:textId="6D96A2EF" w:rsidR="00F716E0" w:rsidRPr="008479E5" w:rsidRDefault="00F716E0" w:rsidP="00F716E0">
            <w:pPr>
              <w:rPr>
                <w:rFonts w:cstheme="minorHAnsi"/>
              </w:rPr>
            </w:pPr>
            <w:r w:rsidRPr="008479E5">
              <w:rPr>
                <w:rFonts w:cstheme="minorHAnsi"/>
              </w:rPr>
              <w:t xml:space="preserve">Child School Record Abstraction Form </w:t>
            </w:r>
          </w:p>
        </w:tc>
        <w:tc>
          <w:tcPr>
            <w:tcW w:w="1026" w:type="dxa"/>
            <w:vAlign w:val="center"/>
          </w:tcPr>
          <w:p w14:paraId="3329F627" w14:textId="03BBDA35" w:rsidR="00F716E0" w:rsidRPr="008479E5" w:rsidRDefault="00F716E0" w:rsidP="00F716E0">
            <w:pPr>
              <w:jc w:val="center"/>
              <w:rPr>
                <w:rFonts w:cstheme="minorHAnsi"/>
              </w:rPr>
            </w:pPr>
            <w:r w:rsidRPr="008479E5">
              <w:rPr>
                <w:rFonts w:cstheme="minorHAnsi"/>
                <w:color w:val="000000"/>
              </w:rPr>
              <w:t>15</w:t>
            </w:r>
          </w:p>
        </w:tc>
        <w:tc>
          <w:tcPr>
            <w:tcW w:w="1026" w:type="dxa"/>
            <w:vAlign w:val="center"/>
          </w:tcPr>
          <w:p w14:paraId="6BD4F209" w14:textId="3462CAC3" w:rsidR="00F716E0" w:rsidRPr="008479E5" w:rsidRDefault="00F716E0" w:rsidP="00F716E0">
            <w:pPr>
              <w:jc w:val="center"/>
              <w:rPr>
                <w:rFonts w:cstheme="minorHAnsi"/>
              </w:rPr>
            </w:pPr>
            <w:r w:rsidRPr="008479E5">
              <w:rPr>
                <w:rFonts w:cstheme="minorHAnsi"/>
                <w:color w:val="000000"/>
              </w:rPr>
              <w:t>12</w:t>
            </w:r>
          </w:p>
        </w:tc>
        <w:tc>
          <w:tcPr>
            <w:tcW w:w="1026" w:type="dxa"/>
            <w:vAlign w:val="center"/>
          </w:tcPr>
          <w:p w14:paraId="63562220" w14:textId="25BC8C0D" w:rsidR="00F716E0" w:rsidRPr="008479E5" w:rsidRDefault="00F716E0" w:rsidP="00F716E0">
            <w:pPr>
              <w:jc w:val="center"/>
              <w:rPr>
                <w:rFonts w:cstheme="minorHAnsi"/>
              </w:rPr>
            </w:pPr>
            <w:r w:rsidRPr="008479E5">
              <w:rPr>
                <w:rFonts w:cstheme="minorHAnsi"/>
                <w:color w:val="000000"/>
              </w:rPr>
              <w:t>20/60</w:t>
            </w:r>
          </w:p>
        </w:tc>
        <w:tc>
          <w:tcPr>
            <w:tcW w:w="1026" w:type="dxa"/>
            <w:vAlign w:val="center"/>
          </w:tcPr>
          <w:p w14:paraId="7A682453" w14:textId="4B8555EB" w:rsidR="00F716E0" w:rsidRPr="008479E5" w:rsidRDefault="00F716E0" w:rsidP="00F716E0">
            <w:pPr>
              <w:jc w:val="center"/>
              <w:rPr>
                <w:rFonts w:cstheme="minorHAnsi"/>
              </w:rPr>
            </w:pPr>
            <w:r w:rsidRPr="008479E5">
              <w:rPr>
                <w:rFonts w:cstheme="minorHAnsi"/>
                <w:color w:val="000000"/>
              </w:rPr>
              <w:t>58</w:t>
            </w:r>
          </w:p>
        </w:tc>
        <w:tc>
          <w:tcPr>
            <w:tcW w:w="1026" w:type="dxa"/>
            <w:vAlign w:val="center"/>
          </w:tcPr>
          <w:p w14:paraId="08468A47" w14:textId="3217DD93" w:rsidR="00F716E0" w:rsidRPr="008479E5" w:rsidRDefault="00F716E0" w:rsidP="00F716E0">
            <w:pPr>
              <w:jc w:val="center"/>
              <w:rPr>
                <w:rFonts w:cstheme="minorHAnsi"/>
              </w:rPr>
            </w:pPr>
            <w:r w:rsidRPr="008479E5">
              <w:rPr>
                <w:rFonts w:eastAsia="Times New Roman" w:cstheme="minorHAnsi"/>
              </w:rPr>
              <w:t>$22.69</w:t>
            </w:r>
          </w:p>
        </w:tc>
        <w:tc>
          <w:tcPr>
            <w:tcW w:w="1345" w:type="dxa"/>
            <w:vAlign w:val="center"/>
          </w:tcPr>
          <w:p w14:paraId="15337EAB" w14:textId="58AECABD" w:rsidR="00F716E0" w:rsidRPr="008479E5" w:rsidRDefault="00F716E0" w:rsidP="00F716E0">
            <w:pPr>
              <w:jc w:val="center"/>
              <w:rPr>
                <w:rFonts w:cstheme="minorHAnsi"/>
              </w:rPr>
            </w:pPr>
            <w:r w:rsidRPr="008479E5">
              <w:rPr>
                <w:rFonts w:cstheme="minorHAnsi"/>
                <w:color w:val="000000"/>
              </w:rPr>
              <w:t xml:space="preserve">$1,361.40 </w:t>
            </w:r>
          </w:p>
        </w:tc>
      </w:tr>
      <w:tr w:rsidR="00F716E0" w:rsidRPr="008479E5" w14:paraId="10553C81" w14:textId="77777777" w:rsidTr="00044B3E">
        <w:tc>
          <w:tcPr>
            <w:tcW w:w="1143" w:type="dxa"/>
            <w:vMerge w:val="restart"/>
            <w:vAlign w:val="center"/>
          </w:tcPr>
          <w:p w14:paraId="530F7D2D" w14:textId="3EEDFD3D" w:rsidR="00F716E0" w:rsidRPr="008479E5" w:rsidRDefault="00F716E0" w:rsidP="00F716E0">
            <w:pPr>
              <w:jc w:val="center"/>
              <w:rPr>
                <w:rFonts w:cstheme="minorHAnsi"/>
              </w:rPr>
            </w:pPr>
            <w:r w:rsidRPr="008479E5">
              <w:rPr>
                <w:rFonts w:cstheme="minorHAnsi"/>
              </w:rPr>
              <w:t>Medical Record Specialists</w:t>
            </w:r>
          </w:p>
        </w:tc>
        <w:tc>
          <w:tcPr>
            <w:tcW w:w="1732" w:type="dxa"/>
            <w:vAlign w:val="center"/>
          </w:tcPr>
          <w:p w14:paraId="144210A0" w14:textId="58394E1A" w:rsidR="00F716E0" w:rsidRPr="008479E5" w:rsidRDefault="00F716E0" w:rsidP="00F716E0">
            <w:pPr>
              <w:rPr>
                <w:rFonts w:cstheme="minorHAnsi"/>
              </w:rPr>
            </w:pPr>
            <w:r w:rsidRPr="008479E5">
              <w:rPr>
                <w:rFonts w:cstheme="minorHAnsi"/>
              </w:rPr>
              <w:t>Medical Record Abstraction Form - Adult</w:t>
            </w:r>
          </w:p>
        </w:tc>
        <w:tc>
          <w:tcPr>
            <w:tcW w:w="1026" w:type="dxa"/>
            <w:vAlign w:val="center"/>
          </w:tcPr>
          <w:p w14:paraId="45848578" w14:textId="44A4AA4C" w:rsidR="00F716E0" w:rsidRPr="008479E5" w:rsidRDefault="00F716E0" w:rsidP="00F716E0">
            <w:pPr>
              <w:jc w:val="center"/>
              <w:rPr>
                <w:rFonts w:cstheme="minorHAnsi"/>
              </w:rPr>
            </w:pPr>
            <w:r w:rsidRPr="008479E5">
              <w:rPr>
                <w:rFonts w:cstheme="minorHAnsi"/>
                <w:color w:val="000000"/>
              </w:rPr>
              <w:t>25</w:t>
            </w:r>
          </w:p>
        </w:tc>
        <w:tc>
          <w:tcPr>
            <w:tcW w:w="1026" w:type="dxa"/>
            <w:vAlign w:val="center"/>
          </w:tcPr>
          <w:p w14:paraId="0801210B" w14:textId="2D442EAE" w:rsidR="00F716E0" w:rsidRPr="008479E5" w:rsidRDefault="00F716E0" w:rsidP="00F716E0">
            <w:pPr>
              <w:jc w:val="center"/>
              <w:rPr>
                <w:rFonts w:cstheme="minorHAnsi"/>
              </w:rPr>
            </w:pPr>
            <w:r w:rsidRPr="008479E5">
              <w:rPr>
                <w:rFonts w:cstheme="minorHAnsi"/>
                <w:color w:val="000000"/>
              </w:rPr>
              <w:t>15</w:t>
            </w:r>
          </w:p>
        </w:tc>
        <w:tc>
          <w:tcPr>
            <w:tcW w:w="1026" w:type="dxa"/>
            <w:vAlign w:val="center"/>
          </w:tcPr>
          <w:p w14:paraId="2E5D4B4F" w14:textId="61D02BF6" w:rsidR="00F716E0" w:rsidRPr="008479E5" w:rsidRDefault="00F716E0" w:rsidP="00F716E0">
            <w:pPr>
              <w:jc w:val="center"/>
              <w:rPr>
                <w:rFonts w:cstheme="minorHAnsi"/>
              </w:rPr>
            </w:pPr>
            <w:r w:rsidRPr="008479E5">
              <w:rPr>
                <w:rFonts w:cstheme="minorHAnsi"/>
                <w:color w:val="000000"/>
              </w:rPr>
              <w:t>20/60</w:t>
            </w:r>
          </w:p>
        </w:tc>
        <w:tc>
          <w:tcPr>
            <w:tcW w:w="1026" w:type="dxa"/>
            <w:vAlign w:val="center"/>
          </w:tcPr>
          <w:p w14:paraId="4C1EE4E6" w14:textId="7C260630" w:rsidR="00F716E0" w:rsidRPr="008479E5" w:rsidRDefault="00F716E0" w:rsidP="00F716E0">
            <w:pPr>
              <w:jc w:val="center"/>
              <w:rPr>
                <w:rFonts w:cstheme="minorHAnsi"/>
              </w:rPr>
            </w:pPr>
            <w:r w:rsidRPr="008479E5">
              <w:rPr>
                <w:rFonts w:cstheme="minorHAnsi"/>
                <w:color w:val="000000"/>
              </w:rPr>
              <w:t>125</w:t>
            </w:r>
          </w:p>
        </w:tc>
        <w:tc>
          <w:tcPr>
            <w:tcW w:w="1026" w:type="dxa"/>
            <w:vAlign w:val="center"/>
          </w:tcPr>
          <w:p w14:paraId="5840252B" w14:textId="7D508ECF" w:rsidR="00F716E0" w:rsidRPr="008479E5" w:rsidRDefault="00F716E0" w:rsidP="00F716E0">
            <w:pPr>
              <w:jc w:val="center"/>
              <w:rPr>
                <w:rFonts w:cstheme="minorHAnsi"/>
              </w:rPr>
            </w:pPr>
            <w:r w:rsidRPr="008479E5">
              <w:rPr>
                <w:rFonts w:eastAsia="Times New Roman" w:cstheme="minorHAnsi"/>
              </w:rPr>
              <w:t>$20.59</w:t>
            </w:r>
          </w:p>
        </w:tc>
        <w:tc>
          <w:tcPr>
            <w:tcW w:w="1345" w:type="dxa"/>
            <w:vAlign w:val="center"/>
          </w:tcPr>
          <w:p w14:paraId="2FDEC5C1" w14:textId="59C864CF" w:rsidR="00F716E0" w:rsidRPr="008479E5" w:rsidRDefault="00F716E0" w:rsidP="00F716E0">
            <w:pPr>
              <w:jc w:val="center"/>
              <w:rPr>
                <w:rFonts w:cstheme="minorHAnsi"/>
              </w:rPr>
            </w:pPr>
            <w:r w:rsidRPr="008479E5">
              <w:rPr>
                <w:rFonts w:cstheme="minorHAnsi"/>
                <w:color w:val="000000"/>
              </w:rPr>
              <w:t xml:space="preserve">$2,573.75 </w:t>
            </w:r>
          </w:p>
        </w:tc>
      </w:tr>
      <w:tr w:rsidR="00F716E0" w:rsidRPr="008479E5" w14:paraId="28D495DE" w14:textId="77777777" w:rsidTr="00044B3E">
        <w:tc>
          <w:tcPr>
            <w:tcW w:w="1143" w:type="dxa"/>
            <w:vMerge/>
            <w:vAlign w:val="center"/>
          </w:tcPr>
          <w:p w14:paraId="30FEEDF7" w14:textId="77777777" w:rsidR="00F716E0" w:rsidRPr="008479E5" w:rsidRDefault="00F716E0" w:rsidP="00F716E0">
            <w:pPr>
              <w:jc w:val="center"/>
              <w:rPr>
                <w:rFonts w:cstheme="minorHAnsi"/>
              </w:rPr>
            </w:pPr>
          </w:p>
        </w:tc>
        <w:tc>
          <w:tcPr>
            <w:tcW w:w="1732" w:type="dxa"/>
            <w:vAlign w:val="center"/>
          </w:tcPr>
          <w:p w14:paraId="3EFBF30C" w14:textId="32E1BA45" w:rsidR="00F716E0" w:rsidRPr="008479E5" w:rsidRDefault="00F716E0" w:rsidP="00F716E0">
            <w:pPr>
              <w:rPr>
                <w:rFonts w:cstheme="minorHAnsi"/>
              </w:rPr>
            </w:pPr>
            <w:r w:rsidRPr="008479E5">
              <w:rPr>
                <w:rFonts w:cstheme="minorHAnsi"/>
              </w:rPr>
              <w:t>Medical Record Abstraction Form - Child</w:t>
            </w:r>
          </w:p>
        </w:tc>
        <w:tc>
          <w:tcPr>
            <w:tcW w:w="1026" w:type="dxa"/>
            <w:vAlign w:val="center"/>
          </w:tcPr>
          <w:p w14:paraId="62A7F6CA" w14:textId="77D03F53" w:rsidR="00F716E0" w:rsidRPr="008479E5" w:rsidRDefault="00F716E0" w:rsidP="00F716E0">
            <w:pPr>
              <w:jc w:val="center"/>
              <w:rPr>
                <w:rFonts w:cstheme="minorHAnsi"/>
              </w:rPr>
            </w:pPr>
            <w:r w:rsidRPr="008479E5">
              <w:rPr>
                <w:rFonts w:cstheme="minorHAnsi"/>
                <w:color w:val="000000"/>
              </w:rPr>
              <w:t>25</w:t>
            </w:r>
          </w:p>
        </w:tc>
        <w:tc>
          <w:tcPr>
            <w:tcW w:w="1026" w:type="dxa"/>
            <w:vAlign w:val="center"/>
          </w:tcPr>
          <w:p w14:paraId="60B37EA5" w14:textId="0B1A4319" w:rsidR="00F716E0" w:rsidRPr="008479E5" w:rsidRDefault="00F716E0" w:rsidP="00F716E0">
            <w:pPr>
              <w:jc w:val="center"/>
              <w:rPr>
                <w:rFonts w:cstheme="minorHAnsi"/>
              </w:rPr>
            </w:pPr>
            <w:r w:rsidRPr="008479E5">
              <w:rPr>
                <w:rFonts w:cstheme="minorHAnsi"/>
                <w:color w:val="000000"/>
              </w:rPr>
              <w:t>7</w:t>
            </w:r>
          </w:p>
        </w:tc>
        <w:tc>
          <w:tcPr>
            <w:tcW w:w="1026" w:type="dxa"/>
            <w:vAlign w:val="center"/>
          </w:tcPr>
          <w:p w14:paraId="610E62EC" w14:textId="09BEB2C4" w:rsidR="00F716E0" w:rsidRPr="008479E5" w:rsidRDefault="00F716E0" w:rsidP="00F716E0">
            <w:pPr>
              <w:jc w:val="center"/>
              <w:rPr>
                <w:rFonts w:cstheme="minorHAnsi"/>
              </w:rPr>
            </w:pPr>
            <w:r w:rsidRPr="008479E5">
              <w:rPr>
                <w:rFonts w:cstheme="minorHAnsi"/>
                <w:color w:val="000000"/>
              </w:rPr>
              <w:t>20/60</w:t>
            </w:r>
          </w:p>
        </w:tc>
        <w:tc>
          <w:tcPr>
            <w:tcW w:w="1026" w:type="dxa"/>
            <w:vAlign w:val="center"/>
          </w:tcPr>
          <w:p w14:paraId="7FF5CF8C" w14:textId="098CD7F3" w:rsidR="00F716E0" w:rsidRPr="008479E5" w:rsidRDefault="00F716E0" w:rsidP="00F716E0">
            <w:pPr>
              <w:jc w:val="center"/>
              <w:rPr>
                <w:rFonts w:cstheme="minorHAnsi"/>
              </w:rPr>
            </w:pPr>
            <w:r w:rsidRPr="008479E5">
              <w:rPr>
                <w:rFonts w:cstheme="minorHAnsi"/>
                <w:color w:val="000000"/>
              </w:rPr>
              <w:t>60</w:t>
            </w:r>
          </w:p>
        </w:tc>
        <w:tc>
          <w:tcPr>
            <w:tcW w:w="1026" w:type="dxa"/>
            <w:vAlign w:val="center"/>
          </w:tcPr>
          <w:p w14:paraId="14282992" w14:textId="168390EA" w:rsidR="00F716E0" w:rsidRPr="008479E5" w:rsidRDefault="00F716E0" w:rsidP="00F716E0">
            <w:pPr>
              <w:jc w:val="center"/>
              <w:rPr>
                <w:rFonts w:cstheme="minorHAnsi"/>
              </w:rPr>
            </w:pPr>
            <w:r w:rsidRPr="008479E5">
              <w:rPr>
                <w:rFonts w:eastAsia="Times New Roman" w:cstheme="minorHAnsi"/>
              </w:rPr>
              <w:t>$20.59</w:t>
            </w:r>
          </w:p>
        </w:tc>
        <w:tc>
          <w:tcPr>
            <w:tcW w:w="1345" w:type="dxa"/>
            <w:vAlign w:val="center"/>
          </w:tcPr>
          <w:p w14:paraId="63CF7551" w14:textId="7B452BCA" w:rsidR="00F716E0" w:rsidRPr="008479E5" w:rsidRDefault="00F716E0" w:rsidP="00F716E0">
            <w:pPr>
              <w:jc w:val="center"/>
              <w:rPr>
                <w:rFonts w:cstheme="minorHAnsi"/>
              </w:rPr>
            </w:pPr>
            <w:r w:rsidRPr="008479E5">
              <w:rPr>
                <w:rFonts w:cstheme="minorHAnsi"/>
                <w:color w:val="000000"/>
              </w:rPr>
              <w:t xml:space="preserve">$1,201.08 </w:t>
            </w:r>
          </w:p>
        </w:tc>
      </w:tr>
      <w:tr w:rsidR="00D214E7" w:rsidRPr="008479E5" w14:paraId="7B42EFC7" w14:textId="77777777" w:rsidTr="00044B3E">
        <w:tc>
          <w:tcPr>
            <w:tcW w:w="1143" w:type="dxa"/>
            <w:vAlign w:val="center"/>
          </w:tcPr>
          <w:p w14:paraId="7E863FA2" w14:textId="4B18D311" w:rsidR="00D214E7" w:rsidRPr="008479E5" w:rsidRDefault="00D214E7" w:rsidP="00910063">
            <w:pPr>
              <w:jc w:val="center"/>
              <w:rPr>
                <w:rFonts w:cstheme="minorHAnsi"/>
              </w:rPr>
            </w:pPr>
            <w:r w:rsidRPr="008479E5">
              <w:rPr>
                <w:rFonts w:cstheme="minorHAnsi"/>
              </w:rPr>
              <w:t>Total</w:t>
            </w:r>
          </w:p>
        </w:tc>
        <w:tc>
          <w:tcPr>
            <w:tcW w:w="1732" w:type="dxa"/>
            <w:vAlign w:val="center"/>
          </w:tcPr>
          <w:p w14:paraId="7F442FD2" w14:textId="77777777" w:rsidR="00D214E7" w:rsidRPr="008479E5" w:rsidRDefault="00D214E7" w:rsidP="00910063">
            <w:pPr>
              <w:rPr>
                <w:rFonts w:cstheme="minorHAnsi"/>
              </w:rPr>
            </w:pPr>
          </w:p>
        </w:tc>
        <w:tc>
          <w:tcPr>
            <w:tcW w:w="1026" w:type="dxa"/>
            <w:vAlign w:val="center"/>
          </w:tcPr>
          <w:p w14:paraId="75EB82CC" w14:textId="77777777" w:rsidR="00D214E7" w:rsidRPr="008479E5" w:rsidRDefault="00D214E7" w:rsidP="00910063">
            <w:pPr>
              <w:jc w:val="center"/>
              <w:rPr>
                <w:rFonts w:cstheme="minorHAnsi"/>
              </w:rPr>
            </w:pPr>
          </w:p>
        </w:tc>
        <w:tc>
          <w:tcPr>
            <w:tcW w:w="1026" w:type="dxa"/>
            <w:vAlign w:val="center"/>
          </w:tcPr>
          <w:p w14:paraId="6705C185" w14:textId="77777777" w:rsidR="00D214E7" w:rsidRPr="008479E5" w:rsidRDefault="00D214E7" w:rsidP="00910063">
            <w:pPr>
              <w:jc w:val="center"/>
              <w:rPr>
                <w:rFonts w:cstheme="minorHAnsi"/>
              </w:rPr>
            </w:pPr>
          </w:p>
        </w:tc>
        <w:tc>
          <w:tcPr>
            <w:tcW w:w="1026" w:type="dxa"/>
            <w:vAlign w:val="center"/>
          </w:tcPr>
          <w:p w14:paraId="62DDFD6E" w14:textId="77777777" w:rsidR="00D214E7" w:rsidRPr="008479E5" w:rsidRDefault="00D214E7" w:rsidP="00910063">
            <w:pPr>
              <w:jc w:val="center"/>
              <w:rPr>
                <w:rFonts w:cstheme="minorHAnsi"/>
              </w:rPr>
            </w:pPr>
          </w:p>
        </w:tc>
        <w:tc>
          <w:tcPr>
            <w:tcW w:w="1026" w:type="dxa"/>
            <w:vAlign w:val="center"/>
          </w:tcPr>
          <w:p w14:paraId="7950574C" w14:textId="77777777" w:rsidR="00D214E7" w:rsidRPr="008479E5" w:rsidRDefault="00D214E7" w:rsidP="00910063">
            <w:pPr>
              <w:jc w:val="center"/>
              <w:rPr>
                <w:rFonts w:cstheme="minorHAnsi"/>
              </w:rPr>
            </w:pPr>
          </w:p>
        </w:tc>
        <w:tc>
          <w:tcPr>
            <w:tcW w:w="1026" w:type="dxa"/>
            <w:vAlign w:val="center"/>
          </w:tcPr>
          <w:p w14:paraId="1A3205DC" w14:textId="77777777" w:rsidR="00D214E7" w:rsidRPr="008479E5" w:rsidRDefault="00D214E7" w:rsidP="00910063">
            <w:pPr>
              <w:jc w:val="center"/>
              <w:rPr>
                <w:rFonts w:cstheme="minorHAnsi"/>
              </w:rPr>
            </w:pPr>
          </w:p>
        </w:tc>
        <w:tc>
          <w:tcPr>
            <w:tcW w:w="1345" w:type="dxa"/>
            <w:vAlign w:val="center"/>
          </w:tcPr>
          <w:p w14:paraId="0C177728" w14:textId="18B374D0" w:rsidR="00D214E7" w:rsidRPr="008479E5" w:rsidRDefault="003B3EC5" w:rsidP="00910063">
            <w:pPr>
              <w:jc w:val="center"/>
              <w:rPr>
                <w:rFonts w:cstheme="minorHAnsi"/>
                <w:b/>
              </w:rPr>
            </w:pPr>
            <w:r w:rsidRPr="008479E5">
              <w:rPr>
                <w:rFonts w:cstheme="minorHAnsi"/>
                <w:color w:val="000000"/>
              </w:rPr>
              <w:t>$28,</w:t>
            </w:r>
            <w:r w:rsidR="00347E49" w:rsidRPr="008479E5">
              <w:rPr>
                <w:rFonts w:cstheme="minorHAnsi"/>
                <w:color w:val="000000"/>
              </w:rPr>
              <w:t>401.63</w:t>
            </w:r>
          </w:p>
        </w:tc>
      </w:tr>
    </w:tbl>
    <w:p w14:paraId="77109C15" w14:textId="77777777" w:rsidR="000A0D28" w:rsidRPr="008479E5" w:rsidRDefault="000A0D28" w:rsidP="00601F1A">
      <w:pPr>
        <w:pStyle w:val="Heading1"/>
        <w:pBdr>
          <w:bottom w:val="none" w:sz="0" w:space="0" w:color="auto"/>
        </w:pBdr>
        <w:rPr>
          <w:rFonts w:asciiTheme="minorHAnsi" w:hAnsiTheme="minorHAnsi" w:cstheme="minorHAnsi"/>
          <w:color w:val="auto"/>
          <w:sz w:val="21"/>
          <w:szCs w:val="21"/>
        </w:rPr>
      </w:pPr>
    </w:p>
    <w:p w14:paraId="051C67DE" w14:textId="0F98E186" w:rsidR="00B45002" w:rsidRPr="00D20211" w:rsidRDefault="00601F1A" w:rsidP="00601F1A">
      <w:pPr>
        <w:pStyle w:val="Heading1"/>
        <w:pBdr>
          <w:bottom w:val="none" w:sz="0" w:space="0" w:color="auto"/>
        </w:pBdr>
        <w:rPr>
          <w:color w:val="auto"/>
        </w:rPr>
      </w:pPr>
      <w:bookmarkStart w:id="19" w:name="_Toc532912785"/>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9"/>
    </w:p>
    <w:p w14:paraId="3887E2D4" w14:textId="77777777" w:rsidR="00F1279E" w:rsidRPr="00D20211" w:rsidRDefault="00F1279E" w:rsidP="00ED72E9">
      <w:pPr>
        <w:autoSpaceDE w:val="0"/>
        <w:autoSpaceDN w:val="0"/>
        <w:adjustRightInd w:val="0"/>
        <w:spacing w:after="0" w:line="240" w:lineRule="auto"/>
        <w:rPr>
          <w:sz w:val="24"/>
          <w:szCs w:val="24"/>
        </w:rPr>
      </w:pPr>
    </w:p>
    <w:p w14:paraId="257F4A15" w14:textId="1F59A736" w:rsidR="001727C1" w:rsidRPr="007161C2" w:rsidRDefault="007161C2" w:rsidP="00C9099A">
      <w:pPr>
        <w:autoSpaceDE w:val="0"/>
        <w:autoSpaceDN w:val="0"/>
        <w:adjustRightInd w:val="0"/>
        <w:spacing w:line="276" w:lineRule="auto"/>
        <w:rPr>
          <w:rFonts w:cs="ITCFranklinGothicStd-Book"/>
          <w:sz w:val="24"/>
          <w:szCs w:val="24"/>
        </w:rPr>
      </w:pPr>
      <w:r>
        <w:rPr>
          <w:rFonts w:cs="ITCFranklinGothicStd-Book"/>
          <w:sz w:val="24"/>
          <w:szCs w:val="24"/>
        </w:rPr>
        <w:t>There are no required</w:t>
      </w:r>
      <w:r w:rsidR="00ED72E9" w:rsidRPr="007161C2">
        <w:rPr>
          <w:rFonts w:cs="ITCFranklinGothicStd-Book"/>
          <w:sz w:val="24"/>
          <w:szCs w:val="24"/>
        </w:rPr>
        <w:t xml:space="preserve"> capital and star</w:t>
      </w:r>
      <w:r>
        <w:rPr>
          <w:rFonts w:cs="ITCFranklinGothicStd-Book"/>
          <w:sz w:val="24"/>
          <w:szCs w:val="24"/>
        </w:rPr>
        <w:t xml:space="preserve">t-up costs to respondents or </w:t>
      </w:r>
      <w:r w:rsidR="000A0D28">
        <w:rPr>
          <w:rFonts w:cs="ITCFranklinGothicStd-Book"/>
          <w:sz w:val="24"/>
          <w:szCs w:val="24"/>
        </w:rPr>
        <w:t>record-keepers</w:t>
      </w:r>
      <w:r>
        <w:rPr>
          <w:rFonts w:cs="ITCFranklinGothicStd-Book"/>
          <w:sz w:val="24"/>
          <w:szCs w:val="24"/>
        </w:rPr>
        <w:t xml:space="preserve"> for the Pease Study. In addition, there are no cost requirements for operation, </w:t>
      </w:r>
      <w:r w:rsidR="00ED72E9" w:rsidRPr="007161C2">
        <w:rPr>
          <w:rFonts w:cs="ITCFranklinGothicStd-Book"/>
          <w:sz w:val="24"/>
          <w:szCs w:val="24"/>
        </w:rPr>
        <w:t>maint</w:t>
      </w:r>
      <w:r w:rsidR="00F1279E" w:rsidRPr="007161C2">
        <w:rPr>
          <w:rFonts w:cs="ITCFranklinGothicStd-Book"/>
          <w:sz w:val="24"/>
          <w:szCs w:val="24"/>
        </w:rPr>
        <w:t>enance</w:t>
      </w:r>
      <w:r>
        <w:rPr>
          <w:rFonts w:cs="ITCFranklinGothicStd-Book"/>
          <w:sz w:val="24"/>
          <w:szCs w:val="24"/>
        </w:rPr>
        <w:t xml:space="preserve">, and purchase of equipment or services for respondents or </w:t>
      </w:r>
      <w:r w:rsidR="000A0D28">
        <w:rPr>
          <w:rFonts w:cs="ITCFranklinGothicStd-Book"/>
          <w:sz w:val="24"/>
          <w:szCs w:val="24"/>
        </w:rPr>
        <w:t>record-keepers</w:t>
      </w:r>
      <w:r w:rsidR="00ED72E9" w:rsidRPr="007161C2">
        <w:rPr>
          <w:rFonts w:cs="ITCFranklinGothicStd-Book"/>
          <w:sz w:val="24"/>
          <w:szCs w:val="24"/>
        </w:rPr>
        <w:t xml:space="preserve">. </w:t>
      </w:r>
    </w:p>
    <w:p w14:paraId="2DC96AD8" w14:textId="005F4E9C" w:rsidR="00B45002" w:rsidRPr="00D20211" w:rsidRDefault="00601F1A" w:rsidP="00601F1A">
      <w:pPr>
        <w:pStyle w:val="Heading1"/>
        <w:pBdr>
          <w:bottom w:val="none" w:sz="0" w:space="0" w:color="auto"/>
        </w:pBdr>
        <w:rPr>
          <w:color w:val="auto"/>
        </w:rPr>
      </w:pPr>
      <w:bookmarkStart w:id="20" w:name="_Toc532912786"/>
      <w:r w:rsidRPr="00D20211">
        <w:rPr>
          <w:color w:val="auto"/>
        </w:rPr>
        <w:t>A.</w:t>
      </w:r>
      <w:r w:rsidR="00AC62CC" w:rsidRPr="00D20211">
        <w:rPr>
          <w:color w:val="auto"/>
        </w:rPr>
        <w:t xml:space="preserve">14.  </w:t>
      </w:r>
      <w:r w:rsidR="00B45002" w:rsidRPr="00D20211">
        <w:rPr>
          <w:color w:val="auto"/>
        </w:rPr>
        <w:t>Annualized Cost to the Federal Government</w:t>
      </w:r>
      <w:bookmarkEnd w:id="20"/>
    </w:p>
    <w:p w14:paraId="3B492077" w14:textId="77777777" w:rsidR="00DA5A96" w:rsidRPr="00D20211" w:rsidRDefault="00DA5A96" w:rsidP="00DA5A96"/>
    <w:p w14:paraId="04B6E2CE" w14:textId="77777777" w:rsidR="006169A4" w:rsidRPr="008479E5" w:rsidRDefault="006169A4" w:rsidP="006169A4">
      <w:pPr>
        <w:autoSpaceDE w:val="0"/>
        <w:autoSpaceDN w:val="0"/>
        <w:adjustRightInd w:val="0"/>
        <w:spacing w:line="276" w:lineRule="auto"/>
        <w:rPr>
          <w:rFonts w:cs="Calibri"/>
          <w:sz w:val="24"/>
          <w:szCs w:val="24"/>
        </w:rPr>
      </w:pPr>
      <w:r w:rsidRPr="008479E5">
        <w:rPr>
          <w:rFonts w:cs="Calibri"/>
          <w:sz w:val="24"/>
          <w:szCs w:val="24"/>
        </w:rPr>
        <w:t>Pursuant to PL 115-141, ATSDR received funds from the Department of Defense to conduct the research on the health effects of PFAS in drinking water.</w:t>
      </w:r>
    </w:p>
    <w:p w14:paraId="4572489C" w14:textId="7329EC8A" w:rsidR="006169A4" w:rsidRDefault="006169A4" w:rsidP="008479E5">
      <w:pPr>
        <w:spacing w:line="240" w:lineRule="auto"/>
        <w:rPr>
          <w:rFonts w:cs="Calibri"/>
        </w:rPr>
      </w:pPr>
      <w:r w:rsidRPr="008479E5">
        <w:rPr>
          <w:rFonts w:cs="Calibri"/>
          <w:sz w:val="24"/>
          <w:szCs w:val="24"/>
        </w:rPr>
        <w:t xml:space="preserve">The annualized cost of the Pease Study is </w:t>
      </w:r>
      <w:r w:rsidRPr="008479E5">
        <w:rPr>
          <w:rFonts w:cs="Calibri"/>
          <w:color w:val="000000"/>
          <w:sz w:val="24"/>
          <w:szCs w:val="24"/>
        </w:rPr>
        <w:t>$1,629,467.70</w:t>
      </w:r>
      <w:r w:rsidRPr="008479E5">
        <w:rPr>
          <w:rFonts w:cs="Calibri"/>
          <w:sz w:val="24"/>
          <w:szCs w:val="24"/>
        </w:rPr>
        <w:t>. This estimate was based on the following table:</w:t>
      </w:r>
    </w:p>
    <w:p w14:paraId="4C585B05" w14:textId="77777777" w:rsidR="006169A4" w:rsidRPr="00347E49" w:rsidRDefault="006169A4" w:rsidP="006169A4">
      <w:pPr>
        <w:rPr>
          <w:rFonts w:cstheme="minorHAnsi"/>
        </w:rPr>
      </w:pPr>
      <w:r w:rsidRPr="00347E49">
        <w:rPr>
          <w:rFonts w:cstheme="minorHAnsi"/>
        </w:rPr>
        <w:t>Table A.14.1.  Annual Estimated Costs to the Federal Government</w:t>
      </w:r>
    </w:p>
    <w:tbl>
      <w:tblPr>
        <w:tblStyle w:val="TableGrid"/>
        <w:tblW w:w="0" w:type="auto"/>
        <w:tblLook w:val="04A0" w:firstRow="1" w:lastRow="0" w:firstColumn="1" w:lastColumn="0" w:noHBand="0" w:noVBand="1"/>
      </w:tblPr>
      <w:tblGrid>
        <w:gridCol w:w="2894"/>
        <w:gridCol w:w="1614"/>
        <w:gridCol w:w="1614"/>
        <w:gridCol w:w="1614"/>
        <w:gridCol w:w="1614"/>
      </w:tblGrid>
      <w:tr w:rsidR="006169A4" w:rsidRPr="008479E5" w14:paraId="7534AFF6" w14:textId="77777777" w:rsidTr="000A0D28">
        <w:tc>
          <w:tcPr>
            <w:tcW w:w="2894" w:type="dxa"/>
            <w:tcBorders>
              <w:top w:val="single" w:sz="4" w:space="0" w:color="auto"/>
              <w:left w:val="single" w:sz="4" w:space="0" w:color="auto"/>
              <w:bottom w:val="single" w:sz="4" w:space="0" w:color="auto"/>
              <w:right w:val="single" w:sz="4" w:space="0" w:color="auto"/>
            </w:tcBorders>
            <w:hideMark/>
          </w:tcPr>
          <w:p w14:paraId="74A89A31" w14:textId="77777777" w:rsidR="006169A4" w:rsidRPr="008217C5" w:rsidRDefault="006169A4" w:rsidP="000A0D28">
            <w:pPr>
              <w:rPr>
                <w:rFonts w:cstheme="minorHAnsi"/>
              </w:rPr>
            </w:pPr>
            <w:r w:rsidRPr="008217C5">
              <w:rPr>
                <w:rFonts w:cstheme="minorHAnsi"/>
              </w:rPr>
              <w:t>Staff</w:t>
            </w:r>
          </w:p>
        </w:tc>
        <w:tc>
          <w:tcPr>
            <w:tcW w:w="1614" w:type="dxa"/>
            <w:tcBorders>
              <w:top w:val="single" w:sz="4" w:space="0" w:color="auto"/>
              <w:left w:val="single" w:sz="4" w:space="0" w:color="auto"/>
              <w:bottom w:val="single" w:sz="4" w:space="0" w:color="auto"/>
              <w:right w:val="single" w:sz="4" w:space="0" w:color="auto"/>
            </w:tcBorders>
            <w:hideMark/>
          </w:tcPr>
          <w:p w14:paraId="03303FAB" w14:textId="77777777" w:rsidR="006169A4" w:rsidRPr="008217C5" w:rsidRDefault="006169A4" w:rsidP="000A0D28">
            <w:pPr>
              <w:jc w:val="center"/>
              <w:rPr>
                <w:rFonts w:cstheme="minorHAnsi"/>
              </w:rPr>
            </w:pPr>
            <w:r w:rsidRPr="008217C5">
              <w:rPr>
                <w:rFonts w:cstheme="minorHAnsi"/>
              </w:rPr>
              <w:t>GS Level</w:t>
            </w:r>
          </w:p>
        </w:tc>
        <w:tc>
          <w:tcPr>
            <w:tcW w:w="1614" w:type="dxa"/>
            <w:tcBorders>
              <w:top w:val="single" w:sz="4" w:space="0" w:color="auto"/>
              <w:left w:val="single" w:sz="4" w:space="0" w:color="auto"/>
              <w:bottom w:val="single" w:sz="4" w:space="0" w:color="auto"/>
              <w:right w:val="single" w:sz="4" w:space="0" w:color="auto"/>
            </w:tcBorders>
            <w:hideMark/>
          </w:tcPr>
          <w:p w14:paraId="6D072BF4" w14:textId="77777777" w:rsidR="006169A4" w:rsidRPr="00E70205" w:rsidRDefault="006169A4" w:rsidP="000A0D28">
            <w:pPr>
              <w:jc w:val="center"/>
              <w:rPr>
                <w:rFonts w:cstheme="minorHAnsi"/>
              </w:rPr>
            </w:pPr>
            <w:r w:rsidRPr="00E70205">
              <w:rPr>
                <w:rFonts w:cstheme="minorHAnsi"/>
              </w:rPr>
              <w:t>Salary (2018)</w:t>
            </w:r>
          </w:p>
        </w:tc>
        <w:tc>
          <w:tcPr>
            <w:tcW w:w="1614" w:type="dxa"/>
            <w:tcBorders>
              <w:top w:val="single" w:sz="4" w:space="0" w:color="auto"/>
              <w:left w:val="single" w:sz="4" w:space="0" w:color="auto"/>
              <w:bottom w:val="single" w:sz="4" w:space="0" w:color="auto"/>
              <w:right w:val="single" w:sz="4" w:space="0" w:color="auto"/>
            </w:tcBorders>
            <w:hideMark/>
          </w:tcPr>
          <w:p w14:paraId="472E2F9F" w14:textId="77777777" w:rsidR="006169A4" w:rsidRPr="008479E5" w:rsidRDefault="006169A4" w:rsidP="000A0D28">
            <w:pPr>
              <w:jc w:val="center"/>
              <w:rPr>
                <w:rFonts w:cstheme="minorHAnsi"/>
              </w:rPr>
            </w:pPr>
            <w:r w:rsidRPr="008479E5">
              <w:rPr>
                <w:rFonts w:cstheme="minorHAnsi"/>
              </w:rPr>
              <w:t>% FTE</w:t>
            </w:r>
          </w:p>
        </w:tc>
        <w:tc>
          <w:tcPr>
            <w:tcW w:w="1614" w:type="dxa"/>
            <w:tcBorders>
              <w:top w:val="single" w:sz="4" w:space="0" w:color="auto"/>
              <w:left w:val="single" w:sz="4" w:space="0" w:color="auto"/>
              <w:bottom w:val="single" w:sz="4" w:space="0" w:color="auto"/>
              <w:right w:val="single" w:sz="4" w:space="0" w:color="auto"/>
            </w:tcBorders>
            <w:hideMark/>
          </w:tcPr>
          <w:p w14:paraId="51E5BA9B" w14:textId="77777777" w:rsidR="006169A4" w:rsidRPr="008479E5" w:rsidRDefault="006169A4" w:rsidP="000A0D28">
            <w:pPr>
              <w:jc w:val="center"/>
              <w:rPr>
                <w:rFonts w:cstheme="minorHAnsi"/>
              </w:rPr>
            </w:pPr>
            <w:r w:rsidRPr="008479E5">
              <w:rPr>
                <w:rFonts w:cstheme="minorHAnsi"/>
              </w:rPr>
              <w:t>$ Cost</w:t>
            </w:r>
          </w:p>
        </w:tc>
      </w:tr>
      <w:tr w:rsidR="006169A4" w:rsidRPr="008479E5" w14:paraId="690896D4" w14:textId="77777777" w:rsidTr="000A0D28">
        <w:tc>
          <w:tcPr>
            <w:tcW w:w="2894" w:type="dxa"/>
            <w:tcBorders>
              <w:top w:val="single" w:sz="4" w:space="0" w:color="auto"/>
              <w:left w:val="single" w:sz="4" w:space="0" w:color="auto"/>
              <w:bottom w:val="single" w:sz="4" w:space="0" w:color="auto"/>
              <w:right w:val="single" w:sz="4" w:space="0" w:color="auto"/>
            </w:tcBorders>
          </w:tcPr>
          <w:p w14:paraId="014F608A" w14:textId="77777777" w:rsidR="006169A4" w:rsidRPr="008479E5" w:rsidRDefault="006169A4" w:rsidP="000A0D28">
            <w:pPr>
              <w:rPr>
                <w:rFonts w:cstheme="minorHAnsi"/>
              </w:rPr>
            </w:pPr>
            <w:r w:rsidRPr="008479E5">
              <w:rPr>
                <w:rFonts w:cstheme="minorHAnsi"/>
              </w:rPr>
              <w:t>Study co-PI; Technical Officer</w:t>
            </w:r>
          </w:p>
        </w:tc>
        <w:tc>
          <w:tcPr>
            <w:tcW w:w="1614" w:type="dxa"/>
            <w:tcBorders>
              <w:top w:val="single" w:sz="4" w:space="0" w:color="auto"/>
              <w:left w:val="single" w:sz="4" w:space="0" w:color="auto"/>
              <w:bottom w:val="single" w:sz="4" w:space="0" w:color="auto"/>
              <w:right w:val="single" w:sz="4" w:space="0" w:color="auto"/>
            </w:tcBorders>
          </w:tcPr>
          <w:p w14:paraId="5D373E76" w14:textId="77777777" w:rsidR="006169A4" w:rsidRPr="008479E5" w:rsidRDefault="006169A4" w:rsidP="000A0D28">
            <w:pPr>
              <w:jc w:val="center"/>
              <w:rPr>
                <w:rFonts w:cstheme="minorHAnsi"/>
              </w:rPr>
            </w:pPr>
            <w:r w:rsidRPr="008479E5">
              <w:rPr>
                <w:rFonts w:cstheme="minorHAnsi"/>
              </w:rPr>
              <w:t>14</w:t>
            </w:r>
          </w:p>
        </w:tc>
        <w:tc>
          <w:tcPr>
            <w:tcW w:w="1614" w:type="dxa"/>
            <w:tcBorders>
              <w:top w:val="single" w:sz="4" w:space="0" w:color="auto"/>
              <w:left w:val="single" w:sz="4" w:space="0" w:color="auto"/>
              <w:bottom w:val="single" w:sz="4" w:space="0" w:color="auto"/>
              <w:right w:val="single" w:sz="4" w:space="0" w:color="auto"/>
            </w:tcBorders>
          </w:tcPr>
          <w:p w14:paraId="2B6414C7" w14:textId="77777777" w:rsidR="006169A4" w:rsidRPr="008479E5" w:rsidRDefault="006169A4" w:rsidP="000A0D28">
            <w:pPr>
              <w:jc w:val="center"/>
              <w:rPr>
                <w:rFonts w:cstheme="minorHAnsi"/>
              </w:rPr>
            </w:pPr>
            <w:r w:rsidRPr="008479E5">
              <w:rPr>
                <w:rFonts w:cstheme="minorHAnsi"/>
              </w:rPr>
              <w:t>$140,765</w:t>
            </w:r>
          </w:p>
        </w:tc>
        <w:tc>
          <w:tcPr>
            <w:tcW w:w="1614" w:type="dxa"/>
            <w:tcBorders>
              <w:top w:val="single" w:sz="4" w:space="0" w:color="auto"/>
              <w:left w:val="single" w:sz="4" w:space="0" w:color="auto"/>
              <w:bottom w:val="single" w:sz="4" w:space="0" w:color="auto"/>
              <w:right w:val="single" w:sz="4" w:space="0" w:color="auto"/>
            </w:tcBorders>
          </w:tcPr>
          <w:p w14:paraId="397DE86A" w14:textId="77777777" w:rsidR="006169A4" w:rsidRPr="008479E5" w:rsidRDefault="006169A4" w:rsidP="000A0D28">
            <w:pPr>
              <w:jc w:val="center"/>
              <w:rPr>
                <w:rFonts w:cstheme="minorHAnsi"/>
              </w:rPr>
            </w:pPr>
            <w:r w:rsidRPr="008479E5">
              <w:rPr>
                <w:rFonts w:cstheme="minorHAnsi"/>
              </w:rPr>
              <w:t>50</w:t>
            </w:r>
          </w:p>
        </w:tc>
        <w:tc>
          <w:tcPr>
            <w:tcW w:w="1614" w:type="dxa"/>
            <w:tcBorders>
              <w:top w:val="single" w:sz="4" w:space="0" w:color="auto"/>
              <w:left w:val="single" w:sz="4" w:space="0" w:color="auto"/>
              <w:bottom w:val="single" w:sz="4" w:space="0" w:color="auto"/>
              <w:right w:val="single" w:sz="4" w:space="0" w:color="auto"/>
            </w:tcBorders>
            <w:vAlign w:val="center"/>
          </w:tcPr>
          <w:p w14:paraId="2E4A0758" w14:textId="77777777" w:rsidR="006169A4" w:rsidRPr="008479E5" w:rsidRDefault="006169A4" w:rsidP="000A0D28">
            <w:pPr>
              <w:jc w:val="right"/>
              <w:rPr>
                <w:rFonts w:cstheme="minorHAnsi"/>
                <w:color w:val="000000"/>
              </w:rPr>
            </w:pPr>
            <w:r w:rsidRPr="008479E5">
              <w:rPr>
                <w:rFonts w:cstheme="minorHAnsi"/>
                <w:color w:val="000000"/>
              </w:rPr>
              <w:t xml:space="preserve">$70,382.50 </w:t>
            </w:r>
          </w:p>
        </w:tc>
      </w:tr>
      <w:tr w:rsidR="006169A4" w:rsidRPr="008479E5" w14:paraId="254D04B5" w14:textId="77777777" w:rsidTr="000A0D28">
        <w:tc>
          <w:tcPr>
            <w:tcW w:w="2894" w:type="dxa"/>
            <w:tcBorders>
              <w:top w:val="single" w:sz="4" w:space="0" w:color="auto"/>
              <w:left w:val="single" w:sz="4" w:space="0" w:color="auto"/>
              <w:bottom w:val="single" w:sz="4" w:space="0" w:color="auto"/>
              <w:right w:val="single" w:sz="4" w:space="0" w:color="auto"/>
            </w:tcBorders>
          </w:tcPr>
          <w:p w14:paraId="098F3762" w14:textId="77777777" w:rsidR="006169A4" w:rsidRPr="008479E5" w:rsidRDefault="006169A4" w:rsidP="000A0D28">
            <w:pPr>
              <w:rPr>
                <w:rFonts w:cstheme="minorHAnsi"/>
              </w:rPr>
            </w:pPr>
            <w:r w:rsidRPr="008479E5">
              <w:rPr>
                <w:rFonts w:cstheme="minorHAnsi"/>
              </w:rPr>
              <w:t>Study co-PI, Technical Officer</w:t>
            </w:r>
          </w:p>
        </w:tc>
        <w:tc>
          <w:tcPr>
            <w:tcW w:w="1614" w:type="dxa"/>
            <w:tcBorders>
              <w:top w:val="single" w:sz="4" w:space="0" w:color="auto"/>
              <w:left w:val="single" w:sz="4" w:space="0" w:color="auto"/>
              <w:bottom w:val="single" w:sz="4" w:space="0" w:color="auto"/>
              <w:right w:val="single" w:sz="4" w:space="0" w:color="auto"/>
            </w:tcBorders>
          </w:tcPr>
          <w:p w14:paraId="564C6173" w14:textId="77777777" w:rsidR="006169A4" w:rsidRPr="008479E5" w:rsidRDefault="006169A4" w:rsidP="000A0D28">
            <w:pPr>
              <w:jc w:val="center"/>
              <w:rPr>
                <w:rFonts w:cstheme="minorHAnsi"/>
              </w:rPr>
            </w:pPr>
            <w:r w:rsidRPr="008479E5">
              <w:rPr>
                <w:rFonts w:cstheme="minorHAnsi"/>
              </w:rPr>
              <w:t>14</w:t>
            </w:r>
          </w:p>
        </w:tc>
        <w:tc>
          <w:tcPr>
            <w:tcW w:w="1614" w:type="dxa"/>
            <w:tcBorders>
              <w:top w:val="single" w:sz="4" w:space="0" w:color="auto"/>
              <w:left w:val="single" w:sz="4" w:space="0" w:color="auto"/>
              <w:bottom w:val="single" w:sz="4" w:space="0" w:color="auto"/>
              <w:right w:val="single" w:sz="4" w:space="0" w:color="auto"/>
            </w:tcBorders>
          </w:tcPr>
          <w:p w14:paraId="4B43511E" w14:textId="77777777" w:rsidR="006169A4" w:rsidRPr="008479E5" w:rsidRDefault="006169A4" w:rsidP="000A0D28">
            <w:pPr>
              <w:jc w:val="center"/>
              <w:rPr>
                <w:rFonts w:cstheme="minorHAnsi"/>
              </w:rPr>
            </w:pPr>
            <w:r w:rsidRPr="008479E5">
              <w:rPr>
                <w:rFonts w:cstheme="minorHAnsi"/>
              </w:rPr>
              <w:t>$140,765</w:t>
            </w:r>
          </w:p>
        </w:tc>
        <w:tc>
          <w:tcPr>
            <w:tcW w:w="1614" w:type="dxa"/>
            <w:tcBorders>
              <w:top w:val="single" w:sz="4" w:space="0" w:color="auto"/>
              <w:left w:val="single" w:sz="4" w:space="0" w:color="auto"/>
              <w:bottom w:val="single" w:sz="4" w:space="0" w:color="auto"/>
              <w:right w:val="single" w:sz="4" w:space="0" w:color="auto"/>
            </w:tcBorders>
          </w:tcPr>
          <w:p w14:paraId="708BCBA7" w14:textId="77777777" w:rsidR="006169A4" w:rsidRPr="008479E5" w:rsidRDefault="006169A4" w:rsidP="000A0D28">
            <w:pPr>
              <w:jc w:val="center"/>
              <w:rPr>
                <w:rFonts w:cstheme="minorHAnsi"/>
              </w:rPr>
            </w:pPr>
            <w:r w:rsidRPr="008479E5">
              <w:rPr>
                <w:rFonts w:cstheme="minorHAnsi"/>
              </w:rPr>
              <w:t>70</w:t>
            </w:r>
          </w:p>
        </w:tc>
        <w:tc>
          <w:tcPr>
            <w:tcW w:w="1614" w:type="dxa"/>
            <w:tcBorders>
              <w:top w:val="single" w:sz="4" w:space="0" w:color="auto"/>
              <w:left w:val="single" w:sz="4" w:space="0" w:color="auto"/>
              <w:bottom w:val="single" w:sz="4" w:space="0" w:color="auto"/>
              <w:right w:val="single" w:sz="4" w:space="0" w:color="auto"/>
            </w:tcBorders>
            <w:vAlign w:val="center"/>
          </w:tcPr>
          <w:p w14:paraId="3E10CB1E" w14:textId="77777777" w:rsidR="006169A4" w:rsidRPr="008479E5" w:rsidRDefault="006169A4" w:rsidP="000A0D28">
            <w:pPr>
              <w:jc w:val="right"/>
              <w:rPr>
                <w:rFonts w:cstheme="minorHAnsi"/>
                <w:color w:val="000000"/>
              </w:rPr>
            </w:pPr>
            <w:r w:rsidRPr="008479E5">
              <w:rPr>
                <w:rFonts w:cstheme="minorHAnsi"/>
                <w:color w:val="000000"/>
              </w:rPr>
              <w:t xml:space="preserve">$98,535.50 </w:t>
            </w:r>
          </w:p>
        </w:tc>
      </w:tr>
      <w:tr w:rsidR="006169A4" w:rsidRPr="008479E5" w14:paraId="46412257" w14:textId="77777777" w:rsidTr="000A0D28">
        <w:tc>
          <w:tcPr>
            <w:tcW w:w="2894" w:type="dxa"/>
            <w:tcBorders>
              <w:top w:val="single" w:sz="4" w:space="0" w:color="auto"/>
              <w:left w:val="single" w:sz="4" w:space="0" w:color="auto"/>
              <w:bottom w:val="single" w:sz="4" w:space="0" w:color="auto"/>
              <w:right w:val="single" w:sz="4" w:space="0" w:color="auto"/>
            </w:tcBorders>
          </w:tcPr>
          <w:p w14:paraId="16BA602F" w14:textId="77777777" w:rsidR="006169A4" w:rsidRPr="008479E5" w:rsidRDefault="006169A4" w:rsidP="000A0D28">
            <w:pPr>
              <w:rPr>
                <w:rFonts w:cstheme="minorHAnsi"/>
              </w:rPr>
            </w:pPr>
            <w:r w:rsidRPr="008479E5">
              <w:rPr>
                <w:rFonts w:cstheme="minorHAnsi"/>
              </w:rPr>
              <w:t>Project Officer, Health Scientist</w:t>
            </w:r>
          </w:p>
        </w:tc>
        <w:tc>
          <w:tcPr>
            <w:tcW w:w="1614" w:type="dxa"/>
            <w:tcBorders>
              <w:top w:val="single" w:sz="4" w:space="0" w:color="auto"/>
              <w:left w:val="single" w:sz="4" w:space="0" w:color="auto"/>
              <w:bottom w:val="single" w:sz="4" w:space="0" w:color="auto"/>
              <w:right w:val="single" w:sz="4" w:space="0" w:color="auto"/>
            </w:tcBorders>
          </w:tcPr>
          <w:p w14:paraId="0708A90B" w14:textId="77777777" w:rsidR="006169A4" w:rsidRPr="008479E5" w:rsidRDefault="006169A4" w:rsidP="000A0D28">
            <w:pPr>
              <w:jc w:val="center"/>
              <w:rPr>
                <w:rFonts w:cstheme="minorHAnsi"/>
              </w:rPr>
            </w:pPr>
            <w:r w:rsidRPr="008479E5">
              <w:rPr>
                <w:rFonts w:cstheme="minorHAnsi"/>
              </w:rPr>
              <w:t>12</w:t>
            </w:r>
          </w:p>
        </w:tc>
        <w:tc>
          <w:tcPr>
            <w:tcW w:w="1614" w:type="dxa"/>
            <w:tcBorders>
              <w:top w:val="single" w:sz="4" w:space="0" w:color="auto"/>
              <w:left w:val="single" w:sz="4" w:space="0" w:color="auto"/>
              <w:bottom w:val="single" w:sz="4" w:space="0" w:color="auto"/>
              <w:right w:val="single" w:sz="4" w:space="0" w:color="auto"/>
            </w:tcBorders>
          </w:tcPr>
          <w:p w14:paraId="7249C6C9" w14:textId="77777777" w:rsidR="006169A4" w:rsidRPr="008479E5" w:rsidRDefault="006169A4" w:rsidP="000A0D28">
            <w:pPr>
              <w:jc w:val="center"/>
              <w:rPr>
                <w:rFonts w:cstheme="minorHAnsi"/>
              </w:rPr>
            </w:pPr>
            <w:r w:rsidRPr="008479E5">
              <w:rPr>
                <w:rFonts w:cstheme="minorHAnsi"/>
              </w:rPr>
              <w:t>$87,332</w:t>
            </w:r>
          </w:p>
        </w:tc>
        <w:tc>
          <w:tcPr>
            <w:tcW w:w="1614" w:type="dxa"/>
            <w:tcBorders>
              <w:top w:val="single" w:sz="4" w:space="0" w:color="auto"/>
              <w:left w:val="single" w:sz="4" w:space="0" w:color="auto"/>
              <w:bottom w:val="single" w:sz="4" w:space="0" w:color="auto"/>
              <w:right w:val="single" w:sz="4" w:space="0" w:color="auto"/>
            </w:tcBorders>
          </w:tcPr>
          <w:p w14:paraId="135C0B47" w14:textId="77777777" w:rsidR="006169A4" w:rsidRPr="008479E5" w:rsidRDefault="006169A4" w:rsidP="000A0D28">
            <w:pPr>
              <w:jc w:val="center"/>
              <w:rPr>
                <w:rFonts w:cstheme="minorHAnsi"/>
              </w:rPr>
            </w:pPr>
            <w:r w:rsidRPr="008479E5">
              <w:rPr>
                <w:rFonts w:cstheme="minorHAnsi"/>
              </w:rPr>
              <w:t>85</w:t>
            </w:r>
          </w:p>
        </w:tc>
        <w:tc>
          <w:tcPr>
            <w:tcW w:w="1614" w:type="dxa"/>
            <w:tcBorders>
              <w:top w:val="single" w:sz="4" w:space="0" w:color="auto"/>
              <w:left w:val="single" w:sz="4" w:space="0" w:color="auto"/>
              <w:bottom w:val="single" w:sz="4" w:space="0" w:color="auto"/>
              <w:right w:val="single" w:sz="4" w:space="0" w:color="auto"/>
            </w:tcBorders>
            <w:vAlign w:val="center"/>
          </w:tcPr>
          <w:p w14:paraId="4D2958D1" w14:textId="77777777" w:rsidR="006169A4" w:rsidRPr="008479E5" w:rsidRDefault="006169A4" w:rsidP="000A0D28">
            <w:pPr>
              <w:jc w:val="right"/>
              <w:rPr>
                <w:rFonts w:cstheme="minorHAnsi"/>
                <w:color w:val="000000"/>
              </w:rPr>
            </w:pPr>
            <w:r w:rsidRPr="008479E5">
              <w:rPr>
                <w:rFonts w:cstheme="minorHAnsi"/>
                <w:color w:val="000000"/>
              </w:rPr>
              <w:t xml:space="preserve">$74,232.20 </w:t>
            </w:r>
          </w:p>
        </w:tc>
      </w:tr>
      <w:tr w:rsidR="006169A4" w:rsidRPr="008479E5" w14:paraId="17888387" w14:textId="77777777" w:rsidTr="000A0D28">
        <w:tc>
          <w:tcPr>
            <w:tcW w:w="2894" w:type="dxa"/>
            <w:tcBorders>
              <w:top w:val="single" w:sz="4" w:space="0" w:color="auto"/>
              <w:left w:val="single" w:sz="4" w:space="0" w:color="auto"/>
              <w:bottom w:val="single" w:sz="4" w:space="0" w:color="auto"/>
              <w:right w:val="single" w:sz="4" w:space="0" w:color="auto"/>
            </w:tcBorders>
          </w:tcPr>
          <w:p w14:paraId="4BCF4A55" w14:textId="77777777" w:rsidR="006169A4" w:rsidRPr="008479E5" w:rsidRDefault="006169A4" w:rsidP="000A0D28">
            <w:pPr>
              <w:rPr>
                <w:rFonts w:cstheme="minorHAnsi"/>
              </w:rPr>
            </w:pPr>
            <w:r w:rsidRPr="008479E5">
              <w:rPr>
                <w:rFonts w:cstheme="minorHAnsi"/>
              </w:rPr>
              <w:t>Associate Service Fellow</w:t>
            </w:r>
          </w:p>
        </w:tc>
        <w:tc>
          <w:tcPr>
            <w:tcW w:w="1614" w:type="dxa"/>
            <w:tcBorders>
              <w:top w:val="single" w:sz="4" w:space="0" w:color="auto"/>
              <w:left w:val="single" w:sz="4" w:space="0" w:color="auto"/>
              <w:bottom w:val="single" w:sz="4" w:space="0" w:color="auto"/>
              <w:right w:val="single" w:sz="4" w:space="0" w:color="auto"/>
            </w:tcBorders>
          </w:tcPr>
          <w:p w14:paraId="6A6379D7" w14:textId="77777777" w:rsidR="006169A4" w:rsidRPr="008479E5" w:rsidRDefault="006169A4" w:rsidP="000A0D28">
            <w:pPr>
              <w:jc w:val="center"/>
              <w:rPr>
                <w:rFonts w:cstheme="minorHAnsi"/>
              </w:rPr>
            </w:pPr>
            <w:r w:rsidRPr="008479E5">
              <w:rPr>
                <w:rFonts w:cstheme="minorHAnsi"/>
              </w:rPr>
              <w:t>11</w:t>
            </w:r>
          </w:p>
        </w:tc>
        <w:tc>
          <w:tcPr>
            <w:tcW w:w="1614" w:type="dxa"/>
            <w:tcBorders>
              <w:top w:val="single" w:sz="4" w:space="0" w:color="auto"/>
              <w:left w:val="single" w:sz="4" w:space="0" w:color="auto"/>
              <w:bottom w:val="single" w:sz="4" w:space="0" w:color="auto"/>
              <w:right w:val="single" w:sz="4" w:space="0" w:color="auto"/>
            </w:tcBorders>
          </w:tcPr>
          <w:p w14:paraId="05461A94" w14:textId="77777777" w:rsidR="006169A4" w:rsidRPr="008479E5" w:rsidRDefault="006169A4" w:rsidP="000A0D28">
            <w:pPr>
              <w:jc w:val="center"/>
              <w:rPr>
                <w:rFonts w:cstheme="minorHAnsi"/>
              </w:rPr>
            </w:pPr>
            <w:r w:rsidRPr="008479E5">
              <w:rPr>
                <w:rFonts w:cstheme="minorHAnsi"/>
              </w:rPr>
              <w:t>$72,863</w:t>
            </w:r>
          </w:p>
        </w:tc>
        <w:tc>
          <w:tcPr>
            <w:tcW w:w="1614" w:type="dxa"/>
            <w:tcBorders>
              <w:top w:val="single" w:sz="4" w:space="0" w:color="auto"/>
              <w:left w:val="single" w:sz="4" w:space="0" w:color="auto"/>
              <w:bottom w:val="single" w:sz="4" w:space="0" w:color="auto"/>
              <w:right w:val="single" w:sz="4" w:space="0" w:color="auto"/>
            </w:tcBorders>
          </w:tcPr>
          <w:p w14:paraId="6D7661B3" w14:textId="77777777" w:rsidR="006169A4" w:rsidRPr="008479E5" w:rsidRDefault="006169A4" w:rsidP="000A0D28">
            <w:pPr>
              <w:jc w:val="center"/>
              <w:rPr>
                <w:rFonts w:cstheme="minorHAnsi"/>
              </w:rPr>
            </w:pPr>
            <w:r w:rsidRPr="008479E5">
              <w:rPr>
                <w:rFonts w:cstheme="minorHAnsi"/>
              </w:rPr>
              <w:t>50</w:t>
            </w:r>
          </w:p>
        </w:tc>
        <w:tc>
          <w:tcPr>
            <w:tcW w:w="1614" w:type="dxa"/>
            <w:tcBorders>
              <w:top w:val="single" w:sz="4" w:space="0" w:color="auto"/>
              <w:left w:val="single" w:sz="4" w:space="0" w:color="auto"/>
              <w:bottom w:val="single" w:sz="4" w:space="0" w:color="auto"/>
              <w:right w:val="single" w:sz="4" w:space="0" w:color="auto"/>
            </w:tcBorders>
            <w:vAlign w:val="center"/>
          </w:tcPr>
          <w:p w14:paraId="718F0A3C" w14:textId="77777777" w:rsidR="006169A4" w:rsidRPr="008479E5" w:rsidRDefault="006169A4" w:rsidP="000A0D28">
            <w:pPr>
              <w:jc w:val="right"/>
              <w:rPr>
                <w:rFonts w:cstheme="minorHAnsi"/>
                <w:color w:val="000000"/>
              </w:rPr>
            </w:pPr>
            <w:r w:rsidRPr="008479E5">
              <w:rPr>
                <w:rFonts w:cstheme="minorHAnsi"/>
                <w:color w:val="000000"/>
              </w:rPr>
              <w:t xml:space="preserve">$36,431.50 </w:t>
            </w:r>
          </w:p>
        </w:tc>
      </w:tr>
      <w:tr w:rsidR="006169A4" w:rsidRPr="008479E5" w14:paraId="366210AE" w14:textId="77777777" w:rsidTr="000A0D28">
        <w:tc>
          <w:tcPr>
            <w:tcW w:w="2894" w:type="dxa"/>
            <w:tcBorders>
              <w:top w:val="single" w:sz="4" w:space="0" w:color="auto"/>
              <w:left w:val="single" w:sz="4" w:space="0" w:color="auto"/>
              <w:bottom w:val="double" w:sz="4" w:space="0" w:color="auto"/>
              <w:right w:val="single" w:sz="4" w:space="0" w:color="auto"/>
            </w:tcBorders>
          </w:tcPr>
          <w:p w14:paraId="6B2AA2E3" w14:textId="77777777" w:rsidR="006169A4" w:rsidRPr="008479E5" w:rsidRDefault="006169A4" w:rsidP="000A0D28">
            <w:pPr>
              <w:rPr>
                <w:rFonts w:cstheme="minorHAnsi"/>
              </w:rPr>
            </w:pPr>
          </w:p>
        </w:tc>
        <w:tc>
          <w:tcPr>
            <w:tcW w:w="1614" w:type="dxa"/>
            <w:tcBorders>
              <w:top w:val="single" w:sz="4" w:space="0" w:color="auto"/>
              <w:left w:val="single" w:sz="4" w:space="0" w:color="auto"/>
              <w:bottom w:val="double" w:sz="4" w:space="0" w:color="auto"/>
              <w:right w:val="single" w:sz="4" w:space="0" w:color="auto"/>
            </w:tcBorders>
          </w:tcPr>
          <w:p w14:paraId="5DB7DE4B" w14:textId="77777777" w:rsidR="006169A4" w:rsidRPr="008479E5" w:rsidRDefault="006169A4" w:rsidP="000A0D28">
            <w:pPr>
              <w:jc w:val="center"/>
              <w:rPr>
                <w:rFonts w:cstheme="minorHAnsi"/>
              </w:rPr>
            </w:pPr>
          </w:p>
        </w:tc>
        <w:tc>
          <w:tcPr>
            <w:tcW w:w="1614" w:type="dxa"/>
            <w:tcBorders>
              <w:top w:val="single" w:sz="4" w:space="0" w:color="auto"/>
              <w:left w:val="single" w:sz="4" w:space="0" w:color="auto"/>
              <w:bottom w:val="double" w:sz="4" w:space="0" w:color="auto"/>
              <w:right w:val="single" w:sz="4" w:space="0" w:color="auto"/>
            </w:tcBorders>
          </w:tcPr>
          <w:p w14:paraId="71D7B896" w14:textId="77777777" w:rsidR="006169A4" w:rsidRPr="008479E5" w:rsidRDefault="006169A4" w:rsidP="000A0D28">
            <w:pPr>
              <w:jc w:val="center"/>
              <w:rPr>
                <w:rFonts w:cstheme="minorHAnsi"/>
              </w:rPr>
            </w:pPr>
          </w:p>
        </w:tc>
        <w:tc>
          <w:tcPr>
            <w:tcW w:w="1614" w:type="dxa"/>
            <w:tcBorders>
              <w:top w:val="single" w:sz="4" w:space="0" w:color="auto"/>
              <w:left w:val="single" w:sz="4" w:space="0" w:color="auto"/>
              <w:bottom w:val="double" w:sz="4" w:space="0" w:color="auto"/>
              <w:right w:val="single" w:sz="4" w:space="0" w:color="auto"/>
            </w:tcBorders>
          </w:tcPr>
          <w:p w14:paraId="7BD14E6C" w14:textId="77777777" w:rsidR="006169A4" w:rsidRPr="008479E5" w:rsidRDefault="006169A4" w:rsidP="000A0D28">
            <w:pPr>
              <w:jc w:val="center"/>
              <w:rPr>
                <w:rFonts w:cstheme="minorHAnsi"/>
              </w:rPr>
            </w:pPr>
          </w:p>
        </w:tc>
        <w:tc>
          <w:tcPr>
            <w:tcW w:w="1614" w:type="dxa"/>
            <w:tcBorders>
              <w:top w:val="single" w:sz="4" w:space="0" w:color="auto"/>
              <w:left w:val="single" w:sz="4" w:space="0" w:color="auto"/>
              <w:bottom w:val="double" w:sz="4" w:space="0" w:color="auto"/>
              <w:right w:val="single" w:sz="4" w:space="0" w:color="auto"/>
            </w:tcBorders>
            <w:vAlign w:val="center"/>
          </w:tcPr>
          <w:p w14:paraId="27BA6FDC" w14:textId="77777777" w:rsidR="006169A4" w:rsidRPr="008479E5" w:rsidRDefault="006169A4" w:rsidP="000A0D28">
            <w:pPr>
              <w:jc w:val="right"/>
              <w:rPr>
                <w:rFonts w:cstheme="minorHAnsi"/>
                <w:color w:val="000000"/>
              </w:rPr>
            </w:pPr>
            <w:r w:rsidRPr="008479E5">
              <w:rPr>
                <w:rFonts w:cstheme="minorHAnsi"/>
                <w:color w:val="000000"/>
              </w:rPr>
              <w:t> </w:t>
            </w:r>
          </w:p>
        </w:tc>
      </w:tr>
      <w:tr w:rsidR="006169A4" w:rsidRPr="008479E5" w14:paraId="0FA55525" w14:textId="77777777" w:rsidTr="000A0D28">
        <w:tc>
          <w:tcPr>
            <w:tcW w:w="7736" w:type="dxa"/>
            <w:gridSpan w:val="4"/>
            <w:tcBorders>
              <w:top w:val="double" w:sz="4" w:space="0" w:color="auto"/>
              <w:left w:val="single" w:sz="4" w:space="0" w:color="auto"/>
              <w:bottom w:val="single" w:sz="4" w:space="0" w:color="auto"/>
              <w:right w:val="single" w:sz="4" w:space="0" w:color="auto"/>
            </w:tcBorders>
            <w:hideMark/>
          </w:tcPr>
          <w:p w14:paraId="6B26C12B" w14:textId="77777777" w:rsidR="006169A4" w:rsidRPr="008479E5" w:rsidRDefault="006169A4" w:rsidP="000A0D28">
            <w:pPr>
              <w:rPr>
                <w:rFonts w:cstheme="minorHAnsi"/>
              </w:rPr>
            </w:pPr>
            <w:r w:rsidRPr="008479E5">
              <w:rPr>
                <w:rFonts w:cstheme="minorHAnsi"/>
              </w:rPr>
              <w:t>Other</w:t>
            </w:r>
          </w:p>
        </w:tc>
        <w:tc>
          <w:tcPr>
            <w:tcW w:w="1614" w:type="dxa"/>
            <w:tcBorders>
              <w:top w:val="double" w:sz="4" w:space="0" w:color="auto"/>
              <w:left w:val="single" w:sz="4" w:space="0" w:color="auto"/>
              <w:bottom w:val="single" w:sz="4" w:space="0" w:color="auto"/>
              <w:right w:val="single" w:sz="4" w:space="0" w:color="auto"/>
            </w:tcBorders>
            <w:hideMark/>
          </w:tcPr>
          <w:p w14:paraId="48CD8648" w14:textId="77777777" w:rsidR="006169A4" w:rsidRPr="008479E5" w:rsidRDefault="006169A4" w:rsidP="000A0D28">
            <w:pPr>
              <w:jc w:val="center"/>
              <w:rPr>
                <w:rFonts w:cstheme="minorHAnsi"/>
              </w:rPr>
            </w:pPr>
            <w:r w:rsidRPr="008479E5">
              <w:rPr>
                <w:rFonts w:cstheme="minorHAnsi"/>
              </w:rPr>
              <w:t>$ Cost</w:t>
            </w:r>
          </w:p>
        </w:tc>
      </w:tr>
      <w:tr w:rsidR="006169A4" w:rsidRPr="008479E5" w14:paraId="60293618" w14:textId="77777777" w:rsidTr="000A0D28">
        <w:tc>
          <w:tcPr>
            <w:tcW w:w="7736" w:type="dxa"/>
            <w:gridSpan w:val="4"/>
            <w:tcBorders>
              <w:top w:val="single" w:sz="4" w:space="0" w:color="auto"/>
              <w:left w:val="single" w:sz="4" w:space="0" w:color="auto"/>
              <w:bottom w:val="single" w:sz="4" w:space="0" w:color="auto"/>
              <w:right w:val="single" w:sz="4" w:space="0" w:color="auto"/>
            </w:tcBorders>
            <w:hideMark/>
          </w:tcPr>
          <w:p w14:paraId="54C02FE0" w14:textId="77777777" w:rsidR="006169A4" w:rsidRPr="008479E5" w:rsidRDefault="006169A4" w:rsidP="000A0D28">
            <w:pPr>
              <w:rPr>
                <w:rFonts w:cstheme="minorHAnsi"/>
              </w:rPr>
            </w:pPr>
            <w:r w:rsidRPr="008479E5">
              <w:rPr>
                <w:rFonts w:cstheme="minorHAnsi"/>
              </w:rPr>
              <w:t>Contracts (list out all types)</w:t>
            </w:r>
          </w:p>
        </w:tc>
        <w:tc>
          <w:tcPr>
            <w:tcW w:w="1614" w:type="dxa"/>
            <w:tcBorders>
              <w:top w:val="single" w:sz="4" w:space="0" w:color="auto"/>
              <w:left w:val="single" w:sz="4" w:space="0" w:color="auto"/>
              <w:bottom w:val="single" w:sz="4" w:space="0" w:color="auto"/>
              <w:right w:val="single" w:sz="4" w:space="0" w:color="auto"/>
            </w:tcBorders>
          </w:tcPr>
          <w:p w14:paraId="6BF9907F" w14:textId="77777777" w:rsidR="006169A4" w:rsidRPr="008479E5" w:rsidRDefault="006169A4" w:rsidP="000A0D28">
            <w:pPr>
              <w:jc w:val="right"/>
              <w:rPr>
                <w:rFonts w:cstheme="minorHAnsi"/>
              </w:rPr>
            </w:pPr>
          </w:p>
        </w:tc>
      </w:tr>
      <w:tr w:rsidR="006169A4" w:rsidRPr="008479E5" w14:paraId="6106946A" w14:textId="77777777" w:rsidTr="000A0D28">
        <w:trPr>
          <w:trHeight w:val="251"/>
        </w:trPr>
        <w:tc>
          <w:tcPr>
            <w:tcW w:w="7736" w:type="dxa"/>
            <w:gridSpan w:val="4"/>
            <w:tcBorders>
              <w:top w:val="single" w:sz="4" w:space="0" w:color="auto"/>
              <w:left w:val="single" w:sz="4" w:space="0" w:color="auto"/>
              <w:bottom w:val="single" w:sz="4" w:space="0" w:color="auto"/>
              <w:right w:val="single" w:sz="4" w:space="0" w:color="auto"/>
            </w:tcBorders>
          </w:tcPr>
          <w:p w14:paraId="280D2E88" w14:textId="77777777" w:rsidR="006169A4" w:rsidRPr="008479E5" w:rsidRDefault="006169A4" w:rsidP="000A0D28">
            <w:pPr>
              <w:rPr>
                <w:rFonts w:cstheme="minorHAnsi"/>
              </w:rPr>
            </w:pPr>
            <w:r w:rsidRPr="008479E5">
              <w:rPr>
                <w:rFonts w:cstheme="minorHAnsi"/>
              </w:rPr>
              <w:t>Pease PFAS Health Study (PR #: 000HJAAM-2019-29724; PIIN: 200-2018-01410)</w:t>
            </w:r>
          </w:p>
        </w:tc>
        <w:tc>
          <w:tcPr>
            <w:tcW w:w="1614" w:type="dxa"/>
            <w:tcBorders>
              <w:top w:val="single" w:sz="4" w:space="0" w:color="auto"/>
              <w:left w:val="single" w:sz="4" w:space="0" w:color="auto"/>
              <w:bottom w:val="single" w:sz="4" w:space="0" w:color="auto"/>
              <w:right w:val="single" w:sz="4" w:space="0" w:color="auto"/>
            </w:tcBorders>
          </w:tcPr>
          <w:p w14:paraId="1CBEDBE5" w14:textId="77777777" w:rsidR="006169A4" w:rsidRPr="008479E5" w:rsidRDefault="006169A4" w:rsidP="000A0D28">
            <w:pPr>
              <w:jc w:val="right"/>
              <w:rPr>
                <w:rFonts w:cstheme="minorHAnsi"/>
              </w:rPr>
            </w:pPr>
            <w:r w:rsidRPr="008479E5">
              <w:rPr>
                <w:rFonts w:cstheme="minorHAnsi"/>
              </w:rPr>
              <w:t>$1,333,219</w:t>
            </w:r>
          </w:p>
        </w:tc>
      </w:tr>
      <w:tr w:rsidR="006169A4" w:rsidRPr="008479E5" w14:paraId="3997D7F8" w14:textId="77777777" w:rsidTr="000A0D28">
        <w:tc>
          <w:tcPr>
            <w:tcW w:w="7736" w:type="dxa"/>
            <w:gridSpan w:val="4"/>
            <w:tcBorders>
              <w:top w:val="single" w:sz="4" w:space="0" w:color="auto"/>
              <w:left w:val="single" w:sz="4" w:space="0" w:color="auto"/>
              <w:bottom w:val="single" w:sz="4" w:space="0" w:color="auto"/>
              <w:right w:val="single" w:sz="4" w:space="0" w:color="auto"/>
            </w:tcBorders>
            <w:hideMark/>
          </w:tcPr>
          <w:p w14:paraId="54789780" w14:textId="77777777" w:rsidR="006169A4" w:rsidRPr="008479E5" w:rsidRDefault="006169A4" w:rsidP="000A0D28">
            <w:pPr>
              <w:rPr>
                <w:rFonts w:cstheme="minorHAnsi"/>
              </w:rPr>
            </w:pPr>
            <w:r w:rsidRPr="008479E5">
              <w:rPr>
                <w:rFonts w:cstheme="minorHAnsi"/>
              </w:rPr>
              <w:t>Travel (PR #: 000HJAAM-2019-29724; PIIN: 200-2018-01410)</w:t>
            </w:r>
          </w:p>
        </w:tc>
        <w:tc>
          <w:tcPr>
            <w:tcW w:w="1614" w:type="dxa"/>
            <w:tcBorders>
              <w:top w:val="single" w:sz="4" w:space="0" w:color="auto"/>
              <w:left w:val="single" w:sz="4" w:space="0" w:color="auto"/>
              <w:bottom w:val="single" w:sz="4" w:space="0" w:color="auto"/>
              <w:right w:val="single" w:sz="4" w:space="0" w:color="auto"/>
            </w:tcBorders>
          </w:tcPr>
          <w:p w14:paraId="3158E00B" w14:textId="77777777" w:rsidR="006169A4" w:rsidRPr="008479E5" w:rsidRDefault="006169A4" w:rsidP="000A0D28">
            <w:pPr>
              <w:jc w:val="right"/>
              <w:rPr>
                <w:rFonts w:cstheme="minorHAnsi"/>
              </w:rPr>
            </w:pPr>
            <w:r w:rsidRPr="008479E5">
              <w:rPr>
                <w:rFonts w:cstheme="minorHAnsi"/>
              </w:rPr>
              <w:t>$16,667</w:t>
            </w:r>
          </w:p>
        </w:tc>
      </w:tr>
      <w:tr w:rsidR="006169A4" w:rsidRPr="008479E5" w14:paraId="4818E57D" w14:textId="77777777" w:rsidTr="000A0D28">
        <w:tc>
          <w:tcPr>
            <w:tcW w:w="7736" w:type="dxa"/>
            <w:gridSpan w:val="4"/>
            <w:tcBorders>
              <w:top w:val="single" w:sz="4" w:space="0" w:color="auto"/>
              <w:left w:val="single" w:sz="4" w:space="0" w:color="auto"/>
              <w:bottom w:val="double" w:sz="4" w:space="0" w:color="auto"/>
              <w:right w:val="single" w:sz="4" w:space="0" w:color="auto"/>
            </w:tcBorders>
          </w:tcPr>
          <w:p w14:paraId="114513FF" w14:textId="77777777" w:rsidR="006169A4" w:rsidRPr="008479E5" w:rsidRDefault="006169A4" w:rsidP="000A0D28">
            <w:pPr>
              <w:rPr>
                <w:rFonts w:cstheme="minorHAnsi"/>
              </w:rPr>
            </w:pPr>
          </w:p>
        </w:tc>
        <w:tc>
          <w:tcPr>
            <w:tcW w:w="1614" w:type="dxa"/>
            <w:tcBorders>
              <w:top w:val="single" w:sz="4" w:space="0" w:color="auto"/>
              <w:left w:val="single" w:sz="4" w:space="0" w:color="auto"/>
              <w:bottom w:val="double" w:sz="4" w:space="0" w:color="auto"/>
              <w:right w:val="single" w:sz="4" w:space="0" w:color="auto"/>
            </w:tcBorders>
          </w:tcPr>
          <w:p w14:paraId="221CDB61" w14:textId="77777777" w:rsidR="006169A4" w:rsidRPr="008479E5" w:rsidRDefault="006169A4" w:rsidP="000A0D28">
            <w:pPr>
              <w:jc w:val="right"/>
              <w:rPr>
                <w:rFonts w:cstheme="minorHAnsi"/>
              </w:rPr>
            </w:pPr>
          </w:p>
        </w:tc>
      </w:tr>
      <w:tr w:rsidR="006169A4" w:rsidRPr="008479E5" w14:paraId="0830F401" w14:textId="77777777" w:rsidTr="000A0D28">
        <w:tc>
          <w:tcPr>
            <w:tcW w:w="7736" w:type="dxa"/>
            <w:gridSpan w:val="4"/>
            <w:tcBorders>
              <w:top w:val="double" w:sz="4" w:space="0" w:color="auto"/>
              <w:left w:val="single" w:sz="4" w:space="0" w:color="auto"/>
              <w:bottom w:val="single" w:sz="4" w:space="0" w:color="auto"/>
              <w:right w:val="single" w:sz="4" w:space="0" w:color="auto"/>
            </w:tcBorders>
            <w:vAlign w:val="center"/>
            <w:hideMark/>
          </w:tcPr>
          <w:p w14:paraId="7E28D0A9" w14:textId="77777777" w:rsidR="006169A4" w:rsidRPr="008479E5" w:rsidRDefault="006169A4" w:rsidP="000A0D28">
            <w:pPr>
              <w:rPr>
                <w:rFonts w:cstheme="minorHAnsi"/>
              </w:rPr>
            </w:pPr>
            <w:r w:rsidRPr="008479E5">
              <w:rPr>
                <w:rFonts w:cstheme="minorHAnsi"/>
              </w:rPr>
              <w:t>Total</w:t>
            </w:r>
          </w:p>
        </w:tc>
        <w:tc>
          <w:tcPr>
            <w:tcW w:w="1614" w:type="dxa"/>
            <w:tcBorders>
              <w:top w:val="double" w:sz="4" w:space="0" w:color="auto"/>
              <w:left w:val="single" w:sz="4" w:space="0" w:color="auto"/>
              <w:bottom w:val="single" w:sz="4" w:space="0" w:color="auto"/>
              <w:right w:val="single" w:sz="4" w:space="0" w:color="auto"/>
            </w:tcBorders>
          </w:tcPr>
          <w:p w14:paraId="7ED9E4F1" w14:textId="77777777" w:rsidR="006169A4" w:rsidRPr="00347E49" w:rsidRDefault="006169A4" w:rsidP="000A0D28">
            <w:pPr>
              <w:jc w:val="right"/>
              <w:rPr>
                <w:rFonts w:cstheme="minorHAnsi"/>
                <w:color w:val="000000"/>
              </w:rPr>
            </w:pPr>
            <w:r w:rsidRPr="008479E5">
              <w:rPr>
                <w:rFonts w:cstheme="minorHAnsi"/>
                <w:color w:val="000000"/>
              </w:rPr>
              <w:t xml:space="preserve">$1,629,467.70 </w:t>
            </w:r>
          </w:p>
        </w:tc>
      </w:tr>
    </w:tbl>
    <w:p w14:paraId="184A578E" w14:textId="0795F1CC" w:rsidR="006169A4" w:rsidRDefault="006169A4" w:rsidP="00F37E95">
      <w:pPr>
        <w:autoSpaceDE w:val="0"/>
        <w:autoSpaceDN w:val="0"/>
        <w:adjustRightInd w:val="0"/>
        <w:spacing w:line="276" w:lineRule="auto"/>
        <w:rPr>
          <w:rFonts w:cs="ITCFranklinGothicStd-Book"/>
          <w:sz w:val="24"/>
          <w:szCs w:val="24"/>
        </w:rPr>
      </w:pPr>
    </w:p>
    <w:p w14:paraId="2314A6FA" w14:textId="58EF1C4D" w:rsidR="00B45002" w:rsidRPr="00D20211" w:rsidRDefault="00601F1A" w:rsidP="00B53FD6">
      <w:pPr>
        <w:pStyle w:val="Heading1"/>
        <w:pBdr>
          <w:bottom w:val="none" w:sz="0" w:space="0" w:color="auto"/>
        </w:pBdr>
        <w:rPr>
          <w:rFonts w:cs="ITCFranklinGothicStd-Demi"/>
          <w:color w:val="auto"/>
          <w:sz w:val="24"/>
          <w:szCs w:val="24"/>
        </w:rPr>
      </w:pPr>
      <w:bookmarkStart w:id="21" w:name="_Toc532912787"/>
      <w:r w:rsidRPr="00D20211">
        <w:rPr>
          <w:color w:val="auto"/>
        </w:rPr>
        <w:t>A.</w:t>
      </w:r>
      <w:r w:rsidR="00AC62CC" w:rsidRPr="00D20211">
        <w:rPr>
          <w:color w:val="auto"/>
        </w:rPr>
        <w:t xml:space="preserve">15.  </w:t>
      </w:r>
      <w:r w:rsidR="00B45002" w:rsidRPr="00D20211">
        <w:rPr>
          <w:color w:val="auto"/>
        </w:rPr>
        <w:t>Explanation for Program Changes or Adjustments</w:t>
      </w:r>
      <w:bookmarkEnd w:id="21"/>
    </w:p>
    <w:p w14:paraId="1E5BA455" w14:textId="77777777" w:rsidR="007F6CB2" w:rsidRPr="00D20211" w:rsidRDefault="007F6CB2" w:rsidP="007F6CB2">
      <w:pPr>
        <w:spacing w:line="240" w:lineRule="auto"/>
        <w:rPr>
          <w:sz w:val="24"/>
          <w:szCs w:val="24"/>
        </w:rPr>
      </w:pPr>
    </w:p>
    <w:p w14:paraId="2D20FCA1" w14:textId="6673D53C" w:rsidR="00702BFD" w:rsidRPr="00B206FD" w:rsidRDefault="00702BFD" w:rsidP="00B206FD">
      <w:pPr>
        <w:spacing w:line="240" w:lineRule="auto"/>
        <w:rPr>
          <w:sz w:val="24"/>
          <w:szCs w:val="24"/>
        </w:rPr>
      </w:pPr>
      <w:r w:rsidRPr="00B206FD">
        <w:rPr>
          <w:sz w:val="24"/>
          <w:szCs w:val="24"/>
        </w:rPr>
        <w:t>This is a n</w:t>
      </w:r>
      <w:r w:rsidR="00B206FD">
        <w:rPr>
          <w:sz w:val="24"/>
          <w:szCs w:val="24"/>
        </w:rPr>
        <w:t>ew data/information collection.</w:t>
      </w:r>
    </w:p>
    <w:p w14:paraId="6A569BBC" w14:textId="7FC870CA" w:rsidR="00B45002" w:rsidRPr="00D20211" w:rsidRDefault="00601F1A" w:rsidP="00601F1A">
      <w:pPr>
        <w:pStyle w:val="Heading1"/>
        <w:pBdr>
          <w:bottom w:val="none" w:sz="0" w:space="0" w:color="auto"/>
        </w:pBdr>
        <w:rPr>
          <w:color w:val="auto"/>
        </w:rPr>
      </w:pPr>
      <w:bookmarkStart w:id="22" w:name="_Toc532912788"/>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22"/>
    </w:p>
    <w:p w14:paraId="04966E2D" w14:textId="77777777" w:rsidR="003248A4" w:rsidRPr="00D20211" w:rsidRDefault="003248A4" w:rsidP="003248A4"/>
    <w:p w14:paraId="4E61ED62" w14:textId="10FA05F0" w:rsidR="00997466" w:rsidRDefault="00997466" w:rsidP="00997466">
      <w:pPr>
        <w:autoSpaceDE w:val="0"/>
        <w:autoSpaceDN w:val="0"/>
        <w:adjustRightInd w:val="0"/>
        <w:spacing w:line="240" w:lineRule="auto"/>
        <w:rPr>
          <w:rFonts w:cstheme="minorHAnsi"/>
          <w:sz w:val="24"/>
          <w:szCs w:val="24"/>
        </w:rPr>
      </w:pPr>
      <w:r>
        <w:rPr>
          <w:rFonts w:cstheme="minorHAnsi"/>
          <w:sz w:val="24"/>
          <w:szCs w:val="24"/>
        </w:rPr>
        <w:t>The 2018 N</w:t>
      </w:r>
      <w:r w:rsidR="00F72CED">
        <w:rPr>
          <w:rFonts w:cstheme="minorHAnsi"/>
          <w:sz w:val="24"/>
          <w:szCs w:val="24"/>
        </w:rPr>
        <w:t>ational Defense Authorization Act (NDAA)</w:t>
      </w:r>
      <w:r>
        <w:rPr>
          <w:rFonts w:cstheme="minorHAnsi"/>
          <w:sz w:val="24"/>
          <w:szCs w:val="24"/>
        </w:rPr>
        <w:t xml:space="preserve"> (</w:t>
      </w:r>
      <w:r w:rsidRPr="00997466">
        <w:rPr>
          <w:rFonts w:cstheme="minorHAnsi"/>
          <w:sz w:val="24"/>
          <w:szCs w:val="24"/>
        </w:rPr>
        <w:t>PL 115-91</w:t>
      </w:r>
      <w:r>
        <w:rPr>
          <w:rFonts w:cstheme="minorHAnsi"/>
          <w:sz w:val="24"/>
          <w:szCs w:val="24"/>
        </w:rPr>
        <w:t>)</w:t>
      </w:r>
      <w:r w:rsidRPr="00997466">
        <w:rPr>
          <w:rFonts w:cstheme="minorHAnsi"/>
          <w:sz w:val="24"/>
          <w:szCs w:val="24"/>
        </w:rPr>
        <w:t xml:space="preserve"> </w:t>
      </w:r>
      <w:r>
        <w:rPr>
          <w:rFonts w:cstheme="minorHAnsi"/>
          <w:sz w:val="24"/>
          <w:szCs w:val="24"/>
        </w:rPr>
        <w:t>was enacted on 12/12/2017</w:t>
      </w:r>
      <w:r w:rsidR="00F72CED">
        <w:rPr>
          <w:rFonts w:cstheme="minorHAnsi"/>
          <w:sz w:val="24"/>
          <w:szCs w:val="24"/>
        </w:rPr>
        <w:t>, and serves as a guide for the scope of the study for which appropriations were authorized under the Consolidated Appropriations Act, 2018 (PL 115-141) (</w:t>
      </w:r>
      <w:r w:rsidR="00F72CED">
        <w:rPr>
          <w:rFonts w:cstheme="minorHAnsi"/>
          <w:b/>
          <w:sz w:val="24"/>
          <w:szCs w:val="24"/>
        </w:rPr>
        <w:t>Appendix A</w:t>
      </w:r>
      <w:r w:rsidR="00F72CED">
        <w:rPr>
          <w:rFonts w:cstheme="minorHAnsi"/>
          <w:sz w:val="24"/>
          <w:szCs w:val="24"/>
        </w:rPr>
        <w:t>)</w:t>
      </w:r>
      <w:r>
        <w:rPr>
          <w:rFonts w:cstheme="minorHAnsi"/>
          <w:sz w:val="24"/>
          <w:szCs w:val="24"/>
        </w:rPr>
        <w:t>. It specifies that “</w:t>
      </w:r>
      <w:r w:rsidRPr="00997466">
        <w:rPr>
          <w:rFonts w:cstheme="minorHAnsi"/>
          <w:sz w:val="24"/>
          <w:szCs w:val="24"/>
        </w:rPr>
        <w:t>not later than 5 years after the date of enactment of this Act (or 7 years after such date of enactment after providing notice to the appropriate congressional commit</w:t>
      </w:r>
      <w:r>
        <w:rPr>
          <w:rFonts w:cstheme="minorHAnsi"/>
          <w:sz w:val="24"/>
          <w:szCs w:val="24"/>
        </w:rPr>
        <w:t>tees of the need for the delay)</w:t>
      </w:r>
      <w:r w:rsidR="007A234C">
        <w:rPr>
          <w:rFonts w:cstheme="minorHAnsi"/>
          <w:sz w:val="24"/>
          <w:szCs w:val="24"/>
        </w:rPr>
        <w:t>,</w:t>
      </w:r>
      <w:r>
        <w:rPr>
          <w:rFonts w:cstheme="minorHAnsi"/>
          <w:sz w:val="24"/>
          <w:szCs w:val="24"/>
        </w:rPr>
        <w:t>” that ATSDR is to</w:t>
      </w:r>
      <w:r w:rsidRPr="00997466">
        <w:rPr>
          <w:rFonts w:cstheme="minorHAnsi"/>
          <w:sz w:val="24"/>
          <w:szCs w:val="24"/>
        </w:rPr>
        <w:t xml:space="preserve"> complete such study and make any appropriate recommendations; and</w:t>
      </w:r>
      <w:r>
        <w:rPr>
          <w:rFonts w:cstheme="minorHAnsi"/>
          <w:sz w:val="24"/>
          <w:szCs w:val="24"/>
        </w:rPr>
        <w:t xml:space="preserve"> </w:t>
      </w:r>
      <w:r w:rsidRPr="00997466">
        <w:rPr>
          <w:rFonts w:cstheme="minorHAnsi"/>
          <w:sz w:val="24"/>
          <w:szCs w:val="24"/>
        </w:rPr>
        <w:t>submit a report to the appropriate congressional committees o</w:t>
      </w:r>
      <w:r>
        <w:rPr>
          <w:rFonts w:cstheme="minorHAnsi"/>
          <w:sz w:val="24"/>
          <w:szCs w:val="24"/>
        </w:rPr>
        <w:t xml:space="preserve">n the results of such study. </w:t>
      </w:r>
    </w:p>
    <w:p w14:paraId="5776BDC1" w14:textId="03146E18" w:rsidR="003C21A1" w:rsidRPr="00997466" w:rsidRDefault="00997466" w:rsidP="00997466">
      <w:pPr>
        <w:autoSpaceDE w:val="0"/>
        <w:autoSpaceDN w:val="0"/>
        <w:adjustRightInd w:val="0"/>
        <w:spacing w:line="240" w:lineRule="auto"/>
        <w:rPr>
          <w:rFonts w:cstheme="minorHAnsi"/>
          <w:sz w:val="24"/>
          <w:szCs w:val="24"/>
        </w:rPr>
      </w:pPr>
      <w:r>
        <w:rPr>
          <w:rFonts w:cstheme="minorHAnsi"/>
          <w:sz w:val="24"/>
          <w:szCs w:val="24"/>
        </w:rPr>
        <w:t xml:space="preserve">Therefore, ATSDR aims to complete the data collection by the end of 2021 (approximately 3 years), and to complete data analysis and reports by the end of 2023 (5 years). </w:t>
      </w:r>
    </w:p>
    <w:p w14:paraId="79B9C28F" w14:textId="77777777" w:rsidR="00E70205" w:rsidRDefault="00E70205" w:rsidP="002E5219">
      <w:pPr>
        <w:spacing w:after="0" w:line="240" w:lineRule="auto"/>
        <w:rPr>
          <w:rFonts w:cs="ITCFranklinGothicStd-Book"/>
        </w:rPr>
      </w:pPr>
    </w:p>
    <w:p w14:paraId="015A75DA" w14:textId="1A3B8DC0" w:rsidR="003C21A1" w:rsidRPr="008479E5" w:rsidRDefault="003C21A1" w:rsidP="002E5219">
      <w:pPr>
        <w:spacing w:after="0" w:line="240" w:lineRule="auto"/>
        <w:rPr>
          <w:rFonts w:cs="ITCFranklinGothicStd-Book"/>
        </w:rPr>
      </w:pPr>
      <w:r w:rsidRPr="008479E5">
        <w:rPr>
          <w:rFonts w:cs="ITCFranklinGothicStd-Book"/>
        </w:rPr>
        <w:t>Table A.16.1</w:t>
      </w:r>
      <w:r w:rsidR="002E5219" w:rsidRPr="008479E5">
        <w:rPr>
          <w:rFonts w:cs="ITCFranklinGothicStd-Book"/>
        </w:rPr>
        <w:t>. Project Time Schedule</w:t>
      </w:r>
    </w:p>
    <w:tbl>
      <w:tblPr>
        <w:tblStyle w:val="TableGrid"/>
        <w:tblW w:w="0" w:type="auto"/>
        <w:tblLook w:val="04A0" w:firstRow="1" w:lastRow="0" w:firstColumn="1" w:lastColumn="0" w:noHBand="0" w:noVBand="1"/>
      </w:tblPr>
      <w:tblGrid>
        <w:gridCol w:w="4675"/>
        <w:gridCol w:w="4675"/>
      </w:tblGrid>
      <w:tr w:rsidR="00D20211" w:rsidRPr="008479E5" w14:paraId="638A7FA3" w14:textId="77777777" w:rsidTr="003C21A1">
        <w:tc>
          <w:tcPr>
            <w:tcW w:w="4675" w:type="dxa"/>
          </w:tcPr>
          <w:p w14:paraId="0F7BC050" w14:textId="1628E485" w:rsidR="003C21A1" w:rsidRPr="008479E5" w:rsidRDefault="003C21A1" w:rsidP="003C21A1">
            <w:pPr>
              <w:jc w:val="center"/>
            </w:pPr>
            <w:r w:rsidRPr="008479E5">
              <w:t>Activity</w:t>
            </w:r>
          </w:p>
        </w:tc>
        <w:tc>
          <w:tcPr>
            <w:tcW w:w="4675" w:type="dxa"/>
          </w:tcPr>
          <w:p w14:paraId="198D79E8" w14:textId="39D38407" w:rsidR="003C21A1" w:rsidRPr="008479E5" w:rsidRDefault="003C21A1" w:rsidP="003C21A1">
            <w:pPr>
              <w:jc w:val="center"/>
            </w:pPr>
            <w:r w:rsidRPr="008479E5">
              <w:t>Time Schedule</w:t>
            </w:r>
          </w:p>
        </w:tc>
      </w:tr>
      <w:tr w:rsidR="00D20211" w:rsidRPr="008479E5" w14:paraId="67DDDE7C" w14:textId="77777777" w:rsidTr="003C21A1">
        <w:tc>
          <w:tcPr>
            <w:tcW w:w="4675" w:type="dxa"/>
          </w:tcPr>
          <w:p w14:paraId="534F7F8F" w14:textId="1C9B810E" w:rsidR="00F30919" w:rsidRPr="008479E5" w:rsidRDefault="00F30919" w:rsidP="00F30919">
            <w:pPr>
              <w:jc w:val="center"/>
            </w:pPr>
            <w:r w:rsidRPr="008479E5">
              <w:rPr>
                <w:rFonts w:cs="ITCFranklinGothicStd-BkCd"/>
              </w:rPr>
              <w:t>Letters sent to respondents</w:t>
            </w:r>
          </w:p>
        </w:tc>
        <w:tc>
          <w:tcPr>
            <w:tcW w:w="4675" w:type="dxa"/>
          </w:tcPr>
          <w:p w14:paraId="2BDD67A5" w14:textId="735D36FF" w:rsidR="00F30919" w:rsidRPr="008479E5" w:rsidRDefault="002E5219" w:rsidP="00F30919">
            <w:pPr>
              <w:jc w:val="center"/>
            </w:pPr>
            <w:r w:rsidRPr="008479E5">
              <w:rPr>
                <w:rFonts w:cs="ITCFranklinGothicStd-BkCd"/>
              </w:rPr>
              <w:t>1—4</w:t>
            </w:r>
            <w:r w:rsidR="00F30919" w:rsidRPr="008479E5">
              <w:rPr>
                <w:rFonts w:cs="ITCFranklinGothicStd-BkCd"/>
              </w:rPr>
              <w:t xml:space="preserve"> months after OMB approval</w:t>
            </w:r>
          </w:p>
        </w:tc>
      </w:tr>
      <w:tr w:rsidR="00D20211" w:rsidRPr="008479E5" w14:paraId="1DEC6E1E" w14:textId="77777777" w:rsidTr="003C21A1">
        <w:tc>
          <w:tcPr>
            <w:tcW w:w="4675" w:type="dxa"/>
          </w:tcPr>
          <w:p w14:paraId="45AD2811" w14:textId="6001F284" w:rsidR="00F30919" w:rsidRPr="008479E5" w:rsidRDefault="00F30919" w:rsidP="00F30919">
            <w:pPr>
              <w:jc w:val="center"/>
            </w:pPr>
            <w:r w:rsidRPr="008479E5">
              <w:rPr>
                <w:rFonts w:cs="ITCFranklinGothicStd-BkCd"/>
              </w:rPr>
              <w:t>Information/Data collection</w:t>
            </w:r>
          </w:p>
        </w:tc>
        <w:tc>
          <w:tcPr>
            <w:tcW w:w="4675" w:type="dxa"/>
          </w:tcPr>
          <w:p w14:paraId="1EE6F908" w14:textId="63A4451C" w:rsidR="00F30919" w:rsidRPr="008479E5" w:rsidRDefault="002E5219" w:rsidP="00F30919">
            <w:pPr>
              <w:jc w:val="center"/>
            </w:pPr>
            <w:r w:rsidRPr="008479E5">
              <w:rPr>
                <w:rFonts w:cs="ITCFranklinGothicStd-BkCd"/>
              </w:rPr>
              <w:t>5—30</w:t>
            </w:r>
            <w:r w:rsidR="00F30919" w:rsidRPr="008479E5">
              <w:rPr>
                <w:rFonts w:cs="ITCFranklinGothicStd-BkCd"/>
              </w:rPr>
              <w:t xml:space="preserve"> months after OMB approval</w:t>
            </w:r>
          </w:p>
        </w:tc>
      </w:tr>
      <w:tr w:rsidR="00D20211" w:rsidRPr="008479E5" w14:paraId="357BE735" w14:textId="77777777" w:rsidTr="003C21A1">
        <w:tc>
          <w:tcPr>
            <w:tcW w:w="4675" w:type="dxa"/>
          </w:tcPr>
          <w:p w14:paraId="12492FF2" w14:textId="7E0724C2" w:rsidR="00F30919" w:rsidRPr="008479E5" w:rsidRDefault="00F30919" w:rsidP="00F30919">
            <w:pPr>
              <w:jc w:val="center"/>
            </w:pPr>
            <w:r w:rsidRPr="008479E5">
              <w:rPr>
                <w:rFonts w:cs="ITCFranklinGothicStd-BkCd"/>
              </w:rPr>
              <w:t>Complete field work</w:t>
            </w:r>
          </w:p>
        </w:tc>
        <w:tc>
          <w:tcPr>
            <w:tcW w:w="4675" w:type="dxa"/>
          </w:tcPr>
          <w:p w14:paraId="1CC10F7D" w14:textId="789A3AF5" w:rsidR="00F30919" w:rsidRPr="008479E5" w:rsidRDefault="002E5219" w:rsidP="002E5219">
            <w:pPr>
              <w:jc w:val="center"/>
            </w:pPr>
            <w:r w:rsidRPr="008479E5">
              <w:rPr>
                <w:rFonts w:cs="ITCFranklinGothicStd-BkCd"/>
              </w:rPr>
              <w:t>31-32</w:t>
            </w:r>
            <w:r w:rsidR="00F30919" w:rsidRPr="008479E5">
              <w:rPr>
                <w:rFonts w:cs="ITCFranklinGothicStd-BkCd"/>
              </w:rPr>
              <w:t xml:space="preserve"> months after OMB approval</w:t>
            </w:r>
          </w:p>
        </w:tc>
      </w:tr>
      <w:tr w:rsidR="00D20211" w:rsidRPr="008479E5" w14:paraId="66553B6E" w14:textId="77777777" w:rsidTr="003C21A1">
        <w:tc>
          <w:tcPr>
            <w:tcW w:w="4675" w:type="dxa"/>
          </w:tcPr>
          <w:p w14:paraId="6D61A9F4" w14:textId="5D142B86" w:rsidR="00F30919" w:rsidRPr="008479E5" w:rsidRDefault="00F30919" w:rsidP="00F30919">
            <w:pPr>
              <w:jc w:val="center"/>
            </w:pPr>
            <w:r w:rsidRPr="008479E5">
              <w:rPr>
                <w:rFonts w:cs="ITCFranklinGothicStd-BkCd"/>
              </w:rPr>
              <w:t>Validation</w:t>
            </w:r>
          </w:p>
        </w:tc>
        <w:tc>
          <w:tcPr>
            <w:tcW w:w="4675" w:type="dxa"/>
          </w:tcPr>
          <w:p w14:paraId="56C1DD57" w14:textId="575AEABF" w:rsidR="00F30919" w:rsidRPr="008479E5" w:rsidRDefault="00452C6F" w:rsidP="00F30919">
            <w:pPr>
              <w:jc w:val="center"/>
            </w:pPr>
            <w:r w:rsidRPr="008479E5">
              <w:rPr>
                <w:rFonts w:cs="ITCFranklinGothicStd-BkCd"/>
              </w:rPr>
              <w:t>31</w:t>
            </w:r>
            <w:r w:rsidR="002E5219" w:rsidRPr="008479E5">
              <w:rPr>
                <w:rFonts w:cs="ITCFranklinGothicStd-BkCd"/>
              </w:rPr>
              <w:t>—</w:t>
            </w:r>
            <w:r w:rsidRPr="008479E5">
              <w:rPr>
                <w:rFonts w:cs="ITCFranklinGothicStd-BkCd"/>
              </w:rPr>
              <w:t>37</w:t>
            </w:r>
            <w:r w:rsidR="00F30919" w:rsidRPr="008479E5">
              <w:rPr>
                <w:rFonts w:cs="ITCFranklinGothicStd-BkCd"/>
              </w:rPr>
              <w:t xml:space="preserve"> months after OMB approval</w:t>
            </w:r>
          </w:p>
        </w:tc>
      </w:tr>
      <w:tr w:rsidR="00D20211" w:rsidRPr="008479E5" w14:paraId="6E24D274" w14:textId="77777777" w:rsidTr="003C21A1">
        <w:tc>
          <w:tcPr>
            <w:tcW w:w="4675" w:type="dxa"/>
          </w:tcPr>
          <w:p w14:paraId="6ED5C938" w14:textId="59643BCD" w:rsidR="00F30919" w:rsidRPr="008479E5" w:rsidRDefault="00F30919" w:rsidP="00F30919">
            <w:pPr>
              <w:jc w:val="center"/>
            </w:pPr>
            <w:r w:rsidRPr="008479E5">
              <w:rPr>
                <w:rFonts w:cs="ITCFranklinGothicStd-BkCd"/>
              </w:rPr>
              <w:t>Analyses</w:t>
            </w:r>
          </w:p>
        </w:tc>
        <w:tc>
          <w:tcPr>
            <w:tcW w:w="4675" w:type="dxa"/>
          </w:tcPr>
          <w:p w14:paraId="1A955684" w14:textId="49637324" w:rsidR="00F30919" w:rsidRPr="008479E5" w:rsidRDefault="002E5219" w:rsidP="00F30919">
            <w:pPr>
              <w:jc w:val="center"/>
            </w:pPr>
            <w:r w:rsidRPr="008479E5">
              <w:rPr>
                <w:rFonts w:cs="ITCFranklinGothicStd-BkCd"/>
              </w:rPr>
              <w:t>34</w:t>
            </w:r>
            <w:r w:rsidR="006C7A76" w:rsidRPr="008479E5">
              <w:rPr>
                <w:rFonts w:cs="ITCFranklinGothicStd-BkCd"/>
              </w:rPr>
              <w:t>—55</w:t>
            </w:r>
            <w:r w:rsidR="00F30919" w:rsidRPr="008479E5">
              <w:rPr>
                <w:rFonts w:cs="ITCFranklinGothicStd-BkCd"/>
              </w:rPr>
              <w:t xml:space="preserve"> months after OMB approval</w:t>
            </w:r>
          </w:p>
        </w:tc>
      </w:tr>
      <w:tr w:rsidR="00F30919" w:rsidRPr="008479E5" w14:paraId="78FD6E78" w14:textId="77777777" w:rsidTr="003C21A1">
        <w:tc>
          <w:tcPr>
            <w:tcW w:w="4675" w:type="dxa"/>
          </w:tcPr>
          <w:p w14:paraId="15AA9771" w14:textId="589D4712" w:rsidR="00F30919" w:rsidRPr="008479E5" w:rsidRDefault="00F30919" w:rsidP="00F30919">
            <w:pPr>
              <w:jc w:val="center"/>
            </w:pPr>
            <w:r w:rsidRPr="008479E5">
              <w:rPr>
                <w:rFonts w:cs="ITCFranklinGothicStd-BkCd"/>
              </w:rPr>
              <w:t>Publication</w:t>
            </w:r>
            <w:r w:rsidR="00922D09" w:rsidRPr="008479E5">
              <w:rPr>
                <w:rFonts w:cs="ITCFranklinGothicStd-BkCd"/>
              </w:rPr>
              <w:t>s</w:t>
            </w:r>
          </w:p>
        </w:tc>
        <w:tc>
          <w:tcPr>
            <w:tcW w:w="4675" w:type="dxa"/>
          </w:tcPr>
          <w:p w14:paraId="4C8081B9" w14:textId="6EC3C76F" w:rsidR="00F30919" w:rsidRPr="008479E5" w:rsidRDefault="006C7A76" w:rsidP="00F30919">
            <w:pPr>
              <w:jc w:val="center"/>
            </w:pPr>
            <w:r w:rsidRPr="008479E5">
              <w:rPr>
                <w:rFonts w:cs="ITCFranklinGothicStd-BkCd"/>
              </w:rPr>
              <w:t>6</w:t>
            </w:r>
            <w:r w:rsidR="002E5219" w:rsidRPr="008479E5">
              <w:rPr>
                <w:rFonts w:cs="ITCFranklinGothicStd-BkCd"/>
              </w:rPr>
              <w:t>0</w:t>
            </w:r>
            <w:r w:rsidR="00F30919" w:rsidRPr="008479E5">
              <w:rPr>
                <w:rFonts w:cs="ITCFranklinGothicStd-BkCd"/>
              </w:rPr>
              <w:t xml:space="preserve"> months after OMB approval</w:t>
            </w:r>
          </w:p>
        </w:tc>
      </w:tr>
    </w:tbl>
    <w:p w14:paraId="53C48A52" w14:textId="5B0C7758" w:rsidR="003C21A1" w:rsidRDefault="003C21A1" w:rsidP="003248A4">
      <w:pPr>
        <w:spacing w:line="240" w:lineRule="auto"/>
        <w:rPr>
          <w:sz w:val="24"/>
          <w:szCs w:val="24"/>
        </w:rPr>
      </w:pPr>
    </w:p>
    <w:p w14:paraId="084B3EAB" w14:textId="1783BA0E" w:rsidR="007A234C" w:rsidRPr="00D20211" w:rsidRDefault="007A234C" w:rsidP="003248A4">
      <w:pPr>
        <w:spacing w:line="240" w:lineRule="auto"/>
        <w:rPr>
          <w:sz w:val="24"/>
          <w:szCs w:val="24"/>
        </w:rPr>
      </w:pPr>
      <w:r>
        <w:rPr>
          <w:rFonts w:cstheme="minorHAnsi"/>
          <w:sz w:val="24"/>
          <w:szCs w:val="24"/>
        </w:rPr>
        <w:t>If unforeseen delays occur, ATSDR may submit a 2-year extension or revision, making the time to complete the report to Congress a total of 7 years.</w:t>
      </w:r>
    </w:p>
    <w:p w14:paraId="17A1701D" w14:textId="44715584" w:rsidR="00B45002" w:rsidRPr="00D20211" w:rsidRDefault="00601F1A" w:rsidP="00601F1A">
      <w:pPr>
        <w:pStyle w:val="Heading1"/>
        <w:pBdr>
          <w:bottom w:val="none" w:sz="0" w:space="0" w:color="auto"/>
        </w:pBdr>
        <w:rPr>
          <w:color w:val="auto"/>
        </w:rPr>
      </w:pPr>
      <w:bookmarkStart w:id="23" w:name="_Toc532912789"/>
      <w:r w:rsidRPr="00D20211">
        <w:rPr>
          <w:color w:val="auto"/>
        </w:rPr>
        <w:t>A.</w:t>
      </w:r>
      <w:r w:rsidR="00AC62CC" w:rsidRPr="00D20211">
        <w:rPr>
          <w:color w:val="auto"/>
        </w:rPr>
        <w:t xml:space="preserve">17.  </w:t>
      </w:r>
      <w:r w:rsidR="00B45002" w:rsidRPr="00D20211">
        <w:rPr>
          <w:color w:val="auto"/>
        </w:rPr>
        <w:t>Reason(s) Display of OMB Expiration Date is Inappropriate</w:t>
      </w:r>
      <w:bookmarkEnd w:id="23"/>
    </w:p>
    <w:p w14:paraId="7135D023" w14:textId="77777777" w:rsidR="005B6E55" w:rsidRPr="00D20211" w:rsidRDefault="005B6E55" w:rsidP="005B6E55"/>
    <w:p w14:paraId="387ECE52" w14:textId="0F3E0EC3"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w:t>
      </w:r>
      <w:r w:rsidR="0006228C">
        <w:rPr>
          <w:rFonts w:cs="ITCFranklinGothicStd-Book"/>
          <w:sz w:val="24"/>
          <w:szCs w:val="24"/>
        </w:rPr>
        <w:t xml:space="preserve">f the OMB expiration date is </w:t>
      </w:r>
      <w:r w:rsidR="001A489F">
        <w:rPr>
          <w:rFonts w:cs="ITCFranklinGothicStd-Book"/>
          <w:sz w:val="24"/>
          <w:szCs w:val="24"/>
        </w:rPr>
        <w:t>appropriate.</w:t>
      </w:r>
    </w:p>
    <w:p w14:paraId="2756C2D5" w14:textId="21EA9472" w:rsidR="00DC57CC" w:rsidRPr="00D20211" w:rsidRDefault="00601F1A" w:rsidP="00601F1A">
      <w:pPr>
        <w:pStyle w:val="Heading1"/>
        <w:pBdr>
          <w:bottom w:val="none" w:sz="0" w:space="0" w:color="auto"/>
        </w:pBdr>
        <w:rPr>
          <w:color w:val="auto"/>
        </w:rPr>
      </w:pPr>
      <w:bookmarkStart w:id="24" w:name="_Toc532912790"/>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4"/>
    </w:p>
    <w:p w14:paraId="661E4960" w14:textId="77777777" w:rsidR="008C154D" w:rsidRPr="00D20211" w:rsidRDefault="008C154D" w:rsidP="005B6E55">
      <w:pPr>
        <w:spacing w:line="240" w:lineRule="auto"/>
        <w:rPr>
          <w:sz w:val="24"/>
          <w:szCs w:val="24"/>
        </w:rPr>
      </w:pPr>
    </w:p>
    <w:p w14:paraId="21296356" w14:textId="678FDC5C" w:rsidR="005B6E55" w:rsidRPr="00670118" w:rsidRDefault="005B6E55" w:rsidP="0093073E">
      <w:r w:rsidRPr="00CB4EE6">
        <w:rPr>
          <w:rFonts w:cs="ITCFranklinGothicStd-Book"/>
          <w:sz w:val="24"/>
          <w:szCs w:val="24"/>
        </w:rPr>
        <w:t>There are no exceptions to the certification.</w:t>
      </w:r>
      <w:r w:rsidR="00CB4EE6" w:rsidRPr="00CB4EE6">
        <w:rPr>
          <w:rFonts w:cs="ITCFranklinGothicStd-Book"/>
          <w:sz w:val="24"/>
          <w:szCs w:val="24"/>
        </w:rPr>
        <w:t xml:space="preserve"> </w:t>
      </w:r>
      <w:r w:rsidR="00CB4EE6" w:rsidRPr="00CB4EE6">
        <w:rPr>
          <w:sz w:val="24"/>
          <w:szCs w:val="24"/>
        </w:rPr>
        <w:t>These activities comply with the requirements in 5 CFR 1320.9.</w:t>
      </w:r>
    </w:p>
    <w:p w14:paraId="0E7DEE7C" w14:textId="45BDC7D6" w:rsidR="005C33C7" w:rsidRPr="00D20211" w:rsidRDefault="005C33C7" w:rsidP="005C33C7">
      <w:pPr>
        <w:pStyle w:val="Heading1"/>
        <w:pBdr>
          <w:bottom w:val="none" w:sz="0" w:space="0" w:color="auto"/>
        </w:pBdr>
        <w:rPr>
          <w:rFonts w:ascii="Cambria" w:hAnsi="Cambria"/>
          <w:color w:val="auto"/>
        </w:rPr>
      </w:pPr>
      <w:bookmarkStart w:id="25" w:name="_Toc532912791"/>
      <w:r w:rsidRPr="00D20211">
        <w:rPr>
          <w:rFonts w:ascii="Cambria" w:hAnsi="Cambria"/>
          <w:color w:val="auto"/>
        </w:rPr>
        <w:t>References</w:t>
      </w:r>
      <w:bookmarkEnd w:id="25"/>
    </w:p>
    <w:p w14:paraId="163E2F64" w14:textId="77777777" w:rsidR="007A234C" w:rsidRPr="007A234C" w:rsidRDefault="007A234C" w:rsidP="007A234C">
      <w:pPr>
        <w:spacing w:after="240" w:line="240" w:lineRule="auto"/>
        <w:rPr>
          <w:rFonts w:ascii="Cambria" w:hAnsi="Cambria"/>
          <w:sz w:val="24"/>
          <w:szCs w:val="24"/>
        </w:rPr>
      </w:pPr>
    </w:p>
    <w:p w14:paraId="663839C1" w14:textId="20346CC9" w:rsidR="007A234C" w:rsidRPr="007A234C" w:rsidRDefault="007A234C" w:rsidP="007A234C">
      <w:pPr>
        <w:spacing w:after="240" w:line="240" w:lineRule="auto"/>
        <w:rPr>
          <w:rFonts w:cstheme="minorHAnsi"/>
          <w:color w:val="000000"/>
          <w:sz w:val="24"/>
          <w:szCs w:val="24"/>
        </w:rPr>
      </w:pPr>
      <w:r w:rsidRPr="007A234C">
        <w:rPr>
          <w:rFonts w:cstheme="minorHAnsi"/>
          <w:sz w:val="24"/>
          <w:szCs w:val="24"/>
        </w:rPr>
        <w:t xml:space="preserve">Agency for Toxic Substances and Disease Registry (ATSDR). Feasibility Assessment for Epidemiological Studies at Pease International Tradeport. Portsmouth, New Hampshire. November </w:t>
      </w:r>
      <w:r w:rsidRPr="007A234C">
        <w:rPr>
          <w:rFonts w:eastAsiaTheme="minorHAnsi" w:cstheme="minorHAnsi"/>
          <w:sz w:val="24"/>
          <w:szCs w:val="24"/>
        </w:rPr>
        <w:t>2017</w:t>
      </w:r>
      <w:r w:rsidRPr="007A234C">
        <w:rPr>
          <w:rFonts w:cstheme="minorHAnsi"/>
          <w:sz w:val="24"/>
          <w:szCs w:val="24"/>
        </w:rPr>
        <w:t xml:space="preserve">. Available at: </w:t>
      </w:r>
      <w:hyperlink r:id="rId41" w:history="1">
        <w:r w:rsidRPr="007A234C">
          <w:rPr>
            <w:rStyle w:val="Hyperlink"/>
            <w:rFonts w:cstheme="minorHAnsi"/>
            <w:sz w:val="24"/>
            <w:szCs w:val="24"/>
          </w:rPr>
          <w:t>https://www.atsdr.cdc.gov/sites/pease/documents/Pease_Feasibility_Assessment_November-2017_508.pdf</w:t>
        </w:r>
      </w:hyperlink>
    </w:p>
    <w:p w14:paraId="102AA1F9" w14:textId="77777777" w:rsidR="007A234C" w:rsidRPr="007A234C" w:rsidRDefault="007A234C" w:rsidP="007A234C">
      <w:pPr>
        <w:autoSpaceDE w:val="0"/>
        <w:autoSpaceDN w:val="0"/>
        <w:adjustRightInd w:val="0"/>
        <w:spacing w:after="240" w:line="240" w:lineRule="auto"/>
        <w:rPr>
          <w:rFonts w:eastAsiaTheme="minorHAnsi" w:cstheme="minorHAnsi"/>
          <w:sz w:val="24"/>
          <w:szCs w:val="24"/>
        </w:rPr>
      </w:pPr>
      <w:r w:rsidRPr="007A234C">
        <w:rPr>
          <w:rFonts w:eastAsiaTheme="minorHAnsi" w:cstheme="minorHAnsi"/>
          <w:sz w:val="24"/>
          <w:szCs w:val="24"/>
        </w:rPr>
        <w:t>Checkoway H, Pearce N, Kriebel D. Research Methods in Occupational Epidemiology, Second Edition. Oxford U. Press 2004.</w:t>
      </w:r>
    </w:p>
    <w:p w14:paraId="75DE91C2" w14:textId="77777777" w:rsidR="007A234C" w:rsidRPr="007A234C" w:rsidRDefault="007A234C" w:rsidP="007A234C">
      <w:pPr>
        <w:spacing w:after="240" w:line="240" w:lineRule="auto"/>
        <w:rPr>
          <w:rFonts w:eastAsiaTheme="minorHAnsi" w:cstheme="minorHAnsi"/>
          <w:sz w:val="24"/>
          <w:szCs w:val="24"/>
        </w:rPr>
      </w:pPr>
      <w:r w:rsidRPr="007A234C">
        <w:rPr>
          <w:rFonts w:eastAsiaTheme="minorHAnsi" w:cstheme="minorHAnsi"/>
          <w:sz w:val="24"/>
          <w:szCs w:val="24"/>
        </w:rPr>
        <w:t>Flanders WD, Lin L, Pirkle JL, Caudill SP. Assessing the direction of causality in cross-sectional studies. Am J Epidemiol 1992;135:926-935.</w:t>
      </w:r>
    </w:p>
    <w:p w14:paraId="705B1242" w14:textId="619361CA" w:rsidR="00252B59" w:rsidRPr="007A234C" w:rsidRDefault="007A234C" w:rsidP="007A234C">
      <w:pPr>
        <w:spacing w:after="240" w:line="240" w:lineRule="auto"/>
        <w:rPr>
          <w:rFonts w:eastAsiaTheme="minorHAnsi" w:cstheme="minorHAnsi"/>
        </w:rPr>
      </w:pPr>
      <w:r w:rsidRPr="007A234C">
        <w:rPr>
          <w:rFonts w:eastAsiaTheme="minorHAnsi" w:cstheme="minorHAnsi"/>
          <w:sz w:val="24"/>
          <w:szCs w:val="24"/>
        </w:rPr>
        <w:t>Flanders WD, Klein M, Mirabelli MC. Conditions for valid estimation of causal effects on prevalence in cross-sectional and other studies. Ann Epidemiol 2016;26:389-394.</w:t>
      </w:r>
      <w:r w:rsidR="00252B59">
        <w:rPr>
          <w:rFonts w:ascii="Cambria" w:hAnsi="Cambria"/>
        </w:rPr>
        <w:br w:type="page"/>
      </w:r>
    </w:p>
    <w:p w14:paraId="4AA67867" w14:textId="54DAFE4F" w:rsidR="008C154D" w:rsidRPr="00007918" w:rsidRDefault="008C154D" w:rsidP="008C154D">
      <w:pPr>
        <w:pStyle w:val="Heading1"/>
        <w:pBdr>
          <w:bottom w:val="none" w:sz="0" w:space="0" w:color="auto"/>
        </w:pBdr>
        <w:rPr>
          <w:rFonts w:cstheme="minorHAnsi"/>
          <w:color w:val="auto"/>
        </w:rPr>
      </w:pPr>
      <w:bookmarkStart w:id="26" w:name="_Toc532912792"/>
      <w:r w:rsidRPr="00007918">
        <w:rPr>
          <w:rFonts w:cstheme="minorHAnsi"/>
          <w:color w:val="auto"/>
        </w:rPr>
        <w:t>L</w:t>
      </w:r>
      <w:r w:rsidR="00E278FC" w:rsidRPr="00007918">
        <w:rPr>
          <w:rFonts w:cstheme="minorHAnsi"/>
          <w:color w:val="auto"/>
        </w:rPr>
        <w:t>ist of</w:t>
      </w:r>
      <w:r w:rsidRPr="00007918">
        <w:rPr>
          <w:rFonts w:cstheme="minorHAnsi"/>
          <w:color w:val="auto"/>
        </w:rPr>
        <w:t xml:space="preserve"> </w:t>
      </w:r>
      <w:r w:rsidR="00DE40A3" w:rsidRPr="00007918">
        <w:rPr>
          <w:rFonts w:cstheme="minorHAnsi"/>
          <w:color w:val="auto"/>
        </w:rPr>
        <w:t xml:space="preserve">Appendices and </w:t>
      </w:r>
      <w:r w:rsidR="00DD39E1" w:rsidRPr="00007918">
        <w:rPr>
          <w:rFonts w:cstheme="minorHAnsi"/>
          <w:color w:val="auto"/>
        </w:rPr>
        <w:t xml:space="preserve">Protocol </w:t>
      </w:r>
      <w:r w:rsidRPr="00007918">
        <w:rPr>
          <w:rFonts w:cstheme="minorHAnsi"/>
          <w:color w:val="auto"/>
        </w:rPr>
        <w:t>Attachments</w:t>
      </w:r>
      <w:bookmarkEnd w:id="26"/>
    </w:p>
    <w:p w14:paraId="11858E79" w14:textId="77777777" w:rsidR="008F293F" w:rsidRDefault="008F293F" w:rsidP="008F293F">
      <w:pPr>
        <w:spacing w:after="0" w:line="240" w:lineRule="auto"/>
        <w:rPr>
          <w:rFonts w:cstheme="minorHAnsi"/>
          <w:sz w:val="24"/>
          <w:szCs w:val="24"/>
        </w:rPr>
      </w:pPr>
    </w:p>
    <w:p w14:paraId="6C8120AE" w14:textId="10BBD921" w:rsidR="008C154D" w:rsidRPr="008F293F" w:rsidRDefault="002D034F" w:rsidP="0050240F">
      <w:pPr>
        <w:spacing w:line="240" w:lineRule="auto"/>
      </w:pPr>
      <w:r w:rsidRPr="008F293F">
        <w:t>Appendix A</w:t>
      </w:r>
      <w:r w:rsidR="008C154D" w:rsidRPr="008F293F">
        <w:t>. Authorizing Legislation</w:t>
      </w:r>
    </w:p>
    <w:p w14:paraId="30CF9F8F" w14:textId="395B0389" w:rsidR="008C154D" w:rsidRPr="008F293F" w:rsidRDefault="002D034F" w:rsidP="0050240F">
      <w:pPr>
        <w:spacing w:line="240" w:lineRule="auto"/>
      </w:pPr>
      <w:r w:rsidRPr="008F293F">
        <w:t>Appendix B</w:t>
      </w:r>
      <w:r w:rsidR="008C154D" w:rsidRPr="008F293F">
        <w:t>. 60-day Federal Register Notice</w:t>
      </w:r>
    </w:p>
    <w:p w14:paraId="0226AC6E" w14:textId="27E4D66B" w:rsidR="008C154D" w:rsidRPr="008F293F" w:rsidRDefault="002D034F" w:rsidP="0050240F">
      <w:pPr>
        <w:spacing w:line="240" w:lineRule="auto"/>
        <w:ind w:firstLine="720"/>
      </w:pPr>
      <w:r w:rsidRPr="008F293F">
        <w:t>Appendix B1</w:t>
      </w:r>
      <w:r w:rsidR="008C154D" w:rsidRPr="008F293F">
        <w:t>. Public Comments and Program Responses</w:t>
      </w:r>
    </w:p>
    <w:p w14:paraId="240C36CF" w14:textId="39B98F93" w:rsidR="00E905AD" w:rsidRPr="008F293F" w:rsidRDefault="00DD39E1" w:rsidP="0050240F">
      <w:pPr>
        <w:spacing w:line="240" w:lineRule="auto"/>
      </w:pPr>
      <w:r w:rsidRPr="008F293F">
        <w:t xml:space="preserve">Appendix C. </w:t>
      </w:r>
      <w:r w:rsidR="00E905AD" w:rsidRPr="008F293F">
        <w:t>ATSDR Pease Feasibility Assessment</w:t>
      </w:r>
    </w:p>
    <w:p w14:paraId="11027CBF" w14:textId="514FBCE5" w:rsidR="00DD39E1" w:rsidRPr="008F293F" w:rsidRDefault="00E905AD" w:rsidP="0050240F">
      <w:pPr>
        <w:spacing w:line="240" w:lineRule="auto"/>
      </w:pPr>
      <w:r w:rsidRPr="008F293F">
        <w:t xml:space="preserve">Appendix D. </w:t>
      </w:r>
      <w:r w:rsidR="00DD39E1" w:rsidRPr="008F293F">
        <w:t>Privacy Impact Assessment</w:t>
      </w:r>
    </w:p>
    <w:p w14:paraId="2884A8EE" w14:textId="55E14D3F" w:rsidR="004C3752" w:rsidRPr="008F293F" w:rsidRDefault="00E905AD" w:rsidP="0050240F">
      <w:pPr>
        <w:spacing w:line="240" w:lineRule="auto"/>
      </w:pPr>
      <w:r w:rsidRPr="008F293F">
        <w:t>Appendix E</w:t>
      </w:r>
      <w:r w:rsidR="00DD39E1" w:rsidRPr="008F293F">
        <w:t>. IRB Approval Memo</w:t>
      </w:r>
    </w:p>
    <w:p w14:paraId="2723757D" w14:textId="6957624F" w:rsidR="00170790" w:rsidRPr="008F293F" w:rsidRDefault="00170790" w:rsidP="0050240F">
      <w:pPr>
        <w:spacing w:line="240" w:lineRule="auto"/>
      </w:pPr>
    </w:p>
    <w:p w14:paraId="551358F2" w14:textId="0DDB0A36" w:rsidR="00DD39E1" w:rsidRPr="008F293F" w:rsidRDefault="002D034F" w:rsidP="0050240F">
      <w:pPr>
        <w:spacing w:line="240" w:lineRule="auto"/>
      </w:pPr>
      <w:r w:rsidRPr="008F293F">
        <w:t>Peas</w:t>
      </w:r>
      <w:r w:rsidR="00DD39E1" w:rsidRPr="008F293F">
        <w:t>e</w:t>
      </w:r>
      <w:r w:rsidRPr="008F293F">
        <w:t xml:space="preserve"> Study Protocol and Attachments</w:t>
      </w:r>
      <w:bookmarkStart w:id="27" w:name="_Toc517259236"/>
    </w:p>
    <w:p w14:paraId="7A92C15C" w14:textId="77777777" w:rsidR="00DD39E1" w:rsidRPr="008F293F" w:rsidRDefault="00DD39E1" w:rsidP="0050240F">
      <w:pPr>
        <w:spacing w:line="240" w:lineRule="auto"/>
        <w:ind w:left="720"/>
      </w:pPr>
      <w:r w:rsidRPr="008F293F">
        <w:t>Attachment 1. Investigators and Key Study Personnel</w:t>
      </w:r>
      <w:bookmarkStart w:id="28" w:name="_Toc517259237"/>
      <w:bookmarkEnd w:id="27"/>
    </w:p>
    <w:p w14:paraId="15115A4F" w14:textId="77777777" w:rsidR="00DD39E1" w:rsidRPr="008F293F" w:rsidRDefault="00DD39E1" w:rsidP="0050240F">
      <w:pPr>
        <w:spacing w:line="240" w:lineRule="auto"/>
        <w:ind w:left="720"/>
      </w:pPr>
      <w:r w:rsidRPr="008F293F">
        <w:t>Attachment 2. PFAS Serum Levels, Pease vs. External Populations</w:t>
      </w:r>
      <w:bookmarkStart w:id="29" w:name="_Toc517259238"/>
      <w:bookmarkEnd w:id="28"/>
    </w:p>
    <w:p w14:paraId="374A641F" w14:textId="77777777" w:rsidR="0093073E" w:rsidRPr="008F293F" w:rsidRDefault="00DD39E1" w:rsidP="00321308">
      <w:pPr>
        <w:spacing w:line="240" w:lineRule="auto"/>
        <w:ind w:left="1440"/>
      </w:pPr>
      <w:r w:rsidRPr="008F293F">
        <w:t>Attachment 2a. Pease serum PFAS levels in µg/L, by age groups, 2018</w:t>
      </w:r>
      <w:bookmarkStart w:id="30" w:name="_Toc517259239"/>
      <w:bookmarkEnd w:id="29"/>
    </w:p>
    <w:p w14:paraId="33089347" w14:textId="10BEF9FD" w:rsidR="00DD39E1" w:rsidRPr="008F293F" w:rsidRDefault="00DD39E1" w:rsidP="00321308">
      <w:pPr>
        <w:spacing w:line="240" w:lineRule="auto"/>
        <w:ind w:left="1440"/>
      </w:pPr>
      <w:r w:rsidRPr="008F293F">
        <w:t>Attachment 2b. Serum PFAS levels in µg/L, children aged &lt;12 years, Pease vs. comparisons</w:t>
      </w:r>
      <w:bookmarkEnd w:id="30"/>
    </w:p>
    <w:p w14:paraId="484175FC" w14:textId="77777777" w:rsidR="007A6850" w:rsidRPr="008F293F" w:rsidRDefault="007A6850" w:rsidP="00321308">
      <w:pPr>
        <w:spacing w:line="240" w:lineRule="auto"/>
        <w:ind w:left="1440"/>
      </w:pPr>
      <w:bookmarkStart w:id="31" w:name="_Toc517259240"/>
      <w:r w:rsidRPr="008F293F">
        <w:t>Attachment 2c. Serum PFAS levels in µg/L, aged ≥12 years, Pease vs. NHANES</w:t>
      </w:r>
      <w:bookmarkEnd w:id="31"/>
    </w:p>
    <w:p w14:paraId="12582608" w14:textId="77777777" w:rsidR="007A6850" w:rsidRPr="008F293F" w:rsidRDefault="007A6850" w:rsidP="0050240F">
      <w:pPr>
        <w:spacing w:line="240" w:lineRule="auto"/>
        <w:ind w:left="720"/>
        <w:rPr>
          <w:b/>
        </w:rPr>
      </w:pPr>
      <w:bookmarkStart w:id="32" w:name="_Toc517259241"/>
      <w:r w:rsidRPr="008F293F">
        <w:t>Attachment 3.</w:t>
      </w:r>
      <w:bookmarkStart w:id="33" w:name="_Toc329944764"/>
      <w:r w:rsidRPr="008F293F">
        <w:t xml:space="preserve"> Biochemical Analytical Plan</w:t>
      </w:r>
      <w:bookmarkEnd w:id="33"/>
      <w:r w:rsidRPr="008F293F">
        <w:t xml:space="preserve"> in Children and Adults</w:t>
      </w:r>
      <w:bookmarkEnd w:id="32"/>
    </w:p>
    <w:p w14:paraId="5AB7C072" w14:textId="77777777" w:rsidR="007A6850" w:rsidRPr="008F293F" w:rsidRDefault="007A6850" w:rsidP="0050240F">
      <w:pPr>
        <w:spacing w:line="240" w:lineRule="auto"/>
        <w:ind w:left="720"/>
        <w:rPr>
          <w:b/>
        </w:rPr>
      </w:pPr>
      <w:bookmarkStart w:id="34" w:name="_Toc517259242"/>
      <w:r w:rsidRPr="008F293F">
        <w:t>Attachment 4. Justification for Sample Size Calculations</w:t>
      </w:r>
      <w:bookmarkEnd w:id="34"/>
    </w:p>
    <w:p w14:paraId="565EB073" w14:textId="77777777" w:rsidR="007A6850" w:rsidRPr="008F293F" w:rsidRDefault="007A6850" w:rsidP="00321308">
      <w:pPr>
        <w:spacing w:line="240" w:lineRule="auto"/>
        <w:ind w:left="1440"/>
        <w:rPr>
          <w:b/>
        </w:rPr>
      </w:pPr>
      <w:bookmarkStart w:id="35" w:name="_Toc517259243"/>
      <w:r w:rsidRPr="008F293F">
        <w:t>Attachment 4a. Sample Size for Child Study</w:t>
      </w:r>
      <w:bookmarkEnd w:id="35"/>
    </w:p>
    <w:p w14:paraId="09A42038" w14:textId="77777777" w:rsidR="007A6850" w:rsidRPr="008F293F" w:rsidRDefault="007A6850" w:rsidP="00321308">
      <w:pPr>
        <w:spacing w:line="240" w:lineRule="auto"/>
        <w:ind w:left="1440"/>
        <w:rPr>
          <w:b/>
        </w:rPr>
      </w:pPr>
      <w:bookmarkStart w:id="36" w:name="_Toc517259244"/>
      <w:r w:rsidRPr="008F293F">
        <w:t>Attachment 4b. Sample Size for Adult Study</w:t>
      </w:r>
      <w:bookmarkEnd w:id="36"/>
    </w:p>
    <w:p w14:paraId="616EBFD8" w14:textId="77777777" w:rsidR="007A6850" w:rsidRPr="008F293F" w:rsidRDefault="007A6850" w:rsidP="0050240F">
      <w:pPr>
        <w:spacing w:line="240" w:lineRule="auto"/>
        <w:ind w:left="720"/>
        <w:rPr>
          <w:b/>
        </w:rPr>
      </w:pPr>
      <w:bookmarkStart w:id="37" w:name="_Toc517259245"/>
      <w:r w:rsidRPr="008F293F">
        <w:t>Attachment 5 – Pease Study Communication Plan</w:t>
      </w:r>
      <w:bookmarkEnd w:id="37"/>
    </w:p>
    <w:p w14:paraId="70C2B634" w14:textId="77777777" w:rsidR="007A6850" w:rsidRPr="008F293F" w:rsidRDefault="007A6850" w:rsidP="00321308">
      <w:pPr>
        <w:spacing w:line="240" w:lineRule="auto"/>
        <w:ind w:left="1440"/>
        <w:rPr>
          <w:b/>
        </w:rPr>
      </w:pPr>
      <w:bookmarkStart w:id="38" w:name="_Toc517259246"/>
      <w:r w:rsidRPr="008F293F">
        <w:t>Attachment 5a. Pease Study Communication Plan Objectives</w:t>
      </w:r>
      <w:bookmarkEnd w:id="38"/>
    </w:p>
    <w:p w14:paraId="78D4E8F1" w14:textId="77777777" w:rsidR="007A6850" w:rsidRPr="008F293F" w:rsidRDefault="007A6850" w:rsidP="00321308">
      <w:pPr>
        <w:spacing w:line="240" w:lineRule="auto"/>
        <w:ind w:left="1440"/>
        <w:rPr>
          <w:b/>
        </w:rPr>
      </w:pPr>
      <w:bookmarkStart w:id="39" w:name="_Toc517259247"/>
      <w:r w:rsidRPr="008F293F">
        <w:t>Attachment 5b. Pease Study Overarching Communication Messages</w:t>
      </w:r>
      <w:bookmarkEnd w:id="39"/>
    </w:p>
    <w:p w14:paraId="1AF94FBA" w14:textId="77777777" w:rsidR="007A6850" w:rsidRPr="008F293F" w:rsidRDefault="007A6850" w:rsidP="00321308">
      <w:pPr>
        <w:spacing w:line="240" w:lineRule="auto"/>
        <w:ind w:left="1440"/>
        <w:rPr>
          <w:b/>
        </w:rPr>
      </w:pPr>
      <w:bookmarkStart w:id="40" w:name="_Toc517259248"/>
      <w:r w:rsidRPr="008F293F">
        <w:t>Attachment 5c. Pease Study Press Release – Launch</w:t>
      </w:r>
      <w:bookmarkEnd w:id="40"/>
      <w:r w:rsidRPr="008F293F">
        <w:t xml:space="preserve"> </w:t>
      </w:r>
    </w:p>
    <w:p w14:paraId="697454E1" w14:textId="77777777" w:rsidR="007A6850" w:rsidRPr="008F293F" w:rsidRDefault="007A6850" w:rsidP="00321308">
      <w:pPr>
        <w:spacing w:line="240" w:lineRule="auto"/>
        <w:ind w:left="1440"/>
        <w:rPr>
          <w:b/>
        </w:rPr>
      </w:pPr>
      <w:bookmarkStart w:id="41" w:name="_Toc517259249"/>
      <w:r w:rsidRPr="008F293F">
        <w:t>Attachment 5d. Pease Study Website Flyer</w:t>
      </w:r>
      <w:bookmarkEnd w:id="41"/>
    </w:p>
    <w:p w14:paraId="2EE9326D" w14:textId="77777777" w:rsidR="007A6850" w:rsidRPr="008F293F" w:rsidRDefault="007A6850" w:rsidP="00321308">
      <w:pPr>
        <w:spacing w:line="240" w:lineRule="auto"/>
        <w:ind w:left="1440"/>
        <w:rPr>
          <w:b/>
        </w:rPr>
      </w:pPr>
      <w:bookmarkStart w:id="42" w:name="_Toc517259250"/>
      <w:r w:rsidRPr="008F293F">
        <w:t>Attachment 5e. Pease Study Public Service Announcement</w:t>
      </w:r>
      <w:bookmarkEnd w:id="42"/>
    </w:p>
    <w:p w14:paraId="43404EA6" w14:textId="77777777" w:rsidR="007A6850" w:rsidRPr="008F293F" w:rsidRDefault="007A6850" w:rsidP="0050240F">
      <w:pPr>
        <w:spacing w:line="240" w:lineRule="auto"/>
        <w:ind w:left="720"/>
        <w:rPr>
          <w:b/>
        </w:rPr>
      </w:pPr>
      <w:bookmarkStart w:id="43" w:name="_Toc517259251"/>
      <w:r w:rsidRPr="008F293F">
        <w:t>Attachment 6 – Wave One - NH DHHS Invitation Letters for Study Roll Out</w:t>
      </w:r>
      <w:bookmarkEnd w:id="43"/>
    </w:p>
    <w:p w14:paraId="151601FC" w14:textId="71A49235" w:rsidR="007A6850" w:rsidRPr="008F293F" w:rsidRDefault="007A6850" w:rsidP="00321308">
      <w:pPr>
        <w:spacing w:line="240" w:lineRule="auto"/>
        <w:ind w:left="1440"/>
        <w:rPr>
          <w:b/>
        </w:rPr>
      </w:pPr>
      <w:bookmarkStart w:id="44" w:name="_Toc517259252"/>
      <w:r w:rsidRPr="008F293F">
        <w:t>Attachment 6a – NH DHHS Child Invitation Letter</w:t>
      </w:r>
      <w:bookmarkEnd w:id="44"/>
    </w:p>
    <w:p w14:paraId="0856E58F" w14:textId="77777777" w:rsidR="007A6850" w:rsidRPr="008F293F" w:rsidRDefault="007A6850" w:rsidP="00321308">
      <w:pPr>
        <w:spacing w:line="240" w:lineRule="auto"/>
        <w:ind w:left="1440"/>
        <w:rPr>
          <w:b/>
        </w:rPr>
      </w:pPr>
      <w:bookmarkStart w:id="45" w:name="_Toc517259253"/>
      <w:r w:rsidRPr="008F293F">
        <w:t>Attachment 6b – NH DHHS Adult Invitation Letter</w:t>
      </w:r>
      <w:bookmarkEnd w:id="45"/>
    </w:p>
    <w:p w14:paraId="08B15D98" w14:textId="7EAE6047" w:rsidR="007A6850" w:rsidRPr="008F293F" w:rsidRDefault="007A6850" w:rsidP="00321308">
      <w:pPr>
        <w:spacing w:line="240" w:lineRule="auto"/>
        <w:ind w:left="1440"/>
        <w:rPr>
          <w:b/>
        </w:rPr>
      </w:pPr>
      <w:bookmarkStart w:id="46" w:name="_Toc517259254"/>
      <w:r w:rsidRPr="008F293F">
        <w:t>Attachment 6c – Wave One Eligibility Screening Script</w:t>
      </w:r>
      <w:bookmarkEnd w:id="46"/>
    </w:p>
    <w:p w14:paraId="17603E01" w14:textId="6D3C3B03" w:rsidR="007A6850" w:rsidRPr="008F293F" w:rsidRDefault="005079BD" w:rsidP="0050240F">
      <w:pPr>
        <w:spacing w:line="240" w:lineRule="auto"/>
        <w:ind w:left="720"/>
        <w:rPr>
          <w:b/>
        </w:rPr>
      </w:pPr>
      <w:bookmarkStart w:id="47" w:name="_Toc517259255"/>
      <w:r w:rsidRPr="008F293F">
        <w:t>Attachment 7 – Waves Two and Three</w:t>
      </w:r>
      <w:r w:rsidR="007A6850" w:rsidRPr="008F293F">
        <w:t xml:space="preserve"> Recruitment Materials</w:t>
      </w:r>
      <w:bookmarkEnd w:id="47"/>
    </w:p>
    <w:p w14:paraId="62375F2A" w14:textId="77777777" w:rsidR="007A6850" w:rsidRPr="008F293F" w:rsidRDefault="007A6850" w:rsidP="00321308">
      <w:pPr>
        <w:spacing w:line="240" w:lineRule="auto"/>
        <w:ind w:left="1440"/>
        <w:rPr>
          <w:b/>
        </w:rPr>
      </w:pPr>
      <w:bookmarkStart w:id="48" w:name="_Toc517259256"/>
      <w:r w:rsidRPr="008F293F">
        <w:t>Attachment 7a – Wave Two Flyer to Recruit Additional Exposed Children</w:t>
      </w:r>
      <w:bookmarkEnd w:id="48"/>
    </w:p>
    <w:p w14:paraId="014AADF2" w14:textId="77777777" w:rsidR="007A6850" w:rsidRPr="008F293F" w:rsidRDefault="007A6850" w:rsidP="00321308">
      <w:pPr>
        <w:spacing w:line="240" w:lineRule="auto"/>
        <w:ind w:left="1440"/>
        <w:rPr>
          <w:b/>
        </w:rPr>
      </w:pPr>
      <w:bookmarkStart w:id="49" w:name="_Toc517259257"/>
      <w:r w:rsidRPr="008F293F">
        <w:t>Attachment 7b – Wave Two Flyer to Recruit Additional Exposed Adults</w:t>
      </w:r>
      <w:bookmarkEnd w:id="49"/>
    </w:p>
    <w:p w14:paraId="28FFCEAB" w14:textId="77777777" w:rsidR="007A6850" w:rsidRPr="008F293F" w:rsidRDefault="007A6850" w:rsidP="00321308">
      <w:pPr>
        <w:spacing w:line="240" w:lineRule="auto"/>
        <w:ind w:left="1440"/>
        <w:rPr>
          <w:b/>
        </w:rPr>
      </w:pPr>
      <w:bookmarkStart w:id="50" w:name="_Toc517259258"/>
      <w:r w:rsidRPr="008F293F">
        <w:t>Attachment 7c – Wave Two or Wave Three Eligibility Screening Script</w:t>
      </w:r>
      <w:bookmarkEnd w:id="50"/>
    </w:p>
    <w:p w14:paraId="78A840F9" w14:textId="77777777" w:rsidR="007A6850" w:rsidRPr="008F293F" w:rsidRDefault="007A6850" w:rsidP="00321308">
      <w:pPr>
        <w:spacing w:line="240" w:lineRule="auto"/>
        <w:ind w:left="1440"/>
        <w:rPr>
          <w:b/>
        </w:rPr>
      </w:pPr>
      <w:bookmarkStart w:id="51" w:name="_Toc517259259"/>
      <w:r w:rsidRPr="008F293F">
        <w:t>Attachment 7d – Wave Three Child Flyer for Referent Recruitment</w:t>
      </w:r>
      <w:bookmarkEnd w:id="51"/>
    </w:p>
    <w:p w14:paraId="098908F3" w14:textId="73967051" w:rsidR="007A6850" w:rsidRPr="008F293F" w:rsidRDefault="007A6850" w:rsidP="00321308">
      <w:pPr>
        <w:spacing w:line="240" w:lineRule="auto"/>
        <w:ind w:left="1440"/>
      </w:pPr>
      <w:bookmarkStart w:id="52" w:name="_Toc517259260"/>
      <w:r w:rsidRPr="008F293F">
        <w:t>Attachment 7e – Wave Three Adult Flyer for Referent Recruitment</w:t>
      </w:r>
      <w:bookmarkEnd w:id="52"/>
    </w:p>
    <w:p w14:paraId="1CCB4DC5" w14:textId="0DBA9889" w:rsidR="007A6850" w:rsidRPr="008F293F" w:rsidRDefault="007A6850" w:rsidP="0050240F">
      <w:pPr>
        <w:spacing w:line="240" w:lineRule="auto"/>
        <w:ind w:left="720"/>
        <w:rPr>
          <w:b/>
        </w:rPr>
      </w:pPr>
      <w:bookmarkStart w:id="53" w:name="_Toc517259261"/>
      <w:r w:rsidRPr="008F293F">
        <w:t>Attachment 8 – Recruitment Tracking Form</w:t>
      </w:r>
      <w:bookmarkEnd w:id="53"/>
    </w:p>
    <w:p w14:paraId="3E734766" w14:textId="77777777" w:rsidR="007A6850" w:rsidRPr="008F293F" w:rsidRDefault="007A6850" w:rsidP="0050240F">
      <w:pPr>
        <w:spacing w:line="240" w:lineRule="auto"/>
        <w:ind w:left="720"/>
        <w:rPr>
          <w:b/>
        </w:rPr>
      </w:pPr>
      <w:bookmarkStart w:id="54" w:name="_Toc517259262"/>
      <w:r w:rsidRPr="008F293F">
        <w:t>Attachment 9 – Appointment Packet</w:t>
      </w:r>
      <w:bookmarkEnd w:id="54"/>
    </w:p>
    <w:p w14:paraId="6786DCCF" w14:textId="77777777" w:rsidR="007A6850" w:rsidRPr="008F293F" w:rsidRDefault="007A6850" w:rsidP="00321308">
      <w:pPr>
        <w:spacing w:line="240" w:lineRule="auto"/>
        <w:ind w:left="1440"/>
        <w:rPr>
          <w:b/>
        </w:rPr>
      </w:pPr>
      <w:bookmarkStart w:id="55" w:name="_Toc517259263"/>
      <w:r w:rsidRPr="008F293F">
        <w:t>Attachment 9a – Appointment Reminder Card</w:t>
      </w:r>
      <w:bookmarkEnd w:id="55"/>
    </w:p>
    <w:p w14:paraId="3BD1D95A" w14:textId="77777777" w:rsidR="007A6850" w:rsidRPr="008F293F" w:rsidRDefault="007A6850" w:rsidP="00321308">
      <w:pPr>
        <w:spacing w:line="240" w:lineRule="auto"/>
        <w:ind w:left="1440"/>
        <w:rPr>
          <w:b/>
        </w:rPr>
      </w:pPr>
      <w:bookmarkStart w:id="56" w:name="_Toc517259264"/>
      <w:r w:rsidRPr="008F293F">
        <w:t>Attachment 9b – Informed Consent Packet</w:t>
      </w:r>
      <w:bookmarkEnd w:id="56"/>
    </w:p>
    <w:p w14:paraId="7C8C179A" w14:textId="77777777" w:rsidR="007A6850" w:rsidRPr="008F293F" w:rsidRDefault="007A6850" w:rsidP="00321308">
      <w:pPr>
        <w:spacing w:line="240" w:lineRule="auto"/>
        <w:ind w:left="2160"/>
        <w:rPr>
          <w:i/>
        </w:rPr>
      </w:pPr>
      <w:bookmarkStart w:id="57" w:name="_Toc517259265"/>
      <w:r w:rsidRPr="008F293F">
        <w:t>Attachment 9b1 – Privacy Act Statement</w:t>
      </w:r>
      <w:bookmarkEnd w:id="57"/>
    </w:p>
    <w:p w14:paraId="25725AD8" w14:textId="77777777" w:rsidR="007A6850" w:rsidRPr="008F293F" w:rsidRDefault="007A6850" w:rsidP="00321308">
      <w:pPr>
        <w:spacing w:line="240" w:lineRule="auto"/>
        <w:ind w:left="2160"/>
        <w:rPr>
          <w:i/>
        </w:rPr>
      </w:pPr>
      <w:bookmarkStart w:id="58" w:name="_Toc517259266"/>
      <w:r w:rsidRPr="008F293F">
        <w:t>Attachment 9b2 – Parental Permission and Child Assent Forms</w:t>
      </w:r>
      <w:bookmarkEnd w:id="58"/>
    </w:p>
    <w:p w14:paraId="2F13D986" w14:textId="77777777" w:rsidR="007A6850" w:rsidRPr="008F293F" w:rsidRDefault="007A6850" w:rsidP="00321308">
      <w:pPr>
        <w:spacing w:line="240" w:lineRule="auto"/>
        <w:ind w:left="2160"/>
        <w:rPr>
          <w:i/>
        </w:rPr>
      </w:pPr>
      <w:bookmarkStart w:id="59" w:name="_Toc517259267"/>
      <w:r w:rsidRPr="008F293F">
        <w:t>Attachment 9b3 – Parental Consent to Release Student Information</w:t>
      </w:r>
      <w:bookmarkEnd w:id="59"/>
    </w:p>
    <w:p w14:paraId="278CC758" w14:textId="77777777" w:rsidR="007A6850" w:rsidRPr="008F293F" w:rsidRDefault="007A6850" w:rsidP="00321308">
      <w:pPr>
        <w:spacing w:line="240" w:lineRule="auto"/>
        <w:ind w:left="2160"/>
        <w:rPr>
          <w:i/>
        </w:rPr>
      </w:pPr>
      <w:bookmarkStart w:id="60" w:name="_Toc517259268"/>
      <w:r w:rsidRPr="008F293F">
        <w:t>Attachment 9b4 – Adult Consent Form</w:t>
      </w:r>
      <w:bookmarkEnd w:id="60"/>
    </w:p>
    <w:p w14:paraId="5EC83064" w14:textId="77777777" w:rsidR="007A6850" w:rsidRPr="008F293F" w:rsidRDefault="007A6850" w:rsidP="00321308">
      <w:pPr>
        <w:spacing w:line="240" w:lineRule="auto"/>
        <w:ind w:left="2160"/>
        <w:rPr>
          <w:i/>
        </w:rPr>
      </w:pPr>
      <w:bookmarkStart w:id="61" w:name="_Toc517259269"/>
      <w:r w:rsidRPr="008F293F">
        <w:t>Attachment 9b5 – Parent/Child/Adult Permission for Medical Record Abstraction</w:t>
      </w:r>
      <w:bookmarkEnd w:id="61"/>
    </w:p>
    <w:p w14:paraId="40F559B9" w14:textId="77777777" w:rsidR="007A6850" w:rsidRPr="008F293F" w:rsidRDefault="007A6850" w:rsidP="00321308">
      <w:pPr>
        <w:spacing w:line="240" w:lineRule="auto"/>
        <w:ind w:left="720" w:firstLine="720"/>
        <w:rPr>
          <w:b/>
        </w:rPr>
      </w:pPr>
      <w:bookmarkStart w:id="62" w:name="_Toc517259270"/>
      <w:r w:rsidRPr="008F293F">
        <w:t>Attachment 9c – Study Fact Sheet</w:t>
      </w:r>
      <w:bookmarkEnd w:id="62"/>
    </w:p>
    <w:p w14:paraId="7728AB79" w14:textId="77777777" w:rsidR="007A6850" w:rsidRPr="008F293F" w:rsidRDefault="007A6850" w:rsidP="0050240F">
      <w:pPr>
        <w:spacing w:line="240" w:lineRule="auto"/>
        <w:ind w:left="720"/>
        <w:rPr>
          <w:b/>
        </w:rPr>
      </w:pPr>
      <w:r w:rsidRPr="008F293F">
        <w:t>Attachment 10 – Appointment Reminder Telephone Script</w:t>
      </w:r>
    </w:p>
    <w:p w14:paraId="6E47304C" w14:textId="77777777" w:rsidR="007A6850" w:rsidRPr="008F293F" w:rsidRDefault="007A6850" w:rsidP="0050240F">
      <w:pPr>
        <w:spacing w:line="240" w:lineRule="auto"/>
        <w:ind w:left="720"/>
        <w:rPr>
          <w:b/>
        </w:rPr>
      </w:pPr>
      <w:r w:rsidRPr="008F293F">
        <w:t>Attachment 11 – Appointment Tracking Form</w:t>
      </w:r>
    </w:p>
    <w:p w14:paraId="3C14D0D1" w14:textId="77777777" w:rsidR="007A6850" w:rsidRPr="008F293F" w:rsidRDefault="007A6850" w:rsidP="0050240F">
      <w:pPr>
        <w:spacing w:line="240" w:lineRule="auto"/>
        <w:ind w:left="720"/>
        <w:rPr>
          <w:b/>
        </w:rPr>
      </w:pPr>
      <w:r w:rsidRPr="008F293F">
        <w:t xml:space="preserve">Attachment 12 – Update Contact Information Hardcopy Form </w:t>
      </w:r>
    </w:p>
    <w:p w14:paraId="059BA97C" w14:textId="77777777" w:rsidR="007A6850" w:rsidRPr="008F293F" w:rsidRDefault="007A6850" w:rsidP="0050240F">
      <w:pPr>
        <w:spacing w:line="240" w:lineRule="auto"/>
        <w:ind w:left="720"/>
        <w:rPr>
          <w:b/>
        </w:rPr>
      </w:pPr>
      <w:r w:rsidRPr="008F293F">
        <w:t>Attachment 13 – Medication List</w:t>
      </w:r>
    </w:p>
    <w:p w14:paraId="3FC1BF6E" w14:textId="77777777" w:rsidR="007A6850" w:rsidRPr="008F293F" w:rsidRDefault="007A6850" w:rsidP="0050240F">
      <w:pPr>
        <w:spacing w:line="240" w:lineRule="auto"/>
        <w:ind w:left="720"/>
        <w:rPr>
          <w:b/>
        </w:rPr>
      </w:pPr>
      <w:r w:rsidRPr="008F293F">
        <w:t>Attachment 14 – Manual of Procedures</w:t>
      </w:r>
    </w:p>
    <w:p w14:paraId="52A2B5EC" w14:textId="77777777" w:rsidR="007A6850" w:rsidRPr="008F293F" w:rsidRDefault="007A6850" w:rsidP="0050240F">
      <w:pPr>
        <w:spacing w:line="240" w:lineRule="auto"/>
        <w:ind w:left="720"/>
        <w:rPr>
          <w:b/>
        </w:rPr>
      </w:pPr>
      <w:bookmarkStart w:id="63" w:name="_Toc517259276"/>
      <w:r w:rsidRPr="008F293F">
        <w:t>Attachment 15 – Body and Blood Pressure Measures Form</w:t>
      </w:r>
      <w:bookmarkEnd w:id="63"/>
    </w:p>
    <w:p w14:paraId="5697ECAD" w14:textId="3B6942FA" w:rsidR="00DD39E1" w:rsidRPr="008F293F" w:rsidRDefault="007A6850" w:rsidP="0050240F">
      <w:pPr>
        <w:spacing w:line="240" w:lineRule="auto"/>
        <w:ind w:left="720"/>
        <w:rPr>
          <w:b/>
        </w:rPr>
      </w:pPr>
      <w:bookmarkStart w:id="64" w:name="_Toc517259277"/>
      <w:r w:rsidRPr="008F293F">
        <w:t>Attachment 16 – Blood Draw and Urine Collection Form</w:t>
      </w:r>
      <w:bookmarkEnd w:id="64"/>
    </w:p>
    <w:p w14:paraId="25AEE762" w14:textId="77777777" w:rsidR="00DD39E1" w:rsidRPr="008F293F" w:rsidRDefault="00DD39E1" w:rsidP="0050240F">
      <w:pPr>
        <w:spacing w:line="240" w:lineRule="auto"/>
        <w:ind w:left="720"/>
        <w:rPr>
          <w:b/>
        </w:rPr>
      </w:pPr>
      <w:bookmarkStart w:id="65" w:name="_Toc517259278"/>
      <w:r w:rsidRPr="008F293F">
        <w:t>Attachment 17 – Child Questionnaire – Long Form</w:t>
      </w:r>
      <w:bookmarkEnd w:id="65"/>
    </w:p>
    <w:p w14:paraId="41EF5160" w14:textId="77777777" w:rsidR="00DD39E1" w:rsidRPr="008F293F" w:rsidRDefault="00DD39E1" w:rsidP="00321308">
      <w:pPr>
        <w:spacing w:line="240" w:lineRule="auto"/>
        <w:ind w:left="720" w:firstLine="720"/>
        <w:rPr>
          <w:b/>
        </w:rPr>
      </w:pPr>
      <w:bookmarkStart w:id="66" w:name="_Toc517259279"/>
      <w:r w:rsidRPr="008F293F">
        <w:t>Attachment 17a – Child Questionnaire – Short Form</w:t>
      </w:r>
      <w:bookmarkEnd w:id="66"/>
    </w:p>
    <w:p w14:paraId="1511A140" w14:textId="77777777" w:rsidR="00DD39E1" w:rsidRPr="008F293F" w:rsidRDefault="00DD39E1" w:rsidP="0050240F">
      <w:pPr>
        <w:spacing w:line="240" w:lineRule="auto"/>
        <w:ind w:left="720"/>
        <w:rPr>
          <w:b/>
        </w:rPr>
      </w:pPr>
      <w:bookmarkStart w:id="67" w:name="_Toc517259280"/>
      <w:r w:rsidRPr="008F293F">
        <w:t>Attachment 18 – Adult Questionnaire</w:t>
      </w:r>
      <w:bookmarkEnd w:id="67"/>
    </w:p>
    <w:p w14:paraId="6063D1C4" w14:textId="77777777" w:rsidR="00DD39E1" w:rsidRPr="008F293F" w:rsidRDefault="00DD39E1" w:rsidP="0050240F">
      <w:pPr>
        <w:spacing w:line="240" w:lineRule="auto"/>
        <w:ind w:left="720"/>
        <w:rPr>
          <w:b/>
        </w:rPr>
      </w:pPr>
      <w:bookmarkStart w:id="68" w:name="_Toc517259281"/>
      <w:r w:rsidRPr="008F293F">
        <w:t>Attachment 19 – Letter to Provider for Record Abstraction</w:t>
      </w:r>
      <w:bookmarkEnd w:id="68"/>
    </w:p>
    <w:p w14:paraId="70732AE9" w14:textId="6C33DFF2" w:rsidR="00DD39E1" w:rsidRPr="008F293F" w:rsidRDefault="00DD39E1" w:rsidP="00321308">
      <w:pPr>
        <w:spacing w:line="240" w:lineRule="auto"/>
        <w:ind w:left="720" w:firstLine="720"/>
        <w:rPr>
          <w:b/>
        </w:rPr>
      </w:pPr>
      <w:bookmarkStart w:id="69" w:name="_Toc517259282"/>
      <w:r w:rsidRPr="008F293F">
        <w:t>Attachment 19a – Medical Record Abstraction Form</w:t>
      </w:r>
      <w:bookmarkEnd w:id="69"/>
      <w:r w:rsidRPr="008F293F">
        <w:t xml:space="preserve"> </w:t>
      </w:r>
      <w:r w:rsidR="003461FE" w:rsidRPr="008F293F">
        <w:t>- Adult</w:t>
      </w:r>
    </w:p>
    <w:p w14:paraId="0D421D44" w14:textId="18917BC1" w:rsidR="00DD39E1" w:rsidRPr="008F293F" w:rsidRDefault="00DD39E1" w:rsidP="00321308">
      <w:pPr>
        <w:spacing w:line="240" w:lineRule="auto"/>
        <w:ind w:left="720" w:firstLine="720"/>
        <w:rPr>
          <w:b/>
        </w:rPr>
      </w:pPr>
      <w:bookmarkStart w:id="70" w:name="_Toc517259283"/>
      <w:r w:rsidRPr="008F293F">
        <w:t>Attachment 19b – Medical Record Abstraction Form</w:t>
      </w:r>
      <w:bookmarkEnd w:id="70"/>
      <w:r w:rsidRPr="008F293F">
        <w:t xml:space="preserve"> </w:t>
      </w:r>
      <w:r w:rsidR="003461FE" w:rsidRPr="008F293F">
        <w:t>- Child</w:t>
      </w:r>
    </w:p>
    <w:p w14:paraId="3C696D7B" w14:textId="77777777" w:rsidR="00DD39E1" w:rsidRPr="008F293F" w:rsidRDefault="00DD39E1" w:rsidP="0050240F">
      <w:pPr>
        <w:spacing w:line="240" w:lineRule="auto"/>
        <w:ind w:left="720"/>
        <w:rPr>
          <w:b/>
        </w:rPr>
      </w:pPr>
      <w:bookmarkStart w:id="71" w:name="_Toc517259284"/>
      <w:r w:rsidRPr="008F293F">
        <w:t>Attachment 20 – Child/Parent Neurobehavioral Test Battery</w:t>
      </w:r>
      <w:bookmarkEnd w:id="71"/>
    </w:p>
    <w:p w14:paraId="3399CEDE" w14:textId="77777777" w:rsidR="00DD39E1" w:rsidRPr="008F293F" w:rsidRDefault="00DD39E1" w:rsidP="00321308">
      <w:pPr>
        <w:spacing w:line="240" w:lineRule="auto"/>
        <w:ind w:left="720" w:firstLine="720"/>
        <w:rPr>
          <w:b/>
        </w:rPr>
      </w:pPr>
      <w:bookmarkStart w:id="72" w:name="_Toc517259285"/>
      <w:r w:rsidRPr="008F293F">
        <w:t>Attachment 20a – NBT Time Estimation Table, by Age in Years</w:t>
      </w:r>
      <w:bookmarkEnd w:id="72"/>
    </w:p>
    <w:p w14:paraId="2EA1E38E" w14:textId="77777777" w:rsidR="00DD39E1" w:rsidRPr="008F293F" w:rsidRDefault="00DD39E1" w:rsidP="00321308">
      <w:pPr>
        <w:spacing w:line="240" w:lineRule="auto"/>
        <w:ind w:left="720" w:firstLine="720"/>
        <w:rPr>
          <w:b/>
        </w:rPr>
      </w:pPr>
      <w:bookmarkStart w:id="73" w:name="_Toc517259286"/>
      <w:r w:rsidRPr="008F293F">
        <w:t>Attachment 20b – Child School Record Abstraction Form</w:t>
      </w:r>
      <w:bookmarkEnd w:id="73"/>
      <w:r w:rsidRPr="008F293F">
        <w:t xml:space="preserve"> </w:t>
      </w:r>
    </w:p>
    <w:p w14:paraId="13A38E50" w14:textId="77777777" w:rsidR="00DD39E1" w:rsidRPr="008F293F" w:rsidRDefault="00DD39E1" w:rsidP="0050240F">
      <w:pPr>
        <w:spacing w:line="240" w:lineRule="auto"/>
        <w:ind w:left="720"/>
        <w:rPr>
          <w:b/>
        </w:rPr>
      </w:pPr>
      <w:bookmarkStart w:id="74" w:name="_Toc517259287"/>
      <w:r w:rsidRPr="008F293F">
        <w:t>Attachment 21 – Body and Blood Pressure Measurements Report</w:t>
      </w:r>
      <w:bookmarkEnd w:id="74"/>
    </w:p>
    <w:p w14:paraId="049750BC" w14:textId="77777777" w:rsidR="00DD39E1" w:rsidRPr="008F293F" w:rsidRDefault="00DD39E1" w:rsidP="0050240F">
      <w:pPr>
        <w:spacing w:line="240" w:lineRule="auto"/>
        <w:ind w:left="720"/>
        <w:rPr>
          <w:b/>
        </w:rPr>
      </w:pPr>
      <w:bookmarkStart w:id="75" w:name="_Toc517259288"/>
      <w:r w:rsidRPr="008F293F">
        <w:t>Attachment 22 – Advance Reporting Script for Clinical Tests</w:t>
      </w:r>
      <w:bookmarkEnd w:id="75"/>
    </w:p>
    <w:p w14:paraId="3C00DC38" w14:textId="09BF294B" w:rsidR="00DD39E1" w:rsidRPr="008F293F" w:rsidRDefault="00DD39E1" w:rsidP="0050240F">
      <w:pPr>
        <w:spacing w:line="240" w:lineRule="auto"/>
        <w:ind w:left="720"/>
        <w:rPr>
          <w:b/>
        </w:rPr>
      </w:pPr>
      <w:r w:rsidRPr="008F293F">
        <w:tab/>
      </w:r>
      <w:bookmarkStart w:id="76" w:name="_Toc517259289"/>
      <w:r w:rsidRPr="008F293F">
        <w:t>Attachment 22a – Advance Clinical Test Report Tracking Form</w:t>
      </w:r>
      <w:bookmarkEnd w:id="76"/>
    </w:p>
    <w:p w14:paraId="080D125C" w14:textId="77777777" w:rsidR="00DD39E1" w:rsidRPr="008F293F" w:rsidRDefault="00DD39E1" w:rsidP="00321308">
      <w:pPr>
        <w:spacing w:line="240" w:lineRule="auto"/>
        <w:ind w:left="720" w:firstLine="720"/>
        <w:rPr>
          <w:b/>
        </w:rPr>
      </w:pPr>
      <w:bookmarkStart w:id="77" w:name="_Toc517259290"/>
      <w:r w:rsidRPr="008F293F">
        <w:t>Attachment 22b – Letter Report of Critical Values</w:t>
      </w:r>
      <w:bookmarkEnd w:id="77"/>
      <w:r w:rsidRPr="008F293F">
        <w:t xml:space="preserve"> </w:t>
      </w:r>
    </w:p>
    <w:p w14:paraId="788607DE" w14:textId="77777777" w:rsidR="00DD39E1" w:rsidRPr="008F293F" w:rsidRDefault="00DD39E1" w:rsidP="0050240F">
      <w:pPr>
        <w:spacing w:line="240" w:lineRule="auto"/>
        <w:ind w:left="720"/>
      </w:pPr>
      <w:r w:rsidRPr="008F293F">
        <w:t>Attachment 23 – Clinical Test Results Report</w:t>
      </w:r>
    </w:p>
    <w:p w14:paraId="48E8D58C" w14:textId="77777777" w:rsidR="00DD39E1" w:rsidRPr="008F293F" w:rsidRDefault="00DD39E1" w:rsidP="0050240F">
      <w:pPr>
        <w:spacing w:line="240" w:lineRule="auto"/>
        <w:ind w:left="720"/>
        <w:rPr>
          <w:b/>
        </w:rPr>
      </w:pPr>
      <w:bookmarkStart w:id="78" w:name="_Toc517259291"/>
      <w:r w:rsidRPr="008F293F">
        <w:t>Attachment 24 – PFAS Results Report</w:t>
      </w:r>
      <w:bookmarkEnd w:id="78"/>
    </w:p>
    <w:p w14:paraId="6E12C527" w14:textId="0B78EC77" w:rsidR="00E770C4" w:rsidRPr="00321308" w:rsidRDefault="00DD39E1" w:rsidP="00321308">
      <w:pPr>
        <w:spacing w:line="240" w:lineRule="auto"/>
        <w:ind w:left="720"/>
        <w:rPr>
          <w:b/>
        </w:rPr>
      </w:pPr>
      <w:r w:rsidRPr="008F293F">
        <w:tab/>
      </w:r>
      <w:bookmarkStart w:id="79" w:name="_Toc517259292"/>
      <w:r w:rsidRPr="008F293F">
        <w:t>Attachment 24a – ATSDR PFAS Factsheet</w:t>
      </w:r>
      <w:bookmarkEnd w:id="79"/>
    </w:p>
    <w:sectPr w:rsidR="00E770C4" w:rsidRPr="00321308" w:rsidSect="00F91C3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EDD6" w14:textId="77777777" w:rsidR="008217C5" w:rsidRDefault="008217C5" w:rsidP="008B5D54">
      <w:r>
        <w:separator/>
      </w:r>
    </w:p>
  </w:endnote>
  <w:endnote w:type="continuationSeparator" w:id="0">
    <w:p w14:paraId="79C51939" w14:textId="77777777" w:rsidR="008217C5" w:rsidRDefault="008217C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TCFranklinGothicStd-DmCd">
    <w:panose1 w:val="00000000000000000000"/>
    <w:charset w:val="00"/>
    <w:family w:val="swiss"/>
    <w:notTrueType/>
    <w:pitch w:val="default"/>
    <w:sig w:usb0="00000003" w:usb1="00000000" w:usb2="00000000" w:usb3="00000000" w:csb0="00000001" w:csb1="00000000"/>
  </w:font>
  <w:font w:name="ITCFranklinGothicStd-Bk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853598"/>
      <w:docPartObj>
        <w:docPartGallery w:val="Page Numbers (Bottom of Page)"/>
        <w:docPartUnique/>
      </w:docPartObj>
    </w:sdtPr>
    <w:sdtEndPr>
      <w:rPr>
        <w:noProof/>
      </w:rPr>
    </w:sdtEndPr>
    <w:sdtContent>
      <w:p w14:paraId="7E03AE4C" w14:textId="6EBAA2E8" w:rsidR="008217C5" w:rsidRDefault="008217C5">
        <w:pPr>
          <w:pStyle w:val="Footer"/>
          <w:jc w:val="right"/>
        </w:pPr>
        <w:r>
          <w:fldChar w:fldCharType="begin"/>
        </w:r>
        <w:r>
          <w:instrText xml:space="preserve"> PAGE   \* MERGEFORMAT </w:instrText>
        </w:r>
        <w:r>
          <w:fldChar w:fldCharType="separate"/>
        </w:r>
        <w:r w:rsidR="0030044A">
          <w:rPr>
            <w:noProof/>
          </w:rPr>
          <w:t>1</w:t>
        </w:r>
        <w:r>
          <w:rPr>
            <w:noProof/>
          </w:rPr>
          <w:fldChar w:fldCharType="end"/>
        </w:r>
      </w:p>
    </w:sdtContent>
  </w:sdt>
  <w:p w14:paraId="116A290F" w14:textId="77777777" w:rsidR="008217C5" w:rsidRDefault="008217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5285" w14:textId="77777777" w:rsidR="008217C5" w:rsidRDefault="008217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885821"/>
      <w:docPartObj>
        <w:docPartGallery w:val="Page Numbers (Bottom of Page)"/>
        <w:docPartUnique/>
      </w:docPartObj>
    </w:sdtPr>
    <w:sdtEndPr>
      <w:rPr>
        <w:noProof/>
      </w:rPr>
    </w:sdtEndPr>
    <w:sdtContent>
      <w:p w14:paraId="28B2637E" w14:textId="1796E45D" w:rsidR="008217C5" w:rsidRDefault="008217C5">
        <w:pPr>
          <w:pStyle w:val="Footer"/>
          <w:jc w:val="right"/>
        </w:pPr>
        <w:r>
          <w:fldChar w:fldCharType="begin"/>
        </w:r>
        <w:r>
          <w:instrText xml:space="preserve"> PAGE   \* MERGEFORMAT </w:instrText>
        </w:r>
        <w:r>
          <w:fldChar w:fldCharType="separate"/>
        </w:r>
        <w:r w:rsidR="007236B8">
          <w:rPr>
            <w:noProof/>
          </w:rPr>
          <w:t>21</w:t>
        </w:r>
        <w:r>
          <w:rPr>
            <w:noProof/>
          </w:rPr>
          <w:fldChar w:fldCharType="end"/>
        </w:r>
      </w:p>
    </w:sdtContent>
  </w:sdt>
  <w:p w14:paraId="08F2E181" w14:textId="77777777" w:rsidR="008217C5" w:rsidRDefault="008217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8F52" w14:textId="77777777" w:rsidR="008217C5" w:rsidRDefault="0082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A39EA" w14:textId="77777777" w:rsidR="008217C5" w:rsidRDefault="008217C5" w:rsidP="008B5D54">
      <w:r>
        <w:separator/>
      </w:r>
    </w:p>
  </w:footnote>
  <w:footnote w:type="continuationSeparator" w:id="0">
    <w:p w14:paraId="09B5FBA2" w14:textId="77777777" w:rsidR="008217C5" w:rsidRDefault="008217C5" w:rsidP="008B5D54">
      <w:r>
        <w:continuationSeparator/>
      </w:r>
    </w:p>
  </w:footnote>
  <w:footnote w:id="1">
    <w:p w14:paraId="15C590EA" w14:textId="60A9E6F2" w:rsidR="008217C5" w:rsidRDefault="008217C5">
      <w:pPr>
        <w:pStyle w:val="FootnoteText"/>
      </w:pPr>
      <w:r>
        <w:rPr>
          <w:rStyle w:val="FootnoteReference"/>
        </w:rPr>
        <w:footnoteRef/>
      </w:r>
      <w:r>
        <w:t xml:space="preserve"> </w:t>
      </w:r>
      <w:r w:rsidRPr="00F44E0C">
        <w:t>https://www.cdc.gov/epiinfo/index.html</w:t>
      </w:r>
    </w:p>
  </w:footnote>
  <w:footnote w:id="2">
    <w:p w14:paraId="4E101266" w14:textId="6FCD8ADF" w:rsidR="008217C5" w:rsidRPr="003509C5" w:rsidRDefault="008217C5" w:rsidP="00717F2A">
      <w:pPr>
        <w:autoSpaceDE w:val="0"/>
        <w:autoSpaceDN w:val="0"/>
        <w:adjustRightInd w:val="0"/>
        <w:spacing w:after="0" w:line="240" w:lineRule="auto"/>
        <w:rPr>
          <w:rFonts w:cstheme="minorHAnsi"/>
          <w:sz w:val="16"/>
          <w:szCs w:val="16"/>
        </w:rPr>
      </w:pPr>
      <w:r w:rsidRPr="003509C5">
        <w:rPr>
          <w:rStyle w:val="FootnoteReference"/>
          <w:rFonts w:cstheme="minorHAnsi"/>
          <w:sz w:val="16"/>
          <w:szCs w:val="16"/>
        </w:rPr>
        <w:footnoteRef/>
      </w:r>
      <w:r w:rsidRPr="003509C5">
        <w:rPr>
          <w:rFonts w:cstheme="minorHAnsi"/>
          <w:sz w:val="16"/>
          <w:szCs w:val="16"/>
        </w:rPr>
        <w:t xml:space="preserve"> OMB FORM 83-I: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792E" w14:textId="77777777" w:rsidR="008217C5" w:rsidRDefault="00821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7D6EC" w14:textId="77777777" w:rsidR="008217C5" w:rsidRDefault="008217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2D1B" w14:textId="77777777" w:rsidR="008217C5" w:rsidRDefault="008217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F67"/>
    <w:multiLevelType w:val="multilevel"/>
    <w:tmpl w:val="F49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34A21"/>
    <w:multiLevelType w:val="hybridMultilevel"/>
    <w:tmpl w:val="296E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21201"/>
    <w:multiLevelType w:val="hybridMultilevel"/>
    <w:tmpl w:val="826E3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25607"/>
    <w:multiLevelType w:val="hybridMultilevel"/>
    <w:tmpl w:val="4F0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AE7482"/>
    <w:multiLevelType w:val="hybridMultilevel"/>
    <w:tmpl w:val="F13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6F3908"/>
    <w:multiLevelType w:val="hybridMultilevel"/>
    <w:tmpl w:val="294C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D0351"/>
    <w:multiLevelType w:val="hybridMultilevel"/>
    <w:tmpl w:val="C40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5"/>
  </w:num>
  <w:num w:numId="4">
    <w:abstractNumId w:val="7"/>
  </w:num>
  <w:num w:numId="5">
    <w:abstractNumId w:val="10"/>
  </w:num>
  <w:num w:numId="6">
    <w:abstractNumId w:val="2"/>
  </w:num>
  <w:num w:numId="7">
    <w:abstractNumId w:val="6"/>
  </w:num>
  <w:num w:numId="8">
    <w:abstractNumId w:val="8"/>
  </w:num>
  <w:num w:numId="9">
    <w:abstractNumId w:val="14"/>
  </w:num>
  <w:num w:numId="10">
    <w:abstractNumId w:val="3"/>
  </w:num>
  <w:num w:numId="11">
    <w:abstractNumId w:val="13"/>
  </w:num>
  <w:num w:numId="12">
    <w:abstractNumId w:val="9"/>
  </w:num>
  <w:num w:numId="13">
    <w:abstractNumId w:val="5"/>
  </w:num>
  <w:num w:numId="14">
    <w:abstractNumId w:val="1"/>
  </w:num>
  <w:num w:numId="15">
    <w:abstractNumId w:val="0"/>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CA7"/>
    <w:rsid w:val="00001F18"/>
    <w:rsid w:val="00002CDE"/>
    <w:rsid w:val="00004874"/>
    <w:rsid w:val="0000689D"/>
    <w:rsid w:val="000071D1"/>
    <w:rsid w:val="000076C1"/>
    <w:rsid w:val="00007918"/>
    <w:rsid w:val="0001135C"/>
    <w:rsid w:val="000130C7"/>
    <w:rsid w:val="00013DB5"/>
    <w:rsid w:val="00017E9F"/>
    <w:rsid w:val="0002168F"/>
    <w:rsid w:val="00026800"/>
    <w:rsid w:val="000273E9"/>
    <w:rsid w:val="00027505"/>
    <w:rsid w:val="00027B1B"/>
    <w:rsid w:val="00027C80"/>
    <w:rsid w:val="00027F55"/>
    <w:rsid w:val="00031833"/>
    <w:rsid w:val="00032EA4"/>
    <w:rsid w:val="00034197"/>
    <w:rsid w:val="00040E13"/>
    <w:rsid w:val="00040F4A"/>
    <w:rsid w:val="000415FA"/>
    <w:rsid w:val="0004284D"/>
    <w:rsid w:val="0004308A"/>
    <w:rsid w:val="0004487B"/>
    <w:rsid w:val="00044B3E"/>
    <w:rsid w:val="00045A02"/>
    <w:rsid w:val="00047490"/>
    <w:rsid w:val="000476C8"/>
    <w:rsid w:val="00051810"/>
    <w:rsid w:val="00051816"/>
    <w:rsid w:val="00051B38"/>
    <w:rsid w:val="00055096"/>
    <w:rsid w:val="0005528A"/>
    <w:rsid w:val="000576D4"/>
    <w:rsid w:val="000602B8"/>
    <w:rsid w:val="00061450"/>
    <w:rsid w:val="0006228C"/>
    <w:rsid w:val="00064766"/>
    <w:rsid w:val="00065509"/>
    <w:rsid w:val="0006626E"/>
    <w:rsid w:val="00067C9F"/>
    <w:rsid w:val="000712F6"/>
    <w:rsid w:val="00072010"/>
    <w:rsid w:val="00075A8C"/>
    <w:rsid w:val="00076C74"/>
    <w:rsid w:val="000771B9"/>
    <w:rsid w:val="0007753E"/>
    <w:rsid w:val="00077A0C"/>
    <w:rsid w:val="0008360E"/>
    <w:rsid w:val="00085370"/>
    <w:rsid w:val="00093633"/>
    <w:rsid w:val="00094108"/>
    <w:rsid w:val="00094E12"/>
    <w:rsid w:val="00097E41"/>
    <w:rsid w:val="000A0C84"/>
    <w:rsid w:val="000A0D28"/>
    <w:rsid w:val="000A10E5"/>
    <w:rsid w:val="000A16FA"/>
    <w:rsid w:val="000A204D"/>
    <w:rsid w:val="000A30A8"/>
    <w:rsid w:val="000A4BD7"/>
    <w:rsid w:val="000A583B"/>
    <w:rsid w:val="000A5AC6"/>
    <w:rsid w:val="000A6E17"/>
    <w:rsid w:val="000A77B0"/>
    <w:rsid w:val="000B0207"/>
    <w:rsid w:val="000B14F2"/>
    <w:rsid w:val="000B6CEE"/>
    <w:rsid w:val="000B7CF7"/>
    <w:rsid w:val="000C62EB"/>
    <w:rsid w:val="000E1CF2"/>
    <w:rsid w:val="000E2092"/>
    <w:rsid w:val="000E7FAD"/>
    <w:rsid w:val="000F1EE4"/>
    <w:rsid w:val="000F4FC5"/>
    <w:rsid w:val="00100D0E"/>
    <w:rsid w:val="001012F6"/>
    <w:rsid w:val="00101BF0"/>
    <w:rsid w:val="00103DFD"/>
    <w:rsid w:val="00104051"/>
    <w:rsid w:val="00106836"/>
    <w:rsid w:val="00107476"/>
    <w:rsid w:val="00110D29"/>
    <w:rsid w:val="0011321F"/>
    <w:rsid w:val="001142E6"/>
    <w:rsid w:val="00115E39"/>
    <w:rsid w:val="00116841"/>
    <w:rsid w:val="0011795E"/>
    <w:rsid w:val="001232E4"/>
    <w:rsid w:val="00123A3D"/>
    <w:rsid w:val="00124561"/>
    <w:rsid w:val="001317DF"/>
    <w:rsid w:val="001319EC"/>
    <w:rsid w:val="00132004"/>
    <w:rsid w:val="001324C6"/>
    <w:rsid w:val="001346BF"/>
    <w:rsid w:val="00134BEF"/>
    <w:rsid w:val="00134D63"/>
    <w:rsid w:val="001372DB"/>
    <w:rsid w:val="00137450"/>
    <w:rsid w:val="0013764F"/>
    <w:rsid w:val="0014151A"/>
    <w:rsid w:val="001417E6"/>
    <w:rsid w:val="00142483"/>
    <w:rsid w:val="00147AEA"/>
    <w:rsid w:val="00150025"/>
    <w:rsid w:val="0015103C"/>
    <w:rsid w:val="00151318"/>
    <w:rsid w:val="00154573"/>
    <w:rsid w:val="00160A9B"/>
    <w:rsid w:val="001626E8"/>
    <w:rsid w:val="00163C21"/>
    <w:rsid w:val="00165315"/>
    <w:rsid w:val="001660B8"/>
    <w:rsid w:val="00167A15"/>
    <w:rsid w:val="00167B77"/>
    <w:rsid w:val="00170790"/>
    <w:rsid w:val="001727C1"/>
    <w:rsid w:val="00174999"/>
    <w:rsid w:val="00176AF4"/>
    <w:rsid w:val="00177ABE"/>
    <w:rsid w:val="00181643"/>
    <w:rsid w:val="00182241"/>
    <w:rsid w:val="00185386"/>
    <w:rsid w:val="001855E3"/>
    <w:rsid w:val="001872E6"/>
    <w:rsid w:val="0019133A"/>
    <w:rsid w:val="00191E35"/>
    <w:rsid w:val="001960D0"/>
    <w:rsid w:val="001963A2"/>
    <w:rsid w:val="00196C12"/>
    <w:rsid w:val="001A15F9"/>
    <w:rsid w:val="001A174C"/>
    <w:rsid w:val="001A454C"/>
    <w:rsid w:val="001A489F"/>
    <w:rsid w:val="001A5EC6"/>
    <w:rsid w:val="001A6B1F"/>
    <w:rsid w:val="001B2712"/>
    <w:rsid w:val="001B3522"/>
    <w:rsid w:val="001B716A"/>
    <w:rsid w:val="001C040F"/>
    <w:rsid w:val="001C066E"/>
    <w:rsid w:val="001C06E3"/>
    <w:rsid w:val="001C0A42"/>
    <w:rsid w:val="001C0BBD"/>
    <w:rsid w:val="001C1DD5"/>
    <w:rsid w:val="001C268C"/>
    <w:rsid w:val="001C27CC"/>
    <w:rsid w:val="001C3EBE"/>
    <w:rsid w:val="001C4BC2"/>
    <w:rsid w:val="001D391B"/>
    <w:rsid w:val="001D56E7"/>
    <w:rsid w:val="001D75CC"/>
    <w:rsid w:val="001E2620"/>
    <w:rsid w:val="001E27D7"/>
    <w:rsid w:val="001E595A"/>
    <w:rsid w:val="001E5A44"/>
    <w:rsid w:val="001E7DBF"/>
    <w:rsid w:val="001F0BE8"/>
    <w:rsid w:val="001F0D2F"/>
    <w:rsid w:val="001F19FD"/>
    <w:rsid w:val="001F1D97"/>
    <w:rsid w:val="001F23DF"/>
    <w:rsid w:val="001F3014"/>
    <w:rsid w:val="001F3995"/>
    <w:rsid w:val="001F4092"/>
    <w:rsid w:val="001F4BAF"/>
    <w:rsid w:val="001F4FFA"/>
    <w:rsid w:val="001F53D2"/>
    <w:rsid w:val="001F5BDA"/>
    <w:rsid w:val="001F7DFB"/>
    <w:rsid w:val="00201308"/>
    <w:rsid w:val="00203A62"/>
    <w:rsid w:val="00204DD3"/>
    <w:rsid w:val="0020569E"/>
    <w:rsid w:val="00206074"/>
    <w:rsid w:val="002064EF"/>
    <w:rsid w:val="00206A3D"/>
    <w:rsid w:val="00206AAE"/>
    <w:rsid w:val="00214807"/>
    <w:rsid w:val="00215202"/>
    <w:rsid w:val="002203E0"/>
    <w:rsid w:val="002215B0"/>
    <w:rsid w:val="00225587"/>
    <w:rsid w:val="00227817"/>
    <w:rsid w:val="0023081C"/>
    <w:rsid w:val="00231951"/>
    <w:rsid w:val="002347EC"/>
    <w:rsid w:val="00234F2D"/>
    <w:rsid w:val="00236267"/>
    <w:rsid w:val="0023630E"/>
    <w:rsid w:val="002369DA"/>
    <w:rsid w:val="00236A1B"/>
    <w:rsid w:val="002379B5"/>
    <w:rsid w:val="00237ABC"/>
    <w:rsid w:val="0024025D"/>
    <w:rsid w:val="0024399D"/>
    <w:rsid w:val="00244F46"/>
    <w:rsid w:val="002479EF"/>
    <w:rsid w:val="00251F55"/>
    <w:rsid w:val="00252B59"/>
    <w:rsid w:val="00254DEA"/>
    <w:rsid w:val="00255C3C"/>
    <w:rsid w:val="00256942"/>
    <w:rsid w:val="00256B5B"/>
    <w:rsid w:val="00257CB9"/>
    <w:rsid w:val="002605A1"/>
    <w:rsid w:val="00261399"/>
    <w:rsid w:val="00265663"/>
    <w:rsid w:val="002658D5"/>
    <w:rsid w:val="002714A8"/>
    <w:rsid w:val="00271C0C"/>
    <w:rsid w:val="00274D11"/>
    <w:rsid w:val="00275290"/>
    <w:rsid w:val="0027619F"/>
    <w:rsid w:val="002771FE"/>
    <w:rsid w:val="002776E6"/>
    <w:rsid w:val="002819B1"/>
    <w:rsid w:val="00283881"/>
    <w:rsid w:val="0028491D"/>
    <w:rsid w:val="002872C0"/>
    <w:rsid w:val="00287A8C"/>
    <w:rsid w:val="00287B5A"/>
    <w:rsid w:val="00290F85"/>
    <w:rsid w:val="002928DF"/>
    <w:rsid w:val="002930EC"/>
    <w:rsid w:val="00293E0C"/>
    <w:rsid w:val="00294E11"/>
    <w:rsid w:val="002A1AB0"/>
    <w:rsid w:val="002A338A"/>
    <w:rsid w:val="002A3655"/>
    <w:rsid w:val="002A674E"/>
    <w:rsid w:val="002B0631"/>
    <w:rsid w:val="002B1D7C"/>
    <w:rsid w:val="002B3045"/>
    <w:rsid w:val="002C06A1"/>
    <w:rsid w:val="002C1279"/>
    <w:rsid w:val="002C2A8D"/>
    <w:rsid w:val="002C4EB6"/>
    <w:rsid w:val="002C5C4A"/>
    <w:rsid w:val="002C645E"/>
    <w:rsid w:val="002C6753"/>
    <w:rsid w:val="002D034F"/>
    <w:rsid w:val="002D3A9E"/>
    <w:rsid w:val="002D73D1"/>
    <w:rsid w:val="002E0397"/>
    <w:rsid w:val="002E1595"/>
    <w:rsid w:val="002E2E4E"/>
    <w:rsid w:val="002E368A"/>
    <w:rsid w:val="002E3C81"/>
    <w:rsid w:val="002E4498"/>
    <w:rsid w:val="002E48A7"/>
    <w:rsid w:val="002E5219"/>
    <w:rsid w:val="002F1EC0"/>
    <w:rsid w:val="002F31CE"/>
    <w:rsid w:val="002F3924"/>
    <w:rsid w:val="002F70BC"/>
    <w:rsid w:val="002F7F26"/>
    <w:rsid w:val="0030044A"/>
    <w:rsid w:val="00302CC4"/>
    <w:rsid w:val="00304612"/>
    <w:rsid w:val="00306DDE"/>
    <w:rsid w:val="00307FE7"/>
    <w:rsid w:val="00310190"/>
    <w:rsid w:val="003113D2"/>
    <w:rsid w:val="003126B5"/>
    <w:rsid w:val="00316980"/>
    <w:rsid w:val="00320135"/>
    <w:rsid w:val="003210B3"/>
    <w:rsid w:val="00321308"/>
    <w:rsid w:val="0032165A"/>
    <w:rsid w:val="00323C10"/>
    <w:rsid w:val="003248A4"/>
    <w:rsid w:val="00324BED"/>
    <w:rsid w:val="00326844"/>
    <w:rsid w:val="00330431"/>
    <w:rsid w:val="00330703"/>
    <w:rsid w:val="00332993"/>
    <w:rsid w:val="0033469A"/>
    <w:rsid w:val="00336B5D"/>
    <w:rsid w:val="00340E99"/>
    <w:rsid w:val="00342BA4"/>
    <w:rsid w:val="0034495C"/>
    <w:rsid w:val="003461FE"/>
    <w:rsid w:val="00346C4C"/>
    <w:rsid w:val="00346E41"/>
    <w:rsid w:val="00347551"/>
    <w:rsid w:val="00347E49"/>
    <w:rsid w:val="003506B8"/>
    <w:rsid w:val="003507B3"/>
    <w:rsid w:val="003509C5"/>
    <w:rsid w:val="003525EB"/>
    <w:rsid w:val="0035305D"/>
    <w:rsid w:val="00354A4E"/>
    <w:rsid w:val="00354E0E"/>
    <w:rsid w:val="00355B97"/>
    <w:rsid w:val="00356DC2"/>
    <w:rsid w:val="00357FB5"/>
    <w:rsid w:val="00360896"/>
    <w:rsid w:val="00360BBB"/>
    <w:rsid w:val="00361201"/>
    <w:rsid w:val="00361AF0"/>
    <w:rsid w:val="0036251E"/>
    <w:rsid w:val="00363647"/>
    <w:rsid w:val="003648A2"/>
    <w:rsid w:val="00364CCC"/>
    <w:rsid w:val="0036566F"/>
    <w:rsid w:val="00365B89"/>
    <w:rsid w:val="003664A6"/>
    <w:rsid w:val="003712EB"/>
    <w:rsid w:val="00373456"/>
    <w:rsid w:val="00374B65"/>
    <w:rsid w:val="003758FA"/>
    <w:rsid w:val="003810E2"/>
    <w:rsid w:val="00383848"/>
    <w:rsid w:val="00385207"/>
    <w:rsid w:val="00385AF5"/>
    <w:rsid w:val="00386C3A"/>
    <w:rsid w:val="00387C4A"/>
    <w:rsid w:val="00390B2D"/>
    <w:rsid w:val="00391007"/>
    <w:rsid w:val="00391972"/>
    <w:rsid w:val="003924FB"/>
    <w:rsid w:val="0039644E"/>
    <w:rsid w:val="00396C5B"/>
    <w:rsid w:val="003A007B"/>
    <w:rsid w:val="003A0349"/>
    <w:rsid w:val="003A2F76"/>
    <w:rsid w:val="003A4B8F"/>
    <w:rsid w:val="003A551F"/>
    <w:rsid w:val="003A5DD1"/>
    <w:rsid w:val="003B1968"/>
    <w:rsid w:val="003B2A57"/>
    <w:rsid w:val="003B3057"/>
    <w:rsid w:val="003B3EC5"/>
    <w:rsid w:val="003B5DB5"/>
    <w:rsid w:val="003C0795"/>
    <w:rsid w:val="003C0CED"/>
    <w:rsid w:val="003C21A1"/>
    <w:rsid w:val="003C4886"/>
    <w:rsid w:val="003C530B"/>
    <w:rsid w:val="003C6450"/>
    <w:rsid w:val="003C72CE"/>
    <w:rsid w:val="003D044E"/>
    <w:rsid w:val="003D1A64"/>
    <w:rsid w:val="003D35FD"/>
    <w:rsid w:val="003D3E78"/>
    <w:rsid w:val="003D702E"/>
    <w:rsid w:val="003D7C7F"/>
    <w:rsid w:val="003E092D"/>
    <w:rsid w:val="003E60FF"/>
    <w:rsid w:val="003E7D3C"/>
    <w:rsid w:val="003F2C06"/>
    <w:rsid w:val="003F4112"/>
    <w:rsid w:val="003F51BF"/>
    <w:rsid w:val="003F536D"/>
    <w:rsid w:val="003F612D"/>
    <w:rsid w:val="003F6A54"/>
    <w:rsid w:val="003F7043"/>
    <w:rsid w:val="00400C55"/>
    <w:rsid w:val="00400E09"/>
    <w:rsid w:val="00401039"/>
    <w:rsid w:val="00405268"/>
    <w:rsid w:val="00405416"/>
    <w:rsid w:val="0040548F"/>
    <w:rsid w:val="0040594D"/>
    <w:rsid w:val="00407B3E"/>
    <w:rsid w:val="00411D9C"/>
    <w:rsid w:val="00413951"/>
    <w:rsid w:val="00414771"/>
    <w:rsid w:val="004154B7"/>
    <w:rsid w:val="00416242"/>
    <w:rsid w:val="0042567B"/>
    <w:rsid w:val="00427E4A"/>
    <w:rsid w:val="004302E3"/>
    <w:rsid w:val="004302E9"/>
    <w:rsid w:val="004316C8"/>
    <w:rsid w:val="00434368"/>
    <w:rsid w:val="00434825"/>
    <w:rsid w:val="00434990"/>
    <w:rsid w:val="00434A3F"/>
    <w:rsid w:val="004356AE"/>
    <w:rsid w:val="00435DBA"/>
    <w:rsid w:val="00436064"/>
    <w:rsid w:val="0044037B"/>
    <w:rsid w:val="004417A7"/>
    <w:rsid w:val="00441874"/>
    <w:rsid w:val="0044654D"/>
    <w:rsid w:val="004478DB"/>
    <w:rsid w:val="00451BBD"/>
    <w:rsid w:val="00452C6F"/>
    <w:rsid w:val="00454E04"/>
    <w:rsid w:val="00455158"/>
    <w:rsid w:val="00455277"/>
    <w:rsid w:val="004558AD"/>
    <w:rsid w:val="00462755"/>
    <w:rsid w:val="00462CB7"/>
    <w:rsid w:val="00463291"/>
    <w:rsid w:val="00464B09"/>
    <w:rsid w:val="00465528"/>
    <w:rsid w:val="00465813"/>
    <w:rsid w:val="00466A32"/>
    <w:rsid w:val="004677EB"/>
    <w:rsid w:val="00470AA0"/>
    <w:rsid w:val="0047610D"/>
    <w:rsid w:val="00476284"/>
    <w:rsid w:val="0047778A"/>
    <w:rsid w:val="00477BB5"/>
    <w:rsid w:val="00480FC6"/>
    <w:rsid w:val="004834F8"/>
    <w:rsid w:val="00483E2D"/>
    <w:rsid w:val="00484420"/>
    <w:rsid w:val="004852FA"/>
    <w:rsid w:val="0048608D"/>
    <w:rsid w:val="004863C6"/>
    <w:rsid w:val="0048759B"/>
    <w:rsid w:val="0049091C"/>
    <w:rsid w:val="00490DFA"/>
    <w:rsid w:val="004939F0"/>
    <w:rsid w:val="00494BFD"/>
    <w:rsid w:val="00496470"/>
    <w:rsid w:val="00496C37"/>
    <w:rsid w:val="004976CC"/>
    <w:rsid w:val="004A0C8C"/>
    <w:rsid w:val="004A2C60"/>
    <w:rsid w:val="004A3C34"/>
    <w:rsid w:val="004A7B18"/>
    <w:rsid w:val="004B091D"/>
    <w:rsid w:val="004B0F18"/>
    <w:rsid w:val="004B1388"/>
    <w:rsid w:val="004B1E79"/>
    <w:rsid w:val="004B2746"/>
    <w:rsid w:val="004B3657"/>
    <w:rsid w:val="004B55C9"/>
    <w:rsid w:val="004B69EF"/>
    <w:rsid w:val="004B7E0F"/>
    <w:rsid w:val="004C21FC"/>
    <w:rsid w:val="004C26BF"/>
    <w:rsid w:val="004C3752"/>
    <w:rsid w:val="004C37C5"/>
    <w:rsid w:val="004C78BB"/>
    <w:rsid w:val="004D194E"/>
    <w:rsid w:val="004D21C9"/>
    <w:rsid w:val="004D3245"/>
    <w:rsid w:val="004D621C"/>
    <w:rsid w:val="004D6B87"/>
    <w:rsid w:val="004D7237"/>
    <w:rsid w:val="004D7760"/>
    <w:rsid w:val="004E1D4C"/>
    <w:rsid w:val="004E29A9"/>
    <w:rsid w:val="004E3771"/>
    <w:rsid w:val="004E3F14"/>
    <w:rsid w:val="004E40CE"/>
    <w:rsid w:val="004E580C"/>
    <w:rsid w:val="004E5B73"/>
    <w:rsid w:val="004E62B1"/>
    <w:rsid w:val="004E7FB2"/>
    <w:rsid w:val="004F0165"/>
    <w:rsid w:val="004F0CE6"/>
    <w:rsid w:val="004F1289"/>
    <w:rsid w:val="004F1D6F"/>
    <w:rsid w:val="004F3917"/>
    <w:rsid w:val="004F7591"/>
    <w:rsid w:val="004F7860"/>
    <w:rsid w:val="004F7A7F"/>
    <w:rsid w:val="0050240F"/>
    <w:rsid w:val="005033EA"/>
    <w:rsid w:val="005079BD"/>
    <w:rsid w:val="00511DC2"/>
    <w:rsid w:val="00514714"/>
    <w:rsid w:val="0051716C"/>
    <w:rsid w:val="00523A2A"/>
    <w:rsid w:val="00524D01"/>
    <w:rsid w:val="00525695"/>
    <w:rsid w:val="00527862"/>
    <w:rsid w:val="0053013C"/>
    <w:rsid w:val="0054047D"/>
    <w:rsid w:val="0054053A"/>
    <w:rsid w:val="005407DB"/>
    <w:rsid w:val="00541808"/>
    <w:rsid w:val="00542FA4"/>
    <w:rsid w:val="0054331A"/>
    <w:rsid w:val="00543DCF"/>
    <w:rsid w:val="00544418"/>
    <w:rsid w:val="005459BB"/>
    <w:rsid w:val="00546470"/>
    <w:rsid w:val="0055030C"/>
    <w:rsid w:val="00550E18"/>
    <w:rsid w:val="00551931"/>
    <w:rsid w:val="00553B27"/>
    <w:rsid w:val="0055566F"/>
    <w:rsid w:val="005566DA"/>
    <w:rsid w:val="005655A6"/>
    <w:rsid w:val="00566D2A"/>
    <w:rsid w:val="0056767C"/>
    <w:rsid w:val="00567B7B"/>
    <w:rsid w:val="00572450"/>
    <w:rsid w:val="00572E13"/>
    <w:rsid w:val="005732B3"/>
    <w:rsid w:val="0057535C"/>
    <w:rsid w:val="005773F6"/>
    <w:rsid w:val="00581C29"/>
    <w:rsid w:val="0058290A"/>
    <w:rsid w:val="00583B69"/>
    <w:rsid w:val="00584DEF"/>
    <w:rsid w:val="00585152"/>
    <w:rsid w:val="005918F7"/>
    <w:rsid w:val="00592CFD"/>
    <w:rsid w:val="0059372D"/>
    <w:rsid w:val="00597B55"/>
    <w:rsid w:val="005A033A"/>
    <w:rsid w:val="005A1E38"/>
    <w:rsid w:val="005A4EB1"/>
    <w:rsid w:val="005A523F"/>
    <w:rsid w:val="005A5FA1"/>
    <w:rsid w:val="005A6265"/>
    <w:rsid w:val="005A627E"/>
    <w:rsid w:val="005B01BF"/>
    <w:rsid w:val="005B03EC"/>
    <w:rsid w:val="005B07B8"/>
    <w:rsid w:val="005B191C"/>
    <w:rsid w:val="005B1AD5"/>
    <w:rsid w:val="005B610F"/>
    <w:rsid w:val="005B6E55"/>
    <w:rsid w:val="005B7771"/>
    <w:rsid w:val="005C33C7"/>
    <w:rsid w:val="005C34DF"/>
    <w:rsid w:val="005C465C"/>
    <w:rsid w:val="005C4DE7"/>
    <w:rsid w:val="005C7CF0"/>
    <w:rsid w:val="005D015D"/>
    <w:rsid w:val="005D31AE"/>
    <w:rsid w:val="005D3E4C"/>
    <w:rsid w:val="005D693E"/>
    <w:rsid w:val="005E0AD5"/>
    <w:rsid w:val="005E1231"/>
    <w:rsid w:val="005E24DB"/>
    <w:rsid w:val="005E69D1"/>
    <w:rsid w:val="005E7243"/>
    <w:rsid w:val="005E7B12"/>
    <w:rsid w:val="005F0539"/>
    <w:rsid w:val="005F4A00"/>
    <w:rsid w:val="00600145"/>
    <w:rsid w:val="00601F1A"/>
    <w:rsid w:val="0060347C"/>
    <w:rsid w:val="00603C64"/>
    <w:rsid w:val="006065B9"/>
    <w:rsid w:val="00606634"/>
    <w:rsid w:val="00610DFB"/>
    <w:rsid w:val="0061124F"/>
    <w:rsid w:val="0061147A"/>
    <w:rsid w:val="00611F76"/>
    <w:rsid w:val="00612C51"/>
    <w:rsid w:val="00614A15"/>
    <w:rsid w:val="00614ABC"/>
    <w:rsid w:val="006169A4"/>
    <w:rsid w:val="00617C0E"/>
    <w:rsid w:val="006206E1"/>
    <w:rsid w:val="006223BF"/>
    <w:rsid w:val="00622886"/>
    <w:rsid w:val="00623105"/>
    <w:rsid w:val="00623656"/>
    <w:rsid w:val="00623EE7"/>
    <w:rsid w:val="006253E1"/>
    <w:rsid w:val="00626C34"/>
    <w:rsid w:val="006306CC"/>
    <w:rsid w:val="006316B5"/>
    <w:rsid w:val="006322DF"/>
    <w:rsid w:val="00637DF7"/>
    <w:rsid w:val="0064011A"/>
    <w:rsid w:val="00641218"/>
    <w:rsid w:val="006415C9"/>
    <w:rsid w:val="0064474F"/>
    <w:rsid w:val="0064662B"/>
    <w:rsid w:val="00647EBF"/>
    <w:rsid w:val="00651B46"/>
    <w:rsid w:val="00653F5D"/>
    <w:rsid w:val="00654387"/>
    <w:rsid w:val="00654A1D"/>
    <w:rsid w:val="006562A8"/>
    <w:rsid w:val="006570C6"/>
    <w:rsid w:val="00663F0B"/>
    <w:rsid w:val="00664763"/>
    <w:rsid w:val="00664ABF"/>
    <w:rsid w:val="00665AD2"/>
    <w:rsid w:val="00666272"/>
    <w:rsid w:val="006663E7"/>
    <w:rsid w:val="00670118"/>
    <w:rsid w:val="0068062A"/>
    <w:rsid w:val="006806D2"/>
    <w:rsid w:val="00681BC2"/>
    <w:rsid w:val="00682259"/>
    <w:rsid w:val="00684E9A"/>
    <w:rsid w:val="006851AD"/>
    <w:rsid w:val="006931AE"/>
    <w:rsid w:val="006936DD"/>
    <w:rsid w:val="006971FA"/>
    <w:rsid w:val="006A00BF"/>
    <w:rsid w:val="006A1D99"/>
    <w:rsid w:val="006A3038"/>
    <w:rsid w:val="006B11B1"/>
    <w:rsid w:val="006B3ACC"/>
    <w:rsid w:val="006B486C"/>
    <w:rsid w:val="006B5B71"/>
    <w:rsid w:val="006B6A68"/>
    <w:rsid w:val="006B7E68"/>
    <w:rsid w:val="006C00B3"/>
    <w:rsid w:val="006C3FAA"/>
    <w:rsid w:val="006C448B"/>
    <w:rsid w:val="006C4FDD"/>
    <w:rsid w:val="006C51A7"/>
    <w:rsid w:val="006C6445"/>
    <w:rsid w:val="006C6578"/>
    <w:rsid w:val="006C6F2C"/>
    <w:rsid w:val="006C7A76"/>
    <w:rsid w:val="006D15CB"/>
    <w:rsid w:val="006D1B41"/>
    <w:rsid w:val="006D2DB4"/>
    <w:rsid w:val="006D35F6"/>
    <w:rsid w:val="006D3D2C"/>
    <w:rsid w:val="006D432C"/>
    <w:rsid w:val="006D4FB7"/>
    <w:rsid w:val="006E334B"/>
    <w:rsid w:val="006E4C10"/>
    <w:rsid w:val="006F1213"/>
    <w:rsid w:val="006F125A"/>
    <w:rsid w:val="006F2B95"/>
    <w:rsid w:val="006F4BA1"/>
    <w:rsid w:val="006F5104"/>
    <w:rsid w:val="006F6095"/>
    <w:rsid w:val="006F66B2"/>
    <w:rsid w:val="007006E9"/>
    <w:rsid w:val="00702423"/>
    <w:rsid w:val="00702996"/>
    <w:rsid w:val="00702BFD"/>
    <w:rsid w:val="0070679C"/>
    <w:rsid w:val="00710B36"/>
    <w:rsid w:val="007157E4"/>
    <w:rsid w:val="007161C2"/>
    <w:rsid w:val="00717F2A"/>
    <w:rsid w:val="0072106B"/>
    <w:rsid w:val="00721C9A"/>
    <w:rsid w:val="00721D64"/>
    <w:rsid w:val="007236B8"/>
    <w:rsid w:val="0072405E"/>
    <w:rsid w:val="00725912"/>
    <w:rsid w:val="00726E14"/>
    <w:rsid w:val="00727EDB"/>
    <w:rsid w:val="00733095"/>
    <w:rsid w:val="00734F65"/>
    <w:rsid w:val="00736183"/>
    <w:rsid w:val="00740EDF"/>
    <w:rsid w:val="00742BF6"/>
    <w:rsid w:val="007462EE"/>
    <w:rsid w:val="007504EA"/>
    <w:rsid w:val="00752A9A"/>
    <w:rsid w:val="007532D4"/>
    <w:rsid w:val="007541E5"/>
    <w:rsid w:val="00754A01"/>
    <w:rsid w:val="00754C47"/>
    <w:rsid w:val="00754F1A"/>
    <w:rsid w:val="00755987"/>
    <w:rsid w:val="007565A5"/>
    <w:rsid w:val="0076728C"/>
    <w:rsid w:val="00771373"/>
    <w:rsid w:val="00771A9A"/>
    <w:rsid w:val="00771B7E"/>
    <w:rsid w:val="007756CB"/>
    <w:rsid w:val="00775DFF"/>
    <w:rsid w:val="007829B4"/>
    <w:rsid w:val="00782B50"/>
    <w:rsid w:val="00783896"/>
    <w:rsid w:val="00790966"/>
    <w:rsid w:val="0079260A"/>
    <w:rsid w:val="00793D42"/>
    <w:rsid w:val="00794160"/>
    <w:rsid w:val="00797B1C"/>
    <w:rsid w:val="007A1542"/>
    <w:rsid w:val="007A234C"/>
    <w:rsid w:val="007A2363"/>
    <w:rsid w:val="007A4BAC"/>
    <w:rsid w:val="007A5A11"/>
    <w:rsid w:val="007A5A47"/>
    <w:rsid w:val="007A6725"/>
    <w:rsid w:val="007A6850"/>
    <w:rsid w:val="007A7A45"/>
    <w:rsid w:val="007A7A76"/>
    <w:rsid w:val="007B0AE3"/>
    <w:rsid w:val="007B1E0A"/>
    <w:rsid w:val="007B22AB"/>
    <w:rsid w:val="007B5AA7"/>
    <w:rsid w:val="007C145D"/>
    <w:rsid w:val="007C25FE"/>
    <w:rsid w:val="007C2FED"/>
    <w:rsid w:val="007C4423"/>
    <w:rsid w:val="007C46F5"/>
    <w:rsid w:val="007C48AF"/>
    <w:rsid w:val="007C51FA"/>
    <w:rsid w:val="007D206B"/>
    <w:rsid w:val="007D39AD"/>
    <w:rsid w:val="007D4F53"/>
    <w:rsid w:val="007D55AD"/>
    <w:rsid w:val="007D63AB"/>
    <w:rsid w:val="007D6D10"/>
    <w:rsid w:val="007E0281"/>
    <w:rsid w:val="007E36E8"/>
    <w:rsid w:val="007E5420"/>
    <w:rsid w:val="007E6427"/>
    <w:rsid w:val="007E692C"/>
    <w:rsid w:val="007F1D07"/>
    <w:rsid w:val="007F3286"/>
    <w:rsid w:val="007F3330"/>
    <w:rsid w:val="007F6841"/>
    <w:rsid w:val="007F6CB2"/>
    <w:rsid w:val="007F72B8"/>
    <w:rsid w:val="0080091A"/>
    <w:rsid w:val="00803390"/>
    <w:rsid w:val="00806439"/>
    <w:rsid w:val="00807133"/>
    <w:rsid w:val="00807A51"/>
    <w:rsid w:val="008115DC"/>
    <w:rsid w:val="00812522"/>
    <w:rsid w:val="00813E17"/>
    <w:rsid w:val="00817403"/>
    <w:rsid w:val="0081759D"/>
    <w:rsid w:val="00820DBF"/>
    <w:rsid w:val="008217C5"/>
    <w:rsid w:val="0082222A"/>
    <w:rsid w:val="008235B2"/>
    <w:rsid w:val="0082388A"/>
    <w:rsid w:val="00824698"/>
    <w:rsid w:val="00826061"/>
    <w:rsid w:val="008266BD"/>
    <w:rsid w:val="00827F6A"/>
    <w:rsid w:val="00830EB8"/>
    <w:rsid w:val="00832C83"/>
    <w:rsid w:val="00833BD4"/>
    <w:rsid w:val="00837C67"/>
    <w:rsid w:val="00841F6B"/>
    <w:rsid w:val="00845576"/>
    <w:rsid w:val="008458FA"/>
    <w:rsid w:val="00846F82"/>
    <w:rsid w:val="008479E5"/>
    <w:rsid w:val="00847DB7"/>
    <w:rsid w:val="0085194F"/>
    <w:rsid w:val="00851C1E"/>
    <w:rsid w:val="00851E6B"/>
    <w:rsid w:val="00853428"/>
    <w:rsid w:val="00853C63"/>
    <w:rsid w:val="0085635C"/>
    <w:rsid w:val="00861D3A"/>
    <w:rsid w:val="008705D5"/>
    <w:rsid w:val="00871A02"/>
    <w:rsid w:val="00872E64"/>
    <w:rsid w:val="008734A9"/>
    <w:rsid w:val="0087469F"/>
    <w:rsid w:val="008748B4"/>
    <w:rsid w:val="00877F7C"/>
    <w:rsid w:val="00882793"/>
    <w:rsid w:val="008851EC"/>
    <w:rsid w:val="00887415"/>
    <w:rsid w:val="00887F9A"/>
    <w:rsid w:val="008920D0"/>
    <w:rsid w:val="008943FA"/>
    <w:rsid w:val="008956E9"/>
    <w:rsid w:val="008960B8"/>
    <w:rsid w:val="0089651E"/>
    <w:rsid w:val="008A254B"/>
    <w:rsid w:val="008A6EA6"/>
    <w:rsid w:val="008B15BA"/>
    <w:rsid w:val="008B24CB"/>
    <w:rsid w:val="008B5D54"/>
    <w:rsid w:val="008B6A7E"/>
    <w:rsid w:val="008C0677"/>
    <w:rsid w:val="008C154D"/>
    <w:rsid w:val="008C1AA9"/>
    <w:rsid w:val="008C32E8"/>
    <w:rsid w:val="008C36BB"/>
    <w:rsid w:val="008C394F"/>
    <w:rsid w:val="008C46E9"/>
    <w:rsid w:val="008C536A"/>
    <w:rsid w:val="008C53B3"/>
    <w:rsid w:val="008C6414"/>
    <w:rsid w:val="008C6811"/>
    <w:rsid w:val="008D1AE4"/>
    <w:rsid w:val="008D1B80"/>
    <w:rsid w:val="008D33D2"/>
    <w:rsid w:val="008D678D"/>
    <w:rsid w:val="008E1058"/>
    <w:rsid w:val="008E3A6C"/>
    <w:rsid w:val="008E47E6"/>
    <w:rsid w:val="008E49FD"/>
    <w:rsid w:val="008E548F"/>
    <w:rsid w:val="008E7562"/>
    <w:rsid w:val="008E7A31"/>
    <w:rsid w:val="008F0707"/>
    <w:rsid w:val="008F26E1"/>
    <w:rsid w:val="008F293F"/>
    <w:rsid w:val="008F324A"/>
    <w:rsid w:val="008F6D26"/>
    <w:rsid w:val="008F6E48"/>
    <w:rsid w:val="00900130"/>
    <w:rsid w:val="0090078A"/>
    <w:rsid w:val="00901E43"/>
    <w:rsid w:val="0090295D"/>
    <w:rsid w:val="00902DF8"/>
    <w:rsid w:val="00904BD7"/>
    <w:rsid w:val="00904FB6"/>
    <w:rsid w:val="0090515B"/>
    <w:rsid w:val="00905227"/>
    <w:rsid w:val="00906B16"/>
    <w:rsid w:val="00910063"/>
    <w:rsid w:val="0091320B"/>
    <w:rsid w:val="00913909"/>
    <w:rsid w:val="00914E78"/>
    <w:rsid w:val="00915629"/>
    <w:rsid w:val="009163A4"/>
    <w:rsid w:val="0091651D"/>
    <w:rsid w:val="00917B52"/>
    <w:rsid w:val="00922D09"/>
    <w:rsid w:val="009249CB"/>
    <w:rsid w:val="0092553D"/>
    <w:rsid w:val="009258F7"/>
    <w:rsid w:val="00925F13"/>
    <w:rsid w:val="00927BED"/>
    <w:rsid w:val="0093073E"/>
    <w:rsid w:val="00930D68"/>
    <w:rsid w:val="00932BF5"/>
    <w:rsid w:val="00932C71"/>
    <w:rsid w:val="009363D4"/>
    <w:rsid w:val="00940376"/>
    <w:rsid w:val="0094386E"/>
    <w:rsid w:val="00943FCF"/>
    <w:rsid w:val="00952841"/>
    <w:rsid w:val="00952BF9"/>
    <w:rsid w:val="00952C49"/>
    <w:rsid w:val="00952DD4"/>
    <w:rsid w:val="009535EC"/>
    <w:rsid w:val="00956798"/>
    <w:rsid w:val="009577A5"/>
    <w:rsid w:val="00962A73"/>
    <w:rsid w:val="00963A1F"/>
    <w:rsid w:val="00964F8C"/>
    <w:rsid w:val="00965C2A"/>
    <w:rsid w:val="0097185F"/>
    <w:rsid w:val="00975121"/>
    <w:rsid w:val="009758DC"/>
    <w:rsid w:val="00975F41"/>
    <w:rsid w:val="00976EBB"/>
    <w:rsid w:val="009868F0"/>
    <w:rsid w:val="00993AAD"/>
    <w:rsid w:val="009948CC"/>
    <w:rsid w:val="009951F8"/>
    <w:rsid w:val="00997466"/>
    <w:rsid w:val="009977B4"/>
    <w:rsid w:val="009A107B"/>
    <w:rsid w:val="009A379F"/>
    <w:rsid w:val="009A57A2"/>
    <w:rsid w:val="009B236C"/>
    <w:rsid w:val="009B26BF"/>
    <w:rsid w:val="009B29AB"/>
    <w:rsid w:val="009B46AF"/>
    <w:rsid w:val="009B4E9B"/>
    <w:rsid w:val="009B6621"/>
    <w:rsid w:val="009B6C89"/>
    <w:rsid w:val="009B6DBA"/>
    <w:rsid w:val="009B765E"/>
    <w:rsid w:val="009C3937"/>
    <w:rsid w:val="009C4626"/>
    <w:rsid w:val="009C4709"/>
    <w:rsid w:val="009C49EF"/>
    <w:rsid w:val="009C654B"/>
    <w:rsid w:val="009C7ACF"/>
    <w:rsid w:val="009D0E8F"/>
    <w:rsid w:val="009D2718"/>
    <w:rsid w:val="009D3A23"/>
    <w:rsid w:val="009D4C27"/>
    <w:rsid w:val="009D6EBD"/>
    <w:rsid w:val="009D7F7F"/>
    <w:rsid w:val="009E313A"/>
    <w:rsid w:val="009E4B22"/>
    <w:rsid w:val="009E5533"/>
    <w:rsid w:val="009E7B1B"/>
    <w:rsid w:val="009F2C68"/>
    <w:rsid w:val="009F34A4"/>
    <w:rsid w:val="009F6925"/>
    <w:rsid w:val="00A007C5"/>
    <w:rsid w:val="00A03476"/>
    <w:rsid w:val="00A077DD"/>
    <w:rsid w:val="00A10A8C"/>
    <w:rsid w:val="00A131F4"/>
    <w:rsid w:val="00A148A3"/>
    <w:rsid w:val="00A150EF"/>
    <w:rsid w:val="00A21F47"/>
    <w:rsid w:val="00A22372"/>
    <w:rsid w:val="00A22B44"/>
    <w:rsid w:val="00A22E60"/>
    <w:rsid w:val="00A26635"/>
    <w:rsid w:val="00A3001B"/>
    <w:rsid w:val="00A30192"/>
    <w:rsid w:val="00A321C9"/>
    <w:rsid w:val="00A34BF1"/>
    <w:rsid w:val="00A35AA5"/>
    <w:rsid w:val="00A36692"/>
    <w:rsid w:val="00A40E0B"/>
    <w:rsid w:val="00A414FE"/>
    <w:rsid w:val="00A43C9D"/>
    <w:rsid w:val="00A446D4"/>
    <w:rsid w:val="00A45AE6"/>
    <w:rsid w:val="00A50F29"/>
    <w:rsid w:val="00A51051"/>
    <w:rsid w:val="00A51052"/>
    <w:rsid w:val="00A52BD9"/>
    <w:rsid w:val="00A54359"/>
    <w:rsid w:val="00A55540"/>
    <w:rsid w:val="00A561BB"/>
    <w:rsid w:val="00A6012F"/>
    <w:rsid w:val="00A609A6"/>
    <w:rsid w:val="00A6339F"/>
    <w:rsid w:val="00A635F0"/>
    <w:rsid w:val="00A64299"/>
    <w:rsid w:val="00A65244"/>
    <w:rsid w:val="00A6592C"/>
    <w:rsid w:val="00A65BAD"/>
    <w:rsid w:val="00A664B4"/>
    <w:rsid w:val="00A6728E"/>
    <w:rsid w:val="00A70A6F"/>
    <w:rsid w:val="00A71627"/>
    <w:rsid w:val="00A74106"/>
    <w:rsid w:val="00A752E7"/>
    <w:rsid w:val="00A75C00"/>
    <w:rsid w:val="00A779AD"/>
    <w:rsid w:val="00A81AAF"/>
    <w:rsid w:val="00A833C2"/>
    <w:rsid w:val="00A83FD9"/>
    <w:rsid w:val="00A84859"/>
    <w:rsid w:val="00A85F25"/>
    <w:rsid w:val="00A866D5"/>
    <w:rsid w:val="00A8750F"/>
    <w:rsid w:val="00A931CD"/>
    <w:rsid w:val="00A94610"/>
    <w:rsid w:val="00A96F70"/>
    <w:rsid w:val="00A97A96"/>
    <w:rsid w:val="00AA03E9"/>
    <w:rsid w:val="00AA2343"/>
    <w:rsid w:val="00AA2F28"/>
    <w:rsid w:val="00AA54F3"/>
    <w:rsid w:val="00AB0354"/>
    <w:rsid w:val="00AB09FF"/>
    <w:rsid w:val="00AB12D6"/>
    <w:rsid w:val="00AB18A6"/>
    <w:rsid w:val="00AB2DFE"/>
    <w:rsid w:val="00AB3C31"/>
    <w:rsid w:val="00AB3CEB"/>
    <w:rsid w:val="00AB46DB"/>
    <w:rsid w:val="00AC4C7D"/>
    <w:rsid w:val="00AC5BD1"/>
    <w:rsid w:val="00AC62CC"/>
    <w:rsid w:val="00AC76C2"/>
    <w:rsid w:val="00AD362D"/>
    <w:rsid w:val="00AD4E9D"/>
    <w:rsid w:val="00AD5E41"/>
    <w:rsid w:val="00AD6A63"/>
    <w:rsid w:val="00AE1D9F"/>
    <w:rsid w:val="00AE3947"/>
    <w:rsid w:val="00AE5246"/>
    <w:rsid w:val="00AE6983"/>
    <w:rsid w:val="00AF0689"/>
    <w:rsid w:val="00AF10FE"/>
    <w:rsid w:val="00AF27AB"/>
    <w:rsid w:val="00AF3796"/>
    <w:rsid w:val="00AF540B"/>
    <w:rsid w:val="00AF7E84"/>
    <w:rsid w:val="00B04C37"/>
    <w:rsid w:val="00B04CD7"/>
    <w:rsid w:val="00B05FA8"/>
    <w:rsid w:val="00B10BCB"/>
    <w:rsid w:val="00B10E0C"/>
    <w:rsid w:val="00B128A4"/>
    <w:rsid w:val="00B12B2E"/>
    <w:rsid w:val="00B13695"/>
    <w:rsid w:val="00B14CFE"/>
    <w:rsid w:val="00B152DB"/>
    <w:rsid w:val="00B15E05"/>
    <w:rsid w:val="00B206FD"/>
    <w:rsid w:val="00B209BD"/>
    <w:rsid w:val="00B21F4E"/>
    <w:rsid w:val="00B2287C"/>
    <w:rsid w:val="00B22D1D"/>
    <w:rsid w:val="00B24CB2"/>
    <w:rsid w:val="00B266F0"/>
    <w:rsid w:val="00B30D6B"/>
    <w:rsid w:val="00B3235B"/>
    <w:rsid w:val="00B32586"/>
    <w:rsid w:val="00B362F9"/>
    <w:rsid w:val="00B405D8"/>
    <w:rsid w:val="00B40DFF"/>
    <w:rsid w:val="00B45002"/>
    <w:rsid w:val="00B45779"/>
    <w:rsid w:val="00B459A6"/>
    <w:rsid w:val="00B4706E"/>
    <w:rsid w:val="00B4734F"/>
    <w:rsid w:val="00B5095A"/>
    <w:rsid w:val="00B50EA9"/>
    <w:rsid w:val="00B53540"/>
    <w:rsid w:val="00B53975"/>
    <w:rsid w:val="00B53FD6"/>
    <w:rsid w:val="00B55735"/>
    <w:rsid w:val="00B56E8A"/>
    <w:rsid w:val="00B572CF"/>
    <w:rsid w:val="00B608AC"/>
    <w:rsid w:val="00B62148"/>
    <w:rsid w:val="00B655CA"/>
    <w:rsid w:val="00B65C2F"/>
    <w:rsid w:val="00B65C54"/>
    <w:rsid w:val="00B6728B"/>
    <w:rsid w:val="00B6775A"/>
    <w:rsid w:val="00B67D13"/>
    <w:rsid w:val="00B71F77"/>
    <w:rsid w:val="00B76F89"/>
    <w:rsid w:val="00B776FA"/>
    <w:rsid w:val="00B77D26"/>
    <w:rsid w:val="00B81631"/>
    <w:rsid w:val="00B82B61"/>
    <w:rsid w:val="00B8432E"/>
    <w:rsid w:val="00B855BC"/>
    <w:rsid w:val="00B855FD"/>
    <w:rsid w:val="00B909F9"/>
    <w:rsid w:val="00B91332"/>
    <w:rsid w:val="00B9184D"/>
    <w:rsid w:val="00B9186E"/>
    <w:rsid w:val="00B91B41"/>
    <w:rsid w:val="00B92BFB"/>
    <w:rsid w:val="00B9370C"/>
    <w:rsid w:val="00B95D90"/>
    <w:rsid w:val="00B97C3B"/>
    <w:rsid w:val="00BA0CB2"/>
    <w:rsid w:val="00BA1042"/>
    <w:rsid w:val="00BA2D35"/>
    <w:rsid w:val="00BA2DBE"/>
    <w:rsid w:val="00BA4A65"/>
    <w:rsid w:val="00BA60FD"/>
    <w:rsid w:val="00BA6123"/>
    <w:rsid w:val="00BA6BB7"/>
    <w:rsid w:val="00BB0E8E"/>
    <w:rsid w:val="00BB26A8"/>
    <w:rsid w:val="00BB3447"/>
    <w:rsid w:val="00BB375A"/>
    <w:rsid w:val="00BB433C"/>
    <w:rsid w:val="00BB45FF"/>
    <w:rsid w:val="00BB5AE3"/>
    <w:rsid w:val="00BB6065"/>
    <w:rsid w:val="00BB61EB"/>
    <w:rsid w:val="00BC17AA"/>
    <w:rsid w:val="00BC3B7A"/>
    <w:rsid w:val="00BD134F"/>
    <w:rsid w:val="00BD1629"/>
    <w:rsid w:val="00BD24A8"/>
    <w:rsid w:val="00BD4653"/>
    <w:rsid w:val="00BD4D28"/>
    <w:rsid w:val="00BD4D7F"/>
    <w:rsid w:val="00BD70C4"/>
    <w:rsid w:val="00BD7198"/>
    <w:rsid w:val="00BE035C"/>
    <w:rsid w:val="00BE14E2"/>
    <w:rsid w:val="00BE223E"/>
    <w:rsid w:val="00BE580E"/>
    <w:rsid w:val="00BE5BD0"/>
    <w:rsid w:val="00BE6013"/>
    <w:rsid w:val="00BE6F95"/>
    <w:rsid w:val="00BE7F98"/>
    <w:rsid w:val="00BF23CD"/>
    <w:rsid w:val="00BF2D96"/>
    <w:rsid w:val="00BF3E5B"/>
    <w:rsid w:val="00BF6C67"/>
    <w:rsid w:val="00C000CD"/>
    <w:rsid w:val="00C00DE8"/>
    <w:rsid w:val="00C01B13"/>
    <w:rsid w:val="00C03179"/>
    <w:rsid w:val="00C0357E"/>
    <w:rsid w:val="00C0417E"/>
    <w:rsid w:val="00C05283"/>
    <w:rsid w:val="00C0561A"/>
    <w:rsid w:val="00C056BB"/>
    <w:rsid w:val="00C10248"/>
    <w:rsid w:val="00C10594"/>
    <w:rsid w:val="00C10AE3"/>
    <w:rsid w:val="00C1136E"/>
    <w:rsid w:val="00C11E84"/>
    <w:rsid w:val="00C1236A"/>
    <w:rsid w:val="00C1323F"/>
    <w:rsid w:val="00C13936"/>
    <w:rsid w:val="00C13959"/>
    <w:rsid w:val="00C14779"/>
    <w:rsid w:val="00C174F6"/>
    <w:rsid w:val="00C17718"/>
    <w:rsid w:val="00C17A31"/>
    <w:rsid w:val="00C17C81"/>
    <w:rsid w:val="00C215F5"/>
    <w:rsid w:val="00C26766"/>
    <w:rsid w:val="00C31398"/>
    <w:rsid w:val="00C314B6"/>
    <w:rsid w:val="00C32985"/>
    <w:rsid w:val="00C32C8D"/>
    <w:rsid w:val="00C36D9E"/>
    <w:rsid w:val="00C409FC"/>
    <w:rsid w:val="00C416C8"/>
    <w:rsid w:val="00C468D2"/>
    <w:rsid w:val="00C46A66"/>
    <w:rsid w:val="00C46C2B"/>
    <w:rsid w:val="00C478A2"/>
    <w:rsid w:val="00C50474"/>
    <w:rsid w:val="00C54298"/>
    <w:rsid w:val="00C564AD"/>
    <w:rsid w:val="00C56C35"/>
    <w:rsid w:val="00C610F6"/>
    <w:rsid w:val="00C63466"/>
    <w:rsid w:val="00C63A84"/>
    <w:rsid w:val="00C63AD7"/>
    <w:rsid w:val="00C63F4D"/>
    <w:rsid w:val="00C647AF"/>
    <w:rsid w:val="00C64A8E"/>
    <w:rsid w:val="00C66509"/>
    <w:rsid w:val="00C70072"/>
    <w:rsid w:val="00C72C51"/>
    <w:rsid w:val="00C75B39"/>
    <w:rsid w:val="00C773A9"/>
    <w:rsid w:val="00C829E4"/>
    <w:rsid w:val="00C836A1"/>
    <w:rsid w:val="00C9099A"/>
    <w:rsid w:val="00C929D2"/>
    <w:rsid w:val="00C92BCB"/>
    <w:rsid w:val="00C9372F"/>
    <w:rsid w:val="00C96162"/>
    <w:rsid w:val="00CA047B"/>
    <w:rsid w:val="00CA2658"/>
    <w:rsid w:val="00CA4658"/>
    <w:rsid w:val="00CA5435"/>
    <w:rsid w:val="00CA70B7"/>
    <w:rsid w:val="00CA72CD"/>
    <w:rsid w:val="00CA736B"/>
    <w:rsid w:val="00CB0BD9"/>
    <w:rsid w:val="00CB0CF6"/>
    <w:rsid w:val="00CB0FCF"/>
    <w:rsid w:val="00CB14BD"/>
    <w:rsid w:val="00CB17F2"/>
    <w:rsid w:val="00CB18A3"/>
    <w:rsid w:val="00CB4B3C"/>
    <w:rsid w:val="00CB4EE6"/>
    <w:rsid w:val="00CB5F3C"/>
    <w:rsid w:val="00CB6E83"/>
    <w:rsid w:val="00CB747C"/>
    <w:rsid w:val="00CB7A0A"/>
    <w:rsid w:val="00CC2247"/>
    <w:rsid w:val="00CC671B"/>
    <w:rsid w:val="00CD11AD"/>
    <w:rsid w:val="00CD2300"/>
    <w:rsid w:val="00CD5E9F"/>
    <w:rsid w:val="00CD7A35"/>
    <w:rsid w:val="00CE4B47"/>
    <w:rsid w:val="00CE6536"/>
    <w:rsid w:val="00CE70D0"/>
    <w:rsid w:val="00CE71F8"/>
    <w:rsid w:val="00CE76C1"/>
    <w:rsid w:val="00CF24E4"/>
    <w:rsid w:val="00CF557B"/>
    <w:rsid w:val="00CF603B"/>
    <w:rsid w:val="00CF627B"/>
    <w:rsid w:val="00CF7455"/>
    <w:rsid w:val="00CF766A"/>
    <w:rsid w:val="00D00836"/>
    <w:rsid w:val="00D01949"/>
    <w:rsid w:val="00D02999"/>
    <w:rsid w:val="00D07EA8"/>
    <w:rsid w:val="00D1062F"/>
    <w:rsid w:val="00D12B9C"/>
    <w:rsid w:val="00D13A6A"/>
    <w:rsid w:val="00D14962"/>
    <w:rsid w:val="00D150A8"/>
    <w:rsid w:val="00D16598"/>
    <w:rsid w:val="00D179EA"/>
    <w:rsid w:val="00D20211"/>
    <w:rsid w:val="00D2041B"/>
    <w:rsid w:val="00D214E7"/>
    <w:rsid w:val="00D21504"/>
    <w:rsid w:val="00D22285"/>
    <w:rsid w:val="00D22A94"/>
    <w:rsid w:val="00D234B1"/>
    <w:rsid w:val="00D2413D"/>
    <w:rsid w:val="00D27EA2"/>
    <w:rsid w:val="00D30BDF"/>
    <w:rsid w:val="00D312D8"/>
    <w:rsid w:val="00D31B7E"/>
    <w:rsid w:val="00D32500"/>
    <w:rsid w:val="00D32F90"/>
    <w:rsid w:val="00D35C40"/>
    <w:rsid w:val="00D408B1"/>
    <w:rsid w:val="00D40D1B"/>
    <w:rsid w:val="00D431BD"/>
    <w:rsid w:val="00D476FA"/>
    <w:rsid w:val="00D50F3E"/>
    <w:rsid w:val="00D51816"/>
    <w:rsid w:val="00D5249F"/>
    <w:rsid w:val="00D52881"/>
    <w:rsid w:val="00D5424F"/>
    <w:rsid w:val="00D54C0F"/>
    <w:rsid w:val="00D5583A"/>
    <w:rsid w:val="00D62EE3"/>
    <w:rsid w:val="00D6587B"/>
    <w:rsid w:val="00D6589D"/>
    <w:rsid w:val="00D67B08"/>
    <w:rsid w:val="00D72307"/>
    <w:rsid w:val="00D72D3F"/>
    <w:rsid w:val="00D72EA8"/>
    <w:rsid w:val="00D72F04"/>
    <w:rsid w:val="00D73A62"/>
    <w:rsid w:val="00D80860"/>
    <w:rsid w:val="00D8087E"/>
    <w:rsid w:val="00D811FD"/>
    <w:rsid w:val="00D815D4"/>
    <w:rsid w:val="00D83A5F"/>
    <w:rsid w:val="00D84506"/>
    <w:rsid w:val="00D91D4C"/>
    <w:rsid w:val="00D93324"/>
    <w:rsid w:val="00D938F7"/>
    <w:rsid w:val="00D9512F"/>
    <w:rsid w:val="00D96132"/>
    <w:rsid w:val="00DA0053"/>
    <w:rsid w:val="00DA1E40"/>
    <w:rsid w:val="00DA1FD9"/>
    <w:rsid w:val="00DA2BC4"/>
    <w:rsid w:val="00DA3263"/>
    <w:rsid w:val="00DA54A6"/>
    <w:rsid w:val="00DA5A96"/>
    <w:rsid w:val="00DA6118"/>
    <w:rsid w:val="00DB1AB8"/>
    <w:rsid w:val="00DB2341"/>
    <w:rsid w:val="00DB40A8"/>
    <w:rsid w:val="00DB4709"/>
    <w:rsid w:val="00DC352E"/>
    <w:rsid w:val="00DC57CC"/>
    <w:rsid w:val="00DC61F8"/>
    <w:rsid w:val="00DC7E2A"/>
    <w:rsid w:val="00DD046B"/>
    <w:rsid w:val="00DD0538"/>
    <w:rsid w:val="00DD0E23"/>
    <w:rsid w:val="00DD15F2"/>
    <w:rsid w:val="00DD160E"/>
    <w:rsid w:val="00DD1DBF"/>
    <w:rsid w:val="00DD30E1"/>
    <w:rsid w:val="00DD39E1"/>
    <w:rsid w:val="00DD5381"/>
    <w:rsid w:val="00DD5C03"/>
    <w:rsid w:val="00DD7989"/>
    <w:rsid w:val="00DD7ABB"/>
    <w:rsid w:val="00DE0E6C"/>
    <w:rsid w:val="00DE136C"/>
    <w:rsid w:val="00DE40A3"/>
    <w:rsid w:val="00DE5708"/>
    <w:rsid w:val="00DF128D"/>
    <w:rsid w:val="00DF2BF4"/>
    <w:rsid w:val="00DF368A"/>
    <w:rsid w:val="00DF5F5A"/>
    <w:rsid w:val="00DF7108"/>
    <w:rsid w:val="00E00059"/>
    <w:rsid w:val="00E00EAC"/>
    <w:rsid w:val="00E00FAE"/>
    <w:rsid w:val="00E0434A"/>
    <w:rsid w:val="00E073FF"/>
    <w:rsid w:val="00E076B4"/>
    <w:rsid w:val="00E11F63"/>
    <w:rsid w:val="00E16D97"/>
    <w:rsid w:val="00E20FC2"/>
    <w:rsid w:val="00E22E3A"/>
    <w:rsid w:val="00E24DDB"/>
    <w:rsid w:val="00E25AB9"/>
    <w:rsid w:val="00E26530"/>
    <w:rsid w:val="00E26D57"/>
    <w:rsid w:val="00E2725E"/>
    <w:rsid w:val="00E278FC"/>
    <w:rsid w:val="00E3130B"/>
    <w:rsid w:val="00E356DC"/>
    <w:rsid w:val="00E3707E"/>
    <w:rsid w:val="00E37197"/>
    <w:rsid w:val="00E4144B"/>
    <w:rsid w:val="00E4175B"/>
    <w:rsid w:val="00E443DB"/>
    <w:rsid w:val="00E44C4F"/>
    <w:rsid w:val="00E476BA"/>
    <w:rsid w:val="00E47940"/>
    <w:rsid w:val="00E52761"/>
    <w:rsid w:val="00E53661"/>
    <w:rsid w:val="00E53CD8"/>
    <w:rsid w:val="00E5611D"/>
    <w:rsid w:val="00E6158F"/>
    <w:rsid w:val="00E64C21"/>
    <w:rsid w:val="00E675A4"/>
    <w:rsid w:val="00E70205"/>
    <w:rsid w:val="00E71A5F"/>
    <w:rsid w:val="00E733C0"/>
    <w:rsid w:val="00E73437"/>
    <w:rsid w:val="00E73BE0"/>
    <w:rsid w:val="00E73E25"/>
    <w:rsid w:val="00E747E6"/>
    <w:rsid w:val="00E75B19"/>
    <w:rsid w:val="00E770C4"/>
    <w:rsid w:val="00E804F8"/>
    <w:rsid w:val="00E82AF7"/>
    <w:rsid w:val="00E82C63"/>
    <w:rsid w:val="00E85215"/>
    <w:rsid w:val="00E857BB"/>
    <w:rsid w:val="00E905AD"/>
    <w:rsid w:val="00E92F60"/>
    <w:rsid w:val="00E95E60"/>
    <w:rsid w:val="00EA035B"/>
    <w:rsid w:val="00EA0849"/>
    <w:rsid w:val="00EA2AFC"/>
    <w:rsid w:val="00EA3339"/>
    <w:rsid w:val="00EA52EC"/>
    <w:rsid w:val="00EA538D"/>
    <w:rsid w:val="00EA55C0"/>
    <w:rsid w:val="00EA5D2C"/>
    <w:rsid w:val="00EA7430"/>
    <w:rsid w:val="00EB0B5C"/>
    <w:rsid w:val="00EB246C"/>
    <w:rsid w:val="00EC1D86"/>
    <w:rsid w:val="00EC5E2E"/>
    <w:rsid w:val="00EC64FB"/>
    <w:rsid w:val="00EC6FB0"/>
    <w:rsid w:val="00ED0D0E"/>
    <w:rsid w:val="00ED4142"/>
    <w:rsid w:val="00ED614F"/>
    <w:rsid w:val="00ED71D1"/>
    <w:rsid w:val="00ED72E9"/>
    <w:rsid w:val="00ED73C0"/>
    <w:rsid w:val="00EE1AD3"/>
    <w:rsid w:val="00EE2130"/>
    <w:rsid w:val="00EE2348"/>
    <w:rsid w:val="00EE7CF9"/>
    <w:rsid w:val="00EF0F25"/>
    <w:rsid w:val="00EF1ECD"/>
    <w:rsid w:val="00EF4047"/>
    <w:rsid w:val="00EF674C"/>
    <w:rsid w:val="00F01F1D"/>
    <w:rsid w:val="00F0210B"/>
    <w:rsid w:val="00F024E8"/>
    <w:rsid w:val="00F04DA6"/>
    <w:rsid w:val="00F12652"/>
    <w:rsid w:val="00F1279E"/>
    <w:rsid w:val="00F12AD6"/>
    <w:rsid w:val="00F13451"/>
    <w:rsid w:val="00F1603C"/>
    <w:rsid w:val="00F16DA0"/>
    <w:rsid w:val="00F1710D"/>
    <w:rsid w:val="00F1784D"/>
    <w:rsid w:val="00F2013F"/>
    <w:rsid w:val="00F20B48"/>
    <w:rsid w:val="00F219A6"/>
    <w:rsid w:val="00F226AD"/>
    <w:rsid w:val="00F23A4F"/>
    <w:rsid w:val="00F2476B"/>
    <w:rsid w:val="00F2544B"/>
    <w:rsid w:val="00F262CE"/>
    <w:rsid w:val="00F279A4"/>
    <w:rsid w:val="00F27C2D"/>
    <w:rsid w:val="00F30919"/>
    <w:rsid w:val="00F3239C"/>
    <w:rsid w:val="00F32FA5"/>
    <w:rsid w:val="00F33B65"/>
    <w:rsid w:val="00F37726"/>
    <w:rsid w:val="00F37E95"/>
    <w:rsid w:val="00F446E6"/>
    <w:rsid w:val="00F44E0C"/>
    <w:rsid w:val="00F521DB"/>
    <w:rsid w:val="00F53B60"/>
    <w:rsid w:val="00F53E33"/>
    <w:rsid w:val="00F54175"/>
    <w:rsid w:val="00F5438E"/>
    <w:rsid w:val="00F546BB"/>
    <w:rsid w:val="00F55293"/>
    <w:rsid w:val="00F557E4"/>
    <w:rsid w:val="00F57119"/>
    <w:rsid w:val="00F6029C"/>
    <w:rsid w:val="00F61266"/>
    <w:rsid w:val="00F63FAF"/>
    <w:rsid w:val="00F643DD"/>
    <w:rsid w:val="00F67821"/>
    <w:rsid w:val="00F707AC"/>
    <w:rsid w:val="00F716E0"/>
    <w:rsid w:val="00F71763"/>
    <w:rsid w:val="00F7214F"/>
    <w:rsid w:val="00F72CED"/>
    <w:rsid w:val="00F77C21"/>
    <w:rsid w:val="00F8030A"/>
    <w:rsid w:val="00F80980"/>
    <w:rsid w:val="00F82AF2"/>
    <w:rsid w:val="00F84FB5"/>
    <w:rsid w:val="00F86B2F"/>
    <w:rsid w:val="00F86B72"/>
    <w:rsid w:val="00F90B8D"/>
    <w:rsid w:val="00F90D4C"/>
    <w:rsid w:val="00F90F83"/>
    <w:rsid w:val="00F916B5"/>
    <w:rsid w:val="00F91C38"/>
    <w:rsid w:val="00F960D2"/>
    <w:rsid w:val="00FA029C"/>
    <w:rsid w:val="00FA1727"/>
    <w:rsid w:val="00FA2743"/>
    <w:rsid w:val="00FA3737"/>
    <w:rsid w:val="00FA3F96"/>
    <w:rsid w:val="00FA4342"/>
    <w:rsid w:val="00FA4DE0"/>
    <w:rsid w:val="00FA57DB"/>
    <w:rsid w:val="00FA77F8"/>
    <w:rsid w:val="00FB25EB"/>
    <w:rsid w:val="00FB3333"/>
    <w:rsid w:val="00FB41B2"/>
    <w:rsid w:val="00FB6BD6"/>
    <w:rsid w:val="00FC2B23"/>
    <w:rsid w:val="00FC2F2A"/>
    <w:rsid w:val="00FC3EED"/>
    <w:rsid w:val="00FC5286"/>
    <w:rsid w:val="00FC5B5A"/>
    <w:rsid w:val="00FD00E5"/>
    <w:rsid w:val="00FD6406"/>
    <w:rsid w:val="00FE3F77"/>
    <w:rsid w:val="00FE5AEA"/>
    <w:rsid w:val="00FE60FC"/>
    <w:rsid w:val="00FF779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FootnoteText">
    <w:name w:val="footnote text"/>
    <w:basedOn w:val="Normal"/>
    <w:link w:val="FootnoteTextChar"/>
    <w:uiPriority w:val="99"/>
    <w:semiHidden/>
    <w:unhideWhenUsed/>
    <w:rsid w:val="000936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3633"/>
    <w:rPr>
      <w:sz w:val="20"/>
      <w:szCs w:val="20"/>
    </w:rPr>
  </w:style>
  <w:style w:type="character" w:styleId="FootnoteReference">
    <w:name w:val="footnote reference"/>
    <w:basedOn w:val="DefaultParagraphFont"/>
    <w:uiPriority w:val="99"/>
    <w:semiHidden/>
    <w:unhideWhenUsed/>
    <w:rsid w:val="00093633"/>
    <w:rPr>
      <w:vertAlign w:val="superscript"/>
    </w:rPr>
  </w:style>
  <w:style w:type="paragraph" w:styleId="TOC4">
    <w:name w:val="toc 4"/>
    <w:basedOn w:val="Normal"/>
    <w:next w:val="Normal"/>
    <w:autoRedefine/>
    <w:uiPriority w:val="39"/>
    <w:unhideWhenUsed/>
    <w:rsid w:val="009F2C68"/>
    <w:pPr>
      <w:spacing w:after="100"/>
      <w:ind w:left="630"/>
    </w:pPr>
  </w:style>
  <w:style w:type="paragraph" w:styleId="TOC5">
    <w:name w:val="toc 5"/>
    <w:basedOn w:val="Normal"/>
    <w:next w:val="Normal"/>
    <w:autoRedefine/>
    <w:uiPriority w:val="39"/>
    <w:unhideWhenUsed/>
    <w:rsid w:val="009F2C68"/>
    <w:pPr>
      <w:spacing w:after="100"/>
      <w:ind w:left="840"/>
    </w:pPr>
  </w:style>
  <w:style w:type="paragraph" w:styleId="Revision">
    <w:name w:val="Revision"/>
    <w:hidden/>
    <w:uiPriority w:val="99"/>
    <w:semiHidden/>
    <w:rsid w:val="00925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125974">
      <w:bodyDiv w:val="1"/>
      <w:marLeft w:val="0"/>
      <w:marRight w:val="0"/>
      <w:marTop w:val="0"/>
      <w:marBottom w:val="0"/>
      <w:divBdr>
        <w:top w:val="none" w:sz="0" w:space="0" w:color="auto"/>
        <w:left w:val="none" w:sz="0" w:space="0" w:color="auto"/>
        <w:bottom w:val="none" w:sz="0" w:space="0" w:color="auto"/>
        <w:right w:val="none" w:sz="0" w:space="0" w:color="auto"/>
      </w:divBdr>
      <w:divsChild>
        <w:div w:id="1134911145">
          <w:marLeft w:val="0"/>
          <w:marRight w:val="0"/>
          <w:marTop w:val="0"/>
          <w:marBottom w:val="0"/>
          <w:divBdr>
            <w:top w:val="none" w:sz="0" w:space="0" w:color="auto"/>
            <w:left w:val="none" w:sz="0" w:space="0" w:color="auto"/>
            <w:bottom w:val="none" w:sz="0" w:space="0" w:color="auto"/>
            <w:right w:val="none" w:sz="0" w:space="0" w:color="auto"/>
          </w:divBdr>
          <w:divsChild>
            <w:div w:id="273250257">
              <w:marLeft w:val="0"/>
              <w:marRight w:val="0"/>
              <w:marTop w:val="0"/>
              <w:marBottom w:val="0"/>
              <w:divBdr>
                <w:top w:val="none" w:sz="0" w:space="0" w:color="auto"/>
                <w:left w:val="single" w:sz="6" w:space="0" w:color="E2E2E2"/>
                <w:bottom w:val="none" w:sz="0" w:space="0" w:color="auto"/>
                <w:right w:val="single" w:sz="6" w:space="0" w:color="E2E2E2"/>
              </w:divBdr>
              <w:divsChild>
                <w:div w:id="1848715701">
                  <w:marLeft w:val="0"/>
                  <w:marRight w:val="0"/>
                  <w:marTop w:val="0"/>
                  <w:marBottom w:val="0"/>
                  <w:divBdr>
                    <w:top w:val="none" w:sz="0" w:space="0" w:color="auto"/>
                    <w:left w:val="none" w:sz="0" w:space="0" w:color="auto"/>
                    <w:bottom w:val="none" w:sz="0" w:space="0" w:color="auto"/>
                    <w:right w:val="none" w:sz="0" w:space="0" w:color="auto"/>
                  </w:divBdr>
                  <w:divsChild>
                    <w:div w:id="5102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503181">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574260">
      <w:bodyDiv w:val="1"/>
      <w:marLeft w:val="0"/>
      <w:marRight w:val="0"/>
      <w:marTop w:val="0"/>
      <w:marBottom w:val="0"/>
      <w:divBdr>
        <w:top w:val="none" w:sz="0" w:space="0" w:color="auto"/>
        <w:left w:val="none" w:sz="0" w:space="0" w:color="auto"/>
        <w:bottom w:val="none" w:sz="0" w:space="0" w:color="auto"/>
        <w:right w:val="none" w:sz="0" w:space="0" w:color="auto"/>
      </w:divBdr>
      <w:divsChild>
        <w:div w:id="2088646188">
          <w:marLeft w:val="0"/>
          <w:marRight w:val="0"/>
          <w:marTop w:val="0"/>
          <w:marBottom w:val="0"/>
          <w:divBdr>
            <w:top w:val="none" w:sz="0" w:space="0" w:color="auto"/>
            <w:left w:val="none" w:sz="0" w:space="0" w:color="auto"/>
            <w:bottom w:val="none" w:sz="0" w:space="0" w:color="auto"/>
            <w:right w:val="none" w:sz="0" w:space="0" w:color="auto"/>
          </w:divBdr>
          <w:divsChild>
            <w:div w:id="1638955290">
              <w:marLeft w:val="0"/>
              <w:marRight w:val="0"/>
              <w:marTop w:val="0"/>
              <w:marBottom w:val="0"/>
              <w:divBdr>
                <w:top w:val="none" w:sz="0" w:space="0" w:color="auto"/>
                <w:left w:val="single" w:sz="6" w:space="0" w:color="E2E2E2"/>
                <w:bottom w:val="none" w:sz="0" w:space="0" w:color="auto"/>
                <w:right w:val="single" w:sz="6" w:space="0" w:color="E2E2E2"/>
              </w:divBdr>
              <w:divsChild>
                <w:div w:id="2111929342">
                  <w:marLeft w:val="0"/>
                  <w:marRight w:val="0"/>
                  <w:marTop w:val="0"/>
                  <w:marBottom w:val="0"/>
                  <w:divBdr>
                    <w:top w:val="none" w:sz="0" w:space="0" w:color="auto"/>
                    <w:left w:val="none" w:sz="0" w:space="0" w:color="auto"/>
                    <w:bottom w:val="none" w:sz="0" w:space="0" w:color="auto"/>
                    <w:right w:val="none" w:sz="0" w:space="0" w:color="auto"/>
                  </w:divBdr>
                  <w:divsChild>
                    <w:div w:id="606040663">
                      <w:marLeft w:val="0"/>
                      <w:marRight w:val="0"/>
                      <w:marTop w:val="0"/>
                      <w:marBottom w:val="0"/>
                      <w:divBdr>
                        <w:top w:val="none" w:sz="0" w:space="0" w:color="auto"/>
                        <w:left w:val="none" w:sz="0" w:space="0" w:color="auto"/>
                        <w:bottom w:val="none" w:sz="0" w:space="0" w:color="auto"/>
                        <w:right w:val="none" w:sz="0" w:space="0" w:color="auto"/>
                      </w:divBdr>
                      <w:divsChild>
                        <w:div w:id="2019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470665">
      <w:bodyDiv w:val="1"/>
      <w:marLeft w:val="0"/>
      <w:marRight w:val="0"/>
      <w:marTop w:val="0"/>
      <w:marBottom w:val="0"/>
      <w:divBdr>
        <w:top w:val="none" w:sz="0" w:space="0" w:color="auto"/>
        <w:left w:val="none" w:sz="0" w:space="0" w:color="auto"/>
        <w:bottom w:val="none" w:sz="0" w:space="0" w:color="auto"/>
        <w:right w:val="none" w:sz="0" w:space="0" w:color="auto"/>
      </w:divBdr>
      <w:divsChild>
        <w:div w:id="229311667">
          <w:marLeft w:val="0"/>
          <w:marRight w:val="0"/>
          <w:marTop w:val="0"/>
          <w:marBottom w:val="0"/>
          <w:divBdr>
            <w:top w:val="none" w:sz="0" w:space="0" w:color="auto"/>
            <w:left w:val="none" w:sz="0" w:space="0" w:color="auto"/>
            <w:bottom w:val="none" w:sz="0" w:space="0" w:color="auto"/>
            <w:right w:val="none" w:sz="0" w:space="0" w:color="auto"/>
          </w:divBdr>
          <w:divsChild>
            <w:div w:id="932635">
              <w:marLeft w:val="0"/>
              <w:marRight w:val="0"/>
              <w:marTop w:val="0"/>
              <w:marBottom w:val="0"/>
              <w:divBdr>
                <w:top w:val="none" w:sz="0" w:space="0" w:color="auto"/>
                <w:left w:val="none" w:sz="0" w:space="0" w:color="auto"/>
                <w:bottom w:val="none" w:sz="0" w:space="0" w:color="auto"/>
                <w:right w:val="none" w:sz="0" w:space="0" w:color="auto"/>
              </w:divBdr>
              <w:divsChild>
                <w:div w:id="636300758">
                  <w:marLeft w:val="0"/>
                  <w:marRight w:val="0"/>
                  <w:marTop w:val="0"/>
                  <w:marBottom w:val="0"/>
                  <w:divBdr>
                    <w:top w:val="none" w:sz="0" w:space="0" w:color="auto"/>
                    <w:left w:val="none" w:sz="0" w:space="0" w:color="auto"/>
                    <w:bottom w:val="none" w:sz="0" w:space="0" w:color="auto"/>
                    <w:right w:val="none" w:sz="0" w:space="0" w:color="auto"/>
                  </w:divBdr>
                  <w:divsChild>
                    <w:div w:id="556942707">
                      <w:marLeft w:val="0"/>
                      <w:marRight w:val="0"/>
                      <w:marTop w:val="0"/>
                      <w:marBottom w:val="0"/>
                      <w:divBdr>
                        <w:top w:val="none" w:sz="0" w:space="0" w:color="auto"/>
                        <w:left w:val="none" w:sz="0" w:space="0" w:color="auto"/>
                        <w:bottom w:val="none" w:sz="0" w:space="0" w:color="auto"/>
                        <w:right w:val="none" w:sz="0" w:space="0" w:color="auto"/>
                      </w:divBdr>
                      <w:divsChild>
                        <w:div w:id="5545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6039302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8897">
      <w:bodyDiv w:val="1"/>
      <w:marLeft w:val="4"/>
      <w:marRight w:val="4"/>
      <w:marTop w:val="4"/>
      <w:marBottom w:val="4"/>
      <w:divBdr>
        <w:top w:val="none" w:sz="0" w:space="0" w:color="auto"/>
        <w:left w:val="none" w:sz="0" w:space="0" w:color="auto"/>
        <w:bottom w:val="none" w:sz="0" w:space="0" w:color="auto"/>
        <w:right w:val="none" w:sz="0" w:space="0" w:color="auto"/>
      </w:divBdr>
      <w:divsChild>
        <w:div w:id="1786074193">
          <w:marLeft w:val="4"/>
          <w:marRight w:val="4"/>
          <w:marTop w:val="4"/>
          <w:marBottom w:val="4"/>
          <w:divBdr>
            <w:top w:val="none" w:sz="0" w:space="0" w:color="auto"/>
            <w:left w:val="none" w:sz="0" w:space="0" w:color="auto"/>
            <w:bottom w:val="none" w:sz="0" w:space="0" w:color="auto"/>
            <w:right w:val="none" w:sz="0" w:space="0" w:color="auto"/>
          </w:divBdr>
          <w:divsChild>
            <w:div w:id="88624603">
              <w:marLeft w:val="4"/>
              <w:marRight w:val="4"/>
              <w:marTop w:val="4"/>
              <w:marBottom w:val="4"/>
              <w:divBdr>
                <w:top w:val="none" w:sz="0" w:space="0" w:color="auto"/>
                <w:left w:val="none" w:sz="0" w:space="0" w:color="auto"/>
                <w:bottom w:val="none" w:sz="0" w:space="0" w:color="auto"/>
                <w:right w:val="none" w:sz="0" w:space="0" w:color="auto"/>
              </w:divBdr>
              <w:divsChild>
                <w:div w:id="1467165799">
                  <w:marLeft w:val="0"/>
                  <w:marRight w:val="0"/>
                  <w:marTop w:val="0"/>
                  <w:marBottom w:val="0"/>
                  <w:divBdr>
                    <w:top w:val="none" w:sz="0" w:space="0" w:color="auto"/>
                    <w:left w:val="none" w:sz="0" w:space="0" w:color="auto"/>
                    <w:bottom w:val="none" w:sz="0" w:space="0" w:color="auto"/>
                    <w:right w:val="none" w:sz="0" w:space="0" w:color="auto"/>
                  </w:divBdr>
                  <w:divsChild>
                    <w:div w:id="1266160116">
                      <w:marLeft w:val="4"/>
                      <w:marRight w:val="4"/>
                      <w:marTop w:val="4"/>
                      <w:marBottom w:val="4"/>
                      <w:divBdr>
                        <w:top w:val="none" w:sz="0" w:space="0" w:color="auto"/>
                        <w:left w:val="none" w:sz="0" w:space="0" w:color="auto"/>
                        <w:bottom w:val="none" w:sz="0" w:space="0" w:color="auto"/>
                        <w:right w:val="none" w:sz="0" w:space="0" w:color="auto"/>
                      </w:divBdr>
                      <w:divsChild>
                        <w:div w:id="662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061140">
      <w:bodyDiv w:val="1"/>
      <w:marLeft w:val="0"/>
      <w:marRight w:val="0"/>
      <w:marTop w:val="0"/>
      <w:marBottom w:val="0"/>
      <w:divBdr>
        <w:top w:val="none" w:sz="0" w:space="0" w:color="auto"/>
        <w:left w:val="none" w:sz="0" w:space="0" w:color="auto"/>
        <w:bottom w:val="none" w:sz="0" w:space="0" w:color="auto"/>
        <w:right w:val="none" w:sz="0" w:space="0" w:color="auto"/>
      </w:divBdr>
      <w:divsChild>
        <w:div w:id="1985087621">
          <w:marLeft w:val="0"/>
          <w:marRight w:val="0"/>
          <w:marTop w:val="0"/>
          <w:marBottom w:val="0"/>
          <w:divBdr>
            <w:top w:val="none" w:sz="0" w:space="0" w:color="auto"/>
            <w:left w:val="none" w:sz="0" w:space="0" w:color="auto"/>
            <w:bottom w:val="none" w:sz="0" w:space="0" w:color="auto"/>
            <w:right w:val="none" w:sz="0" w:space="0" w:color="auto"/>
          </w:divBdr>
          <w:divsChild>
            <w:div w:id="1618489557">
              <w:marLeft w:val="0"/>
              <w:marRight w:val="0"/>
              <w:marTop w:val="0"/>
              <w:marBottom w:val="0"/>
              <w:divBdr>
                <w:top w:val="none" w:sz="0" w:space="0" w:color="auto"/>
                <w:left w:val="single" w:sz="6" w:space="0" w:color="E2E2E2"/>
                <w:bottom w:val="none" w:sz="0" w:space="0" w:color="auto"/>
                <w:right w:val="single" w:sz="6" w:space="0" w:color="E2E2E2"/>
              </w:divBdr>
              <w:divsChild>
                <w:div w:id="1926304828">
                  <w:marLeft w:val="0"/>
                  <w:marRight w:val="0"/>
                  <w:marTop w:val="0"/>
                  <w:marBottom w:val="0"/>
                  <w:divBdr>
                    <w:top w:val="none" w:sz="0" w:space="0" w:color="auto"/>
                    <w:left w:val="none" w:sz="0" w:space="0" w:color="auto"/>
                    <w:bottom w:val="none" w:sz="0" w:space="0" w:color="auto"/>
                    <w:right w:val="none" w:sz="0" w:space="0" w:color="auto"/>
                  </w:divBdr>
                  <w:divsChild>
                    <w:div w:id="10156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8258">
      <w:bodyDiv w:val="1"/>
      <w:marLeft w:val="0"/>
      <w:marRight w:val="0"/>
      <w:marTop w:val="0"/>
      <w:marBottom w:val="0"/>
      <w:divBdr>
        <w:top w:val="none" w:sz="0" w:space="0" w:color="auto"/>
        <w:left w:val="none" w:sz="0" w:space="0" w:color="auto"/>
        <w:bottom w:val="none" w:sz="0" w:space="0" w:color="auto"/>
        <w:right w:val="none" w:sz="0" w:space="0" w:color="auto"/>
      </w:divBdr>
      <w:divsChild>
        <w:div w:id="1895696637">
          <w:marLeft w:val="0"/>
          <w:marRight w:val="0"/>
          <w:marTop w:val="0"/>
          <w:marBottom w:val="0"/>
          <w:divBdr>
            <w:top w:val="none" w:sz="0" w:space="0" w:color="auto"/>
            <w:left w:val="none" w:sz="0" w:space="0" w:color="auto"/>
            <w:bottom w:val="none" w:sz="0" w:space="0" w:color="auto"/>
            <w:right w:val="none" w:sz="0" w:space="0" w:color="auto"/>
          </w:divBdr>
          <w:divsChild>
            <w:div w:id="1467359968">
              <w:marLeft w:val="0"/>
              <w:marRight w:val="0"/>
              <w:marTop w:val="0"/>
              <w:marBottom w:val="0"/>
              <w:divBdr>
                <w:top w:val="none" w:sz="0" w:space="0" w:color="auto"/>
                <w:left w:val="single" w:sz="6" w:space="0" w:color="E2E2E2"/>
                <w:bottom w:val="none" w:sz="0" w:space="0" w:color="auto"/>
                <w:right w:val="single" w:sz="6" w:space="0" w:color="E2E2E2"/>
              </w:divBdr>
              <w:divsChild>
                <w:div w:id="1901867881">
                  <w:marLeft w:val="0"/>
                  <w:marRight w:val="0"/>
                  <w:marTop w:val="0"/>
                  <w:marBottom w:val="0"/>
                  <w:divBdr>
                    <w:top w:val="none" w:sz="0" w:space="0" w:color="auto"/>
                    <w:left w:val="none" w:sz="0" w:space="0" w:color="auto"/>
                    <w:bottom w:val="none" w:sz="0" w:space="0" w:color="auto"/>
                    <w:right w:val="none" w:sz="0" w:space="0" w:color="auto"/>
                  </w:divBdr>
                  <w:divsChild>
                    <w:div w:id="114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3720">
      <w:bodyDiv w:val="1"/>
      <w:marLeft w:val="0"/>
      <w:marRight w:val="0"/>
      <w:marTop w:val="0"/>
      <w:marBottom w:val="0"/>
      <w:divBdr>
        <w:top w:val="none" w:sz="0" w:space="0" w:color="auto"/>
        <w:left w:val="none" w:sz="0" w:space="0" w:color="auto"/>
        <w:bottom w:val="none" w:sz="0" w:space="0" w:color="auto"/>
        <w:right w:val="none" w:sz="0" w:space="0" w:color="auto"/>
      </w:divBdr>
      <w:divsChild>
        <w:div w:id="1665813402">
          <w:marLeft w:val="0"/>
          <w:marRight w:val="0"/>
          <w:marTop w:val="0"/>
          <w:marBottom w:val="0"/>
          <w:divBdr>
            <w:top w:val="none" w:sz="0" w:space="0" w:color="auto"/>
            <w:left w:val="none" w:sz="0" w:space="0" w:color="auto"/>
            <w:bottom w:val="none" w:sz="0" w:space="0" w:color="auto"/>
            <w:right w:val="none" w:sz="0" w:space="0" w:color="auto"/>
          </w:divBdr>
          <w:divsChild>
            <w:div w:id="149567501">
              <w:marLeft w:val="0"/>
              <w:marRight w:val="0"/>
              <w:marTop w:val="0"/>
              <w:marBottom w:val="0"/>
              <w:divBdr>
                <w:top w:val="none" w:sz="0" w:space="0" w:color="auto"/>
                <w:left w:val="single" w:sz="6" w:space="0" w:color="E2E2E2"/>
                <w:bottom w:val="none" w:sz="0" w:space="0" w:color="auto"/>
                <w:right w:val="single" w:sz="6" w:space="0" w:color="E2E2E2"/>
              </w:divBdr>
              <w:divsChild>
                <w:div w:id="1778210078">
                  <w:marLeft w:val="0"/>
                  <w:marRight w:val="0"/>
                  <w:marTop w:val="0"/>
                  <w:marBottom w:val="0"/>
                  <w:divBdr>
                    <w:top w:val="none" w:sz="0" w:space="0" w:color="auto"/>
                    <w:left w:val="none" w:sz="0" w:space="0" w:color="auto"/>
                    <w:bottom w:val="none" w:sz="0" w:space="0" w:color="auto"/>
                    <w:right w:val="none" w:sz="0" w:space="0" w:color="auto"/>
                  </w:divBdr>
                  <w:divsChild>
                    <w:div w:id="76942402">
                      <w:marLeft w:val="0"/>
                      <w:marRight w:val="0"/>
                      <w:marTop w:val="0"/>
                      <w:marBottom w:val="0"/>
                      <w:divBdr>
                        <w:top w:val="none" w:sz="0" w:space="0" w:color="auto"/>
                        <w:left w:val="none" w:sz="0" w:space="0" w:color="auto"/>
                        <w:bottom w:val="none" w:sz="0" w:space="0" w:color="auto"/>
                        <w:right w:val="none" w:sz="0" w:space="0" w:color="auto"/>
                      </w:divBdr>
                      <w:divsChild>
                        <w:div w:id="15908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83989">
      <w:bodyDiv w:val="1"/>
      <w:marLeft w:val="0"/>
      <w:marRight w:val="0"/>
      <w:marTop w:val="0"/>
      <w:marBottom w:val="0"/>
      <w:divBdr>
        <w:top w:val="none" w:sz="0" w:space="0" w:color="auto"/>
        <w:left w:val="none" w:sz="0" w:space="0" w:color="auto"/>
        <w:bottom w:val="none" w:sz="0" w:space="0" w:color="auto"/>
        <w:right w:val="none" w:sz="0" w:space="0" w:color="auto"/>
      </w:divBdr>
    </w:div>
    <w:div w:id="2047560060">
      <w:bodyDiv w:val="1"/>
      <w:marLeft w:val="0"/>
      <w:marRight w:val="0"/>
      <w:marTop w:val="0"/>
      <w:marBottom w:val="0"/>
      <w:divBdr>
        <w:top w:val="none" w:sz="0" w:space="0" w:color="auto"/>
        <w:left w:val="none" w:sz="0" w:space="0" w:color="auto"/>
        <w:bottom w:val="none" w:sz="0" w:space="0" w:color="auto"/>
        <w:right w:val="none" w:sz="0" w:space="0" w:color="auto"/>
      </w:divBdr>
      <w:divsChild>
        <w:div w:id="607085201">
          <w:marLeft w:val="0"/>
          <w:marRight w:val="0"/>
          <w:marTop w:val="0"/>
          <w:marBottom w:val="0"/>
          <w:divBdr>
            <w:top w:val="none" w:sz="0" w:space="0" w:color="auto"/>
            <w:left w:val="none" w:sz="0" w:space="0" w:color="auto"/>
            <w:bottom w:val="none" w:sz="0" w:space="0" w:color="auto"/>
            <w:right w:val="none" w:sz="0" w:space="0" w:color="auto"/>
          </w:divBdr>
          <w:divsChild>
            <w:div w:id="1274947024">
              <w:marLeft w:val="0"/>
              <w:marRight w:val="0"/>
              <w:marTop w:val="0"/>
              <w:marBottom w:val="0"/>
              <w:divBdr>
                <w:top w:val="none" w:sz="0" w:space="0" w:color="auto"/>
                <w:left w:val="single" w:sz="6" w:space="0" w:color="E2E2E2"/>
                <w:bottom w:val="none" w:sz="0" w:space="0" w:color="auto"/>
                <w:right w:val="single" w:sz="6" w:space="0" w:color="E2E2E2"/>
              </w:divBdr>
              <w:divsChild>
                <w:div w:id="1248493132">
                  <w:marLeft w:val="0"/>
                  <w:marRight w:val="0"/>
                  <w:marTop w:val="0"/>
                  <w:marBottom w:val="0"/>
                  <w:divBdr>
                    <w:top w:val="none" w:sz="0" w:space="0" w:color="auto"/>
                    <w:left w:val="none" w:sz="0" w:space="0" w:color="auto"/>
                    <w:bottom w:val="none" w:sz="0" w:space="0" w:color="auto"/>
                    <w:right w:val="none" w:sz="0" w:space="0" w:color="auto"/>
                  </w:divBdr>
                  <w:divsChild>
                    <w:div w:id="1331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93729">
      <w:bodyDiv w:val="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0"/>
          <w:marRight w:val="0"/>
          <w:marTop w:val="0"/>
          <w:marBottom w:val="0"/>
          <w:divBdr>
            <w:top w:val="none" w:sz="0" w:space="0" w:color="auto"/>
            <w:left w:val="none" w:sz="0" w:space="0" w:color="auto"/>
            <w:bottom w:val="none" w:sz="0" w:space="0" w:color="auto"/>
            <w:right w:val="none" w:sz="0" w:space="0" w:color="auto"/>
          </w:divBdr>
          <w:divsChild>
            <w:div w:id="816335546">
              <w:marLeft w:val="0"/>
              <w:marRight w:val="0"/>
              <w:marTop w:val="0"/>
              <w:marBottom w:val="0"/>
              <w:divBdr>
                <w:top w:val="none" w:sz="0" w:space="0" w:color="auto"/>
                <w:left w:val="none" w:sz="0" w:space="0" w:color="auto"/>
                <w:bottom w:val="none" w:sz="0" w:space="0" w:color="auto"/>
                <w:right w:val="none" w:sz="0" w:space="0" w:color="auto"/>
              </w:divBdr>
              <w:divsChild>
                <w:div w:id="411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tsdr.cdc.gov/sites/pease/cap.html" TargetMode="External"/><Relationship Id="rId18" Type="http://schemas.openxmlformats.org/officeDocument/2006/relationships/hyperlink" Target="mailto:aducatman@hsc.wvu.edu" TargetMode="External"/><Relationship Id="rId26" Type="http://schemas.openxmlformats.org/officeDocument/2006/relationships/hyperlink" Target="mailto:xxxx@cdc.gov"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xde8@cdc.gov" TargetMode="External"/><Relationship Id="rId34" Type="http://schemas.openxmlformats.org/officeDocument/2006/relationships/header" Target="header1.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enjamin.Chan@DHHS.NH.GOV" TargetMode="External"/><Relationship Id="rId17" Type="http://schemas.openxmlformats.org/officeDocument/2006/relationships/hyperlink" Target="mailto:ems@seas.harvard.edu" TargetMode="External"/><Relationship Id="rId25" Type="http://schemas.openxmlformats.org/officeDocument/2006/relationships/hyperlink" Target="mailto:pxp5@cdc.gov" TargetMode="External"/><Relationship Id="rId33" Type="http://schemas.openxmlformats.org/officeDocument/2006/relationships/footer" Target="footer1.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steenl@sph.emory.edu" TargetMode="External"/><Relationship Id="rId20" Type="http://schemas.openxmlformats.org/officeDocument/2006/relationships/hyperlink" Target="mailto:aic7@cdc.gov" TargetMode="External"/><Relationship Id="rId29" Type="http://schemas.openxmlformats.org/officeDocument/2006/relationships/hyperlink" Target="mailto:jlp1@cdc.gov" TargetMode="External"/><Relationship Id="rId41" Type="http://schemas.openxmlformats.org/officeDocument/2006/relationships/hyperlink" Target="https://www.atsdr.cdc.gov/sites/pease/documents/Pease_Feasibility_Assessment_November-2017_5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8-05/documents/pfas_summit_list_of_confirmed_organizations_5.22.18.pdf" TargetMode="External"/><Relationship Id="rId24" Type="http://schemas.openxmlformats.org/officeDocument/2006/relationships/hyperlink" Target="mailto:eya3@cdc.gov" TargetMode="External"/><Relationship Id="rId32" Type="http://schemas.openxmlformats.org/officeDocument/2006/relationships/hyperlink" Target="http://www.cdc.gov/SORNnotice/09-20-0136.htm" TargetMode="External"/><Relationship Id="rId37" Type="http://schemas.openxmlformats.org/officeDocument/2006/relationships/footer" Target="footer3.xml"/><Relationship Id="rId40"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hyperlink" Target="mailto:strynar.mark@epa.gov" TargetMode="External"/><Relationship Id="rId23" Type="http://schemas.openxmlformats.org/officeDocument/2006/relationships/hyperlink" Target="mailto:dbk2@cdc.gov" TargetMode="External"/><Relationship Id="rId28" Type="http://schemas.openxmlformats.org/officeDocument/2006/relationships/hyperlink" Target="mailto:jad4@cdc.gov" TargetMode="External"/><Relationship Id="rId36" Type="http://schemas.openxmlformats.org/officeDocument/2006/relationships/footer" Target="footer2.xml"/><Relationship Id="rId10" Type="http://schemas.openxmlformats.org/officeDocument/2006/relationships/hyperlink" Target="https://www.epa.gov/pfas/pfas-national-leadership-summit-and-engagement" TargetMode="External"/><Relationship Id="rId19" Type="http://schemas.openxmlformats.org/officeDocument/2006/relationships/hyperlink" Target="mailto:pgrand@hsph.harvard.edu" TargetMode="External"/><Relationship Id="rId31" Type="http://schemas.openxmlformats.org/officeDocument/2006/relationships/hyperlink" Target="http://www.cdc.gov/SORNnotice/09-19-0001.htm" TargetMode="External"/><Relationship Id="rId4" Type="http://schemas.microsoft.com/office/2007/relationships/stylesWithEffects" Target="stylesWithEffects.xml"/><Relationship Id="rId9" Type="http://schemas.openxmlformats.org/officeDocument/2006/relationships/hyperlink" Target="http://www.c8sciencepanel.org/" TargetMode="External"/><Relationship Id="rId14" Type="http://schemas.openxmlformats.org/officeDocument/2006/relationships/hyperlink" Target="mailto:mlongnecker@ramboll.com" TargetMode="External"/><Relationship Id="rId22" Type="http://schemas.openxmlformats.org/officeDocument/2006/relationships/hyperlink" Target="mailto:pjb7@cdc.gov" TargetMode="External"/><Relationship Id="rId27" Type="http://schemas.openxmlformats.org/officeDocument/2006/relationships/hyperlink" Target="mailto:hhb9@cdc.gov" TargetMode="External"/><Relationship Id="rId30" Type="http://schemas.openxmlformats.org/officeDocument/2006/relationships/hyperlink" Target="mailto:atr0@cdc.gov" TargetMode="External"/><Relationship Id="rId35" Type="http://schemas.openxmlformats.org/officeDocument/2006/relationships/header" Target="header2.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AA77-BB35-4BD5-A3F9-619BC016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8084</Words>
  <Characters>46085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2018-12-18T21:13:00Z</cp:lastPrinted>
  <dcterms:created xsi:type="dcterms:W3CDTF">2019-01-10T16:06:00Z</dcterms:created>
  <dcterms:modified xsi:type="dcterms:W3CDTF">2019-01-10T16:06:00Z</dcterms:modified>
</cp:coreProperties>
</file>